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F6A1D">
      <w:pPr>
        <w:pStyle w:val="5"/>
        <w:rPr>
          <w:rFonts w:hint="eastAsia"/>
        </w:rPr>
      </w:pPr>
    </w:p>
    <w:p w14:paraId="4BDAEFED">
      <w:pPr>
        <w:widowControl/>
        <w:jc w:val="left"/>
        <w:rPr>
          <w:rFonts w:hint="eastAsia" w:ascii="宋体" w:hAnsi="宋体"/>
          <w:kern w:val="0"/>
          <w:sz w:val="10"/>
          <w:szCs w:val="10"/>
        </w:rPr>
      </w:pPr>
    </w:p>
    <w:p w14:paraId="74F08EDC">
      <w:pPr>
        <w:widowControl/>
        <w:jc w:val="left"/>
        <w:rPr>
          <w:rFonts w:hint="eastAsia" w:ascii="宋体" w:hAnsi="宋体"/>
          <w:kern w:val="0"/>
          <w:sz w:val="10"/>
          <w:szCs w:val="10"/>
        </w:rPr>
      </w:pPr>
    </w:p>
    <w:p w14:paraId="144448FC">
      <w:pPr>
        <w:widowControl/>
        <w:ind w:firstLine="1040" w:firstLineChars="200"/>
        <w:rPr>
          <w:rFonts w:hint="eastAsia" w:ascii="宋体" w:hAnsi="宋体"/>
          <w:color w:val="auto"/>
          <w:kern w:val="0"/>
          <w:sz w:val="52"/>
          <w:szCs w:val="52"/>
        </w:rPr>
      </w:pPr>
      <w:r>
        <w:rPr>
          <w:rFonts w:hint="eastAsia" w:ascii="宋体" w:hAnsi="宋体"/>
          <w:color w:val="auto"/>
          <w:kern w:val="0"/>
          <w:sz w:val="52"/>
          <w:szCs w:val="52"/>
        </w:rPr>
        <w:t>广西元强建设项目管理有限公司</w:t>
      </w:r>
    </w:p>
    <w:tbl>
      <w:tblPr>
        <w:tblStyle w:val="2"/>
        <w:tblW w:w="0" w:type="auto"/>
        <w:tblInd w:w="-105" w:type="dxa"/>
        <w:tblBorders>
          <w:top w:val="thinThickSmallGap" w:color="auto" w:sz="2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33"/>
      </w:tblGrid>
      <w:tr w14:paraId="5971417A">
        <w:tblPrEx>
          <w:tblBorders>
            <w:top w:val="thinThickSmallGap" w:color="auto" w:sz="2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833" w:type="dxa"/>
            <w:vAlign w:val="top"/>
          </w:tcPr>
          <w:p w14:paraId="45769ABF">
            <w:pPr>
              <w:tabs>
                <w:tab w:val="left" w:pos="-30"/>
              </w:tabs>
              <w:spacing w:line="400" w:lineRule="exact"/>
              <w:jc w:val="center"/>
              <w:rPr>
                <w:rFonts w:hint="eastAsia" w:ascii="宋体" w:hAnsi="宋体"/>
                <w:color w:val="auto"/>
                <w:sz w:val="24"/>
                <w:szCs w:val="20"/>
              </w:rPr>
            </w:pPr>
          </w:p>
        </w:tc>
      </w:tr>
    </w:tbl>
    <w:p w14:paraId="4BF49867">
      <w:pPr>
        <w:pStyle w:val="107"/>
        <w:ind w:left="0" w:leftChars="0" w:firstLine="0" w:firstLineChars="0"/>
        <w:rPr>
          <w:rFonts w:hint="eastAsia"/>
          <w:color w:val="auto"/>
        </w:rPr>
      </w:pPr>
    </w:p>
    <w:p w14:paraId="38827637">
      <w:pPr>
        <w:ind w:firstLine="1687" w:firstLineChars="200"/>
        <w:rPr>
          <w:rFonts w:hint="eastAsia" w:ascii="宋体" w:hAnsi="宋体"/>
          <w:b/>
          <w:color w:val="auto"/>
          <w:sz w:val="84"/>
          <w:szCs w:val="84"/>
        </w:rPr>
      </w:pPr>
      <w:r>
        <w:rPr>
          <w:rFonts w:hint="eastAsia" w:ascii="宋体" w:hAnsi="宋体"/>
          <w:b/>
          <w:color w:val="auto"/>
          <w:sz w:val="84"/>
          <w:szCs w:val="84"/>
        </w:rPr>
        <w:t>竞争性磋商文件</w:t>
      </w:r>
    </w:p>
    <w:p w14:paraId="14073654">
      <w:pPr>
        <w:rPr>
          <w:rFonts w:hint="eastAsia" w:ascii="宋体" w:hAnsi="宋体"/>
          <w:color w:val="auto"/>
          <w:szCs w:val="21"/>
        </w:rPr>
      </w:pPr>
    </w:p>
    <w:p w14:paraId="456085BD">
      <w:pPr>
        <w:rPr>
          <w:rFonts w:hint="eastAsia" w:ascii="宋体" w:hAnsi="宋体"/>
          <w:color w:val="auto"/>
          <w:szCs w:val="21"/>
        </w:rPr>
      </w:pPr>
    </w:p>
    <w:p w14:paraId="392E216F">
      <w:pPr>
        <w:pStyle w:val="52"/>
        <w:ind w:left="0" w:leftChars="0" w:firstLine="0" w:firstLineChars="0"/>
        <w:rPr>
          <w:rFonts w:hint="eastAsia" w:ascii="宋体" w:hAnsi="宋体"/>
          <w:color w:val="auto"/>
          <w:szCs w:val="21"/>
        </w:rPr>
      </w:pPr>
    </w:p>
    <w:p w14:paraId="6BB0D887">
      <w:pPr>
        <w:jc w:val="left"/>
        <w:rPr>
          <w:rFonts w:hint="eastAsia" w:ascii="宋体" w:hAnsi="宋体"/>
          <w:color w:val="auto"/>
          <w:szCs w:val="21"/>
        </w:rPr>
      </w:pPr>
    </w:p>
    <w:p w14:paraId="0F02902D">
      <w:pPr>
        <w:tabs>
          <w:tab w:val="left" w:pos="2565"/>
        </w:tabs>
        <w:snapToGrid w:val="0"/>
        <w:spacing w:line="360" w:lineRule="auto"/>
        <w:ind w:left="2403" w:leftChars="284" w:right="-235" w:rightChars="-112" w:hanging="1807" w:hangingChars="500"/>
        <w:jc w:val="left"/>
        <w:rPr>
          <w:rFonts w:hint="eastAsia" w:ascii="宋体" w:hAnsi="宋体"/>
          <w:b/>
          <w:bCs w:val="0"/>
          <w:color w:val="auto"/>
          <w:sz w:val="36"/>
          <w:szCs w:val="36"/>
        </w:rPr>
      </w:pPr>
      <w:r>
        <w:rPr>
          <w:rFonts w:hint="eastAsia" w:ascii="宋体" w:hAnsi="宋体"/>
          <w:b/>
          <w:bCs w:val="0"/>
          <w:color w:val="auto"/>
          <w:sz w:val="36"/>
          <w:szCs w:val="36"/>
        </w:rPr>
        <w:t>项目名称：</w:t>
      </w:r>
      <w:r>
        <w:rPr>
          <w:rFonts w:hint="eastAsia" w:ascii="宋体" w:hAnsi="宋体"/>
          <w:b/>
          <w:bCs w:val="0"/>
          <w:color w:val="auto"/>
          <w:sz w:val="36"/>
          <w:szCs w:val="36"/>
          <w:lang w:val="en-US" w:eastAsia="zh-CN"/>
        </w:rPr>
        <w:t>那坡公路养护中心</w:t>
      </w:r>
      <w:r>
        <w:rPr>
          <w:rFonts w:hint="eastAsia" w:ascii="Arial" w:hAnsi="Arial"/>
          <w:b/>
          <w:bCs w:val="0"/>
          <w:color w:val="auto"/>
          <w:sz w:val="36"/>
          <w:szCs w:val="36"/>
          <w:lang w:val="en-US" w:eastAsia="zh-CN"/>
        </w:rPr>
        <w:t>S518线那坡至平孟K23+000~K23+080应急抢通工程</w:t>
      </w:r>
    </w:p>
    <w:p w14:paraId="588269AB">
      <w:pPr>
        <w:tabs>
          <w:tab w:val="left" w:pos="2565"/>
          <w:tab w:val="left" w:pos="4414"/>
        </w:tabs>
        <w:snapToGrid w:val="0"/>
        <w:spacing w:line="360" w:lineRule="auto"/>
        <w:ind w:left="2606" w:hanging="1331"/>
        <w:rPr>
          <w:rFonts w:hint="eastAsia" w:ascii="宋体" w:hAnsi="宋体"/>
          <w:b/>
          <w:bCs w:val="0"/>
          <w:color w:val="auto"/>
          <w:sz w:val="36"/>
          <w:szCs w:val="36"/>
        </w:rPr>
      </w:pPr>
      <w:r>
        <w:rPr>
          <w:rFonts w:hint="eastAsia" w:ascii="宋体" w:hAnsi="宋体"/>
          <w:b/>
          <w:bCs w:val="0"/>
          <w:color w:val="auto"/>
          <w:sz w:val="36"/>
          <w:szCs w:val="36"/>
        </w:rPr>
        <w:t xml:space="preserve">  </w:t>
      </w:r>
      <w:r>
        <w:rPr>
          <w:rFonts w:ascii="宋体" w:hAnsi="宋体"/>
          <w:b/>
          <w:bCs w:val="0"/>
          <w:color w:val="auto"/>
          <w:sz w:val="36"/>
          <w:szCs w:val="36"/>
        </w:rPr>
        <w:tab/>
      </w:r>
      <w:r>
        <w:rPr>
          <w:rFonts w:ascii="宋体" w:hAnsi="宋体"/>
          <w:b/>
          <w:bCs w:val="0"/>
          <w:color w:val="auto"/>
          <w:sz w:val="36"/>
          <w:szCs w:val="36"/>
        </w:rPr>
        <w:tab/>
      </w:r>
      <w:r>
        <w:rPr>
          <w:rFonts w:ascii="宋体" w:hAnsi="宋体"/>
          <w:b/>
          <w:bCs w:val="0"/>
          <w:color w:val="auto"/>
          <w:sz w:val="36"/>
          <w:szCs w:val="36"/>
        </w:rPr>
        <w:tab/>
      </w:r>
    </w:p>
    <w:p w14:paraId="06918E83">
      <w:pPr>
        <w:tabs>
          <w:tab w:val="left" w:pos="2565"/>
        </w:tabs>
        <w:snapToGrid w:val="0"/>
        <w:spacing w:line="360" w:lineRule="auto"/>
        <w:ind w:firstLine="723" w:firstLineChars="200"/>
        <w:rPr>
          <w:rFonts w:hint="eastAsia" w:ascii="宋体" w:hAnsi="宋体"/>
          <w:b/>
          <w:bCs w:val="0"/>
          <w:color w:val="auto"/>
          <w:sz w:val="36"/>
          <w:szCs w:val="36"/>
        </w:rPr>
      </w:pPr>
      <w:r>
        <w:rPr>
          <w:rFonts w:hint="eastAsia" w:ascii="宋体" w:hAnsi="宋体"/>
          <w:b/>
          <w:bCs w:val="0"/>
          <w:color w:val="auto"/>
          <w:sz w:val="36"/>
          <w:szCs w:val="36"/>
        </w:rPr>
        <w:t>项目编号：GXZC2024-C2-</w:t>
      </w:r>
      <w:r>
        <w:rPr>
          <w:rFonts w:ascii="宋体" w:hAnsi="宋体"/>
          <w:b/>
          <w:bCs w:val="0"/>
          <w:color w:val="auto"/>
          <w:sz w:val="36"/>
          <w:szCs w:val="36"/>
        </w:rPr>
        <w:t>00</w:t>
      </w:r>
      <w:r>
        <w:rPr>
          <w:rFonts w:hint="eastAsia" w:ascii="宋体" w:hAnsi="宋体"/>
          <w:b/>
          <w:bCs w:val="0"/>
          <w:color w:val="auto"/>
          <w:sz w:val="36"/>
          <w:szCs w:val="36"/>
          <w:lang w:val="en-US" w:eastAsia="zh-CN"/>
        </w:rPr>
        <w:t>5716</w:t>
      </w:r>
      <w:r>
        <w:rPr>
          <w:rFonts w:hint="eastAsia" w:ascii="宋体" w:hAnsi="宋体"/>
          <w:b/>
          <w:bCs w:val="0"/>
          <w:color w:val="auto"/>
          <w:sz w:val="36"/>
          <w:szCs w:val="36"/>
        </w:rPr>
        <w:t>-GXYQ</w:t>
      </w:r>
    </w:p>
    <w:p w14:paraId="4025A19B">
      <w:pPr>
        <w:spacing w:line="560" w:lineRule="exact"/>
        <w:rPr>
          <w:rFonts w:hint="eastAsia" w:ascii="宋体" w:hAnsi="宋体"/>
          <w:b/>
          <w:bCs w:val="0"/>
          <w:color w:val="auto"/>
          <w:sz w:val="36"/>
          <w:szCs w:val="36"/>
        </w:rPr>
      </w:pPr>
    </w:p>
    <w:p w14:paraId="65B75574">
      <w:pPr>
        <w:snapToGrid w:val="0"/>
        <w:spacing w:line="360" w:lineRule="auto"/>
        <w:rPr>
          <w:rFonts w:hint="eastAsia" w:ascii="宋体" w:hAnsi="宋体"/>
          <w:b/>
          <w:bCs w:val="0"/>
          <w:color w:val="auto"/>
          <w:sz w:val="36"/>
          <w:szCs w:val="36"/>
        </w:rPr>
      </w:pPr>
    </w:p>
    <w:p w14:paraId="6592C0F9">
      <w:pPr>
        <w:snapToGrid w:val="0"/>
        <w:spacing w:line="360" w:lineRule="auto"/>
        <w:rPr>
          <w:rFonts w:hint="eastAsia" w:ascii="宋体" w:hAnsi="宋体"/>
          <w:b/>
          <w:bCs w:val="0"/>
          <w:color w:val="auto"/>
          <w:sz w:val="36"/>
          <w:szCs w:val="36"/>
        </w:rPr>
      </w:pPr>
    </w:p>
    <w:p w14:paraId="189B80CE">
      <w:pPr>
        <w:snapToGrid w:val="0"/>
        <w:spacing w:line="360" w:lineRule="auto"/>
        <w:rPr>
          <w:rFonts w:hint="eastAsia"/>
          <w:b/>
          <w:bCs w:val="0"/>
          <w:color w:val="auto"/>
          <w:sz w:val="36"/>
          <w:szCs w:val="36"/>
        </w:rPr>
      </w:pPr>
    </w:p>
    <w:p w14:paraId="672ADDB4">
      <w:pPr>
        <w:snapToGrid w:val="0"/>
        <w:spacing w:line="360" w:lineRule="auto"/>
        <w:ind w:firstLine="723" w:firstLineChars="200"/>
        <w:rPr>
          <w:rFonts w:hint="eastAsia"/>
          <w:b/>
          <w:bCs w:val="0"/>
          <w:color w:val="auto"/>
          <w:sz w:val="36"/>
          <w:szCs w:val="36"/>
        </w:rPr>
      </w:pPr>
      <w:r>
        <w:rPr>
          <w:rFonts w:hint="eastAsia"/>
          <w:b/>
          <w:bCs w:val="0"/>
          <w:color w:val="auto"/>
          <w:sz w:val="36"/>
          <w:szCs w:val="36"/>
        </w:rPr>
        <w:t>采 购 人</w:t>
      </w:r>
      <w:r>
        <w:rPr>
          <w:rFonts w:hint="eastAsia" w:ascii="宋体" w:hAnsi="宋体"/>
          <w:b/>
          <w:bCs w:val="0"/>
          <w:color w:val="auto"/>
          <w:sz w:val="36"/>
          <w:szCs w:val="36"/>
        </w:rPr>
        <w:t>：广西壮族自治区那坡公路养护中心</w:t>
      </w:r>
    </w:p>
    <w:p w14:paraId="4DEF3752">
      <w:pPr>
        <w:snapToGrid w:val="0"/>
        <w:spacing w:line="360" w:lineRule="auto"/>
        <w:ind w:firstLine="1435" w:firstLineChars="397"/>
        <w:jc w:val="center"/>
        <w:rPr>
          <w:rFonts w:hint="eastAsia" w:ascii="宋体" w:hAnsi="宋体"/>
          <w:b/>
          <w:bCs w:val="0"/>
          <w:color w:val="auto"/>
          <w:sz w:val="36"/>
          <w:szCs w:val="36"/>
        </w:rPr>
      </w:pPr>
    </w:p>
    <w:p w14:paraId="79B6AAB1">
      <w:pPr>
        <w:snapToGrid w:val="0"/>
        <w:spacing w:line="360" w:lineRule="auto"/>
        <w:ind w:firstLine="723" w:firstLineChars="200"/>
        <w:rPr>
          <w:rFonts w:hint="eastAsia" w:ascii="宋体" w:hAnsi="宋体"/>
          <w:b/>
          <w:bCs w:val="0"/>
          <w:color w:val="auto"/>
          <w:sz w:val="36"/>
          <w:szCs w:val="36"/>
        </w:rPr>
      </w:pPr>
      <w:r>
        <w:rPr>
          <w:rFonts w:hint="eastAsia" w:ascii="宋体" w:hAnsi="宋体"/>
          <w:b/>
          <w:bCs w:val="0"/>
          <w:color w:val="auto"/>
          <w:sz w:val="36"/>
          <w:szCs w:val="36"/>
        </w:rPr>
        <w:t>采购代理机构：</w:t>
      </w:r>
      <w:r>
        <w:rPr>
          <w:rFonts w:hint="eastAsia" w:ascii="宋体" w:hAnsi="宋体"/>
          <w:b/>
          <w:bCs w:val="0"/>
          <w:color w:val="auto"/>
          <w:kern w:val="0"/>
          <w:sz w:val="36"/>
          <w:szCs w:val="36"/>
        </w:rPr>
        <w:t>广西元强建设项目管理有限公司</w:t>
      </w:r>
    </w:p>
    <w:p w14:paraId="14B2619D">
      <w:pPr>
        <w:spacing w:line="360" w:lineRule="auto"/>
        <w:jc w:val="center"/>
        <w:rPr>
          <w:rFonts w:hint="eastAsia" w:hAnsi="宋体"/>
          <w:b/>
          <w:color w:val="auto"/>
          <w:sz w:val="32"/>
          <w:szCs w:val="32"/>
        </w:rPr>
      </w:pPr>
      <w:r>
        <w:rPr>
          <w:rFonts w:hint="eastAsia" w:hAnsi="宋体"/>
          <w:b/>
          <w:color w:val="auto"/>
          <w:sz w:val="32"/>
          <w:szCs w:val="32"/>
        </w:rPr>
        <w:t>二〇二四年</w:t>
      </w:r>
      <w:r>
        <w:rPr>
          <w:rFonts w:hint="eastAsia" w:hAnsi="宋体"/>
          <w:b/>
          <w:color w:val="auto"/>
          <w:sz w:val="32"/>
          <w:szCs w:val="32"/>
          <w:lang w:val="en-US" w:eastAsia="zh-CN"/>
        </w:rPr>
        <w:t>十</w:t>
      </w:r>
      <w:r>
        <w:rPr>
          <w:rFonts w:hint="eastAsia" w:hAnsi="宋体"/>
          <w:b/>
          <w:color w:val="auto"/>
          <w:sz w:val="32"/>
          <w:szCs w:val="32"/>
        </w:rPr>
        <w:t>月</w:t>
      </w:r>
    </w:p>
    <w:p w14:paraId="23119D0B">
      <w:pPr>
        <w:spacing w:line="360" w:lineRule="auto"/>
        <w:jc w:val="center"/>
        <w:rPr>
          <w:rFonts w:hint="eastAsia" w:ascii="宋体" w:hAnsi="宋体"/>
          <w:b/>
          <w:color w:val="auto"/>
          <w:sz w:val="44"/>
          <w:szCs w:val="44"/>
        </w:rPr>
      </w:pPr>
      <w:r>
        <w:rPr>
          <w:rFonts w:hint="eastAsia" w:ascii="宋体" w:hAnsi="宋体"/>
          <w:b/>
          <w:color w:val="auto"/>
          <w:sz w:val="44"/>
          <w:szCs w:val="44"/>
        </w:rPr>
        <w:br w:type="page"/>
      </w:r>
      <w:r>
        <w:rPr>
          <w:rFonts w:hint="eastAsia" w:ascii="宋体" w:hAnsi="宋体"/>
          <w:b/>
          <w:color w:val="auto"/>
          <w:sz w:val="44"/>
          <w:szCs w:val="44"/>
        </w:rPr>
        <w:t>目   录</w:t>
      </w:r>
    </w:p>
    <w:p w14:paraId="7FAA132E">
      <w:pPr>
        <w:spacing w:line="700" w:lineRule="exact"/>
        <w:jc w:val="center"/>
        <w:rPr>
          <w:rFonts w:hint="eastAsia" w:ascii="宋体" w:hAnsi="宋体"/>
          <w:b/>
          <w:color w:val="auto"/>
          <w:sz w:val="44"/>
          <w:szCs w:val="44"/>
        </w:rPr>
      </w:pPr>
    </w:p>
    <w:p w14:paraId="0D949AE2">
      <w:pPr>
        <w:pStyle w:val="41"/>
        <w:tabs>
          <w:tab w:val="right" w:leader="dot" w:pos="9643"/>
        </w:tabs>
        <w:spacing w:line="700" w:lineRule="exact"/>
        <w:rPr>
          <w:rFonts w:hint="eastAsia"/>
          <w:color w:val="auto"/>
          <w:sz w:val="24"/>
        </w:rPr>
      </w:pPr>
      <w:r>
        <w:rPr>
          <w:rFonts w:hint="eastAsia"/>
          <w:color w:val="auto"/>
          <w:sz w:val="24"/>
        </w:rPr>
        <w:fldChar w:fldCharType="begin"/>
      </w:r>
      <w:r>
        <w:rPr>
          <w:rFonts w:hint="eastAsia"/>
          <w:color w:val="auto"/>
          <w:sz w:val="24"/>
        </w:rPr>
        <w:instrText xml:space="preserve">TOC \o "1-1" \h \u </w:instrText>
      </w:r>
      <w:r>
        <w:rPr>
          <w:rFonts w:hint="eastAsia"/>
          <w:color w:val="auto"/>
          <w:sz w:val="24"/>
        </w:rPr>
        <w:fldChar w:fldCharType="separate"/>
      </w:r>
      <w:r>
        <w:rPr>
          <w:rFonts w:hint="eastAsia"/>
          <w:color w:val="auto"/>
        </w:rPr>
        <w:fldChar w:fldCharType="begin"/>
      </w:r>
      <w:r>
        <w:rPr>
          <w:rFonts w:hint="eastAsia"/>
          <w:color w:val="auto"/>
        </w:rPr>
        <w:instrText xml:space="preserve"> HYPERLINK \l _Toc19804 </w:instrText>
      </w:r>
      <w:r>
        <w:rPr>
          <w:rFonts w:hint="eastAsia"/>
          <w:color w:val="auto"/>
        </w:rPr>
        <w:fldChar w:fldCharType="separate"/>
      </w:r>
      <w:r>
        <w:rPr>
          <w:rFonts w:hint="eastAsia"/>
          <w:color w:val="auto"/>
        </w:rPr>
        <w:t>第一章 竞争性磋商公告</w:t>
      </w:r>
      <w:r>
        <w:rPr>
          <w:color w:val="auto"/>
        </w:rPr>
        <w:tab/>
      </w:r>
      <w:r>
        <w:rPr>
          <w:color w:val="auto"/>
        </w:rPr>
        <w:fldChar w:fldCharType="begin"/>
      </w:r>
      <w:r>
        <w:rPr>
          <w:color w:val="auto"/>
        </w:rPr>
        <w:instrText xml:space="preserve"> PAGEREF _Toc19804 \h </w:instrText>
      </w:r>
      <w:r>
        <w:rPr>
          <w:color w:val="auto"/>
        </w:rPr>
        <w:fldChar w:fldCharType="separate"/>
      </w:r>
      <w:r>
        <w:rPr>
          <w:color w:val="auto"/>
        </w:rPr>
        <w:t>3</w:t>
      </w:r>
      <w:r>
        <w:rPr>
          <w:color w:val="auto"/>
        </w:rPr>
        <w:fldChar w:fldCharType="end"/>
      </w:r>
      <w:r>
        <w:rPr>
          <w:rFonts w:hint="eastAsia"/>
          <w:color w:val="auto"/>
        </w:rPr>
        <w:fldChar w:fldCharType="end"/>
      </w:r>
    </w:p>
    <w:p w14:paraId="0B5708DD">
      <w:pPr>
        <w:pStyle w:val="41"/>
        <w:tabs>
          <w:tab w:val="right" w:leader="dot" w:pos="9643"/>
        </w:tabs>
        <w:spacing w:line="700" w:lineRule="exact"/>
        <w:rPr>
          <w:rFonts w:hint="eastAsia"/>
          <w:color w:val="auto"/>
        </w:rPr>
      </w:pPr>
      <w:r>
        <w:rPr>
          <w:rFonts w:hint="eastAsia"/>
          <w:color w:val="auto"/>
        </w:rPr>
        <w:fldChar w:fldCharType="begin"/>
      </w:r>
      <w:r>
        <w:rPr>
          <w:rFonts w:hint="eastAsia"/>
          <w:color w:val="auto"/>
        </w:rPr>
        <w:instrText xml:space="preserve"> HYPERLINK \l _Toc29420 </w:instrText>
      </w:r>
      <w:r>
        <w:rPr>
          <w:rFonts w:hint="eastAsia"/>
          <w:color w:val="auto"/>
        </w:rPr>
        <w:fldChar w:fldCharType="separate"/>
      </w:r>
      <w:r>
        <w:rPr>
          <w:rFonts w:hint="eastAsia" w:ascii="Cambria" w:hAnsi="Cambria"/>
          <w:color w:val="auto"/>
          <w:szCs w:val="32"/>
        </w:rPr>
        <w:t>第二章 采购需求</w:t>
      </w:r>
      <w:r>
        <w:rPr>
          <w:color w:val="auto"/>
        </w:rPr>
        <w:tab/>
      </w:r>
      <w:r>
        <w:rPr>
          <w:color w:val="auto"/>
        </w:rPr>
        <w:fldChar w:fldCharType="begin"/>
      </w:r>
      <w:r>
        <w:rPr>
          <w:color w:val="auto"/>
        </w:rPr>
        <w:instrText xml:space="preserve"> PAGEREF _Toc29420 \h </w:instrText>
      </w:r>
      <w:r>
        <w:rPr>
          <w:color w:val="auto"/>
        </w:rPr>
        <w:fldChar w:fldCharType="separate"/>
      </w:r>
      <w:r>
        <w:rPr>
          <w:color w:val="auto"/>
        </w:rPr>
        <w:t>7</w:t>
      </w:r>
      <w:r>
        <w:rPr>
          <w:color w:val="auto"/>
        </w:rPr>
        <w:fldChar w:fldCharType="end"/>
      </w:r>
      <w:r>
        <w:rPr>
          <w:rFonts w:hint="eastAsia"/>
          <w:color w:val="auto"/>
        </w:rPr>
        <w:fldChar w:fldCharType="end"/>
      </w:r>
    </w:p>
    <w:p w14:paraId="694A7963">
      <w:pPr>
        <w:pStyle w:val="41"/>
        <w:tabs>
          <w:tab w:val="right" w:leader="dot" w:pos="9643"/>
        </w:tabs>
        <w:spacing w:line="700" w:lineRule="exact"/>
        <w:rPr>
          <w:rFonts w:hint="eastAsia"/>
          <w:color w:val="auto"/>
        </w:rPr>
      </w:pPr>
      <w:r>
        <w:rPr>
          <w:rFonts w:hint="eastAsia"/>
          <w:color w:val="auto"/>
        </w:rPr>
        <w:fldChar w:fldCharType="begin"/>
      </w:r>
      <w:r>
        <w:rPr>
          <w:rFonts w:hint="eastAsia"/>
          <w:color w:val="auto"/>
        </w:rPr>
        <w:instrText xml:space="preserve"> HYPERLINK \l _Toc24927 </w:instrText>
      </w:r>
      <w:r>
        <w:rPr>
          <w:rFonts w:hint="eastAsia"/>
          <w:color w:val="auto"/>
        </w:rPr>
        <w:fldChar w:fldCharType="separate"/>
      </w:r>
      <w:r>
        <w:rPr>
          <w:rFonts w:hint="eastAsia" w:ascii="Cambria" w:hAnsi="Cambria"/>
          <w:color w:val="auto"/>
          <w:szCs w:val="32"/>
        </w:rPr>
        <w:t>第三章 供应商须知</w:t>
      </w:r>
      <w:r>
        <w:rPr>
          <w:color w:val="auto"/>
        </w:rPr>
        <w:tab/>
      </w:r>
      <w:r>
        <w:rPr>
          <w:rFonts w:hint="eastAsia"/>
          <w:color w:val="auto"/>
        </w:rPr>
        <w:t>9</w:t>
      </w:r>
      <w:r>
        <w:rPr>
          <w:rFonts w:hint="eastAsia"/>
          <w:color w:val="auto"/>
        </w:rPr>
        <w:fldChar w:fldCharType="end"/>
      </w:r>
    </w:p>
    <w:p w14:paraId="3B0106A6">
      <w:pPr>
        <w:pStyle w:val="41"/>
        <w:tabs>
          <w:tab w:val="right" w:leader="dot" w:pos="9643"/>
        </w:tabs>
        <w:spacing w:line="700" w:lineRule="exact"/>
        <w:rPr>
          <w:rFonts w:hint="eastAsia"/>
          <w:color w:val="auto"/>
        </w:rPr>
      </w:pPr>
      <w:r>
        <w:rPr>
          <w:rFonts w:hint="eastAsia"/>
          <w:color w:val="auto"/>
        </w:rPr>
        <w:fldChar w:fldCharType="begin"/>
      </w:r>
      <w:r>
        <w:rPr>
          <w:rFonts w:hint="eastAsia"/>
          <w:color w:val="auto"/>
        </w:rPr>
        <w:instrText xml:space="preserve"> HYPERLINK \l _Toc12880 </w:instrText>
      </w:r>
      <w:r>
        <w:rPr>
          <w:rFonts w:hint="eastAsia"/>
          <w:color w:val="auto"/>
        </w:rPr>
        <w:fldChar w:fldCharType="separate"/>
      </w:r>
      <w:r>
        <w:rPr>
          <w:rFonts w:hint="eastAsia"/>
          <w:color w:val="auto"/>
        </w:rPr>
        <w:t>第四章 评审程序、评审方法和评审标准</w:t>
      </w:r>
      <w:r>
        <w:rPr>
          <w:color w:val="auto"/>
        </w:rPr>
        <w:tab/>
      </w:r>
      <w:r>
        <w:rPr>
          <w:color w:val="auto"/>
        </w:rPr>
        <w:fldChar w:fldCharType="begin"/>
      </w:r>
      <w:r>
        <w:rPr>
          <w:color w:val="auto"/>
        </w:rPr>
        <w:instrText xml:space="preserve"> PAGEREF _Toc12880 \h </w:instrText>
      </w:r>
      <w:r>
        <w:rPr>
          <w:color w:val="auto"/>
        </w:rPr>
        <w:fldChar w:fldCharType="separate"/>
      </w:r>
      <w:r>
        <w:rPr>
          <w:color w:val="auto"/>
        </w:rPr>
        <w:t>25</w:t>
      </w:r>
      <w:r>
        <w:rPr>
          <w:color w:val="auto"/>
        </w:rPr>
        <w:fldChar w:fldCharType="end"/>
      </w:r>
      <w:r>
        <w:rPr>
          <w:rFonts w:hint="eastAsia"/>
          <w:color w:val="auto"/>
        </w:rPr>
        <w:fldChar w:fldCharType="end"/>
      </w:r>
    </w:p>
    <w:p w14:paraId="005BB559">
      <w:pPr>
        <w:pStyle w:val="41"/>
        <w:tabs>
          <w:tab w:val="right" w:leader="dot" w:pos="9643"/>
        </w:tabs>
        <w:spacing w:line="700" w:lineRule="exact"/>
        <w:rPr>
          <w:rFonts w:hint="eastAsia"/>
          <w:color w:val="auto"/>
        </w:rPr>
      </w:pPr>
      <w:r>
        <w:rPr>
          <w:rFonts w:hint="eastAsia"/>
          <w:color w:val="auto"/>
        </w:rPr>
        <w:fldChar w:fldCharType="begin"/>
      </w:r>
      <w:r>
        <w:rPr>
          <w:rFonts w:hint="eastAsia"/>
          <w:color w:val="auto"/>
        </w:rPr>
        <w:instrText xml:space="preserve"> HYPERLINK \l _Toc32147 </w:instrText>
      </w:r>
      <w:r>
        <w:rPr>
          <w:rFonts w:hint="eastAsia"/>
          <w:color w:val="auto"/>
        </w:rPr>
        <w:fldChar w:fldCharType="separate"/>
      </w:r>
      <w:r>
        <w:rPr>
          <w:rFonts w:hint="eastAsia" w:ascii="宋体" w:hAnsi="宋体"/>
          <w:bCs/>
          <w:color w:val="auto"/>
        </w:rPr>
        <w:t>第五章 合同条款及格式</w:t>
      </w:r>
      <w:r>
        <w:rPr>
          <w:color w:val="auto"/>
        </w:rPr>
        <w:tab/>
      </w:r>
      <w:r>
        <w:rPr>
          <w:rFonts w:hint="eastAsia"/>
          <w:color w:val="auto"/>
        </w:rPr>
        <w:fldChar w:fldCharType="end"/>
      </w:r>
      <w:r>
        <w:rPr>
          <w:color w:val="auto"/>
        </w:rPr>
        <w:t>37</w:t>
      </w:r>
    </w:p>
    <w:p w14:paraId="0C7A28A2">
      <w:pPr>
        <w:pStyle w:val="41"/>
        <w:tabs>
          <w:tab w:val="right" w:leader="dot" w:pos="9643"/>
        </w:tabs>
        <w:spacing w:line="700" w:lineRule="exact"/>
        <w:rPr>
          <w:rFonts w:hint="eastAsia"/>
          <w:color w:val="auto"/>
        </w:rPr>
      </w:pPr>
      <w:r>
        <w:rPr>
          <w:rFonts w:hint="eastAsia"/>
          <w:color w:val="auto"/>
        </w:rPr>
        <w:fldChar w:fldCharType="begin"/>
      </w:r>
      <w:r>
        <w:rPr>
          <w:rFonts w:hint="eastAsia"/>
          <w:color w:val="auto"/>
        </w:rPr>
        <w:instrText xml:space="preserve"> HYPERLINK \l _Toc26802 </w:instrText>
      </w:r>
      <w:r>
        <w:rPr>
          <w:rFonts w:hint="eastAsia"/>
          <w:color w:val="auto"/>
        </w:rPr>
        <w:fldChar w:fldCharType="separate"/>
      </w:r>
      <w:r>
        <w:rPr>
          <w:rFonts w:hint="eastAsia"/>
          <w:color w:val="auto"/>
        </w:rPr>
        <w:t>第六章 图纸</w:t>
      </w:r>
      <w:r>
        <w:rPr>
          <w:color w:val="auto"/>
        </w:rPr>
        <w:tab/>
      </w:r>
      <w:r>
        <w:rPr>
          <w:color w:val="auto"/>
        </w:rPr>
        <w:fldChar w:fldCharType="begin"/>
      </w:r>
      <w:r>
        <w:rPr>
          <w:color w:val="auto"/>
        </w:rPr>
        <w:instrText xml:space="preserve"> PAGEREF _Toc26802 \h </w:instrText>
      </w:r>
      <w:r>
        <w:rPr>
          <w:color w:val="auto"/>
        </w:rPr>
        <w:fldChar w:fldCharType="separate"/>
      </w:r>
      <w:r>
        <w:rPr>
          <w:color w:val="auto"/>
        </w:rPr>
        <w:t>127</w:t>
      </w:r>
      <w:r>
        <w:rPr>
          <w:color w:val="auto"/>
        </w:rPr>
        <w:fldChar w:fldCharType="end"/>
      </w:r>
      <w:r>
        <w:rPr>
          <w:rFonts w:hint="eastAsia"/>
          <w:color w:val="auto"/>
        </w:rPr>
        <w:fldChar w:fldCharType="end"/>
      </w:r>
    </w:p>
    <w:p w14:paraId="40AD7960">
      <w:pPr>
        <w:pStyle w:val="41"/>
        <w:tabs>
          <w:tab w:val="right" w:leader="dot" w:pos="9643"/>
        </w:tabs>
        <w:spacing w:line="700" w:lineRule="exact"/>
        <w:rPr>
          <w:rFonts w:hint="eastAsia"/>
          <w:color w:val="auto"/>
        </w:rPr>
      </w:pPr>
      <w:r>
        <w:rPr>
          <w:rFonts w:hint="eastAsia"/>
          <w:color w:val="auto"/>
        </w:rPr>
        <w:fldChar w:fldCharType="begin"/>
      </w:r>
      <w:r>
        <w:rPr>
          <w:rFonts w:hint="eastAsia"/>
          <w:color w:val="auto"/>
        </w:rPr>
        <w:instrText xml:space="preserve"> HYPERLINK \l _Toc27406 </w:instrText>
      </w:r>
      <w:r>
        <w:rPr>
          <w:rFonts w:hint="eastAsia"/>
          <w:color w:val="auto"/>
        </w:rPr>
        <w:fldChar w:fldCharType="separate"/>
      </w:r>
      <w:r>
        <w:rPr>
          <w:rFonts w:hint="eastAsia"/>
          <w:color w:val="auto"/>
        </w:rPr>
        <w:t>第七章 技术规范</w:t>
      </w:r>
      <w:r>
        <w:rPr>
          <w:color w:val="auto"/>
        </w:rPr>
        <w:tab/>
      </w:r>
      <w:r>
        <w:rPr>
          <w:color w:val="auto"/>
        </w:rPr>
        <w:fldChar w:fldCharType="begin"/>
      </w:r>
      <w:r>
        <w:rPr>
          <w:color w:val="auto"/>
        </w:rPr>
        <w:instrText xml:space="preserve"> PAGEREF _Toc27406 \h </w:instrText>
      </w:r>
      <w:r>
        <w:rPr>
          <w:color w:val="auto"/>
        </w:rPr>
        <w:fldChar w:fldCharType="separate"/>
      </w:r>
      <w:r>
        <w:rPr>
          <w:color w:val="auto"/>
        </w:rPr>
        <w:t>128</w:t>
      </w:r>
      <w:r>
        <w:rPr>
          <w:color w:val="auto"/>
        </w:rPr>
        <w:fldChar w:fldCharType="end"/>
      </w:r>
      <w:r>
        <w:rPr>
          <w:rFonts w:hint="eastAsia"/>
          <w:color w:val="auto"/>
        </w:rPr>
        <w:fldChar w:fldCharType="end"/>
      </w:r>
    </w:p>
    <w:p w14:paraId="132C7D21">
      <w:pPr>
        <w:pStyle w:val="41"/>
        <w:tabs>
          <w:tab w:val="right" w:leader="dot" w:pos="9643"/>
        </w:tabs>
        <w:spacing w:line="700" w:lineRule="exact"/>
        <w:rPr>
          <w:rFonts w:hint="eastAsia"/>
          <w:color w:val="auto"/>
        </w:rPr>
      </w:pPr>
      <w:r>
        <w:rPr>
          <w:rFonts w:hint="eastAsia"/>
          <w:color w:val="auto"/>
        </w:rPr>
        <w:fldChar w:fldCharType="begin"/>
      </w:r>
      <w:r>
        <w:rPr>
          <w:rFonts w:hint="eastAsia"/>
          <w:color w:val="auto"/>
        </w:rPr>
        <w:instrText xml:space="preserve"> HYPERLINK \l _Toc22913 </w:instrText>
      </w:r>
      <w:r>
        <w:rPr>
          <w:rFonts w:hint="eastAsia"/>
          <w:color w:val="auto"/>
        </w:rPr>
        <w:fldChar w:fldCharType="separate"/>
      </w:r>
      <w:r>
        <w:rPr>
          <w:rFonts w:hint="eastAsia"/>
          <w:color w:val="auto"/>
        </w:rPr>
        <w:t>第八章 工程量清单报价说明</w:t>
      </w:r>
      <w:r>
        <w:rPr>
          <w:color w:val="auto"/>
        </w:rPr>
        <w:tab/>
      </w:r>
      <w:r>
        <w:rPr>
          <w:rFonts w:hint="eastAsia"/>
          <w:color w:val="auto"/>
          <w:lang w:val="en-US" w:eastAsia="zh-CN"/>
        </w:rPr>
        <w:t xml:space="preserve">   </w:t>
      </w:r>
      <w:r>
        <w:rPr>
          <w:rFonts w:hint="eastAsia"/>
          <w:color w:val="auto"/>
        </w:rPr>
        <w:fldChar w:fldCharType="end"/>
      </w:r>
      <w:r>
        <w:rPr>
          <w:rFonts w:hint="eastAsia"/>
          <w:color w:val="auto"/>
          <w:lang w:val="en-US" w:eastAsia="zh-CN"/>
        </w:rPr>
        <w:t>133</w:t>
      </w:r>
    </w:p>
    <w:p w14:paraId="25790F1E">
      <w:pPr>
        <w:pStyle w:val="41"/>
        <w:tabs>
          <w:tab w:val="right" w:leader="dot" w:pos="9643"/>
        </w:tabs>
        <w:spacing w:line="700" w:lineRule="exact"/>
        <w:rPr>
          <w:rFonts w:hint="eastAsia"/>
          <w:color w:val="auto"/>
        </w:rPr>
      </w:pPr>
      <w:r>
        <w:rPr>
          <w:rFonts w:hint="eastAsia"/>
          <w:color w:val="auto"/>
        </w:rPr>
        <w:fldChar w:fldCharType="begin"/>
      </w:r>
      <w:r>
        <w:rPr>
          <w:rFonts w:hint="eastAsia"/>
          <w:color w:val="auto"/>
        </w:rPr>
        <w:instrText xml:space="preserve"> HYPERLINK \l _Toc11139 </w:instrText>
      </w:r>
      <w:r>
        <w:rPr>
          <w:rFonts w:hint="eastAsia"/>
          <w:color w:val="auto"/>
        </w:rPr>
        <w:fldChar w:fldCharType="separate"/>
      </w:r>
      <w:r>
        <w:rPr>
          <w:rFonts w:hint="eastAsia"/>
          <w:color w:val="auto"/>
        </w:rPr>
        <w:t>第九章 响应文件格式</w:t>
      </w:r>
      <w:r>
        <w:rPr>
          <w:color w:val="auto"/>
        </w:rPr>
        <w:tab/>
      </w:r>
      <w:r>
        <w:rPr>
          <w:color w:val="auto"/>
        </w:rPr>
        <w:fldChar w:fldCharType="begin"/>
      </w:r>
      <w:r>
        <w:rPr>
          <w:color w:val="auto"/>
        </w:rPr>
        <w:instrText xml:space="preserve"> PAGEREF _Toc11139 \h </w:instrText>
      </w:r>
      <w:r>
        <w:rPr>
          <w:color w:val="auto"/>
        </w:rPr>
        <w:fldChar w:fldCharType="separate"/>
      </w:r>
      <w:r>
        <w:rPr>
          <w:color w:val="auto"/>
        </w:rPr>
        <w:t>134</w:t>
      </w:r>
      <w:r>
        <w:rPr>
          <w:color w:val="auto"/>
        </w:rPr>
        <w:fldChar w:fldCharType="end"/>
      </w:r>
      <w:r>
        <w:rPr>
          <w:rFonts w:hint="eastAsia"/>
          <w:color w:val="auto"/>
        </w:rPr>
        <w:fldChar w:fldCharType="end"/>
      </w:r>
    </w:p>
    <w:p w14:paraId="3238128C">
      <w:pPr>
        <w:pStyle w:val="47"/>
        <w:tabs>
          <w:tab w:val="clear" w:pos="8296"/>
        </w:tabs>
        <w:spacing w:line="700" w:lineRule="exact"/>
        <w:jc w:val="right"/>
        <w:rPr>
          <w:rFonts w:hint="eastAsia"/>
          <w:color w:val="auto"/>
        </w:rPr>
      </w:pPr>
      <w:r>
        <w:rPr>
          <w:rFonts w:hint="eastAsia"/>
          <w:color w:val="auto"/>
        </w:rPr>
        <w:fldChar w:fldCharType="end"/>
      </w:r>
    </w:p>
    <w:p w14:paraId="5985F8DF">
      <w:pPr>
        <w:spacing w:line="400" w:lineRule="exact"/>
        <w:jc w:val="left"/>
        <w:rPr>
          <w:rFonts w:hint="eastAsia" w:ascii="宋体" w:hAnsi="宋体"/>
          <w:b/>
          <w:color w:val="auto"/>
          <w:sz w:val="32"/>
          <w:szCs w:val="32"/>
        </w:rPr>
      </w:pPr>
    </w:p>
    <w:p w14:paraId="680A3890">
      <w:pPr>
        <w:spacing w:line="400" w:lineRule="exact"/>
        <w:jc w:val="center"/>
        <w:rPr>
          <w:rFonts w:hint="eastAsia" w:ascii="宋体" w:hAnsi="宋体"/>
          <w:b/>
          <w:color w:val="auto"/>
          <w:sz w:val="32"/>
          <w:szCs w:val="32"/>
        </w:rPr>
      </w:pPr>
    </w:p>
    <w:p w14:paraId="0AF26E57">
      <w:pPr>
        <w:spacing w:line="400" w:lineRule="exact"/>
        <w:jc w:val="center"/>
        <w:rPr>
          <w:rFonts w:hint="eastAsia" w:ascii="宋体" w:hAnsi="宋体"/>
          <w:b/>
          <w:color w:val="auto"/>
          <w:sz w:val="32"/>
          <w:szCs w:val="32"/>
        </w:rPr>
      </w:pPr>
    </w:p>
    <w:p w14:paraId="78A3D000">
      <w:pPr>
        <w:spacing w:line="400" w:lineRule="exact"/>
        <w:jc w:val="center"/>
        <w:rPr>
          <w:rFonts w:hint="eastAsia" w:ascii="宋体" w:hAnsi="宋体"/>
          <w:b/>
          <w:color w:val="auto"/>
          <w:sz w:val="32"/>
          <w:szCs w:val="32"/>
        </w:rPr>
      </w:pPr>
    </w:p>
    <w:p w14:paraId="482B8712">
      <w:pPr>
        <w:spacing w:line="400" w:lineRule="exact"/>
        <w:jc w:val="center"/>
        <w:rPr>
          <w:rFonts w:hint="eastAsia" w:ascii="宋体" w:hAnsi="宋体"/>
          <w:b/>
          <w:color w:val="auto"/>
          <w:sz w:val="32"/>
          <w:szCs w:val="32"/>
        </w:rPr>
      </w:pPr>
    </w:p>
    <w:p w14:paraId="220356F8">
      <w:pPr>
        <w:spacing w:line="400" w:lineRule="exact"/>
        <w:jc w:val="center"/>
        <w:rPr>
          <w:rFonts w:hint="eastAsia" w:ascii="宋体" w:hAnsi="宋体"/>
          <w:b/>
          <w:color w:val="auto"/>
          <w:sz w:val="32"/>
          <w:szCs w:val="32"/>
        </w:rPr>
      </w:pPr>
    </w:p>
    <w:p w14:paraId="5EC16400">
      <w:pPr>
        <w:spacing w:line="400" w:lineRule="exact"/>
        <w:jc w:val="center"/>
        <w:rPr>
          <w:rFonts w:hint="eastAsia" w:ascii="宋体" w:hAnsi="宋体"/>
          <w:b/>
          <w:color w:val="auto"/>
          <w:sz w:val="32"/>
          <w:szCs w:val="32"/>
        </w:rPr>
      </w:pPr>
    </w:p>
    <w:p w14:paraId="77E7ABC7">
      <w:pPr>
        <w:spacing w:line="400" w:lineRule="exact"/>
        <w:jc w:val="center"/>
        <w:rPr>
          <w:rFonts w:hint="eastAsia" w:ascii="宋体" w:hAnsi="宋体"/>
          <w:b/>
          <w:color w:val="auto"/>
          <w:sz w:val="32"/>
          <w:szCs w:val="32"/>
        </w:rPr>
      </w:pPr>
    </w:p>
    <w:p w14:paraId="63F94A47">
      <w:pPr>
        <w:spacing w:line="400" w:lineRule="exact"/>
        <w:jc w:val="center"/>
        <w:rPr>
          <w:rFonts w:hint="eastAsia" w:ascii="宋体" w:hAnsi="宋体"/>
          <w:b/>
          <w:color w:val="auto"/>
          <w:sz w:val="32"/>
          <w:szCs w:val="32"/>
        </w:rPr>
      </w:pPr>
    </w:p>
    <w:p w14:paraId="5312EB3B">
      <w:pPr>
        <w:spacing w:line="400" w:lineRule="exact"/>
        <w:jc w:val="center"/>
        <w:rPr>
          <w:rFonts w:hint="eastAsia" w:ascii="宋体" w:hAnsi="宋体"/>
          <w:b/>
          <w:color w:val="auto"/>
          <w:sz w:val="32"/>
          <w:szCs w:val="32"/>
        </w:rPr>
      </w:pPr>
    </w:p>
    <w:p w14:paraId="1FEE0D88">
      <w:pPr>
        <w:spacing w:line="400" w:lineRule="exact"/>
        <w:jc w:val="center"/>
        <w:rPr>
          <w:rFonts w:hint="eastAsia" w:ascii="宋体" w:hAnsi="宋体"/>
          <w:b/>
          <w:color w:val="auto"/>
          <w:sz w:val="32"/>
          <w:szCs w:val="32"/>
        </w:rPr>
      </w:pPr>
    </w:p>
    <w:p w14:paraId="66302966">
      <w:pPr>
        <w:spacing w:line="400" w:lineRule="exact"/>
        <w:jc w:val="center"/>
        <w:rPr>
          <w:rFonts w:hint="eastAsia" w:ascii="宋体" w:hAnsi="宋体"/>
          <w:b/>
          <w:color w:val="auto"/>
          <w:sz w:val="32"/>
          <w:szCs w:val="32"/>
        </w:rPr>
      </w:pPr>
    </w:p>
    <w:p w14:paraId="1A53FF0C">
      <w:pPr>
        <w:spacing w:line="400" w:lineRule="exact"/>
        <w:jc w:val="center"/>
        <w:rPr>
          <w:rFonts w:hint="eastAsia" w:ascii="宋体" w:hAnsi="宋体"/>
          <w:b/>
          <w:color w:val="auto"/>
          <w:sz w:val="32"/>
          <w:szCs w:val="32"/>
        </w:rPr>
      </w:pPr>
    </w:p>
    <w:p w14:paraId="002B39F1">
      <w:pPr>
        <w:spacing w:line="400" w:lineRule="exact"/>
        <w:rPr>
          <w:rFonts w:hint="eastAsia" w:ascii="宋体" w:hAnsi="宋体"/>
          <w:b/>
          <w:color w:val="auto"/>
          <w:sz w:val="32"/>
          <w:szCs w:val="32"/>
        </w:rPr>
      </w:pPr>
    </w:p>
    <w:p w14:paraId="734B491F">
      <w:pPr>
        <w:spacing w:line="400" w:lineRule="exact"/>
        <w:jc w:val="center"/>
        <w:rPr>
          <w:rFonts w:hint="eastAsia" w:ascii="宋体" w:hAnsi="宋体"/>
          <w:b/>
          <w:color w:val="auto"/>
          <w:sz w:val="32"/>
          <w:szCs w:val="32"/>
        </w:rPr>
      </w:pPr>
    </w:p>
    <w:p w14:paraId="7DB2F43C">
      <w:pPr>
        <w:pStyle w:val="4"/>
        <w:spacing w:line="400" w:lineRule="exact"/>
        <w:jc w:val="center"/>
        <w:rPr>
          <w:rFonts w:hint="eastAsia" w:ascii="宋体" w:hAnsi="宋体"/>
          <w:color w:val="auto"/>
          <w:sz w:val="32"/>
          <w:szCs w:val="32"/>
        </w:rPr>
      </w:pPr>
      <w:bookmarkStart w:id="0" w:name="_Toc19804"/>
      <w:bookmarkEnd w:id="0"/>
      <w:bookmarkStart w:id="1" w:name="_Toc23801"/>
      <w:bookmarkEnd w:id="1"/>
      <w:r>
        <w:rPr>
          <w:rFonts w:hint="eastAsia" w:ascii="宋体" w:hAnsi="宋体"/>
          <w:color w:val="auto"/>
          <w:sz w:val="32"/>
          <w:szCs w:val="32"/>
        </w:rPr>
        <w:t xml:space="preserve">第一章 </w:t>
      </w:r>
      <w:r>
        <w:rPr>
          <w:rFonts w:hint="eastAsia"/>
          <w:color w:val="auto"/>
          <w:sz w:val="32"/>
          <w:szCs w:val="32"/>
        </w:rPr>
        <w:t>竞争性磋商公告</w:t>
      </w:r>
    </w:p>
    <w:p w14:paraId="6CDBC07D">
      <w:pPr>
        <w:pStyle w:val="4"/>
        <w:spacing w:line="400" w:lineRule="exact"/>
        <w:rPr>
          <w:rFonts w:hint="eastAsia" w:ascii="宋体" w:hAnsi="宋体"/>
          <w:color w:val="auto"/>
          <w:sz w:val="24"/>
          <w:szCs w:val="24"/>
        </w:rPr>
      </w:pPr>
      <w:r>
        <w:rPr>
          <w:rFonts w:hint="eastAsia" w:ascii="宋体" w:hAnsi="宋体"/>
          <w:color w:val="auto"/>
          <w:sz w:val="24"/>
          <w:szCs w:val="24"/>
        </w:rPr>
        <w:t>广西元强建设项目管理有限公司</w:t>
      </w:r>
      <w:r>
        <w:rPr>
          <w:rFonts w:hint="eastAsia" w:ascii="宋体" w:hAnsi="宋体"/>
          <w:color w:val="auto"/>
          <w:sz w:val="24"/>
          <w:szCs w:val="24"/>
          <w:lang w:val="en-US" w:eastAsia="zh-CN"/>
        </w:rPr>
        <w:t>那坡公路养护中心</w:t>
      </w:r>
      <w:r>
        <w:rPr>
          <w:rFonts w:hint="eastAsia" w:ascii="Arial" w:hAnsi="Arial"/>
          <w:color w:val="auto"/>
          <w:sz w:val="24"/>
          <w:szCs w:val="24"/>
          <w:lang w:val="en-US" w:eastAsia="zh-CN"/>
        </w:rPr>
        <w:t>S518线那坡至平孟K23+000~K23+080应急抢通工程</w:t>
      </w:r>
      <w:r>
        <w:rPr>
          <w:rFonts w:hint="eastAsia" w:ascii="宋体" w:hAnsi="宋体"/>
          <w:color w:val="auto"/>
          <w:sz w:val="24"/>
          <w:szCs w:val="24"/>
        </w:rPr>
        <w:t>（项目编号：GXZC2024-C2-</w:t>
      </w:r>
      <w:r>
        <w:rPr>
          <w:rFonts w:ascii="宋体" w:hAnsi="宋体"/>
          <w:color w:val="auto"/>
          <w:sz w:val="24"/>
          <w:szCs w:val="24"/>
        </w:rPr>
        <w:t>00</w:t>
      </w:r>
      <w:r>
        <w:rPr>
          <w:rFonts w:hint="eastAsia" w:ascii="宋体" w:hAnsi="宋体"/>
          <w:color w:val="auto"/>
          <w:sz w:val="24"/>
          <w:szCs w:val="24"/>
          <w:lang w:val="en-US" w:eastAsia="zh-CN"/>
        </w:rPr>
        <w:t xml:space="preserve">5716 </w:t>
      </w:r>
      <w:r>
        <w:rPr>
          <w:rFonts w:hint="eastAsia" w:ascii="宋体" w:hAnsi="宋体"/>
          <w:color w:val="auto"/>
          <w:sz w:val="24"/>
          <w:szCs w:val="24"/>
        </w:rPr>
        <w:t>-GXYQ）竞争性磋商公告</w:t>
      </w:r>
    </w:p>
    <w:p w14:paraId="5B70CC49">
      <w:pPr>
        <w:rPr>
          <w:rFonts w:hint="eastAsia"/>
          <w:color w:val="auto"/>
        </w:rPr>
      </w:pPr>
    </w:p>
    <w:p w14:paraId="379ABE1E">
      <w:pPr>
        <w:pBdr>
          <w:top w:val="single" w:color="auto" w:sz="4" w:space="1"/>
          <w:left w:val="single" w:color="auto" w:sz="4" w:space="4"/>
          <w:bottom w:val="single" w:color="auto" w:sz="4" w:space="1"/>
          <w:right w:val="single" w:color="auto" w:sz="4" w:space="4"/>
        </w:pBdr>
        <w:spacing w:line="240" w:lineRule="auto"/>
        <w:ind w:firstLine="480" w:firstLineChars="200"/>
        <w:rPr>
          <w:rFonts w:hint="eastAsia" w:ascii="宋体" w:hAnsi="宋体"/>
          <w:color w:val="auto"/>
          <w:sz w:val="24"/>
          <w:szCs w:val="24"/>
        </w:rPr>
      </w:pPr>
      <w:r>
        <w:rPr>
          <w:rFonts w:hint="eastAsia" w:ascii="宋体" w:hAnsi="宋体"/>
          <w:color w:val="auto"/>
          <w:sz w:val="24"/>
          <w:szCs w:val="24"/>
        </w:rPr>
        <w:t>项目概况</w:t>
      </w:r>
    </w:p>
    <w:p w14:paraId="1625B49A">
      <w:pPr>
        <w:pBdr>
          <w:top w:val="single" w:color="auto" w:sz="4" w:space="1"/>
          <w:left w:val="single" w:color="auto" w:sz="4" w:space="4"/>
          <w:bottom w:val="single" w:color="auto" w:sz="4" w:space="1"/>
          <w:right w:val="single" w:color="auto" w:sz="4" w:space="4"/>
        </w:pBdr>
        <w:spacing w:line="240" w:lineRule="auto"/>
        <w:ind w:firstLine="480" w:firstLineChars="200"/>
        <w:rPr>
          <w:rFonts w:hint="eastAsia" w:ascii="宋体" w:hAnsi="宋体"/>
          <w:color w:val="auto"/>
          <w:sz w:val="24"/>
          <w:szCs w:val="24"/>
          <w:u w:val="single"/>
        </w:rPr>
      </w:pPr>
      <w:r>
        <w:rPr>
          <w:rFonts w:hint="eastAsia" w:ascii="宋体" w:hAnsi="宋体"/>
          <w:color w:val="auto"/>
          <w:sz w:val="24"/>
          <w:szCs w:val="24"/>
          <w:u w:val="none"/>
        </w:rPr>
        <w:t>广西壮族自治区</w:t>
      </w:r>
      <w:r>
        <w:rPr>
          <w:rFonts w:hint="eastAsia" w:ascii="宋体" w:hAnsi="宋体"/>
          <w:color w:val="auto"/>
          <w:sz w:val="24"/>
          <w:szCs w:val="24"/>
          <w:u w:val="none"/>
          <w:lang w:val="en-US" w:eastAsia="zh-CN"/>
        </w:rPr>
        <w:t>那坡公路养护中心</w:t>
      </w:r>
      <w:r>
        <w:rPr>
          <w:rFonts w:hint="eastAsia" w:ascii="Arial" w:hAnsi="Arial"/>
          <w:color w:val="auto"/>
          <w:sz w:val="24"/>
          <w:szCs w:val="24"/>
          <w:u w:val="none"/>
          <w:lang w:val="en-US" w:eastAsia="zh-CN"/>
        </w:rPr>
        <w:t>S518线那坡至平孟K23+000~K23+080应急抢通工程</w:t>
      </w:r>
      <w:r>
        <w:rPr>
          <w:rFonts w:hint="eastAsia" w:ascii="宋体" w:hAnsi="宋体"/>
          <w:color w:val="auto"/>
          <w:sz w:val="24"/>
          <w:szCs w:val="24"/>
          <w:u w:val="none"/>
        </w:rPr>
        <w:t>项目的潜在供应商应在政府采购云平台（</w:t>
      </w:r>
      <w:r>
        <w:rPr>
          <w:rFonts w:ascii="仿宋" w:hAnsi="仿宋" w:eastAsia="仿宋"/>
          <w:color w:val="auto"/>
          <w:sz w:val="24"/>
          <w:szCs w:val="24"/>
          <w:u w:val="none"/>
        </w:rPr>
        <w:t>https://www</w:t>
      </w:r>
      <w:r>
        <w:rPr>
          <w:rFonts w:ascii="仿宋" w:hAnsi="仿宋" w:eastAsia="仿宋"/>
          <w:color w:val="auto"/>
          <w:sz w:val="24"/>
          <w:szCs w:val="24"/>
        </w:rPr>
        <w:t>.gcy.zfcg.gxzf.gov.cn/</w:t>
      </w:r>
      <w:r>
        <w:rPr>
          <w:rFonts w:hint="eastAsia" w:ascii="仿宋" w:hAnsi="仿宋" w:eastAsia="仿宋"/>
          <w:color w:val="auto"/>
          <w:sz w:val="24"/>
          <w:szCs w:val="24"/>
        </w:rPr>
        <w:t>）</w:t>
      </w:r>
      <w:r>
        <w:rPr>
          <w:rFonts w:hint="eastAsia" w:ascii="宋体" w:hAnsi="宋体"/>
          <w:color w:val="auto"/>
          <w:sz w:val="24"/>
          <w:szCs w:val="24"/>
        </w:rPr>
        <w:t>获取采购文件，并于</w:t>
      </w:r>
      <w:r>
        <w:rPr>
          <w:rFonts w:hint="eastAsia" w:ascii="宋体" w:hAnsi="宋体"/>
          <w:color w:val="auto"/>
          <w:sz w:val="24"/>
          <w:szCs w:val="24"/>
          <w:u w:val="single"/>
        </w:rPr>
        <w:t>2024</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10</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28</w:t>
      </w:r>
      <w:r>
        <w:rPr>
          <w:rFonts w:hint="eastAsia" w:ascii="宋体" w:hAnsi="宋体"/>
          <w:color w:val="auto"/>
          <w:sz w:val="24"/>
          <w:szCs w:val="24"/>
          <w:u w:val="single"/>
        </w:rPr>
        <w:t xml:space="preserve"> </w:t>
      </w:r>
      <w:r>
        <w:rPr>
          <w:rFonts w:hint="eastAsia" w:ascii="宋体" w:hAnsi="宋体"/>
          <w:color w:val="auto"/>
          <w:sz w:val="24"/>
          <w:szCs w:val="24"/>
        </w:rPr>
        <w:t>日</w:t>
      </w:r>
      <w:r>
        <w:rPr>
          <w:rFonts w:ascii="宋体" w:hAnsi="宋体"/>
          <w:color w:val="auto"/>
          <w:sz w:val="24"/>
          <w:szCs w:val="24"/>
          <w:u w:val="single"/>
        </w:rPr>
        <w:t>10</w:t>
      </w:r>
      <w:r>
        <w:rPr>
          <w:rFonts w:hint="eastAsia" w:ascii="宋体" w:hAnsi="宋体"/>
          <w:color w:val="auto"/>
          <w:sz w:val="24"/>
          <w:szCs w:val="24"/>
        </w:rPr>
        <w:t>时</w:t>
      </w:r>
      <w:r>
        <w:rPr>
          <w:rFonts w:ascii="宋体" w:hAnsi="宋体"/>
          <w:color w:val="auto"/>
          <w:sz w:val="24"/>
          <w:szCs w:val="24"/>
          <w:u w:val="single"/>
        </w:rPr>
        <w:t>0</w:t>
      </w:r>
      <w:r>
        <w:rPr>
          <w:rFonts w:hint="eastAsia" w:ascii="宋体" w:hAnsi="宋体"/>
          <w:color w:val="auto"/>
          <w:sz w:val="24"/>
          <w:szCs w:val="24"/>
          <w:u w:val="single"/>
        </w:rPr>
        <w:t>0</w:t>
      </w:r>
      <w:r>
        <w:rPr>
          <w:rFonts w:hint="eastAsia" w:ascii="宋体" w:hAnsi="宋体"/>
          <w:color w:val="auto"/>
          <w:sz w:val="24"/>
          <w:szCs w:val="24"/>
        </w:rPr>
        <w:t>分</w:t>
      </w:r>
      <w:r>
        <w:rPr>
          <w:rFonts w:hint="eastAsia" w:ascii="宋体" w:hAnsi="宋体"/>
          <w:bCs/>
          <w:color w:val="auto"/>
          <w:sz w:val="24"/>
          <w:szCs w:val="24"/>
        </w:rPr>
        <w:t>（北京时间）前提交响应文件</w:t>
      </w:r>
      <w:r>
        <w:rPr>
          <w:rFonts w:hint="eastAsia" w:ascii="宋体" w:hAnsi="宋体"/>
          <w:color w:val="auto"/>
          <w:sz w:val="24"/>
          <w:szCs w:val="24"/>
        </w:rPr>
        <w:t>。</w:t>
      </w:r>
    </w:p>
    <w:p w14:paraId="6151CB9B">
      <w:pPr>
        <w:spacing w:line="240" w:lineRule="auto"/>
        <w:rPr>
          <w:rFonts w:hint="eastAsia"/>
          <w:b/>
          <w:bCs/>
          <w:color w:val="auto"/>
          <w:sz w:val="24"/>
          <w:szCs w:val="24"/>
        </w:rPr>
      </w:pPr>
      <w:r>
        <w:rPr>
          <w:rFonts w:hint="eastAsia"/>
          <w:b/>
          <w:bCs/>
          <w:color w:val="auto"/>
          <w:sz w:val="24"/>
          <w:szCs w:val="24"/>
        </w:rPr>
        <w:t>一、项目基本情况</w:t>
      </w:r>
    </w:p>
    <w:p w14:paraId="7D71B8AF">
      <w:pPr>
        <w:autoSpaceDE w:val="0"/>
        <w:autoSpaceDN w:val="0"/>
        <w:spacing w:line="240" w:lineRule="auto"/>
        <w:ind w:firstLine="480" w:firstLineChars="200"/>
        <w:rPr>
          <w:rFonts w:hint="eastAsia" w:ascii="宋体" w:hAnsi="宋体"/>
          <w:color w:val="auto"/>
          <w:sz w:val="24"/>
          <w:szCs w:val="24"/>
        </w:rPr>
      </w:pPr>
      <w:r>
        <w:rPr>
          <w:rFonts w:hint="eastAsia" w:ascii="宋体" w:hAnsi="宋体"/>
          <w:color w:val="auto"/>
          <w:sz w:val="24"/>
          <w:szCs w:val="24"/>
        </w:rPr>
        <w:t>1.项目编号：GXZC2024-C2-</w:t>
      </w:r>
      <w:r>
        <w:rPr>
          <w:rFonts w:ascii="宋体" w:hAnsi="宋体"/>
          <w:color w:val="auto"/>
          <w:sz w:val="24"/>
          <w:szCs w:val="24"/>
        </w:rPr>
        <w:t>00</w:t>
      </w:r>
      <w:r>
        <w:rPr>
          <w:rFonts w:hint="eastAsia" w:ascii="宋体" w:hAnsi="宋体"/>
          <w:color w:val="auto"/>
          <w:sz w:val="24"/>
          <w:szCs w:val="24"/>
          <w:lang w:val="en-US" w:eastAsia="zh-CN"/>
        </w:rPr>
        <w:t xml:space="preserve">5716 </w:t>
      </w:r>
      <w:r>
        <w:rPr>
          <w:rFonts w:hint="eastAsia" w:ascii="宋体" w:hAnsi="宋体"/>
          <w:color w:val="auto"/>
          <w:sz w:val="24"/>
          <w:szCs w:val="24"/>
        </w:rPr>
        <w:t>-GXYQ</w:t>
      </w:r>
    </w:p>
    <w:p w14:paraId="76B13235">
      <w:pPr>
        <w:autoSpaceDE w:val="0"/>
        <w:autoSpaceDN w:val="0"/>
        <w:spacing w:line="240" w:lineRule="auto"/>
        <w:ind w:firstLine="480" w:firstLineChars="200"/>
        <w:rPr>
          <w:rFonts w:hint="eastAsia" w:ascii="宋体" w:hAnsi="宋体"/>
          <w:color w:val="auto"/>
          <w:sz w:val="24"/>
          <w:szCs w:val="24"/>
        </w:rPr>
      </w:pPr>
      <w:r>
        <w:rPr>
          <w:rFonts w:hint="eastAsia" w:ascii="宋体" w:hAnsi="宋体"/>
          <w:color w:val="auto"/>
          <w:sz w:val="24"/>
          <w:szCs w:val="24"/>
        </w:rPr>
        <w:t>2.项目名称：</w:t>
      </w:r>
      <w:r>
        <w:rPr>
          <w:rFonts w:hint="eastAsia" w:ascii="宋体" w:hAnsi="宋体"/>
          <w:color w:val="auto"/>
          <w:sz w:val="24"/>
          <w:szCs w:val="24"/>
          <w:lang w:val="en-US" w:eastAsia="zh-CN"/>
        </w:rPr>
        <w:t>那坡公路养护中心</w:t>
      </w:r>
      <w:r>
        <w:rPr>
          <w:rFonts w:hint="eastAsia" w:ascii="Arial" w:hAnsi="Arial"/>
          <w:color w:val="auto"/>
          <w:sz w:val="24"/>
          <w:szCs w:val="24"/>
          <w:lang w:val="en-US" w:eastAsia="zh-CN"/>
        </w:rPr>
        <w:t>S518线那坡至平孟K23+000~K23+080应急抢通工程</w:t>
      </w:r>
    </w:p>
    <w:p w14:paraId="4026B479">
      <w:pPr>
        <w:autoSpaceDE w:val="0"/>
        <w:autoSpaceDN w:val="0"/>
        <w:spacing w:line="240" w:lineRule="auto"/>
        <w:ind w:firstLine="480" w:firstLineChars="200"/>
        <w:rPr>
          <w:rFonts w:hint="eastAsia" w:ascii="宋体" w:hAnsi="宋体"/>
          <w:color w:val="auto"/>
          <w:sz w:val="24"/>
          <w:szCs w:val="24"/>
        </w:rPr>
      </w:pPr>
      <w:r>
        <w:rPr>
          <w:rFonts w:hint="eastAsia" w:ascii="宋体" w:hAnsi="宋体"/>
          <w:color w:val="auto"/>
          <w:sz w:val="24"/>
          <w:szCs w:val="24"/>
        </w:rPr>
        <w:t>3.采购方式：竞争性磋商</w:t>
      </w:r>
      <w:r>
        <w:rPr>
          <w:rFonts w:hint="eastAsia" w:ascii="宋体" w:hAnsi="宋体"/>
          <w:color w:val="auto"/>
          <w:sz w:val="24"/>
          <w:szCs w:val="24"/>
        </w:rPr>
        <w:tab/>
      </w:r>
      <w:r>
        <w:rPr>
          <w:rFonts w:hint="eastAsia" w:ascii="宋体" w:hAnsi="宋体"/>
          <w:color w:val="auto"/>
          <w:sz w:val="24"/>
          <w:szCs w:val="24"/>
        </w:rPr>
        <w:t xml:space="preserve">  </w:t>
      </w:r>
    </w:p>
    <w:p w14:paraId="18F03D15">
      <w:pPr>
        <w:autoSpaceDE w:val="0"/>
        <w:autoSpaceDN w:val="0"/>
        <w:spacing w:line="240" w:lineRule="auto"/>
        <w:ind w:firstLine="480" w:firstLineChars="200"/>
        <w:rPr>
          <w:rFonts w:hint="eastAsia" w:ascii="宋体" w:hAnsi="宋体"/>
          <w:color w:val="auto"/>
          <w:sz w:val="24"/>
          <w:szCs w:val="24"/>
        </w:rPr>
      </w:pPr>
      <w:r>
        <w:rPr>
          <w:rFonts w:hint="eastAsia" w:ascii="宋体" w:hAnsi="宋体"/>
          <w:color w:val="auto"/>
          <w:sz w:val="24"/>
          <w:szCs w:val="24"/>
        </w:rPr>
        <w:t>4.最高限价</w:t>
      </w:r>
      <w:r>
        <w:rPr>
          <w:rFonts w:hint="eastAsia" w:ascii="宋体" w:hAnsi="宋体"/>
          <w:color w:val="auto"/>
          <w:sz w:val="24"/>
          <w:szCs w:val="24"/>
          <w:lang w:eastAsia="zh-CN"/>
        </w:rPr>
        <w:t>：</w:t>
      </w:r>
      <w:r>
        <w:rPr>
          <w:rFonts w:hint="eastAsia" w:ascii="宋体" w:hAnsi="宋体"/>
          <w:color w:val="auto"/>
          <w:szCs w:val="21"/>
          <w:lang w:val="en-US" w:eastAsia="zh-CN"/>
        </w:rPr>
        <w:t>188.558511</w:t>
      </w:r>
      <w:r>
        <w:rPr>
          <w:rFonts w:hint="eastAsia" w:ascii="宋体" w:hAnsi="宋体"/>
          <w:color w:val="auto"/>
          <w:sz w:val="24"/>
          <w:szCs w:val="24"/>
        </w:rPr>
        <w:t>万元</w:t>
      </w:r>
    </w:p>
    <w:p w14:paraId="15FFE43E">
      <w:pPr>
        <w:autoSpaceDE w:val="0"/>
        <w:autoSpaceDN w:val="0"/>
        <w:spacing w:line="24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5：</w:t>
      </w:r>
      <w:r>
        <w:rPr>
          <w:rFonts w:hint="eastAsia" w:ascii="宋体" w:hAnsi="宋体"/>
          <w:color w:val="auto"/>
          <w:sz w:val="24"/>
          <w:szCs w:val="24"/>
        </w:rPr>
        <w:t>采购需求：</w:t>
      </w:r>
      <w:r>
        <w:rPr>
          <w:rFonts w:ascii="宋体" w:hAnsi="宋体" w:eastAsia="宋体"/>
          <w:color w:val="auto"/>
          <w:sz w:val="24"/>
          <w:szCs w:val="24"/>
        </w:rPr>
        <w:t xml:space="preserve">本项目 </w:t>
      </w:r>
      <w:r>
        <w:rPr>
          <w:rFonts w:hint="eastAsia" w:ascii="宋体" w:hAnsi="宋体"/>
          <w:color w:val="auto"/>
          <w:sz w:val="24"/>
          <w:szCs w:val="24"/>
          <w:lang w:val="en-US" w:eastAsia="zh-CN"/>
        </w:rPr>
        <w:t>那坡公路养护中心</w:t>
      </w:r>
      <w:r>
        <w:rPr>
          <w:rFonts w:hint="eastAsia" w:ascii="Arial" w:hAnsi="Arial"/>
          <w:color w:val="auto"/>
          <w:sz w:val="24"/>
          <w:szCs w:val="24"/>
          <w:lang w:val="en-US" w:eastAsia="zh-CN"/>
        </w:rPr>
        <w:t>S518线那坡至平孟K23+000~K23+080应急抢通工程</w:t>
      </w:r>
      <w:r>
        <w:rPr>
          <w:rFonts w:ascii="宋体" w:hAnsi="宋体" w:eastAsia="宋体"/>
          <w:color w:val="auto"/>
          <w:sz w:val="24"/>
          <w:szCs w:val="24"/>
        </w:rPr>
        <w:t>为</w:t>
      </w:r>
      <w:r>
        <w:rPr>
          <w:rFonts w:hint="eastAsia" w:ascii="宋体" w:hAnsi="宋体"/>
          <w:color w:val="auto"/>
          <w:sz w:val="24"/>
          <w:szCs w:val="24"/>
          <w:lang w:val="en-US" w:eastAsia="zh-CN"/>
        </w:rPr>
        <w:t>省</w:t>
      </w:r>
      <w:r>
        <w:rPr>
          <w:rFonts w:ascii="宋体" w:hAnsi="宋体" w:eastAsia="宋体"/>
          <w:color w:val="auto"/>
          <w:sz w:val="24"/>
          <w:szCs w:val="24"/>
        </w:rPr>
        <w:t>道 S518 那坡至平孟</w:t>
      </w:r>
      <w:r>
        <w:rPr>
          <w:rFonts w:hint="eastAsia" w:ascii="宋体" w:hAnsi="宋体"/>
          <w:color w:val="auto"/>
          <w:sz w:val="24"/>
          <w:szCs w:val="24"/>
          <w:lang w:val="en-US" w:eastAsia="zh-CN"/>
        </w:rPr>
        <w:t>二级</w:t>
      </w:r>
      <w:r>
        <w:rPr>
          <w:rFonts w:ascii="宋体" w:hAnsi="宋体" w:eastAsia="宋体"/>
          <w:color w:val="auto"/>
          <w:sz w:val="24"/>
          <w:szCs w:val="24"/>
        </w:rPr>
        <w:t>公路内的一</w:t>
      </w:r>
      <w:r>
        <w:rPr>
          <w:rFonts w:hint="eastAsia" w:ascii="宋体" w:hAnsi="宋体"/>
          <w:color w:val="auto"/>
          <w:sz w:val="24"/>
          <w:szCs w:val="24"/>
          <w:lang w:val="en-US" w:eastAsia="zh-CN"/>
        </w:rPr>
        <w:t>个路</w:t>
      </w:r>
      <w:r>
        <w:rPr>
          <w:rFonts w:ascii="宋体" w:hAnsi="宋体" w:eastAsia="宋体"/>
          <w:color w:val="auto"/>
          <w:sz w:val="24"/>
          <w:szCs w:val="24"/>
        </w:rPr>
        <w:t>段。起点位于那坡县S518线桩号K23+000 处，终点位于那坡县S518 线桩号K23+080处，工程路线全长 0.080km。</w:t>
      </w:r>
      <w:r>
        <w:rPr>
          <w:rFonts w:hint="eastAsia" w:ascii="宋体" w:hAnsi="宋体"/>
          <w:color w:val="auto"/>
          <w:sz w:val="24"/>
          <w:szCs w:val="24"/>
        </w:rPr>
        <w:t>工程内容包括：</w:t>
      </w:r>
      <w:r>
        <w:rPr>
          <w:rFonts w:hint="eastAsia" w:ascii="宋体" w:hAnsi="宋体"/>
          <w:color w:val="auto"/>
          <w:sz w:val="24"/>
          <w:szCs w:val="24"/>
          <w:lang w:val="en-US" w:eastAsia="zh-CN"/>
        </w:rPr>
        <w:t>混凝土挡土墙及镀高尔凡格宾挡墙加固、开挖路基垮塌路段并回填、新建圆管涵、恢复路面等</w:t>
      </w:r>
      <w:r>
        <w:rPr>
          <w:rFonts w:hint="eastAsia" w:ascii="宋体" w:hAnsi="宋体"/>
          <w:color w:val="auto"/>
          <w:sz w:val="24"/>
          <w:szCs w:val="24"/>
        </w:rPr>
        <w:t>，</w:t>
      </w:r>
      <w:r>
        <w:rPr>
          <w:rFonts w:hint="eastAsia" w:ascii="宋体" w:hAnsi="宋体"/>
          <w:color w:val="auto"/>
          <w:sz w:val="24"/>
          <w:szCs w:val="24"/>
          <w:lang w:val="en-US" w:eastAsia="zh-CN"/>
        </w:rPr>
        <w:t>具体内容及</w:t>
      </w:r>
      <w:r>
        <w:rPr>
          <w:rFonts w:hint="eastAsia" w:ascii="宋体" w:hAnsi="宋体"/>
          <w:color w:val="auto"/>
          <w:sz w:val="24"/>
          <w:szCs w:val="24"/>
        </w:rPr>
        <w:t>技术指标以该工程项目施工设计图纸及工程量清单为准。</w:t>
      </w:r>
    </w:p>
    <w:p w14:paraId="09E1D308">
      <w:pPr>
        <w:autoSpaceDE w:val="0"/>
        <w:autoSpaceDN w:val="0"/>
        <w:spacing w:line="24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6：</w:t>
      </w:r>
      <w:r>
        <w:rPr>
          <w:rFonts w:hint="eastAsia" w:ascii="宋体" w:hAnsi="宋体"/>
          <w:color w:val="auto"/>
          <w:sz w:val="24"/>
          <w:szCs w:val="24"/>
        </w:rPr>
        <w:t>合同履行期限：</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45</w:t>
      </w:r>
      <w:r>
        <w:rPr>
          <w:rFonts w:hint="eastAsia" w:ascii="宋体" w:hAnsi="宋体"/>
          <w:color w:val="auto"/>
          <w:sz w:val="24"/>
          <w:szCs w:val="24"/>
          <w:u w:val="single"/>
        </w:rPr>
        <w:t xml:space="preserve">  </w:t>
      </w:r>
      <w:r>
        <w:rPr>
          <w:rFonts w:hint="eastAsia" w:ascii="宋体" w:hAnsi="宋体"/>
          <w:color w:val="auto"/>
          <w:sz w:val="24"/>
          <w:szCs w:val="24"/>
        </w:rPr>
        <w:t>日历天，自合同签订日起计。</w:t>
      </w:r>
    </w:p>
    <w:p w14:paraId="04C66606">
      <w:pPr>
        <w:autoSpaceDE w:val="0"/>
        <w:autoSpaceDN w:val="0"/>
        <w:spacing w:line="240" w:lineRule="auto"/>
        <w:ind w:firstLine="480" w:firstLineChars="200"/>
        <w:rPr>
          <w:rFonts w:hint="eastAsia" w:ascii="宋体" w:hAnsi="宋体"/>
          <w:color w:val="auto"/>
          <w:sz w:val="24"/>
          <w:szCs w:val="24"/>
        </w:rPr>
      </w:pPr>
      <w:r>
        <w:rPr>
          <w:rFonts w:hint="eastAsia" w:ascii="宋体" w:hAnsi="宋体"/>
          <w:color w:val="auto"/>
          <w:sz w:val="24"/>
          <w:szCs w:val="24"/>
        </w:rPr>
        <w:t>本项目是否接受联合体：</w:t>
      </w:r>
      <w:r>
        <w:rPr>
          <w:rFonts w:hint="eastAsia" w:ascii="宋体" w:hAnsi="宋体"/>
          <w:b/>
          <w:color w:val="auto"/>
          <w:sz w:val="24"/>
          <w:szCs w:val="24"/>
        </w:rPr>
        <w:t>否</w:t>
      </w:r>
      <w:r>
        <w:rPr>
          <w:rFonts w:hint="eastAsia" w:ascii="宋体" w:hAnsi="宋体"/>
          <w:color w:val="auto"/>
          <w:sz w:val="24"/>
          <w:szCs w:val="24"/>
        </w:rPr>
        <w:t>。</w:t>
      </w:r>
    </w:p>
    <w:p w14:paraId="2F39AE1A">
      <w:pPr>
        <w:spacing w:line="240" w:lineRule="auto"/>
        <w:ind w:firstLine="241" w:firstLineChars="100"/>
        <w:rPr>
          <w:rFonts w:hint="eastAsia"/>
          <w:b/>
          <w:bCs/>
          <w:color w:val="auto"/>
          <w:sz w:val="24"/>
          <w:szCs w:val="24"/>
        </w:rPr>
      </w:pPr>
      <w:r>
        <w:rPr>
          <w:rFonts w:hint="eastAsia"/>
          <w:b/>
          <w:bCs/>
          <w:color w:val="auto"/>
          <w:sz w:val="24"/>
          <w:szCs w:val="24"/>
        </w:rPr>
        <w:t>二、申请人的资格要求：</w:t>
      </w:r>
    </w:p>
    <w:p w14:paraId="7EEE5CD1">
      <w:pPr>
        <w:autoSpaceDE w:val="0"/>
        <w:autoSpaceDN w:val="0"/>
        <w:spacing w:line="240" w:lineRule="auto"/>
        <w:ind w:firstLine="480" w:firstLineChars="200"/>
        <w:rPr>
          <w:rFonts w:hint="eastAsia" w:ascii="宋体" w:hAnsi="宋体"/>
          <w:color w:val="auto"/>
          <w:sz w:val="24"/>
          <w:szCs w:val="24"/>
          <w:lang w:bidi="zh-CN"/>
        </w:rPr>
      </w:pPr>
      <w:r>
        <w:rPr>
          <w:rFonts w:hint="eastAsia" w:ascii="宋体" w:hAnsi="宋体"/>
          <w:color w:val="auto"/>
          <w:sz w:val="24"/>
          <w:szCs w:val="24"/>
          <w:lang w:bidi="zh-CN"/>
        </w:rPr>
        <w:t>1.</w:t>
      </w:r>
      <w:r>
        <w:rPr>
          <w:rFonts w:hint="eastAsia" w:ascii="宋体" w:hAnsi="宋体"/>
          <w:color w:val="auto"/>
          <w:sz w:val="24"/>
          <w:szCs w:val="24"/>
          <w:lang w:val="zh-CN" w:bidi="zh-CN"/>
        </w:rPr>
        <w:t>满足《中华人民共和国政府采购法》第二十二条规定；</w:t>
      </w:r>
    </w:p>
    <w:p w14:paraId="09FDA160">
      <w:pPr>
        <w:autoSpaceDE w:val="0"/>
        <w:autoSpaceDN w:val="0"/>
        <w:spacing w:line="240" w:lineRule="auto"/>
        <w:ind w:firstLine="480" w:firstLineChars="200"/>
        <w:rPr>
          <w:rFonts w:hint="eastAsia" w:ascii="宋体" w:hAnsi="宋体"/>
          <w:color w:val="auto"/>
          <w:sz w:val="24"/>
          <w:szCs w:val="24"/>
          <w:lang w:bidi="zh-CN"/>
        </w:rPr>
      </w:pPr>
      <w:r>
        <w:rPr>
          <w:rFonts w:hint="eastAsia" w:ascii="宋体" w:hAnsi="宋体"/>
          <w:color w:val="auto"/>
          <w:sz w:val="24"/>
          <w:szCs w:val="24"/>
          <w:lang w:bidi="zh-CN"/>
        </w:rPr>
        <w:t>2.</w:t>
      </w:r>
      <w:r>
        <w:rPr>
          <w:rFonts w:hint="eastAsia" w:ascii="宋体" w:hAnsi="宋体"/>
          <w:color w:val="auto"/>
          <w:sz w:val="24"/>
          <w:szCs w:val="24"/>
          <w:lang w:val="zh-CN" w:bidi="zh-CN"/>
        </w:rPr>
        <w:t>落实政府采购政策需满足的资格要求：本项目专门面向</w:t>
      </w:r>
      <w:r>
        <w:rPr>
          <w:rFonts w:hint="eastAsia" w:ascii="宋体" w:hAnsi="宋体"/>
          <w:color w:val="auto"/>
          <w:sz w:val="24"/>
          <w:szCs w:val="24"/>
          <w:lang w:bidi="zh-CN"/>
        </w:rPr>
        <w:t>中</w:t>
      </w:r>
      <w:r>
        <w:rPr>
          <w:rFonts w:hint="eastAsia" w:ascii="宋体" w:hAnsi="宋体"/>
          <w:color w:val="auto"/>
          <w:sz w:val="24"/>
          <w:szCs w:val="24"/>
          <w:lang w:val="zh-CN" w:bidi="zh-CN"/>
        </w:rPr>
        <w:t>小企业采购（供应商应为</w:t>
      </w:r>
      <w:r>
        <w:rPr>
          <w:rFonts w:hint="eastAsia" w:ascii="宋体" w:hAnsi="宋体"/>
          <w:color w:val="auto"/>
          <w:sz w:val="24"/>
          <w:szCs w:val="24"/>
          <w:lang w:bidi="zh-CN"/>
        </w:rPr>
        <w:t>中</w:t>
      </w:r>
      <w:r>
        <w:rPr>
          <w:rFonts w:hint="eastAsia" w:ascii="宋体" w:hAnsi="宋体"/>
          <w:color w:val="auto"/>
          <w:sz w:val="24"/>
          <w:szCs w:val="24"/>
          <w:lang w:val="zh-CN" w:bidi="zh-CN"/>
        </w:rPr>
        <w:t>小企业）；</w:t>
      </w:r>
    </w:p>
    <w:p w14:paraId="64BF9EB2">
      <w:pPr>
        <w:autoSpaceDE w:val="0"/>
        <w:autoSpaceDN w:val="0"/>
        <w:spacing w:line="240" w:lineRule="auto"/>
        <w:ind w:firstLine="480" w:firstLineChars="200"/>
        <w:rPr>
          <w:rFonts w:hint="eastAsia" w:ascii="宋体" w:hAnsi="宋体"/>
          <w:color w:val="auto"/>
          <w:sz w:val="24"/>
          <w:szCs w:val="24"/>
          <w:lang w:bidi="zh-CN"/>
        </w:rPr>
      </w:pPr>
      <w:r>
        <w:rPr>
          <w:rFonts w:hint="eastAsia" w:ascii="宋体" w:hAnsi="宋体"/>
          <w:color w:val="auto"/>
          <w:sz w:val="24"/>
          <w:szCs w:val="24"/>
          <w:lang w:bidi="zh-CN"/>
        </w:rPr>
        <w:t>3.</w:t>
      </w:r>
      <w:r>
        <w:rPr>
          <w:rFonts w:hint="eastAsia" w:ascii="宋体" w:hAnsi="宋体"/>
          <w:color w:val="auto"/>
          <w:sz w:val="24"/>
          <w:szCs w:val="24"/>
          <w:lang w:val="zh-CN" w:bidi="zh-CN"/>
        </w:rPr>
        <w:t>本项目的特定资格要求：</w:t>
      </w:r>
    </w:p>
    <w:p w14:paraId="5EE5AAB2">
      <w:pPr>
        <w:autoSpaceDE w:val="0"/>
        <w:autoSpaceDN w:val="0"/>
        <w:spacing w:line="240" w:lineRule="auto"/>
        <w:ind w:firstLine="480" w:firstLineChars="200"/>
        <w:rPr>
          <w:rFonts w:hint="eastAsia" w:ascii="宋体" w:hAnsi="宋体"/>
          <w:color w:val="auto"/>
          <w:sz w:val="24"/>
          <w:szCs w:val="24"/>
          <w:lang w:val="zh-CN" w:bidi="zh-CN"/>
        </w:rPr>
      </w:pPr>
      <w:r>
        <w:rPr>
          <w:rFonts w:hint="eastAsia" w:ascii="宋体" w:hAnsi="宋体"/>
          <w:color w:val="auto"/>
          <w:sz w:val="24"/>
          <w:szCs w:val="24"/>
          <w:lang w:val="zh-CN" w:bidi="zh-CN"/>
        </w:rPr>
        <w:t>资质要求：具有省级或以上建设行政主管部门颁发的建筑施工企业安全生产许可证，并在人员、设备、资金等方面具有相应的施工能力。供应商资质应满足以下条件：</w:t>
      </w:r>
      <w:r>
        <w:rPr>
          <w:rFonts w:hint="eastAsia" w:ascii="宋体" w:hAnsi="宋体" w:eastAsia="宋体"/>
          <w:color w:val="auto"/>
          <w:sz w:val="24"/>
          <w:szCs w:val="24"/>
        </w:rPr>
        <w:t>具备有效的路基路面养护乙级以上（含乙级）资质，同时具备交通安全设施养护资质。</w:t>
      </w:r>
      <w:r>
        <w:rPr>
          <w:rFonts w:hint="eastAsia" w:ascii="宋体" w:hAnsi="宋体" w:eastAsia="宋体"/>
          <w:color w:val="auto"/>
          <w:sz w:val="24"/>
          <w:szCs w:val="24"/>
          <w:lang w:val="zh-CN" w:bidi="zh-CN"/>
        </w:rPr>
        <w:t>其中</w:t>
      </w:r>
      <w:r>
        <w:rPr>
          <w:rFonts w:hint="eastAsia" w:ascii="宋体" w:hAnsi="宋体"/>
          <w:color w:val="auto"/>
          <w:sz w:val="24"/>
          <w:szCs w:val="24"/>
          <w:lang w:val="zh-CN" w:bidi="zh-CN"/>
        </w:rPr>
        <w:t>供应商拟派项目经理</w:t>
      </w:r>
      <w:r>
        <w:rPr>
          <w:rFonts w:hint="eastAsia" w:ascii="宋体" w:hAnsi="宋体"/>
          <w:color w:val="auto"/>
          <w:sz w:val="24"/>
          <w:szCs w:val="24"/>
          <w:lang w:val="en-US" w:bidi="zh-CN"/>
        </w:rPr>
        <w:t>应</w:t>
      </w:r>
      <w:r>
        <w:rPr>
          <w:rFonts w:hint="eastAsia" w:ascii="宋体" w:hAnsi="宋体"/>
          <w:color w:val="auto"/>
          <w:sz w:val="24"/>
          <w:szCs w:val="24"/>
          <w:lang w:val="zh-CN" w:bidi="zh-CN"/>
        </w:rPr>
        <w:t>具有公路工程专业贰级(含)以上专业注册建造师执业资格，具备有效的安全生产考核合格证书（B类），必须是在本单位的在职人员。本项目只接受</w:t>
      </w:r>
      <w:r>
        <w:rPr>
          <w:rFonts w:hint="eastAsia" w:ascii="宋体" w:hAnsi="宋体"/>
          <w:color w:val="auto"/>
          <w:sz w:val="24"/>
          <w:szCs w:val="24"/>
          <w:lang w:bidi="zh-CN"/>
        </w:rPr>
        <w:t>无在岗项目</w:t>
      </w:r>
      <w:r>
        <w:rPr>
          <w:rFonts w:hint="eastAsia" w:ascii="宋体" w:hAnsi="宋体"/>
          <w:color w:val="auto"/>
          <w:sz w:val="24"/>
          <w:szCs w:val="24"/>
          <w:lang w:val="zh-CN" w:bidi="zh-CN"/>
        </w:rPr>
        <w:t>的建造师作为项目经理。（</w:t>
      </w:r>
      <w:r>
        <w:rPr>
          <w:rFonts w:hint="eastAsia" w:ascii="宋体" w:hAnsi="宋体"/>
          <w:color w:val="auto"/>
          <w:sz w:val="24"/>
          <w:szCs w:val="24"/>
          <w:lang w:bidi="zh-CN"/>
        </w:rPr>
        <w:t xml:space="preserve">无在岗项目：指目前未在其他项目上任职，或虽在其他项目上任职但本项目中标后能够履约)     </w:t>
      </w:r>
    </w:p>
    <w:p w14:paraId="1917DE36">
      <w:pPr>
        <w:widowControl/>
        <w:spacing w:before="270" w:after="270" w:line="240" w:lineRule="auto"/>
        <w:jc w:val="left"/>
        <w:rPr>
          <w:rFonts w:hint="eastAsia" w:ascii="宋体" w:hAnsi="宋体"/>
          <w:color w:val="auto"/>
          <w:sz w:val="24"/>
          <w:szCs w:val="24"/>
          <w:lang w:val="en-US" w:bidi="zh-CN"/>
        </w:rPr>
      </w:pPr>
      <w:r>
        <w:rPr>
          <w:rFonts w:hint="eastAsia" w:ascii="宋体" w:hAnsi="宋体"/>
          <w:color w:val="auto"/>
          <w:sz w:val="24"/>
          <w:szCs w:val="24"/>
          <w:lang w:val="en-US" w:bidi="zh-CN"/>
        </w:rPr>
        <w:t>4.</w:t>
      </w:r>
      <w:r>
        <w:rPr>
          <w:rFonts w:hint="eastAsia" w:ascii="宋体" w:hAnsi="宋体"/>
          <w:color w:val="auto"/>
          <w:sz w:val="24"/>
          <w:szCs w:val="24"/>
          <w:lang w:bidi="zh-CN"/>
        </w:rPr>
        <w:t xml:space="preserve"> 业绩要求：</w:t>
      </w:r>
      <w:r>
        <w:rPr>
          <w:rFonts w:hint="eastAsia"/>
          <w:color w:val="auto"/>
        </w:rPr>
        <w:t>最近</w:t>
      </w:r>
      <w:r>
        <w:rPr>
          <w:rFonts w:ascii="宋体" w:hAnsi="宋体" w:cs="宋体"/>
          <w:color w:val="auto"/>
          <w:kern w:val="0"/>
          <w:sz w:val="24"/>
          <w:szCs w:val="24"/>
        </w:rPr>
        <w:t>5年中（所完成的项目的交竣工验收时间在201</w:t>
      </w:r>
      <w:r>
        <w:rPr>
          <w:rFonts w:hint="eastAsia" w:ascii="宋体" w:hAnsi="宋体" w:cs="宋体"/>
          <w:color w:val="auto"/>
          <w:kern w:val="0"/>
          <w:sz w:val="24"/>
          <w:szCs w:val="24"/>
        </w:rPr>
        <w:t>9</w:t>
      </w:r>
      <w:r>
        <w:rPr>
          <w:rFonts w:ascii="宋体" w:hAnsi="宋体" w:cs="宋体"/>
          <w:color w:val="auto"/>
          <w:kern w:val="0"/>
          <w:sz w:val="24"/>
          <w:szCs w:val="24"/>
        </w:rPr>
        <w:t>年</w:t>
      </w:r>
      <w:r>
        <w:rPr>
          <w:rFonts w:hint="eastAsia" w:ascii="宋体" w:hAnsi="宋体" w:cs="宋体"/>
          <w:color w:val="auto"/>
          <w:kern w:val="0"/>
          <w:sz w:val="24"/>
          <w:szCs w:val="24"/>
          <w:lang w:val="en-US" w:eastAsia="zh-CN"/>
        </w:rPr>
        <w:t>9</w:t>
      </w:r>
      <w:r>
        <w:rPr>
          <w:rFonts w:ascii="宋体" w:hAnsi="宋体" w:cs="宋体"/>
          <w:color w:val="auto"/>
          <w:kern w:val="0"/>
          <w:sz w:val="24"/>
          <w:szCs w:val="24"/>
        </w:rPr>
        <w:t>月1日之后）</w:t>
      </w:r>
      <w:r>
        <w:rPr>
          <w:rFonts w:hint="eastAsia" w:ascii="宋体" w:hAnsi="宋体" w:cs="宋体"/>
          <w:color w:val="auto"/>
          <w:kern w:val="0"/>
          <w:sz w:val="24"/>
          <w:szCs w:val="24"/>
        </w:rPr>
        <w:t>至少</w:t>
      </w:r>
      <w:r>
        <w:rPr>
          <w:rFonts w:ascii="宋体" w:hAnsi="宋体" w:cs="宋体"/>
          <w:color w:val="auto"/>
          <w:kern w:val="0"/>
          <w:sz w:val="24"/>
          <w:szCs w:val="24"/>
        </w:rPr>
        <w:t>成功</w:t>
      </w:r>
      <w:r>
        <w:rPr>
          <w:rFonts w:hint="eastAsia" w:ascii="宋体" w:hAnsi="宋体" w:cs="宋体"/>
          <w:color w:val="auto"/>
          <w:kern w:val="0"/>
          <w:sz w:val="24"/>
          <w:szCs w:val="24"/>
          <w:lang w:val="en-US" w:eastAsia="zh-CN"/>
        </w:rPr>
        <w:t>完成</w:t>
      </w:r>
      <w:r>
        <w:rPr>
          <w:rFonts w:ascii="宋体" w:hAnsi="宋体" w:cs="宋体"/>
          <w:color w:val="auto"/>
          <w:kern w:val="0"/>
          <w:sz w:val="24"/>
          <w:szCs w:val="24"/>
        </w:rPr>
        <w:t>过一个</w:t>
      </w:r>
      <w:r>
        <w:rPr>
          <w:rFonts w:hint="eastAsia" w:ascii="宋体" w:hAnsi="宋体" w:cs="宋体"/>
          <w:color w:val="auto"/>
          <w:kern w:val="0"/>
          <w:sz w:val="24"/>
          <w:szCs w:val="24"/>
          <w:lang w:val="en-US" w:eastAsia="zh-CN"/>
        </w:rPr>
        <w:t>150</w:t>
      </w:r>
      <w:r>
        <w:rPr>
          <w:rFonts w:ascii="宋体" w:hAnsi="宋体" w:cs="宋体"/>
          <w:color w:val="auto"/>
          <w:kern w:val="0"/>
          <w:sz w:val="24"/>
          <w:szCs w:val="24"/>
        </w:rPr>
        <w:t>万元（或以上）公路路面养护工程施工</w:t>
      </w:r>
      <w:r>
        <w:rPr>
          <w:rFonts w:hint="eastAsia" w:ascii="宋体" w:hAnsi="宋体" w:cs="宋体"/>
          <w:color w:val="auto"/>
          <w:kern w:val="0"/>
          <w:sz w:val="24"/>
          <w:szCs w:val="24"/>
          <w:lang w:val="en-US" w:eastAsia="zh-CN"/>
        </w:rPr>
        <w:t>.</w:t>
      </w:r>
      <w:r>
        <w:rPr>
          <w:rFonts w:ascii="宋体" w:hAnsi="宋体" w:cs="宋体"/>
          <w:color w:val="auto"/>
          <w:kern w:val="0"/>
          <w:sz w:val="24"/>
          <w:szCs w:val="24"/>
        </w:rPr>
        <w:t>（注：公路工程包括公路新建、公路改扩建、公路养护工程等；成功</w:t>
      </w:r>
      <w:r>
        <w:rPr>
          <w:rFonts w:hint="eastAsia" w:ascii="宋体" w:hAnsi="宋体" w:cs="宋体"/>
          <w:color w:val="auto"/>
          <w:kern w:val="0"/>
          <w:sz w:val="24"/>
          <w:szCs w:val="24"/>
          <w:lang w:val="en-US" w:eastAsia="zh-CN"/>
        </w:rPr>
        <w:t>完成</w:t>
      </w:r>
      <w:r>
        <w:rPr>
          <w:rFonts w:ascii="宋体" w:hAnsi="宋体" w:cs="宋体"/>
          <w:color w:val="auto"/>
          <w:kern w:val="0"/>
          <w:sz w:val="24"/>
          <w:szCs w:val="24"/>
        </w:rPr>
        <w:t>是指已完工程按《公路工程竣（交）工验收办法》交工验收或竣工验收通过）。</w:t>
      </w:r>
    </w:p>
    <w:p w14:paraId="0F5485E0">
      <w:pPr>
        <w:autoSpaceDE w:val="0"/>
        <w:autoSpaceDN w:val="0"/>
        <w:spacing w:line="240" w:lineRule="auto"/>
        <w:ind w:firstLine="480" w:firstLineChars="200"/>
        <w:rPr>
          <w:rFonts w:hint="eastAsia" w:ascii="宋体" w:hAnsi="宋体"/>
          <w:color w:val="auto"/>
          <w:sz w:val="24"/>
          <w:szCs w:val="24"/>
          <w:lang w:bidi="zh-CN"/>
        </w:rPr>
      </w:pPr>
      <w:r>
        <w:rPr>
          <w:rFonts w:hint="eastAsia" w:ascii="宋体" w:hAnsi="宋体"/>
          <w:color w:val="auto"/>
          <w:sz w:val="24"/>
          <w:szCs w:val="24"/>
          <w:lang w:bidi="zh-CN"/>
        </w:rPr>
        <w:t>5.</w:t>
      </w:r>
      <w:r>
        <w:rPr>
          <w:rFonts w:hint="eastAsia" w:ascii="宋体" w:hAnsi="宋体"/>
          <w:color w:val="auto"/>
          <w:sz w:val="24"/>
          <w:szCs w:val="24"/>
          <w:lang w:val="zh-CN" w:bidi="zh-CN"/>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9C9140E">
      <w:pPr>
        <w:snapToGrid w:val="0"/>
        <w:spacing w:line="240" w:lineRule="auto"/>
        <w:ind w:firstLine="480" w:firstLineChars="200"/>
        <w:jc w:val="left"/>
        <w:rPr>
          <w:rFonts w:hint="eastAsia" w:ascii="宋体" w:hAnsi="宋体"/>
          <w:color w:val="auto"/>
          <w:sz w:val="24"/>
          <w:szCs w:val="24"/>
          <w:lang w:bidi="zh-CN"/>
        </w:rPr>
      </w:pPr>
      <w:r>
        <w:rPr>
          <w:rFonts w:hint="eastAsia" w:ascii="宋体" w:hAnsi="宋体"/>
          <w:color w:val="auto"/>
          <w:sz w:val="24"/>
          <w:szCs w:val="24"/>
          <w:lang w:bidi="zh-CN"/>
        </w:rPr>
        <w:t>6.</w:t>
      </w:r>
      <w:r>
        <w:rPr>
          <w:rFonts w:hint="eastAsia" w:ascii="宋体" w:hAnsi="宋体"/>
          <w:color w:val="auto"/>
          <w:sz w:val="24"/>
          <w:szCs w:val="24"/>
          <w:lang w:val="zh-CN" w:bidi="zh-CN"/>
        </w:rPr>
        <w:t>对在“信用中国”网站 (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53283CB4">
      <w:pPr>
        <w:spacing w:line="240" w:lineRule="auto"/>
        <w:rPr>
          <w:rFonts w:hint="eastAsia"/>
          <w:b/>
          <w:bCs/>
          <w:color w:val="auto"/>
          <w:sz w:val="24"/>
          <w:szCs w:val="24"/>
        </w:rPr>
      </w:pPr>
      <w:r>
        <w:rPr>
          <w:rFonts w:hint="eastAsia"/>
          <w:b/>
          <w:bCs/>
          <w:color w:val="auto"/>
          <w:sz w:val="24"/>
          <w:szCs w:val="24"/>
        </w:rPr>
        <w:t>三、获取采购文件</w:t>
      </w:r>
    </w:p>
    <w:p w14:paraId="42C3CF05">
      <w:pPr>
        <w:pStyle w:val="5"/>
        <w:keepNext w:val="0"/>
        <w:keepLines w:val="0"/>
        <w:autoSpaceDE w:val="0"/>
        <w:autoSpaceDN w:val="0"/>
        <w:spacing w:before="0" w:after="0" w:line="240" w:lineRule="auto"/>
        <w:ind w:firstLine="480" w:firstLineChars="200"/>
        <w:rPr>
          <w:rFonts w:hint="eastAsia" w:ascii="宋体" w:hAnsi="宋体"/>
          <w:b w:val="0"/>
          <w:bCs w:val="0"/>
          <w:color w:val="auto"/>
          <w:sz w:val="24"/>
          <w:szCs w:val="24"/>
        </w:rPr>
      </w:pPr>
      <w:bookmarkStart w:id="2" w:name="_Toc9334"/>
      <w:bookmarkEnd w:id="2"/>
      <w:bookmarkStart w:id="3" w:name="_Toc7068"/>
      <w:bookmarkEnd w:id="3"/>
      <w:bookmarkStart w:id="4" w:name="_Toc10128"/>
      <w:bookmarkEnd w:id="4"/>
      <w:bookmarkStart w:id="5" w:name="_Toc17462"/>
      <w:bookmarkEnd w:id="5"/>
      <w:bookmarkStart w:id="6" w:name="_Toc19782"/>
      <w:bookmarkEnd w:id="6"/>
      <w:r>
        <w:rPr>
          <w:rFonts w:hint="eastAsia" w:ascii="宋体" w:hAnsi="宋体"/>
          <w:b w:val="0"/>
          <w:bCs w:val="0"/>
          <w:color w:val="auto"/>
          <w:sz w:val="24"/>
          <w:szCs w:val="24"/>
        </w:rPr>
        <w:t>时间：2024年</w:t>
      </w:r>
      <w:r>
        <w:rPr>
          <w:rFonts w:hint="eastAsia" w:ascii="宋体" w:hAnsi="宋体"/>
          <w:b w:val="0"/>
          <w:bCs w:val="0"/>
          <w:color w:val="auto"/>
          <w:sz w:val="24"/>
          <w:szCs w:val="24"/>
          <w:lang w:val="en-US" w:eastAsia="zh-CN"/>
        </w:rPr>
        <w:t>10</w:t>
      </w:r>
      <w:r>
        <w:rPr>
          <w:rFonts w:hint="eastAsia" w:ascii="宋体" w:hAnsi="宋体"/>
          <w:b w:val="0"/>
          <w:bCs w:val="0"/>
          <w:color w:val="auto"/>
          <w:sz w:val="24"/>
          <w:szCs w:val="24"/>
        </w:rPr>
        <w:t>月</w:t>
      </w:r>
      <w:r>
        <w:rPr>
          <w:rFonts w:hint="eastAsia" w:ascii="宋体" w:hAnsi="宋体"/>
          <w:b w:val="0"/>
          <w:bCs w:val="0"/>
          <w:color w:val="auto"/>
          <w:sz w:val="24"/>
          <w:szCs w:val="24"/>
          <w:lang w:val="en-US" w:eastAsia="zh-CN"/>
        </w:rPr>
        <w:t>17</w:t>
      </w:r>
      <w:r>
        <w:rPr>
          <w:rFonts w:hint="eastAsia" w:ascii="宋体" w:hAnsi="宋体"/>
          <w:b w:val="0"/>
          <w:bCs w:val="0"/>
          <w:color w:val="auto"/>
          <w:sz w:val="24"/>
          <w:szCs w:val="24"/>
        </w:rPr>
        <w:t xml:space="preserve"> 日至2024年</w:t>
      </w:r>
      <w:r>
        <w:rPr>
          <w:rFonts w:hint="eastAsia" w:ascii="宋体" w:hAnsi="宋体"/>
          <w:b w:val="0"/>
          <w:bCs w:val="0"/>
          <w:color w:val="auto"/>
          <w:sz w:val="24"/>
          <w:szCs w:val="24"/>
          <w:lang w:val="en-US" w:eastAsia="zh-CN"/>
        </w:rPr>
        <w:t>10</w:t>
      </w:r>
      <w:r>
        <w:rPr>
          <w:rFonts w:hint="eastAsia" w:ascii="宋体" w:hAnsi="宋体"/>
          <w:b w:val="0"/>
          <w:bCs w:val="0"/>
          <w:color w:val="auto"/>
          <w:sz w:val="24"/>
          <w:szCs w:val="24"/>
        </w:rPr>
        <w:t xml:space="preserve"> 月</w:t>
      </w:r>
      <w:r>
        <w:rPr>
          <w:rFonts w:hint="eastAsia" w:ascii="宋体" w:hAnsi="宋体"/>
          <w:b w:val="0"/>
          <w:bCs w:val="0"/>
          <w:color w:val="auto"/>
          <w:sz w:val="24"/>
          <w:szCs w:val="24"/>
          <w:lang w:val="en-US" w:eastAsia="zh-CN"/>
        </w:rPr>
        <w:t>27</w:t>
      </w:r>
      <w:r>
        <w:rPr>
          <w:rFonts w:hint="eastAsia" w:ascii="宋体" w:hAnsi="宋体"/>
          <w:b w:val="0"/>
          <w:bCs w:val="0"/>
          <w:color w:val="auto"/>
          <w:sz w:val="24"/>
          <w:szCs w:val="24"/>
        </w:rPr>
        <w:t>日，每天上午00:00至12:00，下午12:00至23:59（北京时间，法定节假日除外）。</w:t>
      </w:r>
    </w:p>
    <w:p w14:paraId="3B73D4D6">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地点（网址）：广西政府采购云平台（</w:t>
      </w:r>
      <w:r>
        <w:rPr>
          <w:rFonts w:ascii="仿宋" w:hAnsi="仿宋" w:eastAsia="仿宋"/>
          <w:color w:val="auto"/>
          <w:sz w:val="24"/>
          <w:szCs w:val="24"/>
        </w:rPr>
        <w:t>https://www.gcy.zfcg.gxzf.gov.cn/</w:t>
      </w:r>
      <w:r>
        <w:rPr>
          <w:rFonts w:hint="eastAsia" w:ascii="宋体" w:hAnsi="宋体"/>
          <w:color w:val="auto"/>
          <w:sz w:val="24"/>
          <w:szCs w:val="24"/>
        </w:rPr>
        <w:t>)。</w:t>
      </w:r>
    </w:p>
    <w:p w14:paraId="03ED3D44">
      <w:pPr>
        <w:pStyle w:val="5"/>
        <w:keepNext w:val="0"/>
        <w:keepLines w:val="0"/>
        <w:autoSpaceDE w:val="0"/>
        <w:autoSpaceDN w:val="0"/>
        <w:spacing w:before="0" w:after="0" w:line="240" w:lineRule="auto"/>
        <w:ind w:firstLine="240" w:firstLineChars="100"/>
        <w:rPr>
          <w:rFonts w:hint="eastAsia" w:ascii="宋体" w:hAnsi="宋体"/>
          <w:b w:val="0"/>
          <w:bCs w:val="0"/>
          <w:color w:val="auto"/>
          <w:sz w:val="24"/>
          <w:szCs w:val="24"/>
        </w:rPr>
      </w:pPr>
      <w:bookmarkStart w:id="7" w:name="_Toc8788"/>
      <w:bookmarkEnd w:id="7"/>
      <w:bookmarkStart w:id="8" w:name="_Toc13381"/>
      <w:bookmarkEnd w:id="8"/>
      <w:bookmarkStart w:id="9" w:name="_Toc22096"/>
      <w:bookmarkEnd w:id="9"/>
      <w:bookmarkStart w:id="10" w:name="_Toc13144"/>
      <w:bookmarkEnd w:id="10"/>
      <w:bookmarkStart w:id="11" w:name="_Toc16781"/>
      <w:bookmarkEnd w:id="11"/>
      <w:r>
        <w:rPr>
          <w:rFonts w:hint="eastAsia" w:ascii="宋体" w:hAnsi="宋体"/>
          <w:b w:val="0"/>
          <w:bCs w:val="0"/>
          <w:color w:val="auto"/>
          <w:sz w:val="24"/>
          <w:szCs w:val="24"/>
        </w:rPr>
        <w:t xml:space="preserve">  方式：本项目采用不记名方式自行下载竞争性磋商文件。潜在供应商均可于报名截止时间前通过CA登录“广西政府采购云平台”投标客户端在线自行下载采购文件；未注册的供应商可在”广西政府采购云平台” 网上招投标系统完成注册后再进行文件下载。如在操作过程中遇到问题或需技术支持，请致电政府采购云平台客服热线：400-881-7190。提示：供应商只有在“广西政府采购云平台” 网上招投标系统完成获取采购文件申请并下载了采购文件后才视作依法获取采购文件（法律法规所指的供应商获取采购文件时间以供应商完成获取采购文件申请后下载采购文件的时间为准）。竞争性磋商文件免费向供应商提供。（备注：操作方式见“政府采购项目电子交易管理操作指南-供应商”登录账号密码后，点击右上角【服务中心→帮助文档→项目采购】）</w:t>
      </w:r>
    </w:p>
    <w:p w14:paraId="4A8C3446">
      <w:pPr>
        <w:spacing w:line="240" w:lineRule="auto"/>
        <w:ind w:firstLine="420"/>
        <w:rPr>
          <w:rFonts w:hint="eastAsia"/>
          <w:color w:val="auto"/>
          <w:sz w:val="24"/>
          <w:szCs w:val="24"/>
        </w:rPr>
      </w:pPr>
      <w:r>
        <w:rPr>
          <w:rFonts w:hint="eastAsia"/>
          <w:color w:val="auto"/>
          <w:sz w:val="24"/>
          <w:szCs w:val="24"/>
        </w:rPr>
        <w:t xml:space="preserve">售价（元）：0 </w:t>
      </w:r>
    </w:p>
    <w:p w14:paraId="41D8808A">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1.已获取竞争性磋商文件的竞标人不等于符合本项目的竞标人资格。</w:t>
      </w:r>
    </w:p>
    <w:p w14:paraId="10213DD9">
      <w:pPr>
        <w:pStyle w:val="24"/>
        <w:spacing w:line="240" w:lineRule="auto"/>
        <w:ind w:firstLine="480" w:firstLineChars="200"/>
        <w:rPr>
          <w:rFonts w:hint="eastAsia" w:ascii="宋体" w:hAnsi="宋体"/>
          <w:color w:val="auto"/>
          <w:sz w:val="24"/>
          <w:szCs w:val="24"/>
        </w:rPr>
      </w:pPr>
      <w:r>
        <w:rPr>
          <w:rFonts w:hint="eastAsia" w:ascii="宋体" w:hAnsi="宋体"/>
          <w:color w:val="auto"/>
          <w:sz w:val="24"/>
          <w:szCs w:val="24"/>
        </w:rPr>
        <w:t>2</w:t>
      </w:r>
      <w:r>
        <w:rPr>
          <w:rFonts w:ascii="宋体" w:hAnsi="宋体"/>
          <w:color w:val="auto"/>
          <w:sz w:val="24"/>
          <w:szCs w:val="24"/>
        </w:rPr>
        <w:t>.</w:t>
      </w:r>
      <w:r>
        <w:rPr>
          <w:rFonts w:hint="eastAsia" w:ascii="宋体" w:hAnsi="宋体"/>
          <w:color w:val="auto"/>
          <w:sz w:val="24"/>
          <w:szCs w:val="24"/>
        </w:rPr>
        <w:t>为配合采购人进行政府采购项目执行和备案，未在广西政府采购云平台注册的供应商可在获取竞争性磋商文件后登录广西政府采购云平台进行注册，如在操作过程中遇到问题或者需要技术支持，请致电政府采购云平台客服热线：400-881-7190。</w:t>
      </w:r>
    </w:p>
    <w:p w14:paraId="2931F700">
      <w:pPr>
        <w:spacing w:line="240" w:lineRule="auto"/>
        <w:rPr>
          <w:rFonts w:hint="eastAsia"/>
          <w:b/>
          <w:bCs/>
          <w:color w:val="auto"/>
          <w:sz w:val="24"/>
          <w:szCs w:val="24"/>
        </w:rPr>
      </w:pPr>
      <w:r>
        <w:rPr>
          <w:rFonts w:hint="eastAsia"/>
          <w:b/>
          <w:bCs/>
          <w:color w:val="auto"/>
          <w:sz w:val="24"/>
          <w:szCs w:val="24"/>
        </w:rPr>
        <w:t xml:space="preserve">四、响应文件提交 </w:t>
      </w:r>
    </w:p>
    <w:p w14:paraId="7C14D5A1">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 xml:space="preserve">1、首次响应文件递交截止时间：2024年 </w:t>
      </w:r>
      <w:r>
        <w:rPr>
          <w:rFonts w:hint="eastAsia" w:ascii="宋体" w:hAnsi="宋体"/>
          <w:color w:val="auto"/>
          <w:sz w:val="24"/>
          <w:szCs w:val="24"/>
          <w:lang w:val="en-US" w:eastAsia="zh-CN"/>
        </w:rPr>
        <w:t>10</w:t>
      </w:r>
      <w:r>
        <w:rPr>
          <w:rFonts w:hint="eastAsia" w:ascii="宋体" w:hAnsi="宋体"/>
          <w:color w:val="auto"/>
          <w:sz w:val="24"/>
          <w:szCs w:val="24"/>
        </w:rPr>
        <w:t xml:space="preserve"> 月</w:t>
      </w:r>
      <w:r>
        <w:rPr>
          <w:rFonts w:hint="eastAsia" w:ascii="宋体" w:hAnsi="宋体"/>
          <w:color w:val="auto"/>
          <w:sz w:val="24"/>
          <w:szCs w:val="24"/>
          <w:lang w:val="en-US" w:eastAsia="zh-CN"/>
        </w:rPr>
        <w:t>28</w:t>
      </w:r>
      <w:r>
        <w:rPr>
          <w:rFonts w:hint="eastAsia" w:ascii="宋体" w:hAnsi="宋体"/>
          <w:color w:val="auto"/>
          <w:sz w:val="24"/>
          <w:szCs w:val="24"/>
        </w:rPr>
        <w:t xml:space="preserve"> 日</w:t>
      </w:r>
      <w:r>
        <w:rPr>
          <w:rFonts w:ascii="宋体" w:hAnsi="宋体"/>
          <w:color w:val="auto"/>
          <w:sz w:val="24"/>
          <w:szCs w:val="24"/>
        </w:rPr>
        <w:t>10</w:t>
      </w:r>
      <w:r>
        <w:rPr>
          <w:rFonts w:hint="eastAsia" w:ascii="宋体" w:hAnsi="宋体"/>
          <w:color w:val="auto"/>
          <w:sz w:val="24"/>
          <w:szCs w:val="24"/>
        </w:rPr>
        <w:t>时</w:t>
      </w:r>
      <w:r>
        <w:rPr>
          <w:rFonts w:ascii="宋体" w:hAnsi="宋体"/>
          <w:color w:val="auto"/>
          <w:sz w:val="24"/>
          <w:szCs w:val="24"/>
        </w:rPr>
        <w:t>0</w:t>
      </w:r>
      <w:r>
        <w:rPr>
          <w:rFonts w:hint="eastAsia" w:ascii="宋体" w:hAnsi="宋体"/>
          <w:color w:val="auto"/>
          <w:sz w:val="24"/>
          <w:szCs w:val="24"/>
        </w:rPr>
        <w:t>0分</w:t>
      </w:r>
      <w:r>
        <w:rPr>
          <w:rFonts w:hint="eastAsia" w:ascii="宋体" w:hAnsi="宋体"/>
          <w:bCs/>
          <w:color w:val="auto"/>
          <w:sz w:val="24"/>
          <w:szCs w:val="24"/>
        </w:rPr>
        <w:t>（北京时间）</w:t>
      </w:r>
    </w:p>
    <w:p w14:paraId="57B3C425">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2、首次响应文件提交地点：本项目为全流程电子化项目，竞标人必须在响应文件递交截止时间前通过CA登录“广西政府采购云平台” 网上招投标系统将电子响应文件加密后上传完成，实行在线竞标响应。（本项目不要求竞标人到达开标现场，但竞标人应派法定代表人或委托代理人准时在线出席电子开评标会议，随时关注开评标进度，如在开评标过程中有电子询标，应在规定的时间内对电子询标函进行澄清回复）。 </w:t>
      </w:r>
    </w:p>
    <w:p w14:paraId="6735B450">
      <w:pPr>
        <w:spacing w:line="240" w:lineRule="auto"/>
        <w:rPr>
          <w:rFonts w:hint="eastAsia"/>
          <w:b/>
          <w:bCs/>
          <w:color w:val="auto"/>
          <w:sz w:val="24"/>
          <w:szCs w:val="24"/>
        </w:rPr>
      </w:pPr>
      <w:r>
        <w:rPr>
          <w:rFonts w:hint="eastAsia"/>
          <w:b/>
          <w:bCs/>
          <w:color w:val="auto"/>
          <w:sz w:val="24"/>
          <w:szCs w:val="24"/>
        </w:rPr>
        <w:t xml:space="preserve">五、响应文件开启 </w:t>
      </w:r>
    </w:p>
    <w:p w14:paraId="79A2A5F6">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时间：2024</w:t>
      </w:r>
      <w:r>
        <w:rPr>
          <w:rFonts w:hint="eastAsia" w:ascii="宋体" w:hAnsi="宋体"/>
          <w:color w:val="auto"/>
          <w:sz w:val="24"/>
          <w:szCs w:val="24"/>
          <w:lang w:val="en-US" w:eastAsia="zh-CN"/>
        </w:rPr>
        <w:t xml:space="preserve"> </w:t>
      </w:r>
      <w:r>
        <w:rPr>
          <w:rFonts w:hint="eastAsia" w:ascii="宋体" w:hAnsi="宋体"/>
          <w:color w:val="auto"/>
          <w:sz w:val="24"/>
          <w:szCs w:val="24"/>
        </w:rPr>
        <w:t>年</w:t>
      </w:r>
      <w:r>
        <w:rPr>
          <w:rFonts w:hint="eastAsia" w:ascii="宋体" w:hAnsi="宋体"/>
          <w:color w:val="auto"/>
          <w:sz w:val="24"/>
          <w:szCs w:val="24"/>
          <w:lang w:val="en-US" w:eastAsia="zh-CN"/>
        </w:rPr>
        <w:t xml:space="preserve"> 10</w:t>
      </w:r>
      <w:r>
        <w:rPr>
          <w:rFonts w:hint="eastAsia" w:ascii="宋体" w:hAnsi="宋体"/>
          <w:color w:val="auto"/>
          <w:sz w:val="24"/>
          <w:szCs w:val="24"/>
        </w:rPr>
        <w:t>月</w:t>
      </w:r>
      <w:r>
        <w:rPr>
          <w:rFonts w:hint="eastAsia" w:ascii="宋体" w:hAnsi="宋体"/>
          <w:color w:val="auto"/>
          <w:sz w:val="24"/>
          <w:szCs w:val="24"/>
          <w:lang w:val="en-US" w:eastAsia="zh-CN"/>
        </w:rPr>
        <w:t xml:space="preserve">28 </w:t>
      </w:r>
      <w:r>
        <w:rPr>
          <w:rFonts w:hint="eastAsia" w:ascii="宋体" w:hAnsi="宋体"/>
          <w:color w:val="auto"/>
          <w:sz w:val="24"/>
          <w:szCs w:val="24"/>
        </w:rPr>
        <w:t>日</w:t>
      </w:r>
      <w:r>
        <w:rPr>
          <w:rFonts w:ascii="宋体" w:hAnsi="宋体"/>
          <w:color w:val="auto"/>
          <w:sz w:val="24"/>
          <w:szCs w:val="24"/>
        </w:rPr>
        <w:t>10</w:t>
      </w:r>
      <w:r>
        <w:rPr>
          <w:rFonts w:hint="eastAsia" w:ascii="宋体" w:hAnsi="宋体"/>
          <w:color w:val="auto"/>
          <w:sz w:val="24"/>
          <w:szCs w:val="24"/>
        </w:rPr>
        <w:t>时</w:t>
      </w:r>
      <w:r>
        <w:rPr>
          <w:rFonts w:ascii="宋体" w:hAnsi="宋体"/>
          <w:color w:val="auto"/>
          <w:sz w:val="24"/>
          <w:szCs w:val="24"/>
        </w:rPr>
        <w:t>0</w:t>
      </w:r>
      <w:r>
        <w:rPr>
          <w:rFonts w:hint="eastAsia" w:ascii="宋体" w:hAnsi="宋体"/>
          <w:color w:val="auto"/>
          <w:sz w:val="24"/>
          <w:szCs w:val="24"/>
        </w:rPr>
        <w:t>0分</w:t>
      </w:r>
      <w:r>
        <w:rPr>
          <w:rFonts w:hint="eastAsia" w:ascii="宋体" w:hAnsi="宋体"/>
          <w:bCs/>
          <w:color w:val="auto"/>
          <w:sz w:val="24"/>
          <w:szCs w:val="24"/>
        </w:rPr>
        <w:t>（北京时间）截标后</w:t>
      </w:r>
    </w:p>
    <w:p w14:paraId="71BC6526">
      <w:pPr>
        <w:pStyle w:val="16"/>
        <w:spacing w:line="240" w:lineRule="auto"/>
        <w:ind w:firstLineChars="200"/>
        <w:rPr>
          <w:rFonts w:hint="eastAsia" w:ascii="宋体" w:hAnsi="宋体"/>
          <w:color w:val="auto"/>
          <w:sz w:val="24"/>
          <w:szCs w:val="24"/>
        </w:rPr>
      </w:pPr>
      <w:r>
        <w:rPr>
          <w:rFonts w:hint="eastAsia" w:ascii="宋体" w:hAnsi="宋体"/>
          <w:color w:val="auto"/>
          <w:sz w:val="24"/>
          <w:szCs w:val="24"/>
        </w:rPr>
        <w:t>地点：在“广西政府采购云平台”电子开标大厅开标。</w:t>
      </w:r>
    </w:p>
    <w:p w14:paraId="1087C2E0">
      <w:pPr>
        <w:spacing w:line="240" w:lineRule="auto"/>
        <w:rPr>
          <w:rFonts w:hint="eastAsia"/>
          <w:b/>
          <w:bCs/>
          <w:color w:val="auto"/>
          <w:sz w:val="24"/>
          <w:szCs w:val="24"/>
        </w:rPr>
      </w:pPr>
      <w:r>
        <w:rPr>
          <w:rFonts w:hint="eastAsia"/>
          <w:b/>
          <w:bCs/>
          <w:color w:val="auto"/>
          <w:sz w:val="24"/>
          <w:szCs w:val="24"/>
        </w:rPr>
        <w:t>六、公告期限</w:t>
      </w:r>
    </w:p>
    <w:p w14:paraId="56F79D2C">
      <w:pPr>
        <w:spacing w:line="240" w:lineRule="auto"/>
        <w:rPr>
          <w:rFonts w:hint="eastAsia"/>
          <w:color w:val="auto"/>
          <w:sz w:val="24"/>
          <w:szCs w:val="24"/>
        </w:rPr>
      </w:pPr>
      <w:r>
        <w:rPr>
          <w:rFonts w:hint="eastAsia"/>
          <w:color w:val="auto"/>
          <w:sz w:val="24"/>
          <w:szCs w:val="24"/>
        </w:rPr>
        <w:t xml:space="preserve">    自本公告发布之日起5个工作日。</w:t>
      </w:r>
    </w:p>
    <w:p w14:paraId="76FF0707">
      <w:pPr>
        <w:spacing w:line="240" w:lineRule="auto"/>
        <w:rPr>
          <w:rFonts w:hint="eastAsia"/>
          <w:b/>
          <w:bCs/>
          <w:color w:val="auto"/>
          <w:sz w:val="24"/>
          <w:szCs w:val="24"/>
        </w:rPr>
      </w:pPr>
      <w:r>
        <w:rPr>
          <w:rFonts w:hint="eastAsia"/>
          <w:b/>
          <w:bCs/>
          <w:color w:val="auto"/>
          <w:sz w:val="24"/>
          <w:szCs w:val="24"/>
        </w:rPr>
        <w:t xml:space="preserve">七、其他补充事宜 </w:t>
      </w:r>
    </w:p>
    <w:p w14:paraId="70634590">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1.注：本次招标范围为本项目</w:t>
      </w:r>
      <w:r>
        <w:rPr>
          <w:rFonts w:hint="eastAsia" w:ascii="宋体" w:hAnsi="宋体"/>
          <w:color w:val="auto"/>
          <w:sz w:val="24"/>
          <w:szCs w:val="24"/>
          <w:u w:val="single"/>
          <w:lang w:val="en-US" w:eastAsia="zh-CN"/>
        </w:rPr>
        <w:t>那坡公路养护中心</w:t>
      </w:r>
      <w:r>
        <w:rPr>
          <w:rFonts w:hint="eastAsia" w:ascii="Arial" w:hAnsi="Arial"/>
          <w:color w:val="auto"/>
          <w:sz w:val="24"/>
          <w:szCs w:val="24"/>
          <w:u w:val="single"/>
          <w:lang w:val="en-US" w:eastAsia="zh-CN"/>
        </w:rPr>
        <w:t>S518线那坡至平孟K23+000~K23+080应急抢通工程</w:t>
      </w:r>
      <w:r>
        <w:rPr>
          <w:rFonts w:hint="eastAsia" w:ascii="宋体" w:hAnsi="宋体"/>
          <w:color w:val="auto"/>
          <w:sz w:val="24"/>
          <w:szCs w:val="24"/>
          <w:u w:val="single"/>
        </w:rPr>
        <w:t>，资金来源于</w:t>
      </w:r>
      <w:r>
        <w:rPr>
          <w:rFonts w:hint="eastAsia" w:ascii="宋体" w:hAnsi="宋体"/>
          <w:color w:val="auto"/>
          <w:sz w:val="24"/>
          <w:szCs w:val="24"/>
          <w:u w:val="single"/>
          <w:lang w:val="en-US" w:eastAsia="zh-CN"/>
        </w:rPr>
        <w:t>2024年</w:t>
      </w:r>
      <w:r>
        <w:rPr>
          <w:rFonts w:hint="eastAsia" w:ascii="Arial" w:hAnsi="Arial" w:eastAsia="宋体"/>
          <w:color w:val="auto"/>
          <w:sz w:val="24"/>
          <w:szCs w:val="24"/>
          <w:u w:val="single"/>
        </w:rPr>
        <w:t>车辆购置税收入补助地方资金</w:t>
      </w:r>
      <w:r>
        <w:rPr>
          <w:rFonts w:hint="eastAsia" w:ascii="宋体" w:hAnsi="宋体"/>
          <w:color w:val="auto"/>
          <w:sz w:val="24"/>
          <w:szCs w:val="24"/>
        </w:rPr>
        <w:t>。成交供应商及采购人可根据工程现场实际情况，合理安排实施各项施工任务。若成交供应商为避免二次进场造成成本增加，可按项目工期进度完成各项工程量，采购人将按规范继续履行工作职责，成交供应商不得以任何理由拖欠农民工工资或材料款以及追加利息。</w:t>
      </w:r>
    </w:p>
    <w:p w14:paraId="138C6C01">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2.磋商保证金：本项目不收取磋商保证金。</w:t>
      </w:r>
    </w:p>
    <w:p w14:paraId="599BCEC7">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3.网上公告媒体查询：中国政府采购网（http://www.ccgp.gov.cn）、广西壮族自治区政府采购网（http://zfcg.gxzf.gov.cn/）。</w:t>
      </w:r>
    </w:p>
    <w:p w14:paraId="0035E358">
      <w:pPr>
        <w:spacing w:line="240" w:lineRule="auto"/>
        <w:ind w:firstLine="480" w:firstLineChars="200"/>
        <w:rPr>
          <w:rFonts w:hint="eastAsia" w:ascii="宋体" w:hAnsi="宋体"/>
          <w:color w:val="auto"/>
          <w:kern w:val="0"/>
          <w:sz w:val="24"/>
          <w:szCs w:val="24"/>
        </w:rPr>
      </w:pPr>
      <w:r>
        <w:rPr>
          <w:rFonts w:hint="eastAsia" w:ascii="宋体" w:hAnsi="宋体"/>
          <w:color w:val="auto"/>
          <w:kern w:val="0"/>
          <w:sz w:val="24"/>
          <w:szCs w:val="24"/>
        </w:rPr>
        <w:t>4</w:t>
      </w:r>
      <w:r>
        <w:rPr>
          <w:rFonts w:hint="eastAsia" w:ascii="宋体" w:hAnsi="宋体"/>
          <w:color w:val="auto"/>
          <w:sz w:val="24"/>
          <w:szCs w:val="24"/>
        </w:rPr>
        <w:t>.</w:t>
      </w:r>
      <w:r>
        <w:rPr>
          <w:rFonts w:hint="eastAsia" w:ascii="宋体" w:hAnsi="宋体"/>
          <w:color w:val="auto"/>
          <w:kern w:val="0"/>
          <w:sz w:val="24"/>
          <w:szCs w:val="24"/>
        </w:rPr>
        <w:t>本项目需要落实的政府采购政策</w:t>
      </w:r>
    </w:p>
    <w:p w14:paraId="10FE762F">
      <w:pPr>
        <w:spacing w:line="240" w:lineRule="auto"/>
        <w:ind w:firstLine="480" w:firstLineChars="200"/>
        <w:rPr>
          <w:rFonts w:hint="eastAsia" w:ascii="宋体" w:hAnsi="宋体"/>
          <w:color w:val="auto"/>
          <w:kern w:val="0"/>
          <w:sz w:val="24"/>
          <w:szCs w:val="24"/>
        </w:rPr>
      </w:pPr>
      <w:r>
        <w:rPr>
          <w:rFonts w:hint="eastAsia" w:ascii="宋体" w:hAnsi="宋体"/>
          <w:color w:val="auto"/>
          <w:kern w:val="0"/>
          <w:sz w:val="24"/>
          <w:szCs w:val="24"/>
        </w:rPr>
        <w:t>（1）政府采购促进中小企业发展。</w:t>
      </w:r>
    </w:p>
    <w:p w14:paraId="7B53BB2B">
      <w:pPr>
        <w:spacing w:line="240" w:lineRule="auto"/>
        <w:ind w:firstLine="480" w:firstLineChars="200"/>
        <w:rPr>
          <w:rFonts w:hint="eastAsia" w:ascii="宋体" w:hAnsi="宋体"/>
          <w:color w:val="auto"/>
          <w:kern w:val="0"/>
          <w:sz w:val="24"/>
          <w:szCs w:val="24"/>
        </w:rPr>
      </w:pPr>
      <w:r>
        <w:rPr>
          <w:rFonts w:hint="eastAsia" w:ascii="宋体" w:hAnsi="宋体"/>
          <w:color w:val="auto"/>
          <w:kern w:val="0"/>
          <w:sz w:val="24"/>
          <w:szCs w:val="24"/>
        </w:rPr>
        <w:t>（2）政府采购支持采用本国产品的政策。</w:t>
      </w:r>
    </w:p>
    <w:p w14:paraId="3A56C715">
      <w:pPr>
        <w:spacing w:line="240" w:lineRule="auto"/>
        <w:ind w:firstLine="480" w:firstLineChars="200"/>
        <w:rPr>
          <w:rFonts w:hint="eastAsia" w:ascii="宋体" w:hAnsi="宋体"/>
          <w:color w:val="auto"/>
          <w:kern w:val="0"/>
          <w:sz w:val="24"/>
          <w:szCs w:val="24"/>
        </w:rPr>
      </w:pPr>
      <w:r>
        <w:rPr>
          <w:rFonts w:hint="eastAsia" w:ascii="宋体" w:hAnsi="宋体"/>
          <w:color w:val="auto"/>
          <w:kern w:val="0"/>
          <w:sz w:val="24"/>
          <w:szCs w:val="24"/>
        </w:rPr>
        <w:t>（3）强制采购节能产品；优先采购节能产品、环境标志产品。</w:t>
      </w:r>
    </w:p>
    <w:p w14:paraId="2C6C91FB">
      <w:pPr>
        <w:spacing w:line="240" w:lineRule="auto"/>
        <w:ind w:firstLine="480" w:firstLineChars="200"/>
        <w:rPr>
          <w:rFonts w:hint="eastAsia" w:ascii="宋体" w:hAnsi="宋体"/>
          <w:color w:val="auto"/>
          <w:kern w:val="0"/>
          <w:sz w:val="24"/>
          <w:szCs w:val="24"/>
        </w:rPr>
      </w:pPr>
      <w:r>
        <w:rPr>
          <w:rFonts w:hint="eastAsia" w:ascii="宋体" w:hAnsi="宋体"/>
          <w:color w:val="auto"/>
          <w:kern w:val="0"/>
          <w:sz w:val="24"/>
          <w:szCs w:val="24"/>
        </w:rPr>
        <w:t>（4）政府采购促进残疾人就业政策。</w:t>
      </w:r>
    </w:p>
    <w:p w14:paraId="3F93711E">
      <w:pPr>
        <w:spacing w:line="240" w:lineRule="auto"/>
        <w:ind w:firstLine="480" w:firstLineChars="200"/>
        <w:rPr>
          <w:rFonts w:hint="eastAsia" w:ascii="宋体" w:hAnsi="宋体"/>
          <w:color w:val="auto"/>
          <w:kern w:val="0"/>
          <w:sz w:val="24"/>
          <w:szCs w:val="24"/>
        </w:rPr>
      </w:pPr>
      <w:r>
        <w:rPr>
          <w:rFonts w:hint="eastAsia" w:ascii="宋体" w:hAnsi="宋体"/>
          <w:color w:val="auto"/>
          <w:kern w:val="0"/>
          <w:sz w:val="24"/>
          <w:szCs w:val="24"/>
        </w:rPr>
        <w:t>（5）政府采购支持监狱企业发展。</w:t>
      </w:r>
    </w:p>
    <w:p w14:paraId="7CDE721A">
      <w:pPr>
        <w:spacing w:line="240" w:lineRule="auto"/>
        <w:ind w:firstLine="480" w:firstLineChars="200"/>
        <w:rPr>
          <w:rFonts w:hint="eastAsia" w:ascii="宋体" w:hAnsi="宋体"/>
          <w:color w:val="auto"/>
          <w:kern w:val="0"/>
          <w:sz w:val="24"/>
          <w:szCs w:val="24"/>
        </w:rPr>
      </w:pPr>
      <w:r>
        <w:rPr>
          <w:rFonts w:hint="eastAsia" w:ascii="宋体" w:hAnsi="宋体"/>
          <w:color w:val="auto"/>
          <w:kern w:val="0"/>
          <w:sz w:val="24"/>
          <w:szCs w:val="24"/>
        </w:rPr>
        <w:t>（6）扶持不发达地区和少数民族地区政策</w:t>
      </w:r>
    </w:p>
    <w:p w14:paraId="2731082E">
      <w:pPr>
        <w:spacing w:line="240" w:lineRule="auto"/>
        <w:ind w:firstLine="480" w:firstLineChars="200"/>
        <w:rPr>
          <w:rFonts w:hint="eastAsia" w:ascii="宋体" w:hAnsi="宋体"/>
          <w:color w:val="auto"/>
          <w:kern w:val="0"/>
          <w:sz w:val="24"/>
          <w:szCs w:val="24"/>
        </w:rPr>
      </w:pPr>
      <w:r>
        <w:rPr>
          <w:rFonts w:hint="eastAsia" w:ascii="宋体" w:hAnsi="宋体"/>
          <w:color w:val="auto"/>
          <w:kern w:val="0"/>
          <w:sz w:val="24"/>
          <w:szCs w:val="24"/>
        </w:rPr>
        <w:t>5.供应商认为采购文件使自己的权益受到损害的，可以自获取采购文件之日或者采购文件公告期限届满之日（公告期限届满后获取采购文件的，以公告期限届满之日为准）起7个工作日内且应当在采购响应截止时间之前，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29246722">
      <w:pPr>
        <w:spacing w:line="240" w:lineRule="auto"/>
        <w:ind w:firstLine="480" w:firstLineChars="200"/>
        <w:rPr>
          <w:rFonts w:hint="eastAsia" w:ascii="宋体" w:hAnsi="宋体"/>
          <w:bCs/>
          <w:color w:val="auto"/>
          <w:kern w:val="0"/>
          <w:sz w:val="24"/>
          <w:szCs w:val="24"/>
        </w:rPr>
      </w:pPr>
      <w:r>
        <w:rPr>
          <w:rFonts w:hint="eastAsia" w:ascii="宋体" w:hAnsi="宋体"/>
          <w:bCs/>
          <w:color w:val="auto"/>
          <w:kern w:val="0"/>
          <w:sz w:val="24"/>
          <w:szCs w:val="24"/>
        </w:rPr>
        <w:t>6、响应</w:t>
      </w:r>
      <w:r>
        <w:rPr>
          <w:rFonts w:hint="eastAsia" w:ascii="宋体" w:hAnsi="宋体"/>
          <w:color w:val="auto"/>
          <w:kern w:val="0"/>
          <w:sz w:val="24"/>
          <w:szCs w:val="24"/>
        </w:rPr>
        <w:t>文件</w:t>
      </w:r>
      <w:r>
        <w:rPr>
          <w:rFonts w:hint="eastAsia" w:ascii="宋体" w:hAnsi="宋体"/>
          <w:bCs/>
          <w:color w:val="auto"/>
          <w:kern w:val="0"/>
          <w:sz w:val="24"/>
          <w:szCs w:val="24"/>
        </w:rPr>
        <w:t>的提交</w:t>
      </w:r>
    </w:p>
    <w:p w14:paraId="06C7C68E">
      <w:pPr>
        <w:spacing w:line="240" w:lineRule="auto"/>
        <w:ind w:firstLine="480" w:firstLineChars="200"/>
        <w:rPr>
          <w:rFonts w:hint="eastAsia" w:ascii="宋体" w:hAnsi="宋体"/>
          <w:bCs/>
          <w:color w:val="auto"/>
          <w:sz w:val="24"/>
          <w:szCs w:val="24"/>
        </w:rPr>
      </w:pPr>
      <w:r>
        <w:rPr>
          <w:rFonts w:hint="eastAsia" w:ascii="宋体" w:hAnsi="宋体"/>
          <w:bCs/>
          <w:color w:val="auto"/>
          <w:sz w:val="24"/>
          <w:szCs w:val="24"/>
        </w:rPr>
        <w:t>（1）响应文件提交方式：</w:t>
      </w:r>
      <w:r>
        <w:rPr>
          <w:rFonts w:hint="eastAsia" w:ascii="宋体" w:hAnsi="宋体"/>
          <w:color w:val="auto"/>
          <w:sz w:val="24"/>
          <w:szCs w:val="24"/>
        </w:rPr>
        <w:t>本项目为百色市全流程电子化项目，通过“广西政府采购云平台”平台（https：/</w:t>
      </w:r>
      <w:r>
        <w:rPr>
          <w:rFonts w:ascii="宋体" w:hAnsi="宋体"/>
          <w:color w:val="auto"/>
          <w:sz w:val="24"/>
          <w:szCs w:val="24"/>
        </w:rPr>
        <w:t>/www.</w:t>
      </w:r>
      <w:r>
        <w:rPr>
          <w:rFonts w:hint="eastAsia" w:ascii="宋体" w:hAnsi="宋体"/>
          <w:color w:val="auto"/>
          <w:sz w:val="24"/>
          <w:szCs w:val="24"/>
        </w:rPr>
        <w:t>gcy.zfcg.gxzf.gov.cn/）实行在线电子响应，供应商应先安装“政府采购云平台电子交易客户端”（请自行前往“广西政府采购云平台”进行下载），并按照本项目采购文件和“广西政府采购云平台”的要求编制、加密后在投标截止时间前通过网络上传至百色市“广西政府采购云平台”平台，</w:t>
      </w:r>
      <w:r>
        <w:rPr>
          <w:rFonts w:hint="eastAsia" w:ascii="宋体" w:hAnsi="宋体"/>
          <w:bCs/>
          <w:color w:val="auto"/>
          <w:sz w:val="24"/>
          <w:szCs w:val="24"/>
        </w:rPr>
        <w:t>供应商在“广西政府采购云平台”平台提交电子版响应文件时，请填写参加远程采购活动经办人联系方式。</w:t>
      </w:r>
    </w:p>
    <w:p w14:paraId="18D82686">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2）未进行网上注册并办理数字证书（CA认证）的供应商将无法参与本项目政府采购活动，潜在供应商应当在投标截止时间前，完成电子交易平台上的CA数字证书办理及响应文件的提交。完成CA数字证书办理预计7日左右，供应商只需办理其中一家</w:t>
      </w:r>
      <w:r>
        <w:rPr>
          <w:rFonts w:ascii="宋体" w:hAnsi="宋体"/>
          <w:color w:val="auto"/>
          <w:sz w:val="24"/>
          <w:szCs w:val="24"/>
        </w:rPr>
        <w:t>CA数字证书及签章</w:t>
      </w:r>
      <w:r>
        <w:rPr>
          <w:rFonts w:hint="eastAsia" w:ascii="宋体" w:hAnsi="宋体"/>
          <w:color w:val="auto"/>
          <w:sz w:val="24"/>
          <w:szCs w:val="24"/>
        </w:rPr>
        <w:t>。</w:t>
      </w:r>
    </w:p>
    <w:p w14:paraId="78B86C32">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（3）为确保网上操作合法、有效和安全，请供应商确保在电子响应过程中能够对相关数据电文进行加密和补</w:t>
      </w:r>
      <w:r>
        <w:rPr>
          <w:rFonts w:hint="eastAsia" w:ascii="宋体" w:hAnsi="宋体"/>
          <w:bCs/>
          <w:color w:val="auto"/>
          <w:sz w:val="24"/>
          <w:szCs w:val="24"/>
        </w:rPr>
        <w:t>充、修改或者撤回响应文件。补充或者修改响应文件的，应当先行撤回原文件，补充、修改后重新</w:t>
      </w:r>
      <w:r>
        <w:rPr>
          <w:rFonts w:hint="eastAsia" w:ascii="宋体" w:hAnsi="宋体"/>
          <w:color w:val="auto"/>
          <w:sz w:val="24"/>
          <w:szCs w:val="24"/>
        </w:rPr>
        <w:t>使用电子签章，妥善保管C</w:t>
      </w:r>
      <w:r>
        <w:rPr>
          <w:rFonts w:ascii="宋体" w:hAnsi="宋体"/>
          <w:color w:val="auto"/>
          <w:sz w:val="24"/>
          <w:szCs w:val="24"/>
        </w:rPr>
        <w:t>A</w:t>
      </w:r>
      <w:r>
        <w:rPr>
          <w:rFonts w:hint="eastAsia" w:ascii="宋体" w:hAnsi="宋体"/>
          <w:color w:val="auto"/>
          <w:sz w:val="24"/>
          <w:szCs w:val="24"/>
        </w:rPr>
        <w:t>数字证书并使用有效的CA数字证书参与整个采购活动。</w:t>
      </w:r>
    </w:p>
    <w:p w14:paraId="5829725B">
      <w:pPr>
        <w:spacing w:line="240" w:lineRule="auto"/>
        <w:ind w:firstLine="480" w:firstLineChars="200"/>
        <w:rPr>
          <w:rFonts w:hint="eastAsia" w:ascii="宋体" w:hAnsi="宋体"/>
          <w:bCs/>
          <w:color w:val="auto"/>
          <w:sz w:val="24"/>
          <w:szCs w:val="24"/>
        </w:rPr>
      </w:pPr>
      <w:r>
        <w:rPr>
          <w:rFonts w:hint="eastAsia" w:ascii="宋体" w:hAnsi="宋体"/>
          <w:bCs/>
          <w:color w:val="auto"/>
          <w:sz w:val="24"/>
          <w:szCs w:val="24"/>
        </w:rPr>
        <w:t>注：供应商应当在首次响应文件提交截止时间前完成电子响应文件的上传、递交，响应文件提交截止时间前可以补上传、递交。响应截止时间前未完成上传、递交的，视为撤回响应文件。响应文件提交截止时间以后上传递交的响应文件的，“广西政府采购云平台”将予以拒收。</w:t>
      </w:r>
    </w:p>
    <w:p w14:paraId="2EE7ED7C">
      <w:pPr>
        <w:snapToGrid w:val="0"/>
        <w:spacing w:line="240" w:lineRule="auto"/>
        <w:ind w:firstLine="480" w:firstLineChars="200"/>
        <w:rPr>
          <w:rFonts w:hint="eastAsia" w:ascii="宋体" w:hAnsi="宋体"/>
          <w:color w:val="auto"/>
          <w:kern w:val="0"/>
          <w:sz w:val="24"/>
          <w:szCs w:val="24"/>
        </w:rPr>
      </w:pPr>
      <w:r>
        <w:rPr>
          <w:rFonts w:hint="eastAsia" w:ascii="宋体" w:hAnsi="宋体"/>
          <w:color w:val="auto"/>
          <w:kern w:val="0"/>
          <w:sz w:val="24"/>
          <w:szCs w:val="24"/>
        </w:rPr>
        <w:t>7、CA证书在线解密：首次响应文件开启时，须要供应商携带制作响应文件时用来加密的有效数字证书（CA认证）登录“广西政府采购云平台”电子开标大厅现场按规定时间对加密的响应文件进行解密，否则后果自负。</w:t>
      </w:r>
    </w:p>
    <w:p w14:paraId="416E071A">
      <w:pPr>
        <w:snapToGrid w:val="0"/>
        <w:spacing w:line="240" w:lineRule="auto"/>
        <w:ind w:firstLine="480" w:firstLineChars="200"/>
        <w:rPr>
          <w:rFonts w:hint="eastAsia" w:ascii="宋体" w:hAnsi="宋体"/>
          <w:color w:val="auto"/>
          <w:kern w:val="0"/>
          <w:sz w:val="24"/>
          <w:szCs w:val="24"/>
        </w:rPr>
      </w:pPr>
      <w:r>
        <w:rPr>
          <w:rFonts w:hint="eastAsia" w:ascii="宋体" w:hAnsi="宋体"/>
          <w:color w:val="auto"/>
          <w:kern w:val="0"/>
          <w:sz w:val="24"/>
          <w:szCs w:val="24"/>
        </w:rPr>
        <w:t>8、供应商需要在具备有摄像头及语音功能且互联网网络状况良好的电脑登录“广西政府采购云平台”远程开标大厅参与本次磋商，否则后果自负</w:t>
      </w:r>
      <w:r>
        <w:rPr>
          <w:rFonts w:hint="eastAsia" w:ascii="宋体" w:hAnsi="宋体"/>
          <w:bCs/>
          <w:color w:val="auto"/>
          <w:sz w:val="24"/>
          <w:szCs w:val="24"/>
        </w:rPr>
        <w:t>。</w:t>
      </w:r>
    </w:p>
    <w:p w14:paraId="6E4A9175">
      <w:pPr>
        <w:spacing w:line="240" w:lineRule="auto"/>
        <w:ind w:firstLine="480" w:firstLineChars="200"/>
        <w:rPr>
          <w:rFonts w:hint="eastAsia" w:ascii="宋体" w:hAnsi="宋体"/>
          <w:color w:val="auto"/>
          <w:kern w:val="0"/>
          <w:sz w:val="24"/>
          <w:szCs w:val="24"/>
        </w:rPr>
      </w:pPr>
      <w:r>
        <w:rPr>
          <w:rFonts w:hint="eastAsia" w:ascii="宋体" w:hAnsi="宋体"/>
          <w:color w:val="auto"/>
          <w:kern w:val="0"/>
          <w:sz w:val="24"/>
          <w:szCs w:val="24"/>
        </w:rPr>
        <w:t xml:space="preserve">9. </w:t>
      </w:r>
      <w:r>
        <w:rPr>
          <w:rFonts w:hint="eastAsia" w:ascii="宋体" w:hAnsi="宋体"/>
          <w:color w:val="auto"/>
          <w:sz w:val="24"/>
          <w:szCs w:val="24"/>
        </w:rPr>
        <w:t>政府采购项目履行全过程须接受财政部门的备案和监督，《政府采购合同书》须在“广西政府采购云平台（https：/</w:t>
      </w:r>
      <w:r>
        <w:rPr>
          <w:rFonts w:ascii="宋体" w:hAnsi="宋体"/>
          <w:color w:val="auto"/>
          <w:sz w:val="24"/>
          <w:szCs w:val="24"/>
        </w:rPr>
        <w:t>/www.</w:t>
      </w:r>
      <w:r>
        <w:rPr>
          <w:rFonts w:hint="eastAsia" w:ascii="宋体" w:hAnsi="宋体"/>
          <w:color w:val="auto"/>
          <w:sz w:val="24"/>
          <w:szCs w:val="24"/>
        </w:rPr>
        <w:t>gcy.zfcg.gxzf.gov.cn/），以下简称“广西政府采购云平台”备案公示（中标（成交）单位须在合同签订之日起2个工作日内将合同原件或扫描件发送到代理公司项目负责人处备案登记）。即项目承接（包）竞标人须在“广西政府采购云平台”完成所有注册事项（如在注册操作过程中遇到问题或者需要技术支持，请致电“广西政府采购云平台”客服热线：400-881-7190）后与项目采购人签订的《政府采购合同书》方可生效，并由“广西政府采购云平台”对项目承接（包）竞标人的诚信情况予以监督。因参与本项目投标的竞标人未按时注册导致的一切后果（包括但不限于《政府采购合同书》被拒签，生效及其备案事项延期引致的项目延期赔付，诚信评价扣分等）由该竞标人承担。</w:t>
      </w:r>
    </w:p>
    <w:p w14:paraId="645524CA">
      <w:pPr>
        <w:spacing w:line="240" w:lineRule="auto"/>
        <w:rPr>
          <w:rFonts w:hint="eastAsia" w:ascii="黑体" w:hAnsi="黑体" w:eastAsia="黑体"/>
          <w:b/>
          <w:color w:val="auto"/>
          <w:kern w:val="44"/>
          <w:sz w:val="24"/>
          <w:szCs w:val="24"/>
        </w:rPr>
      </w:pPr>
      <w:r>
        <w:rPr>
          <w:rFonts w:hint="eastAsia" w:ascii="黑体" w:hAnsi="黑体" w:eastAsia="黑体"/>
          <w:b/>
          <w:color w:val="auto"/>
          <w:kern w:val="44"/>
          <w:sz w:val="24"/>
          <w:szCs w:val="24"/>
        </w:rPr>
        <w:t>八、凡对本次采购</w:t>
      </w:r>
      <w:r>
        <w:rPr>
          <w:rFonts w:hint="eastAsia"/>
          <w:b/>
          <w:bCs/>
          <w:color w:val="auto"/>
          <w:sz w:val="24"/>
          <w:szCs w:val="24"/>
        </w:rPr>
        <w:t>提出</w:t>
      </w:r>
      <w:r>
        <w:rPr>
          <w:rFonts w:hint="eastAsia" w:ascii="黑体" w:hAnsi="黑体" w:eastAsia="黑体"/>
          <w:b/>
          <w:color w:val="auto"/>
          <w:kern w:val="44"/>
          <w:sz w:val="24"/>
          <w:szCs w:val="24"/>
        </w:rPr>
        <w:t>询问，请按以下方式联系</w:t>
      </w:r>
    </w:p>
    <w:p w14:paraId="3A11AF2A">
      <w:pPr>
        <w:spacing w:line="240" w:lineRule="auto"/>
        <w:ind w:firstLine="480" w:firstLineChars="200"/>
        <w:rPr>
          <w:rFonts w:hint="eastAsia" w:ascii="宋体" w:hAnsi="宋体"/>
          <w:color w:val="auto"/>
          <w:sz w:val="24"/>
          <w:szCs w:val="24"/>
        </w:rPr>
      </w:pPr>
      <w:bookmarkStart w:id="12" w:name="_Toc28359019"/>
      <w:bookmarkEnd w:id="12"/>
      <w:bookmarkStart w:id="13" w:name="_Toc35393637"/>
      <w:bookmarkEnd w:id="13"/>
      <w:bookmarkStart w:id="14" w:name="_Toc28359096"/>
      <w:bookmarkEnd w:id="14"/>
      <w:bookmarkStart w:id="15" w:name="_Toc35393806"/>
      <w:bookmarkEnd w:id="15"/>
      <w:r>
        <w:rPr>
          <w:rFonts w:hint="eastAsia" w:ascii="宋体" w:hAnsi="宋体"/>
          <w:color w:val="auto"/>
          <w:sz w:val="24"/>
          <w:szCs w:val="24"/>
        </w:rPr>
        <w:t>1.采购人信息</w:t>
      </w:r>
    </w:p>
    <w:p w14:paraId="3ED595D5">
      <w:pPr>
        <w:spacing w:line="240" w:lineRule="auto"/>
        <w:ind w:firstLine="720" w:firstLineChars="300"/>
        <w:rPr>
          <w:rFonts w:hint="eastAsia" w:ascii="宋体" w:hAnsi="宋体"/>
          <w:color w:val="auto"/>
          <w:sz w:val="24"/>
          <w:szCs w:val="24"/>
        </w:rPr>
      </w:pPr>
      <w:r>
        <w:rPr>
          <w:rFonts w:hint="eastAsia" w:ascii="宋体" w:hAnsi="宋体"/>
          <w:color w:val="auto"/>
          <w:sz w:val="24"/>
          <w:szCs w:val="24"/>
        </w:rPr>
        <w:t>名    称：广西壮族自治区那坡公路养护中心　　　　　　　　　　　　</w:t>
      </w:r>
    </w:p>
    <w:p w14:paraId="2B9387D2">
      <w:pPr>
        <w:spacing w:line="240" w:lineRule="auto"/>
        <w:ind w:firstLine="720" w:firstLineChars="300"/>
        <w:rPr>
          <w:rFonts w:hint="eastAsia" w:ascii="宋体" w:hAnsi="宋体"/>
          <w:color w:val="auto"/>
          <w:sz w:val="24"/>
          <w:szCs w:val="24"/>
        </w:rPr>
      </w:pPr>
      <w:r>
        <w:rPr>
          <w:rFonts w:hint="eastAsia" w:ascii="宋体" w:hAnsi="宋体"/>
          <w:color w:val="auto"/>
          <w:sz w:val="24"/>
          <w:szCs w:val="24"/>
        </w:rPr>
        <w:t>地    址：百色市那坡县那中路1号</w:t>
      </w:r>
    </w:p>
    <w:p w14:paraId="007E5BE7">
      <w:pPr>
        <w:spacing w:line="240" w:lineRule="auto"/>
        <w:ind w:firstLine="720" w:firstLineChars="300"/>
        <w:rPr>
          <w:rFonts w:hint="eastAsia" w:ascii="宋体" w:hAnsi="宋体"/>
          <w:color w:val="auto"/>
          <w:sz w:val="24"/>
          <w:szCs w:val="24"/>
        </w:rPr>
      </w:pPr>
      <w:r>
        <w:rPr>
          <w:rFonts w:hint="eastAsia" w:ascii="宋体" w:hAnsi="宋体"/>
          <w:color w:val="auto"/>
          <w:sz w:val="24"/>
          <w:szCs w:val="24"/>
        </w:rPr>
        <w:t>联系方式：</w:t>
      </w:r>
      <w:r>
        <w:rPr>
          <w:rFonts w:hint="eastAsia" w:ascii="宋体" w:hAnsi="宋体"/>
          <w:color w:val="auto"/>
          <w:sz w:val="24"/>
          <w:szCs w:val="24"/>
          <w:lang w:val="en-US" w:eastAsia="zh-CN"/>
        </w:rPr>
        <w:t>李</w:t>
      </w:r>
      <w:r>
        <w:rPr>
          <w:rFonts w:hint="eastAsia" w:ascii="宋体" w:hAnsi="宋体"/>
          <w:color w:val="auto"/>
          <w:sz w:val="24"/>
          <w:szCs w:val="24"/>
        </w:rPr>
        <w:t>工，0776-6822171</w:t>
      </w:r>
    </w:p>
    <w:p w14:paraId="53199BCE">
      <w:pPr>
        <w:spacing w:line="240" w:lineRule="auto"/>
        <w:ind w:firstLine="480" w:firstLineChars="200"/>
        <w:rPr>
          <w:rFonts w:hint="eastAsia" w:ascii="宋体" w:hAnsi="宋体"/>
          <w:color w:val="auto"/>
          <w:sz w:val="24"/>
          <w:szCs w:val="24"/>
        </w:rPr>
      </w:pPr>
      <w:bookmarkStart w:id="16" w:name="_Toc35393807"/>
      <w:bookmarkEnd w:id="16"/>
      <w:bookmarkStart w:id="17" w:name="_Toc28359097"/>
      <w:bookmarkEnd w:id="17"/>
      <w:bookmarkStart w:id="18" w:name="_Toc35393638"/>
      <w:bookmarkEnd w:id="18"/>
      <w:bookmarkStart w:id="19" w:name="_Toc28359020"/>
      <w:bookmarkEnd w:id="19"/>
      <w:r>
        <w:rPr>
          <w:rFonts w:hint="eastAsia" w:ascii="宋体" w:hAnsi="宋体"/>
          <w:color w:val="auto"/>
          <w:sz w:val="24"/>
          <w:szCs w:val="24"/>
        </w:rPr>
        <w:t>2.采购代理机构信息</w:t>
      </w:r>
    </w:p>
    <w:p w14:paraId="3AA6F743">
      <w:pPr>
        <w:spacing w:line="240" w:lineRule="auto"/>
        <w:ind w:firstLine="720" w:firstLineChars="300"/>
        <w:rPr>
          <w:rFonts w:hint="eastAsia" w:ascii="宋体" w:hAnsi="宋体"/>
          <w:color w:val="auto"/>
          <w:sz w:val="24"/>
          <w:szCs w:val="24"/>
        </w:rPr>
      </w:pPr>
      <w:r>
        <w:rPr>
          <w:rFonts w:hint="eastAsia" w:ascii="宋体" w:hAnsi="宋体"/>
          <w:color w:val="auto"/>
          <w:sz w:val="24"/>
          <w:szCs w:val="24"/>
        </w:rPr>
        <w:t>名    称：广西元强建设项目管理有限公司</w:t>
      </w:r>
    </w:p>
    <w:p w14:paraId="1C5583AD">
      <w:pPr>
        <w:spacing w:line="240" w:lineRule="auto"/>
        <w:ind w:firstLine="720" w:firstLineChars="300"/>
        <w:rPr>
          <w:rFonts w:hint="eastAsia" w:ascii="宋体" w:hAnsi="宋体"/>
          <w:color w:val="auto"/>
          <w:sz w:val="24"/>
          <w:szCs w:val="24"/>
        </w:rPr>
      </w:pPr>
    </w:p>
    <w:p w14:paraId="083EA27F">
      <w:pPr>
        <w:pStyle w:val="5"/>
        <w:spacing w:line="240" w:lineRule="auto"/>
        <w:ind w:firstLine="720" w:firstLineChars="300"/>
        <w:rPr>
          <w:rFonts w:hint="eastAsia"/>
          <w:b w:val="0"/>
          <w:bCs w:val="0"/>
          <w:color w:val="auto"/>
          <w:sz w:val="24"/>
          <w:szCs w:val="24"/>
        </w:rPr>
      </w:pPr>
      <w:r>
        <w:rPr>
          <w:rFonts w:hint="eastAsia"/>
          <w:b w:val="0"/>
          <w:bCs w:val="0"/>
          <w:color w:val="auto"/>
          <w:sz w:val="24"/>
          <w:szCs w:val="24"/>
        </w:rPr>
        <w:t>地    址：</w:t>
      </w:r>
      <w:r>
        <w:rPr>
          <w:rFonts w:hint="eastAsia" w:ascii="宋体" w:hAnsi="宋体"/>
          <w:b w:val="0"/>
          <w:bCs w:val="0"/>
          <w:color w:val="auto"/>
          <w:sz w:val="24"/>
          <w:szCs w:val="24"/>
        </w:rPr>
        <w:t>广西百色市龙景区新环球投资大厦左塔1926号</w:t>
      </w:r>
    </w:p>
    <w:p w14:paraId="2E02AAB1">
      <w:pPr>
        <w:pStyle w:val="5"/>
        <w:spacing w:line="240" w:lineRule="auto"/>
        <w:ind w:firstLine="720" w:firstLineChars="300"/>
        <w:rPr>
          <w:rFonts w:hint="eastAsia"/>
          <w:b w:val="0"/>
          <w:bCs w:val="0"/>
          <w:color w:val="auto"/>
          <w:sz w:val="24"/>
          <w:szCs w:val="24"/>
        </w:rPr>
      </w:pPr>
      <w:r>
        <w:rPr>
          <w:rFonts w:hint="eastAsia"/>
          <w:b w:val="0"/>
          <w:bCs w:val="0"/>
          <w:color w:val="auto"/>
          <w:sz w:val="24"/>
          <w:szCs w:val="24"/>
        </w:rPr>
        <w:t>联系电话：</w:t>
      </w:r>
      <w:r>
        <w:rPr>
          <w:rFonts w:hint="eastAsia"/>
          <w:b w:val="0"/>
          <w:bCs w:val="0"/>
          <w:color w:val="auto"/>
          <w:sz w:val="24"/>
          <w:szCs w:val="24"/>
          <w:lang w:val="en-US" w:eastAsia="zh-CN"/>
        </w:rPr>
        <w:t>吴工</w:t>
      </w:r>
      <w:r>
        <w:rPr>
          <w:rFonts w:hint="eastAsia"/>
          <w:b w:val="0"/>
          <w:bCs w:val="0"/>
          <w:color w:val="auto"/>
          <w:sz w:val="24"/>
          <w:szCs w:val="24"/>
        </w:rPr>
        <w:t>，0776-2840555</w:t>
      </w:r>
    </w:p>
    <w:p w14:paraId="6C9650F8">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 xml:space="preserve">   </w:t>
      </w:r>
    </w:p>
    <w:p w14:paraId="6761A496">
      <w:pPr>
        <w:spacing w:line="240" w:lineRule="auto"/>
        <w:rPr>
          <w:rFonts w:hint="eastAsia" w:ascii="宋体" w:hAnsi="宋体"/>
          <w:color w:val="auto"/>
          <w:sz w:val="24"/>
          <w:szCs w:val="24"/>
        </w:rPr>
      </w:pPr>
    </w:p>
    <w:p w14:paraId="1CA9D6A7">
      <w:pPr>
        <w:spacing w:line="240" w:lineRule="auto"/>
        <w:ind w:firstLine="6000" w:firstLineChars="2500"/>
        <w:rPr>
          <w:rFonts w:hint="eastAsia" w:ascii="宋体" w:hAnsi="宋体"/>
          <w:color w:val="auto"/>
          <w:sz w:val="24"/>
          <w:szCs w:val="24"/>
        </w:rPr>
      </w:pPr>
      <w:r>
        <w:rPr>
          <w:rFonts w:hint="eastAsia" w:ascii="宋体" w:hAnsi="宋体"/>
          <w:color w:val="auto"/>
          <w:sz w:val="24"/>
          <w:szCs w:val="24"/>
        </w:rPr>
        <w:t>广西元强建设项目管理有限公司</w:t>
      </w:r>
    </w:p>
    <w:p w14:paraId="1626D4F0">
      <w:pPr>
        <w:pStyle w:val="107"/>
        <w:spacing w:line="240" w:lineRule="auto"/>
        <w:ind w:firstLine="7440" w:firstLineChars="3100"/>
        <w:rPr>
          <w:rFonts w:hint="eastAsia" w:hAnsi="宋体"/>
          <w:color w:val="auto"/>
          <w:sz w:val="24"/>
          <w:szCs w:val="24"/>
        </w:rPr>
      </w:pPr>
      <w:r>
        <w:rPr>
          <w:rFonts w:hint="eastAsia" w:hAnsi="宋体"/>
          <w:color w:val="auto"/>
          <w:sz w:val="24"/>
          <w:szCs w:val="24"/>
        </w:rPr>
        <w:t>2024年</w:t>
      </w:r>
      <w:r>
        <w:rPr>
          <w:rFonts w:hint="eastAsia" w:hAnsi="宋体"/>
          <w:color w:val="auto"/>
          <w:sz w:val="24"/>
          <w:szCs w:val="24"/>
          <w:lang w:val="en-US" w:eastAsia="zh-CN"/>
        </w:rPr>
        <w:t>10</w:t>
      </w:r>
      <w:r>
        <w:rPr>
          <w:rFonts w:hint="eastAsia" w:hAnsi="宋体"/>
          <w:color w:val="auto"/>
          <w:sz w:val="24"/>
          <w:szCs w:val="24"/>
        </w:rPr>
        <w:t xml:space="preserve">月 </w:t>
      </w:r>
      <w:r>
        <w:rPr>
          <w:rFonts w:hAnsi="宋体"/>
          <w:color w:val="auto"/>
          <w:sz w:val="24"/>
          <w:szCs w:val="24"/>
        </w:rPr>
        <w:t>1</w:t>
      </w:r>
      <w:r>
        <w:rPr>
          <w:rFonts w:hint="eastAsia" w:hAnsi="宋体"/>
          <w:color w:val="auto"/>
          <w:sz w:val="24"/>
          <w:szCs w:val="24"/>
          <w:lang w:val="en-US" w:eastAsia="zh-CN"/>
        </w:rPr>
        <w:t>3</w:t>
      </w:r>
      <w:r>
        <w:rPr>
          <w:rFonts w:hint="eastAsia" w:hAnsi="宋体"/>
          <w:color w:val="auto"/>
          <w:sz w:val="24"/>
          <w:szCs w:val="24"/>
        </w:rPr>
        <w:t xml:space="preserve"> 日</w:t>
      </w:r>
    </w:p>
    <w:p w14:paraId="570BEE15">
      <w:pPr>
        <w:pStyle w:val="4"/>
        <w:spacing w:line="240" w:lineRule="auto"/>
        <w:jc w:val="center"/>
        <w:rPr>
          <w:rFonts w:hint="eastAsia" w:ascii="Cambria" w:hAnsi="Cambria"/>
          <w:bCs w:val="0"/>
          <w:color w:val="auto"/>
          <w:sz w:val="32"/>
          <w:szCs w:val="32"/>
        </w:rPr>
      </w:pPr>
    </w:p>
    <w:p w14:paraId="0292CBB4">
      <w:pPr>
        <w:pStyle w:val="4"/>
        <w:spacing w:line="240" w:lineRule="auto"/>
        <w:jc w:val="center"/>
        <w:rPr>
          <w:rFonts w:hint="eastAsia" w:ascii="Cambria" w:hAnsi="Cambria"/>
          <w:bCs w:val="0"/>
          <w:color w:val="auto"/>
          <w:sz w:val="32"/>
          <w:szCs w:val="32"/>
        </w:rPr>
      </w:pPr>
    </w:p>
    <w:p w14:paraId="545168F1">
      <w:pPr>
        <w:pStyle w:val="4"/>
        <w:spacing w:line="240" w:lineRule="auto"/>
        <w:jc w:val="center"/>
        <w:rPr>
          <w:rFonts w:hint="eastAsia" w:ascii="Cambria" w:hAnsi="Cambria"/>
          <w:bCs w:val="0"/>
          <w:color w:val="auto"/>
          <w:sz w:val="32"/>
          <w:szCs w:val="32"/>
        </w:rPr>
      </w:pPr>
    </w:p>
    <w:p w14:paraId="14B4AFDD">
      <w:pPr>
        <w:pStyle w:val="4"/>
        <w:spacing w:line="240" w:lineRule="auto"/>
        <w:jc w:val="center"/>
        <w:rPr>
          <w:rFonts w:hint="eastAsia" w:ascii="Cambria" w:hAnsi="Cambria"/>
          <w:bCs w:val="0"/>
          <w:color w:val="auto"/>
          <w:sz w:val="32"/>
          <w:szCs w:val="32"/>
        </w:rPr>
      </w:pPr>
    </w:p>
    <w:p w14:paraId="72DBE13D">
      <w:pPr>
        <w:pStyle w:val="4"/>
        <w:spacing w:line="240" w:lineRule="auto"/>
        <w:jc w:val="center"/>
        <w:rPr>
          <w:rFonts w:hint="eastAsia" w:ascii="Cambria" w:hAnsi="Cambria"/>
          <w:bCs w:val="0"/>
          <w:color w:val="auto"/>
          <w:sz w:val="32"/>
          <w:szCs w:val="32"/>
        </w:rPr>
      </w:pPr>
    </w:p>
    <w:p w14:paraId="2459AF52">
      <w:pPr>
        <w:pStyle w:val="4"/>
        <w:spacing w:line="240" w:lineRule="auto"/>
        <w:rPr>
          <w:rFonts w:hint="eastAsia" w:ascii="Cambria" w:hAnsi="Cambria"/>
          <w:bCs w:val="0"/>
          <w:color w:val="auto"/>
          <w:sz w:val="32"/>
          <w:szCs w:val="32"/>
        </w:rPr>
      </w:pPr>
    </w:p>
    <w:p w14:paraId="0D838686">
      <w:pPr>
        <w:pStyle w:val="4"/>
        <w:spacing w:line="240" w:lineRule="auto"/>
        <w:rPr>
          <w:rFonts w:hint="eastAsia" w:ascii="Cambria" w:hAnsi="Cambria"/>
          <w:bCs w:val="0"/>
          <w:color w:val="auto"/>
          <w:sz w:val="32"/>
          <w:szCs w:val="32"/>
        </w:rPr>
      </w:pPr>
    </w:p>
    <w:p w14:paraId="018A6FE6">
      <w:pPr>
        <w:pStyle w:val="4"/>
        <w:spacing w:line="240" w:lineRule="auto"/>
        <w:rPr>
          <w:rFonts w:hint="eastAsia" w:ascii="Cambria" w:hAnsi="Cambria"/>
          <w:bCs w:val="0"/>
          <w:color w:val="auto"/>
          <w:sz w:val="32"/>
          <w:szCs w:val="32"/>
        </w:rPr>
      </w:pPr>
    </w:p>
    <w:p w14:paraId="6D5E848B">
      <w:pPr>
        <w:pStyle w:val="4"/>
        <w:spacing w:line="240" w:lineRule="auto"/>
        <w:rPr>
          <w:rFonts w:hint="eastAsia" w:ascii="Cambria" w:hAnsi="Cambria"/>
          <w:bCs w:val="0"/>
          <w:color w:val="auto"/>
          <w:sz w:val="32"/>
          <w:szCs w:val="32"/>
        </w:rPr>
      </w:pPr>
    </w:p>
    <w:p w14:paraId="6E1620E6">
      <w:pPr>
        <w:pStyle w:val="4"/>
        <w:spacing w:line="240" w:lineRule="auto"/>
        <w:rPr>
          <w:rFonts w:hint="eastAsia" w:ascii="Cambria" w:hAnsi="Cambria"/>
          <w:bCs w:val="0"/>
          <w:color w:val="auto"/>
          <w:sz w:val="32"/>
          <w:szCs w:val="32"/>
        </w:rPr>
      </w:pPr>
    </w:p>
    <w:p w14:paraId="497F9C4C">
      <w:pPr>
        <w:pStyle w:val="4"/>
        <w:spacing w:line="240" w:lineRule="auto"/>
        <w:rPr>
          <w:rFonts w:hint="eastAsia" w:ascii="Cambria" w:hAnsi="Cambria"/>
          <w:bCs w:val="0"/>
          <w:color w:val="auto"/>
          <w:sz w:val="32"/>
          <w:szCs w:val="32"/>
        </w:rPr>
      </w:pPr>
    </w:p>
    <w:p w14:paraId="09A036F4">
      <w:pPr>
        <w:pStyle w:val="4"/>
        <w:spacing w:line="240" w:lineRule="auto"/>
        <w:rPr>
          <w:rFonts w:hint="eastAsia" w:ascii="Cambria" w:hAnsi="Cambria"/>
          <w:bCs w:val="0"/>
          <w:color w:val="auto"/>
          <w:sz w:val="32"/>
          <w:szCs w:val="32"/>
        </w:rPr>
      </w:pPr>
    </w:p>
    <w:p w14:paraId="477C06CA">
      <w:pPr>
        <w:pStyle w:val="4"/>
        <w:spacing w:line="240" w:lineRule="auto"/>
        <w:rPr>
          <w:rFonts w:hint="eastAsia" w:ascii="Cambria" w:hAnsi="Cambria"/>
          <w:bCs w:val="0"/>
          <w:color w:val="auto"/>
          <w:sz w:val="32"/>
          <w:szCs w:val="32"/>
        </w:rPr>
      </w:pPr>
    </w:p>
    <w:p w14:paraId="679BAE03">
      <w:pPr>
        <w:pStyle w:val="4"/>
        <w:spacing w:line="240" w:lineRule="auto"/>
        <w:rPr>
          <w:rFonts w:hint="eastAsia" w:ascii="Cambria" w:hAnsi="Cambria"/>
          <w:bCs w:val="0"/>
          <w:color w:val="auto"/>
          <w:sz w:val="32"/>
          <w:szCs w:val="32"/>
        </w:rPr>
      </w:pPr>
    </w:p>
    <w:p w14:paraId="04A40D12">
      <w:pPr>
        <w:spacing w:line="240" w:lineRule="auto"/>
        <w:ind w:firstLine="482" w:firstLineChars="200"/>
        <w:rPr>
          <w:rFonts w:hint="eastAsia" w:ascii="宋体" w:hAnsi="宋体"/>
          <w:b/>
          <w:bCs/>
          <w:color w:val="auto"/>
          <w:sz w:val="24"/>
        </w:rPr>
      </w:pPr>
    </w:p>
    <w:tbl>
      <w:tblPr>
        <w:tblStyle w:val="2"/>
        <w:tblpPr w:leftFromText="180" w:rightFromText="180" w:vertAnchor="text" w:horzAnchor="page" w:tblpX="1288"/>
        <w:tblOverlap w:val="never"/>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0"/>
        <w:gridCol w:w="403"/>
        <w:gridCol w:w="2107"/>
        <w:gridCol w:w="765"/>
        <w:gridCol w:w="825"/>
        <w:gridCol w:w="2789"/>
        <w:gridCol w:w="1305"/>
        <w:gridCol w:w="1186"/>
      </w:tblGrid>
      <w:tr w14:paraId="28A6BB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840" w:type="dxa"/>
            <w:gridSpan w:val="8"/>
            <w:vAlign w:val="center"/>
          </w:tcPr>
          <w:p w14:paraId="66B1B907">
            <w:pPr>
              <w:pStyle w:val="4"/>
              <w:spacing w:line="240" w:lineRule="auto"/>
              <w:rPr>
                <w:rFonts w:hint="eastAsia" w:ascii="Cambria" w:hAnsi="Cambria"/>
                <w:bCs w:val="0"/>
                <w:color w:val="auto"/>
                <w:sz w:val="32"/>
                <w:szCs w:val="32"/>
              </w:rPr>
            </w:pPr>
            <w:r>
              <w:rPr>
                <w:rFonts w:hint="eastAsia" w:ascii="Cambria" w:hAnsi="Cambria"/>
                <w:bCs w:val="0"/>
                <w:color w:val="auto"/>
                <w:sz w:val="32"/>
                <w:szCs w:val="32"/>
              </w:rPr>
              <w:t>第二章 采购需求</w:t>
            </w:r>
          </w:p>
          <w:p w14:paraId="41B29D47">
            <w:pPr>
              <w:spacing w:line="240" w:lineRule="auto"/>
              <w:jc w:val="left"/>
              <w:rPr>
                <w:rFonts w:hint="eastAsia" w:ascii="宋体" w:hAnsi="宋体"/>
                <w:color w:val="auto"/>
                <w:szCs w:val="21"/>
              </w:rPr>
            </w:pPr>
            <w:r>
              <w:rPr>
                <w:rFonts w:hint="eastAsia" w:ascii="宋体" w:hAnsi="宋体"/>
                <w:color w:val="auto"/>
                <w:szCs w:val="21"/>
              </w:rPr>
              <w:t>说明：</w:t>
            </w:r>
          </w:p>
          <w:p w14:paraId="6B6B7F98">
            <w:pPr>
              <w:numPr>
                <w:ilvl w:val="0"/>
                <w:numId w:val="1"/>
              </w:numPr>
              <w:tabs>
                <w:tab w:val="clear" w:pos="312"/>
              </w:tabs>
              <w:spacing w:line="240" w:lineRule="auto"/>
              <w:ind w:firstLine="413" w:firstLineChars="196"/>
              <w:rPr>
                <w:rFonts w:hint="eastAsia" w:ascii="宋体" w:hAnsi="宋体"/>
                <w:b/>
                <w:bCs/>
                <w:color w:val="auto"/>
                <w:szCs w:val="21"/>
              </w:rPr>
            </w:pPr>
            <w:r>
              <w:rPr>
                <w:rFonts w:hint="eastAsia" w:ascii="宋体" w:hAnsi="宋体"/>
                <w:b/>
                <w:bCs/>
                <w:color w:val="auto"/>
                <w:szCs w:val="21"/>
              </w:rPr>
              <w:t>“实质性要求”是指采购需求中带“▲”的条款或者不能负偏离的条款或者已经指明不满足按响应文件作无效处理的条款。</w:t>
            </w:r>
          </w:p>
          <w:p w14:paraId="664888DA">
            <w:pPr>
              <w:spacing w:line="240" w:lineRule="auto"/>
              <w:ind w:firstLine="420" w:firstLineChars="200"/>
              <w:rPr>
                <w:rFonts w:hint="eastAsia" w:ascii="宋体" w:hAnsi="宋体"/>
                <w:color w:val="auto"/>
                <w:szCs w:val="21"/>
              </w:rPr>
            </w:pPr>
            <w:r>
              <w:rPr>
                <w:rFonts w:hint="eastAsia" w:ascii="宋体" w:hAnsi="宋体"/>
                <w:color w:val="auto"/>
                <w:szCs w:val="21"/>
              </w:rPr>
              <w:t>2.供应商必须自行为其竞标产品侵犯他人的知识产权或者专利成果的行为承担相应法律责任。</w:t>
            </w:r>
          </w:p>
          <w:p w14:paraId="61068804">
            <w:pPr>
              <w:spacing w:line="240" w:lineRule="auto"/>
              <w:rPr>
                <w:rFonts w:hint="eastAsia" w:ascii="宋体" w:hAnsi="宋体"/>
                <w:b/>
                <w:bCs/>
                <w:color w:val="auto"/>
                <w:szCs w:val="21"/>
              </w:rPr>
            </w:pPr>
          </w:p>
          <w:p w14:paraId="650B8442">
            <w:pPr>
              <w:spacing w:line="240" w:lineRule="auto"/>
              <w:ind w:firstLine="413" w:firstLineChars="196"/>
              <w:rPr>
                <w:rFonts w:hint="eastAsia" w:ascii="宋体" w:hAnsi="宋体"/>
                <w:b/>
                <w:bCs/>
                <w:color w:val="auto"/>
                <w:szCs w:val="21"/>
              </w:rPr>
            </w:pPr>
          </w:p>
          <w:p w14:paraId="21DF5FDB">
            <w:pPr>
              <w:spacing w:line="240" w:lineRule="auto"/>
              <w:rPr>
                <w:rFonts w:hint="eastAsia" w:ascii="仿宋_GB2312" w:hAnsi="宋体" w:eastAsia="仿宋_GB2312"/>
                <w:b/>
                <w:color w:val="auto"/>
                <w:sz w:val="32"/>
                <w:szCs w:val="32"/>
              </w:rPr>
            </w:pPr>
          </w:p>
          <w:p w14:paraId="4647550E">
            <w:pPr>
              <w:spacing w:line="240" w:lineRule="auto"/>
              <w:jc w:val="center"/>
              <w:rPr>
                <w:rFonts w:hint="eastAsia" w:ascii="仿宋_GB2312" w:hAnsi="宋体" w:eastAsia="仿宋_GB2312"/>
                <w:b/>
                <w:color w:val="auto"/>
                <w:sz w:val="32"/>
                <w:szCs w:val="32"/>
              </w:rPr>
            </w:pPr>
            <w:r>
              <w:rPr>
                <w:rFonts w:hint="eastAsia" w:ascii="仿宋_GB2312" w:hAnsi="宋体" w:eastAsia="仿宋_GB2312"/>
                <w:b/>
                <w:color w:val="auto"/>
                <w:sz w:val="32"/>
                <w:szCs w:val="32"/>
              </w:rPr>
              <w:t>采购需求一览表</w:t>
            </w:r>
          </w:p>
        </w:tc>
      </w:tr>
      <w:tr w14:paraId="18990E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460" w:type="dxa"/>
            <w:vMerge w:val="restart"/>
            <w:vAlign w:val="center"/>
          </w:tcPr>
          <w:p w14:paraId="7F0620FF">
            <w:pPr>
              <w:spacing w:line="240" w:lineRule="auto"/>
              <w:jc w:val="center"/>
              <w:rPr>
                <w:rFonts w:hint="eastAsia" w:ascii="宋体" w:hAnsi="宋体"/>
                <w:color w:val="auto"/>
                <w:szCs w:val="21"/>
              </w:rPr>
            </w:pPr>
            <w:r>
              <w:rPr>
                <w:rFonts w:hint="eastAsia" w:ascii="宋体" w:hAnsi="宋体"/>
                <w:color w:val="auto"/>
                <w:szCs w:val="21"/>
              </w:rPr>
              <w:t>采购清单及技术参数</w:t>
            </w:r>
          </w:p>
        </w:tc>
        <w:tc>
          <w:tcPr>
            <w:tcW w:w="403" w:type="dxa"/>
            <w:tcMar>
              <w:top w:w="0" w:type="dxa"/>
              <w:left w:w="0" w:type="dxa"/>
              <w:bottom w:w="0" w:type="dxa"/>
              <w:right w:w="0" w:type="dxa"/>
            </w:tcMar>
            <w:vAlign w:val="center"/>
          </w:tcPr>
          <w:p w14:paraId="4EF23E5D">
            <w:pPr>
              <w:spacing w:line="240" w:lineRule="auto"/>
              <w:jc w:val="center"/>
              <w:rPr>
                <w:rFonts w:hint="eastAsia" w:ascii="宋体" w:hAnsi="宋体"/>
                <w:color w:val="auto"/>
                <w:szCs w:val="21"/>
              </w:rPr>
            </w:pPr>
            <w:r>
              <w:rPr>
                <w:rFonts w:hint="eastAsia" w:ascii="宋体" w:hAnsi="宋体"/>
                <w:color w:val="auto"/>
                <w:szCs w:val="21"/>
              </w:rPr>
              <w:t>序号</w:t>
            </w:r>
          </w:p>
        </w:tc>
        <w:tc>
          <w:tcPr>
            <w:tcW w:w="2107" w:type="dxa"/>
            <w:vAlign w:val="center"/>
          </w:tcPr>
          <w:p w14:paraId="1FBEFF62">
            <w:pPr>
              <w:spacing w:line="240" w:lineRule="auto"/>
              <w:jc w:val="center"/>
              <w:rPr>
                <w:rFonts w:hint="eastAsia" w:ascii="宋体" w:hAnsi="宋体"/>
                <w:color w:val="auto"/>
                <w:szCs w:val="21"/>
              </w:rPr>
            </w:pPr>
            <w:r>
              <w:rPr>
                <w:rFonts w:hint="eastAsia" w:ascii="宋体" w:hAnsi="宋体"/>
                <w:color w:val="auto"/>
                <w:szCs w:val="21"/>
              </w:rPr>
              <w:t>采购项目名称</w:t>
            </w:r>
          </w:p>
        </w:tc>
        <w:tc>
          <w:tcPr>
            <w:tcW w:w="765" w:type="dxa"/>
            <w:vAlign w:val="center"/>
          </w:tcPr>
          <w:p w14:paraId="32E93712">
            <w:pPr>
              <w:spacing w:line="240" w:lineRule="auto"/>
              <w:jc w:val="center"/>
              <w:rPr>
                <w:rFonts w:hint="eastAsia" w:ascii="宋体" w:hAnsi="宋体"/>
                <w:color w:val="auto"/>
                <w:szCs w:val="21"/>
              </w:rPr>
            </w:pPr>
            <w:r>
              <w:rPr>
                <w:rFonts w:hint="eastAsia" w:ascii="宋体" w:hAnsi="宋体"/>
                <w:color w:val="auto"/>
                <w:szCs w:val="21"/>
              </w:rPr>
              <w:t>单位</w:t>
            </w:r>
          </w:p>
        </w:tc>
        <w:tc>
          <w:tcPr>
            <w:tcW w:w="825" w:type="dxa"/>
            <w:vAlign w:val="center"/>
          </w:tcPr>
          <w:p w14:paraId="79F1258E">
            <w:pPr>
              <w:spacing w:line="240" w:lineRule="auto"/>
              <w:jc w:val="center"/>
              <w:rPr>
                <w:rFonts w:hint="eastAsia" w:ascii="宋体" w:hAnsi="宋体"/>
                <w:color w:val="auto"/>
                <w:szCs w:val="21"/>
              </w:rPr>
            </w:pPr>
            <w:r>
              <w:rPr>
                <w:rFonts w:hint="eastAsia" w:ascii="宋体" w:hAnsi="宋体"/>
                <w:color w:val="auto"/>
                <w:szCs w:val="21"/>
              </w:rPr>
              <w:t>数量</w:t>
            </w:r>
          </w:p>
        </w:tc>
        <w:tc>
          <w:tcPr>
            <w:tcW w:w="2789" w:type="dxa"/>
            <w:vAlign w:val="center"/>
          </w:tcPr>
          <w:p w14:paraId="1C04A42A">
            <w:pPr>
              <w:spacing w:line="240" w:lineRule="auto"/>
              <w:jc w:val="center"/>
              <w:rPr>
                <w:rFonts w:hint="eastAsia" w:ascii="宋体" w:hAnsi="宋体"/>
                <w:color w:val="auto"/>
                <w:szCs w:val="21"/>
              </w:rPr>
            </w:pPr>
            <w:r>
              <w:rPr>
                <w:rFonts w:hint="eastAsia" w:ascii="宋体" w:hAnsi="宋体"/>
                <w:color w:val="auto"/>
                <w:szCs w:val="21"/>
              </w:rPr>
              <w:t>采购内容</w:t>
            </w:r>
          </w:p>
        </w:tc>
        <w:tc>
          <w:tcPr>
            <w:tcW w:w="1305" w:type="dxa"/>
            <w:vAlign w:val="center"/>
          </w:tcPr>
          <w:p w14:paraId="5029C78D">
            <w:pPr>
              <w:spacing w:line="240" w:lineRule="auto"/>
              <w:jc w:val="center"/>
              <w:rPr>
                <w:rFonts w:hint="eastAsia" w:ascii="宋体" w:hAnsi="宋体"/>
                <w:color w:val="auto"/>
                <w:szCs w:val="21"/>
              </w:rPr>
            </w:pPr>
            <w:r>
              <w:rPr>
                <w:rFonts w:hint="eastAsia" w:ascii="宋体" w:hAnsi="宋体"/>
                <w:color w:val="auto"/>
                <w:szCs w:val="21"/>
              </w:rPr>
              <w:t>最高投标限价（万元））</w:t>
            </w:r>
          </w:p>
        </w:tc>
        <w:tc>
          <w:tcPr>
            <w:tcW w:w="1186" w:type="dxa"/>
            <w:vAlign w:val="center"/>
          </w:tcPr>
          <w:p w14:paraId="4485AABC">
            <w:pPr>
              <w:spacing w:line="240" w:lineRule="auto"/>
              <w:jc w:val="center"/>
              <w:rPr>
                <w:rFonts w:hint="eastAsia" w:ascii="宋体" w:hAnsi="宋体"/>
                <w:color w:val="auto"/>
                <w:szCs w:val="21"/>
              </w:rPr>
            </w:pPr>
            <w:r>
              <w:rPr>
                <w:rFonts w:hint="eastAsia" w:ascii="宋体" w:hAnsi="宋体"/>
                <w:color w:val="auto"/>
                <w:szCs w:val="21"/>
              </w:rPr>
              <w:t>中小企业划分标准所属行业名称（行业名称及划分见本章附件1）</w:t>
            </w:r>
          </w:p>
        </w:tc>
      </w:tr>
      <w:tr w14:paraId="1BA5F8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460" w:type="dxa"/>
            <w:vMerge w:val="continue"/>
            <w:vAlign w:val="top"/>
          </w:tcPr>
          <w:p w14:paraId="7A69BEC6">
            <w:pPr>
              <w:spacing w:line="240" w:lineRule="auto"/>
              <w:jc w:val="center"/>
              <w:rPr>
                <w:rFonts w:hint="eastAsia" w:ascii="宋体" w:hAnsi="宋体"/>
                <w:b/>
                <w:bCs/>
                <w:color w:val="auto"/>
                <w:szCs w:val="21"/>
              </w:rPr>
            </w:pPr>
          </w:p>
        </w:tc>
        <w:tc>
          <w:tcPr>
            <w:tcW w:w="403" w:type="dxa"/>
            <w:vAlign w:val="center"/>
          </w:tcPr>
          <w:p w14:paraId="54F88171">
            <w:pPr>
              <w:spacing w:line="240" w:lineRule="auto"/>
              <w:jc w:val="center"/>
              <w:rPr>
                <w:rFonts w:hint="eastAsia" w:ascii="宋体" w:hAnsi="宋体"/>
                <w:color w:val="auto"/>
                <w:szCs w:val="21"/>
              </w:rPr>
            </w:pPr>
            <w:r>
              <w:rPr>
                <w:rFonts w:hint="eastAsia" w:ascii="宋体" w:hAnsi="宋体"/>
                <w:color w:val="auto"/>
                <w:szCs w:val="21"/>
              </w:rPr>
              <w:t>1</w:t>
            </w:r>
          </w:p>
        </w:tc>
        <w:tc>
          <w:tcPr>
            <w:tcW w:w="2107" w:type="dxa"/>
            <w:vAlign w:val="center"/>
          </w:tcPr>
          <w:p w14:paraId="79E13D35">
            <w:pPr>
              <w:spacing w:line="240" w:lineRule="auto"/>
              <w:jc w:val="center"/>
              <w:rPr>
                <w:rFonts w:hint="eastAsia" w:ascii="Arial" w:hAnsi="Arial"/>
                <w:color w:val="auto"/>
                <w:sz w:val="24"/>
                <w:szCs w:val="24"/>
                <w:lang w:val="en-US" w:eastAsia="zh-CN"/>
              </w:rPr>
            </w:pPr>
            <w:r>
              <w:rPr>
                <w:rFonts w:hint="eastAsia" w:ascii="宋体" w:hAnsi="宋体"/>
                <w:color w:val="auto"/>
                <w:sz w:val="24"/>
                <w:szCs w:val="24"/>
                <w:lang w:val="en-US" w:eastAsia="zh-CN"/>
              </w:rPr>
              <w:t>那坡公路养护中心</w:t>
            </w:r>
            <w:r>
              <w:rPr>
                <w:rFonts w:hint="eastAsia" w:ascii="Arial" w:hAnsi="Arial"/>
                <w:color w:val="auto"/>
                <w:sz w:val="24"/>
                <w:szCs w:val="24"/>
                <w:lang w:val="en-US" w:eastAsia="zh-CN"/>
              </w:rPr>
              <w:t>S518线那坡至平孟K23+000~K23+080应急抢通工程</w:t>
            </w:r>
          </w:p>
        </w:tc>
        <w:tc>
          <w:tcPr>
            <w:tcW w:w="765" w:type="dxa"/>
            <w:vAlign w:val="center"/>
          </w:tcPr>
          <w:p w14:paraId="49738E10">
            <w:pPr>
              <w:spacing w:line="240" w:lineRule="auto"/>
              <w:jc w:val="center"/>
              <w:rPr>
                <w:rFonts w:hint="eastAsia" w:ascii="宋体" w:hAnsi="宋体"/>
                <w:color w:val="auto"/>
                <w:szCs w:val="21"/>
              </w:rPr>
            </w:pPr>
            <w:r>
              <w:rPr>
                <w:rFonts w:hint="eastAsia" w:ascii="宋体" w:hAnsi="宋体"/>
                <w:color w:val="auto"/>
                <w:szCs w:val="21"/>
              </w:rPr>
              <w:t>项</w:t>
            </w:r>
          </w:p>
        </w:tc>
        <w:tc>
          <w:tcPr>
            <w:tcW w:w="825" w:type="dxa"/>
            <w:vAlign w:val="center"/>
          </w:tcPr>
          <w:p w14:paraId="65AC69C1">
            <w:pPr>
              <w:spacing w:line="240" w:lineRule="auto"/>
              <w:jc w:val="center"/>
              <w:rPr>
                <w:rFonts w:hint="eastAsia" w:ascii="宋体" w:hAnsi="宋体"/>
                <w:color w:val="auto"/>
                <w:szCs w:val="21"/>
              </w:rPr>
            </w:pPr>
            <w:r>
              <w:rPr>
                <w:rFonts w:hint="eastAsia" w:ascii="宋体" w:hAnsi="宋体"/>
                <w:color w:val="auto"/>
                <w:szCs w:val="21"/>
              </w:rPr>
              <w:t>1</w:t>
            </w:r>
          </w:p>
        </w:tc>
        <w:tc>
          <w:tcPr>
            <w:tcW w:w="2789" w:type="dxa"/>
            <w:vAlign w:val="center"/>
          </w:tcPr>
          <w:p w14:paraId="6D49997C">
            <w:pPr>
              <w:spacing w:line="240" w:lineRule="auto"/>
              <w:jc w:val="left"/>
              <w:rPr>
                <w:rFonts w:ascii="宋体" w:hAnsi="宋体" w:eastAsia="宋体"/>
                <w:color w:val="auto"/>
                <w:sz w:val="24"/>
                <w:szCs w:val="24"/>
              </w:rPr>
            </w:pPr>
            <w:r>
              <w:rPr>
                <w:rFonts w:ascii="宋体" w:hAnsi="宋体" w:eastAsia="宋体"/>
                <w:color w:val="auto"/>
                <w:sz w:val="24"/>
                <w:szCs w:val="24"/>
              </w:rPr>
              <w:t xml:space="preserve">本项目 </w:t>
            </w:r>
            <w:r>
              <w:rPr>
                <w:rFonts w:hint="eastAsia" w:ascii="宋体" w:hAnsi="宋体"/>
                <w:color w:val="auto"/>
                <w:sz w:val="24"/>
                <w:szCs w:val="24"/>
                <w:lang w:val="en-US" w:eastAsia="zh-CN"/>
              </w:rPr>
              <w:t>那坡公路养护中心</w:t>
            </w:r>
            <w:r>
              <w:rPr>
                <w:rFonts w:hint="eastAsia" w:ascii="Arial" w:hAnsi="Arial"/>
                <w:color w:val="auto"/>
                <w:sz w:val="24"/>
                <w:szCs w:val="24"/>
                <w:lang w:val="en-US" w:eastAsia="zh-CN"/>
              </w:rPr>
              <w:t>S518线那坡至平孟K23+000~K23+080应急抢通工程</w:t>
            </w:r>
            <w:r>
              <w:rPr>
                <w:rFonts w:ascii="宋体" w:hAnsi="宋体" w:eastAsia="宋体"/>
                <w:color w:val="auto"/>
                <w:sz w:val="24"/>
                <w:szCs w:val="24"/>
              </w:rPr>
              <w:t>为</w:t>
            </w:r>
            <w:r>
              <w:rPr>
                <w:rFonts w:hint="eastAsia" w:ascii="宋体" w:hAnsi="宋体"/>
                <w:color w:val="auto"/>
                <w:sz w:val="24"/>
                <w:szCs w:val="24"/>
                <w:lang w:val="en-US" w:eastAsia="zh-CN"/>
              </w:rPr>
              <w:t>省</w:t>
            </w:r>
            <w:r>
              <w:rPr>
                <w:rFonts w:ascii="宋体" w:hAnsi="宋体" w:eastAsia="宋体"/>
                <w:color w:val="auto"/>
                <w:sz w:val="24"/>
                <w:szCs w:val="24"/>
              </w:rPr>
              <w:t>道 S518 那坡至平孟</w:t>
            </w:r>
            <w:r>
              <w:rPr>
                <w:rFonts w:hint="eastAsia" w:ascii="宋体" w:hAnsi="宋体"/>
                <w:color w:val="auto"/>
                <w:sz w:val="24"/>
                <w:szCs w:val="24"/>
                <w:lang w:val="en-US" w:eastAsia="zh-CN"/>
              </w:rPr>
              <w:t>二级</w:t>
            </w:r>
            <w:r>
              <w:rPr>
                <w:rFonts w:ascii="宋体" w:hAnsi="宋体" w:eastAsia="宋体"/>
                <w:color w:val="auto"/>
                <w:sz w:val="24"/>
                <w:szCs w:val="24"/>
              </w:rPr>
              <w:t>公路内的一</w:t>
            </w:r>
            <w:r>
              <w:rPr>
                <w:rFonts w:hint="eastAsia" w:ascii="宋体" w:hAnsi="宋体"/>
                <w:color w:val="auto"/>
                <w:sz w:val="24"/>
                <w:szCs w:val="24"/>
                <w:lang w:val="en-US" w:eastAsia="zh-CN"/>
              </w:rPr>
              <w:t>个路</w:t>
            </w:r>
            <w:r>
              <w:rPr>
                <w:rFonts w:ascii="宋体" w:hAnsi="宋体" w:eastAsia="宋体"/>
                <w:color w:val="auto"/>
                <w:sz w:val="24"/>
                <w:szCs w:val="24"/>
              </w:rPr>
              <w:t>段。起点位于那坡县S518线桩号K23+000 处，终点位于那坡县S518 线桩号K23+080处，工程路线全长 0.080km。</w:t>
            </w:r>
            <w:r>
              <w:rPr>
                <w:rFonts w:hint="eastAsia" w:ascii="宋体" w:hAnsi="宋体"/>
                <w:color w:val="auto"/>
                <w:sz w:val="24"/>
                <w:szCs w:val="24"/>
              </w:rPr>
              <w:t>工程内容包括：</w:t>
            </w:r>
            <w:r>
              <w:rPr>
                <w:rFonts w:hint="eastAsia" w:ascii="宋体" w:hAnsi="宋体"/>
                <w:color w:val="auto"/>
                <w:sz w:val="24"/>
                <w:szCs w:val="24"/>
                <w:lang w:val="en-US" w:eastAsia="zh-CN"/>
              </w:rPr>
              <w:t>混凝土挡土墙及镀高尔凡格宾挡墙加固、开挖路基垮塌路段并回填、新建圆管涵、恢复路面等</w:t>
            </w:r>
            <w:r>
              <w:rPr>
                <w:rFonts w:hint="eastAsia" w:ascii="宋体" w:hAnsi="宋体"/>
                <w:color w:val="auto"/>
                <w:sz w:val="24"/>
                <w:szCs w:val="24"/>
              </w:rPr>
              <w:t>，</w:t>
            </w:r>
            <w:r>
              <w:rPr>
                <w:rFonts w:hint="eastAsia" w:ascii="宋体" w:hAnsi="宋体"/>
                <w:color w:val="auto"/>
                <w:sz w:val="24"/>
                <w:szCs w:val="24"/>
                <w:lang w:val="en-US" w:eastAsia="zh-CN"/>
              </w:rPr>
              <w:t>具体内容及</w:t>
            </w:r>
            <w:r>
              <w:rPr>
                <w:rFonts w:hint="eastAsia" w:ascii="宋体" w:hAnsi="宋体"/>
                <w:color w:val="auto"/>
                <w:sz w:val="24"/>
                <w:szCs w:val="24"/>
              </w:rPr>
              <w:t>技术指标以该工程项目施工设计图纸及工程量清单为准。</w:t>
            </w:r>
          </w:p>
        </w:tc>
        <w:tc>
          <w:tcPr>
            <w:tcW w:w="1305" w:type="dxa"/>
            <w:vAlign w:val="center"/>
          </w:tcPr>
          <w:p w14:paraId="4BA72878">
            <w:pPr>
              <w:snapToGrid w:val="0"/>
              <w:spacing w:line="240" w:lineRule="auto"/>
              <w:jc w:val="center"/>
              <w:rPr>
                <w:rFonts w:hint="eastAsia" w:ascii="宋体" w:hAnsi="宋体"/>
                <w:color w:val="auto"/>
                <w:szCs w:val="21"/>
              </w:rPr>
            </w:pPr>
            <w:r>
              <w:rPr>
                <w:rFonts w:hint="eastAsia" w:ascii="宋体" w:hAnsi="宋体"/>
                <w:color w:val="auto"/>
                <w:szCs w:val="21"/>
                <w:lang w:val="en-US" w:eastAsia="zh-CN"/>
              </w:rPr>
              <w:t>188.558511</w:t>
            </w:r>
            <w:r>
              <w:rPr>
                <w:rFonts w:hint="eastAsia" w:ascii="宋体" w:hAnsi="宋体"/>
                <w:color w:val="auto"/>
                <w:szCs w:val="21"/>
              </w:rPr>
              <w:t>万元</w:t>
            </w:r>
          </w:p>
        </w:tc>
        <w:tc>
          <w:tcPr>
            <w:tcW w:w="1186" w:type="dxa"/>
            <w:vAlign w:val="center"/>
          </w:tcPr>
          <w:p w14:paraId="1DB6F3C9">
            <w:pPr>
              <w:spacing w:line="240" w:lineRule="auto"/>
              <w:jc w:val="center"/>
              <w:rPr>
                <w:rFonts w:hint="eastAsia" w:ascii="宋体" w:hAnsi="宋体"/>
                <w:color w:val="auto"/>
                <w:szCs w:val="21"/>
              </w:rPr>
            </w:pPr>
            <w:r>
              <w:rPr>
                <w:rFonts w:hint="eastAsia" w:ascii="宋体" w:hAnsi="宋体"/>
                <w:color w:val="auto"/>
                <w:szCs w:val="21"/>
              </w:rPr>
              <w:t>建筑业</w:t>
            </w:r>
          </w:p>
        </w:tc>
      </w:tr>
      <w:tr w14:paraId="3A87A8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trPr>
        <w:tc>
          <w:tcPr>
            <w:tcW w:w="460" w:type="dxa"/>
            <w:vAlign w:val="center"/>
          </w:tcPr>
          <w:p w14:paraId="3CC00ACA">
            <w:pPr>
              <w:spacing w:line="240" w:lineRule="auto"/>
              <w:jc w:val="center"/>
              <w:rPr>
                <w:rFonts w:hint="eastAsia" w:ascii="宋体" w:hAnsi="宋体"/>
                <w:color w:val="auto"/>
                <w:szCs w:val="21"/>
              </w:rPr>
            </w:pPr>
            <w:r>
              <w:rPr>
                <w:rFonts w:hint="eastAsia" w:ascii="宋体" w:hAnsi="宋体"/>
                <w:color w:val="auto"/>
                <w:szCs w:val="21"/>
              </w:rPr>
              <w:t>商务条款</w:t>
            </w:r>
          </w:p>
        </w:tc>
        <w:tc>
          <w:tcPr>
            <w:tcW w:w="9380" w:type="dxa"/>
            <w:gridSpan w:val="7"/>
            <w:vAlign w:val="top"/>
          </w:tcPr>
          <w:p w14:paraId="5AD62147">
            <w:pPr>
              <w:spacing w:line="240" w:lineRule="auto"/>
              <w:rPr>
                <w:rFonts w:hint="eastAsia" w:ascii="宋体" w:hAnsi="宋体"/>
                <w:color w:val="auto"/>
                <w:sz w:val="24"/>
                <w:szCs w:val="24"/>
              </w:rPr>
            </w:pPr>
            <w:r>
              <w:rPr>
                <w:rFonts w:hint="eastAsia" w:ascii="宋体" w:hAnsi="宋体"/>
                <w:color w:val="auto"/>
                <w:sz w:val="24"/>
                <w:szCs w:val="24"/>
              </w:rPr>
              <w:t>▲一、合同签订期：自成交通知书发出之日起25日内</w:t>
            </w:r>
          </w:p>
          <w:p w14:paraId="6F4F171B">
            <w:pPr>
              <w:spacing w:line="240" w:lineRule="auto"/>
              <w:rPr>
                <w:rFonts w:hint="eastAsia" w:ascii="宋体" w:hAnsi="宋体"/>
                <w:color w:val="auto"/>
                <w:sz w:val="24"/>
                <w:szCs w:val="24"/>
              </w:rPr>
            </w:pPr>
            <w:r>
              <w:rPr>
                <w:rFonts w:hint="eastAsia" w:ascii="宋体" w:hAnsi="宋体"/>
                <w:color w:val="auto"/>
                <w:sz w:val="24"/>
                <w:szCs w:val="24"/>
              </w:rPr>
              <w:t>二、合同签订期地点：</w:t>
            </w:r>
            <w:r>
              <w:rPr>
                <w:rFonts w:hint="eastAsia" w:ascii="宋体" w:hAnsi="宋体"/>
                <w:color w:val="auto"/>
                <w:sz w:val="24"/>
                <w:szCs w:val="24"/>
                <w:lang w:val="en-US" w:eastAsia="zh-CN"/>
              </w:rPr>
              <w:t>广西那坡县城厢镇那中路1号</w:t>
            </w:r>
            <w:r>
              <w:rPr>
                <w:rFonts w:hint="eastAsia" w:ascii="宋体" w:hAnsi="宋体"/>
                <w:color w:val="auto"/>
                <w:sz w:val="24"/>
                <w:szCs w:val="24"/>
              </w:rPr>
              <w:t>。</w:t>
            </w:r>
          </w:p>
          <w:p w14:paraId="577A3D5D">
            <w:pPr>
              <w:spacing w:line="240" w:lineRule="auto"/>
              <w:rPr>
                <w:rFonts w:hint="eastAsia" w:ascii="宋体" w:hAnsi="宋体"/>
                <w:color w:val="auto"/>
                <w:sz w:val="24"/>
                <w:szCs w:val="24"/>
              </w:rPr>
            </w:pPr>
            <w:r>
              <w:rPr>
                <w:rFonts w:hint="eastAsia" w:ascii="宋体" w:hAnsi="宋体"/>
                <w:color w:val="auto"/>
                <w:sz w:val="24"/>
                <w:szCs w:val="24"/>
              </w:rPr>
              <w:t>▲三、合同履行期限：</w:t>
            </w:r>
            <w:r>
              <w:rPr>
                <w:rFonts w:hint="eastAsia" w:ascii="宋体" w:hAnsi="宋体"/>
                <w:color w:val="auto"/>
                <w:sz w:val="24"/>
                <w:szCs w:val="24"/>
                <w:lang w:val="en-US" w:eastAsia="zh-CN"/>
              </w:rPr>
              <w:t>45</w:t>
            </w:r>
            <w:r>
              <w:rPr>
                <w:rFonts w:hint="eastAsia" w:ascii="宋体" w:hAnsi="宋体"/>
                <w:color w:val="auto"/>
                <w:sz w:val="24"/>
                <w:szCs w:val="24"/>
              </w:rPr>
              <w:t>日历天，自合同签订日起计。</w:t>
            </w:r>
          </w:p>
          <w:p w14:paraId="7C7162EA">
            <w:pPr>
              <w:spacing w:line="240" w:lineRule="auto"/>
              <w:rPr>
                <w:rFonts w:hint="eastAsia" w:ascii="宋体" w:hAnsi="宋体"/>
                <w:color w:val="auto"/>
                <w:sz w:val="24"/>
                <w:szCs w:val="24"/>
              </w:rPr>
            </w:pPr>
            <w:r>
              <w:rPr>
                <w:rFonts w:hint="eastAsia" w:ascii="宋体" w:hAnsi="宋体"/>
                <w:color w:val="auto"/>
                <w:sz w:val="24"/>
                <w:szCs w:val="24"/>
              </w:rPr>
              <w:t>▲四、验收标准、规范：达到国家施工验收规范合格标准。</w:t>
            </w:r>
          </w:p>
          <w:p w14:paraId="32D80138">
            <w:pPr>
              <w:spacing w:line="240" w:lineRule="auto"/>
              <w:rPr>
                <w:rFonts w:hint="eastAsia" w:ascii="宋体" w:hAnsi="宋体"/>
                <w:color w:val="auto"/>
                <w:sz w:val="24"/>
                <w:szCs w:val="24"/>
              </w:rPr>
            </w:pPr>
            <w:r>
              <w:rPr>
                <w:rFonts w:hint="eastAsia" w:ascii="宋体" w:hAnsi="宋体"/>
                <w:color w:val="auto"/>
                <w:sz w:val="24"/>
                <w:szCs w:val="24"/>
              </w:rPr>
              <w:t>▲五、其他要求：</w:t>
            </w:r>
          </w:p>
          <w:p w14:paraId="34AF45E9">
            <w:pPr>
              <w:spacing w:line="240" w:lineRule="auto"/>
              <w:rPr>
                <w:rFonts w:hint="eastAsia" w:ascii="宋体" w:hAnsi="宋体"/>
                <w:color w:val="auto"/>
                <w:sz w:val="24"/>
                <w:szCs w:val="24"/>
              </w:rPr>
            </w:pPr>
            <w:r>
              <w:rPr>
                <w:rFonts w:hint="eastAsia" w:ascii="宋体" w:hAnsi="宋体"/>
                <w:color w:val="auto"/>
                <w:sz w:val="24"/>
                <w:szCs w:val="24"/>
              </w:rPr>
              <w:t>1、付款方式：①开工预付款金额：</w:t>
            </w:r>
            <w:r>
              <w:rPr>
                <w:rFonts w:hint="eastAsia" w:ascii="宋体" w:hAnsi="宋体"/>
                <w:color w:val="auto"/>
                <w:sz w:val="24"/>
                <w:szCs w:val="24"/>
                <w:lang w:val="en-US" w:eastAsia="zh-CN"/>
              </w:rPr>
              <w:t>本项目不设预付款</w:t>
            </w:r>
            <w:r>
              <w:rPr>
                <w:rFonts w:hint="eastAsia" w:ascii="宋体" w:hAnsi="宋体"/>
                <w:color w:val="auto"/>
                <w:sz w:val="24"/>
                <w:szCs w:val="24"/>
              </w:rPr>
              <w:t>。工程款按文件政策和工程实际进度情况支付；②付款方式按工程进度计量，待工程验收合格后，工程款支付至结算总价的100%（含已支付的）；③质量保证金</w:t>
            </w:r>
            <w:r>
              <w:rPr>
                <w:color w:val="auto"/>
                <w:sz w:val="24"/>
                <w:szCs w:val="24"/>
              </w:rPr>
              <w:t>承包人</w:t>
            </w:r>
            <w:r>
              <w:rPr>
                <w:rFonts w:hint="eastAsia"/>
                <w:color w:val="auto"/>
                <w:sz w:val="24"/>
                <w:szCs w:val="24"/>
              </w:rPr>
              <w:t>按</w:t>
            </w:r>
            <w:r>
              <w:rPr>
                <w:color w:val="auto"/>
                <w:sz w:val="24"/>
                <w:szCs w:val="24"/>
              </w:rPr>
              <w:t>每次计量</w:t>
            </w:r>
            <w:r>
              <w:rPr>
                <w:rFonts w:hint="eastAsia"/>
                <w:color w:val="auto"/>
                <w:sz w:val="24"/>
                <w:szCs w:val="24"/>
              </w:rPr>
              <w:t>款</w:t>
            </w:r>
            <w:r>
              <w:rPr>
                <w:color w:val="auto"/>
                <w:sz w:val="24"/>
                <w:szCs w:val="24"/>
              </w:rPr>
              <w:t>总额的3%</w:t>
            </w:r>
            <w:r>
              <w:rPr>
                <w:rFonts w:hint="eastAsia"/>
                <w:color w:val="auto"/>
                <w:sz w:val="24"/>
                <w:szCs w:val="24"/>
              </w:rPr>
              <w:t>以转账的方式</w:t>
            </w:r>
            <w:r>
              <w:rPr>
                <w:color w:val="auto"/>
                <w:sz w:val="24"/>
                <w:szCs w:val="24"/>
              </w:rPr>
              <w:t>汇到业主指定的账户</w:t>
            </w:r>
            <w:r>
              <w:rPr>
                <w:rFonts w:hint="eastAsia" w:ascii="宋体" w:hAnsi="宋体"/>
                <w:color w:val="auto"/>
                <w:sz w:val="24"/>
                <w:szCs w:val="24"/>
              </w:rPr>
              <w:t>，质量保证金以现金形式，金额应符合项目专用合同条款数据表的规定。质量保证金不计付利息以及利息在约定的缺陷责任期满，按规定对工程质量检测鉴定合格，承包人向发包人申请到期应返还承包人剩余的质量保证金金额，发包人应在14天内会同承包人按照合同约定的内容核实承包人是否完成缺陷责任。如无异议，发包人应当在核实后将剩余保证金返还承包人。</w:t>
            </w:r>
          </w:p>
          <w:p w14:paraId="6F5C0755">
            <w:pPr>
              <w:spacing w:line="240" w:lineRule="auto"/>
              <w:rPr>
                <w:rFonts w:hint="eastAsia" w:ascii="宋体" w:hAnsi="宋体"/>
                <w:color w:val="auto"/>
                <w:sz w:val="24"/>
                <w:szCs w:val="24"/>
              </w:rPr>
            </w:pPr>
            <w:r>
              <w:rPr>
                <w:rFonts w:hint="eastAsia" w:ascii="宋体" w:hAnsi="宋体"/>
                <w:color w:val="auto"/>
                <w:sz w:val="24"/>
                <w:szCs w:val="24"/>
              </w:rPr>
              <w:t>2、支付方式：银行转账支付。</w:t>
            </w:r>
          </w:p>
        </w:tc>
      </w:tr>
      <w:tr w14:paraId="688BF2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0" w:type="dxa"/>
            <w:vAlign w:val="center"/>
          </w:tcPr>
          <w:p w14:paraId="2A345DF7">
            <w:pPr>
              <w:spacing w:line="240" w:lineRule="auto"/>
              <w:jc w:val="center"/>
              <w:rPr>
                <w:rFonts w:hint="eastAsia" w:ascii="宋体" w:hAnsi="宋体"/>
                <w:color w:val="auto"/>
                <w:szCs w:val="21"/>
              </w:rPr>
            </w:pPr>
            <w:r>
              <w:rPr>
                <w:rFonts w:hint="eastAsia" w:ascii="宋体" w:hAnsi="宋体"/>
                <w:color w:val="auto"/>
                <w:szCs w:val="21"/>
              </w:rPr>
              <w:t>其他说明</w:t>
            </w:r>
          </w:p>
        </w:tc>
        <w:tc>
          <w:tcPr>
            <w:tcW w:w="9380" w:type="dxa"/>
            <w:gridSpan w:val="7"/>
            <w:vAlign w:val="top"/>
          </w:tcPr>
          <w:p w14:paraId="0FCE5442">
            <w:pPr>
              <w:spacing w:line="240" w:lineRule="auto"/>
              <w:rPr>
                <w:rFonts w:hint="eastAsia" w:ascii="宋体" w:hAnsi="宋体"/>
                <w:b/>
                <w:color w:val="auto"/>
                <w:szCs w:val="21"/>
              </w:rPr>
            </w:pPr>
            <w:r>
              <w:rPr>
                <w:rFonts w:hint="eastAsia" w:ascii="宋体" w:hAnsi="宋体"/>
                <w:b/>
                <w:color w:val="auto"/>
                <w:szCs w:val="21"/>
              </w:rPr>
              <w:t>本项目有关的设计图纸、技术规范、文件等附件资料及其获取方式</w:t>
            </w:r>
          </w:p>
          <w:p w14:paraId="0DD2E390">
            <w:pPr>
              <w:spacing w:line="240" w:lineRule="auto"/>
              <w:ind w:firstLine="420"/>
              <w:rPr>
                <w:rFonts w:hint="eastAsia" w:ascii="宋体" w:hAnsi="宋体"/>
                <w:color w:val="auto"/>
                <w:szCs w:val="21"/>
              </w:rPr>
            </w:pPr>
            <w:r>
              <w:rPr>
                <w:rFonts w:hint="eastAsia" w:ascii="宋体" w:hAnsi="宋体"/>
                <w:color w:val="auto"/>
                <w:szCs w:val="21"/>
              </w:rPr>
              <w:t>资料名称：1.工程量清单；2. 图纸</w:t>
            </w:r>
          </w:p>
          <w:p w14:paraId="61473E79">
            <w:pPr>
              <w:spacing w:line="240" w:lineRule="auto"/>
              <w:ind w:firstLine="420" w:firstLineChars="200"/>
              <w:rPr>
                <w:rFonts w:hint="eastAsia" w:ascii="宋体" w:hAnsi="宋体"/>
                <w:color w:val="auto"/>
                <w:szCs w:val="21"/>
              </w:rPr>
            </w:pPr>
            <w:r>
              <w:rPr>
                <w:rFonts w:hint="eastAsia" w:ascii="宋体" w:hAnsi="宋体"/>
                <w:color w:val="auto"/>
                <w:szCs w:val="21"/>
              </w:rPr>
              <w:t>获取方式：网上下载。供应商可自行在“广西政府采购云平台（https：/</w:t>
            </w:r>
            <w:r>
              <w:rPr>
                <w:rFonts w:ascii="宋体" w:hAnsi="宋体"/>
                <w:color w:val="auto"/>
                <w:szCs w:val="21"/>
              </w:rPr>
              <w:t>/www.</w:t>
            </w:r>
            <w:r>
              <w:rPr>
                <w:rFonts w:hint="eastAsia" w:ascii="宋体" w:hAnsi="宋体"/>
                <w:color w:val="auto"/>
                <w:szCs w:val="21"/>
              </w:rPr>
              <w:t>gcy.zfcg.gxzf.gov.cn/）下载采购文件（操作路径：登录“广西政府采购云平台”平台-项目采购-获取采购文件-找到本项目-点击“申请获取工程量清单、图纸”）。</w:t>
            </w:r>
          </w:p>
        </w:tc>
      </w:tr>
    </w:tbl>
    <w:p w14:paraId="3FD1236D">
      <w:pPr>
        <w:spacing w:line="240" w:lineRule="auto"/>
        <w:rPr>
          <w:rFonts w:ascii="宋体" w:hAnsi="宋体"/>
          <w:color w:val="auto"/>
        </w:rPr>
      </w:pPr>
      <w:r>
        <w:rPr>
          <w:rFonts w:ascii="宋体" w:hAnsi="宋体"/>
          <w:color w:val="auto"/>
        </w:rPr>
        <w:br w:type="page"/>
      </w:r>
      <w:r>
        <w:rPr>
          <w:rFonts w:hint="eastAsia" w:ascii="Arial Unicode MS" w:hAnsi="Arial Unicode MS" w:eastAsia="Arial Unicode MS"/>
          <w:color w:val="auto"/>
          <w:sz w:val="32"/>
          <w:szCs w:val="32"/>
        </w:rPr>
        <w:t>附件1</w:t>
      </w:r>
    </w:p>
    <w:p w14:paraId="5936FDAC">
      <w:pPr>
        <w:spacing w:line="240" w:lineRule="auto"/>
        <w:jc w:val="center"/>
        <w:rPr>
          <w:rFonts w:hint="eastAsia" w:ascii="Arial Unicode MS" w:hAnsi="Arial Unicode MS" w:eastAsia="Arial Unicode MS"/>
          <w:color w:val="auto"/>
          <w:sz w:val="40"/>
          <w:szCs w:val="40"/>
        </w:rPr>
      </w:pPr>
      <w:r>
        <w:rPr>
          <w:rFonts w:hint="eastAsia" w:ascii="Arial Unicode MS" w:hAnsi="Arial Unicode MS" w:eastAsia="Arial Unicode MS"/>
          <w:color w:val="auto"/>
          <w:sz w:val="40"/>
          <w:szCs w:val="40"/>
        </w:rPr>
        <w:t>统计上大中小微型企业划分标准</w:t>
      </w:r>
    </w:p>
    <w:tbl>
      <w:tblPr>
        <w:tblStyle w:val="2"/>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5972CE36">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vAlign w:val="center"/>
          </w:tcPr>
          <w:p w14:paraId="06E9657A">
            <w:pPr>
              <w:widowControl/>
              <w:spacing w:line="240" w:lineRule="auto"/>
              <w:jc w:val="center"/>
              <w:rPr>
                <w:rFonts w:hint="eastAsia" w:ascii="宋体" w:hAnsi="宋体"/>
                <w:b/>
                <w:bCs/>
                <w:color w:val="auto"/>
                <w:kern w:val="0"/>
                <w:sz w:val="18"/>
                <w:szCs w:val="21"/>
              </w:rPr>
            </w:pPr>
            <w:r>
              <w:rPr>
                <w:rFonts w:hint="eastAsia" w:ascii="宋体" w:hAnsi="宋体"/>
                <w:b/>
                <w:bCs/>
                <w:color w:val="auto"/>
                <w:kern w:val="0"/>
                <w:sz w:val="18"/>
                <w:szCs w:val="21"/>
              </w:rPr>
              <w:t>行业名称</w:t>
            </w:r>
          </w:p>
        </w:tc>
        <w:tc>
          <w:tcPr>
            <w:tcW w:w="1369" w:type="dxa"/>
            <w:tcBorders>
              <w:top w:val="single" w:color="auto" w:sz="4" w:space="0"/>
              <w:left w:val="nil"/>
              <w:bottom w:val="single" w:color="auto" w:sz="4" w:space="0"/>
              <w:right w:val="single" w:color="auto" w:sz="4" w:space="0"/>
            </w:tcBorders>
            <w:vAlign w:val="center"/>
          </w:tcPr>
          <w:p w14:paraId="0944027F">
            <w:pPr>
              <w:widowControl/>
              <w:spacing w:line="240" w:lineRule="auto"/>
              <w:jc w:val="center"/>
              <w:rPr>
                <w:rFonts w:hint="eastAsia" w:ascii="宋体" w:hAnsi="宋体"/>
                <w:b/>
                <w:bCs/>
                <w:color w:val="auto"/>
                <w:kern w:val="0"/>
                <w:sz w:val="18"/>
                <w:szCs w:val="18"/>
              </w:rPr>
            </w:pPr>
            <w:r>
              <w:rPr>
                <w:rFonts w:hint="eastAsia" w:ascii="宋体" w:hAnsi="宋体"/>
                <w:b/>
                <w:bCs/>
                <w:color w:val="auto"/>
                <w:kern w:val="0"/>
                <w:sz w:val="18"/>
                <w:szCs w:val="18"/>
              </w:rPr>
              <w:t>指标名称</w:t>
            </w:r>
          </w:p>
        </w:tc>
        <w:tc>
          <w:tcPr>
            <w:tcW w:w="709" w:type="dxa"/>
            <w:tcBorders>
              <w:top w:val="single" w:color="auto" w:sz="4" w:space="0"/>
              <w:left w:val="nil"/>
              <w:bottom w:val="single" w:color="auto" w:sz="4" w:space="0"/>
              <w:right w:val="single" w:color="auto" w:sz="4" w:space="0"/>
            </w:tcBorders>
            <w:vAlign w:val="center"/>
          </w:tcPr>
          <w:p w14:paraId="30DA9C6F">
            <w:pPr>
              <w:widowControl/>
              <w:spacing w:line="240" w:lineRule="auto"/>
              <w:jc w:val="center"/>
              <w:rPr>
                <w:rFonts w:hint="eastAsia" w:ascii="宋体" w:hAnsi="宋体"/>
                <w:b/>
                <w:bCs/>
                <w:color w:val="auto"/>
                <w:kern w:val="0"/>
                <w:sz w:val="18"/>
                <w:szCs w:val="18"/>
              </w:rPr>
            </w:pPr>
            <w:r>
              <w:rPr>
                <w:rFonts w:hint="eastAsia" w:ascii="宋体" w:hAnsi="宋体"/>
                <w:b/>
                <w:bCs/>
                <w:color w:val="auto"/>
                <w:kern w:val="0"/>
                <w:sz w:val="18"/>
                <w:szCs w:val="18"/>
              </w:rPr>
              <w:t>计量</w:t>
            </w:r>
          </w:p>
          <w:p w14:paraId="7A4335E2">
            <w:pPr>
              <w:widowControl/>
              <w:spacing w:line="240" w:lineRule="auto"/>
              <w:jc w:val="center"/>
              <w:rPr>
                <w:rFonts w:hint="eastAsia" w:ascii="宋体" w:hAnsi="宋体"/>
                <w:b/>
                <w:bCs/>
                <w:color w:val="auto"/>
                <w:kern w:val="0"/>
                <w:sz w:val="18"/>
                <w:szCs w:val="18"/>
              </w:rPr>
            </w:pPr>
            <w:r>
              <w:rPr>
                <w:rFonts w:hint="eastAsia" w:ascii="宋体" w:hAnsi="宋体"/>
                <w:b/>
                <w:bCs/>
                <w:color w:val="auto"/>
                <w:kern w:val="0"/>
                <w:sz w:val="18"/>
                <w:szCs w:val="18"/>
              </w:rPr>
              <w:t>单位</w:t>
            </w:r>
          </w:p>
        </w:tc>
        <w:tc>
          <w:tcPr>
            <w:tcW w:w="1125" w:type="dxa"/>
            <w:tcBorders>
              <w:top w:val="single" w:color="auto" w:sz="4" w:space="0"/>
              <w:left w:val="nil"/>
              <w:bottom w:val="single" w:color="auto" w:sz="4" w:space="0"/>
              <w:right w:val="single" w:color="auto" w:sz="4" w:space="0"/>
            </w:tcBorders>
            <w:vAlign w:val="center"/>
          </w:tcPr>
          <w:p w14:paraId="3452AA77">
            <w:pPr>
              <w:widowControl/>
              <w:spacing w:line="240" w:lineRule="auto"/>
              <w:jc w:val="center"/>
              <w:rPr>
                <w:rFonts w:hint="eastAsia" w:ascii="宋体" w:hAnsi="宋体"/>
                <w:b/>
                <w:bCs/>
                <w:color w:val="auto"/>
                <w:kern w:val="0"/>
                <w:sz w:val="18"/>
                <w:szCs w:val="18"/>
              </w:rPr>
            </w:pPr>
            <w:r>
              <w:rPr>
                <w:rFonts w:hint="eastAsia" w:ascii="宋体" w:hAnsi="宋体"/>
                <w:b/>
                <w:bCs/>
                <w:color w:val="auto"/>
                <w:kern w:val="0"/>
                <w:sz w:val="18"/>
                <w:szCs w:val="18"/>
              </w:rPr>
              <w:t>大型</w:t>
            </w:r>
          </w:p>
        </w:tc>
        <w:tc>
          <w:tcPr>
            <w:tcW w:w="1701" w:type="dxa"/>
            <w:tcBorders>
              <w:top w:val="single" w:color="auto" w:sz="4" w:space="0"/>
              <w:left w:val="nil"/>
              <w:bottom w:val="single" w:color="auto" w:sz="4" w:space="0"/>
              <w:right w:val="single" w:color="auto" w:sz="4" w:space="0"/>
            </w:tcBorders>
            <w:vAlign w:val="center"/>
          </w:tcPr>
          <w:p w14:paraId="2DA64286">
            <w:pPr>
              <w:widowControl/>
              <w:spacing w:line="240" w:lineRule="auto"/>
              <w:jc w:val="center"/>
              <w:rPr>
                <w:rFonts w:hint="eastAsia" w:ascii="宋体" w:hAnsi="宋体"/>
                <w:b/>
                <w:bCs/>
                <w:color w:val="auto"/>
                <w:kern w:val="0"/>
                <w:sz w:val="18"/>
                <w:szCs w:val="18"/>
              </w:rPr>
            </w:pPr>
            <w:r>
              <w:rPr>
                <w:rFonts w:hint="eastAsia" w:ascii="宋体" w:hAnsi="宋体"/>
                <w:b/>
                <w:bCs/>
                <w:color w:val="auto"/>
                <w:kern w:val="0"/>
                <w:sz w:val="18"/>
                <w:szCs w:val="18"/>
              </w:rPr>
              <w:t>中型</w:t>
            </w:r>
          </w:p>
        </w:tc>
        <w:tc>
          <w:tcPr>
            <w:tcW w:w="1426" w:type="dxa"/>
            <w:tcBorders>
              <w:top w:val="single" w:color="auto" w:sz="4" w:space="0"/>
              <w:left w:val="nil"/>
              <w:bottom w:val="single" w:color="auto" w:sz="4" w:space="0"/>
              <w:right w:val="single" w:color="auto" w:sz="4" w:space="0"/>
            </w:tcBorders>
            <w:vAlign w:val="center"/>
          </w:tcPr>
          <w:p w14:paraId="5E1E3F5D">
            <w:pPr>
              <w:widowControl/>
              <w:spacing w:line="240" w:lineRule="auto"/>
              <w:jc w:val="center"/>
              <w:rPr>
                <w:rFonts w:hint="eastAsia" w:ascii="宋体" w:hAnsi="宋体"/>
                <w:b/>
                <w:bCs/>
                <w:color w:val="auto"/>
                <w:kern w:val="0"/>
                <w:sz w:val="18"/>
                <w:szCs w:val="18"/>
              </w:rPr>
            </w:pPr>
            <w:r>
              <w:rPr>
                <w:rFonts w:hint="eastAsia" w:ascii="宋体" w:hAnsi="宋体"/>
                <w:b/>
                <w:bCs/>
                <w:color w:val="auto"/>
                <w:kern w:val="0"/>
                <w:sz w:val="18"/>
                <w:szCs w:val="18"/>
              </w:rPr>
              <w:t>小型</w:t>
            </w:r>
          </w:p>
        </w:tc>
        <w:tc>
          <w:tcPr>
            <w:tcW w:w="992" w:type="dxa"/>
            <w:tcBorders>
              <w:top w:val="single" w:color="auto" w:sz="4" w:space="0"/>
              <w:left w:val="nil"/>
              <w:bottom w:val="single" w:color="auto" w:sz="4" w:space="0"/>
              <w:right w:val="nil"/>
            </w:tcBorders>
            <w:vAlign w:val="center"/>
          </w:tcPr>
          <w:p w14:paraId="4D09EB9F">
            <w:pPr>
              <w:widowControl/>
              <w:spacing w:line="240" w:lineRule="auto"/>
              <w:jc w:val="center"/>
              <w:rPr>
                <w:rFonts w:hint="eastAsia" w:ascii="宋体" w:hAnsi="宋体"/>
                <w:b/>
                <w:bCs/>
                <w:color w:val="auto"/>
                <w:kern w:val="0"/>
                <w:sz w:val="18"/>
                <w:szCs w:val="18"/>
              </w:rPr>
            </w:pPr>
            <w:r>
              <w:rPr>
                <w:rFonts w:hint="eastAsia" w:ascii="宋体" w:hAnsi="宋体"/>
                <w:b/>
                <w:bCs/>
                <w:color w:val="auto"/>
                <w:kern w:val="0"/>
                <w:sz w:val="18"/>
                <w:szCs w:val="18"/>
              </w:rPr>
              <w:t>微型</w:t>
            </w:r>
          </w:p>
        </w:tc>
      </w:tr>
      <w:tr w14:paraId="5FDA1DC2">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vAlign w:val="center"/>
          </w:tcPr>
          <w:p w14:paraId="779E216F">
            <w:pPr>
              <w:widowControl/>
              <w:spacing w:line="240" w:lineRule="auto"/>
              <w:jc w:val="left"/>
              <w:rPr>
                <w:rFonts w:hint="eastAsia" w:ascii="宋体" w:hAnsi="宋体"/>
                <w:color w:val="auto"/>
                <w:kern w:val="0"/>
                <w:sz w:val="18"/>
                <w:szCs w:val="18"/>
              </w:rPr>
            </w:pPr>
            <w:r>
              <w:rPr>
                <w:rFonts w:hint="eastAsia" w:ascii="宋体" w:hAnsi="宋体"/>
                <w:color w:val="auto"/>
                <w:kern w:val="0"/>
                <w:sz w:val="18"/>
                <w:szCs w:val="18"/>
              </w:rPr>
              <w:t>农、林、牧、渔业</w:t>
            </w:r>
          </w:p>
        </w:tc>
        <w:tc>
          <w:tcPr>
            <w:tcW w:w="1369" w:type="dxa"/>
            <w:tcBorders>
              <w:top w:val="nil"/>
              <w:left w:val="nil"/>
              <w:bottom w:val="single" w:color="auto" w:sz="4" w:space="0"/>
              <w:right w:val="single" w:color="auto" w:sz="4" w:space="0"/>
            </w:tcBorders>
            <w:vAlign w:val="center"/>
          </w:tcPr>
          <w:p w14:paraId="77595A63">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营业收入(Y)</w:t>
            </w:r>
          </w:p>
        </w:tc>
        <w:tc>
          <w:tcPr>
            <w:tcW w:w="709" w:type="dxa"/>
            <w:tcBorders>
              <w:top w:val="nil"/>
              <w:left w:val="nil"/>
              <w:bottom w:val="single" w:color="auto" w:sz="4" w:space="0"/>
              <w:right w:val="single" w:color="auto" w:sz="4" w:space="0"/>
            </w:tcBorders>
            <w:vAlign w:val="center"/>
          </w:tcPr>
          <w:p w14:paraId="4B05ACD3">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万元</w:t>
            </w:r>
          </w:p>
        </w:tc>
        <w:tc>
          <w:tcPr>
            <w:tcW w:w="1125" w:type="dxa"/>
            <w:tcBorders>
              <w:top w:val="nil"/>
              <w:left w:val="nil"/>
              <w:bottom w:val="single" w:color="auto" w:sz="4" w:space="0"/>
              <w:right w:val="single" w:color="auto" w:sz="4" w:space="0"/>
            </w:tcBorders>
            <w:vAlign w:val="center"/>
          </w:tcPr>
          <w:p w14:paraId="58B3A678">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Y≥20000</w:t>
            </w:r>
          </w:p>
        </w:tc>
        <w:tc>
          <w:tcPr>
            <w:tcW w:w="1701" w:type="dxa"/>
            <w:tcBorders>
              <w:top w:val="nil"/>
              <w:left w:val="nil"/>
              <w:bottom w:val="single" w:color="auto" w:sz="4" w:space="0"/>
              <w:right w:val="single" w:color="auto" w:sz="4" w:space="0"/>
            </w:tcBorders>
            <w:vAlign w:val="center"/>
          </w:tcPr>
          <w:p w14:paraId="7C6A7D7E">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 xml:space="preserve"> 500≤Y＜20000</w:t>
            </w:r>
          </w:p>
        </w:tc>
        <w:tc>
          <w:tcPr>
            <w:tcW w:w="1426" w:type="dxa"/>
            <w:tcBorders>
              <w:top w:val="nil"/>
              <w:left w:val="nil"/>
              <w:bottom w:val="single" w:color="auto" w:sz="4" w:space="0"/>
              <w:right w:val="single" w:color="auto" w:sz="4" w:space="0"/>
            </w:tcBorders>
            <w:vAlign w:val="center"/>
          </w:tcPr>
          <w:p w14:paraId="7492FBFC">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 xml:space="preserve"> 50≤Y＜500</w:t>
            </w:r>
          </w:p>
        </w:tc>
        <w:tc>
          <w:tcPr>
            <w:tcW w:w="992" w:type="dxa"/>
            <w:tcBorders>
              <w:top w:val="nil"/>
              <w:left w:val="nil"/>
              <w:bottom w:val="single" w:color="auto" w:sz="4" w:space="0"/>
              <w:right w:val="nil"/>
            </w:tcBorders>
            <w:vAlign w:val="center"/>
          </w:tcPr>
          <w:p w14:paraId="51CB0B98">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Y＜50</w:t>
            </w:r>
          </w:p>
        </w:tc>
      </w:tr>
      <w:tr w14:paraId="7A0A4155">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1E1A7DBE">
            <w:pPr>
              <w:widowControl/>
              <w:spacing w:line="240" w:lineRule="auto"/>
              <w:jc w:val="left"/>
              <w:rPr>
                <w:rFonts w:hint="eastAsia" w:ascii="宋体" w:hAnsi="宋体"/>
                <w:color w:val="auto"/>
                <w:kern w:val="0"/>
                <w:sz w:val="18"/>
                <w:szCs w:val="18"/>
              </w:rPr>
            </w:pPr>
            <w:r>
              <w:rPr>
                <w:rFonts w:hint="eastAsia" w:ascii="宋体" w:hAnsi="宋体"/>
                <w:color w:val="auto"/>
                <w:kern w:val="0"/>
                <w:sz w:val="18"/>
                <w:szCs w:val="18"/>
              </w:rPr>
              <w:t>工业 *</w:t>
            </w:r>
          </w:p>
        </w:tc>
        <w:tc>
          <w:tcPr>
            <w:tcW w:w="1369" w:type="dxa"/>
            <w:tcBorders>
              <w:top w:val="nil"/>
              <w:left w:val="nil"/>
              <w:bottom w:val="nil"/>
              <w:right w:val="single" w:color="auto" w:sz="4" w:space="0"/>
            </w:tcBorders>
            <w:vAlign w:val="center"/>
          </w:tcPr>
          <w:p w14:paraId="02EA7D38">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从业人员(X)</w:t>
            </w:r>
          </w:p>
        </w:tc>
        <w:tc>
          <w:tcPr>
            <w:tcW w:w="709" w:type="dxa"/>
            <w:tcBorders>
              <w:top w:val="nil"/>
              <w:left w:val="nil"/>
              <w:bottom w:val="nil"/>
              <w:right w:val="single" w:color="auto" w:sz="4" w:space="0"/>
            </w:tcBorders>
            <w:vAlign w:val="center"/>
          </w:tcPr>
          <w:p w14:paraId="6BCB245B">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人</w:t>
            </w:r>
          </w:p>
        </w:tc>
        <w:tc>
          <w:tcPr>
            <w:tcW w:w="1125" w:type="dxa"/>
            <w:tcBorders>
              <w:top w:val="nil"/>
              <w:left w:val="nil"/>
              <w:bottom w:val="nil"/>
              <w:right w:val="single" w:color="auto" w:sz="4" w:space="0"/>
            </w:tcBorders>
            <w:vAlign w:val="center"/>
          </w:tcPr>
          <w:p w14:paraId="44D738E5">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X≥1000</w:t>
            </w:r>
          </w:p>
        </w:tc>
        <w:tc>
          <w:tcPr>
            <w:tcW w:w="1701" w:type="dxa"/>
            <w:tcBorders>
              <w:top w:val="nil"/>
              <w:left w:val="nil"/>
              <w:bottom w:val="nil"/>
              <w:right w:val="single" w:color="auto" w:sz="4" w:space="0"/>
            </w:tcBorders>
            <w:vAlign w:val="center"/>
          </w:tcPr>
          <w:p w14:paraId="1377BC86">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300≤X＜1000</w:t>
            </w:r>
          </w:p>
        </w:tc>
        <w:tc>
          <w:tcPr>
            <w:tcW w:w="1426" w:type="dxa"/>
            <w:tcBorders>
              <w:top w:val="nil"/>
              <w:left w:val="nil"/>
              <w:bottom w:val="nil"/>
              <w:right w:val="single" w:color="auto" w:sz="4" w:space="0"/>
            </w:tcBorders>
            <w:vAlign w:val="center"/>
          </w:tcPr>
          <w:p w14:paraId="0A5E835D">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 xml:space="preserve"> 20≤X＜300</w:t>
            </w:r>
          </w:p>
        </w:tc>
        <w:tc>
          <w:tcPr>
            <w:tcW w:w="992" w:type="dxa"/>
            <w:tcBorders>
              <w:top w:val="nil"/>
              <w:left w:val="nil"/>
              <w:bottom w:val="nil"/>
              <w:right w:val="nil"/>
            </w:tcBorders>
            <w:vAlign w:val="center"/>
          </w:tcPr>
          <w:p w14:paraId="68B22502">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X＜20</w:t>
            </w:r>
          </w:p>
        </w:tc>
      </w:tr>
      <w:tr w14:paraId="1025866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B4C124E">
            <w:pPr>
              <w:widowControl/>
              <w:spacing w:line="240" w:lineRule="auto"/>
              <w:jc w:val="left"/>
              <w:rPr>
                <w:rFonts w:ascii="宋体" w:hAnsi="宋体"/>
                <w:color w:val="auto"/>
                <w:kern w:val="0"/>
                <w:sz w:val="18"/>
                <w:szCs w:val="18"/>
              </w:rPr>
            </w:pPr>
          </w:p>
        </w:tc>
        <w:tc>
          <w:tcPr>
            <w:tcW w:w="1369" w:type="dxa"/>
            <w:tcBorders>
              <w:top w:val="nil"/>
              <w:left w:val="nil"/>
              <w:bottom w:val="single" w:color="auto" w:sz="4" w:space="0"/>
              <w:right w:val="single" w:color="auto" w:sz="4" w:space="0"/>
            </w:tcBorders>
            <w:vAlign w:val="center"/>
          </w:tcPr>
          <w:p w14:paraId="51D090BD">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营业收入(Y)</w:t>
            </w:r>
          </w:p>
        </w:tc>
        <w:tc>
          <w:tcPr>
            <w:tcW w:w="709" w:type="dxa"/>
            <w:tcBorders>
              <w:top w:val="nil"/>
              <w:left w:val="nil"/>
              <w:bottom w:val="single" w:color="auto" w:sz="4" w:space="0"/>
              <w:right w:val="single" w:color="auto" w:sz="4" w:space="0"/>
            </w:tcBorders>
            <w:vAlign w:val="center"/>
          </w:tcPr>
          <w:p w14:paraId="2EF8CDDA">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万元</w:t>
            </w:r>
          </w:p>
        </w:tc>
        <w:tc>
          <w:tcPr>
            <w:tcW w:w="1125" w:type="dxa"/>
            <w:tcBorders>
              <w:top w:val="nil"/>
              <w:left w:val="nil"/>
              <w:bottom w:val="single" w:color="auto" w:sz="4" w:space="0"/>
              <w:right w:val="single" w:color="auto" w:sz="4" w:space="0"/>
            </w:tcBorders>
            <w:vAlign w:val="center"/>
          </w:tcPr>
          <w:p w14:paraId="10099018">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Y≥40000</w:t>
            </w:r>
          </w:p>
        </w:tc>
        <w:tc>
          <w:tcPr>
            <w:tcW w:w="1701" w:type="dxa"/>
            <w:tcBorders>
              <w:top w:val="nil"/>
              <w:left w:val="nil"/>
              <w:bottom w:val="single" w:color="auto" w:sz="4" w:space="0"/>
              <w:right w:val="single" w:color="auto" w:sz="4" w:space="0"/>
            </w:tcBorders>
            <w:vAlign w:val="center"/>
          </w:tcPr>
          <w:p w14:paraId="125CF568">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2000≤Y＜40000</w:t>
            </w:r>
          </w:p>
        </w:tc>
        <w:tc>
          <w:tcPr>
            <w:tcW w:w="1426" w:type="dxa"/>
            <w:tcBorders>
              <w:top w:val="nil"/>
              <w:left w:val="nil"/>
              <w:bottom w:val="single" w:color="auto" w:sz="4" w:space="0"/>
              <w:right w:val="single" w:color="auto" w:sz="4" w:space="0"/>
            </w:tcBorders>
            <w:vAlign w:val="center"/>
          </w:tcPr>
          <w:p w14:paraId="501ACB12">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 xml:space="preserve"> 300≤Y＜2000</w:t>
            </w:r>
          </w:p>
        </w:tc>
        <w:tc>
          <w:tcPr>
            <w:tcW w:w="992" w:type="dxa"/>
            <w:tcBorders>
              <w:top w:val="nil"/>
              <w:left w:val="nil"/>
              <w:bottom w:val="single" w:color="auto" w:sz="4" w:space="0"/>
              <w:right w:val="nil"/>
            </w:tcBorders>
            <w:vAlign w:val="center"/>
          </w:tcPr>
          <w:p w14:paraId="247B5D51">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Y＜300</w:t>
            </w:r>
          </w:p>
        </w:tc>
      </w:tr>
      <w:tr w14:paraId="05CFE73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729D70B0">
            <w:pPr>
              <w:widowControl/>
              <w:spacing w:line="240" w:lineRule="auto"/>
              <w:jc w:val="left"/>
              <w:rPr>
                <w:rFonts w:hint="eastAsia" w:ascii="宋体" w:hAnsi="宋体"/>
                <w:color w:val="auto"/>
                <w:kern w:val="0"/>
                <w:sz w:val="18"/>
                <w:szCs w:val="18"/>
              </w:rPr>
            </w:pPr>
            <w:r>
              <w:rPr>
                <w:rFonts w:hint="eastAsia" w:ascii="宋体" w:hAnsi="宋体"/>
                <w:color w:val="auto"/>
                <w:kern w:val="0"/>
                <w:sz w:val="18"/>
                <w:szCs w:val="18"/>
              </w:rPr>
              <w:t>建筑业</w:t>
            </w:r>
          </w:p>
        </w:tc>
        <w:tc>
          <w:tcPr>
            <w:tcW w:w="1369" w:type="dxa"/>
            <w:tcBorders>
              <w:top w:val="nil"/>
              <w:left w:val="nil"/>
              <w:bottom w:val="nil"/>
              <w:right w:val="single" w:color="auto" w:sz="4" w:space="0"/>
            </w:tcBorders>
            <w:vAlign w:val="center"/>
          </w:tcPr>
          <w:p w14:paraId="32A14C68">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营业收入(Y)</w:t>
            </w:r>
          </w:p>
        </w:tc>
        <w:tc>
          <w:tcPr>
            <w:tcW w:w="709" w:type="dxa"/>
            <w:tcBorders>
              <w:top w:val="nil"/>
              <w:left w:val="nil"/>
              <w:bottom w:val="nil"/>
              <w:right w:val="single" w:color="auto" w:sz="4" w:space="0"/>
            </w:tcBorders>
            <w:vAlign w:val="center"/>
          </w:tcPr>
          <w:p w14:paraId="011A7A6A">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万元</w:t>
            </w:r>
          </w:p>
        </w:tc>
        <w:tc>
          <w:tcPr>
            <w:tcW w:w="1125" w:type="dxa"/>
            <w:tcBorders>
              <w:top w:val="nil"/>
              <w:left w:val="nil"/>
              <w:bottom w:val="nil"/>
              <w:right w:val="single" w:color="auto" w:sz="4" w:space="0"/>
            </w:tcBorders>
            <w:vAlign w:val="center"/>
          </w:tcPr>
          <w:p w14:paraId="248161FF">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Y≥80000</w:t>
            </w:r>
          </w:p>
        </w:tc>
        <w:tc>
          <w:tcPr>
            <w:tcW w:w="1701" w:type="dxa"/>
            <w:tcBorders>
              <w:top w:val="nil"/>
              <w:left w:val="nil"/>
              <w:bottom w:val="nil"/>
              <w:right w:val="single" w:color="auto" w:sz="4" w:space="0"/>
            </w:tcBorders>
            <w:vAlign w:val="center"/>
          </w:tcPr>
          <w:p w14:paraId="0CEF9CF3">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6000≤Y＜80000</w:t>
            </w:r>
          </w:p>
        </w:tc>
        <w:tc>
          <w:tcPr>
            <w:tcW w:w="1426" w:type="dxa"/>
            <w:tcBorders>
              <w:top w:val="nil"/>
              <w:left w:val="nil"/>
              <w:bottom w:val="nil"/>
              <w:right w:val="single" w:color="auto" w:sz="4" w:space="0"/>
            </w:tcBorders>
            <w:vAlign w:val="center"/>
          </w:tcPr>
          <w:p w14:paraId="7BEED615">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 xml:space="preserve"> 300≤Y＜6000</w:t>
            </w:r>
          </w:p>
        </w:tc>
        <w:tc>
          <w:tcPr>
            <w:tcW w:w="992" w:type="dxa"/>
            <w:tcBorders>
              <w:top w:val="nil"/>
              <w:left w:val="nil"/>
              <w:bottom w:val="nil"/>
              <w:right w:val="nil"/>
            </w:tcBorders>
            <w:vAlign w:val="center"/>
          </w:tcPr>
          <w:p w14:paraId="4BF6B9C9">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Y＜300</w:t>
            </w:r>
          </w:p>
        </w:tc>
      </w:tr>
      <w:tr w14:paraId="3A12AD1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2A7D33E">
            <w:pPr>
              <w:widowControl/>
              <w:spacing w:line="240" w:lineRule="auto"/>
              <w:jc w:val="left"/>
              <w:rPr>
                <w:rFonts w:ascii="宋体" w:hAnsi="宋体"/>
                <w:color w:val="auto"/>
                <w:kern w:val="0"/>
                <w:sz w:val="18"/>
                <w:szCs w:val="18"/>
              </w:rPr>
            </w:pPr>
          </w:p>
        </w:tc>
        <w:tc>
          <w:tcPr>
            <w:tcW w:w="1369" w:type="dxa"/>
            <w:tcBorders>
              <w:top w:val="nil"/>
              <w:left w:val="nil"/>
              <w:bottom w:val="single" w:color="auto" w:sz="4" w:space="0"/>
              <w:right w:val="single" w:color="auto" w:sz="4" w:space="0"/>
            </w:tcBorders>
            <w:vAlign w:val="center"/>
          </w:tcPr>
          <w:p w14:paraId="319ED30B">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资产总额(Z)</w:t>
            </w:r>
          </w:p>
        </w:tc>
        <w:tc>
          <w:tcPr>
            <w:tcW w:w="709" w:type="dxa"/>
            <w:tcBorders>
              <w:top w:val="nil"/>
              <w:left w:val="nil"/>
              <w:bottom w:val="single" w:color="auto" w:sz="4" w:space="0"/>
              <w:right w:val="single" w:color="auto" w:sz="4" w:space="0"/>
            </w:tcBorders>
            <w:vAlign w:val="center"/>
          </w:tcPr>
          <w:p w14:paraId="0C6A5FFF">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万元</w:t>
            </w:r>
          </w:p>
        </w:tc>
        <w:tc>
          <w:tcPr>
            <w:tcW w:w="1125" w:type="dxa"/>
            <w:tcBorders>
              <w:top w:val="nil"/>
              <w:left w:val="nil"/>
              <w:bottom w:val="single" w:color="auto" w:sz="4" w:space="0"/>
              <w:right w:val="single" w:color="auto" w:sz="4" w:space="0"/>
            </w:tcBorders>
            <w:vAlign w:val="center"/>
          </w:tcPr>
          <w:p w14:paraId="7CFA74C0">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Z≥80000</w:t>
            </w:r>
          </w:p>
        </w:tc>
        <w:tc>
          <w:tcPr>
            <w:tcW w:w="1701" w:type="dxa"/>
            <w:tcBorders>
              <w:top w:val="nil"/>
              <w:left w:val="nil"/>
              <w:bottom w:val="single" w:color="auto" w:sz="4" w:space="0"/>
              <w:right w:val="single" w:color="auto" w:sz="4" w:space="0"/>
            </w:tcBorders>
            <w:vAlign w:val="center"/>
          </w:tcPr>
          <w:p w14:paraId="6069F50F">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5000≤Z＜80000</w:t>
            </w:r>
          </w:p>
        </w:tc>
        <w:tc>
          <w:tcPr>
            <w:tcW w:w="1426" w:type="dxa"/>
            <w:tcBorders>
              <w:top w:val="nil"/>
              <w:left w:val="nil"/>
              <w:bottom w:val="single" w:color="auto" w:sz="4" w:space="0"/>
              <w:right w:val="single" w:color="auto" w:sz="4" w:space="0"/>
            </w:tcBorders>
            <w:vAlign w:val="center"/>
          </w:tcPr>
          <w:p w14:paraId="15A7F9F5">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 xml:space="preserve"> 300≤Z＜5000</w:t>
            </w:r>
          </w:p>
        </w:tc>
        <w:tc>
          <w:tcPr>
            <w:tcW w:w="992" w:type="dxa"/>
            <w:tcBorders>
              <w:top w:val="nil"/>
              <w:left w:val="nil"/>
              <w:bottom w:val="single" w:color="auto" w:sz="4" w:space="0"/>
              <w:right w:val="nil"/>
            </w:tcBorders>
            <w:vAlign w:val="center"/>
          </w:tcPr>
          <w:p w14:paraId="708E03BE">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Z＜300</w:t>
            </w:r>
          </w:p>
        </w:tc>
      </w:tr>
      <w:tr w14:paraId="5480723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55EE8B94">
            <w:pPr>
              <w:widowControl/>
              <w:spacing w:line="240" w:lineRule="auto"/>
              <w:jc w:val="left"/>
              <w:rPr>
                <w:rFonts w:hint="eastAsia" w:ascii="宋体" w:hAnsi="宋体"/>
                <w:color w:val="auto"/>
                <w:kern w:val="0"/>
                <w:sz w:val="18"/>
                <w:szCs w:val="18"/>
              </w:rPr>
            </w:pPr>
            <w:r>
              <w:rPr>
                <w:rFonts w:hint="eastAsia" w:ascii="宋体" w:hAnsi="宋体"/>
                <w:color w:val="auto"/>
                <w:kern w:val="0"/>
                <w:sz w:val="18"/>
                <w:szCs w:val="18"/>
              </w:rPr>
              <w:t>批发业</w:t>
            </w:r>
          </w:p>
        </w:tc>
        <w:tc>
          <w:tcPr>
            <w:tcW w:w="1369" w:type="dxa"/>
            <w:tcBorders>
              <w:top w:val="nil"/>
              <w:left w:val="nil"/>
              <w:bottom w:val="nil"/>
              <w:right w:val="single" w:color="auto" w:sz="4" w:space="0"/>
            </w:tcBorders>
            <w:vAlign w:val="center"/>
          </w:tcPr>
          <w:p w14:paraId="45D7AFA8">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从业人员(X)</w:t>
            </w:r>
          </w:p>
        </w:tc>
        <w:tc>
          <w:tcPr>
            <w:tcW w:w="709" w:type="dxa"/>
            <w:tcBorders>
              <w:top w:val="nil"/>
              <w:left w:val="nil"/>
              <w:bottom w:val="nil"/>
              <w:right w:val="single" w:color="auto" w:sz="4" w:space="0"/>
            </w:tcBorders>
            <w:vAlign w:val="center"/>
          </w:tcPr>
          <w:p w14:paraId="49555917">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人</w:t>
            </w:r>
          </w:p>
        </w:tc>
        <w:tc>
          <w:tcPr>
            <w:tcW w:w="1125" w:type="dxa"/>
            <w:tcBorders>
              <w:top w:val="nil"/>
              <w:left w:val="nil"/>
              <w:bottom w:val="nil"/>
              <w:right w:val="single" w:color="auto" w:sz="4" w:space="0"/>
            </w:tcBorders>
            <w:vAlign w:val="center"/>
          </w:tcPr>
          <w:p w14:paraId="5FDCD078">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X≥200</w:t>
            </w:r>
          </w:p>
        </w:tc>
        <w:tc>
          <w:tcPr>
            <w:tcW w:w="1701" w:type="dxa"/>
            <w:tcBorders>
              <w:top w:val="nil"/>
              <w:left w:val="nil"/>
              <w:bottom w:val="nil"/>
              <w:right w:val="single" w:color="auto" w:sz="4" w:space="0"/>
            </w:tcBorders>
            <w:vAlign w:val="center"/>
          </w:tcPr>
          <w:p w14:paraId="10500577">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20≤X＜200</w:t>
            </w:r>
          </w:p>
        </w:tc>
        <w:tc>
          <w:tcPr>
            <w:tcW w:w="1426" w:type="dxa"/>
            <w:tcBorders>
              <w:top w:val="nil"/>
              <w:left w:val="nil"/>
              <w:bottom w:val="nil"/>
              <w:right w:val="single" w:color="auto" w:sz="4" w:space="0"/>
            </w:tcBorders>
            <w:vAlign w:val="center"/>
          </w:tcPr>
          <w:p w14:paraId="04F7A83A">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 xml:space="preserve"> 5≤X＜20</w:t>
            </w:r>
          </w:p>
        </w:tc>
        <w:tc>
          <w:tcPr>
            <w:tcW w:w="992" w:type="dxa"/>
            <w:tcBorders>
              <w:top w:val="nil"/>
              <w:left w:val="nil"/>
              <w:bottom w:val="nil"/>
              <w:right w:val="nil"/>
            </w:tcBorders>
            <w:vAlign w:val="center"/>
          </w:tcPr>
          <w:p w14:paraId="692D048E">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X＜5</w:t>
            </w:r>
          </w:p>
        </w:tc>
      </w:tr>
      <w:tr w14:paraId="6DC9B62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1F359A7">
            <w:pPr>
              <w:widowControl/>
              <w:spacing w:line="240" w:lineRule="auto"/>
              <w:jc w:val="left"/>
              <w:rPr>
                <w:rFonts w:ascii="宋体" w:hAnsi="宋体"/>
                <w:color w:val="auto"/>
                <w:kern w:val="0"/>
                <w:sz w:val="18"/>
                <w:szCs w:val="18"/>
              </w:rPr>
            </w:pPr>
          </w:p>
        </w:tc>
        <w:tc>
          <w:tcPr>
            <w:tcW w:w="1369" w:type="dxa"/>
            <w:tcBorders>
              <w:top w:val="nil"/>
              <w:left w:val="nil"/>
              <w:bottom w:val="single" w:color="auto" w:sz="4" w:space="0"/>
              <w:right w:val="single" w:color="auto" w:sz="4" w:space="0"/>
            </w:tcBorders>
            <w:vAlign w:val="center"/>
          </w:tcPr>
          <w:p w14:paraId="25D76C87">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营业收入(Y)</w:t>
            </w:r>
          </w:p>
        </w:tc>
        <w:tc>
          <w:tcPr>
            <w:tcW w:w="709" w:type="dxa"/>
            <w:tcBorders>
              <w:top w:val="nil"/>
              <w:left w:val="nil"/>
              <w:bottom w:val="single" w:color="auto" w:sz="4" w:space="0"/>
              <w:right w:val="single" w:color="auto" w:sz="4" w:space="0"/>
            </w:tcBorders>
            <w:vAlign w:val="center"/>
          </w:tcPr>
          <w:p w14:paraId="3C47FC3E">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万元</w:t>
            </w:r>
          </w:p>
        </w:tc>
        <w:tc>
          <w:tcPr>
            <w:tcW w:w="1125" w:type="dxa"/>
            <w:tcBorders>
              <w:top w:val="nil"/>
              <w:left w:val="nil"/>
              <w:bottom w:val="single" w:color="auto" w:sz="4" w:space="0"/>
              <w:right w:val="single" w:color="auto" w:sz="4" w:space="0"/>
            </w:tcBorders>
            <w:vAlign w:val="center"/>
          </w:tcPr>
          <w:p w14:paraId="7B5BC385">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Y≥40000</w:t>
            </w:r>
          </w:p>
        </w:tc>
        <w:tc>
          <w:tcPr>
            <w:tcW w:w="1701" w:type="dxa"/>
            <w:tcBorders>
              <w:top w:val="nil"/>
              <w:left w:val="nil"/>
              <w:bottom w:val="single" w:color="auto" w:sz="4" w:space="0"/>
              <w:right w:val="single" w:color="auto" w:sz="4" w:space="0"/>
            </w:tcBorders>
            <w:vAlign w:val="center"/>
          </w:tcPr>
          <w:p w14:paraId="0F3AF288">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5000≤Y＜40000</w:t>
            </w:r>
          </w:p>
        </w:tc>
        <w:tc>
          <w:tcPr>
            <w:tcW w:w="1426" w:type="dxa"/>
            <w:tcBorders>
              <w:top w:val="nil"/>
              <w:left w:val="nil"/>
              <w:bottom w:val="single" w:color="auto" w:sz="4" w:space="0"/>
              <w:right w:val="single" w:color="auto" w:sz="4" w:space="0"/>
            </w:tcBorders>
            <w:vAlign w:val="center"/>
          </w:tcPr>
          <w:p w14:paraId="77A793D5">
            <w:pPr>
              <w:widowControl/>
              <w:spacing w:line="240" w:lineRule="auto"/>
              <w:ind w:left="-1" w:leftChars="-1" w:hanging="1"/>
              <w:jc w:val="center"/>
              <w:rPr>
                <w:rFonts w:hint="eastAsia" w:ascii="宋体" w:hAnsi="宋体"/>
                <w:color w:val="auto"/>
                <w:kern w:val="0"/>
                <w:sz w:val="18"/>
                <w:szCs w:val="18"/>
              </w:rPr>
            </w:pPr>
            <w:r>
              <w:rPr>
                <w:rFonts w:hint="eastAsia" w:ascii="宋体" w:hAnsi="宋体"/>
                <w:color w:val="auto"/>
                <w:kern w:val="0"/>
                <w:sz w:val="18"/>
                <w:szCs w:val="18"/>
              </w:rPr>
              <w:t>1000≤Y＜5000</w:t>
            </w:r>
          </w:p>
        </w:tc>
        <w:tc>
          <w:tcPr>
            <w:tcW w:w="992" w:type="dxa"/>
            <w:tcBorders>
              <w:top w:val="nil"/>
              <w:left w:val="nil"/>
              <w:bottom w:val="single" w:color="auto" w:sz="4" w:space="0"/>
              <w:right w:val="nil"/>
            </w:tcBorders>
            <w:vAlign w:val="center"/>
          </w:tcPr>
          <w:p w14:paraId="40B78122">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Y＜1000</w:t>
            </w:r>
          </w:p>
        </w:tc>
      </w:tr>
      <w:tr w14:paraId="1CDCB03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03CE9127">
            <w:pPr>
              <w:widowControl/>
              <w:spacing w:line="240" w:lineRule="auto"/>
              <w:jc w:val="left"/>
              <w:rPr>
                <w:rFonts w:hint="eastAsia" w:ascii="宋体" w:hAnsi="宋体"/>
                <w:color w:val="auto"/>
                <w:kern w:val="0"/>
                <w:sz w:val="18"/>
                <w:szCs w:val="18"/>
              </w:rPr>
            </w:pPr>
            <w:r>
              <w:rPr>
                <w:rFonts w:hint="eastAsia" w:ascii="宋体" w:hAnsi="宋体"/>
                <w:color w:val="auto"/>
                <w:kern w:val="0"/>
                <w:sz w:val="18"/>
                <w:szCs w:val="18"/>
              </w:rPr>
              <w:t>零售业</w:t>
            </w:r>
          </w:p>
        </w:tc>
        <w:tc>
          <w:tcPr>
            <w:tcW w:w="1369" w:type="dxa"/>
            <w:tcBorders>
              <w:top w:val="nil"/>
              <w:left w:val="nil"/>
              <w:bottom w:val="nil"/>
              <w:right w:val="single" w:color="auto" w:sz="4" w:space="0"/>
            </w:tcBorders>
            <w:vAlign w:val="center"/>
          </w:tcPr>
          <w:p w14:paraId="5E8369E8">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从业人员(X)</w:t>
            </w:r>
          </w:p>
        </w:tc>
        <w:tc>
          <w:tcPr>
            <w:tcW w:w="709" w:type="dxa"/>
            <w:tcBorders>
              <w:top w:val="nil"/>
              <w:left w:val="nil"/>
              <w:bottom w:val="nil"/>
              <w:right w:val="single" w:color="auto" w:sz="4" w:space="0"/>
            </w:tcBorders>
            <w:vAlign w:val="center"/>
          </w:tcPr>
          <w:p w14:paraId="66630887">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人</w:t>
            </w:r>
          </w:p>
        </w:tc>
        <w:tc>
          <w:tcPr>
            <w:tcW w:w="1125" w:type="dxa"/>
            <w:tcBorders>
              <w:top w:val="nil"/>
              <w:left w:val="nil"/>
              <w:bottom w:val="nil"/>
              <w:right w:val="single" w:color="auto" w:sz="4" w:space="0"/>
            </w:tcBorders>
            <w:vAlign w:val="center"/>
          </w:tcPr>
          <w:p w14:paraId="7C4E757C">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X≥300</w:t>
            </w:r>
          </w:p>
        </w:tc>
        <w:tc>
          <w:tcPr>
            <w:tcW w:w="1701" w:type="dxa"/>
            <w:tcBorders>
              <w:top w:val="nil"/>
              <w:left w:val="nil"/>
              <w:bottom w:val="nil"/>
              <w:right w:val="single" w:color="auto" w:sz="4" w:space="0"/>
            </w:tcBorders>
            <w:vAlign w:val="center"/>
          </w:tcPr>
          <w:p w14:paraId="22D7D265">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50≤X＜300</w:t>
            </w:r>
          </w:p>
        </w:tc>
        <w:tc>
          <w:tcPr>
            <w:tcW w:w="1426" w:type="dxa"/>
            <w:tcBorders>
              <w:top w:val="nil"/>
              <w:left w:val="nil"/>
              <w:bottom w:val="nil"/>
              <w:right w:val="single" w:color="auto" w:sz="4" w:space="0"/>
            </w:tcBorders>
            <w:vAlign w:val="center"/>
          </w:tcPr>
          <w:p w14:paraId="520E31C0">
            <w:pPr>
              <w:widowControl/>
              <w:spacing w:line="240" w:lineRule="auto"/>
              <w:ind w:left="-1" w:leftChars="-1" w:hanging="1"/>
              <w:jc w:val="center"/>
              <w:rPr>
                <w:rFonts w:hint="eastAsia" w:ascii="宋体" w:hAnsi="宋体"/>
                <w:color w:val="auto"/>
                <w:kern w:val="0"/>
                <w:sz w:val="18"/>
                <w:szCs w:val="18"/>
              </w:rPr>
            </w:pPr>
            <w:r>
              <w:rPr>
                <w:rFonts w:hint="eastAsia" w:ascii="宋体" w:hAnsi="宋体"/>
                <w:color w:val="auto"/>
                <w:kern w:val="0"/>
                <w:sz w:val="18"/>
                <w:szCs w:val="18"/>
              </w:rPr>
              <w:t xml:space="preserve">10≤X＜50 </w:t>
            </w:r>
          </w:p>
        </w:tc>
        <w:tc>
          <w:tcPr>
            <w:tcW w:w="992" w:type="dxa"/>
            <w:tcBorders>
              <w:top w:val="nil"/>
              <w:left w:val="nil"/>
              <w:bottom w:val="nil"/>
              <w:right w:val="nil"/>
            </w:tcBorders>
            <w:vAlign w:val="center"/>
          </w:tcPr>
          <w:p w14:paraId="56C53E1B">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X＜10</w:t>
            </w:r>
          </w:p>
        </w:tc>
      </w:tr>
      <w:tr w14:paraId="7A0FBB2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5CA0E34">
            <w:pPr>
              <w:widowControl/>
              <w:spacing w:line="240" w:lineRule="auto"/>
              <w:jc w:val="left"/>
              <w:rPr>
                <w:rFonts w:ascii="宋体" w:hAnsi="宋体"/>
                <w:color w:val="auto"/>
                <w:kern w:val="0"/>
                <w:sz w:val="18"/>
                <w:szCs w:val="18"/>
              </w:rPr>
            </w:pPr>
          </w:p>
        </w:tc>
        <w:tc>
          <w:tcPr>
            <w:tcW w:w="1369" w:type="dxa"/>
            <w:tcBorders>
              <w:top w:val="nil"/>
              <w:left w:val="nil"/>
              <w:bottom w:val="single" w:color="auto" w:sz="4" w:space="0"/>
              <w:right w:val="single" w:color="auto" w:sz="4" w:space="0"/>
            </w:tcBorders>
            <w:vAlign w:val="center"/>
          </w:tcPr>
          <w:p w14:paraId="53EA8E89">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营业收入(Y)</w:t>
            </w:r>
          </w:p>
        </w:tc>
        <w:tc>
          <w:tcPr>
            <w:tcW w:w="709" w:type="dxa"/>
            <w:tcBorders>
              <w:top w:val="nil"/>
              <w:left w:val="nil"/>
              <w:bottom w:val="single" w:color="auto" w:sz="4" w:space="0"/>
              <w:right w:val="single" w:color="auto" w:sz="4" w:space="0"/>
            </w:tcBorders>
            <w:vAlign w:val="center"/>
          </w:tcPr>
          <w:p w14:paraId="1C9B5304">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万元</w:t>
            </w:r>
          </w:p>
        </w:tc>
        <w:tc>
          <w:tcPr>
            <w:tcW w:w="1125" w:type="dxa"/>
            <w:tcBorders>
              <w:top w:val="nil"/>
              <w:left w:val="nil"/>
              <w:bottom w:val="single" w:color="auto" w:sz="4" w:space="0"/>
              <w:right w:val="single" w:color="auto" w:sz="4" w:space="0"/>
            </w:tcBorders>
            <w:vAlign w:val="center"/>
          </w:tcPr>
          <w:p w14:paraId="65336814">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Y≥20000</w:t>
            </w:r>
          </w:p>
        </w:tc>
        <w:tc>
          <w:tcPr>
            <w:tcW w:w="1701" w:type="dxa"/>
            <w:tcBorders>
              <w:top w:val="nil"/>
              <w:left w:val="nil"/>
              <w:bottom w:val="single" w:color="auto" w:sz="4" w:space="0"/>
              <w:right w:val="single" w:color="auto" w:sz="4" w:space="0"/>
            </w:tcBorders>
            <w:vAlign w:val="center"/>
          </w:tcPr>
          <w:p w14:paraId="1C18CCE5">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 xml:space="preserve"> 500≤Y＜20000</w:t>
            </w:r>
          </w:p>
        </w:tc>
        <w:tc>
          <w:tcPr>
            <w:tcW w:w="1426" w:type="dxa"/>
            <w:tcBorders>
              <w:top w:val="nil"/>
              <w:left w:val="nil"/>
              <w:bottom w:val="single" w:color="auto" w:sz="4" w:space="0"/>
              <w:right w:val="single" w:color="auto" w:sz="4" w:space="0"/>
            </w:tcBorders>
            <w:vAlign w:val="center"/>
          </w:tcPr>
          <w:p w14:paraId="6F7F6762">
            <w:pPr>
              <w:widowControl/>
              <w:spacing w:line="240" w:lineRule="auto"/>
              <w:ind w:left="-1" w:leftChars="-1" w:hanging="1"/>
              <w:jc w:val="center"/>
              <w:rPr>
                <w:rFonts w:hint="eastAsia" w:ascii="宋体" w:hAnsi="宋体"/>
                <w:color w:val="auto"/>
                <w:kern w:val="0"/>
                <w:sz w:val="18"/>
                <w:szCs w:val="18"/>
              </w:rPr>
            </w:pPr>
            <w:r>
              <w:rPr>
                <w:rFonts w:hint="eastAsia" w:ascii="宋体" w:hAnsi="宋体"/>
                <w:color w:val="auto"/>
                <w:kern w:val="0"/>
                <w:sz w:val="18"/>
                <w:szCs w:val="18"/>
              </w:rPr>
              <w:t xml:space="preserve">100≤Y＜500 </w:t>
            </w:r>
          </w:p>
        </w:tc>
        <w:tc>
          <w:tcPr>
            <w:tcW w:w="992" w:type="dxa"/>
            <w:tcBorders>
              <w:top w:val="nil"/>
              <w:left w:val="nil"/>
              <w:bottom w:val="single" w:color="auto" w:sz="4" w:space="0"/>
              <w:right w:val="nil"/>
            </w:tcBorders>
            <w:vAlign w:val="center"/>
          </w:tcPr>
          <w:p w14:paraId="5276B68F">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Y＜100</w:t>
            </w:r>
          </w:p>
        </w:tc>
      </w:tr>
      <w:tr w14:paraId="27F494A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370E1F85">
            <w:pPr>
              <w:widowControl/>
              <w:spacing w:line="240" w:lineRule="auto"/>
              <w:jc w:val="left"/>
              <w:rPr>
                <w:rFonts w:hint="eastAsia" w:ascii="宋体" w:hAnsi="宋体"/>
                <w:color w:val="auto"/>
                <w:kern w:val="0"/>
                <w:sz w:val="18"/>
                <w:szCs w:val="18"/>
              </w:rPr>
            </w:pPr>
            <w:r>
              <w:rPr>
                <w:rFonts w:hint="eastAsia" w:ascii="宋体" w:hAnsi="宋体"/>
                <w:color w:val="auto"/>
                <w:kern w:val="0"/>
                <w:sz w:val="18"/>
                <w:szCs w:val="18"/>
              </w:rPr>
              <w:t>交通运输业 *</w:t>
            </w:r>
          </w:p>
        </w:tc>
        <w:tc>
          <w:tcPr>
            <w:tcW w:w="1369" w:type="dxa"/>
            <w:tcBorders>
              <w:top w:val="nil"/>
              <w:left w:val="nil"/>
              <w:bottom w:val="nil"/>
              <w:right w:val="single" w:color="auto" w:sz="4" w:space="0"/>
            </w:tcBorders>
            <w:vAlign w:val="center"/>
          </w:tcPr>
          <w:p w14:paraId="7E63101A">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从业人员(X)</w:t>
            </w:r>
          </w:p>
        </w:tc>
        <w:tc>
          <w:tcPr>
            <w:tcW w:w="709" w:type="dxa"/>
            <w:tcBorders>
              <w:top w:val="nil"/>
              <w:left w:val="nil"/>
              <w:bottom w:val="nil"/>
              <w:right w:val="single" w:color="auto" w:sz="4" w:space="0"/>
            </w:tcBorders>
            <w:vAlign w:val="center"/>
          </w:tcPr>
          <w:p w14:paraId="29BA59A8">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人</w:t>
            </w:r>
          </w:p>
        </w:tc>
        <w:tc>
          <w:tcPr>
            <w:tcW w:w="1125" w:type="dxa"/>
            <w:tcBorders>
              <w:top w:val="nil"/>
              <w:left w:val="nil"/>
              <w:bottom w:val="nil"/>
              <w:right w:val="single" w:color="auto" w:sz="4" w:space="0"/>
            </w:tcBorders>
            <w:vAlign w:val="center"/>
          </w:tcPr>
          <w:p w14:paraId="001AFFA3">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X≥1000</w:t>
            </w:r>
          </w:p>
        </w:tc>
        <w:tc>
          <w:tcPr>
            <w:tcW w:w="1701" w:type="dxa"/>
            <w:tcBorders>
              <w:top w:val="nil"/>
              <w:left w:val="nil"/>
              <w:bottom w:val="nil"/>
              <w:right w:val="single" w:color="auto" w:sz="4" w:space="0"/>
            </w:tcBorders>
            <w:vAlign w:val="center"/>
          </w:tcPr>
          <w:p w14:paraId="745337E6">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300≤X＜1000</w:t>
            </w:r>
          </w:p>
        </w:tc>
        <w:tc>
          <w:tcPr>
            <w:tcW w:w="1426" w:type="dxa"/>
            <w:tcBorders>
              <w:top w:val="nil"/>
              <w:left w:val="nil"/>
              <w:bottom w:val="nil"/>
              <w:right w:val="single" w:color="auto" w:sz="4" w:space="0"/>
            </w:tcBorders>
            <w:vAlign w:val="center"/>
          </w:tcPr>
          <w:p w14:paraId="38F1B3AE">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 xml:space="preserve"> 20≤X＜300</w:t>
            </w:r>
          </w:p>
        </w:tc>
        <w:tc>
          <w:tcPr>
            <w:tcW w:w="992" w:type="dxa"/>
            <w:tcBorders>
              <w:top w:val="nil"/>
              <w:left w:val="nil"/>
              <w:bottom w:val="nil"/>
              <w:right w:val="nil"/>
            </w:tcBorders>
            <w:vAlign w:val="center"/>
          </w:tcPr>
          <w:p w14:paraId="3EDEE341">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X＜20</w:t>
            </w:r>
          </w:p>
        </w:tc>
      </w:tr>
      <w:tr w14:paraId="793918E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6DB0117">
            <w:pPr>
              <w:widowControl/>
              <w:spacing w:line="240" w:lineRule="auto"/>
              <w:jc w:val="left"/>
              <w:rPr>
                <w:rFonts w:ascii="宋体" w:hAnsi="宋体"/>
                <w:color w:val="auto"/>
                <w:kern w:val="0"/>
                <w:sz w:val="18"/>
                <w:szCs w:val="18"/>
              </w:rPr>
            </w:pPr>
          </w:p>
        </w:tc>
        <w:tc>
          <w:tcPr>
            <w:tcW w:w="1369" w:type="dxa"/>
            <w:tcBorders>
              <w:top w:val="nil"/>
              <w:left w:val="nil"/>
              <w:bottom w:val="single" w:color="auto" w:sz="4" w:space="0"/>
              <w:right w:val="single" w:color="auto" w:sz="4" w:space="0"/>
            </w:tcBorders>
            <w:vAlign w:val="center"/>
          </w:tcPr>
          <w:p w14:paraId="7059CC8C">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营业收入(Y)</w:t>
            </w:r>
          </w:p>
        </w:tc>
        <w:tc>
          <w:tcPr>
            <w:tcW w:w="709" w:type="dxa"/>
            <w:tcBorders>
              <w:top w:val="nil"/>
              <w:left w:val="nil"/>
              <w:bottom w:val="single" w:color="auto" w:sz="4" w:space="0"/>
              <w:right w:val="single" w:color="auto" w:sz="4" w:space="0"/>
            </w:tcBorders>
            <w:vAlign w:val="center"/>
          </w:tcPr>
          <w:p w14:paraId="67E5B4B6">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万元</w:t>
            </w:r>
          </w:p>
        </w:tc>
        <w:tc>
          <w:tcPr>
            <w:tcW w:w="1125" w:type="dxa"/>
            <w:tcBorders>
              <w:top w:val="nil"/>
              <w:left w:val="nil"/>
              <w:bottom w:val="single" w:color="auto" w:sz="4" w:space="0"/>
              <w:right w:val="single" w:color="auto" w:sz="4" w:space="0"/>
            </w:tcBorders>
            <w:vAlign w:val="center"/>
          </w:tcPr>
          <w:p w14:paraId="2AC8B558">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Y≥30000</w:t>
            </w:r>
          </w:p>
        </w:tc>
        <w:tc>
          <w:tcPr>
            <w:tcW w:w="1701" w:type="dxa"/>
            <w:tcBorders>
              <w:top w:val="nil"/>
              <w:left w:val="nil"/>
              <w:bottom w:val="single" w:color="auto" w:sz="4" w:space="0"/>
              <w:right w:val="single" w:color="auto" w:sz="4" w:space="0"/>
            </w:tcBorders>
            <w:vAlign w:val="center"/>
          </w:tcPr>
          <w:p w14:paraId="7A57D74F">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3000≤Y＜30000</w:t>
            </w:r>
          </w:p>
        </w:tc>
        <w:tc>
          <w:tcPr>
            <w:tcW w:w="1426" w:type="dxa"/>
            <w:tcBorders>
              <w:top w:val="nil"/>
              <w:left w:val="nil"/>
              <w:bottom w:val="single" w:color="auto" w:sz="4" w:space="0"/>
              <w:right w:val="single" w:color="auto" w:sz="4" w:space="0"/>
            </w:tcBorders>
            <w:vAlign w:val="center"/>
          </w:tcPr>
          <w:p w14:paraId="13E91771">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 xml:space="preserve"> 200≤Y＜3000</w:t>
            </w:r>
          </w:p>
        </w:tc>
        <w:tc>
          <w:tcPr>
            <w:tcW w:w="992" w:type="dxa"/>
            <w:tcBorders>
              <w:top w:val="nil"/>
              <w:left w:val="nil"/>
              <w:bottom w:val="single" w:color="auto" w:sz="4" w:space="0"/>
              <w:right w:val="nil"/>
            </w:tcBorders>
            <w:vAlign w:val="center"/>
          </w:tcPr>
          <w:p w14:paraId="48A25566">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Y＜200</w:t>
            </w:r>
          </w:p>
        </w:tc>
      </w:tr>
      <w:tr w14:paraId="6AA742D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59C60BBC">
            <w:pPr>
              <w:widowControl/>
              <w:spacing w:line="240" w:lineRule="auto"/>
              <w:jc w:val="left"/>
              <w:rPr>
                <w:rFonts w:hint="eastAsia" w:ascii="宋体" w:hAnsi="宋体"/>
                <w:color w:val="auto"/>
                <w:kern w:val="0"/>
                <w:sz w:val="18"/>
                <w:szCs w:val="18"/>
              </w:rPr>
            </w:pPr>
            <w:r>
              <w:rPr>
                <w:rFonts w:hint="eastAsia" w:ascii="宋体" w:hAnsi="宋体"/>
                <w:color w:val="auto"/>
                <w:kern w:val="0"/>
                <w:sz w:val="18"/>
                <w:szCs w:val="18"/>
              </w:rPr>
              <w:t>仓储业*</w:t>
            </w:r>
          </w:p>
        </w:tc>
        <w:tc>
          <w:tcPr>
            <w:tcW w:w="1369" w:type="dxa"/>
            <w:tcBorders>
              <w:top w:val="nil"/>
              <w:left w:val="nil"/>
              <w:bottom w:val="nil"/>
              <w:right w:val="single" w:color="auto" w:sz="4" w:space="0"/>
            </w:tcBorders>
            <w:vAlign w:val="center"/>
          </w:tcPr>
          <w:p w14:paraId="0F4E2403">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从业人员(X)</w:t>
            </w:r>
          </w:p>
        </w:tc>
        <w:tc>
          <w:tcPr>
            <w:tcW w:w="709" w:type="dxa"/>
            <w:tcBorders>
              <w:top w:val="nil"/>
              <w:left w:val="nil"/>
              <w:bottom w:val="nil"/>
              <w:right w:val="single" w:color="auto" w:sz="4" w:space="0"/>
            </w:tcBorders>
            <w:vAlign w:val="center"/>
          </w:tcPr>
          <w:p w14:paraId="3A2040BD">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人</w:t>
            </w:r>
          </w:p>
        </w:tc>
        <w:tc>
          <w:tcPr>
            <w:tcW w:w="1125" w:type="dxa"/>
            <w:tcBorders>
              <w:top w:val="nil"/>
              <w:left w:val="nil"/>
              <w:bottom w:val="nil"/>
              <w:right w:val="single" w:color="auto" w:sz="4" w:space="0"/>
            </w:tcBorders>
            <w:vAlign w:val="center"/>
          </w:tcPr>
          <w:p w14:paraId="1AEEC640">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X≥200</w:t>
            </w:r>
          </w:p>
        </w:tc>
        <w:tc>
          <w:tcPr>
            <w:tcW w:w="1701" w:type="dxa"/>
            <w:tcBorders>
              <w:top w:val="nil"/>
              <w:left w:val="nil"/>
              <w:bottom w:val="nil"/>
              <w:right w:val="single" w:color="auto" w:sz="4" w:space="0"/>
            </w:tcBorders>
            <w:vAlign w:val="center"/>
          </w:tcPr>
          <w:p w14:paraId="1A78C7BD">
            <w:pPr>
              <w:widowControl/>
              <w:spacing w:line="240" w:lineRule="auto"/>
              <w:ind w:left="1" w:leftChars="-51" w:hanging="108" w:hangingChars="60"/>
              <w:jc w:val="center"/>
              <w:rPr>
                <w:rFonts w:hint="eastAsia" w:ascii="宋体" w:hAnsi="宋体"/>
                <w:color w:val="auto"/>
                <w:kern w:val="0"/>
                <w:sz w:val="18"/>
                <w:szCs w:val="18"/>
              </w:rPr>
            </w:pPr>
            <w:r>
              <w:rPr>
                <w:rFonts w:hint="eastAsia" w:ascii="宋体" w:hAnsi="宋体"/>
                <w:color w:val="auto"/>
                <w:kern w:val="0"/>
                <w:sz w:val="18"/>
                <w:szCs w:val="18"/>
              </w:rPr>
              <w:t>100≤X＜200</w:t>
            </w:r>
          </w:p>
        </w:tc>
        <w:tc>
          <w:tcPr>
            <w:tcW w:w="1426" w:type="dxa"/>
            <w:tcBorders>
              <w:top w:val="nil"/>
              <w:left w:val="nil"/>
              <w:bottom w:val="nil"/>
              <w:right w:val="single" w:color="auto" w:sz="4" w:space="0"/>
            </w:tcBorders>
            <w:vAlign w:val="center"/>
          </w:tcPr>
          <w:p w14:paraId="77418718">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 xml:space="preserve"> 20≤X＜100</w:t>
            </w:r>
          </w:p>
        </w:tc>
        <w:tc>
          <w:tcPr>
            <w:tcW w:w="992" w:type="dxa"/>
            <w:tcBorders>
              <w:top w:val="nil"/>
              <w:left w:val="nil"/>
              <w:bottom w:val="nil"/>
              <w:right w:val="nil"/>
            </w:tcBorders>
            <w:vAlign w:val="center"/>
          </w:tcPr>
          <w:p w14:paraId="5EAA1232">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X＜20</w:t>
            </w:r>
          </w:p>
        </w:tc>
      </w:tr>
      <w:tr w14:paraId="40CB1C0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70692EA">
            <w:pPr>
              <w:widowControl/>
              <w:spacing w:line="240" w:lineRule="auto"/>
              <w:jc w:val="left"/>
              <w:rPr>
                <w:rFonts w:ascii="宋体" w:hAnsi="宋体"/>
                <w:color w:val="auto"/>
                <w:kern w:val="0"/>
                <w:sz w:val="18"/>
                <w:szCs w:val="18"/>
              </w:rPr>
            </w:pPr>
          </w:p>
        </w:tc>
        <w:tc>
          <w:tcPr>
            <w:tcW w:w="1369" w:type="dxa"/>
            <w:tcBorders>
              <w:top w:val="nil"/>
              <w:left w:val="nil"/>
              <w:bottom w:val="single" w:color="auto" w:sz="4" w:space="0"/>
              <w:right w:val="single" w:color="auto" w:sz="4" w:space="0"/>
            </w:tcBorders>
            <w:vAlign w:val="center"/>
          </w:tcPr>
          <w:p w14:paraId="3A182C3F">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营业收入(Y)</w:t>
            </w:r>
          </w:p>
        </w:tc>
        <w:tc>
          <w:tcPr>
            <w:tcW w:w="709" w:type="dxa"/>
            <w:tcBorders>
              <w:top w:val="nil"/>
              <w:left w:val="nil"/>
              <w:bottom w:val="single" w:color="auto" w:sz="4" w:space="0"/>
              <w:right w:val="single" w:color="auto" w:sz="4" w:space="0"/>
            </w:tcBorders>
            <w:vAlign w:val="center"/>
          </w:tcPr>
          <w:p w14:paraId="3E61DAD6">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万元</w:t>
            </w:r>
          </w:p>
        </w:tc>
        <w:tc>
          <w:tcPr>
            <w:tcW w:w="1125" w:type="dxa"/>
            <w:tcBorders>
              <w:top w:val="nil"/>
              <w:left w:val="nil"/>
              <w:bottom w:val="single" w:color="auto" w:sz="4" w:space="0"/>
              <w:right w:val="single" w:color="auto" w:sz="4" w:space="0"/>
            </w:tcBorders>
            <w:vAlign w:val="center"/>
          </w:tcPr>
          <w:p w14:paraId="7F144D50">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Y≥30000</w:t>
            </w:r>
          </w:p>
        </w:tc>
        <w:tc>
          <w:tcPr>
            <w:tcW w:w="1701" w:type="dxa"/>
            <w:tcBorders>
              <w:top w:val="nil"/>
              <w:left w:val="nil"/>
              <w:bottom w:val="single" w:color="auto" w:sz="4" w:space="0"/>
              <w:right w:val="single" w:color="auto" w:sz="4" w:space="0"/>
            </w:tcBorders>
            <w:vAlign w:val="center"/>
          </w:tcPr>
          <w:p w14:paraId="376A4E37">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1000≤Y＜30000</w:t>
            </w:r>
          </w:p>
        </w:tc>
        <w:tc>
          <w:tcPr>
            <w:tcW w:w="1426" w:type="dxa"/>
            <w:tcBorders>
              <w:top w:val="nil"/>
              <w:left w:val="nil"/>
              <w:bottom w:val="single" w:color="auto" w:sz="4" w:space="0"/>
              <w:right w:val="single" w:color="auto" w:sz="4" w:space="0"/>
            </w:tcBorders>
            <w:vAlign w:val="center"/>
          </w:tcPr>
          <w:p w14:paraId="03FC66A1">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 xml:space="preserve"> 100≤Y＜1000</w:t>
            </w:r>
          </w:p>
        </w:tc>
        <w:tc>
          <w:tcPr>
            <w:tcW w:w="992" w:type="dxa"/>
            <w:tcBorders>
              <w:top w:val="nil"/>
              <w:left w:val="nil"/>
              <w:bottom w:val="single" w:color="auto" w:sz="4" w:space="0"/>
              <w:right w:val="nil"/>
            </w:tcBorders>
            <w:vAlign w:val="center"/>
          </w:tcPr>
          <w:p w14:paraId="14B659AD">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Y＜100</w:t>
            </w:r>
          </w:p>
        </w:tc>
      </w:tr>
      <w:tr w14:paraId="233F003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236468C3">
            <w:pPr>
              <w:widowControl/>
              <w:spacing w:line="240" w:lineRule="auto"/>
              <w:jc w:val="left"/>
              <w:rPr>
                <w:rFonts w:hint="eastAsia" w:ascii="宋体" w:hAnsi="宋体"/>
                <w:color w:val="auto"/>
                <w:kern w:val="0"/>
                <w:sz w:val="18"/>
                <w:szCs w:val="18"/>
              </w:rPr>
            </w:pPr>
            <w:r>
              <w:rPr>
                <w:rFonts w:hint="eastAsia" w:ascii="宋体" w:hAnsi="宋体"/>
                <w:color w:val="auto"/>
                <w:kern w:val="0"/>
                <w:sz w:val="18"/>
                <w:szCs w:val="18"/>
              </w:rPr>
              <w:t>邮政业</w:t>
            </w:r>
          </w:p>
        </w:tc>
        <w:tc>
          <w:tcPr>
            <w:tcW w:w="1369" w:type="dxa"/>
            <w:tcBorders>
              <w:top w:val="nil"/>
              <w:left w:val="nil"/>
              <w:bottom w:val="nil"/>
              <w:right w:val="single" w:color="auto" w:sz="4" w:space="0"/>
            </w:tcBorders>
            <w:vAlign w:val="center"/>
          </w:tcPr>
          <w:p w14:paraId="3C6FFDA8">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从业人员(X)</w:t>
            </w:r>
          </w:p>
        </w:tc>
        <w:tc>
          <w:tcPr>
            <w:tcW w:w="709" w:type="dxa"/>
            <w:tcBorders>
              <w:top w:val="nil"/>
              <w:left w:val="nil"/>
              <w:bottom w:val="nil"/>
              <w:right w:val="single" w:color="auto" w:sz="4" w:space="0"/>
            </w:tcBorders>
            <w:vAlign w:val="center"/>
          </w:tcPr>
          <w:p w14:paraId="606B05AC">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人</w:t>
            </w:r>
          </w:p>
        </w:tc>
        <w:tc>
          <w:tcPr>
            <w:tcW w:w="1125" w:type="dxa"/>
            <w:tcBorders>
              <w:top w:val="nil"/>
              <w:left w:val="nil"/>
              <w:bottom w:val="nil"/>
              <w:right w:val="single" w:color="auto" w:sz="4" w:space="0"/>
            </w:tcBorders>
            <w:vAlign w:val="center"/>
          </w:tcPr>
          <w:p w14:paraId="487C0CE4">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X≥1000</w:t>
            </w:r>
          </w:p>
        </w:tc>
        <w:tc>
          <w:tcPr>
            <w:tcW w:w="1701" w:type="dxa"/>
            <w:tcBorders>
              <w:top w:val="nil"/>
              <w:left w:val="nil"/>
              <w:bottom w:val="nil"/>
              <w:right w:val="single" w:color="auto" w:sz="4" w:space="0"/>
            </w:tcBorders>
            <w:vAlign w:val="center"/>
          </w:tcPr>
          <w:p w14:paraId="016449D2">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300≤X＜1000</w:t>
            </w:r>
          </w:p>
        </w:tc>
        <w:tc>
          <w:tcPr>
            <w:tcW w:w="1426" w:type="dxa"/>
            <w:tcBorders>
              <w:top w:val="nil"/>
              <w:left w:val="nil"/>
              <w:bottom w:val="nil"/>
              <w:right w:val="single" w:color="auto" w:sz="4" w:space="0"/>
            </w:tcBorders>
            <w:vAlign w:val="center"/>
          </w:tcPr>
          <w:p w14:paraId="211B3FAB">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 xml:space="preserve"> 20≤X＜300</w:t>
            </w:r>
          </w:p>
        </w:tc>
        <w:tc>
          <w:tcPr>
            <w:tcW w:w="992" w:type="dxa"/>
            <w:tcBorders>
              <w:top w:val="nil"/>
              <w:left w:val="nil"/>
              <w:bottom w:val="nil"/>
              <w:right w:val="nil"/>
            </w:tcBorders>
            <w:vAlign w:val="center"/>
          </w:tcPr>
          <w:p w14:paraId="11D191D7">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X＜20</w:t>
            </w:r>
          </w:p>
        </w:tc>
      </w:tr>
      <w:tr w14:paraId="1DED652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499AE71">
            <w:pPr>
              <w:widowControl/>
              <w:spacing w:line="240" w:lineRule="auto"/>
              <w:jc w:val="left"/>
              <w:rPr>
                <w:rFonts w:ascii="宋体" w:hAnsi="宋体"/>
                <w:color w:val="auto"/>
                <w:kern w:val="0"/>
                <w:sz w:val="18"/>
                <w:szCs w:val="18"/>
              </w:rPr>
            </w:pPr>
          </w:p>
        </w:tc>
        <w:tc>
          <w:tcPr>
            <w:tcW w:w="1369" w:type="dxa"/>
            <w:tcBorders>
              <w:top w:val="nil"/>
              <w:left w:val="nil"/>
              <w:bottom w:val="single" w:color="auto" w:sz="4" w:space="0"/>
              <w:right w:val="single" w:color="auto" w:sz="4" w:space="0"/>
            </w:tcBorders>
            <w:vAlign w:val="center"/>
          </w:tcPr>
          <w:p w14:paraId="1033A1E7">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营业收入(Y)</w:t>
            </w:r>
          </w:p>
        </w:tc>
        <w:tc>
          <w:tcPr>
            <w:tcW w:w="709" w:type="dxa"/>
            <w:tcBorders>
              <w:top w:val="nil"/>
              <w:left w:val="nil"/>
              <w:bottom w:val="single" w:color="auto" w:sz="4" w:space="0"/>
              <w:right w:val="single" w:color="auto" w:sz="4" w:space="0"/>
            </w:tcBorders>
            <w:vAlign w:val="center"/>
          </w:tcPr>
          <w:p w14:paraId="42545E16">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万元</w:t>
            </w:r>
          </w:p>
        </w:tc>
        <w:tc>
          <w:tcPr>
            <w:tcW w:w="1125" w:type="dxa"/>
            <w:tcBorders>
              <w:top w:val="nil"/>
              <w:left w:val="nil"/>
              <w:bottom w:val="single" w:color="auto" w:sz="4" w:space="0"/>
              <w:right w:val="single" w:color="auto" w:sz="4" w:space="0"/>
            </w:tcBorders>
            <w:vAlign w:val="center"/>
          </w:tcPr>
          <w:p w14:paraId="605CDE5D">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Y≥30000</w:t>
            </w:r>
          </w:p>
        </w:tc>
        <w:tc>
          <w:tcPr>
            <w:tcW w:w="1701" w:type="dxa"/>
            <w:tcBorders>
              <w:top w:val="nil"/>
              <w:left w:val="nil"/>
              <w:bottom w:val="single" w:color="auto" w:sz="4" w:space="0"/>
              <w:right w:val="single" w:color="auto" w:sz="4" w:space="0"/>
            </w:tcBorders>
            <w:vAlign w:val="center"/>
          </w:tcPr>
          <w:p w14:paraId="665BD051">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2000≤Y＜30000</w:t>
            </w:r>
          </w:p>
        </w:tc>
        <w:tc>
          <w:tcPr>
            <w:tcW w:w="1426" w:type="dxa"/>
            <w:tcBorders>
              <w:top w:val="nil"/>
              <w:left w:val="nil"/>
              <w:bottom w:val="single" w:color="auto" w:sz="4" w:space="0"/>
              <w:right w:val="single" w:color="auto" w:sz="4" w:space="0"/>
            </w:tcBorders>
            <w:vAlign w:val="center"/>
          </w:tcPr>
          <w:p w14:paraId="145D8AD9">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 xml:space="preserve"> 100≤Y＜2000</w:t>
            </w:r>
          </w:p>
        </w:tc>
        <w:tc>
          <w:tcPr>
            <w:tcW w:w="992" w:type="dxa"/>
            <w:tcBorders>
              <w:top w:val="nil"/>
              <w:left w:val="nil"/>
              <w:bottom w:val="single" w:color="auto" w:sz="4" w:space="0"/>
              <w:right w:val="nil"/>
            </w:tcBorders>
            <w:vAlign w:val="center"/>
          </w:tcPr>
          <w:p w14:paraId="3E7D1112">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Y＜100</w:t>
            </w:r>
          </w:p>
        </w:tc>
      </w:tr>
      <w:tr w14:paraId="0EE5504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4E3545D7">
            <w:pPr>
              <w:widowControl/>
              <w:spacing w:line="240" w:lineRule="auto"/>
              <w:jc w:val="left"/>
              <w:rPr>
                <w:rFonts w:hint="eastAsia" w:ascii="宋体" w:hAnsi="宋体"/>
                <w:color w:val="auto"/>
                <w:kern w:val="0"/>
                <w:sz w:val="18"/>
                <w:szCs w:val="18"/>
              </w:rPr>
            </w:pPr>
            <w:r>
              <w:rPr>
                <w:rFonts w:hint="eastAsia" w:ascii="宋体" w:hAnsi="宋体"/>
                <w:color w:val="auto"/>
                <w:kern w:val="0"/>
                <w:sz w:val="18"/>
                <w:szCs w:val="18"/>
              </w:rPr>
              <w:t>住宿业</w:t>
            </w:r>
          </w:p>
        </w:tc>
        <w:tc>
          <w:tcPr>
            <w:tcW w:w="1369" w:type="dxa"/>
            <w:tcBorders>
              <w:top w:val="nil"/>
              <w:left w:val="nil"/>
              <w:bottom w:val="nil"/>
              <w:right w:val="single" w:color="auto" w:sz="4" w:space="0"/>
            </w:tcBorders>
            <w:vAlign w:val="center"/>
          </w:tcPr>
          <w:p w14:paraId="6442977B">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从业人员(X)</w:t>
            </w:r>
          </w:p>
        </w:tc>
        <w:tc>
          <w:tcPr>
            <w:tcW w:w="709" w:type="dxa"/>
            <w:tcBorders>
              <w:top w:val="nil"/>
              <w:left w:val="nil"/>
              <w:bottom w:val="nil"/>
              <w:right w:val="single" w:color="auto" w:sz="4" w:space="0"/>
            </w:tcBorders>
            <w:vAlign w:val="center"/>
          </w:tcPr>
          <w:p w14:paraId="2A060737">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人</w:t>
            </w:r>
          </w:p>
        </w:tc>
        <w:tc>
          <w:tcPr>
            <w:tcW w:w="1125" w:type="dxa"/>
            <w:tcBorders>
              <w:top w:val="nil"/>
              <w:left w:val="nil"/>
              <w:bottom w:val="nil"/>
              <w:right w:val="single" w:color="auto" w:sz="4" w:space="0"/>
            </w:tcBorders>
            <w:vAlign w:val="center"/>
          </w:tcPr>
          <w:p w14:paraId="696AEADA">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X≥300</w:t>
            </w:r>
          </w:p>
        </w:tc>
        <w:tc>
          <w:tcPr>
            <w:tcW w:w="1701" w:type="dxa"/>
            <w:tcBorders>
              <w:top w:val="nil"/>
              <w:left w:val="nil"/>
              <w:bottom w:val="nil"/>
              <w:right w:val="single" w:color="auto" w:sz="4" w:space="0"/>
            </w:tcBorders>
            <w:vAlign w:val="center"/>
          </w:tcPr>
          <w:p w14:paraId="6F910337">
            <w:pPr>
              <w:widowControl/>
              <w:spacing w:line="240" w:lineRule="auto"/>
              <w:ind w:left="1" w:leftChars="-51" w:hanging="108" w:hangingChars="60"/>
              <w:jc w:val="center"/>
              <w:rPr>
                <w:rFonts w:hint="eastAsia" w:ascii="宋体" w:hAnsi="宋体"/>
                <w:color w:val="auto"/>
                <w:kern w:val="0"/>
                <w:sz w:val="18"/>
                <w:szCs w:val="18"/>
              </w:rPr>
            </w:pPr>
            <w:r>
              <w:rPr>
                <w:rFonts w:hint="eastAsia" w:ascii="宋体" w:hAnsi="宋体"/>
                <w:color w:val="auto"/>
                <w:kern w:val="0"/>
                <w:sz w:val="18"/>
                <w:szCs w:val="18"/>
              </w:rPr>
              <w:t xml:space="preserve">100≤X＜300 </w:t>
            </w:r>
          </w:p>
        </w:tc>
        <w:tc>
          <w:tcPr>
            <w:tcW w:w="1426" w:type="dxa"/>
            <w:tcBorders>
              <w:top w:val="nil"/>
              <w:left w:val="nil"/>
              <w:bottom w:val="nil"/>
              <w:right w:val="single" w:color="auto" w:sz="4" w:space="0"/>
            </w:tcBorders>
            <w:vAlign w:val="center"/>
          </w:tcPr>
          <w:p w14:paraId="3DDF1DD0">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 xml:space="preserve"> 10≤X＜100</w:t>
            </w:r>
          </w:p>
        </w:tc>
        <w:tc>
          <w:tcPr>
            <w:tcW w:w="992" w:type="dxa"/>
            <w:tcBorders>
              <w:top w:val="nil"/>
              <w:left w:val="nil"/>
              <w:bottom w:val="nil"/>
              <w:right w:val="nil"/>
            </w:tcBorders>
            <w:vAlign w:val="center"/>
          </w:tcPr>
          <w:p w14:paraId="5B96999C">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X＜10</w:t>
            </w:r>
          </w:p>
        </w:tc>
      </w:tr>
      <w:tr w14:paraId="79B5912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A82DDFB">
            <w:pPr>
              <w:widowControl/>
              <w:spacing w:line="240" w:lineRule="auto"/>
              <w:jc w:val="left"/>
              <w:rPr>
                <w:rFonts w:ascii="宋体" w:hAnsi="宋体"/>
                <w:color w:val="auto"/>
                <w:kern w:val="0"/>
                <w:sz w:val="18"/>
                <w:szCs w:val="18"/>
              </w:rPr>
            </w:pPr>
          </w:p>
        </w:tc>
        <w:tc>
          <w:tcPr>
            <w:tcW w:w="1369" w:type="dxa"/>
            <w:tcBorders>
              <w:top w:val="nil"/>
              <w:left w:val="nil"/>
              <w:bottom w:val="single" w:color="auto" w:sz="4" w:space="0"/>
              <w:right w:val="single" w:color="auto" w:sz="4" w:space="0"/>
            </w:tcBorders>
            <w:vAlign w:val="center"/>
          </w:tcPr>
          <w:p w14:paraId="05FE978A">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营业收入(Y)</w:t>
            </w:r>
          </w:p>
        </w:tc>
        <w:tc>
          <w:tcPr>
            <w:tcW w:w="709" w:type="dxa"/>
            <w:tcBorders>
              <w:top w:val="nil"/>
              <w:left w:val="nil"/>
              <w:bottom w:val="single" w:color="auto" w:sz="4" w:space="0"/>
              <w:right w:val="single" w:color="auto" w:sz="4" w:space="0"/>
            </w:tcBorders>
            <w:vAlign w:val="center"/>
          </w:tcPr>
          <w:p w14:paraId="6D88A534">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万元</w:t>
            </w:r>
          </w:p>
        </w:tc>
        <w:tc>
          <w:tcPr>
            <w:tcW w:w="1125" w:type="dxa"/>
            <w:tcBorders>
              <w:top w:val="nil"/>
              <w:left w:val="nil"/>
              <w:bottom w:val="single" w:color="auto" w:sz="4" w:space="0"/>
              <w:right w:val="single" w:color="auto" w:sz="4" w:space="0"/>
            </w:tcBorders>
            <w:vAlign w:val="center"/>
          </w:tcPr>
          <w:p w14:paraId="6F75A063">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Y≥10000</w:t>
            </w:r>
          </w:p>
        </w:tc>
        <w:tc>
          <w:tcPr>
            <w:tcW w:w="1701" w:type="dxa"/>
            <w:tcBorders>
              <w:top w:val="nil"/>
              <w:left w:val="nil"/>
              <w:bottom w:val="single" w:color="auto" w:sz="4" w:space="0"/>
              <w:right w:val="single" w:color="auto" w:sz="4" w:space="0"/>
            </w:tcBorders>
            <w:vAlign w:val="center"/>
          </w:tcPr>
          <w:p w14:paraId="0F9F199D">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2000≤Y＜10000</w:t>
            </w:r>
          </w:p>
        </w:tc>
        <w:tc>
          <w:tcPr>
            <w:tcW w:w="1426" w:type="dxa"/>
            <w:tcBorders>
              <w:top w:val="nil"/>
              <w:left w:val="nil"/>
              <w:bottom w:val="single" w:color="auto" w:sz="4" w:space="0"/>
              <w:right w:val="single" w:color="auto" w:sz="4" w:space="0"/>
            </w:tcBorders>
            <w:vAlign w:val="center"/>
          </w:tcPr>
          <w:p w14:paraId="1695E2F6">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 xml:space="preserve"> 100≤Y＜2000</w:t>
            </w:r>
          </w:p>
        </w:tc>
        <w:tc>
          <w:tcPr>
            <w:tcW w:w="992" w:type="dxa"/>
            <w:tcBorders>
              <w:top w:val="nil"/>
              <w:left w:val="nil"/>
              <w:bottom w:val="single" w:color="auto" w:sz="4" w:space="0"/>
              <w:right w:val="nil"/>
            </w:tcBorders>
            <w:vAlign w:val="center"/>
          </w:tcPr>
          <w:p w14:paraId="32FD7C7A">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Y＜100</w:t>
            </w:r>
          </w:p>
        </w:tc>
      </w:tr>
      <w:tr w14:paraId="40745FF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55B2B27E">
            <w:pPr>
              <w:widowControl/>
              <w:spacing w:line="240" w:lineRule="auto"/>
              <w:jc w:val="left"/>
              <w:rPr>
                <w:rFonts w:hint="eastAsia" w:ascii="宋体" w:hAnsi="宋体"/>
                <w:color w:val="auto"/>
                <w:kern w:val="0"/>
                <w:sz w:val="18"/>
                <w:szCs w:val="18"/>
              </w:rPr>
            </w:pPr>
            <w:r>
              <w:rPr>
                <w:rFonts w:hint="eastAsia" w:ascii="宋体" w:hAnsi="宋体"/>
                <w:color w:val="auto"/>
                <w:kern w:val="0"/>
                <w:sz w:val="18"/>
                <w:szCs w:val="18"/>
              </w:rPr>
              <w:t>餐饮业</w:t>
            </w:r>
          </w:p>
        </w:tc>
        <w:tc>
          <w:tcPr>
            <w:tcW w:w="1369" w:type="dxa"/>
            <w:tcBorders>
              <w:top w:val="nil"/>
              <w:left w:val="nil"/>
              <w:bottom w:val="nil"/>
              <w:right w:val="single" w:color="auto" w:sz="4" w:space="0"/>
            </w:tcBorders>
            <w:vAlign w:val="center"/>
          </w:tcPr>
          <w:p w14:paraId="6FAF4A92">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从业人员(X)</w:t>
            </w:r>
          </w:p>
        </w:tc>
        <w:tc>
          <w:tcPr>
            <w:tcW w:w="709" w:type="dxa"/>
            <w:tcBorders>
              <w:top w:val="nil"/>
              <w:left w:val="nil"/>
              <w:bottom w:val="nil"/>
              <w:right w:val="single" w:color="auto" w:sz="4" w:space="0"/>
            </w:tcBorders>
            <w:vAlign w:val="center"/>
          </w:tcPr>
          <w:p w14:paraId="75A54DD6">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人</w:t>
            </w:r>
          </w:p>
        </w:tc>
        <w:tc>
          <w:tcPr>
            <w:tcW w:w="1125" w:type="dxa"/>
            <w:tcBorders>
              <w:top w:val="nil"/>
              <w:left w:val="nil"/>
              <w:bottom w:val="nil"/>
              <w:right w:val="single" w:color="auto" w:sz="4" w:space="0"/>
            </w:tcBorders>
            <w:vAlign w:val="center"/>
          </w:tcPr>
          <w:p w14:paraId="25CF0B7E">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X≥300</w:t>
            </w:r>
          </w:p>
        </w:tc>
        <w:tc>
          <w:tcPr>
            <w:tcW w:w="1701" w:type="dxa"/>
            <w:tcBorders>
              <w:top w:val="nil"/>
              <w:left w:val="nil"/>
              <w:bottom w:val="nil"/>
              <w:right w:val="single" w:color="auto" w:sz="4" w:space="0"/>
            </w:tcBorders>
            <w:vAlign w:val="center"/>
          </w:tcPr>
          <w:p w14:paraId="71CED323">
            <w:pPr>
              <w:widowControl/>
              <w:spacing w:line="240" w:lineRule="auto"/>
              <w:ind w:left="1" w:leftChars="-51" w:hanging="108" w:hangingChars="60"/>
              <w:jc w:val="center"/>
              <w:rPr>
                <w:rFonts w:hint="eastAsia" w:ascii="宋体" w:hAnsi="宋体"/>
                <w:color w:val="auto"/>
                <w:kern w:val="0"/>
                <w:sz w:val="18"/>
                <w:szCs w:val="18"/>
              </w:rPr>
            </w:pPr>
            <w:r>
              <w:rPr>
                <w:rFonts w:hint="eastAsia" w:ascii="宋体" w:hAnsi="宋体"/>
                <w:color w:val="auto"/>
                <w:kern w:val="0"/>
                <w:sz w:val="18"/>
                <w:szCs w:val="18"/>
              </w:rPr>
              <w:t xml:space="preserve">100≤X＜300 </w:t>
            </w:r>
          </w:p>
        </w:tc>
        <w:tc>
          <w:tcPr>
            <w:tcW w:w="1426" w:type="dxa"/>
            <w:tcBorders>
              <w:top w:val="nil"/>
              <w:left w:val="nil"/>
              <w:bottom w:val="nil"/>
              <w:right w:val="single" w:color="auto" w:sz="4" w:space="0"/>
            </w:tcBorders>
            <w:vAlign w:val="center"/>
          </w:tcPr>
          <w:p w14:paraId="1FC3E7BB">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 xml:space="preserve"> 10≤X＜100</w:t>
            </w:r>
          </w:p>
        </w:tc>
        <w:tc>
          <w:tcPr>
            <w:tcW w:w="992" w:type="dxa"/>
            <w:tcBorders>
              <w:top w:val="nil"/>
              <w:left w:val="nil"/>
              <w:bottom w:val="nil"/>
              <w:right w:val="nil"/>
            </w:tcBorders>
            <w:vAlign w:val="center"/>
          </w:tcPr>
          <w:p w14:paraId="62D6E904">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X＜10</w:t>
            </w:r>
          </w:p>
        </w:tc>
      </w:tr>
      <w:tr w14:paraId="6D42830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938AA92">
            <w:pPr>
              <w:widowControl/>
              <w:spacing w:line="240" w:lineRule="auto"/>
              <w:jc w:val="left"/>
              <w:rPr>
                <w:rFonts w:ascii="宋体" w:hAnsi="宋体"/>
                <w:color w:val="auto"/>
                <w:kern w:val="0"/>
                <w:sz w:val="18"/>
                <w:szCs w:val="18"/>
              </w:rPr>
            </w:pPr>
          </w:p>
        </w:tc>
        <w:tc>
          <w:tcPr>
            <w:tcW w:w="1369" w:type="dxa"/>
            <w:tcBorders>
              <w:top w:val="nil"/>
              <w:left w:val="nil"/>
              <w:bottom w:val="single" w:color="auto" w:sz="4" w:space="0"/>
              <w:right w:val="single" w:color="auto" w:sz="4" w:space="0"/>
            </w:tcBorders>
            <w:vAlign w:val="center"/>
          </w:tcPr>
          <w:p w14:paraId="1A308DF6">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营业收入(Y)</w:t>
            </w:r>
          </w:p>
        </w:tc>
        <w:tc>
          <w:tcPr>
            <w:tcW w:w="709" w:type="dxa"/>
            <w:tcBorders>
              <w:top w:val="nil"/>
              <w:left w:val="nil"/>
              <w:bottom w:val="single" w:color="auto" w:sz="4" w:space="0"/>
              <w:right w:val="single" w:color="auto" w:sz="4" w:space="0"/>
            </w:tcBorders>
            <w:vAlign w:val="center"/>
          </w:tcPr>
          <w:p w14:paraId="54EF9B7F">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万元</w:t>
            </w:r>
          </w:p>
        </w:tc>
        <w:tc>
          <w:tcPr>
            <w:tcW w:w="1125" w:type="dxa"/>
            <w:tcBorders>
              <w:top w:val="nil"/>
              <w:left w:val="nil"/>
              <w:bottom w:val="single" w:color="auto" w:sz="4" w:space="0"/>
              <w:right w:val="single" w:color="auto" w:sz="4" w:space="0"/>
            </w:tcBorders>
            <w:vAlign w:val="center"/>
          </w:tcPr>
          <w:p w14:paraId="0A2D4E6D">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Y≥10000</w:t>
            </w:r>
          </w:p>
        </w:tc>
        <w:tc>
          <w:tcPr>
            <w:tcW w:w="1701" w:type="dxa"/>
            <w:tcBorders>
              <w:top w:val="nil"/>
              <w:left w:val="nil"/>
              <w:bottom w:val="single" w:color="auto" w:sz="4" w:space="0"/>
              <w:right w:val="single" w:color="auto" w:sz="4" w:space="0"/>
            </w:tcBorders>
            <w:vAlign w:val="center"/>
          </w:tcPr>
          <w:p w14:paraId="4530ADF5">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2000≤Y＜10000</w:t>
            </w:r>
          </w:p>
        </w:tc>
        <w:tc>
          <w:tcPr>
            <w:tcW w:w="1426" w:type="dxa"/>
            <w:tcBorders>
              <w:top w:val="nil"/>
              <w:left w:val="nil"/>
              <w:bottom w:val="single" w:color="auto" w:sz="4" w:space="0"/>
              <w:right w:val="single" w:color="auto" w:sz="4" w:space="0"/>
            </w:tcBorders>
            <w:vAlign w:val="center"/>
          </w:tcPr>
          <w:p w14:paraId="030537D4">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 xml:space="preserve"> 100≤Y＜2000</w:t>
            </w:r>
          </w:p>
        </w:tc>
        <w:tc>
          <w:tcPr>
            <w:tcW w:w="992" w:type="dxa"/>
            <w:tcBorders>
              <w:top w:val="nil"/>
              <w:left w:val="nil"/>
              <w:bottom w:val="single" w:color="auto" w:sz="4" w:space="0"/>
              <w:right w:val="nil"/>
            </w:tcBorders>
            <w:vAlign w:val="center"/>
          </w:tcPr>
          <w:p w14:paraId="1CE460C4">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Y＜100</w:t>
            </w:r>
          </w:p>
        </w:tc>
      </w:tr>
      <w:tr w14:paraId="2BAB613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370F96C7">
            <w:pPr>
              <w:widowControl/>
              <w:spacing w:line="240" w:lineRule="auto"/>
              <w:jc w:val="left"/>
              <w:rPr>
                <w:rFonts w:hint="eastAsia" w:ascii="宋体" w:hAnsi="宋体"/>
                <w:color w:val="auto"/>
                <w:kern w:val="0"/>
                <w:sz w:val="18"/>
                <w:szCs w:val="18"/>
              </w:rPr>
            </w:pPr>
            <w:r>
              <w:rPr>
                <w:rFonts w:hint="eastAsia" w:ascii="宋体" w:hAnsi="宋体"/>
                <w:color w:val="auto"/>
                <w:kern w:val="0"/>
                <w:sz w:val="18"/>
                <w:szCs w:val="18"/>
              </w:rPr>
              <w:t>信息传输业 *</w:t>
            </w:r>
          </w:p>
        </w:tc>
        <w:tc>
          <w:tcPr>
            <w:tcW w:w="1369" w:type="dxa"/>
            <w:tcBorders>
              <w:top w:val="nil"/>
              <w:left w:val="nil"/>
              <w:bottom w:val="nil"/>
              <w:right w:val="single" w:color="auto" w:sz="4" w:space="0"/>
            </w:tcBorders>
            <w:vAlign w:val="center"/>
          </w:tcPr>
          <w:p w14:paraId="6626A842">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从业人员(X)</w:t>
            </w:r>
          </w:p>
        </w:tc>
        <w:tc>
          <w:tcPr>
            <w:tcW w:w="709" w:type="dxa"/>
            <w:tcBorders>
              <w:top w:val="nil"/>
              <w:left w:val="nil"/>
              <w:bottom w:val="nil"/>
              <w:right w:val="single" w:color="auto" w:sz="4" w:space="0"/>
            </w:tcBorders>
            <w:vAlign w:val="center"/>
          </w:tcPr>
          <w:p w14:paraId="7EC1B12A">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人</w:t>
            </w:r>
          </w:p>
        </w:tc>
        <w:tc>
          <w:tcPr>
            <w:tcW w:w="1125" w:type="dxa"/>
            <w:tcBorders>
              <w:top w:val="nil"/>
              <w:left w:val="nil"/>
              <w:bottom w:val="nil"/>
              <w:right w:val="single" w:color="auto" w:sz="4" w:space="0"/>
            </w:tcBorders>
            <w:vAlign w:val="center"/>
          </w:tcPr>
          <w:p w14:paraId="2151A0F5">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X≥2000</w:t>
            </w:r>
          </w:p>
        </w:tc>
        <w:tc>
          <w:tcPr>
            <w:tcW w:w="1701" w:type="dxa"/>
            <w:tcBorders>
              <w:top w:val="nil"/>
              <w:left w:val="nil"/>
              <w:bottom w:val="nil"/>
              <w:right w:val="single" w:color="auto" w:sz="4" w:space="0"/>
            </w:tcBorders>
            <w:vAlign w:val="center"/>
          </w:tcPr>
          <w:p w14:paraId="360537CF">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100≤X＜2000</w:t>
            </w:r>
          </w:p>
        </w:tc>
        <w:tc>
          <w:tcPr>
            <w:tcW w:w="1426" w:type="dxa"/>
            <w:tcBorders>
              <w:top w:val="nil"/>
              <w:left w:val="nil"/>
              <w:bottom w:val="nil"/>
              <w:right w:val="single" w:color="auto" w:sz="4" w:space="0"/>
            </w:tcBorders>
            <w:vAlign w:val="center"/>
          </w:tcPr>
          <w:p w14:paraId="468FABAE">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 xml:space="preserve"> 10≤X＜100</w:t>
            </w:r>
          </w:p>
        </w:tc>
        <w:tc>
          <w:tcPr>
            <w:tcW w:w="992" w:type="dxa"/>
            <w:tcBorders>
              <w:top w:val="nil"/>
              <w:left w:val="nil"/>
              <w:bottom w:val="nil"/>
              <w:right w:val="nil"/>
            </w:tcBorders>
            <w:vAlign w:val="center"/>
          </w:tcPr>
          <w:p w14:paraId="12AB0EA2">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X＜10</w:t>
            </w:r>
          </w:p>
        </w:tc>
      </w:tr>
      <w:tr w14:paraId="4E66418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E231CDE">
            <w:pPr>
              <w:widowControl/>
              <w:spacing w:line="240" w:lineRule="auto"/>
              <w:jc w:val="left"/>
              <w:rPr>
                <w:rFonts w:ascii="宋体" w:hAnsi="宋体"/>
                <w:color w:val="auto"/>
                <w:kern w:val="0"/>
                <w:sz w:val="18"/>
                <w:szCs w:val="18"/>
              </w:rPr>
            </w:pPr>
          </w:p>
        </w:tc>
        <w:tc>
          <w:tcPr>
            <w:tcW w:w="1369" w:type="dxa"/>
            <w:tcBorders>
              <w:top w:val="nil"/>
              <w:left w:val="nil"/>
              <w:bottom w:val="single" w:color="auto" w:sz="4" w:space="0"/>
              <w:right w:val="single" w:color="auto" w:sz="4" w:space="0"/>
            </w:tcBorders>
            <w:vAlign w:val="center"/>
          </w:tcPr>
          <w:p w14:paraId="40E12739">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营业收入(Y)</w:t>
            </w:r>
          </w:p>
        </w:tc>
        <w:tc>
          <w:tcPr>
            <w:tcW w:w="709" w:type="dxa"/>
            <w:tcBorders>
              <w:top w:val="nil"/>
              <w:left w:val="nil"/>
              <w:bottom w:val="single" w:color="auto" w:sz="4" w:space="0"/>
              <w:right w:val="single" w:color="auto" w:sz="4" w:space="0"/>
            </w:tcBorders>
            <w:vAlign w:val="center"/>
          </w:tcPr>
          <w:p w14:paraId="48FF0C43">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万元</w:t>
            </w:r>
          </w:p>
        </w:tc>
        <w:tc>
          <w:tcPr>
            <w:tcW w:w="1125" w:type="dxa"/>
            <w:tcBorders>
              <w:top w:val="nil"/>
              <w:left w:val="nil"/>
              <w:bottom w:val="single" w:color="auto" w:sz="4" w:space="0"/>
              <w:right w:val="single" w:color="auto" w:sz="4" w:space="0"/>
            </w:tcBorders>
            <w:vAlign w:val="center"/>
          </w:tcPr>
          <w:p w14:paraId="6290D876">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Y≥100000</w:t>
            </w:r>
          </w:p>
        </w:tc>
        <w:tc>
          <w:tcPr>
            <w:tcW w:w="1701" w:type="dxa"/>
            <w:tcBorders>
              <w:top w:val="nil"/>
              <w:left w:val="nil"/>
              <w:bottom w:val="single" w:color="auto" w:sz="4" w:space="0"/>
              <w:right w:val="single" w:color="auto" w:sz="4" w:space="0"/>
            </w:tcBorders>
            <w:vAlign w:val="center"/>
          </w:tcPr>
          <w:p w14:paraId="50C32A5F">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 xml:space="preserve"> 1000≤Y＜100000</w:t>
            </w:r>
          </w:p>
        </w:tc>
        <w:tc>
          <w:tcPr>
            <w:tcW w:w="1426" w:type="dxa"/>
            <w:tcBorders>
              <w:top w:val="nil"/>
              <w:left w:val="nil"/>
              <w:bottom w:val="single" w:color="auto" w:sz="4" w:space="0"/>
              <w:right w:val="single" w:color="auto" w:sz="4" w:space="0"/>
            </w:tcBorders>
            <w:vAlign w:val="center"/>
          </w:tcPr>
          <w:p w14:paraId="40DFA659">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 xml:space="preserve"> 100≤Y＜1000</w:t>
            </w:r>
          </w:p>
        </w:tc>
        <w:tc>
          <w:tcPr>
            <w:tcW w:w="992" w:type="dxa"/>
            <w:tcBorders>
              <w:top w:val="nil"/>
              <w:left w:val="nil"/>
              <w:bottom w:val="single" w:color="auto" w:sz="4" w:space="0"/>
              <w:right w:val="nil"/>
            </w:tcBorders>
            <w:vAlign w:val="center"/>
          </w:tcPr>
          <w:p w14:paraId="6C9D7997">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Y＜100</w:t>
            </w:r>
          </w:p>
        </w:tc>
      </w:tr>
      <w:tr w14:paraId="4A97371E">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vAlign w:val="center"/>
          </w:tcPr>
          <w:p w14:paraId="64792332">
            <w:pPr>
              <w:widowControl/>
              <w:spacing w:line="240" w:lineRule="auto"/>
              <w:jc w:val="left"/>
              <w:rPr>
                <w:rFonts w:hint="eastAsia" w:ascii="宋体" w:hAnsi="宋体"/>
                <w:color w:val="auto"/>
                <w:spacing w:val="-12"/>
                <w:kern w:val="0"/>
                <w:sz w:val="18"/>
                <w:szCs w:val="18"/>
              </w:rPr>
            </w:pPr>
            <w:r>
              <w:rPr>
                <w:rFonts w:hint="eastAsia" w:ascii="宋体" w:hAnsi="宋体"/>
                <w:color w:val="auto"/>
                <w:spacing w:val="-12"/>
                <w:kern w:val="0"/>
                <w:sz w:val="18"/>
                <w:szCs w:val="18"/>
              </w:rPr>
              <w:t>软件和信息技术服</w:t>
            </w:r>
            <w:r>
              <w:rPr>
                <w:rFonts w:hint="eastAsia" w:ascii="宋体" w:hAnsi="宋体"/>
                <w:color w:val="auto"/>
                <w:kern w:val="0"/>
                <w:sz w:val="18"/>
                <w:szCs w:val="18"/>
              </w:rPr>
              <w:t>务业</w:t>
            </w:r>
          </w:p>
        </w:tc>
        <w:tc>
          <w:tcPr>
            <w:tcW w:w="1369" w:type="dxa"/>
            <w:tcBorders>
              <w:top w:val="nil"/>
              <w:left w:val="nil"/>
              <w:bottom w:val="nil"/>
              <w:right w:val="single" w:color="auto" w:sz="4" w:space="0"/>
            </w:tcBorders>
            <w:vAlign w:val="center"/>
          </w:tcPr>
          <w:p w14:paraId="00C06E5A">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从业人员(X)</w:t>
            </w:r>
          </w:p>
        </w:tc>
        <w:tc>
          <w:tcPr>
            <w:tcW w:w="709" w:type="dxa"/>
            <w:tcBorders>
              <w:top w:val="nil"/>
              <w:left w:val="nil"/>
              <w:bottom w:val="nil"/>
              <w:right w:val="single" w:color="auto" w:sz="4" w:space="0"/>
            </w:tcBorders>
            <w:vAlign w:val="center"/>
          </w:tcPr>
          <w:p w14:paraId="6053AFBB">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人</w:t>
            </w:r>
          </w:p>
        </w:tc>
        <w:tc>
          <w:tcPr>
            <w:tcW w:w="1125" w:type="dxa"/>
            <w:tcBorders>
              <w:top w:val="nil"/>
              <w:left w:val="nil"/>
              <w:bottom w:val="nil"/>
              <w:right w:val="single" w:color="auto" w:sz="4" w:space="0"/>
            </w:tcBorders>
            <w:vAlign w:val="center"/>
          </w:tcPr>
          <w:p w14:paraId="74BC3F74">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X≥300</w:t>
            </w:r>
          </w:p>
        </w:tc>
        <w:tc>
          <w:tcPr>
            <w:tcW w:w="1701" w:type="dxa"/>
            <w:tcBorders>
              <w:top w:val="nil"/>
              <w:left w:val="nil"/>
              <w:bottom w:val="nil"/>
              <w:right w:val="single" w:color="auto" w:sz="4" w:space="0"/>
            </w:tcBorders>
            <w:vAlign w:val="center"/>
          </w:tcPr>
          <w:p w14:paraId="6363574D">
            <w:pPr>
              <w:widowControl/>
              <w:spacing w:line="240" w:lineRule="auto"/>
              <w:ind w:left="1" w:leftChars="-51" w:hanging="108" w:hangingChars="60"/>
              <w:jc w:val="center"/>
              <w:rPr>
                <w:rFonts w:hint="eastAsia" w:ascii="宋体" w:hAnsi="宋体"/>
                <w:color w:val="auto"/>
                <w:kern w:val="0"/>
                <w:sz w:val="18"/>
                <w:szCs w:val="18"/>
              </w:rPr>
            </w:pPr>
            <w:r>
              <w:rPr>
                <w:rFonts w:hint="eastAsia" w:ascii="宋体" w:hAnsi="宋体"/>
                <w:color w:val="auto"/>
                <w:kern w:val="0"/>
                <w:sz w:val="18"/>
                <w:szCs w:val="18"/>
              </w:rPr>
              <w:t xml:space="preserve">100≤X＜300 </w:t>
            </w:r>
          </w:p>
        </w:tc>
        <w:tc>
          <w:tcPr>
            <w:tcW w:w="1426" w:type="dxa"/>
            <w:tcBorders>
              <w:top w:val="nil"/>
              <w:left w:val="nil"/>
              <w:bottom w:val="nil"/>
              <w:right w:val="single" w:color="auto" w:sz="4" w:space="0"/>
            </w:tcBorders>
            <w:vAlign w:val="center"/>
          </w:tcPr>
          <w:p w14:paraId="182FB242">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 xml:space="preserve"> 10≤X＜100</w:t>
            </w:r>
          </w:p>
        </w:tc>
        <w:tc>
          <w:tcPr>
            <w:tcW w:w="992" w:type="dxa"/>
            <w:tcBorders>
              <w:top w:val="nil"/>
              <w:left w:val="nil"/>
              <w:bottom w:val="nil"/>
              <w:right w:val="nil"/>
            </w:tcBorders>
            <w:vAlign w:val="center"/>
          </w:tcPr>
          <w:p w14:paraId="3C0A09CD">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X＜10</w:t>
            </w:r>
          </w:p>
        </w:tc>
      </w:tr>
      <w:tr w14:paraId="5294AC23">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17B80EAA">
            <w:pPr>
              <w:widowControl/>
              <w:spacing w:line="240" w:lineRule="auto"/>
              <w:jc w:val="left"/>
              <w:rPr>
                <w:rFonts w:ascii="宋体" w:hAnsi="宋体"/>
                <w:color w:val="auto"/>
                <w:spacing w:val="-12"/>
                <w:kern w:val="0"/>
                <w:sz w:val="18"/>
                <w:szCs w:val="18"/>
              </w:rPr>
            </w:pPr>
          </w:p>
        </w:tc>
        <w:tc>
          <w:tcPr>
            <w:tcW w:w="1369" w:type="dxa"/>
            <w:tcBorders>
              <w:top w:val="nil"/>
              <w:left w:val="nil"/>
              <w:bottom w:val="single" w:color="auto" w:sz="4" w:space="0"/>
              <w:right w:val="single" w:color="auto" w:sz="4" w:space="0"/>
            </w:tcBorders>
            <w:vAlign w:val="center"/>
          </w:tcPr>
          <w:p w14:paraId="06DDF9E0">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营业收入(Y)</w:t>
            </w:r>
          </w:p>
        </w:tc>
        <w:tc>
          <w:tcPr>
            <w:tcW w:w="709" w:type="dxa"/>
            <w:tcBorders>
              <w:top w:val="nil"/>
              <w:left w:val="nil"/>
              <w:bottom w:val="single" w:color="auto" w:sz="4" w:space="0"/>
              <w:right w:val="single" w:color="auto" w:sz="4" w:space="0"/>
            </w:tcBorders>
            <w:vAlign w:val="center"/>
          </w:tcPr>
          <w:p w14:paraId="3E122090">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万元</w:t>
            </w:r>
          </w:p>
        </w:tc>
        <w:tc>
          <w:tcPr>
            <w:tcW w:w="1125" w:type="dxa"/>
            <w:tcBorders>
              <w:top w:val="nil"/>
              <w:left w:val="nil"/>
              <w:bottom w:val="single" w:color="auto" w:sz="4" w:space="0"/>
              <w:right w:val="single" w:color="auto" w:sz="4" w:space="0"/>
            </w:tcBorders>
            <w:vAlign w:val="center"/>
          </w:tcPr>
          <w:p w14:paraId="41113B45">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Y≥10000</w:t>
            </w:r>
          </w:p>
        </w:tc>
        <w:tc>
          <w:tcPr>
            <w:tcW w:w="1701" w:type="dxa"/>
            <w:tcBorders>
              <w:top w:val="nil"/>
              <w:left w:val="nil"/>
              <w:bottom w:val="single" w:color="auto" w:sz="4" w:space="0"/>
              <w:right w:val="single" w:color="auto" w:sz="4" w:space="0"/>
            </w:tcBorders>
            <w:vAlign w:val="center"/>
          </w:tcPr>
          <w:p w14:paraId="0E2297FD">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1000≤Y＜10000</w:t>
            </w:r>
          </w:p>
        </w:tc>
        <w:tc>
          <w:tcPr>
            <w:tcW w:w="1426" w:type="dxa"/>
            <w:tcBorders>
              <w:top w:val="nil"/>
              <w:left w:val="nil"/>
              <w:bottom w:val="single" w:color="auto" w:sz="4" w:space="0"/>
              <w:right w:val="single" w:color="auto" w:sz="4" w:space="0"/>
            </w:tcBorders>
            <w:vAlign w:val="center"/>
          </w:tcPr>
          <w:p w14:paraId="2A5F51A8">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 xml:space="preserve">  50≤Y＜1000</w:t>
            </w:r>
          </w:p>
        </w:tc>
        <w:tc>
          <w:tcPr>
            <w:tcW w:w="992" w:type="dxa"/>
            <w:tcBorders>
              <w:top w:val="nil"/>
              <w:left w:val="nil"/>
              <w:bottom w:val="single" w:color="auto" w:sz="4" w:space="0"/>
              <w:right w:val="nil"/>
            </w:tcBorders>
            <w:vAlign w:val="center"/>
          </w:tcPr>
          <w:p w14:paraId="6B3C5F9E">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Y＜50</w:t>
            </w:r>
          </w:p>
        </w:tc>
      </w:tr>
      <w:tr w14:paraId="178B433C">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vAlign w:val="center"/>
          </w:tcPr>
          <w:p w14:paraId="09D365A4">
            <w:pPr>
              <w:widowControl/>
              <w:spacing w:line="240" w:lineRule="auto"/>
              <w:jc w:val="left"/>
              <w:rPr>
                <w:rFonts w:hint="eastAsia" w:ascii="宋体" w:hAnsi="宋体"/>
                <w:color w:val="auto"/>
                <w:kern w:val="0"/>
                <w:sz w:val="18"/>
                <w:szCs w:val="18"/>
              </w:rPr>
            </w:pPr>
            <w:r>
              <w:rPr>
                <w:rFonts w:hint="eastAsia" w:ascii="宋体" w:hAnsi="宋体"/>
                <w:color w:val="auto"/>
                <w:kern w:val="0"/>
                <w:sz w:val="18"/>
                <w:szCs w:val="18"/>
              </w:rPr>
              <w:t>房地产开发经营</w:t>
            </w:r>
          </w:p>
        </w:tc>
        <w:tc>
          <w:tcPr>
            <w:tcW w:w="1369" w:type="dxa"/>
            <w:tcBorders>
              <w:top w:val="nil"/>
              <w:left w:val="nil"/>
              <w:bottom w:val="nil"/>
              <w:right w:val="single" w:color="auto" w:sz="4" w:space="0"/>
            </w:tcBorders>
            <w:vAlign w:val="center"/>
          </w:tcPr>
          <w:p w14:paraId="0283F537">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营业收入(Y)</w:t>
            </w:r>
          </w:p>
        </w:tc>
        <w:tc>
          <w:tcPr>
            <w:tcW w:w="709" w:type="dxa"/>
            <w:tcBorders>
              <w:top w:val="nil"/>
              <w:left w:val="nil"/>
              <w:bottom w:val="nil"/>
              <w:right w:val="single" w:color="auto" w:sz="4" w:space="0"/>
            </w:tcBorders>
            <w:vAlign w:val="center"/>
          </w:tcPr>
          <w:p w14:paraId="2D8B1D16">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万元</w:t>
            </w:r>
          </w:p>
        </w:tc>
        <w:tc>
          <w:tcPr>
            <w:tcW w:w="1125" w:type="dxa"/>
            <w:tcBorders>
              <w:top w:val="nil"/>
              <w:left w:val="nil"/>
              <w:bottom w:val="nil"/>
              <w:right w:val="single" w:color="auto" w:sz="4" w:space="0"/>
            </w:tcBorders>
            <w:vAlign w:val="center"/>
          </w:tcPr>
          <w:p w14:paraId="1F5108B0">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Y≥200000</w:t>
            </w:r>
          </w:p>
        </w:tc>
        <w:tc>
          <w:tcPr>
            <w:tcW w:w="1701" w:type="dxa"/>
            <w:tcBorders>
              <w:top w:val="nil"/>
              <w:left w:val="nil"/>
              <w:bottom w:val="nil"/>
              <w:right w:val="single" w:color="auto" w:sz="4" w:space="0"/>
            </w:tcBorders>
            <w:vAlign w:val="center"/>
          </w:tcPr>
          <w:p w14:paraId="403D01DF">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 xml:space="preserve"> 1000≤Y＜200000</w:t>
            </w:r>
          </w:p>
        </w:tc>
        <w:tc>
          <w:tcPr>
            <w:tcW w:w="1426" w:type="dxa"/>
            <w:tcBorders>
              <w:top w:val="nil"/>
              <w:left w:val="nil"/>
              <w:bottom w:val="nil"/>
              <w:right w:val="single" w:color="auto" w:sz="4" w:space="0"/>
            </w:tcBorders>
            <w:vAlign w:val="center"/>
          </w:tcPr>
          <w:p w14:paraId="4035C4CA">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 xml:space="preserve"> 100≤Y＜1000</w:t>
            </w:r>
          </w:p>
        </w:tc>
        <w:tc>
          <w:tcPr>
            <w:tcW w:w="992" w:type="dxa"/>
            <w:tcBorders>
              <w:top w:val="nil"/>
              <w:left w:val="nil"/>
              <w:bottom w:val="nil"/>
              <w:right w:val="nil"/>
            </w:tcBorders>
            <w:vAlign w:val="center"/>
          </w:tcPr>
          <w:p w14:paraId="14C664A8">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Y＜100</w:t>
            </w:r>
          </w:p>
        </w:tc>
      </w:tr>
      <w:tr w14:paraId="0B36940D">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10489101">
            <w:pPr>
              <w:widowControl/>
              <w:spacing w:line="240" w:lineRule="auto"/>
              <w:jc w:val="left"/>
              <w:rPr>
                <w:rFonts w:ascii="宋体" w:hAnsi="宋体"/>
                <w:color w:val="auto"/>
                <w:kern w:val="0"/>
                <w:sz w:val="18"/>
                <w:szCs w:val="18"/>
              </w:rPr>
            </w:pPr>
          </w:p>
        </w:tc>
        <w:tc>
          <w:tcPr>
            <w:tcW w:w="1369" w:type="dxa"/>
            <w:tcBorders>
              <w:top w:val="nil"/>
              <w:left w:val="nil"/>
              <w:bottom w:val="single" w:color="auto" w:sz="4" w:space="0"/>
              <w:right w:val="single" w:color="auto" w:sz="4" w:space="0"/>
            </w:tcBorders>
            <w:vAlign w:val="center"/>
          </w:tcPr>
          <w:p w14:paraId="749D5151">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资产总额(Z)</w:t>
            </w:r>
          </w:p>
        </w:tc>
        <w:tc>
          <w:tcPr>
            <w:tcW w:w="709" w:type="dxa"/>
            <w:tcBorders>
              <w:top w:val="nil"/>
              <w:left w:val="nil"/>
              <w:bottom w:val="single" w:color="auto" w:sz="4" w:space="0"/>
              <w:right w:val="single" w:color="auto" w:sz="4" w:space="0"/>
            </w:tcBorders>
            <w:vAlign w:val="center"/>
          </w:tcPr>
          <w:p w14:paraId="3D4511A9">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万元</w:t>
            </w:r>
          </w:p>
        </w:tc>
        <w:tc>
          <w:tcPr>
            <w:tcW w:w="1125" w:type="dxa"/>
            <w:tcBorders>
              <w:top w:val="nil"/>
              <w:left w:val="nil"/>
              <w:bottom w:val="single" w:color="auto" w:sz="4" w:space="0"/>
              <w:right w:val="single" w:color="auto" w:sz="4" w:space="0"/>
            </w:tcBorders>
            <w:vAlign w:val="center"/>
          </w:tcPr>
          <w:p w14:paraId="504F4F47">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Z≥10000</w:t>
            </w:r>
          </w:p>
        </w:tc>
        <w:tc>
          <w:tcPr>
            <w:tcW w:w="1701" w:type="dxa"/>
            <w:tcBorders>
              <w:top w:val="nil"/>
              <w:left w:val="nil"/>
              <w:bottom w:val="single" w:color="auto" w:sz="4" w:space="0"/>
              <w:right w:val="single" w:color="auto" w:sz="4" w:space="0"/>
            </w:tcBorders>
            <w:vAlign w:val="center"/>
          </w:tcPr>
          <w:p w14:paraId="0D132022">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5000≤Z＜10000</w:t>
            </w:r>
          </w:p>
        </w:tc>
        <w:tc>
          <w:tcPr>
            <w:tcW w:w="1426" w:type="dxa"/>
            <w:tcBorders>
              <w:top w:val="nil"/>
              <w:left w:val="nil"/>
              <w:bottom w:val="single" w:color="auto" w:sz="4" w:space="0"/>
              <w:right w:val="single" w:color="auto" w:sz="4" w:space="0"/>
            </w:tcBorders>
            <w:vAlign w:val="center"/>
          </w:tcPr>
          <w:p w14:paraId="462C44C3">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 xml:space="preserve">2000≤Z＜5000   </w:t>
            </w:r>
          </w:p>
        </w:tc>
        <w:tc>
          <w:tcPr>
            <w:tcW w:w="992" w:type="dxa"/>
            <w:tcBorders>
              <w:top w:val="nil"/>
              <w:left w:val="nil"/>
              <w:bottom w:val="single" w:color="auto" w:sz="4" w:space="0"/>
              <w:right w:val="nil"/>
            </w:tcBorders>
            <w:vAlign w:val="center"/>
          </w:tcPr>
          <w:p w14:paraId="1A28329A">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Z＜2000</w:t>
            </w:r>
          </w:p>
        </w:tc>
      </w:tr>
      <w:tr w14:paraId="0D5DE8BA">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vAlign w:val="center"/>
          </w:tcPr>
          <w:p w14:paraId="1893D714">
            <w:pPr>
              <w:widowControl/>
              <w:spacing w:line="240" w:lineRule="auto"/>
              <w:jc w:val="left"/>
              <w:rPr>
                <w:rFonts w:hint="eastAsia" w:ascii="宋体" w:hAnsi="宋体"/>
                <w:color w:val="auto"/>
                <w:kern w:val="0"/>
                <w:sz w:val="18"/>
                <w:szCs w:val="18"/>
              </w:rPr>
            </w:pPr>
            <w:r>
              <w:rPr>
                <w:rFonts w:hint="eastAsia" w:ascii="宋体" w:hAnsi="宋体"/>
                <w:color w:val="auto"/>
                <w:kern w:val="0"/>
                <w:sz w:val="18"/>
                <w:szCs w:val="18"/>
              </w:rPr>
              <w:t>物业管理</w:t>
            </w:r>
          </w:p>
        </w:tc>
        <w:tc>
          <w:tcPr>
            <w:tcW w:w="1369" w:type="dxa"/>
            <w:tcBorders>
              <w:top w:val="nil"/>
              <w:left w:val="nil"/>
              <w:bottom w:val="nil"/>
              <w:right w:val="single" w:color="auto" w:sz="4" w:space="0"/>
            </w:tcBorders>
            <w:vAlign w:val="center"/>
          </w:tcPr>
          <w:p w14:paraId="28110047">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从业人员(X)</w:t>
            </w:r>
          </w:p>
        </w:tc>
        <w:tc>
          <w:tcPr>
            <w:tcW w:w="709" w:type="dxa"/>
            <w:tcBorders>
              <w:top w:val="nil"/>
              <w:left w:val="nil"/>
              <w:bottom w:val="nil"/>
              <w:right w:val="single" w:color="auto" w:sz="4" w:space="0"/>
            </w:tcBorders>
            <w:vAlign w:val="center"/>
          </w:tcPr>
          <w:p w14:paraId="62320DB1">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人</w:t>
            </w:r>
          </w:p>
        </w:tc>
        <w:tc>
          <w:tcPr>
            <w:tcW w:w="1125" w:type="dxa"/>
            <w:tcBorders>
              <w:top w:val="nil"/>
              <w:left w:val="nil"/>
              <w:bottom w:val="nil"/>
              <w:right w:val="single" w:color="auto" w:sz="4" w:space="0"/>
            </w:tcBorders>
            <w:vAlign w:val="center"/>
          </w:tcPr>
          <w:p w14:paraId="1DEAEBE5">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X≥1000</w:t>
            </w:r>
          </w:p>
        </w:tc>
        <w:tc>
          <w:tcPr>
            <w:tcW w:w="1701" w:type="dxa"/>
            <w:tcBorders>
              <w:top w:val="nil"/>
              <w:left w:val="nil"/>
              <w:bottom w:val="nil"/>
              <w:right w:val="single" w:color="auto" w:sz="4" w:space="0"/>
            </w:tcBorders>
            <w:vAlign w:val="center"/>
          </w:tcPr>
          <w:p w14:paraId="5D25B6FE">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300≤X＜1000</w:t>
            </w:r>
          </w:p>
        </w:tc>
        <w:tc>
          <w:tcPr>
            <w:tcW w:w="1426" w:type="dxa"/>
            <w:tcBorders>
              <w:top w:val="nil"/>
              <w:left w:val="nil"/>
              <w:bottom w:val="nil"/>
              <w:right w:val="single" w:color="auto" w:sz="4" w:space="0"/>
            </w:tcBorders>
            <w:vAlign w:val="center"/>
          </w:tcPr>
          <w:p w14:paraId="2E4765CE">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 xml:space="preserve">100≤X＜300 </w:t>
            </w:r>
          </w:p>
        </w:tc>
        <w:tc>
          <w:tcPr>
            <w:tcW w:w="992" w:type="dxa"/>
            <w:tcBorders>
              <w:top w:val="nil"/>
              <w:left w:val="nil"/>
              <w:bottom w:val="nil"/>
              <w:right w:val="nil"/>
            </w:tcBorders>
            <w:vAlign w:val="center"/>
          </w:tcPr>
          <w:p w14:paraId="2B9CE1B7">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X＜100</w:t>
            </w:r>
          </w:p>
        </w:tc>
      </w:tr>
      <w:tr w14:paraId="73CA147F">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0DE99103">
            <w:pPr>
              <w:widowControl/>
              <w:spacing w:line="240" w:lineRule="auto"/>
              <w:jc w:val="left"/>
              <w:rPr>
                <w:rFonts w:ascii="宋体" w:hAnsi="宋体"/>
                <w:color w:val="auto"/>
                <w:kern w:val="0"/>
                <w:sz w:val="18"/>
                <w:szCs w:val="18"/>
              </w:rPr>
            </w:pPr>
          </w:p>
        </w:tc>
        <w:tc>
          <w:tcPr>
            <w:tcW w:w="1369" w:type="dxa"/>
            <w:tcBorders>
              <w:top w:val="nil"/>
              <w:left w:val="nil"/>
              <w:bottom w:val="single" w:color="auto" w:sz="4" w:space="0"/>
              <w:right w:val="single" w:color="auto" w:sz="4" w:space="0"/>
            </w:tcBorders>
            <w:vAlign w:val="center"/>
          </w:tcPr>
          <w:p w14:paraId="72EE88E1">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营业收入(Y)</w:t>
            </w:r>
          </w:p>
        </w:tc>
        <w:tc>
          <w:tcPr>
            <w:tcW w:w="709" w:type="dxa"/>
            <w:tcBorders>
              <w:top w:val="nil"/>
              <w:left w:val="nil"/>
              <w:bottom w:val="single" w:color="auto" w:sz="4" w:space="0"/>
              <w:right w:val="single" w:color="auto" w:sz="4" w:space="0"/>
            </w:tcBorders>
            <w:vAlign w:val="center"/>
          </w:tcPr>
          <w:p w14:paraId="03E69697">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万元</w:t>
            </w:r>
          </w:p>
        </w:tc>
        <w:tc>
          <w:tcPr>
            <w:tcW w:w="1125" w:type="dxa"/>
            <w:tcBorders>
              <w:top w:val="nil"/>
              <w:left w:val="nil"/>
              <w:bottom w:val="single" w:color="auto" w:sz="4" w:space="0"/>
              <w:right w:val="single" w:color="auto" w:sz="4" w:space="0"/>
            </w:tcBorders>
            <w:vAlign w:val="center"/>
          </w:tcPr>
          <w:p w14:paraId="22A76EE6">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Y≥5000</w:t>
            </w:r>
          </w:p>
        </w:tc>
        <w:tc>
          <w:tcPr>
            <w:tcW w:w="1701" w:type="dxa"/>
            <w:tcBorders>
              <w:top w:val="nil"/>
              <w:left w:val="nil"/>
              <w:bottom w:val="single" w:color="auto" w:sz="4" w:space="0"/>
              <w:right w:val="single" w:color="auto" w:sz="4" w:space="0"/>
            </w:tcBorders>
            <w:vAlign w:val="center"/>
          </w:tcPr>
          <w:p w14:paraId="31B70B4E">
            <w:pPr>
              <w:widowControl/>
              <w:spacing w:line="240" w:lineRule="auto"/>
              <w:ind w:left="1" w:leftChars="-51" w:hanging="108" w:hangingChars="60"/>
              <w:jc w:val="center"/>
              <w:rPr>
                <w:rFonts w:hint="eastAsia" w:ascii="宋体" w:hAnsi="宋体"/>
                <w:color w:val="auto"/>
                <w:kern w:val="0"/>
                <w:sz w:val="18"/>
                <w:szCs w:val="18"/>
              </w:rPr>
            </w:pPr>
            <w:r>
              <w:rPr>
                <w:rFonts w:hint="eastAsia" w:ascii="宋体" w:hAnsi="宋体"/>
                <w:color w:val="auto"/>
                <w:kern w:val="0"/>
                <w:sz w:val="18"/>
                <w:szCs w:val="18"/>
              </w:rPr>
              <w:t xml:space="preserve">1000≤Y＜5000 </w:t>
            </w:r>
          </w:p>
        </w:tc>
        <w:tc>
          <w:tcPr>
            <w:tcW w:w="1426" w:type="dxa"/>
            <w:tcBorders>
              <w:top w:val="nil"/>
              <w:left w:val="nil"/>
              <w:bottom w:val="single" w:color="auto" w:sz="4" w:space="0"/>
              <w:right w:val="single" w:color="auto" w:sz="4" w:space="0"/>
            </w:tcBorders>
            <w:vAlign w:val="center"/>
          </w:tcPr>
          <w:p w14:paraId="10E77513">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 xml:space="preserve"> 500≤Y＜1000</w:t>
            </w:r>
          </w:p>
        </w:tc>
        <w:tc>
          <w:tcPr>
            <w:tcW w:w="992" w:type="dxa"/>
            <w:tcBorders>
              <w:top w:val="nil"/>
              <w:left w:val="nil"/>
              <w:bottom w:val="single" w:color="auto" w:sz="4" w:space="0"/>
              <w:right w:val="nil"/>
            </w:tcBorders>
            <w:vAlign w:val="center"/>
          </w:tcPr>
          <w:p w14:paraId="4EAB685C">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Y＜500</w:t>
            </w:r>
          </w:p>
        </w:tc>
      </w:tr>
      <w:tr w14:paraId="2D336462">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vAlign w:val="center"/>
          </w:tcPr>
          <w:p w14:paraId="09AB9F16">
            <w:pPr>
              <w:widowControl/>
              <w:spacing w:line="240" w:lineRule="auto"/>
              <w:jc w:val="left"/>
              <w:rPr>
                <w:rFonts w:hint="eastAsia" w:ascii="宋体" w:hAnsi="宋体"/>
                <w:color w:val="auto"/>
                <w:kern w:val="0"/>
                <w:sz w:val="18"/>
                <w:szCs w:val="18"/>
              </w:rPr>
            </w:pPr>
            <w:r>
              <w:rPr>
                <w:rFonts w:hint="eastAsia" w:ascii="宋体" w:hAnsi="宋体"/>
                <w:color w:val="auto"/>
                <w:kern w:val="0"/>
                <w:sz w:val="18"/>
                <w:szCs w:val="18"/>
              </w:rPr>
              <w:t>租赁和商务服务业</w:t>
            </w:r>
          </w:p>
        </w:tc>
        <w:tc>
          <w:tcPr>
            <w:tcW w:w="1369" w:type="dxa"/>
            <w:tcBorders>
              <w:top w:val="nil"/>
              <w:left w:val="nil"/>
              <w:bottom w:val="nil"/>
              <w:right w:val="single" w:color="auto" w:sz="4" w:space="0"/>
            </w:tcBorders>
            <w:vAlign w:val="center"/>
          </w:tcPr>
          <w:p w14:paraId="38520DB8">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从业人员(X)</w:t>
            </w:r>
          </w:p>
        </w:tc>
        <w:tc>
          <w:tcPr>
            <w:tcW w:w="709" w:type="dxa"/>
            <w:tcBorders>
              <w:top w:val="nil"/>
              <w:left w:val="nil"/>
              <w:bottom w:val="nil"/>
              <w:right w:val="single" w:color="auto" w:sz="4" w:space="0"/>
            </w:tcBorders>
            <w:vAlign w:val="center"/>
          </w:tcPr>
          <w:p w14:paraId="213352EC">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人</w:t>
            </w:r>
          </w:p>
        </w:tc>
        <w:tc>
          <w:tcPr>
            <w:tcW w:w="1125" w:type="dxa"/>
            <w:tcBorders>
              <w:top w:val="nil"/>
              <w:left w:val="nil"/>
              <w:bottom w:val="nil"/>
              <w:right w:val="single" w:color="auto" w:sz="4" w:space="0"/>
            </w:tcBorders>
            <w:vAlign w:val="center"/>
          </w:tcPr>
          <w:p w14:paraId="6EFEAF4E">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X≥300</w:t>
            </w:r>
          </w:p>
        </w:tc>
        <w:tc>
          <w:tcPr>
            <w:tcW w:w="1701" w:type="dxa"/>
            <w:tcBorders>
              <w:top w:val="nil"/>
              <w:left w:val="nil"/>
              <w:bottom w:val="nil"/>
              <w:right w:val="single" w:color="auto" w:sz="4" w:space="0"/>
            </w:tcBorders>
            <w:vAlign w:val="center"/>
          </w:tcPr>
          <w:p w14:paraId="13ACC148">
            <w:pPr>
              <w:widowControl/>
              <w:spacing w:line="240" w:lineRule="auto"/>
              <w:ind w:left="1" w:leftChars="-51" w:hanging="108" w:hangingChars="60"/>
              <w:jc w:val="center"/>
              <w:rPr>
                <w:rFonts w:hint="eastAsia" w:ascii="宋体" w:hAnsi="宋体"/>
                <w:color w:val="auto"/>
                <w:kern w:val="0"/>
                <w:sz w:val="18"/>
                <w:szCs w:val="18"/>
              </w:rPr>
            </w:pPr>
            <w:r>
              <w:rPr>
                <w:rFonts w:hint="eastAsia" w:ascii="宋体" w:hAnsi="宋体"/>
                <w:color w:val="auto"/>
                <w:kern w:val="0"/>
                <w:sz w:val="18"/>
                <w:szCs w:val="18"/>
              </w:rPr>
              <w:t xml:space="preserve">100≤X＜300 </w:t>
            </w:r>
          </w:p>
        </w:tc>
        <w:tc>
          <w:tcPr>
            <w:tcW w:w="1426" w:type="dxa"/>
            <w:tcBorders>
              <w:top w:val="nil"/>
              <w:left w:val="nil"/>
              <w:bottom w:val="nil"/>
              <w:right w:val="single" w:color="auto" w:sz="4" w:space="0"/>
            </w:tcBorders>
            <w:vAlign w:val="center"/>
          </w:tcPr>
          <w:p w14:paraId="4BF5C2BC">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 xml:space="preserve"> 10≤X＜100</w:t>
            </w:r>
          </w:p>
        </w:tc>
        <w:tc>
          <w:tcPr>
            <w:tcW w:w="992" w:type="dxa"/>
            <w:tcBorders>
              <w:top w:val="nil"/>
              <w:left w:val="nil"/>
              <w:bottom w:val="nil"/>
              <w:right w:val="nil"/>
            </w:tcBorders>
            <w:vAlign w:val="center"/>
          </w:tcPr>
          <w:p w14:paraId="10880903">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X＜10</w:t>
            </w:r>
          </w:p>
        </w:tc>
      </w:tr>
      <w:tr w14:paraId="1A0FF80E">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627064A4">
            <w:pPr>
              <w:widowControl/>
              <w:spacing w:line="240" w:lineRule="auto"/>
              <w:jc w:val="left"/>
              <w:rPr>
                <w:rFonts w:ascii="宋体" w:hAnsi="宋体"/>
                <w:color w:val="auto"/>
                <w:kern w:val="0"/>
                <w:sz w:val="18"/>
                <w:szCs w:val="18"/>
              </w:rPr>
            </w:pPr>
          </w:p>
        </w:tc>
        <w:tc>
          <w:tcPr>
            <w:tcW w:w="1369" w:type="dxa"/>
            <w:tcBorders>
              <w:top w:val="nil"/>
              <w:left w:val="nil"/>
              <w:bottom w:val="single" w:color="auto" w:sz="4" w:space="0"/>
              <w:right w:val="single" w:color="auto" w:sz="4" w:space="0"/>
            </w:tcBorders>
            <w:vAlign w:val="center"/>
          </w:tcPr>
          <w:p w14:paraId="46372B42">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资产总额(Z)</w:t>
            </w:r>
          </w:p>
        </w:tc>
        <w:tc>
          <w:tcPr>
            <w:tcW w:w="709" w:type="dxa"/>
            <w:tcBorders>
              <w:top w:val="nil"/>
              <w:left w:val="nil"/>
              <w:bottom w:val="single" w:color="auto" w:sz="4" w:space="0"/>
              <w:right w:val="single" w:color="auto" w:sz="4" w:space="0"/>
            </w:tcBorders>
            <w:vAlign w:val="center"/>
          </w:tcPr>
          <w:p w14:paraId="2A012E84">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万元</w:t>
            </w:r>
          </w:p>
        </w:tc>
        <w:tc>
          <w:tcPr>
            <w:tcW w:w="1125" w:type="dxa"/>
            <w:tcBorders>
              <w:top w:val="nil"/>
              <w:left w:val="nil"/>
              <w:bottom w:val="single" w:color="auto" w:sz="4" w:space="0"/>
              <w:right w:val="single" w:color="auto" w:sz="4" w:space="0"/>
            </w:tcBorders>
            <w:vAlign w:val="center"/>
          </w:tcPr>
          <w:p w14:paraId="260ED6D0">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Z≥120000</w:t>
            </w:r>
          </w:p>
        </w:tc>
        <w:tc>
          <w:tcPr>
            <w:tcW w:w="1701" w:type="dxa"/>
            <w:tcBorders>
              <w:top w:val="nil"/>
              <w:left w:val="nil"/>
              <w:bottom w:val="single" w:color="auto" w:sz="4" w:space="0"/>
              <w:right w:val="single" w:color="auto" w:sz="4" w:space="0"/>
            </w:tcBorders>
            <w:vAlign w:val="center"/>
          </w:tcPr>
          <w:p w14:paraId="16761460">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 xml:space="preserve"> 8000≤Z＜120000</w:t>
            </w:r>
          </w:p>
        </w:tc>
        <w:tc>
          <w:tcPr>
            <w:tcW w:w="1426" w:type="dxa"/>
            <w:tcBorders>
              <w:top w:val="nil"/>
              <w:left w:val="nil"/>
              <w:bottom w:val="single" w:color="auto" w:sz="4" w:space="0"/>
              <w:right w:val="single" w:color="auto" w:sz="4" w:space="0"/>
            </w:tcBorders>
            <w:vAlign w:val="center"/>
          </w:tcPr>
          <w:p w14:paraId="25D71D1B">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 xml:space="preserve"> 100≤Z＜8000</w:t>
            </w:r>
          </w:p>
        </w:tc>
        <w:tc>
          <w:tcPr>
            <w:tcW w:w="992" w:type="dxa"/>
            <w:tcBorders>
              <w:top w:val="nil"/>
              <w:left w:val="nil"/>
              <w:bottom w:val="single" w:color="auto" w:sz="4" w:space="0"/>
              <w:right w:val="nil"/>
            </w:tcBorders>
            <w:vAlign w:val="center"/>
          </w:tcPr>
          <w:p w14:paraId="2E9647E3">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Z＜100</w:t>
            </w:r>
          </w:p>
        </w:tc>
      </w:tr>
      <w:tr w14:paraId="3FEB2221">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vAlign w:val="center"/>
          </w:tcPr>
          <w:p w14:paraId="3B05129B">
            <w:pPr>
              <w:widowControl/>
              <w:spacing w:line="240" w:lineRule="auto"/>
              <w:jc w:val="left"/>
              <w:rPr>
                <w:rFonts w:hint="eastAsia" w:ascii="宋体" w:hAnsi="宋体"/>
                <w:color w:val="auto"/>
                <w:kern w:val="0"/>
                <w:sz w:val="18"/>
                <w:szCs w:val="18"/>
              </w:rPr>
            </w:pPr>
            <w:r>
              <w:rPr>
                <w:rFonts w:hint="eastAsia" w:ascii="宋体" w:hAnsi="宋体"/>
                <w:color w:val="auto"/>
                <w:kern w:val="0"/>
                <w:sz w:val="18"/>
                <w:szCs w:val="18"/>
              </w:rPr>
              <w:t>其他未列明行业 *</w:t>
            </w:r>
          </w:p>
        </w:tc>
        <w:tc>
          <w:tcPr>
            <w:tcW w:w="1369" w:type="dxa"/>
            <w:tcBorders>
              <w:top w:val="nil"/>
              <w:left w:val="nil"/>
              <w:bottom w:val="single" w:color="auto" w:sz="4" w:space="0"/>
              <w:right w:val="single" w:color="auto" w:sz="4" w:space="0"/>
            </w:tcBorders>
            <w:vAlign w:val="center"/>
          </w:tcPr>
          <w:p w14:paraId="679D5188">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从业人员(X)</w:t>
            </w:r>
          </w:p>
        </w:tc>
        <w:tc>
          <w:tcPr>
            <w:tcW w:w="709" w:type="dxa"/>
            <w:tcBorders>
              <w:top w:val="nil"/>
              <w:left w:val="nil"/>
              <w:bottom w:val="single" w:color="auto" w:sz="4" w:space="0"/>
              <w:right w:val="single" w:color="auto" w:sz="4" w:space="0"/>
            </w:tcBorders>
            <w:vAlign w:val="center"/>
          </w:tcPr>
          <w:p w14:paraId="632FE0EF">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人</w:t>
            </w:r>
          </w:p>
        </w:tc>
        <w:tc>
          <w:tcPr>
            <w:tcW w:w="1125" w:type="dxa"/>
            <w:tcBorders>
              <w:top w:val="nil"/>
              <w:left w:val="nil"/>
              <w:bottom w:val="single" w:color="auto" w:sz="4" w:space="0"/>
              <w:right w:val="single" w:color="auto" w:sz="4" w:space="0"/>
            </w:tcBorders>
            <w:vAlign w:val="center"/>
          </w:tcPr>
          <w:p w14:paraId="60CDE25D">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X≥300</w:t>
            </w:r>
          </w:p>
        </w:tc>
        <w:tc>
          <w:tcPr>
            <w:tcW w:w="1701" w:type="dxa"/>
            <w:tcBorders>
              <w:top w:val="nil"/>
              <w:left w:val="nil"/>
              <w:bottom w:val="single" w:color="auto" w:sz="4" w:space="0"/>
              <w:right w:val="single" w:color="auto" w:sz="4" w:space="0"/>
            </w:tcBorders>
            <w:vAlign w:val="center"/>
          </w:tcPr>
          <w:p w14:paraId="0E82E683">
            <w:pPr>
              <w:widowControl/>
              <w:spacing w:line="240" w:lineRule="auto"/>
              <w:ind w:left="1" w:leftChars="-51" w:hanging="108" w:hangingChars="60"/>
              <w:jc w:val="center"/>
              <w:rPr>
                <w:rFonts w:hint="eastAsia" w:ascii="宋体" w:hAnsi="宋体"/>
                <w:color w:val="auto"/>
                <w:kern w:val="0"/>
                <w:sz w:val="18"/>
                <w:szCs w:val="18"/>
              </w:rPr>
            </w:pPr>
            <w:r>
              <w:rPr>
                <w:rFonts w:hint="eastAsia" w:ascii="宋体" w:hAnsi="宋体"/>
                <w:color w:val="auto"/>
                <w:kern w:val="0"/>
                <w:sz w:val="18"/>
                <w:szCs w:val="18"/>
              </w:rPr>
              <w:t xml:space="preserve">100≤X＜300 </w:t>
            </w:r>
          </w:p>
        </w:tc>
        <w:tc>
          <w:tcPr>
            <w:tcW w:w="1426" w:type="dxa"/>
            <w:tcBorders>
              <w:top w:val="nil"/>
              <w:left w:val="nil"/>
              <w:bottom w:val="single" w:color="auto" w:sz="4" w:space="0"/>
              <w:right w:val="single" w:color="auto" w:sz="4" w:space="0"/>
            </w:tcBorders>
            <w:vAlign w:val="center"/>
          </w:tcPr>
          <w:p w14:paraId="6DC492F3">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 xml:space="preserve"> 10≤X＜100</w:t>
            </w:r>
          </w:p>
        </w:tc>
        <w:tc>
          <w:tcPr>
            <w:tcW w:w="992" w:type="dxa"/>
            <w:tcBorders>
              <w:top w:val="nil"/>
              <w:left w:val="nil"/>
              <w:bottom w:val="single" w:color="auto" w:sz="4" w:space="0"/>
              <w:right w:val="nil"/>
            </w:tcBorders>
            <w:vAlign w:val="center"/>
          </w:tcPr>
          <w:p w14:paraId="380A853B">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X＜10</w:t>
            </w:r>
          </w:p>
        </w:tc>
      </w:tr>
    </w:tbl>
    <w:p w14:paraId="7A3CDF1C">
      <w:pPr>
        <w:spacing w:line="240" w:lineRule="auto"/>
        <w:ind w:firstLine="525" w:firstLineChars="250"/>
        <w:rPr>
          <w:rFonts w:hint="eastAsia" w:ascii="宋体" w:hAnsi="宋体"/>
          <w:color w:val="auto"/>
          <w:szCs w:val="21"/>
        </w:rPr>
      </w:pPr>
    </w:p>
    <w:p w14:paraId="4F07EAE4">
      <w:pPr>
        <w:spacing w:line="240" w:lineRule="auto"/>
        <w:ind w:firstLine="525" w:firstLineChars="250"/>
        <w:rPr>
          <w:rFonts w:hint="eastAsia" w:ascii="宋体" w:hAnsi="宋体"/>
          <w:color w:val="auto"/>
          <w:szCs w:val="21"/>
        </w:rPr>
      </w:pPr>
      <w:r>
        <w:rPr>
          <w:rFonts w:hint="eastAsia" w:ascii="宋体" w:hAnsi="宋体"/>
          <w:color w:val="auto"/>
          <w:szCs w:val="21"/>
        </w:rPr>
        <w:t>说明：</w:t>
      </w:r>
    </w:p>
    <w:p w14:paraId="0E40EA49">
      <w:pPr>
        <w:spacing w:line="240" w:lineRule="auto"/>
        <w:ind w:firstLine="525" w:firstLineChars="250"/>
        <w:rPr>
          <w:rFonts w:hint="eastAsia" w:ascii="宋体" w:hAnsi="宋体"/>
          <w:color w:val="auto"/>
          <w:szCs w:val="21"/>
        </w:rPr>
      </w:pPr>
      <w:r>
        <w:rPr>
          <w:rFonts w:hint="eastAsia" w:ascii="宋体" w:hAnsi="宋体"/>
          <w:color w:val="auto"/>
          <w:szCs w:val="21"/>
        </w:rPr>
        <w:t>　　1.大型、中型和小型企业须同时满足所列指标的下限，否则下划一档；微型企业只须满足所列指标中的一项即可。</w:t>
      </w:r>
    </w:p>
    <w:p w14:paraId="669B2FE3">
      <w:pPr>
        <w:spacing w:line="240" w:lineRule="auto"/>
        <w:ind w:firstLine="525" w:firstLineChars="250"/>
        <w:rPr>
          <w:rFonts w:hint="eastAsia" w:ascii="宋体" w:hAnsi="宋体"/>
          <w:color w:val="auto"/>
          <w:szCs w:val="21"/>
        </w:rPr>
      </w:pPr>
      <w:r>
        <w:rPr>
          <w:rFonts w:hint="eastAsia" w:ascii="宋体" w:hAnsi="宋体"/>
          <w:color w:val="auto"/>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F03807F">
      <w:pPr>
        <w:spacing w:line="240" w:lineRule="auto"/>
        <w:ind w:firstLine="525" w:firstLineChars="250"/>
        <w:rPr>
          <w:rFonts w:hint="eastAsia" w:ascii="宋体" w:hAnsi="宋体"/>
          <w:color w:val="auto"/>
          <w:szCs w:val="21"/>
        </w:rPr>
      </w:pPr>
      <w:r>
        <w:rPr>
          <w:rFonts w:hint="eastAsia" w:ascii="宋体" w:hAnsi="宋体"/>
          <w:color w:val="auto"/>
          <w:szCs w:val="21"/>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BF4E37A">
      <w:pPr>
        <w:pStyle w:val="4"/>
        <w:spacing w:line="240" w:lineRule="auto"/>
        <w:jc w:val="center"/>
        <w:rPr>
          <w:rFonts w:hint="eastAsia" w:ascii="Cambria" w:hAnsi="Cambria"/>
          <w:bCs w:val="0"/>
          <w:color w:val="auto"/>
          <w:sz w:val="32"/>
          <w:szCs w:val="32"/>
        </w:rPr>
      </w:pPr>
      <w:bookmarkStart w:id="20" w:name="_Toc24927"/>
      <w:bookmarkEnd w:id="20"/>
      <w:r>
        <w:rPr>
          <w:rFonts w:hint="eastAsia" w:ascii="Cambria" w:hAnsi="Cambria"/>
          <w:bCs w:val="0"/>
          <w:color w:val="auto"/>
          <w:sz w:val="32"/>
          <w:szCs w:val="32"/>
        </w:rPr>
        <w:br w:type="page"/>
      </w:r>
      <w:r>
        <w:rPr>
          <w:rFonts w:hint="eastAsia" w:ascii="Cambria" w:hAnsi="Cambria"/>
          <w:bCs w:val="0"/>
          <w:color w:val="auto"/>
          <w:sz w:val="32"/>
          <w:szCs w:val="32"/>
        </w:rPr>
        <w:t>第三章 供应商须知</w:t>
      </w:r>
    </w:p>
    <w:p w14:paraId="7C055CB8">
      <w:pPr>
        <w:pStyle w:val="5"/>
        <w:spacing w:line="240" w:lineRule="auto"/>
        <w:jc w:val="center"/>
        <w:rPr>
          <w:rFonts w:hint="eastAsia" w:ascii="宋体" w:hAnsi="宋体"/>
          <w:bCs w:val="0"/>
          <w:color w:val="auto"/>
        </w:rPr>
      </w:pPr>
      <w:bookmarkStart w:id="21" w:name="_Toc25964"/>
      <w:bookmarkEnd w:id="21"/>
      <w:bookmarkStart w:id="22" w:name="_Toc26603"/>
      <w:bookmarkEnd w:id="22"/>
      <w:r>
        <w:rPr>
          <w:rFonts w:hint="eastAsia" w:ascii="宋体" w:hAnsi="宋体"/>
          <w:bCs w:val="0"/>
          <w:color w:val="auto"/>
        </w:rPr>
        <w:t>第一节 供应商须知前附表</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3"/>
        <w:gridCol w:w="2578"/>
        <w:gridCol w:w="6853"/>
      </w:tblGrid>
      <w:tr w14:paraId="7273C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33" w:type="dxa"/>
            <w:vAlign w:val="center"/>
          </w:tcPr>
          <w:p w14:paraId="02F356A4">
            <w:pPr>
              <w:spacing w:line="240" w:lineRule="auto"/>
              <w:jc w:val="center"/>
              <w:rPr>
                <w:rFonts w:hint="eastAsia"/>
                <w:b/>
                <w:bCs/>
                <w:color w:val="auto"/>
              </w:rPr>
            </w:pPr>
            <w:r>
              <w:rPr>
                <w:rFonts w:hint="eastAsia"/>
                <w:b/>
                <w:bCs/>
                <w:color w:val="auto"/>
              </w:rPr>
              <w:t>条款号</w:t>
            </w:r>
          </w:p>
        </w:tc>
        <w:tc>
          <w:tcPr>
            <w:tcW w:w="2578" w:type="dxa"/>
            <w:vAlign w:val="center"/>
          </w:tcPr>
          <w:p w14:paraId="48B982D6">
            <w:pPr>
              <w:spacing w:line="240" w:lineRule="auto"/>
              <w:jc w:val="center"/>
              <w:rPr>
                <w:rFonts w:hint="eastAsia"/>
                <w:b/>
                <w:bCs/>
                <w:color w:val="auto"/>
              </w:rPr>
            </w:pPr>
            <w:r>
              <w:rPr>
                <w:rFonts w:hint="eastAsia"/>
                <w:b/>
                <w:bCs/>
                <w:color w:val="auto"/>
              </w:rPr>
              <w:t>条款内容</w:t>
            </w:r>
          </w:p>
        </w:tc>
        <w:tc>
          <w:tcPr>
            <w:tcW w:w="6853" w:type="dxa"/>
            <w:vAlign w:val="center"/>
          </w:tcPr>
          <w:p w14:paraId="238204F3">
            <w:pPr>
              <w:spacing w:line="240" w:lineRule="auto"/>
              <w:jc w:val="center"/>
              <w:rPr>
                <w:rFonts w:hint="eastAsia"/>
                <w:b/>
                <w:bCs/>
                <w:color w:val="auto"/>
              </w:rPr>
            </w:pPr>
            <w:r>
              <w:rPr>
                <w:rFonts w:hint="eastAsia"/>
                <w:b/>
                <w:bCs/>
                <w:color w:val="auto"/>
              </w:rPr>
              <w:t>具体要求</w:t>
            </w:r>
          </w:p>
        </w:tc>
      </w:tr>
      <w:tr w14:paraId="18301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33" w:type="dxa"/>
            <w:vAlign w:val="center"/>
          </w:tcPr>
          <w:p w14:paraId="079A9594">
            <w:pPr>
              <w:spacing w:line="240" w:lineRule="auto"/>
              <w:jc w:val="center"/>
              <w:rPr>
                <w:rFonts w:hint="eastAsia" w:ascii="宋体" w:hAnsi="宋体"/>
                <w:color w:val="auto"/>
                <w:sz w:val="24"/>
                <w:szCs w:val="24"/>
              </w:rPr>
            </w:pPr>
            <w:r>
              <w:rPr>
                <w:rFonts w:hint="eastAsia" w:ascii="宋体" w:hAnsi="宋体"/>
                <w:color w:val="auto"/>
                <w:sz w:val="24"/>
                <w:szCs w:val="24"/>
              </w:rPr>
              <w:t>3.1</w:t>
            </w:r>
          </w:p>
        </w:tc>
        <w:tc>
          <w:tcPr>
            <w:tcW w:w="2578" w:type="dxa"/>
            <w:vAlign w:val="center"/>
          </w:tcPr>
          <w:p w14:paraId="6009F54A">
            <w:pPr>
              <w:spacing w:line="240" w:lineRule="auto"/>
              <w:jc w:val="center"/>
              <w:rPr>
                <w:rFonts w:hint="eastAsia" w:ascii="宋体" w:hAnsi="宋体"/>
                <w:color w:val="auto"/>
                <w:sz w:val="24"/>
                <w:szCs w:val="24"/>
              </w:rPr>
            </w:pPr>
            <w:r>
              <w:rPr>
                <w:rFonts w:hint="eastAsia" w:ascii="宋体" w:hAnsi="宋体"/>
                <w:color w:val="auto"/>
                <w:sz w:val="24"/>
                <w:szCs w:val="24"/>
              </w:rPr>
              <w:t>供应商资格条件</w:t>
            </w:r>
          </w:p>
        </w:tc>
        <w:tc>
          <w:tcPr>
            <w:tcW w:w="6853" w:type="dxa"/>
            <w:vAlign w:val="center"/>
          </w:tcPr>
          <w:p w14:paraId="2D97757F">
            <w:pPr>
              <w:spacing w:line="240" w:lineRule="auto"/>
              <w:jc w:val="left"/>
              <w:rPr>
                <w:rFonts w:hint="eastAsia"/>
                <w:color w:val="auto"/>
                <w:sz w:val="24"/>
                <w:szCs w:val="24"/>
              </w:rPr>
            </w:pPr>
            <w:r>
              <w:rPr>
                <w:rFonts w:hint="eastAsia"/>
                <w:color w:val="auto"/>
                <w:sz w:val="24"/>
                <w:szCs w:val="24"/>
              </w:rPr>
              <w:t>供应商资格条件要求详见公告。</w:t>
            </w:r>
          </w:p>
        </w:tc>
      </w:tr>
      <w:tr w14:paraId="414FB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33" w:type="dxa"/>
            <w:vAlign w:val="center"/>
          </w:tcPr>
          <w:p w14:paraId="09D11B74">
            <w:pPr>
              <w:spacing w:line="240" w:lineRule="auto"/>
              <w:jc w:val="center"/>
              <w:rPr>
                <w:rFonts w:hint="eastAsia" w:ascii="宋体" w:hAnsi="宋体"/>
                <w:color w:val="auto"/>
                <w:sz w:val="24"/>
                <w:szCs w:val="24"/>
              </w:rPr>
            </w:pPr>
            <w:r>
              <w:rPr>
                <w:rFonts w:hint="eastAsia" w:ascii="宋体" w:hAnsi="宋体"/>
                <w:color w:val="auto"/>
                <w:sz w:val="24"/>
                <w:szCs w:val="24"/>
              </w:rPr>
              <w:t>5.1</w:t>
            </w:r>
          </w:p>
        </w:tc>
        <w:tc>
          <w:tcPr>
            <w:tcW w:w="2578" w:type="dxa"/>
            <w:vAlign w:val="center"/>
          </w:tcPr>
          <w:p w14:paraId="540AD29E">
            <w:pPr>
              <w:spacing w:line="240" w:lineRule="auto"/>
              <w:jc w:val="center"/>
              <w:rPr>
                <w:rFonts w:hint="eastAsia" w:ascii="宋体" w:hAnsi="宋体"/>
                <w:color w:val="auto"/>
                <w:sz w:val="24"/>
                <w:szCs w:val="24"/>
              </w:rPr>
            </w:pPr>
            <w:r>
              <w:rPr>
                <w:rFonts w:hint="eastAsia" w:ascii="宋体" w:hAnsi="宋体"/>
                <w:color w:val="auto"/>
                <w:sz w:val="24"/>
                <w:szCs w:val="24"/>
              </w:rPr>
              <w:t>是否接受联合体竞标</w:t>
            </w:r>
          </w:p>
        </w:tc>
        <w:tc>
          <w:tcPr>
            <w:tcW w:w="6853" w:type="dxa"/>
            <w:vAlign w:val="center"/>
          </w:tcPr>
          <w:p w14:paraId="23E32D56">
            <w:pPr>
              <w:spacing w:line="240" w:lineRule="auto"/>
              <w:jc w:val="left"/>
              <w:rPr>
                <w:rFonts w:hint="eastAsia"/>
                <w:color w:val="auto"/>
                <w:sz w:val="24"/>
                <w:szCs w:val="24"/>
                <w:lang w:eastAsia="zh-CN"/>
              </w:rPr>
            </w:pPr>
            <w:r>
              <w:rPr>
                <w:rFonts w:hint="eastAsia"/>
                <w:color w:val="auto"/>
                <w:sz w:val="24"/>
                <w:szCs w:val="24"/>
                <w:lang w:eastAsia="zh-CN"/>
              </w:rPr>
              <w:t>□</w:t>
            </w:r>
            <w:r>
              <w:rPr>
                <w:rFonts w:hint="eastAsia"/>
                <w:color w:val="auto"/>
                <w:sz w:val="24"/>
                <w:szCs w:val="24"/>
              </w:rPr>
              <w:t>是</w:t>
            </w:r>
          </w:p>
          <w:p w14:paraId="3B53548E">
            <w:pPr>
              <w:spacing w:line="240" w:lineRule="auto"/>
              <w:jc w:val="left"/>
              <w:rPr>
                <w:rFonts w:hint="eastAsia"/>
                <w:color w:val="auto"/>
                <w:sz w:val="24"/>
                <w:szCs w:val="24"/>
                <w:lang w:eastAsia="zh-CN"/>
              </w:rPr>
            </w:pPr>
            <w:r>
              <w:rPr>
                <w:rFonts w:hint="eastAsia"/>
                <w:color w:val="auto"/>
                <w:sz w:val="24"/>
                <w:szCs w:val="24"/>
                <w:lang w:eastAsia="zh-CN"/>
              </w:rPr>
              <w:t>☑</w:t>
            </w:r>
            <w:r>
              <w:rPr>
                <w:rFonts w:hint="eastAsia"/>
                <w:color w:val="auto"/>
                <w:sz w:val="24"/>
                <w:szCs w:val="24"/>
              </w:rPr>
              <w:t>否。</w:t>
            </w:r>
          </w:p>
        </w:tc>
      </w:tr>
      <w:tr w14:paraId="629F4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33" w:type="dxa"/>
            <w:vAlign w:val="center"/>
          </w:tcPr>
          <w:p w14:paraId="5DB11EC1">
            <w:pPr>
              <w:spacing w:line="240" w:lineRule="auto"/>
              <w:jc w:val="center"/>
              <w:rPr>
                <w:rFonts w:hint="eastAsia" w:ascii="宋体" w:hAnsi="宋体"/>
                <w:color w:val="auto"/>
                <w:sz w:val="24"/>
                <w:szCs w:val="24"/>
              </w:rPr>
            </w:pPr>
            <w:r>
              <w:rPr>
                <w:rFonts w:hint="eastAsia" w:ascii="宋体" w:hAnsi="宋体"/>
                <w:color w:val="auto"/>
                <w:sz w:val="24"/>
                <w:szCs w:val="24"/>
              </w:rPr>
              <w:t>5.2</w:t>
            </w:r>
          </w:p>
        </w:tc>
        <w:tc>
          <w:tcPr>
            <w:tcW w:w="2578" w:type="dxa"/>
            <w:vAlign w:val="center"/>
          </w:tcPr>
          <w:p w14:paraId="10EAF05A">
            <w:pPr>
              <w:spacing w:line="240" w:lineRule="auto"/>
              <w:jc w:val="center"/>
              <w:rPr>
                <w:rFonts w:hint="eastAsia" w:ascii="宋体" w:hAnsi="宋体"/>
                <w:color w:val="auto"/>
                <w:sz w:val="24"/>
                <w:szCs w:val="24"/>
              </w:rPr>
            </w:pPr>
            <w:r>
              <w:rPr>
                <w:rFonts w:hint="eastAsia" w:ascii="宋体" w:hAnsi="宋体"/>
                <w:color w:val="auto"/>
                <w:sz w:val="24"/>
                <w:szCs w:val="24"/>
              </w:rPr>
              <w:t>联合体竞标要求</w:t>
            </w:r>
          </w:p>
        </w:tc>
        <w:tc>
          <w:tcPr>
            <w:tcW w:w="6853" w:type="dxa"/>
            <w:vAlign w:val="center"/>
          </w:tcPr>
          <w:p w14:paraId="6A9F5D4E">
            <w:pPr>
              <w:spacing w:line="240" w:lineRule="auto"/>
              <w:jc w:val="left"/>
              <w:rPr>
                <w:rFonts w:hint="eastAsia"/>
                <w:color w:val="auto"/>
                <w:sz w:val="24"/>
                <w:szCs w:val="24"/>
              </w:rPr>
            </w:pPr>
            <w:r>
              <w:rPr>
                <w:rFonts w:hint="eastAsia"/>
                <w:color w:val="auto"/>
                <w:sz w:val="24"/>
                <w:szCs w:val="24"/>
                <w:lang w:val="en-US" w:eastAsia="zh-CN"/>
              </w:rPr>
              <w:t>无</w:t>
            </w:r>
            <w:r>
              <w:rPr>
                <w:rFonts w:hint="eastAsia"/>
                <w:color w:val="auto"/>
                <w:sz w:val="24"/>
                <w:szCs w:val="24"/>
              </w:rPr>
              <w:t>。</w:t>
            </w:r>
          </w:p>
        </w:tc>
      </w:tr>
      <w:tr w14:paraId="38527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33" w:type="dxa"/>
            <w:vAlign w:val="center"/>
          </w:tcPr>
          <w:p w14:paraId="32556290">
            <w:pPr>
              <w:spacing w:line="240" w:lineRule="auto"/>
              <w:jc w:val="center"/>
              <w:rPr>
                <w:rFonts w:hint="eastAsia" w:ascii="宋体" w:hAnsi="宋体"/>
                <w:color w:val="auto"/>
                <w:sz w:val="24"/>
                <w:szCs w:val="24"/>
              </w:rPr>
            </w:pPr>
            <w:r>
              <w:rPr>
                <w:rFonts w:hint="eastAsia" w:ascii="宋体" w:hAnsi="宋体"/>
                <w:color w:val="auto"/>
                <w:sz w:val="24"/>
                <w:szCs w:val="24"/>
              </w:rPr>
              <w:t>6.1</w:t>
            </w:r>
          </w:p>
        </w:tc>
        <w:tc>
          <w:tcPr>
            <w:tcW w:w="2578" w:type="dxa"/>
            <w:vAlign w:val="center"/>
          </w:tcPr>
          <w:p w14:paraId="2077437A">
            <w:pPr>
              <w:spacing w:line="240" w:lineRule="auto"/>
              <w:jc w:val="center"/>
              <w:rPr>
                <w:rFonts w:hint="eastAsia" w:ascii="宋体" w:hAnsi="宋体"/>
                <w:color w:val="auto"/>
                <w:sz w:val="24"/>
                <w:szCs w:val="24"/>
              </w:rPr>
            </w:pPr>
            <w:r>
              <w:rPr>
                <w:rFonts w:hint="eastAsia" w:ascii="宋体" w:hAnsi="宋体"/>
                <w:color w:val="auto"/>
                <w:sz w:val="24"/>
                <w:szCs w:val="24"/>
              </w:rPr>
              <w:t>是否允许分包</w:t>
            </w:r>
          </w:p>
        </w:tc>
        <w:tc>
          <w:tcPr>
            <w:tcW w:w="6853" w:type="dxa"/>
            <w:vAlign w:val="center"/>
          </w:tcPr>
          <w:p w14:paraId="307662A1">
            <w:pPr>
              <w:spacing w:line="240" w:lineRule="auto"/>
              <w:jc w:val="left"/>
              <w:rPr>
                <w:rFonts w:hint="default" w:eastAsia="宋体"/>
                <w:color w:val="auto"/>
                <w:sz w:val="24"/>
                <w:szCs w:val="24"/>
                <w:lang w:val="en-US" w:eastAsia="zh-CN"/>
              </w:rPr>
            </w:pPr>
            <w:r>
              <w:rPr>
                <w:rFonts w:hint="eastAsia"/>
                <w:color w:val="auto"/>
                <w:sz w:val="24"/>
                <w:szCs w:val="24"/>
                <w:lang w:val="en-US" w:eastAsia="zh-CN"/>
              </w:rPr>
              <w:t>不允许分包</w:t>
            </w:r>
          </w:p>
        </w:tc>
      </w:tr>
      <w:tr w14:paraId="7015E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4" w:hRule="atLeast"/>
          <w:jc w:val="center"/>
        </w:trPr>
        <w:tc>
          <w:tcPr>
            <w:tcW w:w="933" w:type="dxa"/>
            <w:vAlign w:val="center"/>
          </w:tcPr>
          <w:p w14:paraId="0C5B3E8B">
            <w:pPr>
              <w:spacing w:line="240" w:lineRule="auto"/>
              <w:jc w:val="center"/>
              <w:rPr>
                <w:rFonts w:hint="eastAsia" w:ascii="宋体" w:hAnsi="宋体"/>
                <w:color w:val="auto"/>
                <w:sz w:val="24"/>
                <w:szCs w:val="24"/>
              </w:rPr>
            </w:pPr>
            <w:r>
              <w:rPr>
                <w:rFonts w:hint="eastAsia" w:ascii="宋体" w:hAnsi="宋体"/>
                <w:color w:val="auto"/>
                <w:sz w:val="24"/>
                <w:szCs w:val="24"/>
              </w:rPr>
              <w:t>12.1.</w:t>
            </w:r>
            <w:r>
              <w:rPr>
                <w:rFonts w:ascii="宋体" w:hAnsi="宋体"/>
                <w:color w:val="auto"/>
                <w:sz w:val="24"/>
                <w:szCs w:val="24"/>
              </w:rPr>
              <w:t>1</w:t>
            </w:r>
          </w:p>
        </w:tc>
        <w:tc>
          <w:tcPr>
            <w:tcW w:w="2578" w:type="dxa"/>
            <w:vAlign w:val="center"/>
          </w:tcPr>
          <w:p w14:paraId="70BAC689">
            <w:pPr>
              <w:snapToGrid w:val="0"/>
              <w:spacing w:line="240" w:lineRule="auto"/>
              <w:jc w:val="center"/>
              <w:rPr>
                <w:rFonts w:hint="eastAsia" w:ascii="宋体" w:hAnsi="宋体"/>
                <w:bCs/>
                <w:color w:val="auto"/>
                <w:sz w:val="24"/>
                <w:szCs w:val="24"/>
              </w:rPr>
            </w:pPr>
            <w:r>
              <w:rPr>
                <w:rFonts w:hint="eastAsia" w:ascii="宋体" w:hAnsi="宋体"/>
                <w:bCs/>
                <w:color w:val="auto"/>
                <w:sz w:val="24"/>
                <w:szCs w:val="24"/>
              </w:rPr>
              <w:t>资格证明文件组成</w:t>
            </w:r>
          </w:p>
          <w:p w14:paraId="547B95FF">
            <w:pPr>
              <w:spacing w:line="240" w:lineRule="auto"/>
              <w:jc w:val="center"/>
              <w:rPr>
                <w:rFonts w:hint="eastAsia" w:ascii="宋体" w:hAnsi="宋体"/>
                <w:color w:val="auto"/>
                <w:sz w:val="24"/>
                <w:szCs w:val="24"/>
              </w:rPr>
            </w:pPr>
          </w:p>
        </w:tc>
        <w:tc>
          <w:tcPr>
            <w:tcW w:w="6853" w:type="dxa"/>
            <w:vAlign w:val="center"/>
          </w:tcPr>
          <w:p w14:paraId="06CC3365">
            <w:pPr>
              <w:spacing w:line="240" w:lineRule="auto"/>
              <w:jc w:val="left"/>
              <w:rPr>
                <w:rFonts w:hint="eastAsia" w:ascii="宋体" w:hAnsi="宋体"/>
                <w:color w:val="auto"/>
                <w:sz w:val="24"/>
                <w:szCs w:val="24"/>
              </w:rPr>
            </w:pPr>
            <w:r>
              <w:rPr>
                <w:rFonts w:hint="eastAsia" w:ascii="宋体" w:hAnsi="宋体"/>
                <w:color w:val="auto"/>
                <w:sz w:val="24"/>
                <w:szCs w:val="24"/>
              </w:rPr>
              <w:t>1.供应商为法人或者其他组织的提供其营业执照等证明文件（如营业执照或者事业单位法人证书或者执业许可证等），供应商为自然人的提供其身份证复印件；中小企业声明函；企业资质证书复印件；安全生产许可证复印件；投入本项目的项目经理注册建造师执业资格证书及有效的安全生产考核合格证书（B类）复印件、无在</w:t>
            </w:r>
            <w:r>
              <w:rPr>
                <w:rFonts w:hint="eastAsia" w:ascii="宋体" w:hAnsi="宋体"/>
                <w:color w:val="auto"/>
                <w:sz w:val="24"/>
                <w:szCs w:val="24"/>
                <w:lang w:val="en-US" w:eastAsia="zh-CN"/>
              </w:rPr>
              <w:t>岗</w:t>
            </w:r>
            <w:r>
              <w:rPr>
                <w:rFonts w:hint="eastAsia" w:ascii="宋体" w:hAnsi="宋体"/>
                <w:color w:val="auto"/>
                <w:sz w:val="24"/>
                <w:szCs w:val="24"/>
              </w:rPr>
              <w:t>项目承诺书（格式自拟，加盖单位公章）（</w:t>
            </w:r>
            <w:r>
              <w:rPr>
                <w:rFonts w:hint="eastAsia" w:ascii="宋体" w:hAnsi="宋体"/>
                <w:b/>
                <w:color w:val="auto"/>
                <w:sz w:val="24"/>
                <w:szCs w:val="24"/>
              </w:rPr>
              <w:t>必须提供，否则谈判文件按无效响应处理</w:t>
            </w:r>
            <w:r>
              <w:rPr>
                <w:rFonts w:hint="eastAsia" w:ascii="宋体" w:hAnsi="宋体"/>
                <w:color w:val="auto"/>
                <w:sz w:val="24"/>
                <w:szCs w:val="24"/>
              </w:rPr>
              <w:t>）</w:t>
            </w:r>
          </w:p>
          <w:p w14:paraId="5AF744F9">
            <w:pPr>
              <w:spacing w:line="240" w:lineRule="auto"/>
              <w:jc w:val="left"/>
              <w:rPr>
                <w:rFonts w:hint="eastAsia" w:ascii="宋体" w:hAnsi="宋体"/>
                <w:color w:val="auto"/>
                <w:sz w:val="24"/>
                <w:szCs w:val="24"/>
              </w:rPr>
            </w:pPr>
            <w:r>
              <w:rPr>
                <w:rFonts w:hint="eastAsia" w:ascii="宋体" w:hAnsi="宋体"/>
                <w:color w:val="auto"/>
                <w:sz w:val="24"/>
                <w:szCs w:val="24"/>
              </w:rPr>
              <w:t>2.供应商依法缴纳税收的相关材料</w:t>
            </w:r>
            <w:r>
              <w:rPr>
                <w:rFonts w:ascii="Arial" w:hAnsi="Arial"/>
                <w:color w:val="auto"/>
                <w:sz w:val="24"/>
                <w:szCs w:val="24"/>
              </w:rPr>
              <w:t>（</w:t>
            </w:r>
            <w:r>
              <w:rPr>
                <w:rFonts w:hint="eastAsia" w:ascii="Arial" w:hAnsi="Arial"/>
                <w:color w:val="auto"/>
                <w:sz w:val="24"/>
                <w:szCs w:val="24"/>
                <w:u w:val="single"/>
              </w:rPr>
              <w:t>202</w:t>
            </w:r>
            <w:r>
              <w:rPr>
                <w:rFonts w:hint="eastAsia" w:ascii="Arial" w:hAnsi="Arial"/>
                <w:color w:val="auto"/>
                <w:sz w:val="24"/>
                <w:szCs w:val="24"/>
                <w:u w:val="single"/>
                <w:lang w:val="en-US" w:eastAsia="zh-CN"/>
              </w:rPr>
              <w:t>4</w:t>
            </w:r>
            <w:r>
              <w:rPr>
                <w:rFonts w:hint="eastAsia" w:ascii="Arial" w:hAnsi="Arial"/>
                <w:color w:val="auto"/>
                <w:sz w:val="24"/>
                <w:szCs w:val="24"/>
                <w:u w:val="single"/>
              </w:rPr>
              <w:t>年</w:t>
            </w:r>
            <w:r>
              <w:rPr>
                <w:rFonts w:hint="eastAsia" w:ascii="Arial" w:hAnsi="Arial"/>
                <w:color w:val="auto"/>
                <w:sz w:val="24"/>
                <w:szCs w:val="24"/>
                <w:u w:val="single"/>
                <w:lang w:val="en-US" w:eastAsia="zh-CN"/>
              </w:rPr>
              <w:t>4</w:t>
            </w:r>
            <w:r>
              <w:rPr>
                <w:rFonts w:hint="eastAsia" w:ascii="Arial" w:hAnsi="Arial"/>
                <w:color w:val="auto"/>
                <w:sz w:val="24"/>
                <w:szCs w:val="24"/>
                <w:u w:val="single"/>
              </w:rPr>
              <w:t xml:space="preserve">月至2024年 </w:t>
            </w:r>
            <w:r>
              <w:rPr>
                <w:rFonts w:hint="eastAsia" w:ascii="Arial" w:hAnsi="Arial"/>
                <w:color w:val="auto"/>
                <w:sz w:val="24"/>
                <w:szCs w:val="24"/>
                <w:u w:val="single"/>
                <w:lang w:val="en-US" w:eastAsia="zh-CN"/>
              </w:rPr>
              <w:t>9</w:t>
            </w:r>
            <w:r>
              <w:rPr>
                <w:rFonts w:hint="eastAsia" w:ascii="Arial" w:hAnsi="Arial"/>
                <w:color w:val="auto"/>
                <w:sz w:val="24"/>
                <w:szCs w:val="24"/>
              </w:rPr>
              <w:t>月内</w:t>
            </w:r>
            <w:r>
              <w:rPr>
                <w:rFonts w:hint="eastAsia" w:ascii="宋体" w:hAnsi="宋体"/>
                <w:b w:val="0"/>
                <w:bCs w:val="0"/>
                <w:color w:val="auto"/>
                <w:sz w:val="24"/>
                <w:szCs w:val="24"/>
              </w:rPr>
              <w:t>连续</w:t>
            </w:r>
            <w:r>
              <w:rPr>
                <w:rFonts w:hint="eastAsia" w:ascii="宋体" w:hAnsi="宋体"/>
                <w:b w:val="0"/>
                <w:bCs w:val="0"/>
                <w:color w:val="auto"/>
                <w:sz w:val="24"/>
                <w:szCs w:val="24"/>
                <w:u w:val="single"/>
              </w:rPr>
              <w:t>3</w:t>
            </w:r>
            <w:r>
              <w:rPr>
                <w:rFonts w:hint="eastAsia" w:ascii="宋体" w:hAnsi="宋体"/>
                <w:b w:val="0"/>
                <w:bCs w:val="0"/>
                <w:color w:val="auto"/>
                <w:sz w:val="24"/>
                <w:szCs w:val="24"/>
              </w:rPr>
              <w:t>个月的依法缴纳税收的凭据复印件；依法免税的供应商，必须提供相</w:t>
            </w:r>
            <w:r>
              <w:rPr>
                <w:rFonts w:hint="eastAsia" w:ascii="宋体" w:hAnsi="宋体"/>
                <w:color w:val="auto"/>
                <w:sz w:val="24"/>
                <w:szCs w:val="24"/>
              </w:rPr>
              <w:t>应文件证明其依法免税。从取得营业执照时间起到响应文件提交截止时间为止不足要求月数的，只需提供从取得营业执照次月起到竞标文件递交截止前一个月的依法缴纳税收相应证明文件）；（</w:t>
            </w:r>
            <w:r>
              <w:rPr>
                <w:rFonts w:hint="eastAsia" w:ascii="宋体" w:hAnsi="宋体"/>
                <w:b/>
                <w:color w:val="auto"/>
                <w:sz w:val="24"/>
                <w:szCs w:val="24"/>
              </w:rPr>
              <w:t>必须提供，否则作无效响应处理</w:t>
            </w:r>
            <w:r>
              <w:rPr>
                <w:rFonts w:hint="eastAsia" w:ascii="宋体" w:hAnsi="宋体"/>
                <w:color w:val="auto"/>
                <w:sz w:val="24"/>
                <w:szCs w:val="24"/>
              </w:rPr>
              <w:t>）</w:t>
            </w:r>
          </w:p>
          <w:p w14:paraId="00B2E0AF">
            <w:pPr>
              <w:spacing w:line="240" w:lineRule="auto"/>
              <w:jc w:val="left"/>
              <w:rPr>
                <w:rFonts w:hint="eastAsia" w:ascii="宋体" w:hAnsi="宋体"/>
                <w:color w:val="auto"/>
                <w:sz w:val="24"/>
                <w:szCs w:val="24"/>
              </w:rPr>
            </w:pPr>
            <w:r>
              <w:rPr>
                <w:rFonts w:hint="eastAsia" w:ascii="宋体" w:hAnsi="宋体"/>
                <w:color w:val="auto"/>
                <w:sz w:val="24"/>
                <w:szCs w:val="24"/>
              </w:rPr>
              <w:t>3.供应商依法缴纳社会保障资金的相关材料</w:t>
            </w:r>
            <w:r>
              <w:rPr>
                <w:rFonts w:ascii="Arial" w:hAnsi="Arial"/>
                <w:color w:val="auto"/>
                <w:sz w:val="24"/>
                <w:szCs w:val="24"/>
              </w:rPr>
              <w:t>（</w:t>
            </w:r>
            <w:r>
              <w:rPr>
                <w:rFonts w:hint="eastAsia" w:ascii="Arial" w:hAnsi="Arial"/>
                <w:color w:val="auto"/>
                <w:sz w:val="24"/>
                <w:szCs w:val="24"/>
              </w:rPr>
              <w:t>202</w:t>
            </w:r>
            <w:r>
              <w:rPr>
                <w:rFonts w:hint="eastAsia" w:ascii="Arial" w:hAnsi="Arial"/>
                <w:color w:val="auto"/>
                <w:sz w:val="24"/>
                <w:szCs w:val="24"/>
                <w:lang w:val="en-US" w:eastAsia="zh-CN"/>
              </w:rPr>
              <w:t>4</w:t>
            </w:r>
            <w:r>
              <w:rPr>
                <w:rFonts w:hint="eastAsia" w:ascii="Arial" w:hAnsi="Arial"/>
                <w:color w:val="auto"/>
                <w:sz w:val="24"/>
                <w:szCs w:val="24"/>
              </w:rPr>
              <w:t>年</w:t>
            </w:r>
            <w:r>
              <w:rPr>
                <w:rFonts w:hint="eastAsia" w:ascii="Arial" w:hAnsi="Arial"/>
                <w:color w:val="auto"/>
                <w:sz w:val="24"/>
                <w:szCs w:val="24"/>
                <w:lang w:val="en-US" w:eastAsia="zh-CN"/>
              </w:rPr>
              <w:t>4</w:t>
            </w:r>
            <w:r>
              <w:rPr>
                <w:rFonts w:hint="eastAsia" w:ascii="Arial" w:hAnsi="Arial"/>
                <w:color w:val="auto"/>
                <w:sz w:val="24"/>
                <w:szCs w:val="24"/>
              </w:rPr>
              <w:t>月至2024年</w:t>
            </w:r>
            <w:r>
              <w:rPr>
                <w:rFonts w:hint="eastAsia" w:ascii="Arial" w:hAnsi="Arial"/>
                <w:color w:val="auto"/>
                <w:sz w:val="24"/>
                <w:szCs w:val="24"/>
                <w:u w:val="single"/>
              </w:rPr>
              <w:t xml:space="preserve"> </w:t>
            </w:r>
            <w:r>
              <w:rPr>
                <w:rFonts w:hint="eastAsia" w:ascii="Arial" w:hAnsi="Arial"/>
                <w:color w:val="auto"/>
                <w:sz w:val="24"/>
                <w:szCs w:val="24"/>
                <w:u w:val="single"/>
                <w:lang w:val="en-US" w:eastAsia="zh-CN"/>
              </w:rPr>
              <w:t>9</w:t>
            </w:r>
            <w:r>
              <w:rPr>
                <w:rFonts w:hint="eastAsia" w:ascii="Arial" w:hAnsi="Arial"/>
                <w:color w:val="auto"/>
                <w:sz w:val="24"/>
                <w:szCs w:val="24"/>
              </w:rPr>
              <w:t>月内</w:t>
            </w:r>
            <w:r>
              <w:rPr>
                <w:rFonts w:hint="eastAsia" w:ascii="宋体" w:hAnsi="宋体"/>
                <w:b w:val="0"/>
                <w:bCs w:val="0"/>
                <w:color w:val="auto"/>
                <w:sz w:val="24"/>
                <w:szCs w:val="24"/>
              </w:rPr>
              <w:t>连续</w:t>
            </w:r>
            <w:r>
              <w:rPr>
                <w:rFonts w:hint="eastAsia" w:ascii="宋体" w:hAnsi="宋体"/>
                <w:b w:val="0"/>
                <w:bCs w:val="0"/>
                <w:color w:val="auto"/>
                <w:sz w:val="24"/>
                <w:szCs w:val="24"/>
                <w:u w:val="single"/>
              </w:rPr>
              <w:t>3</w:t>
            </w:r>
            <w:r>
              <w:rPr>
                <w:rFonts w:hint="eastAsia" w:ascii="宋体" w:hAnsi="宋体"/>
                <w:b w:val="0"/>
                <w:bCs w:val="0"/>
                <w:color w:val="auto"/>
                <w:sz w:val="24"/>
                <w:szCs w:val="24"/>
              </w:rPr>
              <w:t>个月的依</w:t>
            </w:r>
            <w:r>
              <w:rPr>
                <w:rFonts w:hint="eastAsia" w:ascii="宋体" w:hAnsi="宋体"/>
                <w:color w:val="auto"/>
                <w:sz w:val="24"/>
                <w:szCs w:val="24"/>
              </w:rPr>
              <w:t>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次月起到竞标文件递交截止前一个月的依法缴纳社会保障资金的相应证明文件]；（</w:t>
            </w:r>
            <w:r>
              <w:rPr>
                <w:rFonts w:hint="eastAsia" w:ascii="宋体" w:hAnsi="宋体"/>
                <w:b/>
                <w:color w:val="auto"/>
                <w:sz w:val="24"/>
                <w:szCs w:val="24"/>
              </w:rPr>
              <w:t>必须提供，否则作无效响应处理</w:t>
            </w:r>
            <w:r>
              <w:rPr>
                <w:rFonts w:hint="eastAsia" w:ascii="宋体" w:hAnsi="宋体"/>
                <w:color w:val="auto"/>
                <w:sz w:val="24"/>
                <w:szCs w:val="24"/>
              </w:rPr>
              <w:t>）</w:t>
            </w:r>
          </w:p>
          <w:p w14:paraId="63DA5EB7">
            <w:pPr>
              <w:snapToGrid w:val="0"/>
              <w:spacing w:line="240" w:lineRule="auto"/>
              <w:jc w:val="left"/>
              <w:rPr>
                <w:rFonts w:hint="eastAsia" w:ascii="宋体" w:hAnsi="宋体"/>
                <w:color w:val="auto"/>
                <w:sz w:val="24"/>
                <w:szCs w:val="24"/>
              </w:rPr>
            </w:pPr>
            <w:r>
              <w:rPr>
                <w:rFonts w:hint="eastAsia" w:ascii="宋体" w:hAnsi="宋体"/>
                <w:color w:val="auto"/>
                <w:sz w:val="24"/>
                <w:szCs w:val="24"/>
              </w:rPr>
              <w:t>4.供应商财务状况报告[</w:t>
            </w:r>
            <w:r>
              <w:rPr>
                <w:rFonts w:hint="eastAsia" w:ascii="宋体" w:hAnsi="宋体"/>
                <w:color w:val="auto"/>
                <w:sz w:val="24"/>
                <w:szCs w:val="24"/>
                <w:u w:val="single"/>
              </w:rPr>
              <w:t>2023</w:t>
            </w:r>
            <w:r>
              <w:rPr>
                <w:rFonts w:hint="eastAsia" w:ascii="宋体" w:hAnsi="宋体"/>
                <w:color w:val="auto"/>
                <w:sz w:val="24"/>
                <w:szCs w:val="24"/>
              </w:rPr>
              <w:t>年财务状况报告复印件，应提供财务报表（资产负债表、利润表、现金流量表）或第三方审计机构评估的财务报告（执行《企业会计准则》的，提供资产负债表、利润表、现金流量表、所有者权益变动表及其附注（以下称“四表一注”）；执行《小企业会计准则》的，提供资产负债表、利润表、现金流量表及其附注（以下称“三表一注”）)或者银行出具的资信证明]；从取得营业执照时间起到响应文件提交截止时间为止不足一年的只需提供从取得营业执照次月起到竞标文件递交截止前一个月的的财务报表。（</w:t>
            </w:r>
            <w:r>
              <w:rPr>
                <w:rFonts w:hint="eastAsia" w:ascii="宋体" w:hAnsi="宋体"/>
                <w:b/>
                <w:color w:val="auto"/>
                <w:sz w:val="24"/>
                <w:szCs w:val="24"/>
              </w:rPr>
              <w:t>必须提供，否则作无效响应处理</w:t>
            </w:r>
            <w:r>
              <w:rPr>
                <w:rFonts w:hint="eastAsia" w:ascii="宋体" w:hAnsi="宋体"/>
                <w:color w:val="auto"/>
                <w:sz w:val="24"/>
                <w:szCs w:val="24"/>
              </w:rPr>
              <w:t>）</w:t>
            </w:r>
          </w:p>
          <w:p w14:paraId="1E9C2172">
            <w:pPr>
              <w:snapToGrid w:val="0"/>
              <w:spacing w:line="240" w:lineRule="auto"/>
              <w:jc w:val="left"/>
              <w:rPr>
                <w:rFonts w:hint="eastAsia" w:ascii="宋体" w:hAnsi="宋体"/>
                <w:color w:val="auto"/>
                <w:sz w:val="24"/>
                <w:szCs w:val="24"/>
              </w:rPr>
            </w:pPr>
            <w:r>
              <w:rPr>
                <w:rFonts w:hint="eastAsia" w:ascii="宋体" w:hAnsi="宋体"/>
                <w:color w:val="auto"/>
                <w:sz w:val="24"/>
                <w:szCs w:val="24"/>
              </w:rPr>
              <w:t>5.供应商直接控股、管理关系信息表（格式后附）；（</w:t>
            </w:r>
            <w:r>
              <w:rPr>
                <w:rFonts w:hint="eastAsia" w:ascii="宋体" w:hAnsi="宋体"/>
                <w:b/>
                <w:color w:val="auto"/>
                <w:sz w:val="24"/>
                <w:szCs w:val="24"/>
              </w:rPr>
              <w:t>必须提供，否则响应文件按无效响应处理</w:t>
            </w:r>
            <w:r>
              <w:rPr>
                <w:rFonts w:hint="eastAsia" w:ascii="宋体" w:hAnsi="宋体"/>
                <w:color w:val="auto"/>
                <w:sz w:val="24"/>
                <w:szCs w:val="24"/>
              </w:rPr>
              <w:t>）</w:t>
            </w:r>
          </w:p>
          <w:p w14:paraId="3934F49A">
            <w:pPr>
              <w:snapToGrid w:val="0"/>
              <w:spacing w:line="240" w:lineRule="auto"/>
              <w:jc w:val="left"/>
              <w:rPr>
                <w:rFonts w:hint="eastAsia" w:ascii="宋体" w:hAnsi="宋体"/>
                <w:color w:val="auto"/>
                <w:sz w:val="24"/>
                <w:szCs w:val="24"/>
              </w:rPr>
            </w:pPr>
            <w:r>
              <w:rPr>
                <w:rFonts w:hint="eastAsia" w:ascii="宋体" w:hAnsi="宋体"/>
                <w:color w:val="auto"/>
                <w:sz w:val="24"/>
                <w:szCs w:val="24"/>
              </w:rPr>
              <w:t>6.资格声明函（格式后附）；（</w:t>
            </w:r>
            <w:r>
              <w:rPr>
                <w:rFonts w:hint="eastAsia" w:ascii="宋体" w:hAnsi="宋体"/>
                <w:b/>
                <w:color w:val="auto"/>
                <w:sz w:val="24"/>
                <w:szCs w:val="24"/>
              </w:rPr>
              <w:t>必须提供，否则响应文件按无效响应处理</w:t>
            </w:r>
            <w:r>
              <w:rPr>
                <w:rFonts w:hint="eastAsia" w:ascii="宋体" w:hAnsi="宋体"/>
                <w:color w:val="auto"/>
                <w:sz w:val="24"/>
                <w:szCs w:val="24"/>
              </w:rPr>
              <w:t>）</w:t>
            </w:r>
          </w:p>
          <w:p w14:paraId="55E82113">
            <w:pPr>
              <w:snapToGrid w:val="0"/>
              <w:spacing w:line="240" w:lineRule="auto"/>
              <w:jc w:val="left"/>
              <w:rPr>
                <w:rFonts w:hint="eastAsia" w:ascii="宋体" w:hAnsi="宋体"/>
                <w:color w:val="auto"/>
                <w:sz w:val="24"/>
                <w:szCs w:val="24"/>
              </w:rPr>
            </w:pPr>
            <w:r>
              <w:rPr>
                <w:rFonts w:hint="eastAsia" w:ascii="宋体" w:hAnsi="宋体"/>
                <w:color w:val="auto"/>
                <w:sz w:val="24"/>
                <w:szCs w:val="24"/>
              </w:rPr>
              <w:t>7.农民工工资保证金承诺书；（</w:t>
            </w:r>
            <w:r>
              <w:rPr>
                <w:rFonts w:hint="eastAsia" w:ascii="宋体" w:hAnsi="宋体"/>
                <w:b/>
                <w:color w:val="auto"/>
                <w:sz w:val="24"/>
                <w:szCs w:val="24"/>
              </w:rPr>
              <w:t>必须提供，否则响应文件按无效响应处理</w:t>
            </w:r>
            <w:r>
              <w:rPr>
                <w:rFonts w:hint="eastAsia" w:ascii="宋体" w:hAnsi="宋体"/>
                <w:color w:val="auto"/>
                <w:sz w:val="24"/>
                <w:szCs w:val="24"/>
              </w:rPr>
              <w:t>）</w:t>
            </w:r>
          </w:p>
          <w:p w14:paraId="254B7A04">
            <w:pPr>
              <w:snapToGrid w:val="0"/>
              <w:spacing w:line="240" w:lineRule="auto"/>
              <w:jc w:val="left"/>
              <w:rPr>
                <w:rFonts w:hint="eastAsia" w:ascii="宋体" w:hAnsi="宋体"/>
                <w:color w:val="auto"/>
                <w:sz w:val="24"/>
                <w:szCs w:val="24"/>
              </w:rPr>
            </w:pPr>
            <w:r>
              <w:rPr>
                <w:rFonts w:hint="eastAsia" w:ascii="宋体" w:hAnsi="宋体"/>
                <w:color w:val="auto"/>
                <w:sz w:val="24"/>
                <w:szCs w:val="24"/>
              </w:rPr>
              <w:t>8.安全防护、文明施工措施方案承诺书；（</w:t>
            </w:r>
            <w:r>
              <w:rPr>
                <w:rFonts w:hint="eastAsia" w:ascii="宋体" w:hAnsi="宋体"/>
                <w:b/>
                <w:color w:val="auto"/>
                <w:sz w:val="24"/>
                <w:szCs w:val="24"/>
              </w:rPr>
              <w:t>必须提供，否则响应文件按无效响应处理</w:t>
            </w:r>
            <w:r>
              <w:rPr>
                <w:rFonts w:hint="eastAsia" w:ascii="宋体" w:hAnsi="宋体"/>
                <w:color w:val="auto"/>
                <w:sz w:val="24"/>
                <w:szCs w:val="24"/>
              </w:rPr>
              <w:t>）</w:t>
            </w:r>
          </w:p>
          <w:p w14:paraId="109E88CB">
            <w:pPr>
              <w:snapToGrid w:val="0"/>
              <w:spacing w:line="240" w:lineRule="auto"/>
              <w:jc w:val="left"/>
              <w:rPr>
                <w:rFonts w:hint="eastAsia" w:ascii="宋体" w:hAnsi="宋体"/>
                <w:color w:val="auto"/>
                <w:sz w:val="24"/>
                <w:szCs w:val="24"/>
              </w:rPr>
            </w:pPr>
            <w:r>
              <w:rPr>
                <w:rFonts w:hint="eastAsia" w:ascii="宋体" w:hAnsi="宋体"/>
                <w:color w:val="auto"/>
                <w:sz w:val="24"/>
                <w:szCs w:val="24"/>
              </w:rPr>
              <w:t>9.项目管理机构及机械设备承诺函；（</w:t>
            </w:r>
            <w:r>
              <w:rPr>
                <w:rFonts w:hint="eastAsia" w:ascii="宋体" w:hAnsi="宋体"/>
                <w:b/>
                <w:color w:val="auto"/>
                <w:sz w:val="24"/>
                <w:szCs w:val="24"/>
              </w:rPr>
              <w:t>必须提供，否则响应文件按无效响应处理</w:t>
            </w:r>
            <w:r>
              <w:rPr>
                <w:rFonts w:hint="eastAsia" w:ascii="宋体" w:hAnsi="宋体"/>
                <w:color w:val="auto"/>
                <w:sz w:val="24"/>
                <w:szCs w:val="24"/>
              </w:rPr>
              <w:t>）</w:t>
            </w:r>
          </w:p>
          <w:p w14:paraId="3C50E560">
            <w:pPr>
              <w:snapToGrid w:val="0"/>
              <w:spacing w:line="240" w:lineRule="auto"/>
              <w:jc w:val="left"/>
              <w:rPr>
                <w:rFonts w:hint="eastAsia" w:ascii="宋体" w:hAnsi="宋体"/>
                <w:color w:val="auto"/>
                <w:sz w:val="24"/>
                <w:szCs w:val="24"/>
              </w:rPr>
            </w:pPr>
            <w:r>
              <w:rPr>
                <w:rFonts w:hint="eastAsia" w:ascii="宋体" w:hAnsi="宋体"/>
                <w:color w:val="auto"/>
                <w:sz w:val="24"/>
                <w:szCs w:val="24"/>
                <w:lang w:val="en-US" w:eastAsia="zh-CN"/>
              </w:rPr>
              <w:t>10.满足要求的业绩证明资料；</w:t>
            </w:r>
            <w:r>
              <w:rPr>
                <w:rFonts w:hint="eastAsia"/>
                <w:color w:val="auto"/>
              </w:rPr>
              <w:t>最近</w:t>
            </w:r>
            <w:r>
              <w:rPr>
                <w:rFonts w:ascii="宋体" w:hAnsi="宋体" w:cs="宋体"/>
                <w:color w:val="auto"/>
                <w:kern w:val="0"/>
                <w:sz w:val="24"/>
                <w:szCs w:val="24"/>
              </w:rPr>
              <w:t>5年中（所完成的项目的交竣工验收时间在201</w:t>
            </w:r>
            <w:r>
              <w:rPr>
                <w:rFonts w:hint="eastAsia" w:ascii="宋体" w:hAnsi="宋体" w:cs="宋体"/>
                <w:color w:val="auto"/>
                <w:kern w:val="0"/>
                <w:sz w:val="24"/>
                <w:szCs w:val="24"/>
              </w:rPr>
              <w:t>9</w:t>
            </w:r>
            <w:r>
              <w:rPr>
                <w:rFonts w:ascii="宋体" w:hAnsi="宋体" w:cs="宋体"/>
                <w:color w:val="auto"/>
                <w:kern w:val="0"/>
                <w:sz w:val="24"/>
                <w:szCs w:val="24"/>
              </w:rPr>
              <w:t>年</w:t>
            </w:r>
            <w:r>
              <w:rPr>
                <w:rFonts w:hint="eastAsia" w:ascii="宋体" w:hAnsi="宋体" w:cs="宋体"/>
                <w:color w:val="auto"/>
                <w:kern w:val="0"/>
                <w:sz w:val="24"/>
                <w:szCs w:val="24"/>
                <w:lang w:val="en-US" w:eastAsia="zh-CN"/>
              </w:rPr>
              <w:t>9</w:t>
            </w:r>
            <w:r>
              <w:rPr>
                <w:rFonts w:ascii="宋体" w:hAnsi="宋体" w:cs="宋体"/>
                <w:color w:val="auto"/>
                <w:kern w:val="0"/>
                <w:sz w:val="24"/>
                <w:szCs w:val="24"/>
              </w:rPr>
              <w:t>月1日之后）</w:t>
            </w:r>
            <w:r>
              <w:rPr>
                <w:rFonts w:hint="eastAsia" w:ascii="宋体" w:hAnsi="宋体" w:cs="宋体"/>
                <w:color w:val="auto"/>
                <w:kern w:val="0"/>
                <w:sz w:val="24"/>
                <w:szCs w:val="24"/>
              </w:rPr>
              <w:t>至少</w:t>
            </w:r>
            <w:r>
              <w:rPr>
                <w:rFonts w:ascii="宋体" w:hAnsi="宋体" w:cs="宋体"/>
                <w:color w:val="auto"/>
                <w:kern w:val="0"/>
                <w:sz w:val="24"/>
                <w:szCs w:val="24"/>
              </w:rPr>
              <w:t>成功完成过一个</w:t>
            </w:r>
            <w:r>
              <w:rPr>
                <w:rFonts w:hint="eastAsia" w:ascii="宋体" w:hAnsi="宋体" w:cs="宋体"/>
                <w:color w:val="auto"/>
                <w:kern w:val="0"/>
                <w:sz w:val="24"/>
                <w:szCs w:val="24"/>
                <w:lang w:val="en-US" w:eastAsia="zh-CN"/>
              </w:rPr>
              <w:t>150</w:t>
            </w:r>
            <w:r>
              <w:rPr>
                <w:rFonts w:ascii="宋体" w:hAnsi="宋体" w:cs="宋体"/>
                <w:color w:val="auto"/>
                <w:kern w:val="0"/>
                <w:sz w:val="24"/>
                <w:szCs w:val="24"/>
              </w:rPr>
              <w:t>万元（或以上）公路路面养护工程施工</w:t>
            </w:r>
            <w:r>
              <w:rPr>
                <w:rFonts w:hint="eastAsia" w:ascii="宋体" w:hAnsi="宋体"/>
                <w:color w:val="auto"/>
                <w:sz w:val="24"/>
                <w:szCs w:val="24"/>
              </w:rPr>
              <w:t>（</w:t>
            </w:r>
            <w:r>
              <w:rPr>
                <w:rFonts w:hint="eastAsia" w:ascii="宋体" w:hAnsi="宋体"/>
                <w:b/>
                <w:color w:val="auto"/>
                <w:sz w:val="24"/>
                <w:szCs w:val="24"/>
              </w:rPr>
              <w:t>必须提供，否则响应文件按无效响应处理</w:t>
            </w:r>
            <w:r>
              <w:rPr>
                <w:rFonts w:hint="eastAsia" w:ascii="宋体" w:hAnsi="宋体"/>
                <w:color w:val="auto"/>
                <w:sz w:val="24"/>
                <w:szCs w:val="24"/>
              </w:rPr>
              <w:t>）</w:t>
            </w:r>
          </w:p>
          <w:p w14:paraId="5110B19E">
            <w:pPr>
              <w:snapToGrid w:val="0"/>
              <w:spacing w:line="240" w:lineRule="auto"/>
              <w:jc w:val="left"/>
              <w:rPr>
                <w:rFonts w:hint="eastAsia" w:asciiTheme="majorEastAsia" w:hAnsiTheme="majorEastAsia" w:eastAsiaTheme="majorEastAsia" w:cstheme="majorEastAsia"/>
                <w:color w:val="auto"/>
                <w:sz w:val="24"/>
                <w:szCs w:val="24"/>
                <w:lang w:val="en-US" w:eastAsia="zh-CN"/>
              </w:rPr>
            </w:pPr>
          </w:p>
          <w:p w14:paraId="2DFA0848">
            <w:pPr>
              <w:snapToGrid w:val="0"/>
              <w:spacing w:line="240" w:lineRule="auto"/>
              <w:jc w:val="left"/>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1</w:t>
            </w:r>
            <w:r>
              <w:rPr>
                <w:rFonts w:hint="eastAsia" w:ascii="宋体" w:hAnsi="宋体"/>
                <w:color w:val="auto"/>
                <w:sz w:val="24"/>
                <w:szCs w:val="24"/>
              </w:rPr>
              <w:t>.除磋商文件规定必须提供以外，供应商认为需要提供的其他证明材料；</w:t>
            </w:r>
          </w:p>
          <w:p w14:paraId="1ED30303">
            <w:pPr>
              <w:snapToGrid w:val="0"/>
              <w:spacing w:line="240" w:lineRule="auto"/>
              <w:jc w:val="left"/>
              <w:rPr>
                <w:rFonts w:hint="eastAsia" w:ascii="宋体" w:hAnsi="宋体"/>
                <w:b/>
                <w:color w:val="auto"/>
                <w:sz w:val="24"/>
                <w:szCs w:val="24"/>
              </w:rPr>
            </w:pPr>
            <w:r>
              <w:rPr>
                <w:rFonts w:hint="eastAsia" w:ascii="宋体" w:hAnsi="宋体"/>
                <w:b/>
                <w:color w:val="auto"/>
                <w:sz w:val="24"/>
                <w:szCs w:val="24"/>
              </w:rPr>
              <w:t>注：</w:t>
            </w:r>
            <w:r>
              <w:rPr>
                <w:rFonts w:hint="eastAsia" w:ascii="宋体" w:hAnsi="宋体"/>
                <w:b/>
                <w:bCs/>
                <w:color w:val="auto"/>
                <w:sz w:val="24"/>
                <w:szCs w:val="24"/>
              </w:rPr>
              <w:t>上述材料必须在规定盖章处加盖供应商电子公章，否则</w:t>
            </w:r>
            <w:r>
              <w:rPr>
                <w:rFonts w:hint="eastAsia" w:ascii="宋体" w:hAnsi="宋体"/>
                <w:b/>
                <w:color w:val="auto"/>
                <w:sz w:val="24"/>
                <w:szCs w:val="24"/>
              </w:rPr>
              <w:t>作无效响应处理</w:t>
            </w:r>
            <w:r>
              <w:rPr>
                <w:rFonts w:hint="eastAsia" w:ascii="宋体" w:hAnsi="宋体"/>
                <w:b/>
                <w:bCs/>
                <w:color w:val="auto"/>
                <w:sz w:val="24"/>
                <w:szCs w:val="24"/>
              </w:rPr>
              <w:t>。</w:t>
            </w:r>
          </w:p>
        </w:tc>
      </w:tr>
      <w:tr w14:paraId="7F502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3" w:type="dxa"/>
            <w:vMerge w:val="restart"/>
            <w:vAlign w:val="center"/>
          </w:tcPr>
          <w:p w14:paraId="35E5EFC5">
            <w:pPr>
              <w:spacing w:line="240" w:lineRule="auto"/>
              <w:jc w:val="center"/>
              <w:rPr>
                <w:rFonts w:hint="eastAsia" w:ascii="宋体" w:hAnsi="宋体"/>
                <w:color w:val="auto"/>
                <w:sz w:val="24"/>
                <w:szCs w:val="24"/>
              </w:rPr>
            </w:pPr>
            <w:r>
              <w:rPr>
                <w:rFonts w:hint="eastAsia" w:ascii="宋体" w:hAnsi="宋体"/>
                <w:color w:val="auto"/>
                <w:sz w:val="24"/>
                <w:szCs w:val="24"/>
              </w:rPr>
              <w:t>12.</w:t>
            </w:r>
            <w:r>
              <w:rPr>
                <w:rFonts w:ascii="宋体" w:hAnsi="宋体"/>
                <w:color w:val="auto"/>
                <w:sz w:val="24"/>
                <w:szCs w:val="24"/>
              </w:rPr>
              <w:t>1</w:t>
            </w:r>
            <w:r>
              <w:rPr>
                <w:rFonts w:hint="eastAsia" w:ascii="宋体" w:hAnsi="宋体"/>
                <w:color w:val="auto"/>
                <w:sz w:val="24"/>
                <w:szCs w:val="24"/>
              </w:rPr>
              <w:t>.</w:t>
            </w:r>
            <w:r>
              <w:rPr>
                <w:rFonts w:ascii="宋体" w:hAnsi="宋体"/>
                <w:color w:val="auto"/>
                <w:sz w:val="24"/>
                <w:szCs w:val="24"/>
              </w:rPr>
              <w:t>2</w:t>
            </w:r>
          </w:p>
        </w:tc>
        <w:tc>
          <w:tcPr>
            <w:tcW w:w="2578" w:type="dxa"/>
            <w:vAlign w:val="center"/>
          </w:tcPr>
          <w:p w14:paraId="482F9BFF">
            <w:pPr>
              <w:spacing w:line="240" w:lineRule="auto"/>
              <w:jc w:val="center"/>
              <w:rPr>
                <w:rFonts w:hint="eastAsia" w:ascii="宋体" w:hAnsi="宋体"/>
                <w:color w:val="auto"/>
                <w:sz w:val="24"/>
                <w:szCs w:val="24"/>
              </w:rPr>
            </w:pPr>
            <w:r>
              <w:rPr>
                <w:rFonts w:hint="eastAsia" w:ascii="宋体" w:hAnsi="宋体"/>
                <w:color w:val="auto"/>
                <w:sz w:val="24"/>
                <w:szCs w:val="24"/>
              </w:rPr>
              <w:t>商务文件组成</w:t>
            </w:r>
          </w:p>
        </w:tc>
        <w:tc>
          <w:tcPr>
            <w:tcW w:w="6853" w:type="dxa"/>
            <w:vAlign w:val="center"/>
          </w:tcPr>
          <w:p w14:paraId="72A70112">
            <w:pPr>
              <w:spacing w:line="240" w:lineRule="auto"/>
              <w:rPr>
                <w:rFonts w:hint="eastAsia" w:ascii="宋体" w:hAnsi="宋体"/>
                <w:color w:val="auto"/>
                <w:sz w:val="24"/>
                <w:szCs w:val="24"/>
              </w:rPr>
            </w:pPr>
            <w:r>
              <w:rPr>
                <w:rFonts w:hint="eastAsia" w:ascii="宋体" w:hAnsi="宋体"/>
                <w:color w:val="auto"/>
                <w:sz w:val="24"/>
                <w:szCs w:val="24"/>
              </w:rPr>
              <w:t>1.无串通竞标行为的承诺函；（</w:t>
            </w:r>
            <w:r>
              <w:rPr>
                <w:rFonts w:hint="eastAsia" w:ascii="宋体" w:hAnsi="宋体"/>
                <w:b/>
                <w:color w:val="auto"/>
                <w:sz w:val="24"/>
                <w:szCs w:val="24"/>
              </w:rPr>
              <w:t>必须提供，否则响应文件按无效响应处理</w:t>
            </w:r>
            <w:r>
              <w:rPr>
                <w:rFonts w:hint="eastAsia" w:ascii="宋体" w:hAnsi="宋体"/>
                <w:color w:val="auto"/>
                <w:sz w:val="24"/>
                <w:szCs w:val="24"/>
              </w:rPr>
              <w:t>）</w:t>
            </w:r>
          </w:p>
          <w:p w14:paraId="4C3CFC0C">
            <w:pPr>
              <w:snapToGrid w:val="0"/>
              <w:spacing w:line="240" w:lineRule="auto"/>
              <w:jc w:val="left"/>
              <w:rPr>
                <w:rFonts w:hint="eastAsia" w:ascii="宋体" w:hAnsi="宋体"/>
                <w:color w:val="auto"/>
                <w:sz w:val="24"/>
                <w:szCs w:val="24"/>
              </w:rPr>
            </w:pPr>
            <w:r>
              <w:rPr>
                <w:rFonts w:hint="eastAsia" w:ascii="宋体" w:hAnsi="宋体"/>
                <w:color w:val="auto"/>
                <w:sz w:val="24"/>
                <w:szCs w:val="24"/>
              </w:rPr>
              <w:t>2.法定代表人身份证明书及法定代表人有效身份证正反面复印件；（</w:t>
            </w:r>
            <w:r>
              <w:rPr>
                <w:rFonts w:hint="eastAsia" w:ascii="宋体" w:hAnsi="宋体"/>
                <w:b/>
                <w:bCs/>
                <w:color w:val="auto"/>
                <w:sz w:val="24"/>
                <w:szCs w:val="24"/>
              </w:rPr>
              <w:t>除自然人竞标外</w:t>
            </w:r>
            <w:r>
              <w:rPr>
                <w:rFonts w:hint="eastAsia" w:ascii="宋体" w:hAnsi="宋体"/>
                <w:b/>
                <w:color w:val="auto"/>
                <w:sz w:val="24"/>
                <w:szCs w:val="24"/>
              </w:rPr>
              <w:t>必须提供，否则响应文件按无效响应处理</w:t>
            </w:r>
            <w:r>
              <w:rPr>
                <w:rFonts w:hint="eastAsia" w:ascii="宋体" w:hAnsi="宋体"/>
                <w:color w:val="auto"/>
                <w:sz w:val="24"/>
                <w:szCs w:val="24"/>
              </w:rPr>
              <w:t>）</w:t>
            </w:r>
          </w:p>
          <w:p w14:paraId="57BA0C0E">
            <w:pPr>
              <w:spacing w:line="240" w:lineRule="auto"/>
              <w:rPr>
                <w:rFonts w:hint="eastAsia" w:ascii="宋体" w:hAnsi="宋体"/>
                <w:color w:val="auto"/>
                <w:sz w:val="24"/>
                <w:szCs w:val="24"/>
              </w:rPr>
            </w:pPr>
            <w:r>
              <w:rPr>
                <w:rFonts w:hint="eastAsia" w:ascii="宋体" w:hAnsi="宋体"/>
                <w:color w:val="auto"/>
                <w:sz w:val="24"/>
                <w:szCs w:val="24"/>
              </w:rPr>
              <w:t>3.法定代表人授权委托书及委托代理人有效身份证正反面复印件；（</w:t>
            </w:r>
            <w:r>
              <w:rPr>
                <w:rFonts w:hint="eastAsia" w:ascii="宋体" w:hAnsi="宋体"/>
                <w:b/>
                <w:color w:val="auto"/>
                <w:sz w:val="24"/>
                <w:szCs w:val="24"/>
              </w:rPr>
              <w:t>委托时必须提供，否则响应文件按无效响应处理</w:t>
            </w:r>
            <w:r>
              <w:rPr>
                <w:rFonts w:hint="eastAsia" w:ascii="宋体" w:hAnsi="宋体"/>
                <w:color w:val="auto"/>
                <w:sz w:val="24"/>
                <w:szCs w:val="24"/>
              </w:rPr>
              <w:t>）</w:t>
            </w:r>
          </w:p>
          <w:p w14:paraId="637309C8">
            <w:pPr>
              <w:spacing w:line="240" w:lineRule="auto"/>
              <w:rPr>
                <w:rFonts w:hint="eastAsia" w:ascii="宋体" w:hAnsi="宋体"/>
                <w:color w:val="auto"/>
                <w:sz w:val="24"/>
                <w:szCs w:val="24"/>
              </w:rPr>
            </w:pPr>
            <w:r>
              <w:rPr>
                <w:rFonts w:hint="eastAsia" w:ascii="宋体" w:hAnsi="宋体"/>
                <w:color w:val="auto"/>
                <w:sz w:val="24"/>
                <w:szCs w:val="24"/>
              </w:rPr>
              <w:t>4.竞标人情况介绍（格式自拟）；</w:t>
            </w:r>
          </w:p>
          <w:p w14:paraId="5792D527">
            <w:pPr>
              <w:spacing w:line="240" w:lineRule="auto"/>
              <w:rPr>
                <w:rFonts w:hint="eastAsia" w:ascii="宋体" w:hAnsi="宋体"/>
                <w:color w:val="auto"/>
                <w:sz w:val="24"/>
                <w:szCs w:val="24"/>
              </w:rPr>
            </w:pPr>
            <w:r>
              <w:rPr>
                <w:rFonts w:hint="eastAsia" w:ascii="宋体" w:hAnsi="宋体"/>
                <w:color w:val="auto"/>
                <w:sz w:val="24"/>
                <w:szCs w:val="24"/>
              </w:rPr>
              <w:t>5.供应商认为需要提供的其他有关资料。</w:t>
            </w:r>
          </w:p>
          <w:p w14:paraId="6AF9948C">
            <w:pPr>
              <w:snapToGrid w:val="0"/>
              <w:spacing w:line="240" w:lineRule="auto"/>
              <w:jc w:val="left"/>
              <w:rPr>
                <w:rFonts w:hint="eastAsia" w:ascii="宋体" w:hAnsi="宋体"/>
                <w:b/>
                <w:color w:val="auto"/>
                <w:sz w:val="24"/>
                <w:szCs w:val="24"/>
              </w:rPr>
            </w:pPr>
            <w:r>
              <w:rPr>
                <w:rFonts w:hint="eastAsia" w:ascii="宋体" w:hAnsi="宋体"/>
                <w:b/>
                <w:color w:val="auto"/>
                <w:sz w:val="24"/>
                <w:szCs w:val="24"/>
              </w:rPr>
              <w:t xml:space="preserve">注： </w:t>
            </w:r>
          </w:p>
          <w:p w14:paraId="33288000">
            <w:pPr>
              <w:snapToGrid w:val="0"/>
              <w:spacing w:line="240" w:lineRule="auto"/>
              <w:ind w:firstLine="472" w:firstLineChars="196"/>
              <w:jc w:val="left"/>
              <w:rPr>
                <w:rFonts w:hint="eastAsia" w:ascii="宋体" w:hAnsi="宋体"/>
                <w:b/>
                <w:color w:val="auto"/>
                <w:sz w:val="24"/>
                <w:szCs w:val="24"/>
              </w:rPr>
            </w:pPr>
            <w:r>
              <w:rPr>
                <w:rFonts w:hint="eastAsia" w:ascii="宋体" w:hAnsi="宋体"/>
                <w:b/>
                <w:color w:val="auto"/>
                <w:sz w:val="24"/>
                <w:szCs w:val="24"/>
              </w:rPr>
              <w:t>1.法定代表人授权委托书必须由法定代表人及委托代理人签字，并加盖供应商电子公章，否则响应文件按无效响应处理。</w:t>
            </w:r>
          </w:p>
          <w:p w14:paraId="627F13F7">
            <w:pPr>
              <w:spacing w:line="240" w:lineRule="auto"/>
              <w:ind w:firstLine="472" w:firstLineChars="196"/>
              <w:rPr>
                <w:rFonts w:ascii="宋体" w:hAnsi="宋体"/>
                <w:b/>
                <w:color w:val="auto"/>
                <w:sz w:val="24"/>
                <w:szCs w:val="24"/>
              </w:rPr>
            </w:pPr>
            <w:r>
              <w:rPr>
                <w:rFonts w:ascii="宋体" w:hAnsi="宋体"/>
                <w:b/>
                <w:color w:val="auto"/>
                <w:sz w:val="24"/>
                <w:szCs w:val="24"/>
              </w:rPr>
              <w:t>2</w:t>
            </w:r>
            <w:r>
              <w:rPr>
                <w:rFonts w:hint="eastAsia" w:ascii="宋体" w:hAnsi="宋体"/>
                <w:b/>
                <w:color w:val="auto"/>
                <w:sz w:val="24"/>
                <w:szCs w:val="24"/>
              </w:rPr>
              <w:t>.以上标明“必须提供”的材料属于复印件的扫描件的，必须加盖供应商电子公章，否则响应文件按无效响应处理。</w:t>
            </w:r>
          </w:p>
        </w:tc>
      </w:tr>
      <w:tr w14:paraId="30DFD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3" w:type="dxa"/>
            <w:vMerge w:val="continue"/>
            <w:vAlign w:val="center"/>
          </w:tcPr>
          <w:p w14:paraId="424387FC">
            <w:pPr>
              <w:spacing w:line="240" w:lineRule="auto"/>
              <w:jc w:val="center"/>
              <w:rPr>
                <w:rFonts w:hint="eastAsia" w:ascii="宋体" w:hAnsi="宋体"/>
                <w:color w:val="auto"/>
                <w:sz w:val="24"/>
                <w:szCs w:val="24"/>
              </w:rPr>
            </w:pPr>
          </w:p>
        </w:tc>
        <w:tc>
          <w:tcPr>
            <w:tcW w:w="2578" w:type="dxa"/>
            <w:vAlign w:val="center"/>
          </w:tcPr>
          <w:p w14:paraId="56AD51B5">
            <w:pPr>
              <w:spacing w:line="240" w:lineRule="auto"/>
              <w:jc w:val="center"/>
              <w:rPr>
                <w:rFonts w:hint="eastAsia" w:ascii="宋体" w:hAnsi="宋体"/>
                <w:color w:val="auto"/>
                <w:sz w:val="24"/>
                <w:szCs w:val="24"/>
              </w:rPr>
            </w:pPr>
            <w:r>
              <w:rPr>
                <w:rFonts w:hint="eastAsia" w:ascii="宋体" w:hAnsi="宋体"/>
                <w:color w:val="auto"/>
                <w:sz w:val="24"/>
                <w:szCs w:val="24"/>
              </w:rPr>
              <w:t>技术文件组成</w:t>
            </w:r>
          </w:p>
        </w:tc>
        <w:tc>
          <w:tcPr>
            <w:tcW w:w="6853" w:type="dxa"/>
            <w:vAlign w:val="center"/>
          </w:tcPr>
          <w:p w14:paraId="6DBB7736">
            <w:pPr>
              <w:spacing w:line="240" w:lineRule="auto"/>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.施工组织设计【包括但不限于拟投入的主要施工机械设备表、劳动力计划表、计划开、竣工日期和施工进度横道图（网络图）、临时用地表】；（</w:t>
            </w:r>
            <w:r>
              <w:rPr>
                <w:rFonts w:hint="eastAsia" w:ascii="宋体" w:hAnsi="宋体"/>
                <w:b/>
                <w:color w:val="auto"/>
                <w:sz w:val="24"/>
                <w:szCs w:val="24"/>
              </w:rPr>
              <w:t>必须提供，否则响应文件按无效响应处理</w:t>
            </w:r>
            <w:r>
              <w:rPr>
                <w:rFonts w:hint="eastAsia" w:ascii="宋体" w:hAnsi="宋体"/>
                <w:color w:val="auto"/>
                <w:sz w:val="24"/>
                <w:szCs w:val="24"/>
              </w:rPr>
              <w:t>）</w:t>
            </w:r>
          </w:p>
          <w:p w14:paraId="416F254B">
            <w:pPr>
              <w:spacing w:line="240" w:lineRule="auto"/>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.项目管理机构（包括但不限于（项目管理机构配备情况表、项目经理简历表、项目技术负责人简历表、项目其它主要人员简历表、项目管理机构配备情况辅助说明资料）；（</w:t>
            </w:r>
            <w:r>
              <w:rPr>
                <w:rFonts w:hint="eastAsia" w:ascii="宋体" w:hAnsi="宋体"/>
                <w:b/>
                <w:color w:val="auto"/>
                <w:sz w:val="24"/>
                <w:szCs w:val="24"/>
              </w:rPr>
              <w:t>必须提供，否则响应文件按无效响应处理</w:t>
            </w:r>
            <w:r>
              <w:rPr>
                <w:rFonts w:hint="eastAsia" w:ascii="宋体" w:hAnsi="宋体"/>
                <w:color w:val="auto"/>
                <w:sz w:val="24"/>
                <w:szCs w:val="24"/>
              </w:rPr>
              <w:t>）</w:t>
            </w:r>
          </w:p>
          <w:p w14:paraId="7BFB2C75">
            <w:pPr>
              <w:spacing w:line="240" w:lineRule="auto"/>
              <w:rPr>
                <w:rFonts w:ascii="宋体" w:hAnsi="宋体"/>
                <w:color w:val="auto"/>
                <w:sz w:val="24"/>
                <w:szCs w:val="24"/>
              </w:rPr>
            </w:pPr>
            <w:r>
              <w:rPr>
                <w:rFonts w:ascii="宋体" w:hAnsi="宋体"/>
                <w:color w:val="auto"/>
                <w:sz w:val="24"/>
                <w:szCs w:val="24"/>
              </w:rPr>
              <w:t>3</w:t>
            </w:r>
            <w:r>
              <w:rPr>
                <w:rFonts w:hint="eastAsia" w:ascii="宋体" w:hAnsi="宋体"/>
                <w:color w:val="auto"/>
                <w:sz w:val="24"/>
                <w:szCs w:val="24"/>
              </w:rPr>
              <w:t>.供应商认为需要提供的其他有关资料。</w:t>
            </w:r>
          </w:p>
          <w:p w14:paraId="445859F1">
            <w:pPr>
              <w:spacing w:line="240" w:lineRule="auto"/>
              <w:rPr>
                <w:rFonts w:hint="eastAsia" w:ascii="宋体" w:hAnsi="宋体"/>
                <w:b/>
                <w:color w:val="auto"/>
                <w:sz w:val="24"/>
                <w:szCs w:val="24"/>
              </w:rPr>
            </w:pPr>
            <w:r>
              <w:rPr>
                <w:rFonts w:hint="eastAsia" w:ascii="宋体" w:hAnsi="宋体"/>
                <w:b/>
                <w:color w:val="auto"/>
                <w:sz w:val="24"/>
                <w:szCs w:val="24"/>
              </w:rPr>
              <w:t>注：1.以上标明“必须提供”的材料属于复印件的扫描件的，必须加盖供应商电子公章，否则响应文件按无效响应处理。</w:t>
            </w:r>
          </w:p>
          <w:p w14:paraId="56A4EE6E">
            <w:pPr>
              <w:spacing w:line="240" w:lineRule="auto"/>
              <w:rPr>
                <w:rFonts w:hint="eastAsia" w:ascii="宋体" w:hAnsi="宋体"/>
                <w:b/>
                <w:color w:val="auto"/>
                <w:sz w:val="24"/>
                <w:szCs w:val="24"/>
              </w:rPr>
            </w:pPr>
            <w:r>
              <w:rPr>
                <w:rFonts w:hint="eastAsia" w:ascii="宋体" w:hAnsi="宋体"/>
                <w:b/>
                <w:color w:val="auto"/>
                <w:sz w:val="24"/>
                <w:szCs w:val="24"/>
              </w:rPr>
              <w:t>2.以上材料未附格式的，由供应商自行拟定。</w:t>
            </w:r>
          </w:p>
        </w:tc>
      </w:tr>
      <w:tr w14:paraId="4AF38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3" w:type="dxa"/>
            <w:vAlign w:val="center"/>
          </w:tcPr>
          <w:p w14:paraId="006CD1E1">
            <w:pPr>
              <w:spacing w:line="240" w:lineRule="auto"/>
              <w:jc w:val="center"/>
              <w:rPr>
                <w:rFonts w:hint="eastAsia" w:ascii="宋体" w:hAnsi="宋体"/>
                <w:color w:val="auto"/>
                <w:sz w:val="24"/>
                <w:szCs w:val="24"/>
              </w:rPr>
            </w:pPr>
            <w:r>
              <w:rPr>
                <w:rFonts w:hint="eastAsia" w:ascii="宋体" w:hAnsi="宋体"/>
                <w:color w:val="auto"/>
                <w:sz w:val="24"/>
                <w:szCs w:val="24"/>
              </w:rPr>
              <w:t>12.</w:t>
            </w:r>
            <w:r>
              <w:rPr>
                <w:rFonts w:ascii="宋体" w:hAnsi="宋体"/>
                <w:color w:val="auto"/>
                <w:sz w:val="24"/>
                <w:szCs w:val="24"/>
              </w:rPr>
              <w:t>1</w:t>
            </w:r>
            <w:r>
              <w:rPr>
                <w:rFonts w:hint="eastAsia" w:ascii="宋体" w:hAnsi="宋体"/>
                <w:color w:val="auto"/>
                <w:sz w:val="24"/>
                <w:szCs w:val="24"/>
              </w:rPr>
              <w:t>.2</w:t>
            </w:r>
          </w:p>
        </w:tc>
        <w:tc>
          <w:tcPr>
            <w:tcW w:w="2578" w:type="dxa"/>
            <w:vAlign w:val="center"/>
          </w:tcPr>
          <w:p w14:paraId="65D3C6CE">
            <w:pPr>
              <w:spacing w:line="240" w:lineRule="auto"/>
              <w:jc w:val="center"/>
              <w:rPr>
                <w:rFonts w:hint="eastAsia" w:ascii="宋体" w:hAnsi="宋体"/>
                <w:color w:val="auto"/>
                <w:sz w:val="24"/>
                <w:szCs w:val="24"/>
              </w:rPr>
            </w:pPr>
            <w:r>
              <w:rPr>
                <w:rFonts w:hint="eastAsia" w:ascii="宋体" w:hAnsi="宋体"/>
                <w:color w:val="auto"/>
                <w:sz w:val="24"/>
                <w:szCs w:val="24"/>
              </w:rPr>
              <w:t>报价文件组成</w:t>
            </w:r>
          </w:p>
        </w:tc>
        <w:tc>
          <w:tcPr>
            <w:tcW w:w="6853" w:type="dxa"/>
            <w:vAlign w:val="center"/>
          </w:tcPr>
          <w:p w14:paraId="36DCA4D9">
            <w:pPr>
              <w:tabs>
                <w:tab w:val="left" w:pos="459"/>
              </w:tabs>
              <w:snapToGrid w:val="0"/>
              <w:spacing w:line="240" w:lineRule="auto"/>
              <w:jc w:val="left"/>
              <w:rPr>
                <w:rFonts w:hint="eastAsia" w:ascii="宋体" w:hAnsi="宋体"/>
                <w:color w:val="auto"/>
                <w:sz w:val="24"/>
                <w:szCs w:val="24"/>
              </w:rPr>
            </w:pPr>
            <w:r>
              <w:rPr>
                <w:rFonts w:hint="eastAsia" w:ascii="宋体" w:hAnsi="宋体"/>
                <w:color w:val="auto"/>
                <w:sz w:val="24"/>
                <w:szCs w:val="24"/>
              </w:rPr>
              <w:t>1.响应函；</w:t>
            </w:r>
            <w:r>
              <w:rPr>
                <w:rFonts w:hint="eastAsia" w:ascii="宋体" w:hAnsi="宋体"/>
                <w:b/>
                <w:color w:val="auto"/>
                <w:sz w:val="24"/>
                <w:szCs w:val="24"/>
              </w:rPr>
              <w:t>（必须提供，否则作无效响应处理）</w:t>
            </w:r>
          </w:p>
          <w:p w14:paraId="0F307998">
            <w:pPr>
              <w:spacing w:line="240" w:lineRule="auto"/>
              <w:rPr>
                <w:rFonts w:hint="eastAsia" w:ascii="宋体" w:hAnsi="宋体"/>
                <w:color w:val="auto"/>
                <w:sz w:val="24"/>
                <w:szCs w:val="24"/>
              </w:rPr>
            </w:pPr>
            <w:r>
              <w:rPr>
                <w:rFonts w:hint="eastAsia" w:ascii="宋体" w:hAnsi="宋体"/>
                <w:color w:val="auto"/>
                <w:sz w:val="24"/>
                <w:szCs w:val="24"/>
              </w:rPr>
              <w:t>2.已标价工程量清</w:t>
            </w:r>
            <w:r>
              <w:rPr>
                <w:rFonts w:hint="eastAsia" w:ascii="宋体" w:hAnsi="宋体"/>
                <w:color w:val="auto"/>
                <w:sz w:val="24"/>
                <w:szCs w:val="24"/>
                <w:lang w:val="en-US" w:eastAsia="zh-CN"/>
              </w:rPr>
              <w:t>单</w:t>
            </w:r>
            <w:r>
              <w:rPr>
                <w:rFonts w:hint="eastAsia" w:ascii="宋体" w:hAnsi="宋体"/>
                <w:color w:val="auto"/>
                <w:sz w:val="24"/>
                <w:szCs w:val="24"/>
              </w:rPr>
              <w:t>；（</w:t>
            </w:r>
            <w:r>
              <w:rPr>
                <w:rFonts w:hint="eastAsia" w:ascii="宋体" w:hAnsi="宋体"/>
                <w:b/>
                <w:color w:val="auto"/>
                <w:sz w:val="24"/>
                <w:szCs w:val="24"/>
              </w:rPr>
              <w:t>必须提供，否则响应文件按无效响应处理</w:t>
            </w:r>
            <w:r>
              <w:rPr>
                <w:rFonts w:hint="eastAsia" w:ascii="宋体" w:hAnsi="宋体"/>
                <w:color w:val="auto"/>
                <w:sz w:val="24"/>
                <w:szCs w:val="24"/>
              </w:rPr>
              <w:t>）</w:t>
            </w:r>
          </w:p>
          <w:p w14:paraId="1E199734">
            <w:pPr>
              <w:spacing w:line="240" w:lineRule="auto"/>
              <w:rPr>
                <w:rFonts w:hint="eastAsia" w:ascii="宋体" w:hAnsi="宋体"/>
                <w:color w:val="auto"/>
                <w:sz w:val="24"/>
                <w:szCs w:val="24"/>
              </w:rPr>
            </w:pPr>
            <w:r>
              <w:rPr>
                <w:rFonts w:hint="eastAsia" w:ascii="宋体" w:hAnsi="宋体"/>
                <w:color w:val="auto"/>
                <w:sz w:val="24"/>
                <w:szCs w:val="24"/>
              </w:rPr>
              <w:t>3.中小企业声明函。（</w:t>
            </w:r>
            <w:r>
              <w:rPr>
                <w:rFonts w:hint="eastAsia" w:ascii="宋体" w:hAnsi="宋体"/>
                <w:b/>
                <w:color w:val="auto"/>
                <w:sz w:val="24"/>
                <w:szCs w:val="24"/>
              </w:rPr>
              <w:t>必须提供，否则响应文件按无效响应处理</w:t>
            </w:r>
            <w:r>
              <w:rPr>
                <w:rFonts w:hint="eastAsia" w:ascii="宋体" w:hAnsi="宋体"/>
                <w:color w:val="auto"/>
                <w:sz w:val="24"/>
                <w:szCs w:val="24"/>
              </w:rPr>
              <w:t>）</w:t>
            </w:r>
          </w:p>
          <w:p w14:paraId="009534D8">
            <w:pPr>
              <w:spacing w:line="240" w:lineRule="auto"/>
              <w:rPr>
                <w:rFonts w:hint="eastAsia" w:ascii="宋体" w:hAnsi="宋体"/>
                <w:color w:val="auto"/>
                <w:sz w:val="24"/>
                <w:szCs w:val="24"/>
              </w:rPr>
            </w:pPr>
          </w:p>
          <w:p w14:paraId="5A9D96FC">
            <w:pPr>
              <w:spacing w:line="240" w:lineRule="auto"/>
              <w:rPr>
                <w:rFonts w:hint="eastAsia" w:ascii="宋体" w:hAnsi="宋体"/>
                <w:b/>
                <w:bCs/>
                <w:color w:val="auto"/>
                <w:sz w:val="24"/>
                <w:szCs w:val="24"/>
              </w:rPr>
            </w:pPr>
            <w:r>
              <w:rPr>
                <w:rFonts w:hint="eastAsia" w:ascii="宋体" w:hAnsi="宋体"/>
                <w:b/>
                <w:bCs/>
                <w:color w:val="auto"/>
                <w:sz w:val="24"/>
                <w:szCs w:val="24"/>
              </w:rPr>
              <w:t>注：1.上述材料必须在规定盖章处加盖供应商公章，否则</w:t>
            </w:r>
            <w:r>
              <w:rPr>
                <w:rFonts w:hint="eastAsia" w:ascii="宋体" w:hAnsi="宋体"/>
                <w:b/>
                <w:color w:val="auto"/>
                <w:sz w:val="24"/>
                <w:szCs w:val="24"/>
              </w:rPr>
              <w:t>作无效响应处理</w:t>
            </w:r>
            <w:r>
              <w:rPr>
                <w:rFonts w:hint="eastAsia" w:ascii="宋体" w:hAnsi="宋体"/>
                <w:b/>
                <w:bCs/>
                <w:color w:val="auto"/>
                <w:sz w:val="24"/>
                <w:szCs w:val="24"/>
              </w:rPr>
              <w:t>。</w:t>
            </w:r>
          </w:p>
        </w:tc>
      </w:tr>
      <w:tr w14:paraId="5780D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3" w:type="dxa"/>
            <w:vAlign w:val="center"/>
          </w:tcPr>
          <w:p w14:paraId="1D8CD0FD">
            <w:pPr>
              <w:spacing w:line="240" w:lineRule="auto"/>
              <w:jc w:val="center"/>
              <w:rPr>
                <w:rFonts w:hint="eastAsia" w:ascii="宋体" w:hAnsi="宋体"/>
                <w:color w:val="auto"/>
                <w:sz w:val="24"/>
                <w:szCs w:val="24"/>
              </w:rPr>
            </w:pPr>
            <w:r>
              <w:rPr>
                <w:rFonts w:hint="eastAsia" w:ascii="宋体" w:hAnsi="宋体"/>
                <w:color w:val="auto"/>
                <w:sz w:val="24"/>
                <w:szCs w:val="24"/>
              </w:rPr>
              <w:t>12.</w:t>
            </w:r>
            <w:r>
              <w:rPr>
                <w:rFonts w:ascii="宋体" w:hAnsi="宋体"/>
                <w:color w:val="auto"/>
                <w:sz w:val="24"/>
                <w:szCs w:val="24"/>
              </w:rPr>
              <w:t>2</w:t>
            </w:r>
          </w:p>
        </w:tc>
        <w:tc>
          <w:tcPr>
            <w:tcW w:w="2578" w:type="dxa"/>
            <w:vAlign w:val="center"/>
          </w:tcPr>
          <w:p w14:paraId="7D308EF1">
            <w:pPr>
              <w:spacing w:line="240" w:lineRule="auto"/>
              <w:jc w:val="center"/>
              <w:rPr>
                <w:rFonts w:hint="eastAsia" w:ascii="宋体" w:hAnsi="宋体"/>
                <w:color w:val="auto"/>
                <w:sz w:val="24"/>
                <w:szCs w:val="24"/>
              </w:rPr>
            </w:pPr>
            <w:r>
              <w:rPr>
                <w:rFonts w:hint="eastAsia" w:ascii="宋体" w:hAnsi="宋体"/>
                <w:color w:val="auto"/>
                <w:sz w:val="24"/>
                <w:szCs w:val="24"/>
              </w:rPr>
              <w:t>响应文件电子版要求</w:t>
            </w:r>
          </w:p>
        </w:tc>
        <w:tc>
          <w:tcPr>
            <w:tcW w:w="6853" w:type="dxa"/>
            <w:vAlign w:val="center"/>
          </w:tcPr>
          <w:p w14:paraId="4D19A92C">
            <w:pPr>
              <w:snapToGrid w:val="0"/>
              <w:spacing w:line="240" w:lineRule="auto"/>
              <w:jc w:val="left"/>
              <w:rPr>
                <w:rFonts w:hint="eastAsia" w:ascii="宋体" w:hAnsi="宋体"/>
                <w:color w:val="auto"/>
                <w:sz w:val="24"/>
                <w:szCs w:val="24"/>
              </w:rPr>
            </w:pPr>
            <w:r>
              <w:rPr>
                <w:rFonts w:hint="eastAsia" w:ascii="宋体" w:hAnsi="宋体"/>
                <w:color w:val="auto"/>
                <w:sz w:val="24"/>
                <w:szCs w:val="24"/>
              </w:rPr>
              <w:t>1.响应文件电子版要求：按照本采购文件“第八章 响应文件格式”编写（第八章未附格式的，由供应商自行拟定），不可涂改并在规定加盖公章处加盖电子公章，</w:t>
            </w:r>
            <w:r>
              <w:rPr>
                <w:rFonts w:hint="eastAsia" w:ascii="宋体" w:hAnsi="宋体"/>
                <w:b/>
                <w:color w:val="auto"/>
                <w:sz w:val="24"/>
                <w:szCs w:val="24"/>
              </w:rPr>
              <w:t>否则响应文件按无效响应处理</w:t>
            </w:r>
            <w:r>
              <w:rPr>
                <w:rFonts w:hint="eastAsia" w:ascii="宋体" w:hAnsi="宋体"/>
                <w:color w:val="auto"/>
                <w:sz w:val="24"/>
                <w:szCs w:val="24"/>
              </w:rPr>
              <w:t>。</w:t>
            </w:r>
          </w:p>
          <w:p w14:paraId="5EFF8CD0">
            <w:pPr>
              <w:snapToGrid w:val="0"/>
              <w:spacing w:line="240" w:lineRule="auto"/>
              <w:jc w:val="left"/>
              <w:rPr>
                <w:rFonts w:hint="eastAsia" w:ascii="宋体" w:hAnsi="宋体"/>
                <w:color w:val="auto"/>
                <w:sz w:val="24"/>
                <w:szCs w:val="24"/>
              </w:rPr>
            </w:pPr>
            <w:r>
              <w:rPr>
                <w:rFonts w:hint="eastAsia" w:ascii="宋体" w:hAnsi="宋体"/>
                <w:color w:val="auto"/>
                <w:sz w:val="24"/>
                <w:szCs w:val="24"/>
              </w:rPr>
              <w:t>2.响应文件电子版密封方式：电子响应文件通过平台有效CA加密后在“政采云”平台投送。</w:t>
            </w:r>
          </w:p>
        </w:tc>
      </w:tr>
      <w:tr w14:paraId="6CB5A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3" w:type="dxa"/>
            <w:vAlign w:val="center"/>
          </w:tcPr>
          <w:p w14:paraId="4E7390C5">
            <w:pPr>
              <w:spacing w:line="240" w:lineRule="auto"/>
              <w:jc w:val="center"/>
              <w:rPr>
                <w:rFonts w:hint="eastAsia" w:ascii="宋体" w:hAnsi="宋体"/>
                <w:color w:val="auto"/>
                <w:sz w:val="24"/>
                <w:szCs w:val="24"/>
              </w:rPr>
            </w:pPr>
            <w:r>
              <w:rPr>
                <w:rFonts w:hint="eastAsia" w:ascii="宋体" w:hAnsi="宋体"/>
                <w:color w:val="auto"/>
                <w:sz w:val="24"/>
                <w:szCs w:val="24"/>
              </w:rPr>
              <w:t>15.2</w:t>
            </w:r>
          </w:p>
        </w:tc>
        <w:tc>
          <w:tcPr>
            <w:tcW w:w="2578" w:type="dxa"/>
            <w:vAlign w:val="center"/>
          </w:tcPr>
          <w:p w14:paraId="05C4718A">
            <w:pPr>
              <w:spacing w:line="240" w:lineRule="auto"/>
              <w:jc w:val="center"/>
              <w:rPr>
                <w:rFonts w:hint="eastAsia" w:ascii="宋体" w:hAnsi="宋体"/>
                <w:color w:val="auto"/>
                <w:sz w:val="24"/>
                <w:szCs w:val="24"/>
              </w:rPr>
            </w:pPr>
            <w:r>
              <w:rPr>
                <w:rFonts w:hint="eastAsia" w:ascii="宋体" w:hAnsi="宋体"/>
                <w:color w:val="auto"/>
                <w:sz w:val="24"/>
                <w:szCs w:val="24"/>
              </w:rPr>
              <w:t>响应报价要求</w:t>
            </w:r>
          </w:p>
        </w:tc>
        <w:tc>
          <w:tcPr>
            <w:tcW w:w="6853" w:type="dxa"/>
            <w:vAlign w:val="center"/>
          </w:tcPr>
          <w:p w14:paraId="20D7CB86">
            <w:pPr>
              <w:snapToGrid w:val="0"/>
              <w:spacing w:line="240" w:lineRule="auto"/>
              <w:jc w:val="left"/>
              <w:rPr>
                <w:rFonts w:hint="eastAsia" w:ascii="宋体" w:hAnsi="宋体"/>
                <w:b/>
                <w:bCs/>
                <w:color w:val="auto"/>
                <w:sz w:val="24"/>
                <w:szCs w:val="24"/>
              </w:rPr>
            </w:pPr>
            <w:r>
              <w:rPr>
                <w:rFonts w:hint="eastAsia" w:ascii="宋体" w:hAnsi="宋体"/>
                <w:b/>
                <w:bCs/>
                <w:color w:val="auto"/>
                <w:sz w:val="24"/>
                <w:szCs w:val="24"/>
              </w:rPr>
              <w:t>1.特别说明：本项目施工路段路容路貌整治、排水系统整治等费用包含在本次竞标范围、清单及控制价中，请供应商结合自身情况自行报价，采购人不再另行支付该项报价。</w:t>
            </w:r>
          </w:p>
          <w:p w14:paraId="0D12CFBA">
            <w:pPr>
              <w:snapToGrid w:val="0"/>
              <w:spacing w:line="240" w:lineRule="auto"/>
              <w:jc w:val="left"/>
              <w:rPr>
                <w:rFonts w:hint="eastAsia" w:ascii="宋体" w:hAnsi="宋体"/>
                <w:color w:val="auto"/>
                <w:sz w:val="24"/>
                <w:szCs w:val="24"/>
              </w:rPr>
            </w:pPr>
            <w:r>
              <w:rPr>
                <w:rFonts w:hint="eastAsia" w:ascii="宋体" w:hAnsi="宋体"/>
                <w:color w:val="auto"/>
                <w:sz w:val="24"/>
                <w:szCs w:val="24"/>
              </w:rPr>
              <w:t>2.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b/>
                <w:color w:val="auto"/>
                <w:sz w:val="24"/>
                <w:szCs w:val="24"/>
              </w:rPr>
              <w:t>（采购需求另有约定的，从其约定。）</w:t>
            </w:r>
          </w:p>
        </w:tc>
      </w:tr>
      <w:tr w14:paraId="1BB2E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33" w:type="dxa"/>
            <w:vAlign w:val="center"/>
          </w:tcPr>
          <w:p w14:paraId="31377628">
            <w:pPr>
              <w:spacing w:line="240" w:lineRule="auto"/>
              <w:jc w:val="center"/>
              <w:rPr>
                <w:rFonts w:hint="eastAsia" w:ascii="宋体" w:hAnsi="宋体"/>
                <w:color w:val="auto"/>
                <w:sz w:val="24"/>
                <w:szCs w:val="24"/>
              </w:rPr>
            </w:pPr>
            <w:r>
              <w:rPr>
                <w:rFonts w:hint="eastAsia" w:ascii="宋体" w:hAnsi="宋体"/>
                <w:color w:val="auto"/>
                <w:sz w:val="24"/>
                <w:szCs w:val="24"/>
              </w:rPr>
              <w:t>16.</w:t>
            </w:r>
            <w:r>
              <w:rPr>
                <w:rFonts w:ascii="宋体" w:hAnsi="宋体"/>
                <w:color w:val="auto"/>
                <w:sz w:val="24"/>
                <w:szCs w:val="24"/>
              </w:rPr>
              <w:t>2</w:t>
            </w:r>
          </w:p>
        </w:tc>
        <w:tc>
          <w:tcPr>
            <w:tcW w:w="2578" w:type="dxa"/>
            <w:vAlign w:val="center"/>
          </w:tcPr>
          <w:p w14:paraId="40CF8B83">
            <w:pPr>
              <w:spacing w:line="240" w:lineRule="auto"/>
              <w:jc w:val="center"/>
              <w:rPr>
                <w:rFonts w:hint="eastAsia"/>
                <w:color w:val="auto"/>
                <w:sz w:val="24"/>
                <w:szCs w:val="24"/>
              </w:rPr>
            </w:pPr>
            <w:r>
              <w:rPr>
                <w:rFonts w:hint="eastAsia"/>
                <w:color w:val="auto"/>
                <w:sz w:val="24"/>
                <w:szCs w:val="24"/>
              </w:rPr>
              <w:t>竞标有效期</w:t>
            </w:r>
          </w:p>
        </w:tc>
        <w:tc>
          <w:tcPr>
            <w:tcW w:w="6853" w:type="dxa"/>
            <w:vAlign w:val="center"/>
          </w:tcPr>
          <w:p w14:paraId="4EAE8D63">
            <w:pPr>
              <w:spacing w:line="240" w:lineRule="auto"/>
              <w:jc w:val="left"/>
              <w:rPr>
                <w:rFonts w:hint="eastAsia"/>
                <w:color w:val="auto"/>
                <w:sz w:val="24"/>
                <w:szCs w:val="24"/>
              </w:rPr>
            </w:pPr>
            <w:r>
              <w:rPr>
                <w:rFonts w:hint="eastAsia"/>
                <w:color w:val="auto"/>
                <w:sz w:val="24"/>
                <w:szCs w:val="24"/>
              </w:rPr>
              <w:t>自首次响应文件提交截止之日起9</w:t>
            </w:r>
            <w:r>
              <w:rPr>
                <w:color w:val="auto"/>
                <w:sz w:val="24"/>
                <w:szCs w:val="24"/>
              </w:rPr>
              <w:t>0</w:t>
            </w:r>
            <w:r>
              <w:rPr>
                <w:rFonts w:hint="eastAsia"/>
                <w:color w:val="auto"/>
                <w:sz w:val="24"/>
                <w:szCs w:val="24"/>
              </w:rPr>
              <w:t>日。</w:t>
            </w:r>
          </w:p>
        </w:tc>
      </w:tr>
      <w:tr w14:paraId="2FDF2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33" w:type="dxa"/>
            <w:vAlign w:val="center"/>
          </w:tcPr>
          <w:p w14:paraId="46245639">
            <w:pPr>
              <w:spacing w:line="240" w:lineRule="auto"/>
              <w:jc w:val="center"/>
              <w:rPr>
                <w:rFonts w:hint="eastAsia" w:ascii="宋体" w:hAnsi="宋体"/>
                <w:color w:val="auto"/>
                <w:sz w:val="24"/>
                <w:szCs w:val="24"/>
              </w:rPr>
            </w:pPr>
            <w:r>
              <w:rPr>
                <w:rFonts w:hint="eastAsia" w:ascii="宋体" w:hAnsi="宋体"/>
                <w:color w:val="auto"/>
                <w:sz w:val="24"/>
                <w:szCs w:val="24"/>
              </w:rPr>
              <w:t>17.1</w:t>
            </w:r>
          </w:p>
        </w:tc>
        <w:tc>
          <w:tcPr>
            <w:tcW w:w="2578" w:type="dxa"/>
            <w:vAlign w:val="center"/>
          </w:tcPr>
          <w:p w14:paraId="3B7FBB20">
            <w:pPr>
              <w:spacing w:line="240" w:lineRule="auto"/>
              <w:jc w:val="center"/>
              <w:rPr>
                <w:rFonts w:hint="eastAsia"/>
                <w:color w:val="auto"/>
                <w:sz w:val="24"/>
                <w:szCs w:val="24"/>
              </w:rPr>
            </w:pPr>
            <w:r>
              <w:rPr>
                <w:rFonts w:hint="eastAsia"/>
                <w:color w:val="auto"/>
                <w:sz w:val="24"/>
                <w:szCs w:val="24"/>
              </w:rPr>
              <w:t>磋商保证金</w:t>
            </w:r>
          </w:p>
        </w:tc>
        <w:tc>
          <w:tcPr>
            <w:tcW w:w="6853" w:type="dxa"/>
            <w:vAlign w:val="center"/>
          </w:tcPr>
          <w:p w14:paraId="33D32D11">
            <w:pPr>
              <w:spacing w:line="240" w:lineRule="auto"/>
              <w:jc w:val="left"/>
              <w:rPr>
                <w:rFonts w:hint="eastAsia"/>
                <w:color w:val="auto"/>
                <w:sz w:val="24"/>
                <w:szCs w:val="24"/>
              </w:rPr>
            </w:pPr>
            <w:r>
              <w:rPr>
                <w:rFonts w:hint="eastAsia"/>
                <w:color w:val="auto"/>
                <w:sz w:val="24"/>
                <w:szCs w:val="24"/>
              </w:rPr>
              <w:t>详见竞争性磋商公告。</w:t>
            </w:r>
          </w:p>
        </w:tc>
      </w:tr>
      <w:tr w14:paraId="15B53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33" w:type="dxa"/>
            <w:vMerge w:val="restart"/>
            <w:vAlign w:val="center"/>
          </w:tcPr>
          <w:p w14:paraId="4923A4EA">
            <w:pPr>
              <w:spacing w:line="240" w:lineRule="auto"/>
              <w:jc w:val="center"/>
              <w:rPr>
                <w:rFonts w:hint="eastAsia" w:ascii="宋体" w:hAnsi="宋体"/>
                <w:color w:val="auto"/>
                <w:sz w:val="24"/>
                <w:szCs w:val="24"/>
              </w:rPr>
            </w:pPr>
            <w:r>
              <w:rPr>
                <w:rFonts w:hint="eastAsia" w:ascii="宋体" w:hAnsi="宋体"/>
                <w:color w:val="auto"/>
                <w:sz w:val="24"/>
                <w:szCs w:val="24"/>
              </w:rPr>
              <w:t>20.1</w:t>
            </w:r>
          </w:p>
        </w:tc>
        <w:tc>
          <w:tcPr>
            <w:tcW w:w="2578" w:type="dxa"/>
            <w:vAlign w:val="center"/>
          </w:tcPr>
          <w:p w14:paraId="74C753EE">
            <w:pPr>
              <w:spacing w:line="240" w:lineRule="auto"/>
              <w:jc w:val="center"/>
              <w:rPr>
                <w:rFonts w:hint="eastAsia"/>
                <w:color w:val="auto"/>
                <w:sz w:val="24"/>
                <w:szCs w:val="24"/>
              </w:rPr>
            </w:pPr>
            <w:r>
              <w:rPr>
                <w:rFonts w:hint="eastAsia"/>
                <w:color w:val="auto"/>
                <w:sz w:val="24"/>
                <w:szCs w:val="24"/>
              </w:rPr>
              <w:t>首次响应文件提交起止时间</w:t>
            </w:r>
          </w:p>
        </w:tc>
        <w:tc>
          <w:tcPr>
            <w:tcW w:w="6853" w:type="dxa"/>
            <w:vAlign w:val="center"/>
          </w:tcPr>
          <w:p w14:paraId="59ECF851">
            <w:pPr>
              <w:spacing w:line="240" w:lineRule="auto"/>
              <w:jc w:val="left"/>
              <w:rPr>
                <w:rFonts w:hint="eastAsia"/>
                <w:color w:val="auto"/>
                <w:sz w:val="24"/>
                <w:szCs w:val="24"/>
              </w:rPr>
            </w:pPr>
            <w:r>
              <w:rPr>
                <w:rFonts w:hint="eastAsia"/>
                <w:color w:val="auto"/>
                <w:sz w:val="24"/>
                <w:szCs w:val="24"/>
              </w:rPr>
              <w:t>详见竞争性磋商公告。</w:t>
            </w:r>
          </w:p>
        </w:tc>
      </w:tr>
      <w:tr w14:paraId="38C21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33" w:type="dxa"/>
            <w:vMerge w:val="continue"/>
            <w:vAlign w:val="center"/>
          </w:tcPr>
          <w:p w14:paraId="1ED36538">
            <w:pPr>
              <w:spacing w:line="240" w:lineRule="auto"/>
              <w:jc w:val="center"/>
              <w:rPr>
                <w:rFonts w:hint="eastAsia" w:ascii="宋体" w:hAnsi="宋体"/>
                <w:color w:val="auto"/>
                <w:sz w:val="24"/>
                <w:szCs w:val="24"/>
              </w:rPr>
            </w:pPr>
          </w:p>
        </w:tc>
        <w:tc>
          <w:tcPr>
            <w:tcW w:w="2578" w:type="dxa"/>
            <w:vAlign w:val="center"/>
          </w:tcPr>
          <w:p w14:paraId="3C8CB68B">
            <w:pPr>
              <w:spacing w:line="240" w:lineRule="auto"/>
              <w:jc w:val="center"/>
              <w:rPr>
                <w:rFonts w:hint="eastAsia"/>
                <w:color w:val="auto"/>
                <w:sz w:val="24"/>
                <w:szCs w:val="24"/>
              </w:rPr>
            </w:pPr>
            <w:r>
              <w:rPr>
                <w:rFonts w:hint="eastAsia"/>
                <w:color w:val="auto"/>
                <w:sz w:val="24"/>
                <w:szCs w:val="24"/>
              </w:rPr>
              <w:t>首次响应文件提交地点</w:t>
            </w:r>
          </w:p>
        </w:tc>
        <w:tc>
          <w:tcPr>
            <w:tcW w:w="6853" w:type="dxa"/>
            <w:vAlign w:val="center"/>
          </w:tcPr>
          <w:p w14:paraId="1F4181C6">
            <w:pPr>
              <w:spacing w:line="240" w:lineRule="auto"/>
              <w:jc w:val="left"/>
              <w:rPr>
                <w:rFonts w:hint="eastAsia"/>
                <w:color w:val="auto"/>
                <w:sz w:val="24"/>
                <w:szCs w:val="24"/>
              </w:rPr>
            </w:pPr>
            <w:r>
              <w:rPr>
                <w:rFonts w:hint="eastAsia"/>
                <w:color w:val="auto"/>
                <w:sz w:val="24"/>
                <w:szCs w:val="24"/>
              </w:rPr>
              <w:t>详见竞争性磋商公告。</w:t>
            </w:r>
          </w:p>
        </w:tc>
      </w:tr>
      <w:tr w14:paraId="500AE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33" w:type="dxa"/>
            <w:vAlign w:val="center"/>
          </w:tcPr>
          <w:p w14:paraId="013F99B5">
            <w:pPr>
              <w:spacing w:line="240" w:lineRule="auto"/>
              <w:jc w:val="center"/>
              <w:rPr>
                <w:rFonts w:hint="eastAsia" w:ascii="宋体" w:hAnsi="宋体"/>
                <w:color w:val="auto"/>
                <w:sz w:val="24"/>
                <w:szCs w:val="24"/>
              </w:rPr>
            </w:pPr>
            <w:r>
              <w:rPr>
                <w:rFonts w:hint="eastAsia" w:ascii="宋体" w:hAnsi="宋体"/>
                <w:color w:val="auto"/>
                <w:sz w:val="24"/>
                <w:szCs w:val="24"/>
              </w:rPr>
              <w:t>21</w:t>
            </w:r>
          </w:p>
        </w:tc>
        <w:tc>
          <w:tcPr>
            <w:tcW w:w="2578" w:type="dxa"/>
            <w:vAlign w:val="center"/>
          </w:tcPr>
          <w:p w14:paraId="0C8BBADE">
            <w:pPr>
              <w:spacing w:line="240" w:lineRule="auto"/>
              <w:jc w:val="center"/>
              <w:rPr>
                <w:rFonts w:hint="eastAsia"/>
                <w:color w:val="auto"/>
                <w:sz w:val="24"/>
                <w:szCs w:val="24"/>
              </w:rPr>
            </w:pPr>
            <w:r>
              <w:rPr>
                <w:rFonts w:hint="eastAsia"/>
                <w:color w:val="auto"/>
                <w:sz w:val="24"/>
                <w:szCs w:val="24"/>
              </w:rPr>
              <w:t>首次响应文件的退回</w:t>
            </w:r>
          </w:p>
        </w:tc>
        <w:tc>
          <w:tcPr>
            <w:tcW w:w="6853" w:type="dxa"/>
            <w:vAlign w:val="center"/>
          </w:tcPr>
          <w:p w14:paraId="2729C842">
            <w:pPr>
              <w:spacing w:line="240" w:lineRule="auto"/>
              <w:jc w:val="left"/>
              <w:rPr>
                <w:rFonts w:hint="eastAsia"/>
                <w:color w:val="auto"/>
                <w:sz w:val="24"/>
                <w:szCs w:val="24"/>
              </w:rPr>
            </w:pPr>
            <w:r>
              <w:rPr>
                <w:rFonts w:hint="eastAsia"/>
                <w:color w:val="auto"/>
                <w:sz w:val="24"/>
                <w:szCs w:val="24"/>
              </w:rPr>
              <w:t>详见竞争性磋商公告。</w:t>
            </w:r>
          </w:p>
        </w:tc>
      </w:tr>
      <w:tr w14:paraId="2B802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3" w:type="dxa"/>
            <w:vAlign w:val="center"/>
          </w:tcPr>
          <w:p w14:paraId="67A5E688">
            <w:pPr>
              <w:spacing w:line="240" w:lineRule="auto"/>
              <w:jc w:val="center"/>
              <w:rPr>
                <w:rFonts w:ascii="宋体" w:hAnsi="宋体"/>
                <w:color w:val="auto"/>
                <w:sz w:val="24"/>
                <w:szCs w:val="24"/>
              </w:rPr>
            </w:pPr>
            <w:r>
              <w:rPr>
                <w:rFonts w:ascii="宋体" w:hAnsi="宋体"/>
                <w:color w:val="auto"/>
                <w:sz w:val="24"/>
                <w:szCs w:val="24"/>
              </w:rPr>
              <w:t>26.2</w:t>
            </w:r>
          </w:p>
        </w:tc>
        <w:tc>
          <w:tcPr>
            <w:tcW w:w="2578" w:type="dxa"/>
            <w:vAlign w:val="center"/>
          </w:tcPr>
          <w:p w14:paraId="22725874">
            <w:pPr>
              <w:spacing w:line="240" w:lineRule="auto"/>
              <w:jc w:val="center"/>
              <w:rPr>
                <w:rFonts w:hint="eastAsia" w:ascii="宋体" w:hAnsi="宋体"/>
                <w:color w:val="auto"/>
                <w:sz w:val="24"/>
                <w:szCs w:val="24"/>
              </w:rPr>
            </w:pPr>
            <w:r>
              <w:rPr>
                <w:rFonts w:hint="eastAsia" w:ascii="宋体" w:hAnsi="宋体"/>
                <w:color w:val="auto"/>
                <w:sz w:val="24"/>
                <w:szCs w:val="24"/>
              </w:rPr>
              <w:t>磋商的顺序</w:t>
            </w:r>
          </w:p>
        </w:tc>
        <w:tc>
          <w:tcPr>
            <w:tcW w:w="6853" w:type="dxa"/>
            <w:vAlign w:val="center"/>
          </w:tcPr>
          <w:p w14:paraId="584CC67B">
            <w:pPr>
              <w:spacing w:line="240" w:lineRule="auto"/>
              <w:rPr>
                <w:rFonts w:hint="eastAsia" w:ascii="宋体" w:hAnsi="宋体"/>
                <w:color w:val="auto"/>
                <w:sz w:val="24"/>
                <w:szCs w:val="24"/>
              </w:rPr>
            </w:pPr>
            <w:r>
              <w:rPr>
                <w:rFonts w:hint="eastAsia" w:ascii="宋体" w:hAnsi="宋体"/>
                <w:color w:val="auto"/>
                <w:sz w:val="24"/>
                <w:szCs w:val="24"/>
              </w:rPr>
              <w:t>系统自动提取的顺序。</w:t>
            </w:r>
          </w:p>
        </w:tc>
      </w:tr>
      <w:tr w14:paraId="73E1E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33" w:type="dxa"/>
            <w:vAlign w:val="center"/>
          </w:tcPr>
          <w:p w14:paraId="209AEFDA">
            <w:pPr>
              <w:spacing w:line="240" w:lineRule="auto"/>
              <w:jc w:val="center"/>
              <w:rPr>
                <w:rFonts w:ascii="宋体" w:hAnsi="宋体"/>
                <w:color w:val="auto"/>
                <w:sz w:val="24"/>
                <w:szCs w:val="24"/>
              </w:rPr>
            </w:pPr>
            <w:r>
              <w:rPr>
                <w:rFonts w:ascii="宋体" w:hAnsi="宋体"/>
                <w:color w:val="auto"/>
                <w:sz w:val="24"/>
                <w:szCs w:val="24"/>
              </w:rPr>
              <w:t>28</w:t>
            </w:r>
          </w:p>
        </w:tc>
        <w:tc>
          <w:tcPr>
            <w:tcW w:w="2578" w:type="dxa"/>
            <w:vAlign w:val="center"/>
          </w:tcPr>
          <w:p w14:paraId="7FA778EB">
            <w:pPr>
              <w:spacing w:line="240" w:lineRule="auto"/>
              <w:jc w:val="center"/>
              <w:rPr>
                <w:rFonts w:hint="eastAsia" w:ascii="宋体" w:hAnsi="宋体"/>
                <w:color w:val="auto"/>
                <w:sz w:val="24"/>
                <w:szCs w:val="24"/>
              </w:rPr>
            </w:pPr>
            <w:r>
              <w:rPr>
                <w:rFonts w:hint="eastAsia" w:ascii="宋体" w:hAnsi="宋体"/>
                <w:color w:val="auto"/>
                <w:sz w:val="24"/>
                <w:szCs w:val="24"/>
              </w:rPr>
              <w:t>履约保证金</w:t>
            </w:r>
          </w:p>
        </w:tc>
        <w:tc>
          <w:tcPr>
            <w:tcW w:w="6853" w:type="dxa"/>
            <w:vAlign w:val="center"/>
          </w:tcPr>
          <w:p w14:paraId="39F97BC4">
            <w:pPr>
              <w:spacing w:line="240" w:lineRule="auto"/>
              <w:jc w:val="left"/>
              <w:rPr>
                <w:rFonts w:hint="eastAsia" w:ascii="宋体" w:hAnsi="宋体"/>
                <w:color w:val="auto"/>
                <w:sz w:val="24"/>
                <w:szCs w:val="24"/>
              </w:rPr>
            </w:pPr>
            <w:r>
              <w:rPr>
                <w:rFonts w:hint="eastAsia" w:ascii="宋体" w:hAnsi="宋体"/>
                <w:color w:val="auto"/>
                <w:sz w:val="24"/>
                <w:szCs w:val="24"/>
              </w:rPr>
              <w:t xml:space="preserve">本项目不收取履约保证金 </w:t>
            </w:r>
          </w:p>
        </w:tc>
      </w:tr>
      <w:tr w14:paraId="20CD3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33" w:type="dxa"/>
            <w:vAlign w:val="center"/>
          </w:tcPr>
          <w:p w14:paraId="02F36A12">
            <w:pPr>
              <w:spacing w:line="240" w:lineRule="auto"/>
              <w:jc w:val="center"/>
              <w:rPr>
                <w:rFonts w:ascii="宋体" w:hAnsi="宋体"/>
                <w:color w:val="auto"/>
                <w:sz w:val="24"/>
                <w:szCs w:val="24"/>
              </w:rPr>
            </w:pPr>
            <w:r>
              <w:rPr>
                <w:rFonts w:ascii="宋体" w:hAnsi="宋体"/>
                <w:color w:val="auto"/>
                <w:sz w:val="24"/>
                <w:szCs w:val="24"/>
              </w:rPr>
              <w:t>29.</w:t>
            </w:r>
            <w:r>
              <w:rPr>
                <w:rFonts w:hint="eastAsia" w:ascii="宋体" w:hAnsi="宋体"/>
                <w:color w:val="auto"/>
                <w:sz w:val="24"/>
                <w:szCs w:val="24"/>
              </w:rPr>
              <w:t>5</w:t>
            </w:r>
          </w:p>
        </w:tc>
        <w:tc>
          <w:tcPr>
            <w:tcW w:w="2578" w:type="dxa"/>
            <w:vAlign w:val="center"/>
          </w:tcPr>
          <w:p w14:paraId="45CC5DD3">
            <w:pPr>
              <w:spacing w:line="240" w:lineRule="auto"/>
              <w:jc w:val="center"/>
              <w:rPr>
                <w:rFonts w:hint="eastAsia" w:ascii="宋体" w:hAnsi="宋体"/>
                <w:color w:val="auto"/>
                <w:sz w:val="24"/>
                <w:szCs w:val="24"/>
              </w:rPr>
            </w:pPr>
            <w:r>
              <w:rPr>
                <w:rFonts w:hint="eastAsia" w:ascii="宋体" w:hAnsi="宋体"/>
                <w:color w:val="auto"/>
                <w:sz w:val="24"/>
                <w:szCs w:val="24"/>
              </w:rPr>
              <w:t>签订合同携带的材料</w:t>
            </w:r>
          </w:p>
        </w:tc>
        <w:tc>
          <w:tcPr>
            <w:tcW w:w="6853" w:type="dxa"/>
            <w:vAlign w:val="center"/>
          </w:tcPr>
          <w:p w14:paraId="33D1244B">
            <w:pPr>
              <w:spacing w:line="240" w:lineRule="auto"/>
              <w:jc w:val="left"/>
              <w:rPr>
                <w:rFonts w:hint="eastAsia" w:ascii="宋体" w:hAnsi="宋体"/>
                <w:color w:val="auto"/>
                <w:sz w:val="24"/>
                <w:szCs w:val="24"/>
              </w:rPr>
            </w:pPr>
            <w:r>
              <w:rPr>
                <w:rFonts w:hint="eastAsia" w:ascii="宋体" w:hAnsi="宋体"/>
                <w:color w:val="auto"/>
                <w:sz w:val="24"/>
                <w:szCs w:val="24"/>
              </w:rPr>
              <w:t>使用的有效CA证书加盖单位电子公章</w:t>
            </w:r>
          </w:p>
        </w:tc>
      </w:tr>
      <w:tr w14:paraId="547E7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33" w:type="dxa"/>
            <w:vMerge w:val="restart"/>
            <w:vAlign w:val="center"/>
          </w:tcPr>
          <w:p w14:paraId="69985564">
            <w:pPr>
              <w:spacing w:line="240" w:lineRule="auto"/>
              <w:jc w:val="center"/>
              <w:rPr>
                <w:rFonts w:hint="eastAsia" w:ascii="宋体" w:hAnsi="宋体"/>
                <w:color w:val="auto"/>
                <w:sz w:val="24"/>
                <w:szCs w:val="24"/>
              </w:rPr>
            </w:pPr>
            <w:r>
              <w:rPr>
                <w:rFonts w:hint="eastAsia" w:ascii="宋体" w:hAnsi="宋体"/>
                <w:color w:val="auto"/>
                <w:sz w:val="24"/>
                <w:szCs w:val="24"/>
              </w:rPr>
              <w:t>3</w:t>
            </w:r>
            <w:r>
              <w:rPr>
                <w:rFonts w:ascii="宋体" w:hAnsi="宋体"/>
                <w:color w:val="auto"/>
                <w:sz w:val="24"/>
                <w:szCs w:val="24"/>
              </w:rPr>
              <w:t>1.2</w:t>
            </w:r>
          </w:p>
        </w:tc>
        <w:tc>
          <w:tcPr>
            <w:tcW w:w="2578" w:type="dxa"/>
            <w:vAlign w:val="center"/>
          </w:tcPr>
          <w:p w14:paraId="0A332E62">
            <w:pPr>
              <w:spacing w:line="240" w:lineRule="auto"/>
              <w:jc w:val="center"/>
              <w:rPr>
                <w:rFonts w:hint="eastAsia" w:ascii="宋体" w:hAnsi="宋体"/>
                <w:color w:val="auto"/>
                <w:sz w:val="24"/>
                <w:szCs w:val="24"/>
              </w:rPr>
            </w:pPr>
            <w:r>
              <w:rPr>
                <w:rFonts w:hint="eastAsia" w:ascii="宋体" w:hAnsi="宋体"/>
                <w:color w:val="auto"/>
                <w:sz w:val="24"/>
                <w:szCs w:val="24"/>
              </w:rPr>
              <w:t>接收质疑函方式</w:t>
            </w:r>
          </w:p>
        </w:tc>
        <w:tc>
          <w:tcPr>
            <w:tcW w:w="6853" w:type="dxa"/>
            <w:vAlign w:val="center"/>
          </w:tcPr>
          <w:p w14:paraId="0A1489E1">
            <w:pPr>
              <w:spacing w:line="240" w:lineRule="auto"/>
              <w:jc w:val="left"/>
              <w:rPr>
                <w:rFonts w:hint="eastAsia" w:ascii="宋体" w:hAnsi="宋体"/>
                <w:color w:val="auto"/>
                <w:sz w:val="24"/>
                <w:szCs w:val="24"/>
              </w:rPr>
            </w:pPr>
            <w:r>
              <w:rPr>
                <w:rFonts w:hint="eastAsia" w:ascii="宋体" w:hAnsi="宋体"/>
                <w:color w:val="auto"/>
                <w:sz w:val="24"/>
                <w:szCs w:val="24"/>
              </w:rPr>
              <w:t>以书面形式</w:t>
            </w:r>
          </w:p>
        </w:tc>
      </w:tr>
      <w:tr w14:paraId="40803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3" w:type="dxa"/>
            <w:vMerge w:val="continue"/>
            <w:vAlign w:val="center"/>
          </w:tcPr>
          <w:p w14:paraId="4C78F48A">
            <w:pPr>
              <w:spacing w:line="240" w:lineRule="auto"/>
              <w:jc w:val="center"/>
              <w:rPr>
                <w:rFonts w:hint="eastAsia" w:ascii="宋体" w:hAnsi="宋体"/>
                <w:color w:val="auto"/>
                <w:sz w:val="24"/>
                <w:szCs w:val="24"/>
              </w:rPr>
            </w:pPr>
          </w:p>
        </w:tc>
        <w:tc>
          <w:tcPr>
            <w:tcW w:w="2578" w:type="dxa"/>
            <w:vAlign w:val="center"/>
          </w:tcPr>
          <w:p w14:paraId="3CD0DCE8">
            <w:pPr>
              <w:spacing w:line="240" w:lineRule="auto"/>
              <w:jc w:val="center"/>
              <w:rPr>
                <w:rFonts w:hint="eastAsia" w:ascii="宋体" w:hAnsi="宋体"/>
                <w:color w:val="auto"/>
                <w:sz w:val="24"/>
                <w:szCs w:val="24"/>
              </w:rPr>
            </w:pPr>
            <w:r>
              <w:rPr>
                <w:rFonts w:hint="eastAsia" w:ascii="宋体" w:hAnsi="宋体"/>
                <w:color w:val="auto"/>
                <w:sz w:val="24"/>
                <w:szCs w:val="24"/>
              </w:rPr>
              <w:t>质疑联系部门及联系方式</w:t>
            </w:r>
          </w:p>
        </w:tc>
        <w:tc>
          <w:tcPr>
            <w:tcW w:w="6853" w:type="dxa"/>
            <w:vAlign w:val="center"/>
          </w:tcPr>
          <w:p w14:paraId="700D519E">
            <w:pPr>
              <w:spacing w:line="240" w:lineRule="auto"/>
              <w:rPr>
                <w:rFonts w:hint="eastAsia" w:ascii="宋体" w:hAnsi="宋体"/>
                <w:color w:val="auto"/>
                <w:sz w:val="24"/>
                <w:szCs w:val="24"/>
              </w:rPr>
            </w:pPr>
            <w:r>
              <w:rPr>
                <w:rFonts w:hint="eastAsia" w:ascii="宋体" w:hAnsi="宋体"/>
                <w:color w:val="auto"/>
                <w:sz w:val="24"/>
                <w:szCs w:val="24"/>
              </w:rPr>
              <w:t>质疑联系部门及联系方式：广西元强建设项目管理有限公司</w:t>
            </w:r>
          </w:p>
          <w:p w14:paraId="7E740775">
            <w:pPr>
              <w:snapToGrid w:val="0"/>
              <w:spacing w:line="240" w:lineRule="auto"/>
              <w:rPr>
                <w:rFonts w:hint="eastAsia" w:ascii="宋体" w:hAnsi="宋体"/>
                <w:color w:val="auto"/>
                <w:sz w:val="24"/>
                <w:szCs w:val="24"/>
              </w:rPr>
            </w:pPr>
            <w:r>
              <w:rPr>
                <w:rFonts w:hint="eastAsia" w:ascii="宋体" w:hAnsi="宋体"/>
                <w:color w:val="auto"/>
                <w:sz w:val="24"/>
                <w:szCs w:val="24"/>
              </w:rPr>
              <w:t xml:space="preserve">，联系电话：0776-2840555，通讯地址：广西百色市龙景区新环球投资大厦左塔1926号 </w:t>
            </w:r>
          </w:p>
        </w:tc>
      </w:tr>
      <w:tr w14:paraId="79157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933" w:type="dxa"/>
            <w:vMerge w:val="continue"/>
            <w:vAlign w:val="center"/>
          </w:tcPr>
          <w:p w14:paraId="6851A0F6">
            <w:pPr>
              <w:spacing w:line="240" w:lineRule="auto"/>
              <w:jc w:val="center"/>
              <w:rPr>
                <w:rFonts w:ascii="宋体" w:hAnsi="宋体"/>
                <w:color w:val="auto"/>
                <w:sz w:val="24"/>
                <w:szCs w:val="24"/>
              </w:rPr>
            </w:pPr>
          </w:p>
        </w:tc>
        <w:tc>
          <w:tcPr>
            <w:tcW w:w="2578" w:type="dxa"/>
            <w:vAlign w:val="center"/>
          </w:tcPr>
          <w:p w14:paraId="2EE9ADCC">
            <w:pPr>
              <w:spacing w:line="240" w:lineRule="auto"/>
              <w:jc w:val="center"/>
              <w:rPr>
                <w:rFonts w:hint="eastAsia" w:hAnsi="宋体"/>
                <w:color w:val="auto"/>
                <w:sz w:val="24"/>
                <w:szCs w:val="24"/>
              </w:rPr>
            </w:pPr>
            <w:r>
              <w:rPr>
                <w:rFonts w:hint="eastAsia" w:hAnsi="宋体"/>
                <w:color w:val="auto"/>
                <w:sz w:val="24"/>
                <w:szCs w:val="24"/>
              </w:rPr>
              <w:t>现场提交质疑办理业务时间</w:t>
            </w:r>
          </w:p>
        </w:tc>
        <w:tc>
          <w:tcPr>
            <w:tcW w:w="6853" w:type="dxa"/>
            <w:vAlign w:val="center"/>
          </w:tcPr>
          <w:p w14:paraId="4C1DAD90">
            <w:pPr>
              <w:snapToGrid w:val="0"/>
              <w:spacing w:line="240" w:lineRule="auto"/>
              <w:jc w:val="left"/>
              <w:rPr>
                <w:rFonts w:hint="eastAsia" w:hAnsi="宋体"/>
                <w:color w:val="auto"/>
                <w:sz w:val="24"/>
                <w:szCs w:val="24"/>
              </w:rPr>
            </w:pPr>
            <w:r>
              <w:rPr>
                <w:rFonts w:hint="eastAsia" w:hAnsi="宋体"/>
                <w:color w:val="auto"/>
                <w:sz w:val="24"/>
                <w:szCs w:val="24"/>
              </w:rPr>
              <w:t>质疑期内每个工作日</w:t>
            </w:r>
            <w:r>
              <w:rPr>
                <w:rFonts w:hint="eastAsia" w:hAnsi="宋体"/>
                <w:color w:val="auto"/>
                <w:sz w:val="24"/>
                <w:szCs w:val="24"/>
                <w:u w:val="single"/>
              </w:rPr>
              <w:t>8时00分到12 时00分，15时00分到18时00分</w:t>
            </w:r>
          </w:p>
        </w:tc>
      </w:tr>
      <w:tr w14:paraId="48BA0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33" w:type="dxa"/>
            <w:vAlign w:val="center"/>
          </w:tcPr>
          <w:p w14:paraId="0D9D72CE">
            <w:pPr>
              <w:spacing w:line="240" w:lineRule="auto"/>
              <w:jc w:val="center"/>
              <w:rPr>
                <w:rFonts w:hint="eastAsia" w:ascii="宋体" w:hAnsi="宋体"/>
                <w:color w:val="auto"/>
                <w:sz w:val="24"/>
                <w:szCs w:val="24"/>
              </w:rPr>
            </w:pPr>
            <w:r>
              <w:rPr>
                <w:rFonts w:hint="eastAsia" w:ascii="宋体" w:hAnsi="宋体"/>
                <w:color w:val="auto"/>
                <w:sz w:val="24"/>
                <w:szCs w:val="24"/>
              </w:rPr>
              <w:t>31.6</w:t>
            </w:r>
          </w:p>
        </w:tc>
        <w:tc>
          <w:tcPr>
            <w:tcW w:w="2578" w:type="dxa"/>
            <w:vAlign w:val="center"/>
          </w:tcPr>
          <w:p w14:paraId="11E4666A">
            <w:pPr>
              <w:spacing w:line="240" w:lineRule="auto"/>
              <w:jc w:val="center"/>
              <w:rPr>
                <w:rFonts w:hint="eastAsia" w:ascii="宋体" w:hAnsi="宋体"/>
                <w:color w:val="auto"/>
                <w:sz w:val="24"/>
                <w:szCs w:val="24"/>
              </w:rPr>
            </w:pPr>
            <w:r>
              <w:rPr>
                <w:rFonts w:hint="eastAsia" w:ascii="宋体" w:hAnsi="宋体"/>
                <w:color w:val="auto"/>
                <w:sz w:val="24"/>
                <w:szCs w:val="24"/>
              </w:rPr>
              <w:t>受理投诉方式</w:t>
            </w:r>
          </w:p>
        </w:tc>
        <w:tc>
          <w:tcPr>
            <w:tcW w:w="6853" w:type="dxa"/>
            <w:vAlign w:val="center"/>
          </w:tcPr>
          <w:p w14:paraId="775EB99F">
            <w:pPr>
              <w:spacing w:line="240" w:lineRule="auto"/>
              <w:jc w:val="left"/>
              <w:rPr>
                <w:rFonts w:hint="eastAsia" w:hAnsi="宋体"/>
                <w:color w:val="auto"/>
                <w:sz w:val="24"/>
                <w:szCs w:val="24"/>
              </w:rPr>
            </w:pPr>
            <w:r>
              <w:rPr>
                <w:rFonts w:hint="eastAsia" w:hAnsi="宋体"/>
                <w:color w:val="auto"/>
                <w:sz w:val="24"/>
                <w:szCs w:val="24"/>
              </w:rPr>
              <w:t>受理方式：纸质方式受理，投诉书正、副本（经过质疑的事项才可投诉）。</w:t>
            </w:r>
          </w:p>
        </w:tc>
      </w:tr>
      <w:tr w14:paraId="1A217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33" w:type="dxa"/>
            <w:vAlign w:val="center"/>
          </w:tcPr>
          <w:p w14:paraId="733D435C">
            <w:pPr>
              <w:spacing w:line="240" w:lineRule="auto"/>
              <w:jc w:val="center"/>
              <w:rPr>
                <w:rFonts w:hint="eastAsia" w:ascii="宋体" w:hAnsi="宋体"/>
                <w:color w:val="auto"/>
                <w:sz w:val="24"/>
                <w:szCs w:val="24"/>
              </w:rPr>
            </w:pPr>
            <w:r>
              <w:rPr>
                <w:rFonts w:hint="eastAsia" w:ascii="宋体" w:hAnsi="宋体"/>
                <w:color w:val="auto"/>
                <w:sz w:val="24"/>
                <w:szCs w:val="24"/>
              </w:rPr>
              <w:t>33</w:t>
            </w:r>
          </w:p>
        </w:tc>
        <w:tc>
          <w:tcPr>
            <w:tcW w:w="2578" w:type="dxa"/>
            <w:vAlign w:val="center"/>
          </w:tcPr>
          <w:p w14:paraId="4964C782">
            <w:pPr>
              <w:spacing w:line="240" w:lineRule="auto"/>
              <w:jc w:val="center"/>
              <w:rPr>
                <w:rFonts w:hint="eastAsia" w:ascii="宋体" w:hAnsi="宋体"/>
                <w:color w:val="auto"/>
                <w:sz w:val="24"/>
                <w:szCs w:val="24"/>
              </w:rPr>
            </w:pPr>
            <w:r>
              <w:rPr>
                <w:rFonts w:hint="eastAsia" w:ascii="宋体" w:hAnsi="宋体"/>
                <w:color w:val="auto"/>
                <w:sz w:val="24"/>
                <w:szCs w:val="24"/>
              </w:rPr>
              <w:t>采购代理费</w:t>
            </w:r>
          </w:p>
        </w:tc>
        <w:tc>
          <w:tcPr>
            <w:tcW w:w="6853" w:type="dxa"/>
            <w:vAlign w:val="center"/>
          </w:tcPr>
          <w:p w14:paraId="5A166B59">
            <w:pPr>
              <w:pStyle w:val="32"/>
              <w:snapToGrid w:val="0"/>
              <w:spacing w:line="240" w:lineRule="auto"/>
              <w:rPr>
                <w:rFonts w:hint="eastAsia" w:hAnsi="宋体"/>
                <w:color w:val="auto"/>
                <w:sz w:val="24"/>
                <w:szCs w:val="24"/>
              </w:rPr>
            </w:pPr>
            <w:r>
              <w:rPr>
                <w:rFonts w:hint="eastAsia" w:hAnsi="宋体"/>
                <w:color w:val="auto"/>
                <w:sz w:val="24"/>
                <w:szCs w:val="24"/>
              </w:rPr>
              <w:t>1.是否收取采购代理费：</w:t>
            </w:r>
          </w:p>
          <w:p w14:paraId="1AA09A18">
            <w:pPr>
              <w:pStyle w:val="32"/>
              <w:snapToGrid w:val="0"/>
              <w:spacing w:line="240" w:lineRule="auto"/>
              <w:rPr>
                <w:rFonts w:hint="eastAsia" w:hAnsi="宋体"/>
                <w:color w:val="auto"/>
                <w:sz w:val="24"/>
                <w:szCs w:val="24"/>
              </w:rPr>
            </w:pPr>
            <w:r>
              <w:rPr>
                <w:rFonts w:hint="eastAsia" w:hAnsi="宋体"/>
                <w:color w:val="auto"/>
                <w:sz w:val="24"/>
                <w:szCs w:val="24"/>
              </w:rPr>
              <w:sym w:font="Wingdings" w:char="F0FE"/>
            </w:r>
            <w:r>
              <w:rPr>
                <w:rFonts w:hint="eastAsia" w:hAnsi="宋体"/>
                <w:color w:val="auto"/>
                <w:sz w:val="24"/>
                <w:szCs w:val="24"/>
              </w:rPr>
              <w:t>是    □ 否</w:t>
            </w:r>
          </w:p>
          <w:p w14:paraId="1C6C9435">
            <w:pPr>
              <w:pStyle w:val="32"/>
              <w:snapToGrid w:val="0"/>
              <w:spacing w:line="240" w:lineRule="auto"/>
              <w:rPr>
                <w:rFonts w:hint="eastAsia" w:hAnsi="宋体"/>
                <w:color w:val="auto"/>
                <w:sz w:val="24"/>
                <w:szCs w:val="24"/>
              </w:rPr>
            </w:pPr>
            <w:r>
              <w:rPr>
                <w:rFonts w:hint="eastAsia" w:hAnsi="宋体"/>
                <w:color w:val="auto"/>
                <w:sz w:val="24"/>
                <w:szCs w:val="24"/>
              </w:rPr>
              <w:t>2.采购代理费支付方式：</w:t>
            </w:r>
          </w:p>
          <w:p w14:paraId="5BD14CE8">
            <w:pPr>
              <w:pStyle w:val="32"/>
              <w:snapToGrid w:val="0"/>
              <w:spacing w:line="240" w:lineRule="auto"/>
              <w:rPr>
                <w:rFonts w:hint="eastAsia" w:hAnsi="宋体"/>
                <w:color w:val="auto"/>
                <w:sz w:val="24"/>
                <w:szCs w:val="24"/>
                <w:lang w:eastAsia="zh-CN"/>
              </w:rPr>
            </w:pPr>
            <w:r>
              <w:rPr>
                <w:rFonts w:hint="eastAsia" w:hAnsi="宋体"/>
                <w:color w:val="auto"/>
                <w:sz w:val="24"/>
                <w:szCs w:val="24"/>
                <w:lang w:eastAsia="zh-CN"/>
              </w:rPr>
              <w:t>☑</w:t>
            </w:r>
            <w:r>
              <w:rPr>
                <w:rFonts w:hint="eastAsia" w:hAnsi="宋体"/>
                <w:color w:val="auto"/>
                <w:sz w:val="24"/>
                <w:szCs w:val="24"/>
              </w:rPr>
              <w:t>本项目代理服务费由成交供应商领取成交通知书前，一次性向采购代理机构支付。</w:t>
            </w:r>
          </w:p>
          <w:p w14:paraId="4A3927CE">
            <w:pPr>
              <w:spacing w:line="240" w:lineRule="auto"/>
              <w:rPr>
                <w:rFonts w:hint="eastAsia" w:hAnsi="宋体"/>
                <w:color w:val="auto"/>
                <w:sz w:val="24"/>
                <w:szCs w:val="24"/>
              </w:rPr>
            </w:pPr>
            <w:r>
              <w:rPr>
                <w:rFonts w:hint="eastAsia" w:hAnsi="宋体"/>
                <w:color w:val="auto"/>
                <w:sz w:val="24"/>
                <w:szCs w:val="24"/>
              </w:rPr>
              <w:sym w:font="Wingdings" w:char="F0A8"/>
            </w:r>
            <w:r>
              <w:rPr>
                <w:rFonts w:hint="eastAsia" w:hAnsi="宋体"/>
                <w:color w:val="auto"/>
                <w:sz w:val="24"/>
                <w:szCs w:val="24"/>
              </w:rPr>
              <w:t>采购人支付。</w:t>
            </w:r>
          </w:p>
          <w:p w14:paraId="1D895351">
            <w:pPr>
              <w:pStyle w:val="32"/>
              <w:snapToGrid w:val="0"/>
              <w:spacing w:line="240" w:lineRule="auto"/>
              <w:rPr>
                <w:rFonts w:hint="eastAsia" w:hAnsi="宋体"/>
                <w:color w:val="auto"/>
                <w:sz w:val="24"/>
                <w:szCs w:val="24"/>
              </w:rPr>
            </w:pPr>
          </w:p>
          <w:p w14:paraId="03810F44">
            <w:pPr>
              <w:pStyle w:val="32"/>
              <w:snapToGrid w:val="0"/>
              <w:spacing w:line="240" w:lineRule="auto"/>
              <w:rPr>
                <w:rFonts w:hint="eastAsia" w:hAnsi="宋体"/>
                <w:color w:val="auto"/>
                <w:sz w:val="24"/>
                <w:szCs w:val="24"/>
              </w:rPr>
            </w:pPr>
            <w:r>
              <w:rPr>
                <w:rFonts w:hint="eastAsia" w:hAnsi="宋体"/>
                <w:color w:val="auto"/>
                <w:sz w:val="24"/>
                <w:szCs w:val="24"/>
              </w:rPr>
              <w:t>3.采购代理费收取标准：</w:t>
            </w:r>
          </w:p>
          <w:p w14:paraId="2BA527D5">
            <w:pPr>
              <w:spacing w:line="240" w:lineRule="auto"/>
              <w:rPr>
                <w:rFonts w:hint="eastAsia" w:ascii="宋体" w:hAnsi="宋体"/>
                <w:color w:val="auto"/>
                <w:sz w:val="24"/>
                <w:szCs w:val="24"/>
                <w:u w:val="single"/>
              </w:rPr>
            </w:pPr>
            <w:r>
              <w:rPr>
                <w:rFonts w:hint="eastAsia" w:ascii="宋体" w:hAnsi="宋体"/>
                <w:color w:val="auto"/>
                <w:sz w:val="24"/>
                <w:szCs w:val="24"/>
                <w:u w:val="single"/>
              </w:rPr>
              <w:t>参照原国家发展计划委员会计价格[2011]534号《招标代理服务费管理暂行办法》、原发改办价格[2003]857号规定收费标准。本项目代理服务费为人民币壹万</w:t>
            </w:r>
            <w:r>
              <w:rPr>
                <w:rFonts w:hint="eastAsia" w:ascii="宋体" w:hAnsi="宋体"/>
                <w:color w:val="auto"/>
                <w:sz w:val="24"/>
                <w:szCs w:val="24"/>
                <w:u w:val="single"/>
                <w:lang w:val="en-US" w:eastAsia="zh-CN"/>
              </w:rPr>
              <w:t>陆</w:t>
            </w:r>
            <w:r>
              <w:rPr>
                <w:rFonts w:hint="eastAsia" w:ascii="宋体" w:hAnsi="宋体"/>
                <w:color w:val="auto"/>
                <w:sz w:val="24"/>
                <w:szCs w:val="24"/>
                <w:u w:val="single"/>
              </w:rPr>
              <w:t>仟</w:t>
            </w:r>
            <w:r>
              <w:rPr>
                <w:rFonts w:hint="eastAsia" w:ascii="宋体" w:hAnsi="宋体"/>
                <w:color w:val="auto"/>
                <w:sz w:val="24"/>
                <w:szCs w:val="24"/>
                <w:u w:val="single"/>
                <w:lang w:val="en-US" w:eastAsia="zh-CN"/>
              </w:rPr>
              <w:t>贰</w:t>
            </w:r>
            <w:r>
              <w:rPr>
                <w:rFonts w:hint="eastAsia" w:ascii="宋体" w:hAnsi="宋体"/>
                <w:color w:val="auto"/>
                <w:sz w:val="24"/>
                <w:szCs w:val="24"/>
                <w:u w:val="single"/>
              </w:rPr>
              <w:t>佰元（￥1</w:t>
            </w:r>
            <w:r>
              <w:rPr>
                <w:rFonts w:hint="eastAsia" w:ascii="宋体" w:hAnsi="宋体"/>
                <w:color w:val="auto"/>
                <w:sz w:val="24"/>
                <w:szCs w:val="24"/>
                <w:u w:val="single"/>
                <w:lang w:val="en-US" w:eastAsia="zh-CN"/>
              </w:rPr>
              <w:t>6200</w:t>
            </w:r>
            <w:r>
              <w:rPr>
                <w:rFonts w:ascii="宋体" w:hAnsi="宋体"/>
                <w:color w:val="auto"/>
                <w:sz w:val="24"/>
                <w:szCs w:val="24"/>
                <w:u w:val="single"/>
              </w:rPr>
              <w:t>.00</w:t>
            </w:r>
            <w:r>
              <w:rPr>
                <w:rFonts w:hint="eastAsia" w:ascii="宋体" w:hAnsi="宋体"/>
                <w:color w:val="auto"/>
                <w:sz w:val="24"/>
                <w:szCs w:val="24"/>
                <w:u w:val="single"/>
              </w:rPr>
              <w:t>元）由招标代理机构向供应商</w:t>
            </w:r>
            <w:r>
              <w:rPr>
                <w:rFonts w:hint="eastAsia" w:hAnsi="宋体"/>
                <w:color w:val="auto"/>
                <w:sz w:val="24"/>
                <w:szCs w:val="24"/>
              </w:rPr>
              <w:t>收取。</w:t>
            </w:r>
          </w:p>
          <w:p w14:paraId="1AA8A311">
            <w:pPr>
              <w:pStyle w:val="32"/>
              <w:snapToGrid w:val="0"/>
              <w:spacing w:line="240" w:lineRule="auto"/>
              <w:rPr>
                <w:rFonts w:hint="eastAsia" w:hAnsi="宋体"/>
                <w:color w:val="auto"/>
                <w:sz w:val="24"/>
                <w:szCs w:val="24"/>
              </w:rPr>
            </w:pPr>
            <w:r>
              <w:rPr>
                <w:rFonts w:hint="eastAsia" w:hAnsi="宋体"/>
                <w:color w:val="auto"/>
                <w:sz w:val="24"/>
                <w:szCs w:val="24"/>
              </w:rPr>
              <w:t>4.采购代理费收取银行账户：</w:t>
            </w:r>
          </w:p>
          <w:p w14:paraId="467BEB87">
            <w:pPr>
              <w:spacing w:line="240" w:lineRule="auto"/>
              <w:ind w:left="5880" w:hanging="6720" w:hangingChars="2800"/>
              <w:rPr>
                <w:rFonts w:hint="eastAsia" w:hAnsi="宋体"/>
                <w:color w:val="auto"/>
                <w:sz w:val="24"/>
                <w:szCs w:val="24"/>
              </w:rPr>
            </w:pPr>
            <w:r>
              <w:rPr>
                <w:rFonts w:hint="eastAsia" w:hAnsi="宋体"/>
                <w:color w:val="auto"/>
                <w:sz w:val="24"/>
                <w:szCs w:val="24"/>
              </w:rPr>
              <w:t>开户名称：</w:t>
            </w:r>
            <w:r>
              <w:rPr>
                <w:rFonts w:hint="eastAsia" w:ascii="宋体" w:hAnsi="宋体"/>
                <w:color w:val="auto"/>
                <w:sz w:val="24"/>
                <w:szCs w:val="24"/>
              </w:rPr>
              <w:t>广西元强建设项目管理有限公司</w:t>
            </w:r>
          </w:p>
          <w:p w14:paraId="6A126D4C">
            <w:pPr>
              <w:spacing w:line="240" w:lineRule="auto"/>
              <w:ind w:left="5880" w:hanging="6720" w:hangingChars="2800"/>
              <w:rPr>
                <w:rFonts w:hint="eastAsia" w:hAnsi="宋体"/>
                <w:color w:val="auto"/>
                <w:sz w:val="24"/>
                <w:szCs w:val="24"/>
              </w:rPr>
            </w:pPr>
            <w:r>
              <w:rPr>
                <w:rFonts w:hint="eastAsia" w:hAnsi="宋体"/>
                <w:color w:val="auto"/>
                <w:sz w:val="24"/>
                <w:szCs w:val="24"/>
              </w:rPr>
              <w:t>开户银行：</w:t>
            </w:r>
            <w:r>
              <w:rPr>
                <w:rFonts w:hint="eastAsia" w:ascii="宋体" w:hAnsi="宋体"/>
                <w:color w:val="auto"/>
                <w:sz w:val="24"/>
                <w:szCs w:val="24"/>
              </w:rPr>
              <w:t>中国工商银行股份有限公司百色市新兴支行</w:t>
            </w:r>
          </w:p>
          <w:p w14:paraId="5CFA4797">
            <w:pPr>
              <w:spacing w:line="240" w:lineRule="auto"/>
              <w:rPr>
                <w:rFonts w:hint="eastAsia" w:hAnsi="宋体"/>
                <w:color w:val="auto"/>
                <w:sz w:val="24"/>
                <w:szCs w:val="24"/>
              </w:rPr>
            </w:pPr>
            <w:r>
              <w:rPr>
                <w:rFonts w:hint="eastAsia" w:hAnsi="宋体"/>
                <w:color w:val="auto"/>
                <w:sz w:val="24"/>
                <w:szCs w:val="24"/>
              </w:rPr>
              <w:t>银行账号：</w:t>
            </w:r>
            <w:r>
              <w:rPr>
                <w:rFonts w:hint="eastAsia" w:ascii="宋体" w:hAnsi="宋体"/>
                <w:color w:val="auto"/>
                <w:sz w:val="24"/>
                <w:szCs w:val="24"/>
              </w:rPr>
              <w:t>2110600209201049283</w:t>
            </w:r>
          </w:p>
          <w:p w14:paraId="173BDE8A">
            <w:pPr>
              <w:spacing w:line="240" w:lineRule="auto"/>
              <w:jc w:val="left"/>
              <w:rPr>
                <w:rFonts w:hAnsi="宋体"/>
                <w:color w:val="auto"/>
                <w:sz w:val="24"/>
                <w:szCs w:val="24"/>
              </w:rPr>
            </w:pPr>
          </w:p>
        </w:tc>
      </w:tr>
      <w:tr w14:paraId="5E3B4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3" w:type="dxa"/>
            <w:vAlign w:val="center"/>
          </w:tcPr>
          <w:p w14:paraId="447E8A8B">
            <w:pPr>
              <w:spacing w:line="240" w:lineRule="auto"/>
              <w:jc w:val="center"/>
              <w:rPr>
                <w:rFonts w:hint="eastAsia" w:ascii="宋体" w:hAnsi="宋体"/>
                <w:color w:val="auto"/>
                <w:sz w:val="24"/>
                <w:szCs w:val="24"/>
              </w:rPr>
            </w:pPr>
            <w:r>
              <w:rPr>
                <w:rFonts w:hint="eastAsia" w:ascii="宋体" w:hAnsi="宋体"/>
                <w:color w:val="auto"/>
                <w:sz w:val="24"/>
                <w:szCs w:val="24"/>
              </w:rPr>
              <w:t>34</w:t>
            </w:r>
            <w:r>
              <w:rPr>
                <w:rFonts w:ascii="宋体" w:hAnsi="宋体"/>
                <w:color w:val="auto"/>
                <w:sz w:val="24"/>
                <w:szCs w:val="24"/>
              </w:rPr>
              <w:t>.1</w:t>
            </w:r>
          </w:p>
        </w:tc>
        <w:tc>
          <w:tcPr>
            <w:tcW w:w="2578" w:type="dxa"/>
            <w:vAlign w:val="center"/>
          </w:tcPr>
          <w:p w14:paraId="4271C746">
            <w:pPr>
              <w:spacing w:line="240" w:lineRule="auto"/>
              <w:jc w:val="center"/>
              <w:rPr>
                <w:rFonts w:hint="eastAsia" w:hAnsi="宋体"/>
                <w:color w:val="auto"/>
                <w:sz w:val="24"/>
                <w:szCs w:val="24"/>
              </w:rPr>
            </w:pPr>
            <w:r>
              <w:rPr>
                <w:rFonts w:hint="eastAsia" w:hAnsi="宋体"/>
                <w:color w:val="auto"/>
                <w:sz w:val="24"/>
                <w:szCs w:val="24"/>
              </w:rPr>
              <w:t>解释</w:t>
            </w:r>
          </w:p>
        </w:tc>
        <w:tc>
          <w:tcPr>
            <w:tcW w:w="6853" w:type="dxa"/>
            <w:vAlign w:val="center"/>
          </w:tcPr>
          <w:p w14:paraId="11B37488">
            <w:pPr>
              <w:pStyle w:val="32"/>
              <w:snapToGrid w:val="0"/>
              <w:spacing w:line="240" w:lineRule="auto"/>
              <w:rPr>
                <w:rFonts w:hint="eastAsia" w:hAnsi="宋体"/>
                <w:b/>
                <w:color w:val="auto"/>
                <w:sz w:val="24"/>
                <w:szCs w:val="24"/>
              </w:rPr>
            </w:pPr>
            <w:r>
              <w:rPr>
                <w:rFonts w:hint="eastAsia" w:hAnsi="宋体"/>
                <w:b/>
                <w:color w:val="auto"/>
                <w:sz w:val="24"/>
                <w:szCs w:val="24"/>
              </w:rPr>
              <w:t>解释权：</w:t>
            </w:r>
            <w:r>
              <w:rPr>
                <w:rFonts w:hAnsi="宋体"/>
                <w:color w:val="auto"/>
                <w:sz w:val="24"/>
                <w:szCs w:val="24"/>
              </w:rPr>
              <w:t>构成本</w:t>
            </w:r>
            <w:r>
              <w:rPr>
                <w:rFonts w:hint="eastAsia" w:hAnsi="宋体"/>
                <w:color w:val="auto"/>
                <w:sz w:val="24"/>
                <w:szCs w:val="24"/>
              </w:rPr>
              <w:t>磋商文件</w:t>
            </w:r>
            <w:r>
              <w:rPr>
                <w:rFonts w:hAnsi="宋体"/>
                <w:color w:val="auto"/>
                <w:sz w:val="24"/>
                <w:szCs w:val="24"/>
              </w:rPr>
              <w:t>的各个组成文件应互为解释，互为说明；除</w:t>
            </w:r>
            <w:r>
              <w:rPr>
                <w:rFonts w:hint="eastAsia" w:hAnsi="宋体"/>
                <w:color w:val="auto"/>
                <w:sz w:val="24"/>
                <w:szCs w:val="24"/>
              </w:rPr>
              <w:t>磋商文件</w:t>
            </w:r>
            <w:r>
              <w:rPr>
                <w:rFonts w:hAnsi="宋体"/>
                <w:color w:val="auto"/>
                <w:sz w:val="24"/>
                <w:szCs w:val="24"/>
              </w:rPr>
              <w:t>中有特别规定外，仅适用于</w:t>
            </w:r>
            <w:r>
              <w:rPr>
                <w:rFonts w:hint="eastAsia" w:hAnsi="宋体"/>
                <w:color w:val="auto"/>
                <w:sz w:val="24"/>
                <w:szCs w:val="24"/>
              </w:rPr>
              <w:t>竞标</w:t>
            </w:r>
            <w:r>
              <w:rPr>
                <w:rFonts w:hAnsi="宋体"/>
                <w:color w:val="auto"/>
                <w:sz w:val="24"/>
                <w:szCs w:val="24"/>
              </w:rPr>
              <w:t>阶段的规定，按</w:t>
            </w:r>
            <w:r>
              <w:rPr>
                <w:rFonts w:hint="eastAsia" w:hAnsi="宋体"/>
                <w:color w:val="auto"/>
                <w:sz w:val="24"/>
                <w:szCs w:val="24"/>
              </w:rPr>
              <w:t>更正公告（澄清公告）</w:t>
            </w:r>
            <w:r>
              <w:rPr>
                <w:rFonts w:hAnsi="宋体"/>
                <w:color w:val="auto"/>
                <w:sz w:val="24"/>
                <w:szCs w:val="24"/>
              </w:rPr>
              <w:t>、</w:t>
            </w:r>
            <w:r>
              <w:rPr>
                <w:rFonts w:hint="eastAsia" w:hAnsi="宋体"/>
                <w:color w:val="auto"/>
                <w:sz w:val="24"/>
                <w:szCs w:val="24"/>
              </w:rPr>
              <w:t>竞争性磋商</w:t>
            </w:r>
            <w:r>
              <w:rPr>
                <w:rFonts w:hAnsi="宋体"/>
                <w:color w:val="auto"/>
                <w:sz w:val="24"/>
                <w:szCs w:val="24"/>
              </w:rPr>
              <w:t>公告、</w:t>
            </w:r>
            <w:r>
              <w:rPr>
                <w:rFonts w:hint="eastAsia" w:hAnsi="宋体"/>
                <w:color w:val="auto"/>
                <w:sz w:val="24"/>
                <w:szCs w:val="24"/>
              </w:rPr>
              <w:t>供应商</w:t>
            </w:r>
            <w:r>
              <w:rPr>
                <w:rFonts w:hAnsi="宋体"/>
                <w:color w:val="auto"/>
                <w:sz w:val="24"/>
                <w:szCs w:val="24"/>
              </w:rPr>
              <w:t>须知</w:t>
            </w:r>
            <w:r>
              <w:rPr>
                <w:rFonts w:hint="eastAsia" w:hAnsi="宋体"/>
                <w:color w:val="auto"/>
                <w:sz w:val="24"/>
                <w:szCs w:val="24"/>
              </w:rPr>
              <w:t>、采购需求</w:t>
            </w:r>
            <w:r>
              <w:rPr>
                <w:rFonts w:hAnsi="宋体"/>
                <w:color w:val="auto"/>
                <w:sz w:val="24"/>
                <w:szCs w:val="24"/>
              </w:rPr>
              <w:t>、</w:t>
            </w:r>
            <w:r>
              <w:rPr>
                <w:rFonts w:hint="eastAsia" w:hAnsi="宋体"/>
                <w:color w:val="auto"/>
                <w:sz w:val="24"/>
                <w:szCs w:val="24"/>
              </w:rPr>
              <w:t>评审程序、评审方法和评审标准</w:t>
            </w:r>
            <w:r>
              <w:rPr>
                <w:rFonts w:hAnsi="宋体"/>
                <w:color w:val="auto"/>
                <w:sz w:val="24"/>
                <w:szCs w:val="24"/>
              </w:rPr>
              <w:t>、</w:t>
            </w:r>
            <w:r>
              <w:rPr>
                <w:rFonts w:hint="eastAsia" w:hAnsi="宋体"/>
                <w:color w:val="auto"/>
                <w:sz w:val="24"/>
                <w:szCs w:val="24"/>
              </w:rPr>
              <w:t>响应</w:t>
            </w:r>
            <w:r>
              <w:rPr>
                <w:rFonts w:hAnsi="宋体"/>
                <w:color w:val="auto"/>
                <w:sz w:val="24"/>
                <w:szCs w:val="24"/>
              </w:rPr>
              <w:t>文件格式</w:t>
            </w:r>
            <w:r>
              <w:rPr>
                <w:rFonts w:hint="eastAsia" w:hAnsi="宋体"/>
                <w:color w:val="auto"/>
                <w:sz w:val="24"/>
                <w:szCs w:val="24"/>
              </w:rPr>
              <w:t>、合同文本</w:t>
            </w:r>
            <w:r>
              <w:rPr>
                <w:rFonts w:hAnsi="宋体"/>
                <w:color w:val="auto"/>
                <w:sz w:val="24"/>
                <w:szCs w:val="24"/>
              </w:rPr>
              <w:t>的先后顺序解释；同一组成文件中就同一事项的规定或者约定不一致的，以编排顺序在后者为准；同一组成文件不同版本之间有不一致的，以形成时间在后者为准；</w:t>
            </w:r>
            <w:r>
              <w:rPr>
                <w:rFonts w:hint="eastAsia" w:hAnsi="宋体"/>
                <w:color w:val="auto"/>
                <w:sz w:val="24"/>
                <w:szCs w:val="24"/>
              </w:rPr>
              <w:t>更正公告（澄清公告）</w:t>
            </w:r>
            <w:r>
              <w:rPr>
                <w:rFonts w:hAnsi="宋体"/>
                <w:color w:val="auto"/>
                <w:sz w:val="24"/>
                <w:szCs w:val="24"/>
              </w:rPr>
              <w:t>与同步更新的</w:t>
            </w:r>
            <w:r>
              <w:rPr>
                <w:rFonts w:hint="eastAsia" w:hAnsi="宋体"/>
                <w:color w:val="auto"/>
                <w:sz w:val="24"/>
                <w:szCs w:val="24"/>
              </w:rPr>
              <w:t>磋商文件</w:t>
            </w:r>
            <w:r>
              <w:rPr>
                <w:rFonts w:hAnsi="宋体"/>
                <w:color w:val="auto"/>
                <w:sz w:val="24"/>
                <w:szCs w:val="24"/>
              </w:rPr>
              <w:t>不一致时以</w:t>
            </w:r>
            <w:r>
              <w:rPr>
                <w:rFonts w:hint="eastAsia" w:hAnsi="宋体"/>
                <w:color w:val="auto"/>
                <w:sz w:val="24"/>
                <w:szCs w:val="24"/>
              </w:rPr>
              <w:t>更正公告（澄清公告）</w:t>
            </w:r>
            <w:r>
              <w:rPr>
                <w:rFonts w:hAnsi="宋体"/>
                <w:color w:val="auto"/>
                <w:sz w:val="24"/>
                <w:szCs w:val="24"/>
              </w:rPr>
              <w:t>为准。按本款前述规定仍不能形成结论的，</w:t>
            </w:r>
            <w:r>
              <w:rPr>
                <w:rFonts w:hAnsi="宋体"/>
                <w:bCs/>
                <w:color w:val="auto"/>
                <w:sz w:val="24"/>
                <w:szCs w:val="24"/>
              </w:rPr>
              <w:t>由</w:t>
            </w:r>
            <w:r>
              <w:rPr>
                <w:rFonts w:hint="eastAsia" w:hAnsi="宋体"/>
                <w:bCs/>
                <w:color w:val="auto"/>
                <w:sz w:val="24"/>
                <w:szCs w:val="24"/>
              </w:rPr>
              <w:t>采购</w:t>
            </w:r>
            <w:r>
              <w:rPr>
                <w:rFonts w:hAnsi="宋体"/>
                <w:bCs/>
                <w:color w:val="auto"/>
                <w:sz w:val="24"/>
                <w:szCs w:val="24"/>
              </w:rPr>
              <w:t>人</w:t>
            </w:r>
            <w:r>
              <w:rPr>
                <w:rFonts w:hint="eastAsia" w:hAnsi="宋体"/>
                <w:bCs/>
                <w:color w:val="auto"/>
                <w:sz w:val="24"/>
                <w:szCs w:val="24"/>
              </w:rPr>
              <w:t>或者采购代理机构</w:t>
            </w:r>
            <w:r>
              <w:rPr>
                <w:rFonts w:hAnsi="宋体"/>
                <w:bCs/>
                <w:color w:val="auto"/>
                <w:sz w:val="24"/>
                <w:szCs w:val="24"/>
              </w:rPr>
              <w:t>负责解释。</w:t>
            </w:r>
          </w:p>
          <w:p w14:paraId="51E0460A">
            <w:pPr>
              <w:pStyle w:val="32"/>
              <w:snapToGrid w:val="0"/>
              <w:spacing w:line="240" w:lineRule="auto"/>
              <w:rPr>
                <w:rFonts w:hint="eastAsia" w:hAnsi="宋体"/>
                <w:b/>
                <w:color w:val="auto"/>
                <w:sz w:val="24"/>
                <w:szCs w:val="24"/>
              </w:rPr>
            </w:pPr>
            <w:r>
              <w:rPr>
                <w:rFonts w:hint="eastAsia" w:hAnsi="宋体"/>
                <w:b/>
                <w:color w:val="auto"/>
                <w:sz w:val="24"/>
                <w:szCs w:val="24"/>
              </w:rPr>
              <w:t>法律责任：</w:t>
            </w:r>
            <w:r>
              <w:rPr>
                <w:rFonts w:hint="eastAsia" w:hAnsi="宋体"/>
                <w:color w:val="auto"/>
                <w:sz w:val="24"/>
                <w:szCs w:val="24"/>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569B5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3" w:type="dxa"/>
            <w:vAlign w:val="center"/>
          </w:tcPr>
          <w:p w14:paraId="2B7839ED">
            <w:pPr>
              <w:spacing w:line="240" w:lineRule="auto"/>
              <w:jc w:val="center"/>
              <w:rPr>
                <w:rFonts w:hint="eastAsia" w:ascii="宋体" w:hAnsi="宋体"/>
                <w:color w:val="auto"/>
                <w:sz w:val="24"/>
                <w:szCs w:val="24"/>
              </w:rPr>
            </w:pPr>
            <w:r>
              <w:rPr>
                <w:rFonts w:hint="eastAsia" w:ascii="宋体" w:hAnsi="宋体"/>
                <w:color w:val="auto"/>
                <w:sz w:val="24"/>
                <w:szCs w:val="24"/>
              </w:rPr>
              <w:t>34</w:t>
            </w:r>
            <w:r>
              <w:rPr>
                <w:rFonts w:ascii="宋体" w:hAnsi="宋体"/>
                <w:color w:val="auto"/>
                <w:sz w:val="24"/>
                <w:szCs w:val="24"/>
              </w:rPr>
              <w:t>.2</w:t>
            </w:r>
          </w:p>
        </w:tc>
        <w:tc>
          <w:tcPr>
            <w:tcW w:w="2578" w:type="dxa"/>
            <w:vAlign w:val="center"/>
          </w:tcPr>
          <w:p w14:paraId="726A530B">
            <w:pPr>
              <w:spacing w:line="240" w:lineRule="auto"/>
              <w:jc w:val="center"/>
              <w:rPr>
                <w:rFonts w:hint="eastAsia" w:ascii="宋体" w:hAnsi="宋体"/>
                <w:color w:val="auto"/>
                <w:sz w:val="24"/>
                <w:szCs w:val="24"/>
              </w:rPr>
            </w:pPr>
            <w:r>
              <w:rPr>
                <w:rFonts w:hint="eastAsia" w:ascii="宋体" w:hAnsi="宋体"/>
                <w:color w:val="auto"/>
                <w:sz w:val="24"/>
                <w:szCs w:val="24"/>
              </w:rPr>
              <w:t>其他</w:t>
            </w:r>
          </w:p>
        </w:tc>
        <w:tc>
          <w:tcPr>
            <w:tcW w:w="6853" w:type="dxa"/>
            <w:vAlign w:val="center"/>
          </w:tcPr>
          <w:p w14:paraId="26C1D81F">
            <w:pPr>
              <w:pStyle w:val="32"/>
              <w:snapToGrid w:val="0"/>
              <w:spacing w:line="240" w:lineRule="auto"/>
              <w:rPr>
                <w:rFonts w:hint="eastAsia" w:hAnsi="宋体"/>
                <w:color w:val="auto"/>
                <w:sz w:val="24"/>
                <w:szCs w:val="24"/>
              </w:rPr>
            </w:pPr>
            <w:r>
              <w:rPr>
                <w:rFonts w:hint="eastAsia" w:hAnsi="宋体"/>
                <w:color w:val="auto"/>
                <w:sz w:val="24"/>
                <w:szCs w:val="24"/>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3676C3C2">
            <w:pPr>
              <w:pStyle w:val="32"/>
              <w:snapToGrid w:val="0"/>
              <w:spacing w:line="240" w:lineRule="auto"/>
              <w:rPr>
                <w:rFonts w:hint="eastAsia" w:hAnsi="宋体"/>
                <w:color w:val="auto"/>
                <w:sz w:val="24"/>
                <w:szCs w:val="24"/>
              </w:rPr>
            </w:pPr>
            <w:r>
              <w:rPr>
                <w:rFonts w:hint="eastAsia" w:hAnsi="宋体"/>
                <w:color w:val="auto"/>
                <w:sz w:val="24"/>
                <w:szCs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5F45B84">
            <w:pPr>
              <w:pStyle w:val="32"/>
              <w:snapToGrid w:val="0"/>
              <w:spacing w:line="240" w:lineRule="auto"/>
              <w:rPr>
                <w:rFonts w:hAnsi="宋体"/>
                <w:color w:val="auto"/>
                <w:sz w:val="24"/>
                <w:szCs w:val="24"/>
              </w:rPr>
            </w:pPr>
            <w:r>
              <w:rPr>
                <w:rFonts w:hAnsi="宋体"/>
                <w:color w:val="auto"/>
                <w:sz w:val="24"/>
                <w:szCs w:val="24"/>
              </w:rPr>
              <w:t>3.</w:t>
            </w:r>
            <w:r>
              <w:rPr>
                <w:rFonts w:hint="eastAsia" w:hAnsi="宋体"/>
                <w:color w:val="auto"/>
                <w:sz w:val="24"/>
                <w:szCs w:val="24"/>
              </w:rPr>
              <w:t>本磋商文件中描述供应商的“签字”是指供应商的法定代表人或者委托代理人亲自在文件规定签署处亲笔写上个人的名字的行为，私章、签字章、印鉴、影印等其他形式均不能代替亲笔签字。</w:t>
            </w:r>
          </w:p>
          <w:p w14:paraId="11E0B467">
            <w:pPr>
              <w:pStyle w:val="32"/>
              <w:snapToGrid w:val="0"/>
              <w:spacing w:line="240" w:lineRule="auto"/>
              <w:rPr>
                <w:rFonts w:hAnsi="宋体"/>
                <w:color w:val="auto"/>
                <w:sz w:val="24"/>
                <w:szCs w:val="24"/>
              </w:rPr>
            </w:pPr>
            <w:r>
              <w:rPr>
                <w:rFonts w:hAnsi="宋体"/>
                <w:color w:val="auto"/>
                <w:sz w:val="24"/>
                <w:szCs w:val="24"/>
              </w:rPr>
              <w:t>4.</w:t>
            </w:r>
            <w:r>
              <w:rPr>
                <w:rFonts w:hint="eastAsia" w:hAnsi="宋体"/>
                <w:color w:val="auto"/>
                <w:sz w:val="24"/>
                <w:szCs w:val="24"/>
              </w:rPr>
              <w:t>自然人竞标的，磋商文件规定盖公章处由自然人摁手指指印。</w:t>
            </w:r>
          </w:p>
          <w:p w14:paraId="1D9890DB">
            <w:pPr>
              <w:pStyle w:val="32"/>
              <w:snapToGrid w:val="0"/>
              <w:spacing w:line="240" w:lineRule="auto"/>
              <w:rPr>
                <w:rFonts w:hint="eastAsia" w:hAnsi="宋体"/>
                <w:color w:val="auto"/>
                <w:sz w:val="24"/>
                <w:szCs w:val="24"/>
              </w:rPr>
            </w:pPr>
            <w:r>
              <w:rPr>
                <w:rFonts w:hint="eastAsia" w:hAnsi="宋体"/>
                <w:color w:val="auto"/>
                <w:sz w:val="24"/>
                <w:szCs w:val="24"/>
              </w:rPr>
              <w:t>5</w:t>
            </w:r>
            <w:r>
              <w:rPr>
                <w:rFonts w:hAnsi="宋体"/>
                <w:color w:val="auto"/>
                <w:sz w:val="24"/>
                <w:szCs w:val="24"/>
              </w:rPr>
              <w:t>.</w:t>
            </w:r>
            <w:r>
              <w:rPr>
                <w:rFonts w:hint="eastAsia" w:hAnsi="宋体"/>
                <w:color w:val="auto"/>
                <w:sz w:val="24"/>
                <w:szCs w:val="24"/>
              </w:rPr>
              <w:t>本磋商文件所称的“以上”“以下”“以内”“届满”，包括本数；所称的“不满”“超过”“以外”，不包括本数。</w:t>
            </w:r>
          </w:p>
        </w:tc>
      </w:tr>
    </w:tbl>
    <w:p w14:paraId="548FD6BD">
      <w:pPr>
        <w:pStyle w:val="5"/>
        <w:spacing w:line="240" w:lineRule="auto"/>
        <w:jc w:val="center"/>
        <w:rPr>
          <w:rFonts w:ascii="宋体" w:hAnsi="宋体"/>
          <w:b w:val="0"/>
          <w:color w:val="auto"/>
          <w:sz w:val="24"/>
          <w:szCs w:val="24"/>
        </w:rPr>
      </w:pPr>
      <w:bookmarkStart w:id="23" w:name="_Toc28852"/>
      <w:bookmarkEnd w:id="23"/>
      <w:bookmarkStart w:id="24" w:name="_Toc3824"/>
      <w:bookmarkEnd w:id="24"/>
      <w:r>
        <w:rPr>
          <w:rFonts w:ascii="宋体" w:hAnsi="宋体"/>
          <w:b w:val="0"/>
          <w:color w:val="auto"/>
          <w:sz w:val="24"/>
          <w:szCs w:val="24"/>
        </w:rPr>
        <w:br w:type="page"/>
      </w:r>
      <w:r>
        <w:rPr>
          <w:rFonts w:hint="eastAsia" w:ascii="宋体" w:hAnsi="宋体"/>
          <w:b w:val="0"/>
          <w:color w:val="auto"/>
          <w:sz w:val="24"/>
          <w:szCs w:val="24"/>
        </w:rPr>
        <w:t>第二节 供应商须知正文</w:t>
      </w:r>
    </w:p>
    <w:p w14:paraId="51F6496B">
      <w:pPr>
        <w:pStyle w:val="6"/>
        <w:spacing w:before="0" w:after="0" w:line="240" w:lineRule="auto"/>
        <w:rPr>
          <w:rFonts w:hint="eastAsia" w:ascii="宋体" w:hAnsi="宋体"/>
          <w:b w:val="0"/>
          <w:color w:val="auto"/>
          <w:sz w:val="24"/>
          <w:szCs w:val="24"/>
        </w:rPr>
      </w:pPr>
      <w:bookmarkStart w:id="25" w:name="_Toc32052"/>
      <w:bookmarkEnd w:id="25"/>
      <w:bookmarkStart w:id="26" w:name="_Toc789"/>
      <w:bookmarkEnd w:id="26"/>
      <w:r>
        <w:rPr>
          <w:rFonts w:hint="eastAsia" w:ascii="宋体" w:hAnsi="宋体"/>
          <w:b w:val="0"/>
          <w:color w:val="auto"/>
          <w:sz w:val="24"/>
          <w:szCs w:val="24"/>
        </w:rPr>
        <w:t>一、总则</w:t>
      </w:r>
    </w:p>
    <w:p w14:paraId="6B2EBCE4">
      <w:pPr>
        <w:spacing w:line="240" w:lineRule="auto"/>
        <w:ind w:firstLine="482" w:firstLineChars="200"/>
        <w:rPr>
          <w:rFonts w:hint="eastAsia" w:ascii="黑体" w:hAnsi="黑体" w:eastAsia="黑体"/>
          <w:b/>
          <w:bCs/>
          <w:color w:val="auto"/>
          <w:sz w:val="24"/>
          <w:szCs w:val="24"/>
        </w:rPr>
      </w:pPr>
      <w:r>
        <w:rPr>
          <w:rFonts w:hint="eastAsia" w:ascii="黑体" w:hAnsi="黑体" w:eastAsia="黑体"/>
          <w:b/>
          <w:bCs/>
          <w:color w:val="auto"/>
          <w:sz w:val="24"/>
          <w:szCs w:val="24"/>
        </w:rPr>
        <w:t>1.适用范围</w:t>
      </w:r>
    </w:p>
    <w:p w14:paraId="2AFADD82">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1D5E1DC3">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1.2</w:t>
      </w:r>
      <w:r>
        <w:rPr>
          <w:rFonts w:hint="eastAsia" w:ascii="宋体" w:hAnsi="宋体"/>
          <w:color w:val="auto"/>
          <w:spacing w:val="-6"/>
          <w:sz w:val="24"/>
          <w:szCs w:val="24"/>
        </w:rPr>
        <w:t>本竞争性磋商文件（以下简称磋商文件）适用于本项目的所有采购程序和环节（法律、法规另有规定的，从其规定）。</w:t>
      </w:r>
    </w:p>
    <w:p w14:paraId="5D6EE762">
      <w:pPr>
        <w:spacing w:line="240" w:lineRule="auto"/>
        <w:ind w:firstLine="482" w:firstLineChars="200"/>
        <w:rPr>
          <w:rFonts w:hint="eastAsia" w:ascii="黑体" w:hAnsi="黑体" w:eastAsia="黑体"/>
          <w:b/>
          <w:bCs/>
          <w:color w:val="auto"/>
          <w:sz w:val="24"/>
          <w:szCs w:val="24"/>
        </w:rPr>
      </w:pPr>
      <w:r>
        <w:rPr>
          <w:rFonts w:hint="eastAsia" w:ascii="黑体" w:hAnsi="黑体" w:eastAsia="黑体"/>
          <w:b/>
          <w:bCs/>
          <w:color w:val="auto"/>
          <w:sz w:val="24"/>
          <w:szCs w:val="24"/>
        </w:rPr>
        <w:t>2.定义</w:t>
      </w:r>
    </w:p>
    <w:p w14:paraId="04815530">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2.1“采购人”是指依法进行政府采购的国家机关、事业单位、团体组织。</w:t>
      </w:r>
    </w:p>
    <w:p w14:paraId="33180A20">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2.2“采购代理机构”是指政府采购集中采购机构和集中采购机构以外的采购代理机构。</w:t>
      </w:r>
    </w:p>
    <w:p w14:paraId="6750077A">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2.3“供应商”是指向采购人提供货物、工程或者服务的法人、其他组织或者自然人。</w:t>
      </w:r>
    </w:p>
    <w:p w14:paraId="5F548AD5">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2.4“服务”是指除货物和工程以外的其他政府采购对象。</w:t>
      </w:r>
    </w:p>
    <w:p w14:paraId="043DFA52">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2.</w:t>
      </w:r>
      <w:r>
        <w:rPr>
          <w:rFonts w:ascii="宋体" w:hAnsi="宋体"/>
          <w:color w:val="auto"/>
          <w:sz w:val="24"/>
          <w:szCs w:val="24"/>
        </w:rPr>
        <w:t>5</w:t>
      </w:r>
      <w:r>
        <w:rPr>
          <w:rFonts w:hint="eastAsia" w:ascii="宋体" w:hAnsi="宋体"/>
          <w:color w:val="auto"/>
          <w:sz w:val="24"/>
          <w:szCs w:val="24"/>
        </w:rPr>
        <w:t>“竞标”是指供应商按照本项目竞争性磋商公告或者邀请函规定的方式获取磋商文件、提交响应文件并希望获得标的的行为。</w:t>
      </w:r>
    </w:p>
    <w:p w14:paraId="4FF37EA3">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2.</w:t>
      </w:r>
      <w:r>
        <w:rPr>
          <w:rFonts w:ascii="宋体" w:hAnsi="宋体"/>
          <w:color w:val="auto"/>
          <w:sz w:val="24"/>
          <w:szCs w:val="24"/>
        </w:rPr>
        <w:t>6</w:t>
      </w:r>
      <w:r>
        <w:rPr>
          <w:rFonts w:hint="eastAsia" w:ascii="宋体" w:hAnsi="宋体"/>
          <w:color w:val="auto"/>
          <w:sz w:val="24"/>
          <w:szCs w:val="24"/>
        </w:rPr>
        <w:t>“响应文件”</w:t>
      </w:r>
      <w:r>
        <w:rPr>
          <w:rFonts w:hint="eastAsia" w:ascii="宋体" w:hAnsi="宋体"/>
          <w:color w:val="auto"/>
          <w:spacing w:val="-6"/>
          <w:sz w:val="24"/>
          <w:szCs w:val="24"/>
        </w:rPr>
        <w:t>是指：供应商根据本磋商文件要求，编制包含资格证明、报价商务技术等所有内容的文件。</w:t>
      </w:r>
    </w:p>
    <w:p w14:paraId="6AFECC29">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2.</w:t>
      </w:r>
      <w:r>
        <w:rPr>
          <w:rFonts w:ascii="宋体" w:hAnsi="宋体"/>
          <w:color w:val="auto"/>
          <w:sz w:val="24"/>
          <w:szCs w:val="24"/>
        </w:rPr>
        <w:t>7</w:t>
      </w:r>
      <w:r>
        <w:rPr>
          <w:rFonts w:hint="eastAsia" w:ascii="宋体" w:hAnsi="宋体"/>
          <w:color w:val="auto"/>
          <w:sz w:val="24"/>
          <w:szCs w:val="24"/>
        </w:rPr>
        <w:t>“实质性要求”是指磋商文件中已经指明不满足则响应文件按无效响应处理的条款，或者不能负偏离的条款，或者采购需求中带“▲”的条款。</w:t>
      </w:r>
    </w:p>
    <w:p w14:paraId="170ABB1E">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2.</w:t>
      </w:r>
      <w:r>
        <w:rPr>
          <w:rFonts w:ascii="宋体" w:hAnsi="宋体"/>
          <w:color w:val="auto"/>
          <w:sz w:val="24"/>
          <w:szCs w:val="24"/>
        </w:rPr>
        <w:t>8</w:t>
      </w:r>
      <w:r>
        <w:rPr>
          <w:rFonts w:hint="eastAsia" w:ascii="宋体" w:hAnsi="宋体"/>
          <w:color w:val="auto"/>
          <w:sz w:val="24"/>
          <w:szCs w:val="24"/>
        </w:rPr>
        <w:t>“正偏离”，是指响应文件对磋商文件“采购需求”中有关条款作出的响应优于条款要求并有利于采购人的情形。</w:t>
      </w:r>
    </w:p>
    <w:p w14:paraId="00F90789">
      <w:pPr>
        <w:spacing w:line="240" w:lineRule="auto"/>
        <w:ind w:firstLine="480" w:firstLineChars="200"/>
        <w:rPr>
          <w:rFonts w:ascii="宋体" w:hAnsi="宋体"/>
          <w:color w:val="auto"/>
          <w:sz w:val="24"/>
          <w:szCs w:val="24"/>
        </w:rPr>
      </w:pPr>
      <w:r>
        <w:rPr>
          <w:rFonts w:ascii="宋体" w:hAnsi="宋体"/>
          <w:color w:val="auto"/>
          <w:sz w:val="24"/>
          <w:szCs w:val="24"/>
        </w:rPr>
        <w:t>2.9</w:t>
      </w:r>
      <w:r>
        <w:rPr>
          <w:rFonts w:hint="eastAsia" w:ascii="宋体" w:hAnsi="宋体"/>
          <w:color w:val="auto"/>
          <w:sz w:val="24"/>
          <w:szCs w:val="24"/>
        </w:rPr>
        <w:t>“负偏离”，是指响应文件对磋商文件“采购需求”中有关条款作出的响应不满足条款要求，导致采购人要求不能得到满足的情形。</w:t>
      </w:r>
    </w:p>
    <w:p w14:paraId="74659F06">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2.10“允许负偏离的条款”是指采购需求中的不属于“实质性要求”的条款。</w:t>
      </w:r>
    </w:p>
    <w:p w14:paraId="5CB3902B">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2.</w:t>
      </w:r>
      <w:r>
        <w:rPr>
          <w:rFonts w:ascii="宋体" w:hAnsi="宋体"/>
          <w:color w:val="auto"/>
          <w:sz w:val="24"/>
          <w:szCs w:val="24"/>
        </w:rPr>
        <w:t>11</w:t>
      </w:r>
      <w:r>
        <w:rPr>
          <w:rFonts w:hint="eastAsia" w:ascii="宋体" w:hAnsi="宋体"/>
          <w:color w:val="auto"/>
          <w:sz w:val="24"/>
          <w:szCs w:val="24"/>
        </w:rPr>
        <w:t>“书面形式”是指合同书、信件和数据电文（包括电报、电传、传真、电子数据交换和电子邮件）等可以有形地表现所载内容的形式。</w:t>
      </w:r>
    </w:p>
    <w:p w14:paraId="4ABAF28A">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2.</w:t>
      </w:r>
      <w:r>
        <w:rPr>
          <w:rFonts w:ascii="宋体" w:hAnsi="宋体"/>
          <w:color w:val="auto"/>
          <w:sz w:val="24"/>
          <w:szCs w:val="24"/>
        </w:rPr>
        <w:t>12</w:t>
      </w:r>
      <w:r>
        <w:rPr>
          <w:rFonts w:hint="eastAsia" w:ascii="宋体" w:hAnsi="宋体"/>
          <w:color w:val="auto"/>
          <w:sz w:val="24"/>
          <w:szCs w:val="24"/>
        </w:rPr>
        <w:t>“首次报价”是指供应商提交的首次响应文件中的报价。</w:t>
      </w:r>
    </w:p>
    <w:p w14:paraId="1EB8443C">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2.1</w:t>
      </w:r>
      <w:r>
        <w:rPr>
          <w:rFonts w:ascii="宋体" w:hAnsi="宋体"/>
          <w:color w:val="auto"/>
          <w:sz w:val="24"/>
          <w:szCs w:val="24"/>
        </w:rPr>
        <w:t>3</w:t>
      </w:r>
      <w:r>
        <w:rPr>
          <w:rFonts w:hint="eastAsia" w:ascii="宋体" w:hAnsi="宋体"/>
          <w:color w:val="auto"/>
          <w:sz w:val="24"/>
          <w:szCs w:val="24"/>
        </w:rPr>
        <w:t>“评审报价”是指供应商提交的最后报价并经修正（如有）和政策功能价格扣除（如有）后的价格。</w:t>
      </w:r>
    </w:p>
    <w:p w14:paraId="42A05CE6">
      <w:pPr>
        <w:spacing w:line="240" w:lineRule="auto"/>
        <w:ind w:firstLine="482" w:firstLineChars="200"/>
        <w:rPr>
          <w:rFonts w:hint="eastAsia" w:ascii="黑体" w:hAnsi="黑体" w:eastAsia="黑体"/>
          <w:b/>
          <w:bCs/>
          <w:color w:val="auto"/>
          <w:sz w:val="24"/>
          <w:szCs w:val="24"/>
        </w:rPr>
      </w:pPr>
      <w:r>
        <w:rPr>
          <w:rFonts w:hint="eastAsia" w:ascii="黑体" w:hAnsi="黑体" w:eastAsia="黑体"/>
          <w:b/>
          <w:bCs/>
          <w:color w:val="auto"/>
          <w:sz w:val="24"/>
          <w:szCs w:val="24"/>
        </w:rPr>
        <w:t>3.供应商的资格条件</w:t>
      </w:r>
    </w:p>
    <w:p w14:paraId="133C8874">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供应商的资格条件详见“供应商须知前附表”。</w:t>
      </w:r>
    </w:p>
    <w:p w14:paraId="14D431B9">
      <w:pPr>
        <w:spacing w:line="240" w:lineRule="auto"/>
        <w:ind w:firstLine="482" w:firstLineChars="200"/>
        <w:rPr>
          <w:rFonts w:hint="eastAsia" w:ascii="黑体" w:hAnsi="黑体" w:eastAsia="黑体"/>
          <w:b/>
          <w:bCs/>
          <w:color w:val="auto"/>
          <w:sz w:val="24"/>
          <w:szCs w:val="24"/>
        </w:rPr>
      </w:pPr>
      <w:r>
        <w:rPr>
          <w:rFonts w:hint="eastAsia" w:ascii="黑体" w:hAnsi="黑体" w:eastAsia="黑体"/>
          <w:b/>
          <w:bCs/>
          <w:color w:val="auto"/>
          <w:sz w:val="24"/>
          <w:szCs w:val="24"/>
        </w:rPr>
        <w:t>4.磋商费用</w:t>
      </w:r>
    </w:p>
    <w:p w14:paraId="7A181906">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供应商应承担参与本次采购活动有关的所有费用，包括但不限于、勘查现场、编制和提交响应文件、参加磋商与应答、签订合同等，不论竞标结果如何，均应自行承担。</w:t>
      </w:r>
    </w:p>
    <w:p w14:paraId="0F904666">
      <w:pPr>
        <w:spacing w:line="240" w:lineRule="auto"/>
        <w:ind w:firstLine="482" w:firstLineChars="200"/>
        <w:rPr>
          <w:rFonts w:hint="eastAsia" w:ascii="黑体" w:hAnsi="黑体" w:eastAsia="黑体"/>
          <w:b/>
          <w:bCs/>
          <w:color w:val="auto"/>
          <w:sz w:val="24"/>
          <w:szCs w:val="24"/>
        </w:rPr>
      </w:pPr>
      <w:r>
        <w:rPr>
          <w:rFonts w:hint="eastAsia" w:ascii="黑体" w:hAnsi="黑体" w:eastAsia="黑体"/>
          <w:b/>
          <w:bCs/>
          <w:color w:val="auto"/>
          <w:sz w:val="24"/>
          <w:szCs w:val="24"/>
        </w:rPr>
        <w:t>5.联合体竞标</w:t>
      </w:r>
    </w:p>
    <w:p w14:paraId="070C306F">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5.1本项目是否接受联合体竞标，详见“供应商须知前附表”。</w:t>
      </w:r>
    </w:p>
    <w:p w14:paraId="44D10279">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5.2如接受联合体竞标，联合体竞标要求详见“供应商须知前附表”。</w:t>
      </w:r>
    </w:p>
    <w:p w14:paraId="56CF0B9A">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5.3</w:t>
      </w:r>
      <w:r>
        <w:rPr>
          <w:rFonts w:hint="eastAsia" w:ascii="宋体" w:hAnsi="宋体"/>
          <w:bCs/>
          <w:color w:val="auto"/>
          <w:sz w:val="24"/>
          <w:szCs w:val="24"/>
        </w:rPr>
        <w:t>根据《政府采购促进中小企业发展管理办法》（财库[2020]46号）</w:t>
      </w:r>
      <w:r>
        <w:rPr>
          <w:rFonts w:ascii="宋体" w:hAnsi="宋体"/>
          <w:bCs/>
          <w:color w:val="auto"/>
          <w:sz w:val="24"/>
          <w:szCs w:val="24"/>
        </w:rPr>
        <w:t>第九条</w:t>
      </w:r>
      <w:r>
        <w:rPr>
          <w:rFonts w:hint="eastAsia" w:ascii="宋体" w:hAnsi="宋体"/>
          <w:bCs/>
          <w:color w:val="auto"/>
          <w:sz w:val="24"/>
          <w:szCs w:val="24"/>
        </w:rPr>
        <w:t>规定，</w:t>
      </w:r>
      <w:r>
        <w:rPr>
          <w:rFonts w:ascii="宋体" w:hAnsi="宋体"/>
          <w:bCs/>
          <w:color w:val="auto"/>
          <w:sz w:val="24"/>
          <w:szCs w:val="24"/>
        </w:rPr>
        <w:t>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14:paraId="735EEA2C">
      <w:pPr>
        <w:spacing w:line="240" w:lineRule="auto"/>
        <w:ind w:firstLine="482" w:firstLineChars="200"/>
        <w:rPr>
          <w:rFonts w:hint="eastAsia" w:ascii="黑体" w:hAnsi="黑体" w:eastAsia="黑体"/>
          <w:b/>
          <w:bCs/>
          <w:color w:val="auto"/>
          <w:sz w:val="24"/>
          <w:szCs w:val="24"/>
        </w:rPr>
      </w:pPr>
      <w:r>
        <w:rPr>
          <w:rFonts w:hint="eastAsia" w:ascii="黑体" w:hAnsi="黑体" w:eastAsia="黑体"/>
          <w:b/>
          <w:bCs/>
          <w:color w:val="auto"/>
          <w:sz w:val="24"/>
          <w:szCs w:val="24"/>
        </w:rPr>
        <w:t xml:space="preserve">6.转包与分包             </w:t>
      </w:r>
    </w:p>
    <w:p w14:paraId="7077C815">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6.1本项目是否允许分包详见“供应商须知前附表”，本项目不允许违法分包。</w:t>
      </w:r>
    </w:p>
    <w:p w14:paraId="2E6D45C6">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6.2</w:t>
      </w:r>
      <w:r>
        <w:rPr>
          <w:rFonts w:hint="eastAsia" w:ascii="宋体" w:hAnsi="宋体"/>
          <w:bCs/>
          <w:color w:val="auto"/>
          <w:sz w:val="24"/>
          <w:szCs w:val="24"/>
        </w:rPr>
        <w:t>根据《政府采购促进中小企业发展管理办法》（财库[2020]46号）</w:t>
      </w:r>
      <w:r>
        <w:rPr>
          <w:rFonts w:ascii="宋体" w:hAnsi="宋体"/>
          <w:bCs/>
          <w:color w:val="auto"/>
          <w:sz w:val="24"/>
          <w:szCs w:val="24"/>
        </w:rPr>
        <w:t>第九条</w:t>
      </w:r>
      <w:r>
        <w:rPr>
          <w:rFonts w:hint="eastAsia" w:ascii="宋体" w:hAnsi="宋体"/>
          <w:bCs/>
          <w:color w:val="auto"/>
          <w:sz w:val="24"/>
          <w:szCs w:val="24"/>
        </w:rPr>
        <w:t>规定，</w:t>
      </w:r>
      <w:r>
        <w:rPr>
          <w:rFonts w:ascii="宋体" w:hAnsi="宋体"/>
          <w:bCs/>
          <w:color w:val="auto"/>
          <w:sz w:val="24"/>
          <w:szCs w:val="24"/>
        </w:rPr>
        <w:t>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14:paraId="3A29906C">
      <w:pPr>
        <w:spacing w:line="240" w:lineRule="auto"/>
        <w:ind w:firstLine="482" w:firstLineChars="200"/>
        <w:rPr>
          <w:rFonts w:hint="eastAsia" w:ascii="黑体" w:hAnsi="黑体" w:eastAsia="黑体"/>
          <w:b/>
          <w:bCs/>
          <w:color w:val="auto"/>
          <w:sz w:val="24"/>
          <w:szCs w:val="24"/>
        </w:rPr>
      </w:pPr>
      <w:bookmarkStart w:id="27" w:name="_Toc254970673"/>
      <w:bookmarkEnd w:id="27"/>
      <w:bookmarkStart w:id="28" w:name="_Toc254970532"/>
      <w:bookmarkEnd w:id="28"/>
      <w:r>
        <w:rPr>
          <w:rFonts w:hint="eastAsia" w:ascii="黑体" w:hAnsi="黑体" w:eastAsia="黑体"/>
          <w:b/>
          <w:bCs/>
          <w:color w:val="auto"/>
          <w:sz w:val="24"/>
          <w:szCs w:val="24"/>
        </w:rPr>
        <w:t>7.特别说明</w:t>
      </w:r>
    </w:p>
    <w:p w14:paraId="028C90A9">
      <w:pPr>
        <w:spacing w:line="240" w:lineRule="auto"/>
        <w:ind w:firstLine="480" w:firstLineChars="200"/>
        <w:rPr>
          <w:rFonts w:hint="eastAsia" w:ascii="宋体" w:hAnsi="宋体"/>
          <w:color w:val="auto"/>
          <w:sz w:val="24"/>
          <w:szCs w:val="24"/>
        </w:rPr>
      </w:pPr>
      <w:bookmarkStart w:id="29" w:name="_8.1提供相同品牌产品且通过资格审查、符合性审查的不同投标人参加同一合"/>
      <w:bookmarkEnd w:id="29"/>
      <w:r>
        <w:rPr>
          <w:rFonts w:hint="eastAsia" w:ascii="宋体" w:hAnsi="宋体"/>
          <w:color w:val="auto"/>
          <w:sz w:val="24"/>
          <w:szCs w:val="24"/>
        </w:rPr>
        <w:t>7.</w:t>
      </w:r>
      <w:r>
        <w:rPr>
          <w:rFonts w:ascii="宋体" w:hAnsi="宋体"/>
          <w:color w:val="auto"/>
          <w:sz w:val="24"/>
          <w:szCs w:val="24"/>
        </w:rPr>
        <w:t>1</w:t>
      </w:r>
      <w:r>
        <w:rPr>
          <w:rFonts w:hint="eastAsia" w:ascii="宋体" w:hAnsi="宋体"/>
          <w:color w:val="auto"/>
          <w:sz w:val="24"/>
          <w:szCs w:val="24"/>
        </w:rPr>
        <w:t>如果本磋商文件要求提供供应商或制造商的资格、信誉、荣誉、业绩与企业认证等材料的，资格、信誉、荣誉、业绩与企业认证等必须为供应商或者制造商所拥有或自身获得 。</w:t>
      </w:r>
    </w:p>
    <w:p w14:paraId="2F1C8E8C">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7.</w:t>
      </w:r>
      <w:r>
        <w:rPr>
          <w:rFonts w:ascii="宋体" w:hAnsi="宋体"/>
          <w:color w:val="auto"/>
          <w:sz w:val="24"/>
          <w:szCs w:val="24"/>
        </w:rPr>
        <w:t>2</w:t>
      </w:r>
      <w:r>
        <w:rPr>
          <w:rFonts w:hint="eastAsia" w:ascii="宋体" w:hAnsi="宋体"/>
          <w:color w:val="auto"/>
          <w:sz w:val="24"/>
          <w:szCs w:val="24"/>
        </w:rPr>
        <w:t>供应商应仔细阅读磋商文件的所有内容，按照磋商文件的要求提交响应文件，并对所提供的全部资料的真实性承担法律责任。</w:t>
      </w:r>
    </w:p>
    <w:p w14:paraId="69735756">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7.</w:t>
      </w:r>
      <w:r>
        <w:rPr>
          <w:rFonts w:ascii="宋体" w:hAnsi="宋体"/>
          <w:color w:val="auto"/>
          <w:sz w:val="24"/>
          <w:szCs w:val="24"/>
        </w:rPr>
        <w:t>3</w:t>
      </w:r>
      <w:r>
        <w:rPr>
          <w:rFonts w:hint="eastAsia" w:ascii="宋体" w:hAnsi="宋体"/>
          <w:color w:val="auto"/>
          <w:sz w:val="24"/>
          <w:szCs w:val="24"/>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7B045738">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7.</w:t>
      </w:r>
      <w:r>
        <w:rPr>
          <w:rFonts w:ascii="宋体" w:hAnsi="宋体"/>
          <w:color w:val="auto"/>
          <w:sz w:val="24"/>
          <w:szCs w:val="24"/>
        </w:rPr>
        <w:t>4</w:t>
      </w:r>
      <w:r>
        <w:rPr>
          <w:rFonts w:hint="eastAsia" w:ascii="宋体" w:hAnsi="宋体"/>
          <w:color w:val="auto"/>
          <w:sz w:val="24"/>
          <w:szCs w:val="24"/>
        </w:rPr>
        <w:t>在政府采购活动中，采购人员及相关人员与供应商有下列利害关系之一的，应当回避：</w:t>
      </w:r>
    </w:p>
    <w:p w14:paraId="392D4318">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（1）参加采购活动前3年内与供应商存在劳动关系；</w:t>
      </w:r>
    </w:p>
    <w:p w14:paraId="3EFE0D1B">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（2）参加采购活动前3年内担任供应商的董事、监事；</w:t>
      </w:r>
    </w:p>
    <w:p w14:paraId="381B9003">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（3）参加采购活动前3年内是供应商的控股股东或者实际控制人；</w:t>
      </w:r>
    </w:p>
    <w:p w14:paraId="438DCCB4">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（4）与供应商的法定代表人或者负责人有夫妻、直系血亲、三代以内旁系血亲或者近姻亲关系；</w:t>
      </w:r>
    </w:p>
    <w:p w14:paraId="4686557C">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（5）与供应商有其他可能影响政府采购活动公平、公正进行的关系。</w:t>
      </w:r>
    </w:p>
    <w:p w14:paraId="0B669867">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85D2BA1">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7.</w:t>
      </w:r>
      <w:r>
        <w:rPr>
          <w:rFonts w:ascii="宋体" w:hAnsi="宋体"/>
          <w:color w:val="auto"/>
          <w:sz w:val="24"/>
          <w:szCs w:val="24"/>
        </w:rPr>
        <w:t>5</w:t>
      </w:r>
      <w:r>
        <w:rPr>
          <w:rFonts w:hint="eastAsia" w:ascii="宋体" w:hAnsi="宋体"/>
          <w:color w:val="auto"/>
          <w:sz w:val="24"/>
          <w:szCs w:val="24"/>
        </w:rPr>
        <w:t>有下列情形之一的视为供应商相互串通竞标，响应文件将被视为无效：</w:t>
      </w:r>
    </w:p>
    <w:p w14:paraId="6B945890">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 xml:space="preserve">（1）不同供应商的响应文件由同一单位或者个人编制； </w:t>
      </w:r>
    </w:p>
    <w:p w14:paraId="6B170827">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（2）不同供应商委托同一单位或者个人办理竞标事宜；</w:t>
      </w:r>
    </w:p>
    <w:p w14:paraId="3448FDA8">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（3）不同的供应商的响应文件载明的项目管理员为同一个人；</w:t>
      </w:r>
    </w:p>
    <w:p w14:paraId="08818D58">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（4）不同供应商的响应文件异常一致或者报价呈规律性差异；</w:t>
      </w:r>
    </w:p>
    <w:p w14:paraId="1E965186">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（5）不同供应商的响应文件相互混装；</w:t>
      </w:r>
    </w:p>
    <w:p w14:paraId="0FA943E4">
      <w:pPr>
        <w:tabs>
          <w:tab w:val="left" w:pos="6931"/>
        </w:tabs>
        <w:spacing w:line="240" w:lineRule="auto"/>
        <w:ind w:firstLine="480" w:firstLineChars="200"/>
        <w:rPr>
          <w:rFonts w:hint="eastAsia" w:ascii="宋体" w:hAnsi="宋体"/>
          <w:color w:val="auto"/>
          <w:sz w:val="24"/>
          <w:szCs w:val="24"/>
        </w:rPr>
      </w:pPr>
      <w:r>
        <w:rPr>
          <w:rFonts w:hint="eastAsia" w:ascii="宋体" w:hAnsi="宋体"/>
          <w:color w:val="auto"/>
          <w:sz w:val="24"/>
          <w:szCs w:val="24"/>
        </w:rPr>
        <w:t>（6）不同供应商的磋商保证金从同一单位或者个人账户转出。</w:t>
      </w:r>
      <w:r>
        <w:rPr>
          <w:rFonts w:ascii="宋体" w:hAnsi="宋体"/>
          <w:color w:val="auto"/>
          <w:sz w:val="24"/>
          <w:szCs w:val="24"/>
        </w:rPr>
        <w:tab/>
      </w:r>
    </w:p>
    <w:p w14:paraId="0E3A942A">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7.</w:t>
      </w:r>
      <w:r>
        <w:rPr>
          <w:rFonts w:ascii="宋体" w:hAnsi="宋体"/>
          <w:color w:val="auto"/>
          <w:sz w:val="24"/>
          <w:szCs w:val="24"/>
        </w:rPr>
        <w:t>6</w:t>
      </w:r>
      <w:r>
        <w:rPr>
          <w:rFonts w:hint="eastAsia" w:ascii="宋体" w:hAnsi="宋体"/>
          <w:color w:val="auto"/>
          <w:sz w:val="24"/>
          <w:szCs w:val="24"/>
        </w:rPr>
        <w:t>供应商有下列情形之一的，属于恶意串通行为，将报同级监督管理部门：</w:t>
      </w:r>
    </w:p>
    <w:p w14:paraId="5278A97E">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（1）供应商直接或者间接从采购人或者采购代理机构处获得其他供应商的相关信息并修改其响应文件；</w:t>
      </w:r>
    </w:p>
    <w:p w14:paraId="3B7263AC">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（2）供应商按照采购人或者采购代理机构的授意撤换、修改响应文件；</w:t>
      </w:r>
    </w:p>
    <w:p w14:paraId="157B5137">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（3）供应商之间协商报价、技术方案等响应文件或者响应文件的实质性内容；</w:t>
      </w:r>
    </w:p>
    <w:p w14:paraId="79F04FB1">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（4）属于同一集团、协会、商会等组织成员的供应商按照该组织要求协同参加政府采购活动；</w:t>
      </w:r>
    </w:p>
    <w:p w14:paraId="0F995581">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（5）供应商之间事先约定一致抬高或者压低报价，或者在政府采购活动中事先约定轮流以高价位或者低价位成交，或者事先约定由某一特定供应商成交，然后再参加竞标；</w:t>
      </w:r>
    </w:p>
    <w:p w14:paraId="22918273">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（6）供应商之间商定部分供应商放弃参加政府采购活动或者放弃成交；</w:t>
      </w:r>
    </w:p>
    <w:p w14:paraId="58CA2C3A">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（7）供应商与采购人或者采购代理机构之间、供应商相互之间，为谋求特定供应商成交或者排斥其他供应商的其他串通行为。</w:t>
      </w:r>
    </w:p>
    <w:p w14:paraId="07C593C6">
      <w:pPr>
        <w:pStyle w:val="6"/>
        <w:spacing w:before="0" w:after="0" w:line="240" w:lineRule="auto"/>
        <w:rPr>
          <w:rFonts w:hint="eastAsia" w:ascii="宋体" w:hAnsi="宋体"/>
          <w:b w:val="0"/>
          <w:bCs w:val="0"/>
          <w:color w:val="auto"/>
          <w:sz w:val="24"/>
          <w:szCs w:val="24"/>
        </w:rPr>
      </w:pPr>
      <w:bookmarkStart w:id="30" w:name="_Toc254970675"/>
      <w:bookmarkEnd w:id="30"/>
      <w:bookmarkStart w:id="31" w:name="_Toc13919"/>
      <w:bookmarkEnd w:id="31"/>
      <w:bookmarkStart w:id="32" w:name="_Toc30007"/>
      <w:bookmarkEnd w:id="32"/>
      <w:bookmarkStart w:id="33" w:name="_Toc254970534"/>
      <w:bookmarkEnd w:id="33"/>
      <w:r>
        <w:rPr>
          <w:rFonts w:hint="eastAsia" w:ascii="宋体" w:hAnsi="宋体"/>
          <w:b w:val="0"/>
          <w:bCs w:val="0"/>
          <w:color w:val="auto"/>
          <w:sz w:val="24"/>
          <w:szCs w:val="24"/>
        </w:rPr>
        <w:t>二、磋商文件</w:t>
      </w:r>
    </w:p>
    <w:p w14:paraId="5DF378E2">
      <w:pPr>
        <w:spacing w:line="240" w:lineRule="auto"/>
        <w:ind w:firstLine="482" w:firstLineChars="200"/>
        <w:rPr>
          <w:rFonts w:hint="eastAsia" w:ascii="黑体" w:hAnsi="黑体" w:eastAsia="黑体"/>
          <w:b/>
          <w:bCs/>
          <w:color w:val="auto"/>
          <w:sz w:val="24"/>
          <w:szCs w:val="24"/>
        </w:rPr>
      </w:pPr>
      <w:r>
        <w:rPr>
          <w:rFonts w:hint="eastAsia" w:ascii="黑体" w:hAnsi="黑体" w:eastAsia="黑体"/>
          <w:b/>
          <w:bCs/>
          <w:color w:val="auto"/>
          <w:sz w:val="24"/>
          <w:szCs w:val="24"/>
        </w:rPr>
        <w:t>8.磋商文件的构成</w:t>
      </w:r>
    </w:p>
    <w:p w14:paraId="51F59E75">
      <w:pPr>
        <w:spacing w:line="240" w:lineRule="auto"/>
        <w:ind w:firstLine="480" w:firstLineChars="200"/>
        <w:jc w:val="left"/>
        <w:rPr>
          <w:rFonts w:hint="eastAsia" w:ascii="宋体" w:hAnsi="宋体"/>
          <w:color w:val="auto"/>
          <w:sz w:val="24"/>
          <w:szCs w:val="24"/>
        </w:rPr>
      </w:pPr>
      <w:r>
        <w:rPr>
          <w:rFonts w:hint="eastAsia" w:ascii="宋体" w:hAnsi="宋体"/>
          <w:color w:val="auto"/>
          <w:sz w:val="24"/>
          <w:szCs w:val="24"/>
        </w:rPr>
        <w:t>第一章 竞争性磋商公告；</w:t>
      </w:r>
    </w:p>
    <w:p w14:paraId="503CAAC0">
      <w:pPr>
        <w:spacing w:line="240" w:lineRule="auto"/>
        <w:ind w:firstLine="480" w:firstLineChars="200"/>
        <w:jc w:val="left"/>
        <w:rPr>
          <w:rFonts w:hint="eastAsia" w:ascii="宋体" w:hAnsi="宋体"/>
          <w:color w:val="auto"/>
          <w:sz w:val="24"/>
          <w:szCs w:val="24"/>
        </w:rPr>
      </w:pPr>
      <w:r>
        <w:rPr>
          <w:rFonts w:hint="eastAsia" w:ascii="宋体" w:hAnsi="宋体"/>
          <w:color w:val="auto"/>
          <w:sz w:val="24"/>
          <w:szCs w:val="24"/>
        </w:rPr>
        <w:t>第二章 供应商须知；</w:t>
      </w:r>
    </w:p>
    <w:p w14:paraId="5BFE36F3">
      <w:pPr>
        <w:spacing w:line="240" w:lineRule="auto"/>
        <w:ind w:firstLine="480" w:firstLineChars="200"/>
        <w:jc w:val="left"/>
        <w:rPr>
          <w:rFonts w:hint="eastAsia" w:ascii="宋体" w:hAnsi="宋体"/>
          <w:color w:val="auto"/>
          <w:sz w:val="24"/>
          <w:szCs w:val="24"/>
        </w:rPr>
      </w:pPr>
      <w:r>
        <w:rPr>
          <w:rFonts w:hint="eastAsia" w:ascii="宋体" w:hAnsi="宋体"/>
          <w:color w:val="auto"/>
          <w:sz w:val="24"/>
          <w:szCs w:val="24"/>
        </w:rPr>
        <w:t>第三章 评审程序、评审方法和评审标准；</w:t>
      </w:r>
    </w:p>
    <w:p w14:paraId="4EB73518">
      <w:pPr>
        <w:spacing w:line="240" w:lineRule="auto"/>
        <w:ind w:firstLine="480" w:firstLineChars="200"/>
        <w:jc w:val="left"/>
        <w:rPr>
          <w:rFonts w:hint="eastAsia" w:ascii="宋体" w:hAnsi="宋体"/>
          <w:color w:val="auto"/>
          <w:sz w:val="24"/>
          <w:szCs w:val="24"/>
        </w:rPr>
      </w:pPr>
      <w:r>
        <w:rPr>
          <w:rFonts w:hint="eastAsia" w:ascii="宋体" w:hAnsi="宋体"/>
          <w:color w:val="auto"/>
          <w:sz w:val="24"/>
          <w:szCs w:val="24"/>
        </w:rPr>
        <w:t>第四章 合同文本；</w:t>
      </w:r>
    </w:p>
    <w:p w14:paraId="063E32EE">
      <w:pPr>
        <w:spacing w:line="240" w:lineRule="auto"/>
        <w:ind w:firstLine="480" w:firstLineChars="200"/>
        <w:jc w:val="left"/>
        <w:rPr>
          <w:rFonts w:hint="eastAsia" w:ascii="宋体" w:hAnsi="宋体"/>
          <w:color w:val="auto"/>
          <w:sz w:val="24"/>
          <w:szCs w:val="24"/>
        </w:rPr>
      </w:pPr>
      <w:r>
        <w:rPr>
          <w:rFonts w:hint="eastAsia" w:ascii="宋体" w:hAnsi="宋体"/>
          <w:color w:val="auto"/>
          <w:sz w:val="24"/>
          <w:szCs w:val="24"/>
        </w:rPr>
        <w:t>第五章 图纸；</w:t>
      </w:r>
    </w:p>
    <w:p w14:paraId="54EF8578">
      <w:pPr>
        <w:spacing w:line="240" w:lineRule="auto"/>
        <w:ind w:firstLine="480" w:firstLineChars="200"/>
        <w:jc w:val="left"/>
        <w:rPr>
          <w:rFonts w:hint="eastAsia" w:ascii="宋体" w:hAnsi="宋体"/>
          <w:color w:val="auto"/>
          <w:sz w:val="24"/>
          <w:szCs w:val="24"/>
        </w:rPr>
      </w:pPr>
      <w:r>
        <w:rPr>
          <w:rFonts w:hint="eastAsia" w:ascii="宋体" w:hAnsi="宋体"/>
          <w:color w:val="auto"/>
          <w:sz w:val="24"/>
          <w:szCs w:val="24"/>
        </w:rPr>
        <w:t>第六章 技术规范；</w:t>
      </w:r>
    </w:p>
    <w:p w14:paraId="789F5CE2">
      <w:pPr>
        <w:spacing w:line="240" w:lineRule="auto"/>
        <w:ind w:firstLine="480" w:firstLineChars="200"/>
        <w:jc w:val="left"/>
        <w:rPr>
          <w:rFonts w:hint="eastAsia" w:ascii="宋体" w:hAnsi="宋体"/>
          <w:color w:val="auto"/>
          <w:sz w:val="24"/>
          <w:szCs w:val="24"/>
        </w:rPr>
      </w:pPr>
      <w:r>
        <w:rPr>
          <w:rFonts w:hint="eastAsia" w:ascii="宋体" w:hAnsi="宋体"/>
          <w:color w:val="auto"/>
          <w:sz w:val="24"/>
          <w:szCs w:val="24"/>
        </w:rPr>
        <w:t>第七章 工程量清单报价说明；</w:t>
      </w:r>
    </w:p>
    <w:p w14:paraId="1714464D">
      <w:pPr>
        <w:spacing w:line="240" w:lineRule="auto"/>
        <w:ind w:firstLine="480" w:firstLineChars="200"/>
        <w:jc w:val="left"/>
        <w:rPr>
          <w:rFonts w:hint="eastAsia" w:ascii="宋体" w:hAnsi="宋体"/>
          <w:color w:val="auto"/>
          <w:sz w:val="24"/>
          <w:szCs w:val="24"/>
        </w:rPr>
      </w:pPr>
      <w:r>
        <w:rPr>
          <w:rFonts w:hint="eastAsia" w:ascii="宋体" w:hAnsi="宋体"/>
          <w:color w:val="auto"/>
          <w:sz w:val="24"/>
          <w:szCs w:val="24"/>
        </w:rPr>
        <w:t>第八章 响应文件格式；</w:t>
      </w:r>
    </w:p>
    <w:p w14:paraId="437306D5">
      <w:pPr>
        <w:spacing w:line="240" w:lineRule="auto"/>
        <w:ind w:firstLine="482" w:firstLineChars="200"/>
        <w:rPr>
          <w:rFonts w:hint="eastAsia" w:ascii="黑体" w:hAnsi="黑体" w:eastAsia="黑体"/>
          <w:b/>
          <w:bCs/>
          <w:color w:val="auto"/>
          <w:sz w:val="24"/>
          <w:szCs w:val="24"/>
        </w:rPr>
      </w:pPr>
      <w:r>
        <w:rPr>
          <w:rFonts w:hint="eastAsia" w:ascii="黑体" w:hAnsi="黑体" w:eastAsia="黑体"/>
          <w:b/>
          <w:bCs/>
          <w:color w:val="auto"/>
          <w:sz w:val="24"/>
          <w:szCs w:val="24"/>
        </w:rPr>
        <w:t>9.供应商的询问</w:t>
      </w:r>
    </w:p>
    <w:p w14:paraId="2B10B5C0">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供应商应认真阅读磋商文件的采购需求，如供应商对磋商文件有疑问的，如要求采购人作出澄清或者修改的，供应商尽应在</w:t>
      </w:r>
      <w:r>
        <w:rPr>
          <w:rFonts w:ascii="宋体" w:hAnsi="宋体"/>
          <w:color w:val="auto"/>
          <w:sz w:val="24"/>
          <w:szCs w:val="24"/>
        </w:rPr>
        <w:t>提交首次响应文件截止之日前</w:t>
      </w:r>
      <w:r>
        <w:rPr>
          <w:rFonts w:hint="eastAsia" w:ascii="宋体" w:hAnsi="宋体"/>
          <w:color w:val="auto"/>
          <w:sz w:val="24"/>
          <w:szCs w:val="24"/>
        </w:rPr>
        <w:t>，以书面形式向</w:t>
      </w:r>
      <w:r>
        <w:rPr>
          <w:rFonts w:ascii="宋体" w:hAnsi="宋体"/>
          <w:color w:val="auto"/>
          <w:sz w:val="24"/>
          <w:szCs w:val="24"/>
        </w:rPr>
        <w:t>采购人、采购代理机构</w:t>
      </w:r>
      <w:r>
        <w:rPr>
          <w:rFonts w:hint="eastAsia" w:ascii="宋体" w:hAnsi="宋体"/>
          <w:color w:val="auto"/>
          <w:sz w:val="24"/>
          <w:szCs w:val="24"/>
        </w:rPr>
        <w:t>提出。</w:t>
      </w:r>
    </w:p>
    <w:p w14:paraId="393C880E">
      <w:pPr>
        <w:spacing w:line="240" w:lineRule="auto"/>
        <w:ind w:firstLine="482" w:firstLineChars="200"/>
        <w:rPr>
          <w:rFonts w:hint="eastAsia" w:ascii="黑体" w:hAnsi="黑体" w:eastAsia="黑体"/>
          <w:b/>
          <w:bCs/>
          <w:color w:val="auto"/>
          <w:sz w:val="24"/>
          <w:szCs w:val="24"/>
        </w:rPr>
      </w:pPr>
      <w:r>
        <w:rPr>
          <w:rFonts w:hint="eastAsia" w:ascii="黑体" w:hAnsi="黑体" w:eastAsia="黑体"/>
          <w:b/>
          <w:bCs/>
          <w:color w:val="auto"/>
          <w:sz w:val="24"/>
          <w:szCs w:val="24"/>
        </w:rPr>
        <w:t>10.磋商文件的澄清和修改</w:t>
      </w:r>
    </w:p>
    <w:p w14:paraId="6E273E2F">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10.1已获取磋商文件的潜在供应商，若有问题需要澄清，应于应标截止时间前，以书面形式向采购代理机构提出，采购代理机构与采购人研究后，对认为有必要回答的问题，按照本章10.3的内容处理。</w:t>
      </w:r>
    </w:p>
    <w:p w14:paraId="65DB42A7">
      <w:pPr>
        <w:spacing w:line="240" w:lineRule="auto"/>
        <w:ind w:firstLine="482" w:firstLineChars="200"/>
        <w:rPr>
          <w:rFonts w:hint="eastAsia" w:ascii="宋体" w:hAnsi="宋体"/>
          <w:b/>
          <w:color w:val="auto"/>
          <w:sz w:val="24"/>
          <w:szCs w:val="24"/>
        </w:rPr>
      </w:pPr>
      <w:r>
        <w:rPr>
          <w:rFonts w:hint="eastAsia" w:ascii="宋体" w:hAnsi="宋体"/>
          <w:b/>
          <w:color w:val="auto"/>
          <w:sz w:val="24"/>
          <w:szCs w:val="24"/>
        </w:rPr>
        <w:t>10.2</w:t>
      </w:r>
      <w:r>
        <w:rPr>
          <w:rFonts w:hint="eastAsia" w:ascii="宋体" w:hAnsi="宋体"/>
          <w:b w:val="0"/>
          <w:bCs/>
          <w:color w:val="auto"/>
          <w:sz w:val="24"/>
          <w:szCs w:val="24"/>
        </w:rPr>
        <w:t>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25B95912">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1</w:t>
      </w:r>
      <w:r>
        <w:rPr>
          <w:rFonts w:ascii="宋体" w:hAnsi="宋体"/>
          <w:color w:val="auto"/>
          <w:sz w:val="24"/>
          <w:szCs w:val="24"/>
        </w:rPr>
        <w:t>0.</w:t>
      </w:r>
      <w:r>
        <w:rPr>
          <w:rFonts w:hint="eastAsia" w:ascii="宋体" w:hAnsi="宋体"/>
          <w:color w:val="auto"/>
          <w:sz w:val="24"/>
          <w:szCs w:val="24"/>
        </w:rPr>
        <w:t>3</w:t>
      </w:r>
      <w:r>
        <w:rPr>
          <w:rFonts w:ascii="宋体" w:hAnsi="宋体"/>
          <w:color w:val="auto"/>
          <w:sz w:val="24"/>
          <w:szCs w:val="24"/>
        </w:rPr>
        <w:t>提交首次响应文件截止之日前，采购人、采购代理机构或者</w:t>
      </w:r>
      <w:r>
        <w:rPr>
          <w:rFonts w:hint="eastAsia" w:ascii="宋体" w:hAnsi="宋体"/>
          <w:color w:val="auto"/>
          <w:sz w:val="24"/>
          <w:szCs w:val="24"/>
        </w:rPr>
        <w:t>磋商</w:t>
      </w:r>
      <w:r>
        <w:rPr>
          <w:rFonts w:ascii="宋体" w:hAnsi="宋体"/>
          <w:color w:val="auto"/>
          <w:sz w:val="24"/>
          <w:szCs w:val="24"/>
        </w:rPr>
        <w:t>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Pr>
          <w:rFonts w:hint="eastAsia" w:ascii="宋体" w:hAnsi="宋体"/>
          <w:color w:val="auto"/>
          <w:sz w:val="24"/>
          <w:szCs w:val="24"/>
        </w:rPr>
        <w:t>3</w:t>
      </w:r>
      <w:r>
        <w:rPr>
          <w:rFonts w:ascii="宋体" w:hAnsi="宋体"/>
          <w:color w:val="auto"/>
          <w:sz w:val="24"/>
          <w:szCs w:val="24"/>
        </w:rPr>
        <w:t>个工作日前，以</w:t>
      </w:r>
      <w:r>
        <w:rPr>
          <w:rFonts w:hint="eastAsia" w:ascii="宋体" w:hAnsi="宋体"/>
          <w:color w:val="auto"/>
          <w:sz w:val="24"/>
          <w:szCs w:val="24"/>
        </w:rPr>
        <w:t>书面</w:t>
      </w:r>
      <w:r>
        <w:rPr>
          <w:rFonts w:ascii="宋体" w:hAnsi="宋体"/>
          <w:color w:val="auto"/>
          <w:sz w:val="24"/>
          <w:szCs w:val="24"/>
        </w:rPr>
        <w:t>形式</w:t>
      </w:r>
      <w:r>
        <w:rPr>
          <w:rFonts w:hint="eastAsia" w:ascii="宋体" w:hAnsi="宋体"/>
          <w:color w:val="auto"/>
          <w:sz w:val="24"/>
          <w:szCs w:val="24"/>
        </w:rPr>
        <w:t>（目前为网上公告和系统短信等形式）</w:t>
      </w:r>
      <w:r>
        <w:rPr>
          <w:rFonts w:ascii="宋体" w:hAnsi="宋体"/>
          <w:color w:val="auto"/>
          <w:sz w:val="24"/>
          <w:szCs w:val="24"/>
        </w:rPr>
        <w:t>通知所有</w:t>
      </w:r>
      <w:r>
        <w:rPr>
          <w:rFonts w:hint="eastAsia" w:ascii="宋体" w:hAnsi="宋体"/>
          <w:color w:val="auto"/>
          <w:sz w:val="24"/>
          <w:szCs w:val="24"/>
        </w:rPr>
        <w:t>获取</w:t>
      </w:r>
      <w:r>
        <w:rPr>
          <w:rFonts w:ascii="宋体" w:hAnsi="宋体"/>
          <w:color w:val="auto"/>
          <w:sz w:val="24"/>
          <w:szCs w:val="24"/>
        </w:rPr>
        <w:t>磋商文件的供应商，不足</w:t>
      </w:r>
      <w:r>
        <w:rPr>
          <w:rFonts w:hint="eastAsia" w:ascii="宋体" w:hAnsi="宋体"/>
          <w:color w:val="auto"/>
          <w:sz w:val="24"/>
          <w:szCs w:val="24"/>
        </w:rPr>
        <w:t>3</w:t>
      </w:r>
      <w:r>
        <w:rPr>
          <w:rFonts w:ascii="宋体" w:hAnsi="宋体"/>
          <w:color w:val="auto"/>
          <w:sz w:val="24"/>
          <w:szCs w:val="24"/>
        </w:rPr>
        <w:t>个工作日的，应当顺延提交首次响应文件截止之日。</w:t>
      </w:r>
    </w:p>
    <w:p w14:paraId="2A3D8FAD">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1</w:t>
      </w:r>
      <w:r>
        <w:rPr>
          <w:rFonts w:ascii="宋体" w:hAnsi="宋体"/>
          <w:color w:val="auto"/>
          <w:sz w:val="24"/>
          <w:szCs w:val="24"/>
        </w:rPr>
        <w:t>0.</w:t>
      </w:r>
      <w:r>
        <w:rPr>
          <w:rFonts w:hint="eastAsia" w:ascii="宋体" w:hAnsi="宋体"/>
          <w:color w:val="auto"/>
          <w:sz w:val="24"/>
          <w:szCs w:val="24"/>
        </w:rPr>
        <w:t>4</w:t>
      </w:r>
      <w:r>
        <w:rPr>
          <w:rFonts w:ascii="Arial" w:hAnsi="Arial"/>
          <w:color w:val="auto"/>
          <w:sz w:val="24"/>
          <w:szCs w:val="24"/>
          <w:shd w:val="clear" w:color="auto" w:fill="FFFFFF"/>
        </w:rPr>
        <w:t>采购信息更正公告的内容应当包括采购人和采购代理机构名称、地址、联系方式，原公告的采购项目名称及首次公告日期，更正事项、内容及日期，采购项目联系人和电话。</w:t>
      </w:r>
    </w:p>
    <w:p w14:paraId="02C6067F">
      <w:pPr>
        <w:spacing w:line="240" w:lineRule="auto"/>
        <w:ind w:firstLine="480" w:firstLineChars="200"/>
        <w:rPr>
          <w:rFonts w:hint="eastAsia" w:hAnsi="宋体"/>
          <w:color w:val="auto"/>
          <w:sz w:val="24"/>
          <w:szCs w:val="24"/>
        </w:rPr>
      </w:pPr>
      <w:r>
        <w:rPr>
          <w:rFonts w:hint="eastAsia" w:hAnsi="宋体"/>
          <w:color w:val="auto"/>
          <w:sz w:val="24"/>
          <w:szCs w:val="24"/>
        </w:rPr>
        <w:t xml:space="preserve">10.5 </w:t>
      </w:r>
      <w:r>
        <w:rPr>
          <w:rFonts w:hint="eastAsia"/>
          <w:color w:val="auto"/>
          <w:sz w:val="24"/>
          <w:szCs w:val="24"/>
        </w:rPr>
        <w:t>采购人和采购代理机构可以视采购具体情况，变更</w:t>
      </w:r>
      <w:r>
        <w:rPr>
          <w:rFonts w:hAnsi="宋体"/>
          <w:color w:val="auto"/>
          <w:sz w:val="24"/>
          <w:szCs w:val="24"/>
        </w:rPr>
        <w:t>提交首次响应文件</w:t>
      </w:r>
      <w:r>
        <w:rPr>
          <w:rFonts w:hint="eastAsia"/>
          <w:color w:val="auto"/>
          <w:sz w:val="24"/>
          <w:szCs w:val="24"/>
        </w:rPr>
        <w:t>截止时间和竞谈时间，将变更时间将在</w:t>
      </w:r>
      <w:r>
        <w:rPr>
          <w:rFonts w:hint="eastAsia" w:hAnsi="宋体"/>
          <w:color w:val="auto"/>
          <w:sz w:val="24"/>
          <w:szCs w:val="24"/>
        </w:rPr>
        <w:t>“采购文件公告</w:t>
      </w:r>
      <w:r>
        <w:rPr>
          <w:rFonts w:hAnsi="宋体"/>
          <w:color w:val="auto"/>
          <w:sz w:val="24"/>
          <w:szCs w:val="24"/>
        </w:rPr>
        <w:t>”</w:t>
      </w:r>
      <w:r>
        <w:rPr>
          <w:rFonts w:hint="eastAsia" w:hAnsi="宋体"/>
          <w:color w:val="auto"/>
          <w:sz w:val="24"/>
          <w:szCs w:val="24"/>
        </w:rPr>
        <w:t>中“七、其他补充事宜3.网上查询地址”</w:t>
      </w:r>
      <w:r>
        <w:rPr>
          <w:rFonts w:hint="eastAsia"/>
          <w:color w:val="auto"/>
          <w:sz w:val="24"/>
          <w:szCs w:val="24"/>
        </w:rPr>
        <w:t>规定的政府采购信息发布媒体上发布更正公告。</w:t>
      </w:r>
    </w:p>
    <w:p w14:paraId="7116BC04">
      <w:pPr>
        <w:spacing w:line="240" w:lineRule="auto"/>
        <w:ind w:firstLine="480" w:firstLineChars="200"/>
        <w:rPr>
          <w:rFonts w:hint="eastAsia" w:ascii="宋体" w:hAnsi="Courier New"/>
          <w:color w:val="auto"/>
          <w:kern w:val="0"/>
          <w:sz w:val="24"/>
          <w:szCs w:val="24"/>
        </w:rPr>
      </w:pPr>
      <w:r>
        <w:rPr>
          <w:rFonts w:hint="eastAsia" w:ascii="宋体" w:hAnsi="Courier New"/>
          <w:color w:val="auto"/>
          <w:kern w:val="0"/>
          <w:sz w:val="24"/>
          <w:szCs w:val="24"/>
        </w:rPr>
        <w:t>▲</w:t>
      </w:r>
      <w:r>
        <w:rPr>
          <w:rFonts w:hint="eastAsia" w:ascii="宋体" w:hAnsi="Courier New"/>
          <w:b/>
          <w:color w:val="auto"/>
          <w:kern w:val="0"/>
          <w:sz w:val="24"/>
          <w:szCs w:val="24"/>
        </w:rPr>
        <w:t>响应文件未按磋商文件的澄清、修改的内容编制，又不符合实质性要求的，其响应文件作无效处理。</w:t>
      </w:r>
    </w:p>
    <w:p w14:paraId="6BBB64DA">
      <w:pPr>
        <w:pStyle w:val="6"/>
        <w:spacing w:before="0" w:after="0" w:line="240" w:lineRule="auto"/>
        <w:rPr>
          <w:rFonts w:hint="eastAsia" w:ascii="宋体" w:hAnsi="宋体"/>
          <w:b w:val="0"/>
          <w:bCs w:val="0"/>
          <w:color w:val="auto"/>
          <w:sz w:val="24"/>
          <w:szCs w:val="24"/>
        </w:rPr>
      </w:pPr>
      <w:bookmarkStart w:id="34" w:name="_Toc4399"/>
      <w:bookmarkEnd w:id="34"/>
      <w:bookmarkStart w:id="35" w:name="_Toc13606"/>
      <w:bookmarkEnd w:id="35"/>
      <w:r>
        <w:rPr>
          <w:rFonts w:hint="eastAsia" w:ascii="宋体" w:hAnsi="宋体"/>
          <w:b w:val="0"/>
          <w:bCs w:val="0"/>
          <w:color w:val="auto"/>
          <w:sz w:val="24"/>
          <w:szCs w:val="24"/>
        </w:rPr>
        <w:t>三、响应文件的编制</w:t>
      </w:r>
    </w:p>
    <w:p w14:paraId="4C57CFD8">
      <w:pPr>
        <w:spacing w:line="240" w:lineRule="auto"/>
        <w:ind w:firstLine="482" w:firstLineChars="200"/>
        <w:rPr>
          <w:rFonts w:hint="eastAsia" w:ascii="黑体" w:hAnsi="黑体" w:eastAsia="黑体"/>
          <w:b/>
          <w:bCs/>
          <w:color w:val="auto"/>
          <w:sz w:val="24"/>
          <w:szCs w:val="24"/>
        </w:rPr>
      </w:pPr>
      <w:r>
        <w:rPr>
          <w:rFonts w:hint="eastAsia" w:ascii="黑体" w:hAnsi="黑体" w:eastAsia="黑体"/>
          <w:b/>
          <w:bCs/>
          <w:color w:val="auto"/>
          <w:sz w:val="24"/>
          <w:szCs w:val="24"/>
        </w:rPr>
        <w:t>11.响应文件的编制原则</w:t>
      </w:r>
    </w:p>
    <w:p w14:paraId="1C8DCD72">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供应商必须按照磋商文件的要求编制响应文件，并对其提交的响应文件的真实性、合法性承担法律责任。响应文件必须对磋商文件作出实质性响应。</w:t>
      </w:r>
    </w:p>
    <w:p w14:paraId="51F9AFDE">
      <w:pPr>
        <w:spacing w:line="240" w:lineRule="auto"/>
        <w:ind w:firstLine="482" w:firstLineChars="200"/>
        <w:rPr>
          <w:rFonts w:hint="eastAsia" w:ascii="黑体" w:hAnsi="黑体" w:eastAsia="黑体"/>
          <w:b/>
          <w:bCs/>
          <w:color w:val="auto"/>
          <w:sz w:val="24"/>
          <w:szCs w:val="24"/>
        </w:rPr>
      </w:pPr>
      <w:r>
        <w:rPr>
          <w:rFonts w:hint="eastAsia" w:ascii="黑体" w:hAnsi="黑体" w:eastAsia="黑体"/>
          <w:b/>
          <w:bCs/>
          <w:color w:val="auto"/>
          <w:sz w:val="24"/>
          <w:szCs w:val="24"/>
        </w:rPr>
        <w:t>12.响应文件的组成</w:t>
      </w:r>
    </w:p>
    <w:p w14:paraId="000AF8DC">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12.1响应文件由资格证明文件、报价文件、商务和技术文件三部分组成。</w:t>
      </w:r>
    </w:p>
    <w:p w14:paraId="005A0D05">
      <w:pPr>
        <w:spacing w:line="240" w:lineRule="auto"/>
        <w:ind w:left="420" w:leftChars="200" w:firstLine="480" w:firstLineChars="200"/>
        <w:rPr>
          <w:rFonts w:hint="eastAsia" w:ascii="宋体" w:hAnsi="宋体"/>
          <w:color w:val="auto"/>
          <w:sz w:val="24"/>
          <w:szCs w:val="24"/>
        </w:rPr>
      </w:pPr>
      <w:r>
        <w:rPr>
          <w:rFonts w:hint="eastAsia" w:ascii="宋体" w:hAnsi="宋体"/>
          <w:color w:val="auto"/>
          <w:sz w:val="24"/>
          <w:szCs w:val="24"/>
        </w:rPr>
        <w:t>1</w:t>
      </w:r>
      <w:r>
        <w:rPr>
          <w:rFonts w:ascii="宋体" w:hAnsi="宋体"/>
          <w:color w:val="auto"/>
          <w:sz w:val="24"/>
          <w:szCs w:val="24"/>
        </w:rPr>
        <w:t>2.1.1</w:t>
      </w:r>
      <w:r>
        <w:rPr>
          <w:rFonts w:hint="eastAsia" w:ascii="宋体" w:hAnsi="宋体"/>
          <w:color w:val="auto"/>
          <w:sz w:val="24"/>
          <w:szCs w:val="24"/>
        </w:rPr>
        <w:t>资格证明文件：详见须知前附表</w:t>
      </w:r>
    </w:p>
    <w:p w14:paraId="546A1DB0">
      <w:pPr>
        <w:spacing w:line="240" w:lineRule="auto"/>
        <w:ind w:left="420" w:leftChars="200" w:firstLine="480" w:firstLineChars="200"/>
        <w:rPr>
          <w:rFonts w:hint="eastAsia" w:ascii="宋体" w:hAnsi="宋体"/>
          <w:color w:val="auto"/>
          <w:sz w:val="24"/>
          <w:szCs w:val="24"/>
        </w:rPr>
      </w:pPr>
      <w:r>
        <w:rPr>
          <w:rFonts w:hint="eastAsia" w:ascii="宋体" w:hAnsi="宋体"/>
          <w:color w:val="auto"/>
          <w:sz w:val="24"/>
          <w:szCs w:val="24"/>
        </w:rPr>
        <w:t>12.1.2商务技术文件：详见须知前附表</w:t>
      </w:r>
    </w:p>
    <w:p w14:paraId="3C976B91">
      <w:pPr>
        <w:spacing w:line="240" w:lineRule="auto"/>
        <w:ind w:left="420" w:leftChars="200" w:firstLine="480" w:firstLineChars="200"/>
        <w:rPr>
          <w:rFonts w:hint="eastAsia" w:ascii="宋体" w:hAnsi="宋体"/>
          <w:color w:val="auto"/>
          <w:sz w:val="24"/>
          <w:szCs w:val="24"/>
        </w:rPr>
      </w:pPr>
      <w:r>
        <w:rPr>
          <w:rFonts w:hint="eastAsia" w:ascii="宋体" w:hAnsi="宋体"/>
          <w:color w:val="auto"/>
          <w:sz w:val="24"/>
          <w:szCs w:val="24"/>
        </w:rPr>
        <w:t>1</w:t>
      </w:r>
      <w:r>
        <w:rPr>
          <w:rFonts w:ascii="宋体" w:hAnsi="宋体"/>
          <w:color w:val="auto"/>
          <w:sz w:val="24"/>
          <w:szCs w:val="24"/>
        </w:rPr>
        <w:t>2.1.</w:t>
      </w:r>
      <w:r>
        <w:rPr>
          <w:rFonts w:hint="eastAsia" w:ascii="宋体" w:hAnsi="宋体"/>
          <w:color w:val="auto"/>
          <w:sz w:val="24"/>
          <w:szCs w:val="24"/>
        </w:rPr>
        <w:t>3报价文件：详见须知前附表</w:t>
      </w:r>
    </w:p>
    <w:p w14:paraId="402911F3">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12.</w:t>
      </w:r>
      <w:r>
        <w:rPr>
          <w:rFonts w:ascii="宋体" w:hAnsi="宋体"/>
          <w:color w:val="auto"/>
          <w:sz w:val="24"/>
          <w:szCs w:val="24"/>
        </w:rPr>
        <w:t>2</w:t>
      </w:r>
      <w:r>
        <w:rPr>
          <w:rFonts w:hint="eastAsia" w:ascii="宋体" w:hAnsi="宋体"/>
          <w:color w:val="auto"/>
          <w:sz w:val="24"/>
          <w:szCs w:val="24"/>
        </w:rPr>
        <w:t>响应文件电子版：详见须知前附表</w:t>
      </w:r>
    </w:p>
    <w:p w14:paraId="7E92719D">
      <w:pPr>
        <w:spacing w:line="240" w:lineRule="auto"/>
        <w:ind w:firstLine="482" w:firstLineChars="200"/>
        <w:rPr>
          <w:rFonts w:hint="eastAsia" w:ascii="黑体" w:hAnsi="黑体" w:eastAsia="黑体"/>
          <w:b/>
          <w:bCs/>
          <w:color w:val="auto"/>
          <w:sz w:val="24"/>
          <w:szCs w:val="24"/>
        </w:rPr>
      </w:pPr>
      <w:r>
        <w:rPr>
          <w:rFonts w:hint="eastAsia" w:ascii="黑体" w:hAnsi="黑体" w:eastAsia="黑体"/>
          <w:b/>
          <w:bCs/>
          <w:color w:val="auto"/>
          <w:sz w:val="24"/>
          <w:szCs w:val="24"/>
        </w:rPr>
        <w:t>13.计量单位</w:t>
      </w:r>
    </w:p>
    <w:p w14:paraId="381D42D2">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磋商文件已有明确规定的，使用磋商文件规定的计量单位；磋商文件没有规定的，应采用中华人民共和国法定计量单位，货币种类为人民币，否则视同未响应。</w:t>
      </w:r>
    </w:p>
    <w:p w14:paraId="46A87B8E">
      <w:pPr>
        <w:spacing w:line="240" w:lineRule="auto"/>
        <w:ind w:firstLine="482" w:firstLineChars="200"/>
        <w:rPr>
          <w:rFonts w:hint="eastAsia" w:ascii="黑体" w:hAnsi="黑体" w:eastAsia="黑体"/>
          <w:b/>
          <w:bCs/>
          <w:color w:val="auto"/>
          <w:sz w:val="24"/>
          <w:szCs w:val="24"/>
        </w:rPr>
      </w:pPr>
      <w:r>
        <w:rPr>
          <w:rFonts w:hint="eastAsia" w:ascii="黑体" w:hAnsi="黑体" w:eastAsia="黑体"/>
          <w:b/>
          <w:bCs/>
          <w:color w:val="auto"/>
          <w:sz w:val="24"/>
          <w:szCs w:val="24"/>
        </w:rPr>
        <w:t>14.竞标的风险</w:t>
      </w:r>
    </w:p>
    <w:p w14:paraId="295FFAC9">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供应商没有按照磋商文件要求提供全部资料，或者供应商没有对磋商文件在各方面作出实质性响应可能导致其响应无效，是供应商应当考虑的风险。</w:t>
      </w:r>
    </w:p>
    <w:p w14:paraId="6D9D00A3">
      <w:pPr>
        <w:spacing w:line="240" w:lineRule="auto"/>
        <w:ind w:firstLine="482" w:firstLineChars="200"/>
        <w:rPr>
          <w:rFonts w:hint="eastAsia" w:ascii="黑体" w:hAnsi="黑体" w:eastAsia="黑体"/>
          <w:b/>
          <w:bCs/>
          <w:color w:val="auto"/>
          <w:sz w:val="24"/>
          <w:szCs w:val="24"/>
        </w:rPr>
      </w:pPr>
      <w:r>
        <w:rPr>
          <w:rFonts w:hint="eastAsia" w:ascii="黑体" w:hAnsi="黑体" w:eastAsia="黑体"/>
          <w:b/>
          <w:bCs/>
          <w:color w:val="auto"/>
          <w:sz w:val="24"/>
          <w:szCs w:val="24"/>
        </w:rPr>
        <w:t>15.响应报价要求和构成</w:t>
      </w:r>
    </w:p>
    <w:p w14:paraId="17CDFB51">
      <w:pPr>
        <w:tabs>
          <w:tab w:val="left" w:pos="2492"/>
        </w:tabs>
        <w:spacing w:line="240" w:lineRule="auto"/>
        <w:ind w:firstLine="480" w:firstLineChars="200"/>
        <w:rPr>
          <w:rFonts w:hint="eastAsia" w:ascii="宋体" w:hAnsi="宋体"/>
          <w:color w:val="auto"/>
          <w:sz w:val="24"/>
          <w:szCs w:val="24"/>
        </w:rPr>
      </w:pPr>
      <w:r>
        <w:rPr>
          <w:rFonts w:hint="eastAsia" w:ascii="宋体" w:hAnsi="宋体"/>
          <w:color w:val="auto"/>
          <w:sz w:val="24"/>
          <w:szCs w:val="24"/>
        </w:rPr>
        <w:t>15.1响应报价应按“第八章 响应文件格式”中“响应报价表”格式填写。</w:t>
      </w:r>
    </w:p>
    <w:p w14:paraId="7B6FFBE9">
      <w:pPr>
        <w:tabs>
          <w:tab w:val="left" w:pos="2492"/>
        </w:tabs>
        <w:spacing w:line="240" w:lineRule="auto"/>
        <w:ind w:firstLine="480" w:firstLineChars="200"/>
        <w:rPr>
          <w:rFonts w:hint="eastAsia" w:ascii="宋体" w:hAnsi="宋体"/>
          <w:color w:val="auto"/>
          <w:sz w:val="24"/>
          <w:szCs w:val="24"/>
        </w:rPr>
      </w:pPr>
      <w:r>
        <w:rPr>
          <w:rFonts w:hint="eastAsia" w:ascii="宋体" w:hAnsi="宋体"/>
          <w:color w:val="auto"/>
          <w:sz w:val="24"/>
          <w:szCs w:val="24"/>
        </w:rPr>
        <w:t>15.2响应报价的价格构成见“供应商须知前附表”。</w:t>
      </w:r>
    </w:p>
    <w:p w14:paraId="744E6ABD">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15.3响应报价要求</w:t>
      </w:r>
    </w:p>
    <w:p w14:paraId="6F0ED57F">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1</w:t>
      </w:r>
      <w:r>
        <w:rPr>
          <w:rFonts w:ascii="宋体" w:hAnsi="宋体"/>
          <w:color w:val="auto"/>
          <w:sz w:val="24"/>
          <w:szCs w:val="24"/>
        </w:rPr>
        <w:t>5.3.1</w:t>
      </w:r>
      <w:r>
        <w:rPr>
          <w:rFonts w:hint="eastAsia" w:ascii="宋体" w:hAnsi="宋体"/>
          <w:color w:val="auto"/>
          <w:sz w:val="24"/>
          <w:szCs w:val="24"/>
        </w:rPr>
        <w:t>供应商的响应报价应符合以下要求，否则响应文件按无效响应处理：</w:t>
      </w:r>
    </w:p>
    <w:p w14:paraId="53A085D4">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（1）供应商必须就“采购需求”中所竞标的每个分标的全部内容分别作完整唯一总价报价，不得存在漏项报价；</w:t>
      </w:r>
    </w:p>
    <w:p w14:paraId="1D147899">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）供应商必须就所竞标的分标的单项内容作唯一报价。</w:t>
      </w:r>
    </w:p>
    <w:p w14:paraId="606338A1">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15.3.</w:t>
      </w:r>
      <w:r>
        <w:rPr>
          <w:rFonts w:ascii="宋体" w:hAnsi="宋体"/>
          <w:color w:val="auto"/>
          <w:sz w:val="24"/>
          <w:szCs w:val="24"/>
        </w:rPr>
        <w:t>2</w:t>
      </w:r>
      <w:r>
        <w:rPr>
          <w:rFonts w:hint="eastAsia" w:ascii="宋体" w:hAnsi="宋体"/>
          <w:color w:val="auto"/>
          <w:sz w:val="24"/>
          <w:szCs w:val="24"/>
        </w:rPr>
        <w:t>响应报价（包含首次报价、最后报价）超过所竞标分标规定的最高限价的，其响应文件将作无效处理。</w:t>
      </w:r>
    </w:p>
    <w:p w14:paraId="219FF7AF">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15.3.</w:t>
      </w:r>
      <w:r>
        <w:rPr>
          <w:rFonts w:ascii="宋体" w:hAnsi="宋体"/>
          <w:color w:val="auto"/>
          <w:sz w:val="24"/>
          <w:szCs w:val="24"/>
        </w:rPr>
        <w:t>3</w:t>
      </w:r>
      <w:r>
        <w:rPr>
          <w:rFonts w:hint="eastAsia" w:ascii="宋体" w:hAnsi="宋体"/>
          <w:color w:val="auto"/>
          <w:sz w:val="24"/>
          <w:szCs w:val="24"/>
        </w:rPr>
        <w:t>响应报价（包含首次报价、最后报价）超过分项最高限价的，其响应文件将作无效处理。</w:t>
      </w:r>
    </w:p>
    <w:p w14:paraId="3A3BE2B3">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15.3.4为防止磋商供应商出现严重不平衡报价，本工程对所有招标工程量清单实行最高限价，即磋商供应商响应文件中相应项目的单价不能超出经公布的招标控制价的相应项目单价。</w:t>
      </w:r>
    </w:p>
    <w:p w14:paraId="76820FEE">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15.3.5磋商供应商已标价工程量清单的项目编码、项目名称及项目特征描述、计量单位、工程量任何一处与工程量清单不一致的，作无效磋商处理。</w:t>
      </w:r>
    </w:p>
    <w:p w14:paraId="6EDBCBC7">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15.3.6 编制依据：</w:t>
      </w:r>
    </w:p>
    <w:p w14:paraId="5DB20486">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（1）广西壮族自治区地方标准《公路养护预算编制办法及定额》（DB45/T2228.1-2020）（以下简称编制办法）</w:t>
      </w:r>
    </w:p>
    <w:p w14:paraId="3278EB0A">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（2）广西壮族自治区交通运输厅《关于印发公路工程建设项目估算概算预算编制办法广西补充定额规定的通知》桂交建管发【2019】39号。</w:t>
      </w:r>
    </w:p>
    <w:p w14:paraId="74E3B8BA">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（3）广西壮族自治区交通造价管理站桂交监造价函【2019】16号文《于发布广西公路工程机械台班车船使用税标准的函》</w:t>
      </w:r>
    </w:p>
    <w:p w14:paraId="308084E5">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（4）中华人民共和国交通运输部公告第26号，交通运输部关于调整《公路工程建设项目投资估算编制办法》（JTG3820-2018）和《公路工程建设项目概算预算编制办法》(JTG3830-2018)中‘税金’有关规定的公告。</w:t>
      </w:r>
    </w:p>
    <w:p w14:paraId="4F35D43B">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（5）广西壮族自治区公路发展中心关于印发广西普通国省干线公路养护工程（路面部分）施工图设计及预算编制指导意见的通知（桂路养发【2021】172号）。</w:t>
      </w:r>
    </w:p>
    <w:p w14:paraId="0CA16907">
      <w:pPr>
        <w:spacing w:line="240" w:lineRule="auto"/>
        <w:ind w:firstLine="482" w:firstLineChars="200"/>
        <w:rPr>
          <w:rFonts w:hint="eastAsia" w:ascii="黑体" w:hAnsi="黑体" w:eastAsia="黑体"/>
          <w:b/>
          <w:bCs/>
          <w:color w:val="auto"/>
          <w:sz w:val="24"/>
          <w:szCs w:val="24"/>
        </w:rPr>
      </w:pPr>
      <w:r>
        <w:rPr>
          <w:rFonts w:hint="eastAsia" w:ascii="黑体" w:hAnsi="黑体" w:eastAsia="黑体"/>
          <w:b/>
          <w:bCs/>
          <w:color w:val="auto"/>
          <w:sz w:val="24"/>
          <w:szCs w:val="24"/>
        </w:rPr>
        <w:t>16.竞标有效期</w:t>
      </w:r>
    </w:p>
    <w:p w14:paraId="5D4E3A1B">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16.1竞标有效期是指为保证采购人有足够的时间在提交响应文件后完成评审、确定成交供应商、合同签订等工作而要求供应商提交的响应文件在一定时间内保持有效的期限。</w:t>
      </w:r>
    </w:p>
    <w:p w14:paraId="6EF9D44F">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16.2 竞标有效期应由供应商按“供应商须知前附表”规定的期限作出响应。</w:t>
      </w:r>
    </w:p>
    <w:p w14:paraId="18B495E8">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16.3供应商的响应文件在竞标有效期内均保持有效。</w:t>
      </w:r>
    </w:p>
    <w:p w14:paraId="02F2B383">
      <w:pPr>
        <w:spacing w:line="240" w:lineRule="auto"/>
        <w:ind w:firstLine="482" w:firstLineChars="200"/>
        <w:rPr>
          <w:rFonts w:hint="eastAsia" w:ascii="黑体" w:hAnsi="黑体" w:eastAsia="黑体"/>
          <w:b/>
          <w:bCs/>
          <w:color w:val="auto"/>
          <w:sz w:val="24"/>
          <w:szCs w:val="24"/>
        </w:rPr>
      </w:pPr>
      <w:r>
        <w:rPr>
          <w:rFonts w:hint="eastAsia" w:ascii="黑体" w:hAnsi="黑体" w:eastAsia="黑体"/>
          <w:b/>
          <w:bCs/>
          <w:color w:val="auto"/>
          <w:sz w:val="24"/>
          <w:szCs w:val="24"/>
        </w:rPr>
        <w:t>17.磋商保证金</w:t>
      </w:r>
    </w:p>
    <w:p w14:paraId="1F7AA196">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详见“供应商须知前附表”。</w:t>
      </w:r>
    </w:p>
    <w:p w14:paraId="6828D153">
      <w:pPr>
        <w:spacing w:line="240" w:lineRule="auto"/>
        <w:ind w:firstLine="482" w:firstLineChars="200"/>
        <w:rPr>
          <w:rFonts w:hint="eastAsia" w:ascii="黑体" w:hAnsi="黑体" w:eastAsia="黑体"/>
          <w:b/>
          <w:bCs/>
          <w:color w:val="auto"/>
          <w:sz w:val="24"/>
          <w:szCs w:val="24"/>
        </w:rPr>
      </w:pPr>
      <w:r>
        <w:rPr>
          <w:rFonts w:hint="eastAsia" w:ascii="黑体" w:hAnsi="黑体" w:eastAsia="黑体"/>
          <w:b/>
          <w:bCs/>
          <w:color w:val="auto"/>
          <w:sz w:val="24"/>
          <w:szCs w:val="24"/>
        </w:rPr>
        <w:t>18.响应文件编制的要求</w:t>
      </w:r>
    </w:p>
    <w:p w14:paraId="4E2B8E27">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18.1各供应商在编制响应文件时请按照磋商文件“第八章 响应文件格式”规定的格式进行，混乱的编排导致响应文件被误读或磋商小组查找不到有效文件是供应商的风险。不完整、编排混乱导致响应文件被误读、漏读或者查找不到相关内容的，由此引发的后果由供应商承担。</w:t>
      </w:r>
    </w:p>
    <w:p w14:paraId="08C4D858">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18.2响应文件应按资格证明、报价分别编制，商务技术文件合并编制，本磋商只接受电子版响应文件，要求见本章“12.2响应文件电子版要求”。</w:t>
      </w:r>
    </w:p>
    <w:p w14:paraId="26D9602E">
      <w:pPr>
        <w:spacing w:line="240" w:lineRule="auto"/>
        <w:ind w:firstLine="480" w:firstLineChars="200"/>
        <w:rPr>
          <w:rFonts w:hint="eastAsia" w:ascii="宋体" w:hAnsi="宋体"/>
          <w:color w:val="auto"/>
          <w:sz w:val="24"/>
          <w:szCs w:val="24"/>
        </w:rPr>
      </w:pPr>
      <w:bookmarkStart w:id="36" w:name="_Hlk65832699"/>
      <w:bookmarkEnd w:id="36"/>
      <w:r>
        <w:rPr>
          <w:rFonts w:hint="eastAsia" w:ascii="宋体" w:hAnsi="宋体"/>
          <w:color w:val="auto"/>
          <w:sz w:val="24"/>
          <w:szCs w:val="24"/>
        </w:rPr>
        <w:t>18.3响应文件须由供应商在</w:t>
      </w:r>
      <w:r>
        <w:rPr>
          <w:rFonts w:hint="eastAsia" w:ascii="宋体" w:hAnsi="宋体"/>
          <w:color w:val="auto"/>
          <w:kern w:val="0"/>
          <w:sz w:val="24"/>
          <w:szCs w:val="24"/>
          <w:lang w:val="zh-CN"/>
        </w:rPr>
        <w:t>“</w:t>
      </w:r>
      <w:r>
        <w:rPr>
          <w:rFonts w:hint="eastAsia" w:ascii="宋体" w:hAnsi="宋体"/>
          <w:color w:val="auto"/>
          <w:sz w:val="24"/>
          <w:szCs w:val="24"/>
        </w:rPr>
        <w:t>第八章 响应文件格式</w:t>
      </w:r>
      <w:r>
        <w:rPr>
          <w:rFonts w:hint="eastAsia" w:ascii="宋体" w:hAnsi="宋体"/>
          <w:color w:val="auto"/>
          <w:kern w:val="0"/>
          <w:sz w:val="24"/>
          <w:szCs w:val="24"/>
          <w:lang w:val="zh-CN"/>
        </w:rPr>
        <w:t>”</w:t>
      </w:r>
      <w:r>
        <w:rPr>
          <w:rFonts w:hint="eastAsia" w:ascii="宋体" w:hAnsi="宋体"/>
          <w:color w:val="auto"/>
          <w:sz w:val="24"/>
          <w:szCs w:val="24"/>
        </w:rPr>
        <w:t>规定位置进行签署、盖章，否则其响应文件按无效响应处理。骑缝盖公章不视为在规定位置盖章。</w:t>
      </w:r>
    </w:p>
    <w:p w14:paraId="7F1ADB0E">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18.4响应文件中标注的供应商名称应与营业执照（事业单位法人证书、执业许可证、自然人身份证）及电子公章一致，否则其响应文件按无效响应处理。</w:t>
      </w:r>
    </w:p>
    <w:p w14:paraId="62081D4E">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18.5响应文件应避免涂改、行间插字或者删除，否则其响应文件按无效响应处理。</w:t>
      </w:r>
    </w:p>
    <w:p w14:paraId="2402A7DF">
      <w:pPr>
        <w:spacing w:line="240" w:lineRule="auto"/>
        <w:ind w:firstLine="482" w:firstLineChars="200"/>
        <w:rPr>
          <w:rFonts w:hint="eastAsia" w:ascii="黑体" w:hAnsi="黑体" w:eastAsia="黑体"/>
          <w:b/>
          <w:bCs/>
          <w:color w:val="auto"/>
          <w:sz w:val="24"/>
          <w:szCs w:val="24"/>
        </w:rPr>
      </w:pPr>
      <w:r>
        <w:rPr>
          <w:rFonts w:hint="eastAsia" w:ascii="黑体" w:hAnsi="黑体" w:eastAsia="黑体"/>
          <w:b/>
          <w:bCs/>
          <w:color w:val="auto"/>
          <w:sz w:val="24"/>
          <w:szCs w:val="24"/>
        </w:rPr>
        <w:t>19.响应文件的密封和标记</w:t>
      </w:r>
    </w:p>
    <w:p w14:paraId="279186B8">
      <w:pPr>
        <w:spacing w:line="240" w:lineRule="auto"/>
        <w:ind w:firstLine="480" w:firstLineChars="200"/>
        <w:rPr>
          <w:rFonts w:hint="eastAsia" w:ascii="宋体" w:hAnsi="宋体"/>
          <w:color w:val="auto"/>
          <w:kern w:val="0"/>
          <w:sz w:val="24"/>
          <w:szCs w:val="24"/>
          <w:lang w:val="zh-CN"/>
        </w:rPr>
      </w:pPr>
      <w:r>
        <w:rPr>
          <w:rFonts w:hint="eastAsia" w:ascii="宋体" w:hAnsi="宋体"/>
          <w:color w:val="auto"/>
          <w:kern w:val="0"/>
          <w:sz w:val="24"/>
          <w:szCs w:val="24"/>
          <w:lang w:val="zh-CN"/>
        </w:rPr>
        <w:t>19.1供应商进行电子交易应安装客户端软件—“</w:t>
      </w:r>
      <w:r>
        <w:rPr>
          <w:rFonts w:hint="eastAsia" w:ascii="宋体" w:hAnsi="宋体"/>
          <w:color w:val="auto"/>
          <w:kern w:val="0"/>
          <w:sz w:val="24"/>
          <w:szCs w:val="24"/>
        </w:rPr>
        <w:t>政府采购云平台</w:t>
      </w:r>
      <w:r>
        <w:rPr>
          <w:rFonts w:hint="eastAsia" w:ascii="宋体" w:hAnsi="宋体"/>
          <w:color w:val="auto"/>
          <w:kern w:val="0"/>
          <w:sz w:val="24"/>
          <w:szCs w:val="24"/>
          <w:lang w:val="zh-CN"/>
        </w:rPr>
        <w:t>电子交易客户端”，并按照磋商文件和电子交易平台的要求编制并加密响应文件。供应商未按规定加密的响应文件，电子交易平台将拒收并提示。</w:t>
      </w:r>
    </w:p>
    <w:p w14:paraId="42DBF8E5">
      <w:pPr>
        <w:spacing w:line="240" w:lineRule="auto"/>
        <w:ind w:firstLine="480" w:firstLineChars="200"/>
        <w:rPr>
          <w:rFonts w:hint="eastAsia" w:ascii="宋体" w:hAnsi="宋体"/>
          <w:color w:val="auto"/>
          <w:kern w:val="0"/>
          <w:sz w:val="24"/>
          <w:szCs w:val="24"/>
          <w:lang w:val="zh-CN"/>
        </w:rPr>
      </w:pPr>
      <w:r>
        <w:rPr>
          <w:rFonts w:hint="eastAsia" w:ascii="宋体" w:hAnsi="宋体"/>
          <w:color w:val="auto"/>
          <w:kern w:val="0"/>
          <w:sz w:val="24"/>
          <w:szCs w:val="24"/>
          <w:lang w:val="zh-CN"/>
        </w:rPr>
        <w:t>19.2使用“</w:t>
      </w:r>
      <w:r>
        <w:rPr>
          <w:rFonts w:hint="eastAsia" w:ascii="宋体" w:hAnsi="宋体"/>
          <w:color w:val="auto"/>
          <w:kern w:val="0"/>
          <w:sz w:val="24"/>
          <w:szCs w:val="24"/>
        </w:rPr>
        <w:t>政府采购云平台</w:t>
      </w:r>
      <w:r>
        <w:rPr>
          <w:rFonts w:hint="eastAsia" w:ascii="宋体" w:hAnsi="宋体"/>
          <w:color w:val="auto"/>
          <w:kern w:val="0"/>
          <w:sz w:val="24"/>
          <w:szCs w:val="24"/>
          <w:lang w:val="zh-CN"/>
        </w:rPr>
        <w:t>电子交易客户端”需要提前申领CA数字证书，申领流程见该项目采购公告附件。</w:t>
      </w:r>
    </w:p>
    <w:p w14:paraId="227DC42C">
      <w:pPr>
        <w:pStyle w:val="32"/>
        <w:spacing w:line="240" w:lineRule="auto"/>
        <w:ind w:firstLine="480" w:firstLineChars="200"/>
        <w:rPr>
          <w:rFonts w:hint="eastAsia" w:hAnsi="宋体"/>
          <w:color w:val="auto"/>
          <w:sz w:val="24"/>
          <w:szCs w:val="24"/>
        </w:rPr>
      </w:pPr>
      <w:r>
        <w:rPr>
          <w:rFonts w:hint="eastAsia" w:hAnsi="宋体"/>
          <w:color w:val="auto"/>
          <w:sz w:val="24"/>
          <w:szCs w:val="24"/>
        </w:rPr>
        <w:t>19.3为确保网上操作合法、有效和安全，供应商应当在响应文件提交截止时间前完成在“政府采购云平台”的身份认证，确保在电子交易过程中能够对相关数据电文进行加密和使用电子签名。</w:t>
      </w:r>
    </w:p>
    <w:p w14:paraId="56636D58">
      <w:pPr>
        <w:spacing w:line="240" w:lineRule="auto"/>
        <w:ind w:firstLine="482" w:firstLineChars="200"/>
        <w:rPr>
          <w:rFonts w:hint="eastAsia" w:ascii="黑体" w:hAnsi="黑体" w:eastAsia="黑体"/>
          <w:b/>
          <w:bCs/>
          <w:color w:val="auto"/>
          <w:sz w:val="24"/>
          <w:szCs w:val="24"/>
        </w:rPr>
      </w:pPr>
      <w:r>
        <w:rPr>
          <w:rFonts w:hint="eastAsia" w:ascii="黑体" w:hAnsi="黑体" w:eastAsia="黑体"/>
          <w:b/>
          <w:bCs/>
          <w:color w:val="auto"/>
          <w:sz w:val="24"/>
          <w:szCs w:val="24"/>
        </w:rPr>
        <w:t>20.响应文件的提交</w:t>
      </w:r>
    </w:p>
    <w:p w14:paraId="12EAF458">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20.1供应商必须在“供应商须知前附表”规定的时间和地点提交响应文件。</w:t>
      </w:r>
    </w:p>
    <w:p w14:paraId="680CA795">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20.2 在响应文件提交截止时间以后，不能补充、修改响应文件。</w:t>
      </w:r>
    </w:p>
    <w:p w14:paraId="20693FE4">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20.3 在提交“最后报价”后，供应商不能退出谈判。</w:t>
      </w:r>
    </w:p>
    <w:p w14:paraId="6B075640">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20.4 电子交易平台收到响应文件，将妥善保存并即时向供应商发出确认回执通知。在响应文件提交截止时间前，除供应商补充、修改或者撤回响应文件外，任何单位和个人不得解密或提取响应文件。</w:t>
      </w:r>
    </w:p>
    <w:p w14:paraId="50D623B9">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20.5 采购机构不可视情况延长提交响应文件的截止时间。</w:t>
      </w:r>
    </w:p>
    <w:p w14:paraId="565730C9">
      <w:pPr>
        <w:spacing w:line="240" w:lineRule="auto"/>
        <w:ind w:firstLine="482" w:firstLineChars="200"/>
        <w:rPr>
          <w:rFonts w:hint="eastAsia" w:ascii="黑体" w:hAnsi="黑体" w:eastAsia="黑体"/>
          <w:b/>
          <w:bCs/>
          <w:color w:val="auto"/>
          <w:sz w:val="24"/>
          <w:szCs w:val="24"/>
        </w:rPr>
      </w:pPr>
      <w:r>
        <w:rPr>
          <w:rFonts w:hint="eastAsia" w:ascii="黑体" w:hAnsi="黑体" w:eastAsia="黑体"/>
          <w:b/>
          <w:bCs/>
          <w:color w:val="auto"/>
          <w:sz w:val="24"/>
          <w:szCs w:val="24"/>
        </w:rPr>
        <w:t>21.首次响应文件的补充、修改与撤回</w:t>
      </w:r>
    </w:p>
    <w:p w14:paraId="3BED651F">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详见“供应商须知前附表”。</w:t>
      </w:r>
    </w:p>
    <w:p w14:paraId="3C5E38C6">
      <w:pPr>
        <w:spacing w:line="240" w:lineRule="auto"/>
        <w:ind w:firstLine="482" w:firstLineChars="200"/>
        <w:rPr>
          <w:rFonts w:hint="eastAsia" w:ascii="黑体" w:hAnsi="黑体" w:eastAsia="黑体"/>
          <w:b/>
          <w:bCs/>
          <w:color w:val="auto"/>
          <w:sz w:val="24"/>
          <w:szCs w:val="24"/>
        </w:rPr>
      </w:pPr>
      <w:r>
        <w:rPr>
          <w:rFonts w:hint="eastAsia" w:ascii="黑体" w:hAnsi="黑体" w:eastAsia="黑体"/>
          <w:b/>
          <w:bCs/>
          <w:color w:val="auto"/>
          <w:sz w:val="24"/>
          <w:szCs w:val="24"/>
        </w:rPr>
        <w:t>22. 首次响应文件的退回</w:t>
      </w:r>
    </w:p>
    <w:p w14:paraId="086845C5">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在首次响应文件提交截止时间止提交响应文件的供应商不足3家时电子响应文件由代理机构在“政采云”平台操作退回，除此之外采购人和采购代理机构对已提交的电子响应文件概不退回。</w:t>
      </w:r>
    </w:p>
    <w:p w14:paraId="1616528B">
      <w:pPr>
        <w:spacing w:line="240" w:lineRule="auto"/>
        <w:ind w:firstLine="482" w:firstLineChars="200"/>
        <w:rPr>
          <w:rFonts w:hint="eastAsia" w:ascii="黑体" w:hAnsi="黑体" w:eastAsia="黑体"/>
          <w:b/>
          <w:bCs/>
          <w:color w:val="auto"/>
          <w:sz w:val="24"/>
          <w:szCs w:val="24"/>
        </w:rPr>
      </w:pPr>
      <w:r>
        <w:rPr>
          <w:rFonts w:hint="eastAsia" w:ascii="黑体" w:hAnsi="黑体" w:eastAsia="黑体"/>
          <w:b/>
          <w:bCs/>
          <w:color w:val="auto"/>
          <w:sz w:val="24"/>
          <w:szCs w:val="24"/>
        </w:rPr>
        <w:t>23. 截止时间后的撤回</w:t>
      </w:r>
    </w:p>
    <w:p w14:paraId="23CC861F">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本项目不收取磋商保证金，供应商在首次响应文件提交截止时间后可向采购人、采购代理机构书面申请撤回电子响应文件。</w:t>
      </w:r>
    </w:p>
    <w:p w14:paraId="0F463F78">
      <w:pPr>
        <w:pStyle w:val="6"/>
        <w:spacing w:before="0" w:after="0" w:line="240" w:lineRule="auto"/>
        <w:rPr>
          <w:rFonts w:hint="eastAsia" w:ascii="宋体" w:hAnsi="宋体"/>
          <w:b w:val="0"/>
          <w:bCs w:val="0"/>
          <w:color w:val="auto"/>
          <w:sz w:val="24"/>
          <w:szCs w:val="24"/>
        </w:rPr>
      </w:pPr>
      <w:bookmarkStart w:id="37" w:name="_Toc22377"/>
      <w:bookmarkEnd w:id="37"/>
      <w:bookmarkStart w:id="38" w:name="_Toc23453"/>
      <w:bookmarkEnd w:id="38"/>
      <w:r>
        <w:rPr>
          <w:rFonts w:hint="eastAsia" w:ascii="宋体" w:hAnsi="宋体"/>
          <w:b w:val="0"/>
          <w:bCs w:val="0"/>
          <w:color w:val="auto"/>
          <w:sz w:val="24"/>
          <w:szCs w:val="24"/>
        </w:rPr>
        <w:t>四、评审及磋商</w:t>
      </w:r>
    </w:p>
    <w:p w14:paraId="5C006168">
      <w:pPr>
        <w:spacing w:line="240" w:lineRule="auto"/>
        <w:ind w:firstLine="482" w:firstLineChars="200"/>
        <w:rPr>
          <w:rFonts w:hint="eastAsia" w:ascii="黑体" w:hAnsi="黑体" w:eastAsia="黑体"/>
          <w:b/>
          <w:bCs/>
          <w:color w:val="auto"/>
          <w:sz w:val="24"/>
          <w:szCs w:val="24"/>
        </w:rPr>
      </w:pPr>
      <w:r>
        <w:rPr>
          <w:rFonts w:hint="eastAsia" w:ascii="黑体" w:hAnsi="黑体" w:eastAsia="黑体"/>
          <w:b/>
          <w:bCs/>
          <w:color w:val="auto"/>
          <w:sz w:val="24"/>
          <w:szCs w:val="24"/>
        </w:rPr>
        <w:t>24.磋商小组成立</w:t>
      </w:r>
    </w:p>
    <w:p w14:paraId="64BF4AAF">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20C1942C">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69971699">
      <w:pPr>
        <w:spacing w:line="240" w:lineRule="auto"/>
        <w:ind w:firstLine="482" w:firstLineChars="200"/>
        <w:rPr>
          <w:rFonts w:ascii="黑体" w:hAnsi="黑体" w:eastAsia="黑体"/>
          <w:b/>
          <w:bCs/>
          <w:color w:val="auto"/>
          <w:sz w:val="24"/>
          <w:szCs w:val="24"/>
        </w:rPr>
      </w:pPr>
      <w:r>
        <w:rPr>
          <w:rFonts w:ascii="黑体" w:hAnsi="黑体" w:eastAsia="黑体"/>
          <w:b/>
          <w:bCs/>
          <w:color w:val="auto"/>
          <w:sz w:val="24"/>
          <w:szCs w:val="24"/>
        </w:rPr>
        <w:t>25.</w:t>
      </w:r>
      <w:r>
        <w:rPr>
          <w:rFonts w:hint="eastAsia" w:ascii="黑体" w:hAnsi="黑体" w:eastAsia="黑体"/>
          <w:b/>
          <w:bCs/>
          <w:color w:val="auto"/>
          <w:sz w:val="24"/>
          <w:szCs w:val="24"/>
        </w:rPr>
        <w:t>首次响应文件的开启</w:t>
      </w:r>
    </w:p>
    <w:p w14:paraId="77218216">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2</w:t>
      </w:r>
      <w:r>
        <w:rPr>
          <w:rFonts w:ascii="宋体" w:hAnsi="宋体"/>
          <w:color w:val="auto"/>
          <w:sz w:val="24"/>
          <w:szCs w:val="24"/>
        </w:rPr>
        <w:t>5.1</w:t>
      </w:r>
      <w:r>
        <w:rPr>
          <w:rFonts w:hint="eastAsia" w:ascii="宋体" w:hAnsi="宋体"/>
          <w:color w:val="auto"/>
          <w:sz w:val="24"/>
          <w:szCs w:val="24"/>
        </w:rPr>
        <w:t>首次响应文件由磋商小组或者采购代理机构在“供应商须知前附表”规定的时间开启。</w:t>
      </w:r>
    </w:p>
    <w:p w14:paraId="22B38835">
      <w:pPr>
        <w:pStyle w:val="32"/>
        <w:spacing w:line="240" w:lineRule="auto"/>
        <w:ind w:firstLine="480" w:firstLineChars="200"/>
        <w:rPr>
          <w:rFonts w:hAnsi="宋体"/>
          <w:color w:val="auto"/>
          <w:sz w:val="24"/>
          <w:szCs w:val="24"/>
        </w:rPr>
      </w:pPr>
      <w:r>
        <w:rPr>
          <w:rFonts w:hAnsi="宋体"/>
          <w:color w:val="auto"/>
          <w:sz w:val="24"/>
          <w:szCs w:val="24"/>
        </w:rPr>
        <w:t xml:space="preserve">25.2 </w:t>
      </w:r>
      <w:r>
        <w:rPr>
          <w:rFonts w:hint="eastAsia" w:hAnsi="宋体"/>
          <w:bCs/>
          <w:color w:val="auto"/>
          <w:sz w:val="24"/>
          <w:szCs w:val="24"/>
        </w:rPr>
        <w:t>响应文件解密</w:t>
      </w:r>
    </w:p>
    <w:p w14:paraId="01D0C2D2">
      <w:pPr>
        <w:pStyle w:val="32"/>
        <w:snapToGrid w:val="0"/>
        <w:spacing w:line="240" w:lineRule="auto"/>
        <w:ind w:firstLine="480" w:firstLineChars="200"/>
        <w:rPr>
          <w:rFonts w:hint="eastAsia" w:hAnsi="宋体"/>
          <w:bCs/>
          <w:color w:val="auto"/>
          <w:sz w:val="24"/>
          <w:szCs w:val="24"/>
        </w:rPr>
      </w:pPr>
      <w:r>
        <w:rPr>
          <w:rFonts w:hint="eastAsia" w:hAnsi="宋体"/>
          <w:bCs/>
          <w:color w:val="auto"/>
          <w:sz w:val="24"/>
          <w:szCs w:val="24"/>
        </w:rPr>
        <w:t>采购代理机构将在“供应商须知前附表”规定的时</w:t>
      </w:r>
      <w:r>
        <w:rPr>
          <w:rFonts w:hint="eastAsia" w:hAnsi="宋体"/>
          <w:color w:val="auto"/>
          <w:sz w:val="24"/>
          <w:szCs w:val="24"/>
        </w:rPr>
        <w:t>间通过电子交易平台组织响应文件开启，采购机构依托电子交易平台发起开始解密指令，供应商的法定代表人或其委托代理人</w:t>
      </w:r>
      <w:r>
        <w:rPr>
          <w:rFonts w:hint="eastAsia" w:hAnsi="宋体"/>
          <w:bCs/>
          <w:color w:val="auto"/>
          <w:sz w:val="24"/>
          <w:szCs w:val="24"/>
        </w:rPr>
        <w:t>须携带加密时所用的CA锁按平台提示和采购文件的规定登录到“政府采购云平台”平台电子开标大厅签到并在发起解密指令之时起30分钟内完成对电子响应文件在线解密。发起解密指令之时起5分钟内供应商还未进行解密的，代理机构要通知供应商，供应商没预留联系方式或预留联系方式无效，导致代理机构无法联系到供应商进行解密的，视为响应文件无效。（解密异常情况处理：详见本章26.3 电子交易活动的中止。</w:t>
      </w:r>
      <w:r>
        <w:rPr>
          <w:rFonts w:hint="eastAsia" w:hAnsi="宋体"/>
          <w:color w:val="auto"/>
          <w:sz w:val="24"/>
          <w:szCs w:val="24"/>
        </w:rPr>
        <w:t>）</w:t>
      </w:r>
    </w:p>
    <w:p w14:paraId="60AFBDEA">
      <w:pPr>
        <w:pStyle w:val="32"/>
        <w:spacing w:line="240" w:lineRule="auto"/>
        <w:ind w:firstLine="480" w:firstLineChars="200"/>
        <w:rPr>
          <w:rFonts w:hint="eastAsia" w:hAnsi="宋体"/>
          <w:color w:val="auto"/>
          <w:sz w:val="24"/>
          <w:szCs w:val="24"/>
        </w:rPr>
      </w:pPr>
      <w:r>
        <w:rPr>
          <w:rFonts w:hint="eastAsia" w:hAnsi="宋体"/>
          <w:color w:val="auto"/>
          <w:sz w:val="24"/>
          <w:szCs w:val="24"/>
        </w:rPr>
        <w:t>如</w:t>
      </w:r>
      <w:r>
        <w:rPr>
          <w:rFonts w:hint="eastAsia" w:hAnsi="宋体"/>
          <w:bCs/>
          <w:color w:val="auto"/>
          <w:sz w:val="24"/>
          <w:szCs w:val="24"/>
        </w:rPr>
        <w:t>供应商成功解密响应文件，但未在“广西政府采购云平台”电子开标大厅参加谈判的，视同认可谈判过程和结果，</w:t>
      </w:r>
      <w:r>
        <w:rPr>
          <w:rFonts w:hint="eastAsia" w:hAnsi="宋体"/>
          <w:color w:val="auto"/>
          <w:sz w:val="24"/>
          <w:szCs w:val="24"/>
        </w:rPr>
        <w:t>由此产生的后果由供应商自行负责。 参与谈判的供应商</w:t>
      </w:r>
      <w:r>
        <w:rPr>
          <w:rFonts w:hint="eastAsia"/>
          <w:color w:val="auto"/>
          <w:sz w:val="24"/>
          <w:szCs w:val="24"/>
        </w:rPr>
        <w:t>不足3家的，不得谈判。</w:t>
      </w:r>
    </w:p>
    <w:p w14:paraId="6970D4CD">
      <w:pPr>
        <w:spacing w:line="240" w:lineRule="auto"/>
        <w:ind w:firstLine="482" w:firstLineChars="200"/>
        <w:rPr>
          <w:rFonts w:ascii="黑体" w:hAnsi="黑体" w:eastAsia="黑体"/>
          <w:b/>
          <w:bCs/>
          <w:color w:val="auto"/>
          <w:sz w:val="24"/>
          <w:szCs w:val="24"/>
        </w:rPr>
      </w:pPr>
      <w:r>
        <w:rPr>
          <w:rFonts w:ascii="黑体" w:hAnsi="黑体" w:eastAsia="黑体"/>
          <w:b/>
          <w:bCs/>
          <w:color w:val="auto"/>
          <w:sz w:val="24"/>
          <w:szCs w:val="24"/>
        </w:rPr>
        <w:t>26</w:t>
      </w:r>
      <w:r>
        <w:rPr>
          <w:rFonts w:hint="eastAsia" w:ascii="黑体" w:hAnsi="黑体" w:eastAsia="黑体"/>
          <w:b/>
          <w:bCs/>
          <w:color w:val="auto"/>
          <w:sz w:val="24"/>
          <w:szCs w:val="24"/>
        </w:rPr>
        <w:t>.评审程序、评审方法和评审标准</w:t>
      </w:r>
    </w:p>
    <w:p w14:paraId="77554005">
      <w:pPr>
        <w:spacing w:line="240" w:lineRule="auto"/>
        <w:ind w:firstLine="480" w:firstLineChars="200"/>
        <w:rPr>
          <w:rFonts w:ascii="宋体" w:hAnsi="宋体"/>
          <w:color w:val="auto"/>
          <w:sz w:val="24"/>
          <w:szCs w:val="24"/>
        </w:rPr>
      </w:pPr>
      <w:r>
        <w:rPr>
          <w:rFonts w:ascii="宋体" w:hAnsi="宋体"/>
          <w:color w:val="auto"/>
          <w:sz w:val="24"/>
          <w:szCs w:val="24"/>
        </w:rPr>
        <w:t>26.1</w:t>
      </w:r>
      <w:r>
        <w:rPr>
          <w:rFonts w:hint="eastAsia" w:ascii="宋体" w:hAnsi="宋体"/>
          <w:color w:val="auto"/>
          <w:sz w:val="24"/>
          <w:szCs w:val="24"/>
        </w:rPr>
        <w:t>磋商小组</w:t>
      </w:r>
      <w:r>
        <w:rPr>
          <w:rFonts w:ascii="宋体" w:hAnsi="宋体"/>
          <w:color w:val="auto"/>
          <w:sz w:val="24"/>
          <w:szCs w:val="24"/>
        </w:rPr>
        <w:t>按照</w:t>
      </w:r>
      <w:r>
        <w:rPr>
          <w:rFonts w:hint="eastAsia" w:ascii="宋体" w:hAnsi="宋体"/>
          <w:color w:val="auto"/>
          <w:sz w:val="24"/>
          <w:szCs w:val="24"/>
        </w:rPr>
        <w:t>“第三章 评审程序、评审方法和评审标准”</w:t>
      </w:r>
      <w:r>
        <w:rPr>
          <w:rFonts w:ascii="宋体" w:hAnsi="宋体"/>
          <w:color w:val="auto"/>
          <w:sz w:val="24"/>
          <w:szCs w:val="24"/>
        </w:rPr>
        <w:t>规定的方法、评审因素、标准和程序对</w:t>
      </w:r>
      <w:r>
        <w:rPr>
          <w:rFonts w:hint="eastAsia" w:ascii="宋体" w:hAnsi="宋体"/>
          <w:color w:val="auto"/>
          <w:sz w:val="24"/>
          <w:szCs w:val="24"/>
        </w:rPr>
        <w:t>响应</w:t>
      </w:r>
      <w:r>
        <w:rPr>
          <w:rFonts w:ascii="宋体" w:hAnsi="宋体"/>
          <w:color w:val="auto"/>
          <w:sz w:val="24"/>
          <w:szCs w:val="24"/>
        </w:rPr>
        <w:t>文件进行评审。</w:t>
      </w:r>
    </w:p>
    <w:p w14:paraId="59CD8678">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2</w:t>
      </w:r>
      <w:r>
        <w:rPr>
          <w:rFonts w:ascii="宋体" w:hAnsi="宋体"/>
          <w:color w:val="auto"/>
          <w:sz w:val="24"/>
          <w:szCs w:val="24"/>
        </w:rPr>
        <w:t xml:space="preserve">6.2 </w:t>
      </w:r>
      <w:r>
        <w:rPr>
          <w:rFonts w:hint="eastAsia" w:ascii="宋体" w:hAnsi="宋体"/>
          <w:color w:val="auto"/>
          <w:sz w:val="24"/>
          <w:szCs w:val="24"/>
        </w:rPr>
        <w:t>采购需求负偏离要求及磋商顺序详见 “ 供应商须知前附表”。</w:t>
      </w:r>
    </w:p>
    <w:p w14:paraId="44CF5D51">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2</w:t>
      </w:r>
      <w:r>
        <w:rPr>
          <w:rFonts w:ascii="宋体" w:hAnsi="宋体"/>
          <w:color w:val="auto"/>
          <w:sz w:val="24"/>
          <w:szCs w:val="24"/>
        </w:rPr>
        <w:t>6.3</w:t>
      </w:r>
      <w:r>
        <w:rPr>
          <w:rFonts w:hint="eastAsia" w:ascii="宋体" w:hAnsi="宋体"/>
          <w:color w:val="auto"/>
          <w:sz w:val="24"/>
          <w:szCs w:val="24"/>
        </w:rPr>
        <w:t>电子交易活动的中止。采购过程中出现以下情形，导致电子交易平台无法正常运行，或者无法保证电子交易的公平、公正和安全时，采购机构可中止电子交易活动：</w:t>
      </w:r>
    </w:p>
    <w:p w14:paraId="3169E972">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 xml:space="preserve">（1）电子交易平台发生故障而无法登录访问的； </w:t>
      </w:r>
    </w:p>
    <w:p w14:paraId="67EBF703">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（2）电子交易平台应用或数据库出现错误，不能进行正常操作的；</w:t>
      </w:r>
    </w:p>
    <w:p w14:paraId="7DDBF20B">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（3）电子交易平台发现严重安全漏洞，有潜在泄密危险的；</w:t>
      </w:r>
    </w:p>
    <w:p w14:paraId="1C695C4B">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 xml:space="preserve">（4）病毒发作导致不能进行正常操作的； </w:t>
      </w:r>
    </w:p>
    <w:p w14:paraId="042FD50D">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（4）其他无法保证电子交易的公平、公正和安全的情况。</w:t>
      </w:r>
    </w:p>
    <w:p w14:paraId="6334ACBD">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6D86B792">
      <w:pPr>
        <w:pStyle w:val="6"/>
        <w:spacing w:before="0" w:after="0" w:line="240" w:lineRule="auto"/>
        <w:rPr>
          <w:rFonts w:hint="eastAsia" w:ascii="宋体" w:hAnsi="宋体"/>
          <w:b w:val="0"/>
          <w:bCs w:val="0"/>
          <w:color w:val="auto"/>
          <w:sz w:val="24"/>
          <w:szCs w:val="24"/>
        </w:rPr>
      </w:pPr>
      <w:bookmarkStart w:id="39" w:name="_Toc262"/>
      <w:bookmarkEnd w:id="39"/>
      <w:bookmarkStart w:id="40" w:name="_Toc31886"/>
      <w:bookmarkEnd w:id="40"/>
      <w:r>
        <w:rPr>
          <w:rFonts w:hint="eastAsia" w:ascii="宋体" w:hAnsi="宋体"/>
          <w:b w:val="0"/>
          <w:bCs w:val="0"/>
          <w:color w:val="auto"/>
          <w:sz w:val="24"/>
          <w:szCs w:val="24"/>
        </w:rPr>
        <w:t>五、成交及合同</w:t>
      </w:r>
    </w:p>
    <w:p w14:paraId="640B884F">
      <w:pPr>
        <w:spacing w:line="240" w:lineRule="auto"/>
        <w:ind w:firstLine="482" w:firstLineChars="200"/>
        <w:rPr>
          <w:rFonts w:ascii="黑体" w:hAnsi="黑体" w:eastAsia="黑体"/>
          <w:b/>
          <w:bCs/>
          <w:color w:val="auto"/>
          <w:sz w:val="24"/>
          <w:szCs w:val="24"/>
        </w:rPr>
      </w:pPr>
      <w:r>
        <w:rPr>
          <w:rFonts w:ascii="黑体" w:hAnsi="黑体" w:eastAsia="黑体"/>
          <w:b/>
          <w:bCs/>
          <w:color w:val="auto"/>
          <w:sz w:val="24"/>
          <w:szCs w:val="24"/>
        </w:rPr>
        <w:t>27</w:t>
      </w:r>
      <w:r>
        <w:rPr>
          <w:rFonts w:hint="eastAsia" w:ascii="黑体" w:hAnsi="黑体" w:eastAsia="黑体"/>
          <w:b/>
          <w:bCs/>
          <w:color w:val="auto"/>
          <w:sz w:val="24"/>
          <w:szCs w:val="24"/>
        </w:rPr>
        <w:t>.确定成交供应商及结果公告</w:t>
      </w:r>
    </w:p>
    <w:p w14:paraId="6176B217">
      <w:pPr>
        <w:spacing w:line="240" w:lineRule="auto"/>
        <w:ind w:firstLine="480" w:firstLineChars="200"/>
        <w:rPr>
          <w:rFonts w:ascii="宋体" w:hAnsi="宋体"/>
          <w:color w:val="auto"/>
          <w:sz w:val="24"/>
          <w:szCs w:val="24"/>
        </w:rPr>
      </w:pPr>
      <w:r>
        <w:rPr>
          <w:rFonts w:ascii="宋体" w:hAnsi="宋体"/>
          <w:color w:val="auto"/>
          <w:sz w:val="24"/>
          <w:szCs w:val="24"/>
        </w:rPr>
        <w:t>27</w:t>
      </w:r>
      <w:r>
        <w:rPr>
          <w:rFonts w:hint="eastAsia" w:ascii="宋体" w:hAnsi="宋体"/>
          <w:color w:val="auto"/>
          <w:sz w:val="24"/>
          <w:szCs w:val="24"/>
        </w:rPr>
        <w:t>.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237B3DE">
      <w:pPr>
        <w:spacing w:line="240" w:lineRule="auto"/>
        <w:ind w:firstLine="480" w:firstLineChars="200"/>
        <w:rPr>
          <w:rFonts w:ascii="宋体" w:hAnsi="宋体"/>
          <w:color w:val="auto"/>
          <w:sz w:val="24"/>
          <w:szCs w:val="24"/>
        </w:rPr>
      </w:pPr>
      <w:r>
        <w:rPr>
          <w:rFonts w:ascii="宋体" w:hAnsi="宋体"/>
          <w:color w:val="auto"/>
          <w:sz w:val="24"/>
          <w:szCs w:val="24"/>
        </w:rPr>
        <w:t>27</w:t>
      </w:r>
      <w:r>
        <w:rPr>
          <w:rFonts w:hint="eastAsia" w:ascii="宋体" w:hAnsi="宋体"/>
          <w:color w:val="auto"/>
          <w:sz w:val="24"/>
          <w:szCs w:val="24"/>
        </w:rPr>
        <w:t>.2成交通知及成交结果公告。</w:t>
      </w:r>
      <w:r>
        <w:rPr>
          <w:rFonts w:hint="eastAsia" w:ascii="宋体" w:hAnsi="宋体"/>
          <w:color w:val="auto"/>
          <w:kern w:val="0"/>
          <w:sz w:val="24"/>
          <w:szCs w:val="24"/>
        </w:rPr>
        <w:t>成交</w:t>
      </w:r>
      <w:r>
        <w:rPr>
          <w:rFonts w:hint="eastAsia" w:ascii="宋体" w:hAnsi="宋体"/>
          <w:color w:val="auto"/>
          <w:sz w:val="24"/>
          <w:szCs w:val="24"/>
        </w:rPr>
        <w:t>供应商确定后2个工作日内，在省级以上财政部门指定的媒体上公</w:t>
      </w:r>
      <w:r>
        <w:rPr>
          <w:rFonts w:hint="eastAsia" w:ascii="宋体" w:hAnsi="宋体"/>
          <w:color w:val="auto"/>
          <w:kern w:val="0"/>
          <w:sz w:val="24"/>
          <w:szCs w:val="24"/>
        </w:rPr>
        <w:t>告成交结果，</w:t>
      </w:r>
      <w:r>
        <w:rPr>
          <w:rFonts w:hint="eastAsia" w:ascii="宋体" w:hAnsi="宋体"/>
          <w:color w:val="auto"/>
          <w:sz w:val="24"/>
          <w:szCs w:val="24"/>
        </w:rPr>
        <w:t>同时向成交供应商发出成交通知书，成交通知书规定签订合同的时间不得超过25日。</w:t>
      </w:r>
    </w:p>
    <w:p w14:paraId="64DA3E39">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30F194E0">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2</w:t>
      </w:r>
      <w:r>
        <w:rPr>
          <w:rFonts w:ascii="宋体" w:hAnsi="宋体"/>
          <w:color w:val="auto"/>
          <w:sz w:val="24"/>
          <w:szCs w:val="24"/>
        </w:rPr>
        <w:t>7.</w:t>
      </w:r>
      <w:r>
        <w:rPr>
          <w:rFonts w:hint="eastAsia" w:ascii="宋体" w:hAnsi="宋体"/>
          <w:color w:val="auto"/>
          <w:sz w:val="24"/>
          <w:szCs w:val="24"/>
        </w:rPr>
        <w:t>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65ACF665">
      <w:pPr>
        <w:spacing w:line="240" w:lineRule="auto"/>
        <w:ind w:firstLine="480" w:firstLineChars="200"/>
        <w:rPr>
          <w:rFonts w:ascii="宋体" w:hAnsi="宋体"/>
          <w:bCs/>
          <w:color w:val="auto"/>
          <w:sz w:val="24"/>
          <w:szCs w:val="24"/>
        </w:rPr>
      </w:pPr>
      <w:r>
        <w:rPr>
          <w:rFonts w:ascii="宋体" w:hAnsi="宋体"/>
          <w:bCs/>
          <w:color w:val="auto"/>
          <w:sz w:val="24"/>
          <w:szCs w:val="24"/>
        </w:rPr>
        <w:t>27.</w:t>
      </w:r>
      <w:r>
        <w:rPr>
          <w:rFonts w:hint="eastAsia" w:ascii="宋体" w:hAnsi="宋体"/>
          <w:bCs/>
          <w:color w:val="auto"/>
          <w:sz w:val="24"/>
          <w:szCs w:val="24"/>
        </w:rPr>
        <w:t>5</w:t>
      </w:r>
      <w:r>
        <w:rPr>
          <w:rFonts w:hint="eastAsia" w:ascii="宋体" w:hAnsi="宋体"/>
          <w:color w:val="auto"/>
          <w:sz w:val="24"/>
          <w:szCs w:val="24"/>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1E70B9A0">
      <w:pPr>
        <w:spacing w:line="240" w:lineRule="auto"/>
        <w:ind w:firstLine="482" w:firstLineChars="200"/>
        <w:rPr>
          <w:rFonts w:ascii="黑体" w:hAnsi="黑体" w:eastAsia="黑体"/>
          <w:b/>
          <w:bCs/>
          <w:color w:val="auto"/>
          <w:sz w:val="24"/>
          <w:szCs w:val="24"/>
        </w:rPr>
      </w:pPr>
      <w:r>
        <w:rPr>
          <w:rFonts w:ascii="黑体" w:hAnsi="黑体" w:eastAsia="黑体"/>
          <w:b/>
          <w:bCs/>
          <w:color w:val="auto"/>
          <w:sz w:val="24"/>
          <w:szCs w:val="24"/>
        </w:rPr>
        <w:t>28</w:t>
      </w:r>
      <w:r>
        <w:rPr>
          <w:rFonts w:hint="eastAsia" w:ascii="黑体" w:hAnsi="黑体" w:eastAsia="黑体"/>
          <w:b/>
          <w:bCs/>
          <w:color w:val="auto"/>
          <w:sz w:val="24"/>
          <w:szCs w:val="24"/>
        </w:rPr>
        <w:t>.履约保证金</w:t>
      </w:r>
    </w:p>
    <w:p w14:paraId="5C022A30">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详见 “供应商须知前附表”</w:t>
      </w:r>
    </w:p>
    <w:p w14:paraId="56724ECD">
      <w:pPr>
        <w:spacing w:line="240" w:lineRule="auto"/>
        <w:ind w:firstLine="482" w:firstLineChars="200"/>
        <w:rPr>
          <w:rFonts w:ascii="黑体" w:hAnsi="黑体" w:eastAsia="黑体"/>
          <w:b/>
          <w:bCs/>
          <w:color w:val="auto"/>
          <w:sz w:val="24"/>
          <w:szCs w:val="24"/>
        </w:rPr>
      </w:pPr>
      <w:r>
        <w:rPr>
          <w:rFonts w:ascii="黑体" w:hAnsi="黑体" w:eastAsia="黑体"/>
          <w:b/>
          <w:bCs/>
          <w:color w:val="auto"/>
          <w:sz w:val="24"/>
          <w:szCs w:val="24"/>
        </w:rPr>
        <w:t>29</w:t>
      </w:r>
      <w:r>
        <w:rPr>
          <w:rFonts w:hint="eastAsia" w:ascii="黑体" w:hAnsi="黑体" w:eastAsia="黑体"/>
          <w:b/>
          <w:bCs/>
          <w:color w:val="auto"/>
          <w:sz w:val="24"/>
          <w:szCs w:val="24"/>
        </w:rPr>
        <w:t>.签订合同</w:t>
      </w:r>
    </w:p>
    <w:p w14:paraId="45725C35">
      <w:pPr>
        <w:pStyle w:val="72"/>
        <w:snapToGrid w:val="0"/>
        <w:spacing w:before="0" w:line="240" w:lineRule="auto"/>
        <w:ind w:firstLine="420"/>
        <w:rPr>
          <w:rFonts w:ascii="宋体" w:hAnsi="宋体"/>
          <w:color w:val="auto"/>
          <w:sz w:val="24"/>
          <w:szCs w:val="24"/>
        </w:rPr>
      </w:pPr>
      <w:r>
        <w:rPr>
          <w:rFonts w:ascii="宋体" w:hAnsi="宋体"/>
          <w:color w:val="auto"/>
          <w:sz w:val="24"/>
          <w:szCs w:val="24"/>
        </w:rPr>
        <w:t>29.1</w:t>
      </w:r>
      <w:r>
        <w:rPr>
          <w:rFonts w:hint="eastAsia" w:ascii="宋体" w:hAnsi="宋体"/>
          <w:color w:val="auto"/>
          <w:sz w:val="24"/>
          <w:szCs w:val="24"/>
        </w:rPr>
        <w:t>采购人与成交供应商应当在成交通知书规定的时间内，按照磋商文件确定的合同文本以及采购标的、服务技术、采购金额、采购数量、技术和服务要求等事项签订政府采购合同。</w:t>
      </w:r>
      <w:r>
        <w:rPr>
          <w:rFonts w:hint="eastAsia" w:ascii="宋体" w:hAnsi="宋体"/>
          <w:color w:val="auto"/>
          <w:sz w:val="24"/>
          <w:szCs w:val="24"/>
          <w:lang w:val="zh-CN"/>
        </w:rPr>
        <w:t>如成交供应商为联合体的，由联合体成员各方法定代表人或其授权代表与采购人代表签订合同。</w:t>
      </w:r>
    </w:p>
    <w:p w14:paraId="1251C5A4">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26660794">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6CFE4531">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29.4如签订合同并生效后，供应商无故拒绝或延期，除按照合同条款处理外，列入不良行为记录，并给予通报。</w:t>
      </w:r>
    </w:p>
    <w:p w14:paraId="11C58B77">
      <w:pPr>
        <w:pStyle w:val="72"/>
        <w:spacing w:before="0" w:line="240" w:lineRule="auto"/>
        <w:ind w:firstLine="420"/>
        <w:rPr>
          <w:rFonts w:hint="eastAsia" w:ascii="宋体" w:hAnsi="宋体"/>
          <w:color w:val="auto"/>
          <w:sz w:val="24"/>
          <w:szCs w:val="24"/>
        </w:rPr>
      </w:pPr>
      <w:r>
        <w:rPr>
          <w:rFonts w:hint="eastAsia" w:ascii="宋体" w:hAnsi="宋体"/>
          <w:color w:val="auto"/>
          <w:sz w:val="24"/>
          <w:szCs w:val="24"/>
        </w:rPr>
        <w:t>29</w:t>
      </w:r>
      <w:r>
        <w:rPr>
          <w:rFonts w:ascii="宋体" w:hAnsi="宋体"/>
          <w:color w:val="auto"/>
          <w:sz w:val="24"/>
          <w:szCs w:val="24"/>
        </w:rPr>
        <w:t>.5采购合同由采购人与</w:t>
      </w:r>
      <w:r>
        <w:rPr>
          <w:rFonts w:hint="eastAsia" w:ascii="宋体" w:hAnsi="宋体"/>
          <w:color w:val="auto"/>
          <w:sz w:val="24"/>
          <w:szCs w:val="24"/>
        </w:rPr>
        <w:t>成交</w:t>
      </w:r>
      <w:r>
        <w:rPr>
          <w:rFonts w:ascii="宋体" w:hAnsi="宋体"/>
          <w:color w:val="auto"/>
          <w:sz w:val="24"/>
          <w:szCs w:val="24"/>
        </w:rPr>
        <w:t>供应商根据</w:t>
      </w:r>
      <w:r>
        <w:rPr>
          <w:rFonts w:hint="eastAsia" w:ascii="宋体" w:hAnsi="宋体"/>
          <w:color w:val="auto"/>
          <w:sz w:val="24"/>
          <w:szCs w:val="24"/>
        </w:rPr>
        <w:t>磋商文件、响应文件等内容通过政府采购电子交易平台在线签订，自动备案，在线签订须携带的材料见“</w:t>
      </w:r>
      <w:r>
        <w:rPr>
          <w:rFonts w:hint="eastAsia"/>
          <w:color w:val="auto"/>
          <w:sz w:val="24"/>
          <w:szCs w:val="24"/>
        </w:rPr>
        <w:t xml:space="preserve"> </w:t>
      </w:r>
      <w:r>
        <w:rPr>
          <w:rFonts w:hint="eastAsia" w:ascii="宋体" w:hAnsi="宋体"/>
          <w:color w:val="auto"/>
          <w:sz w:val="24"/>
          <w:szCs w:val="24"/>
        </w:rPr>
        <w:t>供应商须知前附表”。</w:t>
      </w:r>
    </w:p>
    <w:p w14:paraId="3586C8D0">
      <w:pPr>
        <w:spacing w:line="240" w:lineRule="auto"/>
        <w:ind w:firstLine="482" w:firstLineChars="200"/>
        <w:rPr>
          <w:rFonts w:ascii="黑体" w:hAnsi="黑体" w:eastAsia="黑体"/>
          <w:b/>
          <w:bCs/>
          <w:color w:val="auto"/>
          <w:sz w:val="24"/>
          <w:szCs w:val="24"/>
        </w:rPr>
      </w:pPr>
      <w:r>
        <w:rPr>
          <w:rFonts w:ascii="黑体" w:hAnsi="黑体" w:eastAsia="黑体"/>
          <w:b/>
          <w:bCs/>
          <w:color w:val="auto"/>
          <w:sz w:val="24"/>
          <w:szCs w:val="24"/>
        </w:rPr>
        <w:t>30</w:t>
      </w:r>
      <w:r>
        <w:rPr>
          <w:rFonts w:hint="eastAsia" w:ascii="黑体" w:hAnsi="黑体" w:eastAsia="黑体"/>
          <w:b/>
          <w:bCs/>
          <w:color w:val="auto"/>
          <w:sz w:val="24"/>
          <w:szCs w:val="24"/>
        </w:rPr>
        <w:t>.政府采购合同公告</w:t>
      </w:r>
    </w:p>
    <w:p w14:paraId="064AB2B0">
      <w:pPr>
        <w:spacing w:line="240" w:lineRule="auto"/>
        <w:ind w:firstLine="480" w:firstLineChars="200"/>
        <w:rPr>
          <w:rFonts w:hint="eastAsia" w:hAnsi="宋体"/>
          <w:color w:val="auto"/>
          <w:sz w:val="24"/>
          <w:szCs w:val="24"/>
        </w:rPr>
      </w:pPr>
      <w:r>
        <w:rPr>
          <w:rFonts w:hint="eastAsia" w:hAnsi="宋体"/>
          <w:color w:val="auto"/>
          <w:sz w:val="24"/>
          <w:szCs w:val="24"/>
        </w:rPr>
        <w:t>采购人或者受托采购代理机构应当自政府采购合同签订之日起2个工作日内，将政府采购合同</w:t>
      </w:r>
      <w:r>
        <w:rPr>
          <w:rFonts w:hint="eastAsia" w:ascii="宋体" w:hAnsi="宋体"/>
          <w:bCs/>
          <w:color w:val="auto"/>
          <w:sz w:val="24"/>
          <w:szCs w:val="24"/>
        </w:rPr>
        <w:t>在以下媒体上发布</w:t>
      </w:r>
      <w:r>
        <w:rPr>
          <w:rFonts w:hint="eastAsia" w:ascii="宋体" w:hAnsi="宋体"/>
          <w:color w:val="auto"/>
          <w:kern w:val="0"/>
          <w:sz w:val="24"/>
          <w:szCs w:val="24"/>
        </w:rPr>
        <w:t xml:space="preserve"> “广西政府采购网”（http://zfcg.gxzf.gov.cn）</w:t>
      </w:r>
      <w:r>
        <w:rPr>
          <w:rFonts w:hint="eastAsia" w:hAnsi="宋体"/>
          <w:color w:val="auto"/>
          <w:sz w:val="24"/>
          <w:szCs w:val="24"/>
        </w:rPr>
        <w:t>上公告，</w:t>
      </w:r>
      <w:r>
        <w:rPr>
          <w:rFonts w:hAnsi="宋体"/>
          <w:color w:val="auto"/>
          <w:sz w:val="24"/>
          <w:szCs w:val="24"/>
        </w:rPr>
        <w:t>但政府采购合同中涉及国家秘密、商业秘密的内容除外。</w:t>
      </w:r>
    </w:p>
    <w:p w14:paraId="4C9D1272">
      <w:pPr>
        <w:spacing w:line="240" w:lineRule="auto"/>
        <w:ind w:firstLine="482" w:firstLineChars="200"/>
        <w:rPr>
          <w:rFonts w:ascii="黑体" w:hAnsi="黑体" w:eastAsia="黑体"/>
          <w:b/>
          <w:bCs/>
          <w:color w:val="auto"/>
          <w:sz w:val="24"/>
          <w:szCs w:val="24"/>
        </w:rPr>
      </w:pPr>
      <w:r>
        <w:rPr>
          <w:rFonts w:ascii="黑体" w:hAnsi="黑体" w:eastAsia="黑体"/>
          <w:b/>
          <w:bCs/>
          <w:color w:val="auto"/>
          <w:sz w:val="24"/>
          <w:szCs w:val="24"/>
        </w:rPr>
        <w:t>31</w:t>
      </w:r>
      <w:r>
        <w:rPr>
          <w:rFonts w:hint="eastAsia" w:ascii="黑体" w:hAnsi="黑体" w:eastAsia="黑体"/>
          <w:b/>
          <w:bCs/>
          <w:color w:val="auto"/>
          <w:sz w:val="24"/>
          <w:szCs w:val="24"/>
        </w:rPr>
        <w:t>. 询问、质疑和投诉</w:t>
      </w:r>
    </w:p>
    <w:p w14:paraId="3578E472">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3</w:t>
      </w:r>
      <w:r>
        <w:rPr>
          <w:rFonts w:ascii="宋体" w:hAnsi="宋体"/>
          <w:color w:val="auto"/>
          <w:sz w:val="24"/>
          <w:szCs w:val="24"/>
        </w:rPr>
        <w:t>1</w:t>
      </w:r>
      <w:r>
        <w:rPr>
          <w:rFonts w:hint="eastAsia" w:ascii="宋体" w:hAnsi="宋体"/>
          <w:color w:val="auto"/>
          <w:sz w:val="24"/>
          <w:szCs w:val="24"/>
        </w:rPr>
        <w:t>.1供应商对政府采购活动事项有疑问的，可以向采购人、采购代理机构提出询问，采购人或者采购代理机构应当在3个工作日内对供应商依法提出的询问作出答复。</w:t>
      </w:r>
    </w:p>
    <w:p w14:paraId="2C1837C1">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3</w:t>
      </w:r>
      <w:r>
        <w:rPr>
          <w:rFonts w:ascii="宋体" w:hAnsi="宋体"/>
          <w:color w:val="auto"/>
          <w:sz w:val="24"/>
          <w:szCs w:val="24"/>
        </w:rPr>
        <w:t>1</w:t>
      </w:r>
      <w:r>
        <w:rPr>
          <w:rFonts w:hint="eastAsia" w:ascii="宋体" w:hAnsi="宋体"/>
          <w:color w:val="auto"/>
          <w:sz w:val="24"/>
          <w:szCs w:val="24"/>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olor w:val="auto"/>
          <w:sz w:val="24"/>
          <w:szCs w:val="24"/>
          <w:shd w:val="clear" w:color="auto" w:fill="FFFFFF"/>
        </w:rPr>
        <w:t>接收质疑函的方式、联系部门、联系电话和通讯地址等信息</w:t>
      </w:r>
      <w:r>
        <w:rPr>
          <w:rFonts w:hint="eastAsia" w:ascii="宋体" w:hAnsi="宋体"/>
          <w:color w:val="auto"/>
          <w:sz w:val="24"/>
          <w:szCs w:val="24"/>
          <w:shd w:val="clear" w:color="auto" w:fill="FFFFFF"/>
        </w:rPr>
        <w:t>详见</w:t>
      </w:r>
      <w:r>
        <w:rPr>
          <w:rFonts w:hint="eastAsia" w:ascii="宋体" w:hAnsi="宋体"/>
          <w:color w:val="auto"/>
          <w:sz w:val="24"/>
          <w:szCs w:val="24"/>
        </w:rPr>
        <w:t>“供应商须知前附表”。</w:t>
      </w:r>
      <w:r>
        <w:rPr>
          <w:rFonts w:hint="eastAsia" w:ascii="宋体" w:hAnsi="宋体"/>
          <w:bCs/>
          <w:color w:val="auto"/>
          <w:sz w:val="24"/>
          <w:szCs w:val="24"/>
        </w:rPr>
        <w:t xml:space="preserve">具体质疑起算时间及处理方式如下： </w:t>
      </w:r>
    </w:p>
    <w:p w14:paraId="103B154F">
      <w:pPr>
        <w:spacing w:line="240" w:lineRule="auto"/>
        <w:ind w:firstLine="480" w:firstLineChars="200"/>
        <w:rPr>
          <w:rFonts w:hint="eastAsia" w:hAnsi="宋体"/>
          <w:bCs/>
          <w:color w:val="auto"/>
          <w:sz w:val="24"/>
          <w:szCs w:val="24"/>
        </w:rPr>
      </w:pPr>
      <w:r>
        <w:rPr>
          <w:rFonts w:hint="eastAsia" w:hAnsi="宋体"/>
          <w:bCs/>
          <w:color w:val="auto"/>
          <w:sz w:val="24"/>
          <w:szCs w:val="24"/>
        </w:rPr>
        <w:t>（1）潜在供应商依法获取采购文件后，认为采购文件使自己的权益受到损害的，应当在竞争性磋商采购文件公告期限届满之日起7个工作日内提出质疑。</w:t>
      </w:r>
      <w:r>
        <w:rPr>
          <w:rFonts w:hint="eastAsia"/>
          <w:color w:val="auto"/>
          <w:sz w:val="24"/>
          <w:szCs w:val="24"/>
        </w:rPr>
        <w:t>委托代理协议无特殊约定的，</w:t>
      </w:r>
      <w:r>
        <w:rPr>
          <w:rFonts w:hint="eastAsia" w:hAnsi="宋体"/>
          <w:bCs/>
          <w:color w:val="auto"/>
          <w:sz w:val="24"/>
          <w:szCs w:val="24"/>
        </w:rPr>
        <w:t>对竞争性磋商文件中采购需求（含资格要求、采购预算和评分办法）的质疑由采购人受理并负责答复；对竞争性磋商文件中的采购执行程序的质疑由采购代理机构受理并负责答复。</w:t>
      </w:r>
    </w:p>
    <w:p w14:paraId="21BEE875">
      <w:pPr>
        <w:spacing w:line="240" w:lineRule="auto"/>
        <w:ind w:firstLine="480" w:firstLineChars="200"/>
        <w:rPr>
          <w:rFonts w:hint="eastAsia" w:hAnsi="宋体"/>
          <w:bCs/>
          <w:color w:val="auto"/>
          <w:sz w:val="24"/>
          <w:szCs w:val="24"/>
        </w:rPr>
      </w:pPr>
      <w:r>
        <w:rPr>
          <w:rFonts w:hint="eastAsia" w:hAnsi="宋体"/>
          <w:bCs/>
          <w:color w:val="auto"/>
          <w:sz w:val="24"/>
          <w:szCs w:val="24"/>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3FEDEBF0">
      <w:pPr>
        <w:spacing w:line="240" w:lineRule="auto"/>
        <w:ind w:firstLine="480" w:firstLineChars="200"/>
        <w:rPr>
          <w:rFonts w:hint="eastAsia" w:hAnsi="宋体"/>
          <w:bCs/>
          <w:color w:val="auto"/>
          <w:sz w:val="24"/>
          <w:szCs w:val="24"/>
        </w:rPr>
      </w:pPr>
      <w:r>
        <w:rPr>
          <w:rFonts w:hint="eastAsia" w:hAnsi="宋体"/>
          <w:bCs/>
          <w:color w:val="auto"/>
          <w:sz w:val="24"/>
          <w:szCs w:val="24"/>
        </w:rPr>
        <w:t>（3）供应商认为成交结果使自己的权益受到损害的，应当在成交结果公告期限届满之日起7个工作日内提出质疑，由采购人受理并负责答复。</w:t>
      </w:r>
    </w:p>
    <w:p w14:paraId="5B91B04B">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3</w:t>
      </w:r>
      <w:r>
        <w:rPr>
          <w:rFonts w:ascii="宋体" w:hAnsi="宋体"/>
          <w:color w:val="auto"/>
          <w:sz w:val="24"/>
          <w:szCs w:val="24"/>
        </w:rPr>
        <w:t>1</w:t>
      </w:r>
      <w:r>
        <w:rPr>
          <w:rFonts w:hint="eastAsia" w:ascii="宋体" w:hAnsi="宋体"/>
          <w:color w:val="auto"/>
          <w:sz w:val="24"/>
          <w:szCs w:val="24"/>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1F8EAEAA">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3</w:t>
      </w:r>
      <w:r>
        <w:rPr>
          <w:rFonts w:ascii="宋体" w:hAnsi="宋体"/>
          <w:color w:val="auto"/>
          <w:sz w:val="24"/>
          <w:szCs w:val="24"/>
        </w:rPr>
        <w:t>1</w:t>
      </w:r>
      <w:r>
        <w:rPr>
          <w:rFonts w:hint="eastAsia" w:ascii="宋体" w:hAnsi="宋体"/>
          <w:color w:val="auto"/>
          <w:sz w:val="24"/>
          <w:szCs w:val="24"/>
        </w:rPr>
        <w:t>.4 供应商提出质疑应当提交质疑函和必要的证明材料，针对同一采购程序环节的质疑必须在法定质疑期内一次性提出。质疑函应当包括下列内容</w:t>
      </w:r>
      <w:r>
        <w:rPr>
          <w:rFonts w:hint="eastAsia" w:hAnsi="宋体"/>
          <w:bCs/>
          <w:color w:val="auto"/>
          <w:sz w:val="24"/>
          <w:szCs w:val="24"/>
        </w:rPr>
        <w:t>（质疑函格式后附）</w:t>
      </w:r>
      <w:r>
        <w:rPr>
          <w:rFonts w:hint="eastAsia" w:ascii="宋体" w:hAnsi="宋体"/>
          <w:color w:val="auto"/>
          <w:sz w:val="24"/>
          <w:szCs w:val="24"/>
        </w:rPr>
        <w:t>：</w:t>
      </w:r>
    </w:p>
    <w:p w14:paraId="38018AE1">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（1）供应商的姓名或者名称、地址、邮编、联系人及联系电话；</w:t>
      </w:r>
    </w:p>
    <w:p w14:paraId="30D7AE8B">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（2）质疑项目的名称、编号；</w:t>
      </w:r>
    </w:p>
    <w:p w14:paraId="299CB8EE">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（3）具体、明确的质疑事项和与质疑事项相关的请求；</w:t>
      </w:r>
    </w:p>
    <w:p w14:paraId="7B964F20">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（4）事实依据；</w:t>
      </w:r>
    </w:p>
    <w:p w14:paraId="6DF92184">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（5）必要的法律依据；</w:t>
      </w:r>
    </w:p>
    <w:p w14:paraId="4A9799D5">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（6）提出质疑的日期。</w:t>
      </w:r>
    </w:p>
    <w:p w14:paraId="11633416">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供应商为自然人的，应当由本人签字；供应商为法人或者其他组织的，应当由法定代表人、主要负责人，或者其委托代理人签字或者盖章，并加盖公章。</w:t>
      </w:r>
    </w:p>
    <w:p w14:paraId="17F34CE6">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3</w:t>
      </w:r>
      <w:r>
        <w:rPr>
          <w:rFonts w:ascii="宋体" w:hAnsi="宋体"/>
          <w:color w:val="auto"/>
          <w:sz w:val="24"/>
          <w:szCs w:val="24"/>
        </w:rPr>
        <w:t>1.5</w:t>
      </w:r>
      <w:r>
        <w:rPr>
          <w:rFonts w:hint="eastAsia" w:ascii="宋体" w:hAnsi="宋体"/>
          <w:color w:val="auto"/>
          <w:sz w:val="24"/>
          <w:szCs w:val="24"/>
        </w:rPr>
        <w:t>采购人、采购代理机构认为供应商质疑不成立，或者成立但未对成交结果构成影响的，继续开展采购活动；认为供应商质疑成立且影响或者可能影响成交结果的，按照下列情况处理：</w:t>
      </w:r>
    </w:p>
    <w:p w14:paraId="61770847">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（一）对采购文件提出的质疑，依法通过澄清或者修改可以继续开展采购活动的，澄清或者修改采购文件后继续开展采购活动；否则应当修改采购文件后重新开展采购活动。</w:t>
      </w:r>
    </w:p>
    <w:p w14:paraId="79493333">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（二）对采购过程或者成交结果提出的质疑，合格供应商符合法定数量时，可以从合格的成交候选人中另行确定成交供应商的，应当依法另行确定成交供应商；否则应当重新开展采购活动。</w:t>
      </w:r>
    </w:p>
    <w:p w14:paraId="0C80DC0F">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质疑答复导致成交结果改变的，采购人或者采购代理机构应当将有关情况书面报告本级财政部门。</w:t>
      </w:r>
    </w:p>
    <w:p w14:paraId="6971CCFF">
      <w:pPr>
        <w:spacing w:line="240" w:lineRule="auto"/>
        <w:ind w:firstLine="480" w:firstLineChars="200"/>
        <w:rPr>
          <w:rFonts w:ascii="宋体" w:hAnsi="宋体"/>
          <w:color w:val="auto"/>
          <w:sz w:val="24"/>
          <w:szCs w:val="24"/>
        </w:rPr>
      </w:pPr>
      <w:r>
        <w:rPr>
          <w:rFonts w:ascii="宋体" w:hAnsi="宋体"/>
          <w:color w:val="auto"/>
          <w:sz w:val="24"/>
          <w:szCs w:val="24"/>
        </w:rPr>
        <w:t>31</w:t>
      </w:r>
      <w:r>
        <w:rPr>
          <w:rFonts w:hint="eastAsia" w:ascii="宋体" w:hAnsi="宋体"/>
          <w:color w:val="auto"/>
          <w:sz w:val="24"/>
          <w:szCs w:val="24"/>
        </w:rPr>
        <w:t>.</w:t>
      </w:r>
      <w:r>
        <w:rPr>
          <w:rFonts w:ascii="宋体" w:hAnsi="宋体"/>
          <w:color w:val="auto"/>
          <w:sz w:val="24"/>
          <w:szCs w:val="24"/>
        </w:rPr>
        <w:t>6</w:t>
      </w:r>
      <w:r>
        <w:rPr>
          <w:rFonts w:hint="eastAsia" w:ascii="宋体" w:hAnsi="宋体"/>
          <w:color w:val="auto"/>
          <w:sz w:val="24"/>
          <w:szCs w:val="24"/>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4160ED28">
      <w:pPr>
        <w:pStyle w:val="6"/>
        <w:spacing w:before="0" w:after="0" w:line="240" w:lineRule="auto"/>
        <w:rPr>
          <w:rFonts w:hint="eastAsia" w:ascii="宋体" w:hAnsi="宋体"/>
          <w:color w:val="auto"/>
          <w:sz w:val="24"/>
          <w:szCs w:val="24"/>
        </w:rPr>
      </w:pPr>
      <w:bookmarkStart w:id="41" w:name="_Toc9121"/>
      <w:bookmarkEnd w:id="41"/>
      <w:bookmarkStart w:id="42" w:name="_Toc29254"/>
      <w:bookmarkEnd w:id="42"/>
      <w:r>
        <w:rPr>
          <w:rFonts w:hint="eastAsia" w:ascii="宋体" w:hAnsi="宋体"/>
          <w:color w:val="auto"/>
          <w:sz w:val="24"/>
          <w:szCs w:val="24"/>
        </w:rPr>
        <w:t>六</w:t>
      </w:r>
      <w:r>
        <w:rPr>
          <w:rFonts w:hint="eastAsia" w:ascii="宋体" w:hAnsi="宋体"/>
          <w:b w:val="0"/>
          <w:color w:val="auto"/>
          <w:sz w:val="24"/>
          <w:szCs w:val="24"/>
        </w:rPr>
        <w:t>、验收</w:t>
      </w:r>
    </w:p>
    <w:p w14:paraId="49551EF9">
      <w:pPr>
        <w:tabs>
          <w:tab w:val="left" w:pos="0"/>
        </w:tabs>
        <w:spacing w:line="240" w:lineRule="auto"/>
        <w:ind w:firstLine="482" w:firstLineChars="200"/>
        <w:rPr>
          <w:rFonts w:hint="eastAsia" w:ascii="黑体" w:hAnsi="黑体" w:eastAsia="黑体"/>
          <w:b/>
          <w:bCs/>
          <w:color w:val="auto"/>
          <w:sz w:val="24"/>
          <w:szCs w:val="24"/>
        </w:rPr>
      </w:pPr>
      <w:r>
        <w:rPr>
          <w:rFonts w:hint="eastAsia" w:ascii="黑体" w:hAnsi="黑体" w:eastAsia="黑体"/>
          <w:b/>
          <w:bCs/>
          <w:color w:val="auto"/>
          <w:sz w:val="24"/>
          <w:szCs w:val="24"/>
        </w:rPr>
        <w:t>32.验收</w:t>
      </w:r>
    </w:p>
    <w:p w14:paraId="2402F7AA">
      <w:pPr>
        <w:tabs>
          <w:tab w:val="left" w:pos="0"/>
        </w:tabs>
        <w:spacing w:line="240" w:lineRule="auto"/>
        <w:ind w:firstLine="480" w:firstLineChars="200"/>
        <w:rPr>
          <w:rFonts w:hint="eastAsia" w:ascii="宋体" w:hAnsi="宋体"/>
          <w:color w:val="auto"/>
          <w:kern w:val="0"/>
          <w:sz w:val="24"/>
          <w:szCs w:val="24"/>
        </w:rPr>
      </w:pPr>
      <w:r>
        <w:rPr>
          <w:rFonts w:hint="eastAsia" w:ascii="宋体" w:hAnsi="宋体"/>
          <w:color w:val="auto"/>
          <w:kern w:val="0"/>
          <w:sz w:val="24"/>
          <w:szCs w:val="24"/>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AD16C67">
      <w:pPr>
        <w:tabs>
          <w:tab w:val="left" w:pos="0"/>
        </w:tabs>
        <w:spacing w:line="240" w:lineRule="auto"/>
        <w:ind w:firstLine="480" w:firstLineChars="200"/>
        <w:rPr>
          <w:rFonts w:hint="eastAsia" w:ascii="宋体" w:hAnsi="宋体"/>
          <w:color w:val="auto"/>
          <w:kern w:val="0"/>
          <w:sz w:val="24"/>
          <w:szCs w:val="24"/>
        </w:rPr>
      </w:pPr>
      <w:r>
        <w:rPr>
          <w:rFonts w:hint="eastAsia" w:ascii="宋体" w:hAnsi="宋体"/>
          <w:color w:val="auto"/>
          <w:kern w:val="0"/>
          <w:sz w:val="24"/>
          <w:szCs w:val="24"/>
        </w:rPr>
        <w:t>32.2采购人可以邀请参加本项目的其他供应商或者第三方机构参与验收。参与验收的供应商或者第三方机构的意见作为验收书的参考资料一并存档。</w:t>
      </w:r>
    </w:p>
    <w:p w14:paraId="75161221">
      <w:pPr>
        <w:tabs>
          <w:tab w:val="left" w:pos="0"/>
        </w:tabs>
        <w:spacing w:line="240" w:lineRule="auto"/>
        <w:ind w:firstLine="480" w:firstLineChars="200"/>
        <w:rPr>
          <w:rFonts w:hint="eastAsia" w:ascii="宋体" w:hAnsi="宋体"/>
          <w:color w:val="auto"/>
          <w:kern w:val="0"/>
          <w:sz w:val="24"/>
          <w:szCs w:val="24"/>
        </w:rPr>
      </w:pPr>
      <w:r>
        <w:rPr>
          <w:rFonts w:hint="eastAsia" w:ascii="宋体" w:hAnsi="宋体"/>
          <w:color w:val="auto"/>
          <w:kern w:val="0"/>
          <w:sz w:val="24"/>
          <w:szCs w:val="24"/>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1BD8AF3">
      <w:pPr>
        <w:tabs>
          <w:tab w:val="left" w:pos="0"/>
        </w:tabs>
        <w:spacing w:line="240" w:lineRule="auto"/>
        <w:ind w:firstLine="480" w:firstLineChars="200"/>
        <w:rPr>
          <w:rFonts w:hint="eastAsia" w:ascii="宋体" w:hAnsi="宋体"/>
          <w:color w:val="auto"/>
          <w:kern w:val="0"/>
          <w:sz w:val="24"/>
          <w:szCs w:val="24"/>
        </w:rPr>
      </w:pPr>
      <w:r>
        <w:rPr>
          <w:rFonts w:hint="eastAsia" w:ascii="宋体" w:hAnsi="宋体"/>
          <w:color w:val="auto"/>
          <w:kern w:val="0"/>
          <w:sz w:val="24"/>
          <w:szCs w:val="24"/>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12F902">
      <w:pPr>
        <w:pStyle w:val="6"/>
        <w:spacing w:before="0" w:after="0" w:line="240" w:lineRule="auto"/>
        <w:rPr>
          <w:rFonts w:hint="eastAsia" w:ascii="宋体" w:hAnsi="宋体"/>
          <w:b w:val="0"/>
          <w:bCs w:val="0"/>
          <w:color w:val="auto"/>
          <w:sz w:val="24"/>
          <w:szCs w:val="24"/>
        </w:rPr>
      </w:pPr>
      <w:bookmarkStart w:id="43" w:name="_Toc1751"/>
      <w:bookmarkEnd w:id="43"/>
      <w:bookmarkStart w:id="44" w:name="_Toc24702"/>
      <w:bookmarkEnd w:id="44"/>
      <w:r>
        <w:rPr>
          <w:rFonts w:hint="eastAsia" w:ascii="宋体" w:hAnsi="宋体"/>
          <w:b w:val="0"/>
          <w:bCs w:val="0"/>
          <w:color w:val="auto"/>
          <w:sz w:val="24"/>
          <w:szCs w:val="24"/>
        </w:rPr>
        <w:t>七、其他事项</w:t>
      </w:r>
    </w:p>
    <w:p w14:paraId="338384B6">
      <w:pPr>
        <w:spacing w:line="240" w:lineRule="auto"/>
        <w:ind w:firstLine="482" w:firstLineChars="200"/>
        <w:rPr>
          <w:rFonts w:ascii="黑体" w:hAnsi="黑体" w:eastAsia="黑体"/>
          <w:b/>
          <w:bCs/>
          <w:color w:val="auto"/>
          <w:sz w:val="24"/>
          <w:szCs w:val="24"/>
        </w:rPr>
      </w:pPr>
      <w:r>
        <w:rPr>
          <w:rFonts w:ascii="黑体" w:hAnsi="黑体" w:eastAsia="黑体"/>
          <w:b/>
          <w:bCs/>
          <w:color w:val="auto"/>
          <w:sz w:val="24"/>
          <w:szCs w:val="24"/>
        </w:rPr>
        <w:t>3</w:t>
      </w:r>
      <w:r>
        <w:rPr>
          <w:rFonts w:hint="eastAsia" w:ascii="黑体" w:hAnsi="黑体" w:eastAsia="黑体"/>
          <w:b/>
          <w:bCs/>
          <w:color w:val="auto"/>
          <w:sz w:val="24"/>
          <w:szCs w:val="24"/>
        </w:rPr>
        <w:t>3.代理服务费</w:t>
      </w:r>
    </w:p>
    <w:p w14:paraId="1208911F">
      <w:pPr>
        <w:tabs>
          <w:tab w:val="left" w:pos="2835"/>
        </w:tabs>
        <w:spacing w:line="240" w:lineRule="auto"/>
        <w:ind w:firstLine="480" w:firstLineChars="200"/>
        <w:rPr>
          <w:rFonts w:hint="eastAsia" w:ascii="宋体" w:hAnsi="宋体"/>
          <w:color w:val="auto"/>
          <w:sz w:val="24"/>
          <w:szCs w:val="24"/>
        </w:rPr>
      </w:pPr>
      <w:r>
        <w:rPr>
          <w:rFonts w:hint="eastAsia" w:ascii="宋体" w:hAnsi="宋体"/>
          <w:color w:val="auto"/>
          <w:sz w:val="24"/>
          <w:szCs w:val="24"/>
        </w:rPr>
        <w:t>代理服务收费标准及缴费账户详见“供应商须知前附表”。</w:t>
      </w:r>
    </w:p>
    <w:p w14:paraId="51F04F18">
      <w:pPr>
        <w:spacing w:line="240" w:lineRule="auto"/>
        <w:ind w:firstLine="482" w:firstLineChars="200"/>
        <w:rPr>
          <w:rFonts w:hint="eastAsia" w:ascii="黑体" w:hAnsi="黑体" w:eastAsia="黑体"/>
          <w:b/>
          <w:bCs/>
          <w:color w:val="auto"/>
          <w:sz w:val="24"/>
          <w:szCs w:val="24"/>
        </w:rPr>
      </w:pPr>
      <w:r>
        <w:rPr>
          <w:rFonts w:hint="eastAsia" w:ascii="黑体" w:hAnsi="黑体" w:eastAsia="黑体"/>
          <w:b/>
          <w:bCs/>
          <w:color w:val="auto"/>
          <w:sz w:val="24"/>
          <w:szCs w:val="24"/>
        </w:rPr>
        <w:t>34</w:t>
      </w:r>
      <w:r>
        <w:rPr>
          <w:rFonts w:ascii="黑体" w:hAnsi="黑体" w:eastAsia="黑体"/>
          <w:b/>
          <w:bCs/>
          <w:color w:val="auto"/>
          <w:sz w:val="24"/>
          <w:szCs w:val="24"/>
        </w:rPr>
        <w:t>.需要补充的其他内容</w:t>
      </w:r>
    </w:p>
    <w:p w14:paraId="407BD608">
      <w:pPr>
        <w:pStyle w:val="32"/>
        <w:spacing w:line="240" w:lineRule="auto"/>
        <w:ind w:firstLine="480" w:firstLineChars="200"/>
        <w:rPr>
          <w:rFonts w:hint="eastAsia" w:hAnsi="宋体"/>
          <w:color w:val="auto"/>
          <w:kern w:val="2"/>
          <w:sz w:val="24"/>
          <w:szCs w:val="24"/>
        </w:rPr>
      </w:pPr>
      <w:r>
        <w:rPr>
          <w:rFonts w:hint="eastAsia" w:hAnsi="宋体"/>
          <w:color w:val="auto"/>
          <w:kern w:val="2"/>
          <w:sz w:val="24"/>
          <w:szCs w:val="24"/>
        </w:rPr>
        <w:t>34</w:t>
      </w:r>
      <w:r>
        <w:rPr>
          <w:rFonts w:hAnsi="宋体"/>
          <w:color w:val="auto"/>
          <w:kern w:val="2"/>
          <w:sz w:val="24"/>
          <w:szCs w:val="24"/>
        </w:rPr>
        <w:t>.1</w:t>
      </w:r>
      <w:r>
        <w:rPr>
          <w:rFonts w:hint="eastAsia" w:hAnsi="宋体"/>
          <w:color w:val="auto"/>
          <w:kern w:val="2"/>
          <w:sz w:val="24"/>
          <w:szCs w:val="24"/>
        </w:rPr>
        <w:t>本磋商文件解释规则详见“供应商须知前附表”。</w:t>
      </w:r>
    </w:p>
    <w:p w14:paraId="398C1BB2">
      <w:pPr>
        <w:pStyle w:val="32"/>
        <w:spacing w:line="240" w:lineRule="auto"/>
        <w:ind w:firstLine="480" w:firstLineChars="200"/>
        <w:rPr>
          <w:rFonts w:hAnsi="宋体"/>
          <w:color w:val="auto"/>
          <w:kern w:val="2"/>
          <w:sz w:val="24"/>
          <w:szCs w:val="24"/>
        </w:rPr>
      </w:pPr>
      <w:r>
        <w:rPr>
          <w:rFonts w:hAnsi="宋体"/>
          <w:color w:val="auto"/>
          <w:kern w:val="2"/>
          <w:sz w:val="24"/>
          <w:szCs w:val="24"/>
        </w:rPr>
        <w:t>3</w:t>
      </w:r>
      <w:r>
        <w:rPr>
          <w:rFonts w:hint="eastAsia" w:hAnsi="宋体"/>
          <w:color w:val="auto"/>
          <w:kern w:val="2"/>
          <w:sz w:val="24"/>
          <w:szCs w:val="24"/>
        </w:rPr>
        <w:t>4</w:t>
      </w:r>
      <w:r>
        <w:rPr>
          <w:rFonts w:hAnsi="宋体"/>
          <w:color w:val="auto"/>
          <w:kern w:val="2"/>
          <w:sz w:val="24"/>
          <w:szCs w:val="24"/>
        </w:rPr>
        <w:t>.2</w:t>
      </w:r>
      <w:r>
        <w:rPr>
          <w:rFonts w:hint="eastAsia" w:hAnsi="宋体"/>
          <w:color w:val="auto"/>
          <w:kern w:val="2"/>
          <w:sz w:val="24"/>
          <w:szCs w:val="24"/>
        </w:rPr>
        <w:t xml:space="preserve"> 其他事项详见“供应商须知前附表”。</w:t>
      </w:r>
    </w:p>
    <w:p w14:paraId="507D8850">
      <w:pPr>
        <w:pStyle w:val="32"/>
        <w:spacing w:line="240" w:lineRule="auto"/>
        <w:ind w:firstLine="480" w:firstLineChars="200"/>
        <w:rPr>
          <w:rFonts w:hint="eastAsia" w:hAnsi="宋体"/>
          <w:color w:val="auto"/>
          <w:kern w:val="2"/>
          <w:sz w:val="24"/>
          <w:szCs w:val="24"/>
        </w:rPr>
      </w:pPr>
      <w:r>
        <w:rPr>
          <w:rFonts w:hint="eastAsia" w:hAnsi="宋体"/>
          <w:color w:val="auto"/>
          <w:kern w:val="2"/>
          <w:sz w:val="24"/>
          <w:szCs w:val="24"/>
        </w:rPr>
        <w:t>34</w:t>
      </w:r>
      <w:r>
        <w:rPr>
          <w:rFonts w:hAnsi="宋体"/>
          <w:color w:val="auto"/>
          <w:kern w:val="2"/>
          <w:sz w:val="24"/>
          <w:szCs w:val="24"/>
        </w:rPr>
        <w:t>.3</w:t>
      </w:r>
      <w:r>
        <w:rPr>
          <w:rFonts w:hint="eastAsia" w:hAnsi="宋体"/>
          <w:color w:val="auto"/>
          <w:kern w:val="2"/>
          <w:sz w:val="24"/>
          <w:szCs w:val="24"/>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hAnsi="宋体"/>
          <w:color w:val="auto"/>
          <w:sz w:val="24"/>
          <w:szCs w:val="24"/>
        </w:rPr>
        <w:t>服务由中小企业承接，即提供服务的人员为中小企业依照《中华人民共和国劳动合同法》订立劳动合同的从业人员，不对其中涉及的货物的制造商和工程承建商作出要求的</w:t>
      </w:r>
      <w:r>
        <w:rPr>
          <w:rFonts w:hint="eastAsia" w:hAnsi="宋体"/>
          <w:color w:val="auto"/>
          <w:kern w:val="2"/>
          <w:sz w:val="24"/>
          <w:szCs w:val="24"/>
        </w:rPr>
        <w:t>，享受本文件规定的中小企业扶持政策。</w:t>
      </w:r>
    </w:p>
    <w:p w14:paraId="1DF6F9E0">
      <w:pPr>
        <w:pStyle w:val="32"/>
        <w:spacing w:line="240" w:lineRule="auto"/>
        <w:ind w:firstLine="480" w:firstLineChars="200"/>
        <w:rPr>
          <w:rFonts w:hint="eastAsia" w:hAnsi="宋体"/>
          <w:color w:val="auto"/>
          <w:kern w:val="2"/>
          <w:sz w:val="24"/>
          <w:szCs w:val="24"/>
        </w:rPr>
      </w:pPr>
      <w:r>
        <w:rPr>
          <w:rFonts w:hint="eastAsia" w:hAnsi="宋体"/>
          <w:color w:val="auto"/>
          <w:kern w:val="2"/>
          <w:sz w:val="24"/>
          <w:szCs w:val="24"/>
        </w:rPr>
        <w:t>以联合体形式参加政府采购活动，联合体各方均为中小企业的，联合体视同中小企业。其中，联合体各方均为小微企业的，联合体视同小微企业。</w:t>
      </w:r>
    </w:p>
    <w:p w14:paraId="05AD638C">
      <w:pPr>
        <w:pStyle w:val="32"/>
        <w:spacing w:line="240" w:lineRule="auto"/>
        <w:ind w:firstLine="480" w:firstLineChars="200"/>
        <w:rPr>
          <w:rFonts w:hint="eastAsia" w:hAnsi="宋体"/>
          <w:color w:val="auto"/>
          <w:kern w:val="2"/>
          <w:sz w:val="24"/>
          <w:szCs w:val="24"/>
        </w:rPr>
      </w:pPr>
      <w:r>
        <w:rPr>
          <w:rFonts w:hint="eastAsia" w:hAnsi="宋体"/>
          <w:color w:val="auto"/>
          <w:kern w:val="2"/>
          <w:sz w:val="24"/>
          <w:szCs w:val="24"/>
        </w:rPr>
        <w:t>依据本文件规定享受扶持政策获得政府采购合同的，小微企业不得将合同分包给大中型企业，中型企业不得将合同分包给大型企业。</w:t>
      </w:r>
    </w:p>
    <w:p w14:paraId="57A951AE">
      <w:pPr>
        <w:spacing w:line="240" w:lineRule="auto"/>
        <w:ind w:firstLine="480" w:firstLineChars="200"/>
        <w:rPr>
          <w:rFonts w:hint="eastAsia"/>
          <w:color w:val="auto"/>
          <w:sz w:val="24"/>
          <w:szCs w:val="24"/>
        </w:rPr>
      </w:pPr>
      <w:r>
        <w:rPr>
          <w:rFonts w:hint="eastAsia"/>
          <w:color w:val="auto"/>
          <w:sz w:val="24"/>
          <w:szCs w:val="24"/>
        </w:rPr>
        <w:t>本项目为专门面向中小企业采购的项目，不再执行价格评审优惠的扶持政策。</w:t>
      </w:r>
    </w:p>
    <w:p w14:paraId="2DB77246">
      <w:pPr>
        <w:spacing w:line="240" w:lineRule="auto"/>
        <w:rPr>
          <w:color w:val="auto"/>
          <w:sz w:val="24"/>
          <w:szCs w:val="24"/>
        </w:rPr>
      </w:pPr>
    </w:p>
    <w:p w14:paraId="5FCFB20E">
      <w:pPr>
        <w:pStyle w:val="4"/>
        <w:spacing w:line="240" w:lineRule="auto"/>
        <w:jc w:val="center"/>
        <w:rPr>
          <w:rFonts w:hint="eastAsia"/>
          <w:color w:val="auto"/>
          <w:sz w:val="24"/>
          <w:szCs w:val="24"/>
        </w:rPr>
      </w:pPr>
      <w:bookmarkStart w:id="45" w:name="_Toc12880"/>
      <w:bookmarkEnd w:id="45"/>
      <w:bookmarkStart w:id="46" w:name="_Toc25672"/>
      <w:bookmarkEnd w:id="46"/>
      <w:r>
        <w:rPr>
          <w:rFonts w:hint="eastAsia"/>
          <w:color w:val="auto"/>
          <w:sz w:val="24"/>
          <w:szCs w:val="24"/>
        </w:rPr>
        <w:t>第四章 评审程序、评审方法和评审标准</w:t>
      </w:r>
    </w:p>
    <w:p w14:paraId="27081A61">
      <w:pPr>
        <w:pStyle w:val="5"/>
        <w:spacing w:line="240" w:lineRule="auto"/>
        <w:rPr>
          <w:rFonts w:hint="eastAsia" w:ascii="宋体" w:hAnsi="宋体"/>
          <w:bCs w:val="0"/>
          <w:color w:val="auto"/>
          <w:sz w:val="24"/>
          <w:szCs w:val="24"/>
        </w:rPr>
      </w:pPr>
      <w:bookmarkStart w:id="47" w:name="_Toc28790"/>
      <w:bookmarkEnd w:id="47"/>
      <w:bookmarkStart w:id="48" w:name="_Toc9371"/>
      <w:bookmarkEnd w:id="48"/>
      <w:r>
        <w:rPr>
          <w:rFonts w:hint="eastAsia" w:ascii="宋体" w:hAnsi="宋体"/>
          <w:bCs w:val="0"/>
          <w:color w:val="auto"/>
          <w:sz w:val="24"/>
          <w:szCs w:val="24"/>
        </w:rPr>
        <w:t>一、 评审程序和评审方法</w:t>
      </w:r>
    </w:p>
    <w:p w14:paraId="1CBF2CD4">
      <w:pPr>
        <w:spacing w:line="240" w:lineRule="auto"/>
        <w:ind w:firstLine="482" w:firstLineChars="200"/>
        <w:rPr>
          <w:rFonts w:ascii="黑体" w:hAnsi="黑体" w:eastAsia="黑体"/>
          <w:b/>
          <w:bCs/>
          <w:color w:val="auto"/>
          <w:sz w:val="24"/>
          <w:szCs w:val="24"/>
        </w:rPr>
      </w:pPr>
      <w:r>
        <w:rPr>
          <w:rFonts w:ascii="黑体" w:hAnsi="黑体" w:eastAsia="黑体"/>
          <w:b/>
          <w:bCs/>
          <w:color w:val="auto"/>
          <w:sz w:val="24"/>
          <w:szCs w:val="24"/>
        </w:rPr>
        <w:t>1</w:t>
      </w:r>
      <w:r>
        <w:rPr>
          <w:rFonts w:hint="eastAsia" w:ascii="黑体" w:hAnsi="黑体" w:eastAsia="黑体"/>
          <w:b/>
          <w:bCs/>
          <w:color w:val="auto"/>
          <w:sz w:val="24"/>
          <w:szCs w:val="24"/>
        </w:rPr>
        <w:t>.确认磋商文件</w:t>
      </w:r>
    </w:p>
    <w:p w14:paraId="13460B3F">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由磋商小组确认磋商文件。</w:t>
      </w:r>
    </w:p>
    <w:p w14:paraId="1776D9C7">
      <w:pPr>
        <w:spacing w:line="240" w:lineRule="auto"/>
        <w:ind w:firstLine="482" w:firstLineChars="200"/>
        <w:rPr>
          <w:rFonts w:hint="eastAsia" w:ascii="黑体" w:hAnsi="黑体" w:eastAsia="黑体"/>
          <w:b/>
          <w:bCs/>
          <w:color w:val="auto"/>
          <w:sz w:val="24"/>
          <w:szCs w:val="24"/>
        </w:rPr>
      </w:pPr>
      <w:r>
        <w:rPr>
          <w:rFonts w:hint="eastAsia" w:ascii="黑体" w:hAnsi="黑体" w:eastAsia="黑体"/>
          <w:b/>
          <w:bCs/>
          <w:color w:val="auto"/>
          <w:sz w:val="24"/>
          <w:szCs w:val="24"/>
        </w:rPr>
        <w:t>2.资格审查</w:t>
      </w:r>
    </w:p>
    <w:p w14:paraId="49D6FC94">
      <w:pPr>
        <w:snapToGrid w:val="0"/>
        <w:spacing w:line="240" w:lineRule="auto"/>
        <w:ind w:firstLine="480" w:firstLineChars="200"/>
        <w:rPr>
          <w:rFonts w:hint="eastAsia" w:ascii="宋体" w:hAnsi="宋体"/>
          <w:color w:val="auto"/>
          <w:sz w:val="24"/>
          <w:szCs w:val="24"/>
        </w:rPr>
      </w:pPr>
      <w:r>
        <w:rPr>
          <w:rFonts w:hint="eastAsia" w:ascii="宋体" w:hAnsi="宋体"/>
          <w:color w:val="auto"/>
          <w:sz w:val="24"/>
          <w:szCs w:val="24"/>
        </w:rPr>
        <w:t>2.1响应文件开启后，磋商小组依法对供应商的资格证明文件进行审查。</w:t>
      </w:r>
    </w:p>
    <w:p w14:paraId="3236C68F">
      <w:pPr>
        <w:snapToGrid w:val="0"/>
        <w:spacing w:line="240" w:lineRule="auto"/>
        <w:ind w:firstLine="480" w:firstLineChars="200"/>
        <w:rPr>
          <w:rFonts w:hint="eastAsia" w:ascii="宋体" w:hAnsi="宋体"/>
          <w:color w:val="auto"/>
          <w:sz w:val="24"/>
          <w:szCs w:val="24"/>
        </w:rPr>
      </w:pPr>
      <w:r>
        <w:rPr>
          <w:rFonts w:hint="eastAsia" w:ascii="宋体" w:hAnsi="宋体"/>
          <w:color w:val="auto"/>
          <w:sz w:val="24"/>
          <w:szCs w:val="24"/>
        </w:rPr>
        <w:t>注：采购人代表或者采购代理机构在资格审查结束前，对供应商进行信用查询。</w:t>
      </w:r>
    </w:p>
    <w:p w14:paraId="056E0F76">
      <w:pPr>
        <w:snapToGrid w:val="0"/>
        <w:spacing w:line="240" w:lineRule="auto"/>
        <w:ind w:firstLine="480" w:firstLineChars="200"/>
        <w:jc w:val="left"/>
        <w:rPr>
          <w:rFonts w:hint="eastAsia" w:ascii="宋体" w:hAnsi="宋体"/>
          <w:color w:val="auto"/>
          <w:sz w:val="24"/>
          <w:szCs w:val="24"/>
        </w:rPr>
      </w:pPr>
      <w:r>
        <w:rPr>
          <w:rFonts w:hint="eastAsia" w:ascii="宋体" w:hAnsi="宋体"/>
          <w:color w:val="auto"/>
          <w:sz w:val="24"/>
          <w:szCs w:val="24"/>
        </w:rPr>
        <w:t>（1）查询渠道：“广西政府采购云平台”平台“信用中国”网站(</w:t>
      </w:r>
      <w:r>
        <w:rPr>
          <w:color w:val="auto"/>
          <w:sz w:val="24"/>
          <w:szCs w:val="24"/>
        </w:rPr>
        <w:fldChar w:fldCharType="begin"/>
      </w:r>
      <w:r>
        <w:rPr>
          <w:color w:val="auto"/>
          <w:sz w:val="24"/>
          <w:szCs w:val="24"/>
        </w:rPr>
        <w:instrText xml:space="preserve"> HYPERLINK "http://www.creditchina.gov.cn" </w:instrText>
      </w:r>
      <w:r>
        <w:rPr>
          <w:color w:val="auto"/>
          <w:sz w:val="24"/>
          <w:szCs w:val="24"/>
        </w:rPr>
        <w:fldChar w:fldCharType="separate"/>
      </w:r>
      <w:r>
        <w:rPr>
          <w:rFonts w:hint="eastAsia" w:hAnsi="宋体"/>
          <w:color w:val="auto"/>
          <w:sz w:val="24"/>
          <w:szCs w:val="24"/>
          <w:u w:val="single"/>
        </w:rPr>
        <w:t>www.creditchina.gov.cn</w:t>
      </w:r>
      <w:r>
        <w:rPr>
          <w:rFonts w:hAnsi="宋体"/>
          <w:color w:val="auto"/>
          <w:sz w:val="24"/>
          <w:szCs w:val="24"/>
          <w:u w:val="single"/>
        </w:rPr>
        <w:fldChar w:fldCharType="end"/>
      </w:r>
      <w:r>
        <w:rPr>
          <w:rFonts w:hint="eastAsia" w:ascii="宋体" w:hAnsi="宋体"/>
          <w:color w:val="auto"/>
          <w:sz w:val="24"/>
          <w:szCs w:val="24"/>
        </w:rPr>
        <w:t>)、中国政府采购网(</w:t>
      </w:r>
      <w:r>
        <w:rPr>
          <w:color w:val="auto"/>
          <w:sz w:val="24"/>
          <w:szCs w:val="24"/>
        </w:rPr>
        <w:fldChar w:fldCharType="begin"/>
      </w:r>
      <w:r>
        <w:rPr>
          <w:color w:val="auto"/>
          <w:sz w:val="24"/>
          <w:szCs w:val="24"/>
        </w:rPr>
        <w:instrText xml:space="preserve"> HYPERLINK "http://www.ccgp.gov.cn" </w:instrText>
      </w:r>
      <w:r>
        <w:rPr>
          <w:color w:val="auto"/>
          <w:sz w:val="24"/>
          <w:szCs w:val="24"/>
        </w:rPr>
        <w:fldChar w:fldCharType="separate"/>
      </w:r>
      <w:r>
        <w:rPr>
          <w:rFonts w:hint="eastAsia" w:hAnsi="宋体"/>
          <w:color w:val="auto"/>
          <w:sz w:val="24"/>
          <w:szCs w:val="24"/>
          <w:u w:val="single"/>
        </w:rPr>
        <w:t>www.ccgp.gov.cn</w:t>
      </w:r>
      <w:r>
        <w:rPr>
          <w:rFonts w:hAnsi="宋体"/>
          <w:color w:val="auto"/>
          <w:sz w:val="24"/>
          <w:szCs w:val="24"/>
          <w:u w:val="single"/>
        </w:rPr>
        <w:fldChar w:fldCharType="end"/>
      </w:r>
      <w:r>
        <w:rPr>
          <w:rFonts w:hint="eastAsia" w:ascii="宋体" w:hAnsi="宋体"/>
          <w:color w:val="auto"/>
          <w:sz w:val="24"/>
          <w:szCs w:val="24"/>
        </w:rPr>
        <w:t>)链接入口。</w:t>
      </w:r>
    </w:p>
    <w:p w14:paraId="6ADC0E81">
      <w:pPr>
        <w:snapToGrid w:val="0"/>
        <w:spacing w:line="240" w:lineRule="auto"/>
        <w:ind w:firstLine="480" w:firstLineChars="200"/>
        <w:rPr>
          <w:rFonts w:hint="eastAsia" w:ascii="宋体" w:hAnsi="宋体"/>
          <w:color w:val="auto"/>
          <w:sz w:val="24"/>
          <w:szCs w:val="24"/>
        </w:rPr>
      </w:pPr>
      <w:r>
        <w:rPr>
          <w:rFonts w:hint="eastAsia" w:ascii="宋体" w:hAnsi="宋体"/>
          <w:color w:val="auto"/>
          <w:sz w:val="24"/>
          <w:szCs w:val="24"/>
        </w:rPr>
        <w:t>（2）信用查询截止时点：资格审查结束前。</w:t>
      </w:r>
    </w:p>
    <w:p w14:paraId="5E99F352">
      <w:pPr>
        <w:snapToGrid w:val="0"/>
        <w:spacing w:line="240" w:lineRule="auto"/>
        <w:ind w:firstLine="480" w:firstLineChars="200"/>
        <w:rPr>
          <w:rFonts w:hint="eastAsia" w:ascii="宋体" w:hAnsi="宋体"/>
          <w:color w:val="auto"/>
          <w:sz w:val="24"/>
          <w:szCs w:val="24"/>
        </w:rPr>
      </w:pPr>
      <w:r>
        <w:rPr>
          <w:rFonts w:hint="eastAsia" w:ascii="宋体" w:hAnsi="宋体"/>
          <w:color w:val="auto"/>
          <w:sz w:val="24"/>
          <w:szCs w:val="24"/>
        </w:rPr>
        <w:t>查询记录和证据留存方式：在查询网站中直接打印查询记录，截图另存为电子文档作为评审资料保存。</w:t>
      </w:r>
    </w:p>
    <w:p w14:paraId="524B222C">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F78453D">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2.2资格审查标准为本磋商文件中载明对供应商资格要求的条件。资格审查采用合格制，凡符合磋商文件规定的供应商资格要求的响应文件均通过资格审查。</w:t>
      </w:r>
    </w:p>
    <w:p w14:paraId="436934E1">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2.3供应商有下列情形之一的，资格审查不通过，其响应文件按无效响应处理：</w:t>
      </w:r>
    </w:p>
    <w:p w14:paraId="4B4C7F2F">
      <w:pPr>
        <w:snapToGrid w:val="0"/>
        <w:spacing w:line="240" w:lineRule="auto"/>
        <w:ind w:firstLine="480" w:firstLineChars="200"/>
        <w:rPr>
          <w:rFonts w:hint="eastAsia"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）不具备磋商文件中规定的资格要求的；</w:t>
      </w:r>
    </w:p>
    <w:p w14:paraId="674E195A">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）响应文件未提供任一项“供应商须知前附表”资格证明文件规定的“必须提供”的文件资料的；</w:t>
      </w:r>
    </w:p>
    <w:p w14:paraId="46B86C06">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）响应文件提供的资格证明文件出现任一项不符合“供应商须知前附表”资格证明文件规定的“必须提供”的文件资料要求或者无效的。</w:t>
      </w:r>
    </w:p>
    <w:p w14:paraId="0A3CD386">
      <w:pPr>
        <w:spacing w:line="240" w:lineRule="auto"/>
        <w:ind w:firstLine="480" w:firstLineChars="200"/>
        <w:rPr>
          <w:rFonts w:hint="eastAsia" w:ascii="宋体" w:hAnsi="宋体"/>
          <w:color w:val="auto"/>
          <w:sz w:val="24"/>
          <w:szCs w:val="24"/>
        </w:rPr>
      </w:pPr>
      <w:bookmarkStart w:id="49" w:name="_Hlk68601553"/>
      <w:bookmarkEnd w:id="49"/>
      <w:r>
        <w:rPr>
          <w:rFonts w:hint="eastAsia" w:ascii="宋体" w:hAnsi="宋体"/>
          <w:color w:val="auto"/>
          <w:sz w:val="24"/>
          <w:szCs w:val="24"/>
        </w:rPr>
        <w:t>（4）同一合同项下的不同供应商，单位负责人为同一人或者存在直接控股、管理关系的；为本项目提供过整体设计、规范编制或者项目管理、监理、检测等服务的。</w:t>
      </w:r>
    </w:p>
    <w:p w14:paraId="73BA559D">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2.4通过资格审查的合格供应商不足3家的，不得进入符合性审查环节，采购人或者采购代理机构应当重新开展采购活动。</w:t>
      </w:r>
    </w:p>
    <w:p w14:paraId="3763E9C6">
      <w:pPr>
        <w:spacing w:line="240" w:lineRule="auto"/>
        <w:ind w:firstLine="482" w:firstLineChars="200"/>
        <w:rPr>
          <w:rFonts w:hint="eastAsia" w:ascii="黑体" w:hAnsi="黑体" w:eastAsia="黑体"/>
          <w:b/>
          <w:bCs/>
          <w:color w:val="auto"/>
          <w:sz w:val="24"/>
          <w:szCs w:val="24"/>
        </w:rPr>
      </w:pPr>
      <w:r>
        <w:rPr>
          <w:rFonts w:hint="eastAsia" w:ascii="黑体" w:hAnsi="黑体" w:eastAsia="黑体"/>
          <w:b/>
          <w:bCs/>
          <w:color w:val="auto"/>
          <w:sz w:val="24"/>
          <w:szCs w:val="24"/>
        </w:rPr>
        <w:t>3.符合性审查</w:t>
      </w:r>
    </w:p>
    <w:p w14:paraId="587A2B3B">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3</w:t>
      </w:r>
      <w:r>
        <w:rPr>
          <w:rFonts w:ascii="宋体" w:hAnsi="宋体"/>
          <w:color w:val="auto"/>
          <w:sz w:val="24"/>
          <w:szCs w:val="24"/>
        </w:rPr>
        <w:t>.1</w:t>
      </w:r>
      <w:r>
        <w:rPr>
          <w:rFonts w:hint="eastAsia" w:ascii="宋体" w:hAnsi="宋体"/>
          <w:color w:val="auto"/>
          <w:sz w:val="24"/>
          <w:szCs w:val="24"/>
        </w:rPr>
        <w:t>由磋商小组对通过资格审查的合格供应商的响应文件的响应报价、商务、技术等实质性要求进行符合性审查，以确定其是否满足磋商文件的实质性要求。</w:t>
      </w:r>
    </w:p>
    <w:p w14:paraId="4D997897">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3</w:t>
      </w:r>
      <w:r>
        <w:rPr>
          <w:rFonts w:ascii="宋体" w:hAnsi="宋体"/>
          <w:color w:val="auto"/>
          <w:sz w:val="24"/>
          <w:szCs w:val="24"/>
        </w:rPr>
        <w:t>.2</w:t>
      </w:r>
      <w:r>
        <w:rPr>
          <w:rFonts w:hint="eastAsia" w:ascii="宋体" w:hAnsi="宋体"/>
          <w:color w:val="auto"/>
          <w:sz w:val="24"/>
          <w:szCs w:val="24"/>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4F92419">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3.</w:t>
      </w:r>
      <w:r>
        <w:rPr>
          <w:rFonts w:ascii="宋体" w:hAnsi="宋体"/>
          <w:color w:val="auto"/>
          <w:sz w:val="24"/>
          <w:szCs w:val="24"/>
        </w:rPr>
        <w:t>3</w:t>
      </w:r>
      <w:r>
        <w:rPr>
          <w:rFonts w:hint="eastAsia" w:ascii="宋体" w:hAnsi="宋体"/>
          <w:color w:val="auto"/>
          <w:sz w:val="24"/>
          <w:szCs w:val="24"/>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olor w:val="auto"/>
          <w:spacing w:val="-6"/>
          <w:sz w:val="24"/>
          <w:szCs w:val="24"/>
        </w:rPr>
        <w:t>。供应商为自然人的，必须由本人签字并附身份证明。</w:t>
      </w:r>
    </w:p>
    <w:p w14:paraId="360971B1">
      <w:pPr>
        <w:spacing w:line="240" w:lineRule="auto"/>
        <w:ind w:firstLine="456" w:firstLineChars="200"/>
        <w:rPr>
          <w:rFonts w:hint="eastAsia" w:ascii="宋体" w:hAnsi="宋体"/>
          <w:color w:val="auto"/>
          <w:spacing w:val="-6"/>
          <w:sz w:val="24"/>
          <w:szCs w:val="24"/>
        </w:rPr>
      </w:pPr>
      <w:r>
        <w:rPr>
          <w:rFonts w:hint="eastAsia" w:ascii="宋体" w:hAnsi="宋体"/>
          <w:color w:val="auto"/>
          <w:spacing w:val="-6"/>
          <w:sz w:val="24"/>
          <w:szCs w:val="24"/>
        </w:rPr>
        <w:t>3</w:t>
      </w:r>
      <w:r>
        <w:rPr>
          <w:rFonts w:ascii="宋体" w:hAnsi="宋体"/>
          <w:color w:val="auto"/>
          <w:spacing w:val="-6"/>
          <w:sz w:val="24"/>
          <w:szCs w:val="24"/>
        </w:rPr>
        <w:t>.4</w:t>
      </w:r>
      <w:r>
        <w:rPr>
          <w:rFonts w:hint="eastAsia" w:ascii="宋体" w:hAnsi="宋体"/>
          <w:color w:val="auto"/>
          <w:sz w:val="24"/>
          <w:szCs w:val="24"/>
        </w:rPr>
        <w:t xml:space="preserve">首次响应文件报价出现前后不一致的，按照下列规定修正： </w:t>
      </w:r>
    </w:p>
    <w:p w14:paraId="54104B28">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（1）响应文件中报价表内容与响应文件中相应内容不一致的，以报价表为准；</w:t>
      </w:r>
    </w:p>
    <w:p w14:paraId="76733C1A">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（2）大写金额和小写金额不一致的，以大写金额为准；</w:t>
      </w:r>
    </w:p>
    <w:p w14:paraId="348E33BA">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（3）单价金额小数点或者百分比有明显错位的，以报价表的总价为准，并修改单价；</w:t>
      </w:r>
    </w:p>
    <w:p w14:paraId="5EB6AB2C">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（4）总价金额与按单价汇总金额不一致的，以单价金额计算结果为准。</w:t>
      </w:r>
    </w:p>
    <w:p w14:paraId="515AB912">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同时出现两种以上不一致的，按照以上（1）-（4）规定的顺序逐条进行修正。修正后的报价经供应商确认后产生约束力，供应商不确认的，其响应文件按无效响应处理。</w:t>
      </w:r>
    </w:p>
    <w:p w14:paraId="7EEB8D75">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3.</w:t>
      </w:r>
      <w:r>
        <w:rPr>
          <w:rFonts w:ascii="宋体" w:hAnsi="宋体"/>
          <w:color w:val="auto"/>
          <w:sz w:val="24"/>
          <w:szCs w:val="24"/>
        </w:rPr>
        <w:t>5</w:t>
      </w:r>
      <w:r>
        <w:rPr>
          <w:rFonts w:hint="eastAsia" w:ascii="宋体" w:hAnsi="宋体"/>
          <w:color w:val="auto"/>
          <w:sz w:val="24"/>
          <w:szCs w:val="24"/>
        </w:rPr>
        <w:t>商务技术、报价评审</w:t>
      </w:r>
    </w:p>
    <w:p w14:paraId="6FA7C410">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在评审时，如发现下列情形之一的，将被视为响应文件无效处理：</w:t>
      </w:r>
    </w:p>
    <w:p w14:paraId="15C8845F">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（1）商务技术评审</w:t>
      </w:r>
    </w:p>
    <w:p w14:paraId="4D69B056">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1）响应文件未按磋商文件要求签署、盖章；</w:t>
      </w:r>
    </w:p>
    <w:p w14:paraId="54138B7F">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 xml:space="preserve">2）委托代理人未能出具有效身份证明或者出具的身份证明与授权委托书中的信息不符； </w:t>
      </w:r>
    </w:p>
    <w:p w14:paraId="570B6CA9">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0B2B02B5">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4）商务条款中标“▲”的条款发生负偏离的或者允许负偏离的条款数超过“供应商须知前附表”规定项数的或者标明实质性的要求发生负偏离；</w:t>
      </w:r>
    </w:p>
    <w:p w14:paraId="21FE950C">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5）未对竞标有效期作出响应或者响应文件承诺的竞标有效期不满足磋商文件要求；</w:t>
      </w:r>
    </w:p>
    <w:p w14:paraId="54EBD152">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6）响应文件的实质性内容未使用中文表述、使用计量单位不符合磋商文件要求；</w:t>
      </w:r>
    </w:p>
    <w:p w14:paraId="0170C1FF">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7）响应文件中的文件资料因填写不齐全或者内容虚假或者出现其他情形而导致被磋商小组认定无效；</w:t>
      </w:r>
    </w:p>
    <w:p w14:paraId="65B44670">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8）响应文件含有采购人不能接受的附加条件；</w:t>
      </w:r>
    </w:p>
    <w:p w14:paraId="7EB0CBD5">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9）属于“供应商须知正文”第7.</w:t>
      </w:r>
      <w:r>
        <w:rPr>
          <w:rFonts w:ascii="宋体" w:hAnsi="宋体"/>
          <w:color w:val="auto"/>
          <w:sz w:val="24"/>
          <w:szCs w:val="24"/>
        </w:rPr>
        <w:t>5</w:t>
      </w:r>
      <w:r>
        <w:rPr>
          <w:rFonts w:hint="eastAsia" w:ascii="宋体" w:hAnsi="宋体"/>
          <w:color w:val="auto"/>
          <w:sz w:val="24"/>
          <w:szCs w:val="24"/>
        </w:rPr>
        <w:t>条情形；</w:t>
      </w:r>
    </w:p>
    <w:p w14:paraId="0E19440C">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10）技术需求允许负偏离的条款数超过“供应商须知前附表”规定项数；</w:t>
      </w:r>
    </w:p>
    <w:p w14:paraId="3F0E8265">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11）虚假竞标，或者出现其他情形而导致被磋商小组认定无效；</w:t>
      </w:r>
    </w:p>
    <w:p w14:paraId="248F0A4E">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12）竞标技术方案不明确，磋商文件未允许但响应文件中存在一个或者一个以上备选（替代）竞标方案；</w:t>
      </w:r>
    </w:p>
    <w:p w14:paraId="6582F8D0">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13）响应文件标注的项目名称或者项目编号与竞争性磋商文件标注的项目名称或者项目编号不一致的；</w:t>
      </w:r>
    </w:p>
    <w:p w14:paraId="28FA812A">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14）未响应磋商文件实质性要求；</w:t>
      </w:r>
    </w:p>
    <w:p w14:paraId="3F2186E0">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15）法律、法规和磋商文件规定的其他无效情形。</w:t>
      </w:r>
    </w:p>
    <w:p w14:paraId="22504F7E">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w:t>
      </w:r>
      <w:r>
        <w:rPr>
          <w:rFonts w:hint="eastAsia" w:ascii="宋体" w:hAnsi="宋体"/>
          <w:b/>
          <w:bCs/>
          <w:color w:val="auto"/>
          <w:sz w:val="24"/>
          <w:szCs w:val="24"/>
        </w:rPr>
        <w:t>报价评审</w:t>
      </w:r>
    </w:p>
    <w:p w14:paraId="07156651">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1)</w:t>
      </w:r>
      <w:r>
        <w:rPr>
          <w:rFonts w:ascii="宋体" w:hAnsi="宋体"/>
          <w:color w:val="auto"/>
          <w:sz w:val="24"/>
          <w:szCs w:val="24"/>
        </w:rPr>
        <w:t xml:space="preserve"> </w:t>
      </w:r>
      <w:r>
        <w:rPr>
          <w:rFonts w:hint="eastAsia" w:ascii="宋体" w:hAnsi="宋体"/>
          <w:color w:val="auto"/>
          <w:sz w:val="24"/>
          <w:szCs w:val="24"/>
        </w:rPr>
        <w:t>响应文件未提供“供应商须知前附表” 报价文件中规定的“响应报价表”；</w:t>
      </w:r>
    </w:p>
    <w:p w14:paraId="5D436F89">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2）未采用工程量清单形式报价或者未按照磋商文件标明的币种报价；</w:t>
      </w:r>
    </w:p>
    <w:p w14:paraId="63DA9534">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17894C1F">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032B1115">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7EDD57A9">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6）响应文件响应的标的数量及单位与竞争性磋商采购文件要求实质性不一致的。</w:t>
      </w:r>
    </w:p>
    <w:p w14:paraId="29FD47F4">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3</w:t>
      </w:r>
      <w:r>
        <w:rPr>
          <w:rFonts w:ascii="宋体" w:hAnsi="宋体"/>
          <w:color w:val="auto"/>
          <w:sz w:val="24"/>
          <w:szCs w:val="24"/>
        </w:rPr>
        <w:t>.6</w:t>
      </w:r>
      <w:r>
        <w:rPr>
          <w:rFonts w:hint="eastAsia" w:ascii="宋体" w:hAnsi="宋体"/>
          <w:color w:val="auto"/>
          <w:sz w:val="24"/>
          <w:szCs w:val="24"/>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567A88F9">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3</w:t>
      </w:r>
      <w:r>
        <w:rPr>
          <w:rFonts w:ascii="宋体" w:hAnsi="宋体"/>
          <w:color w:val="auto"/>
          <w:sz w:val="24"/>
          <w:szCs w:val="24"/>
        </w:rPr>
        <w:t>.7</w:t>
      </w:r>
      <w:r>
        <w:rPr>
          <w:rFonts w:hint="eastAsia" w:ascii="宋体" w:hAnsi="宋体"/>
          <w:color w:val="auto"/>
          <w:sz w:val="24"/>
          <w:szCs w:val="24"/>
        </w:rPr>
        <w:t>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5D8B4CF9">
      <w:pPr>
        <w:spacing w:line="240" w:lineRule="auto"/>
        <w:ind w:firstLine="482" w:firstLineChars="200"/>
        <w:rPr>
          <w:rFonts w:hint="eastAsia" w:ascii="黑体" w:hAnsi="黑体" w:eastAsia="黑体"/>
          <w:b/>
          <w:bCs/>
          <w:color w:val="auto"/>
          <w:sz w:val="24"/>
          <w:szCs w:val="24"/>
        </w:rPr>
      </w:pPr>
      <w:r>
        <w:rPr>
          <w:rFonts w:hint="eastAsia" w:ascii="黑体" w:hAnsi="黑体" w:eastAsia="黑体"/>
          <w:b/>
          <w:bCs/>
          <w:color w:val="auto"/>
          <w:sz w:val="24"/>
          <w:szCs w:val="24"/>
        </w:rPr>
        <w:t>4.磋商程序</w:t>
      </w:r>
    </w:p>
    <w:p w14:paraId="01C27463">
      <w:pPr>
        <w:spacing w:line="240" w:lineRule="auto"/>
        <w:ind w:firstLine="480" w:firstLineChars="200"/>
        <w:rPr>
          <w:rFonts w:hint="eastAsia" w:ascii="宋体" w:hAnsi="宋体"/>
          <w:color w:val="auto"/>
          <w:kern w:val="0"/>
          <w:sz w:val="24"/>
          <w:szCs w:val="24"/>
        </w:rPr>
      </w:pPr>
      <w:r>
        <w:rPr>
          <w:rFonts w:hint="eastAsia" w:ascii="宋体" w:hAnsi="宋体"/>
          <w:color w:val="auto"/>
          <w:kern w:val="0"/>
          <w:sz w:val="24"/>
          <w:szCs w:val="24"/>
        </w:rPr>
        <w:t>4</w:t>
      </w:r>
      <w:r>
        <w:rPr>
          <w:rFonts w:ascii="宋体" w:hAnsi="宋体"/>
          <w:color w:val="auto"/>
          <w:kern w:val="0"/>
          <w:sz w:val="24"/>
          <w:szCs w:val="24"/>
        </w:rPr>
        <w:t>.1</w:t>
      </w:r>
      <w:r>
        <w:rPr>
          <w:rFonts w:hint="eastAsia" w:ascii="宋体" w:hAnsi="宋体"/>
          <w:color w:val="auto"/>
          <w:kern w:val="0"/>
          <w:sz w:val="24"/>
          <w:szCs w:val="24"/>
        </w:rPr>
        <w:t>磋商小组按照“供应商须知前附表”</w:t>
      </w:r>
      <w:r>
        <w:rPr>
          <w:rFonts w:hint="eastAsia" w:ascii="宋体" w:hAnsi="宋体"/>
          <w:color w:val="auto"/>
          <w:sz w:val="24"/>
          <w:szCs w:val="24"/>
        </w:rPr>
        <w:t xml:space="preserve"> </w:t>
      </w:r>
      <w:r>
        <w:rPr>
          <w:rFonts w:hint="eastAsia" w:ascii="宋体" w:hAnsi="宋体"/>
          <w:color w:val="auto"/>
          <w:kern w:val="0"/>
          <w:sz w:val="24"/>
          <w:szCs w:val="24"/>
        </w:rPr>
        <w:t>确定的</w:t>
      </w:r>
      <w:r>
        <w:rPr>
          <w:rFonts w:hint="eastAsia" w:ascii="宋体" w:hAnsi="宋体"/>
          <w:color w:val="auto"/>
          <w:sz w:val="24"/>
          <w:szCs w:val="24"/>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6E98A648">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4</w:t>
      </w:r>
      <w:r>
        <w:rPr>
          <w:rFonts w:ascii="宋体" w:hAnsi="宋体"/>
          <w:color w:val="auto"/>
          <w:sz w:val="24"/>
          <w:szCs w:val="24"/>
        </w:rPr>
        <w:t>.2</w:t>
      </w:r>
      <w:r>
        <w:rPr>
          <w:rFonts w:hint="eastAsia" w:ascii="宋体" w:hAnsi="宋体"/>
          <w:color w:val="auto"/>
          <w:sz w:val="24"/>
          <w:szCs w:val="24"/>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44EBE41D">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4</w:t>
      </w:r>
      <w:r>
        <w:rPr>
          <w:rFonts w:ascii="宋体" w:hAnsi="宋体"/>
          <w:color w:val="auto"/>
          <w:sz w:val="24"/>
          <w:szCs w:val="24"/>
        </w:rPr>
        <w:t>.3</w:t>
      </w:r>
      <w:r>
        <w:rPr>
          <w:rFonts w:hint="eastAsia" w:ascii="宋体" w:hAnsi="宋体"/>
          <w:color w:val="auto"/>
          <w:sz w:val="24"/>
          <w:szCs w:val="24"/>
        </w:rPr>
        <w:t>对磋商文件作出的实质性变动是磋商文件的有效组成部分，由磋商小组及时以电子澄清函形式同时通知所有参加磋商的供应商。</w:t>
      </w:r>
    </w:p>
    <w:p w14:paraId="1280551A">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4</w:t>
      </w:r>
      <w:r>
        <w:rPr>
          <w:rFonts w:ascii="宋体" w:hAnsi="宋体"/>
          <w:color w:val="auto"/>
          <w:sz w:val="24"/>
          <w:szCs w:val="24"/>
        </w:rPr>
        <w:t>.4</w:t>
      </w:r>
      <w:r>
        <w:rPr>
          <w:rFonts w:hint="eastAsia" w:ascii="宋体" w:hAnsi="宋体"/>
          <w:color w:val="auto"/>
          <w:sz w:val="24"/>
          <w:szCs w:val="24"/>
        </w:rPr>
        <w:t>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1BF97A3E">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4</w:t>
      </w:r>
      <w:r>
        <w:rPr>
          <w:rFonts w:ascii="宋体" w:hAnsi="宋体"/>
          <w:color w:val="auto"/>
          <w:sz w:val="24"/>
          <w:szCs w:val="24"/>
        </w:rPr>
        <w:t>.5</w:t>
      </w:r>
      <w:r>
        <w:rPr>
          <w:rFonts w:hint="eastAsia" w:ascii="宋体" w:hAnsi="宋体"/>
          <w:color w:val="auto"/>
          <w:sz w:val="24"/>
          <w:szCs w:val="24"/>
        </w:rPr>
        <w:t>磋商中，</w:t>
      </w:r>
      <w:r>
        <w:rPr>
          <w:rFonts w:hint="eastAsia" w:ascii="宋体" w:hAnsi="宋体"/>
          <w:color w:val="auto"/>
          <w:spacing w:val="-6"/>
          <w:sz w:val="24"/>
          <w:szCs w:val="24"/>
        </w:rPr>
        <w:t>磋商的任何一方不得透露与磋商有关的其他供应商的技术资料、价格和其他信息。</w:t>
      </w:r>
    </w:p>
    <w:p w14:paraId="25D4B67D">
      <w:pPr>
        <w:widowControl/>
        <w:tabs>
          <w:tab w:val="left" w:pos="540"/>
        </w:tabs>
        <w:spacing w:line="240" w:lineRule="auto"/>
        <w:ind w:firstLine="480" w:firstLineChars="200"/>
        <w:jc w:val="left"/>
        <w:rPr>
          <w:rFonts w:hint="eastAsia" w:ascii="宋体" w:hAnsi="宋体"/>
          <w:color w:val="auto"/>
          <w:sz w:val="24"/>
          <w:szCs w:val="24"/>
        </w:rPr>
      </w:pPr>
      <w:r>
        <w:rPr>
          <w:rFonts w:hint="eastAsia" w:ascii="宋体" w:hAnsi="宋体"/>
          <w:color w:val="auto"/>
          <w:sz w:val="24"/>
          <w:szCs w:val="24"/>
        </w:rPr>
        <w:t>4</w:t>
      </w:r>
      <w:r>
        <w:rPr>
          <w:rFonts w:ascii="宋体" w:hAnsi="宋体"/>
          <w:color w:val="auto"/>
          <w:sz w:val="24"/>
          <w:szCs w:val="24"/>
        </w:rPr>
        <w:t>.6</w:t>
      </w:r>
      <w:r>
        <w:rPr>
          <w:rFonts w:hint="eastAsia" w:ascii="宋体" w:hAnsi="宋体"/>
          <w:color w:val="auto"/>
          <w:sz w:val="24"/>
          <w:szCs w:val="24"/>
        </w:rPr>
        <w:t>磋商小组应对磋商过程和重要磋商内容进行记录，作为评标报告一部分，磋商小组在记录上签字确认。</w:t>
      </w:r>
      <w:r>
        <w:rPr>
          <w:rFonts w:hint="eastAsia" w:ascii="仿宋" w:hAnsi="仿宋" w:eastAsia="仿宋"/>
          <w:b/>
          <w:color w:val="auto"/>
          <w:sz w:val="24"/>
          <w:szCs w:val="24"/>
        </w:rPr>
        <w:t>主要内容包括：</w:t>
      </w:r>
    </w:p>
    <w:p w14:paraId="126874EC">
      <w:pPr>
        <w:spacing w:line="240" w:lineRule="auto"/>
        <w:ind w:firstLine="456" w:firstLineChars="200"/>
        <w:rPr>
          <w:rFonts w:hint="eastAsia" w:ascii="宋体" w:hAnsi="宋体"/>
          <w:color w:val="auto"/>
          <w:spacing w:val="-6"/>
          <w:sz w:val="24"/>
          <w:szCs w:val="24"/>
        </w:rPr>
      </w:pPr>
      <w:r>
        <w:rPr>
          <w:rFonts w:hint="eastAsia" w:ascii="宋体" w:hAnsi="宋体"/>
          <w:color w:val="auto"/>
          <w:spacing w:val="-6"/>
          <w:sz w:val="24"/>
          <w:szCs w:val="24"/>
        </w:rPr>
        <w:t>（1）按照相关规定进行公示的，公示情况说明；</w:t>
      </w:r>
    </w:p>
    <w:p w14:paraId="3D180EC5">
      <w:pPr>
        <w:spacing w:line="240" w:lineRule="auto"/>
        <w:ind w:firstLine="456" w:firstLineChars="200"/>
        <w:rPr>
          <w:rFonts w:hint="eastAsia" w:ascii="宋体" w:hAnsi="宋体"/>
          <w:color w:val="auto"/>
          <w:spacing w:val="-6"/>
          <w:sz w:val="24"/>
          <w:szCs w:val="24"/>
        </w:rPr>
      </w:pPr>
      <w:r>
        <w:rPr>
          <w:rFonts w:hint="eastAsia" w:ascii="宋体" w:hAnsi="宋体"/>
          <w:color w:val="auto"/>
          <w:spacing w:val="-6"/>
          <w:sz w:val="24"/>
          <w:szCs w:val="24"/>
        </w:rPr>
        <w:t>（2）磋商日期和地点，磋商人员名单；</w:t>
      </w:r>
    </w:p>
    <w:p w14:paraId="7DDCBD67">
      <w:pPr>
        <w:spacing w:line="240" w:lineRule="auto"/>
        <w:ind w:firstLine="456" w:firstLineChars="200"/>
        <w:rPr>
          <w:rFonts w:hint="eastAsia" w:ascii="宋体" w:hAnsi="宋体"/>
          <w:color w:val="auto"/>
          <w:spacing w:val="-6"/>
          <w:sz w:val="24"/>
          <w:szCs w:val="24"/>
        </w:rPr>
      </w:pPr>
      <w:r>
        <w:rPr>
          <w:rFonts w:hint="eastAsia" w:ascii="宋体" w:hAnsi="宋体"/>
          <w:color w:val="auto"/>
          <w:spacing w:val="-6"/>
          <w:sz w:val="24"/>
          <w:szCs w:val="24"/>
        </w:rPr>
        <w:t>（3）合同主要条款及价格商定情况。</w:t>
      </w:r>
    </w:p>
    <w:p w14:paraId="598B930A">
      <w:pPr>
        <w:widowControl/>
        <w:tabs>
          <w:tab w:val="left" w:pos="540"/>
        </w:tabs>
        <w:spacing w:line="240" w:lineRule="auto"/>
        <w:ind w:firstLine="480" w:firstLineChars="200"/>
        <w:jc w:val="left"/>
        <w:rPr>
          <w:rFonts w:hint="eastAsia" w:ascii="宋体" w:hAnsi="宋体"/>
          <w:color w:val="auto"/>
          <w:sz w:val="24"/>
          <w:szCs w:val="24"/>
        </w:rPr>
      </w:pPr>
      <w:r>
        <w:rPr>
          <w:rFonts w:hint="eastAsia" w:ascii="宋体" w:hAnsi="宋体"/>
          <w:color w:val="auto"/>
          <w:sz w:val="24"/>
          <w:szCs w:val="24"/>
        </w:rPr>
        <w:t>4.</w:t>
      </w:r>
      <w:r>
        <w:rPr>
          <w:rFonts w:ascii="宋体" w:hAnsi="宋体"/>
          <w:color w:val="auto"/>
          <w:sz w:val="24"/>
          <w:szCs w:val="24"/>
        </w:rPr>
        <w:t>7</w:t>
      </w:r>
      <w:r>
        <w:rPr>
          <w:rFonts w:hint="eastAsia" w:ascii="宋体" w:hAnsi="宋体"/>
          <w:color w:val="auto"/>
          <w:sz w:val="24"/>
          <w:szCs w:val="24"/>
        </w:rPr>
        <w:t>磋商过程中重新提交的响应文件，供应商可以在开启前补充、修改。</w:t>
      </w:r>
    </w:p>
    <w:p w14:paraId="25F44CAC">
      <w:pPr>
        <w:tabs>
          <w:tab w:val="left" w:pos="2835"/>
        </w:tabs>
        <w:spacing w:line="240" w:lineRule="auto"/>
        <w:ind w:firstLine="480" w:firstLineChars="200"/>
        <w:rPr>
          <w:rFonts w:hint="eastAsia" w:ascii="宋体" w:hAnsi="宋体"/>
          <w:color w:val="auto"/>
          <w:sz w:val="24"/>
          <w:szCs w:val="24"/>
        </w:rPr>
      </w:pPr>
      <w:r>
        <w:rPr>
          <w:rFonts w:hint="eastAsia" w:ascii="宋体" w:hAnsi="宋体"/>
          <w:color w:val="auto"/>
          <w:sz w:val="24"/>
          <w:szCs w:val="24"/>
        </w:rPr>
        <w:t>4</w:t>
      </w:r>
      <w:r>
        <w:rPr>
          <w:rFonts w:ascii="宋体" w:hAnsi="宋体"/>
          <w:color w:val="auto"/>
          <w:sz w:val="24"/>
          <w:szCs w:val="24"/>
        </w:rPr>
        <w:t>.8</w:t>
      </w:r>
      <w:r>
        <w:rPr>
          <w:rFonts w:hint="eastAsia" w:ascii="宋体" w:hAnsi="宋体"/>
          <w:color w:val="auto"/>
          <w:sz w:val="24"/>
          <w:szCs w:val="24"/>
        </w:rPr>
        <w:t>对磋商过程提交的响应文件进行有效性、完整性和响应程度审查，通过审查的合格供应商不足3家的，采购人或者采购代理机构应当重新开展采购活动。</w:t>
      </w:r>
    </w:p>
    <w:p w14:paraId="4ED712FC">
      <w:pPr>
        <w:spacing w:line="240" w:lineRule="auto"/>
        <w:ind w:firstLine="200"/>
        <w:rPr>
          <w:rFonts w:hint="eastAsia" w:ascii="黑体" w:hAnsi="黑体" w:eastAsia="黑体"/>
          <w:b/>
          <w:bCs/>
          <w:color w:val="auto"/>
          <w:sz w:val="24"/>
          <w:szCs w:val="24"/>
        </w:rPr>
      </w:pPr>
      <w:r>
        <w:rPr>
          <w:rFonts w:hint="eastAsia" w:ascii="黑体" w:hAnsi="黑体" w:eastAsia="黑体"/>
          <w:b/>
          <w:bCs/>
          <w:color w:val="auto"/>
          <w:sz w:val="24"/>
          <w:szCs w:val="24"/>
        </w:rPr>
        <w:t>5</w:t>
      </w:r>
      <w:r>
        <w:rPr>
          <w:rFonts w:ascii="黑体" w:hAnsi="黑体" w:eastAsia="黑体"/>
          <w:b/>
          <w:bCs/>
          <w:color w:val="auto"/>
          <w:sz w:val="24"/>
          <w:szCs w:val="24"/>
        </w:rPr>
        <w:t>.</w:t>
      </w:r>
      <w:r>
        <w:rPr>
          <w:rFonts w:hint="eastAsia" w:ascii="黑体" w:hAnsi="黑体" w:eastAsia="黑体"/>
          <w:b/>
          <w:bCs/>
          <w:color w:val="auto"/>
          <w:sz w:val="24"/>
          <w:szCs w:val="24"/>
        </w:rPr>
        <w:t xml:space="preserve"> 最后报价</w:t>
      </w:r>
    </w:p>
    <w:p w14:paraId="69EB6BB4">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5</w:t>
      </w:r>
      <w:r>
        <w:rPr>
          <w:rFonts w:ascii="宋体" w:hAnsi="宋体"/>
          <w:color w:val="auto"/>
          <w:sz w:val="24"/>
          <w:szCs w:val="24"/>
        </w:rPr>
        <w:t>.1</w:t>
      </w:r>
      <w:r>
        <w:rPr>
          <w:rFonts w:hint="eastAsia" w:ascii="宋体" w:hAnsi="宋体"/>
          <w:color w:val="auto"/>
          <w:sz w:val="24"/>
          <w:szCs w:val="24"/>
        </w:rPr>
        <w:t>磋商文件能够详细列明采购标的的技术、服务要求的，磋商结束后，由磋商小组要求所有继续参加磋商的供应商在规定时间内密封提交最后报价（必须以工程量清单报价形式），除本章第5</w:t>
      </w:r>
      <w:r>
        <w:rPr>
          <w:rFonts w:ascii="宋体" w:hAnsi="宋体"/>
          <w:color w:val="auto"/>
          <w:sz w:val="24"/>
          <w:szCs w:val="24"/>
        </w:rPr>
        <w:t>.3</w:t>
      </w:r>
      <w:r>
        <w:rPr>
          <w:rFonts w:hint="eastAsia" w:ascii="宋体" w:hAnsi="宋体"/>
          <w:color w:val="auto"/>
          <w:sz w:val="24"/>
          <w:szCs w:val="24"/>
        </w:rPr>
        <w:t>条外，提交最后报价的供应商不得少于3家，否则必须重新采购。</w:t>
      </w:r>
    </w:p>
    <w:p w14:paraId="0BDC480B">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5</w:t>
      </w:r>
      <w:r>
        <w:rPr>
          <w:rFonts w:ascii="宋体" w:hAnsi="宋体"/>
          <w:color w:val="auto"/>
          <w:sz w:val="24"/>
          <w:szCs w:val="24"/>
        </w:rPr>
        <w:t>.2</w:t>
      </w:r>
      <w:r>
        <w:rPr>
          <w:rFonts w:hint="eastAsia" w:ascii="宋体" w:hAnsi="宋体"/>
          <w:color w:val="auto"/>
          <w:sz w:val="24"/>
          <w:szCs w:val="24"/>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41C82629">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5</w:t>
      </w:r>
      <w:r>
        <w:rPr>
          <w:rFonts w:ascii="宋体" w:hAnsi="宋体"/>
          <w:color w:val="auto"/>
          <w:sz w:val="24"/>
          <w:szCs w:val="24"/>
        </w:rPr>
        <w:t>.3</w:t>
      </w:r>
      <w:r>
        <w:rPr>
          <w:rFonts w:hint="eastAsia" w:ascii="宋体" w:hAnsi="宋体"/>
          <w:color w:val="auto"/>
          <w:sz w:val="24"/>
          <w:szCs w:val="24"/>
        </w:rPr>
        <w:t xml:space="preserve">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71AA415A">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5</w:t>
      </w:r>
      <w:r>
        <w:rPr>
          <w:rFonts w:ascii="宋体" w:hAnsi="宋体"/>
          <w:color w:val="auto"/>
          <w:sz w:val="24"/>
          <w:szCs w:val="24"/>
        </w:rPr>
        <w:t>.4</w:t>
      </w:r>
      <w:r>
        <w:rPr>
          <w:rFonts w:hint="eastAsia" w:ascii="宋体" w:hAnsi="宋体"/>
          <w:color w:val="auto"/>
          <w:sz w:val="24"/>
          <w:szCs w:val="24"/>
        </w:rPr>
        <w:t>已经提交响应文件的供应商，在提交最后报价之前，可以根据磋商情况退出磋商，退出磋商的供应商的响应文件按无效响应处理。</w:t>
      </w:r>
    </w:p>
    <w:p w14:paraId="45AD16C2">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5</w:t>
      </w:r>
      <w:r>
        <w:rPr>
          <w:rFonts w:ascii="宋体" w:hAnsi="宋体"/>
          <w:color w:val="auto"/>
          <w:sz w:val="24"/>
          <w:szCs w:val="24"/>
        </w:rPr>
        <w:t>.5</w:t>
      </w:r>
      <w:r>
        <w:rPr>
          <w:rFonts w:hint="eastAsia" w:ascii="宋体" w:hAnsi="宋体"/>
          <w:color w:val="auto"/>
          <w:sz w:val="24"/>
          <w:szCs w:val="24"/>
        </w:rPr>
        <w:t>供应商未在规定时间内提交最后报价的，视同退出磋商。</w:t>
      </w:r>
    </w:p>
    <w:p w14:paraId="5AEC448F">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5</w:t>
      </w:r>
      <w:r>
        <w:rPr>
          <w:rFonts w:ascii="宋体" w:hAnsi="宋体"/>
          <w:color w:val="auto"/>
          <w:sz w:val="24"/>
          <w:szCs w:val="24"/>
        </w:rPr>
        <w:t>.6</w:t>
      </w:r>
      <w:r>
        <w:rPr>
          <w:rFonts w:hint="eastAsia" w:ascii="宋体" w:hAnsi="宋体"/>
          <w:color w:val="auto"/>
          <w:sz w:val="24"/>
          <w:szCs w:val="24"/>
        </w:rPr>
        <w:t>磋商小组收齐某一分标最后报价后统一开启，磋商小组对最后报价进行有效性、完整性和响应程度的审查。</w:t>
      </w:r>
    </w:p>
    <w:p w14:paraId="6CCE238C">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5</w:t>
      </w:r>
      <w:r>
        <w:rPr>
          <w:rFonts w:ascii="宋体" w:hAnsi="宋体"/>
          <w:color w:val="auto"/>
          <w:sz w:val="24"/>
          <w:szCs w:val="24"/>
        </w:rPr>
        <w:t>.7</w:t>
      </w:r>
      <w:r>
        <w:rPr>
          <w:rFonts w:hint="eastAsia" w:ascii="宋体" w:hAnsi="宋体"/>
          <w:color w:val="auto"/>
          <w:sz w:val="24"/>
          <w:szCs w:val="24"/>
        </w:rPr>
        <w:t>最终响应文件的报价出现前后不一致的，按照本章第3</w:t>
      </w:r>
      <w:r>
        <w:rPr>
          <w:rFonts w:ascii="宋体" w:hAnsi="宋体"/>
          <w:color w:val="auto"/>
          <w:sz w:val="24"/>
          <w:szCs w:val="24"/>
        </w:rPr>
        <w:t>.4</w:t>
      </w:r>
      <w:r>
        <w:rPr>
          <w:rFonts w:hint="eastAsia" w:ascii="宋体" w:hAnsi="宋体"/>
          <w:color w:val="auto"/>
          <w:sz w:val="24"/>
          <w:szCs w:val="24"/>
        </w:rPr>
        <w:t xml:space="preserve">条的规定修正。 </w:t>
      </w:r>
    </w:p>
    <w:p w14:paraId="1417CF6A">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5</w:t>
      </w:r>
      <w:r>
        <w:rPr>
          <w:rFonts w:ascii="宋体" w:hAnsi="宋体"/>
          <w:color w:val="auto"/>
          <w:sz w:val="24"/>
          <w:szCs w:val="24"/>
        </w:rPr>
        <w:t>.8</w:t>
      </w:r>
      <w:r>
        <w:rPr>
          <w:rFonts w:hint="eastAsia" w:ascii="宋体" w:hAnsi="宋体"/>
          <w:color w:val="auto"/>
          <w:sz w:val="24"/>
          <w:szCs w:val="24"/>
        </w:rPr>
        <w:t>修正后的最终报价出现下列情形的，按无效响应处理：</w:t>
      </w:r>
    </w:p>
    <w:p w14:paraId="0B6B183B">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（1）供应商不确认的（全流程电子化评标采取在线确认）；</w:t>
      </w:r>
    </w:p>
    <w:p w14:paraId="501F64A3">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（2）经供应商确认修正后的响应报价（包含首次报价、最后报价）超过所竞标分标规定的采购预算金额或者最高限价的（如本项目公布了最高限价）；</w:t>
      </w:r>
    </w:p>
    <w:p w14:paraId="54CB6CD7">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（3）经供应商确认修正后的响应报价（包含首次报价、最后报价）超过分项采购预算金额或者最高限价的（如本项目公布了最高限价）。</w:t>
      </w:r>
    </w:p>
    <w:p w14:paraId="41784F77">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5</w:t>
      </w:r>
      <w:r>
        <w:rPr>
          <w:rFonts w:ascii="宋体" w:hAnsi="宋体"/>
          <w:color w:val="auto"/>
          <w:sz w:val="24"/>
          <w:szCs w:val="24"/>
        </w:rPr>
        <w:t>.9</w:t>
      </w:r>
      <w:r>
        <w:rPr>
          <w:rFonts w:hint="eastAsia" w:ascii="宋体" w:hAnsi="宋体"/>
          <w:color w:val="auto"/>
          <w:sz w:val="24"/>
          <w:szCs w:val="24"/>
        </w:rPr>
        <w:t>经供应商确认修正后的最后报价作为评审及签订合同的依据。</w:t>
      </w:r>
    </w:p>
    <w:p w14:paraId="67FE0659">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5.10供应商出现最后报价按无效响应处理或者响应文件按无效处理时，磋商小组应当告知有关供应商。</w:t>
      </w:r>
    </w:p>
    <w:p w14:paraId="44814278">
      <w:pPr>
        <w:spacing w:line="240" w:lineRule="auto"/>
        <w:ind w:firstLine="480" w:firstLineChars="200"/>
        <w:rPr>
          <w:rFonts w:ascii="宋体" w:hAnsi="宋体"/>
          <w:color w:val="auto"/>
          <w:sz w:val="24"/>
          <w:szCs w:val="24"/>
        </w:rPr>
      </w:pPr>
      <w:r>
        <w:rPr>
          <w:rFonts w:ascii="宋体" w:hAnsi="宋体"/>
          <w:color w:val="auto"/>
          <w:sz w:val="24"/>
          <w:szCs w:val="24"/>
        </w:rPr>
        <w:t>5.1</w:t>
      </w:r>
      <w:r>
        <w:rPr>
          <w:rFonts w:hint="eastAsia" w:ascii="宋体" w:hAnsi="宋体"/>
          <w:color w:val="auto"/>
          <w:sz w:val="24"/>
          <w:szCs w:val="24"/>
        </w:rPr>
        <w:t>1最后报价结束后，磋商小组不得再与供应商进行任何形式的商谈。</w:t>
      </w:r>
    </w:p>
    <w:p w14:paraId="25B1945E">
      <w:pPr>
        <w:spacing w:line="240" w:lineRule="auto"/>
        <w:ind w:firstLine="200"/>
        <w:rPr>
          <w:rFonts w:hint="eastAsia" w:ascii="黑体" w:hAnsi="黑体" w:eastAsia="黑体"/>
          <w:b/>
          <w:bCs/>
          <w:color w:val="auto"/>
          <w:sz w:val="24"/>
          <w:szCs w:val="24"/>
        </w:rPr>
      </w:pPr>
      <w:r>
        <w:rPr>
          <w:rFonts w:hint="eastAsia" w:ascii="黑体" w:hAnsi="黑体" w:eastAsia="黑体"/>
          <w:b/>
          <w:bCs/>
          <w:color w:val="auto"/>
          <w:sz w:val="24"/>
          <w:szCs w:val="24"/>
        </w:rPr>
        <w:t>6</w:t>
      </w:r>
      <w:r>
        <w:rPr>
          <w:rFonts w:ascii="黑体" w:hAnsi="黑体" w:eastAsia="黑体"/>
          <w:b/>
          <w:bCs/>
          <w:color w:val="auto"/>
          <w:sz w:val="24"/>
          <w:szCs w:val="24"/>
        </w:rPr>
        <w:t>.</w:t>
      </w:r>
      <w:r>
        <w:rPr>
          <w:rFonts w:hint="eastAsia" w:ascii="黑体" w:hAnsi="黑体" w:eastAsia="黑体"/>
          <w:b/>
          <w:bCs/>
          <w:color w:val="auto"/>
          <w:sz w:val="24"/>
          <w:szCs w:val="24"/>
        </w:rPr>
        <w:t>比较与评价</w:t>
      </w:r>
    </w:p>
    <w:p w14:paraId="055A940D">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6</w:t>
      </w:r>
      <w:r>
        <w:rPr>
          <w:rFonts w:ascii="宋体" w:hAnsi="宋体"/>
          <w:color w:val="auto"/>
          <w:sz w:val="24"/>
          <w:szCs w:val="24"/>
        </w:rPr>
        <w:t>.1</w:t>
      </w:r>
      <w:r>
        <w:rPr>
          <w:rFonts w:hint="eastAsia" w:ascii="宋体" w:hAnsi="宋体"/>
          <w:color w:val="auto"/>
          <w:sz w:val="24"/>
          <w:szCs w:val="24"/>
        </w:rPr>
        <w:t>评审方法：综合评分法。</w:t>
      </w:r>
    </w:p>
    <w:p w14:paraId="64581BC4">
      <w:pPr>
        <w:spacing w:line="240" w:lineRule="auto"/>
        <w:ind w:firstLine="480" w:firstLineChars="200"/>
        <w:rPr>
          <w:rFonts w:ascii="宋体" w:hAnsi="宋体"/>
          <w:color w:val="auto"/>
          <w:sz w:val="24"/>
          <w:szCs w:val="24"/>
        </w:rPr>
      </w:pPr>
      <w:r>
        <w:rPr>
          <w:rFonts w:ascii="宋体" w:hAnsi="宋体"/>
          <w:color w:val="auto"/>
          <w:sz w:val="24"/>
          <w:szCs w:val="24"/>
        </w:rPr>
        <w:t>6.2</w:t>
      </w:r>
      <w:r>
        <w:rPr>
          <w:rFonts w:hint="eastAsia" w:ascii="宋体" w:hAnsi="宋体"/>
          <w:color w:val="auto"/>
          <w:sz w:val="24"/>
          <w:szCs w:val="24"/>
        </w:rPr>
        <w:t>经磋商确定最终采购需求和提交最后报价的供应商后，由磋商小组采用综合评分法对提交最后报价的供应商的响应文件和最后报价进行综合评分。</w:t>
      </w:r>
    </w:p>
    <w:p w14:paraId="3759FA83">
      <w:pPr>
        <w:spacing w:line="240" w:lineRule="auto"/>
        <w:ind w:firstLine="480" w:firstLineChars="200"/>
        <w:rPr>
          <w:rFonts w:ascii="宋体" w:hAnsi="宋体"/>
          <w:color w:val="auto"/>
          <w:sz w:val="24"/>
          <w:szCs w:val="24"/>
        </w:rPr>
      </w:pPr>
      <w:r>
        <w:rPr>
          <w:rFonts w:ascii="宋体" w:hAnsi="宋体"/>
          <w:color w:val="auto"/>
          <w:sz w:val="24"/>
          <w:szCs w:val="24"/>
        </w:rPr>
        <w:t>6.3</w:t>
      </w:r>
      <w:r>
        <w:rPr>
          <w:rFonts w:hint="eastAsia" w:ascii="宋体" w:hAnsi="宋体"/>
          <w:color w:val="auto"/>
          <w:sz w:val="24"/>
          <w:szCs w:val="24"/>
        </w:rPr>
        <w:t>评审时，磋商小组各成员应当独立对每个有效响应的文件进行评价、打分，然后汇总每个供应商每项评分因素的得分。在评审过程中，若对供应商技术分评审为最低档时，应在评审报告中做出说明。</w:t>
      </w:r>
    </w:p>
    <w:p w14:paraId="73FEE94F">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（1）磋商小组按照磋商文件中规定的评审标准计算各供应商的报价得分。项目评审过程中，不得去掉最后报价中的最高报价和最低报价。</w:t>
      </w:r>
    </w:p>
    <w:p w14:paraId="11861333">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（2）各供应商的得分为磋商小组所有成员的有效评分的算术平均数。</w:t>
      </w:r>
    </w:p>
    <w:p w14:paraId="2480D478">
      <w:pPr>
        <w:spacing w:line="240" w:lineRule="auto"/>
        <w:ind w:firstLine="480" w:firstLineChars="200"/>
        <w:rPr>
          <w:rFonts w:ascii="宋体" w:hAnsi="宋体"/>
          <w:color w:val="auto"/>
          <w:sz w:val="24"/>
          <w:szCs w:val="24"/>
        </w:rPr>
      </w:pPr>
      <w:r>
        <w:rPr>
          <w:rFonts w:ascii="宋体" w:hAnsi="宋体"/>
          <w:color w:val="auto"/>
          <w:sz w:val="24"/>
          <w:szCs w:val="24"/>
        </w:rPr>
        <w:t>6.4</w:t>
      </w:r>
      <w:r>
        <w:rPr>
          <w:rFonts w:hint="eastAsia" w:ascii="宋体" w:hAnsi="宋体"/>
          <w:color w:val="auto"/>
          <w:sz w:val="24"/>
          <w:szCs w:val="24"/>
        </w:rPr>
        <w:t>评审价为供应商的最后报价进行政策性扣除后的价格，评审价只是作为评审时使用。最终成交供应商的成交金额等于最后报价（如有修正，以确认修正后的最后报价为准）。</w:t>
      </w:r>
    </w:p>
    <w:p w14:paraId="79B861A6">
      <w:pPr>
        <w:spacing w:line="240" w:lineRule="auto"/>
        <w:ind w:firstLine="480" w:firstLineChars="200"/>
        <w:rPr>
          <w:rFonts w:ascii="宋体" w:hAnsi="宋体"/>
          <w:color w:val="auto"/>
          <w:sz w:val="24"/>
          <w:szCs w:val="24"/>
        </w:rPr>
      </w:pPr>
      <w:r>
        <w:rPr>
          <w:rFonts w:ascii="宋体" w:hAnsi="宋体"/>
          <w:color w:val="auto"/>
          <w:sz w:val="24"/>
          <w:szCs w:val="24"/>
        </w:rPr>
        <w:t>6.5</w:t>
      </w:r>
      <w:r>
        <w:rPr>
          <w:rFonts w:hint="eastAsia" w:ascii="宋体" w:hAnsi="宋体"/>
          <w:color w:val="auto"/>
          <w:sz w:val="24"/>
          <w:szCs w:val="24"/>
        </w:rPr>
        <w:t>由磋商小组根据综合评分情况，按照评审得分由高到低顺序推荐3名以上成交候选供应商，并编写评</w:t>
      </w:r>
      <w:r>
        <w:rPr>
          <w:rFonts w:hint="eastAsia" w:ascii="宋体" w:hAnsi="宋体"/>
          <w:color w:val="auto"/>
          <w:kern w:val="0"/>
          <w:sz w:val="24"/>
          <w:szCs w:val="24"/>
        </w:rPr>
        <w:t>审报告。符合本章第</w:t>
      </w:r>
      <w:r>
        <w:rPr>
          <w:rFonts w:ascii="宋体" w:hAnsi="宋体"/>
          <w:color w:val="auto"/>
          <w:kern w:val="0"/>
          <w:sz w:val="24"/>
          <w:szCs w:val="24"/>
        </w:rPr>
        <w:t>4.3</w:t>
      </w:r>
      <w:r>
        <w:rPr>
          <w:rFonts w:hint="eastAsia" w:ascii="宋体" w:hAnsi="宋体"/>
          <w:color w:val="auto"/>
          <w:kern w:val="0"/>
          <w:sz w:val="24"/>
          <w:szCs w:val="24"/>
        </w:rPr>
        <w:t>条情形的，可以推荐2家成交候选供应商。评审得分相同的，按照最后报价由低到高的顺序推荐。评审得分且最后报价相同的，按照技术指标优劣顺序推荐。</w:t>
      </w:r>
    </w:p>
    <w:p w14:paraId="351AB5F1">
      <w:pPr>
        <w:spacing w:line="240" w:lineRule="auto"/>
        <w:ind w:firstLine="480" w:firstLineChars="200"/>
        <w:rPr>
          <w:rFonts w:ascii="宋体" w:hAnsi="宋体"/>
          <w:color w:val="auto"/>
          <w:kern w:val="0"/>
          <w:sz w:val="24"/>
          <w:szCs w:val="24"/>
        </w:rPr>
      </w:pPr>
      <w:r>
        <w:rPr>
          <w:rFonts w:ascii="宋体" w:hAnsi="宋体"/>
          <w:color w:val="auto"/>
          <w:kern w:val="0"/>
          <w:sz w:val="24"/>
          <w:szCs w:val="24"/>
        </w:rPr>
        <w:t>6.6</w:t>
      </w:r>
      <w:r>
        <w:rPr>
          <w:rFonts w:hint="eastAsia" w:ascii="宋体" w:hAnsi="宋体"/>
          <w:color w:val="auto"/>
          <w:kern w:val="0"/>
          <w:sz w:val="24"/>
          <w:szCs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E5CE375">
      <w:pPr>
        <w:spacing w:line="240" w:lineRule="auto"/>
        <w:ind w:firstLine="200"/>
        <w:rPr>
          <w:rFonts w:hint="eastAsia" w:ascii="黑体" w:hAnsi="黑体" w:eastAsia="黑体"/>
          <w:b/>
          <w:bCs/>
          <w:color w:val="auto"/>
          <w:sz w:val="24"/>
          <w:szCs w:val="24"/>
        </w:rPr>
      </w:pPr>
      <w:r>
        <w:rPr>
          <w:rFonts w:hint="eastAsia" w:ascii="黑体" w:hAnsi="黑体" w:eastAsia="黑体"/>
          <w:b/>
          <w:bCs/>
          <w:color w:val="auto"/>
          <w:sz w:val="24"/>
          <w:szCs w:val="24"/>
        </w:rPr>
        <w:t>7</w:t>
      </w:r>
      <w:r>
        <w:rPr>
          <w:rFonts w:ascii="黑体" w:hAnsi="黑体" w:eastAsia="黑体"/>
          <w:b/>
          <w:bCs/>
          <w:color w:val="auto"/>
          <w:sz w:val="24"/>
          <w:szCs w:val="24"/>
        </w:rPr>
        <w:t>.</w:t>
      </w:r>
      <w:r>
        <w:rPr>
          <w:rFonts w:hint="eastAsia" w:ascii="黑体" w:hAnsi="黑体" w:eastAsia="黑体"/>
          <w:b/>
          <w:bCs/>
          <w:color w:val="auto"/>
          <w:sz w:val="24"/>
          <w:szCs w:val="24"/>
        </w:rPr>
        <w:t>评审标准</w:t>
      </w:r>
    </w:p>
    <w:p w14:paraId="7E5B89D6">
      <w:pPr>
        <w:spacing w:line="240" w:lineRule="auto"/>
        <w:ind w:firstLine="482" w:firstLineChars="200"/>
        <w:rPr>
          <w:rFonts w:hint="eastAsia" w:ascii="宋体" w:hAnsi="宋体"/>
          <w:b/>
          <w:color w:val="auto"/>
          <w:sz w:val="24"/>
          <w:szCs w:val="24"/>
        </w:rPr>
      </w:pPr>
      <w:r>
        <w:rPr>
          <w:rFonts w:hint="eastAsia" w:ascii="宋体" w:hAnsi="宋体"/>
          <w:b/>
          <w:color w:val="auto"/>
          <w:sz w:val="24"/>
          <w:szCs w:val="24"/>
        </w:rPr>
        <w:t>7.</w:t>
      </w:r>
      <w:r>
        <w:rPr>
          <w:rFonts w:hint="eastAsia" w:ascii="宋体" w:hAnsi="宋体"/>
          <w:bCs/>
          <w:color w:val="auto"/>
          <w:sz w:val="24"/>
          <w:szCs w:val="24"/>
        </w:rPr>
        <w:t>1评审依据：磋商小组将以磋商响应文件为评审依据，对供应商的报价、技术、商务等方面内容按百分制打分。（计分方法按四舍五入取至百分位）</w:t>
      </w:r>
    </w:p>
    <w:p w14:paraId="3587F759">
      <w:pPr>
        <w:spacing w:line="240" w:lineRule="auto"/>
        <w:ind w:firstLine="480" w:firstLineChars="200"/>
        <w:rPr>
          <w:rFonts w:hint="eastAsia" w:ascii="宋体" w:hAnsi="宋体"/>
          <w:bCs/>
          <w:color w:val="auto"/>
          <w:sz w:val="24"/>
          <w:szCs w:val="24"/>
        </w:rPr>
      </w:pPr>
      <w:r>
        <w:rPr>
          <w:rFonts w:hint="eastAsia" w:ascii="宋体" w:hAnsi="宋体"/>
          <w:bCs/>
          <w:color w:val="auto"/>
          <w:sz w:val="24"/>
          <w:szCs w:val="24"/>
        </w:rPr>
        <w:t>评分办法：</w:t>
      </w:r>
    </w:p>
    <w:p w14:paraId="465771E4">
      <w:pPr>
        <w:spacing w:line="240" w:lineRule="auto"/>
        <w:rPr>
          <w:rFonts w:hint="eastAsia" w:ascii="宋体" w:hAnsi="宋体"/>
          <w:bCs/>
          <w:color w:val="auto"/>
          <w:sz w:val="24"/>
          <w:szCs w:val="24"/>
        </w:rPr>
      </w:pPr>
    </w:p>
    <w:p w14:paraId="1C8CF54A">
      <w:pPr>
        <w:spacing w:line="240" w:lineRule="auto"/>
        <w:rPr>
          <w:rFonts w:ascii="宋体" w:hAnsi="宋体"/>
          <w:bCs/>
          <w:color w:val="auto"/>
          <w:sz w:val="24"/>
          <w:szCs w:val="24"/>
        </w:rPr>
      </w:pPr>
    </w:p>
    <w:p w14:paraId="4129503A">
      <w:pPr>
        <w:spacing w:line="240" w:lineRule="auto"/>
        <w:jc w:val="center"/>
        <w:rPr>
          <w:rFonts w:hint="eastAsia" w:ascii="宋体" w:hAnsi="宋体"/>
          <w:b/>
          <w:color w:val="auto"/>
          <w:sz w:val="24"/>
          <w:szCs w:val="24"/>
        </w:rPr>
      </w:pPr>
    </w:p>
    <w:p w14:paraId="27B6865E">
      <w:pPr>
        <w:spacing w:line="240" w:lineRule="auto"/>
        <w:jc w:val="center"/>
        <w:rPr>
          <w:rFonts w:hint="eastAsia" w:ascii="宋体" w:hAnsi="宋体"/>
          <w:b/>
          <w:color w:val="auto"/>
          <w:sz w:val="24"/>
          <w:szCs w:val="24"/>
        </w:rPr>
      </w:pPr>
    </w:p>
    <w:p w14:paraId="3BA05474">
      <w:pPr>
        <w:spacing w:line="240" w:lineRule="auto"/>
        <w:jc w:val="center"/>
        <w:rPr>
          <w:rFonts w:hint="eastAsia" w:ascii="宋体" w:hAnsi="宋体"/>
          <w:b/>
          <w:color w:val="auto"/>
          <w:sz w:val="24"/>
          <w:szCs w:val="24"/>
        </w:rPr>
      </w:pPr>
    </w:p>
    <w:p w14:paraId="30D59925">
      <w:pPr>
        <w:spacing w:line="240" w:lineRule="auto"/>
        <w:jc w:val="center"/>
        <w:rPr>
          <w:rFonts w:hint="eastAsia" w:ascii="宋体" w:hAnsi="宋体"/>
          <w:b/>
          <w:color w:val="auto"/>
          <w:sz w:val="24"/>
          <w:szCs w:val="24"/>
        </w:rPr>
      </w:pPr>
    </w:p>
    <w:p w14:paraId="316FEDCA">
      <w:pPr>
        <w:spacing w:line="240" w:lineRule="auto"/>
        <w:jc w:val="center"/>
        <w:rPr>
          <w:rFonts w:hint="eastAsia" w:ascii="宋体" w:hAnsi="宋体"/>
          <w:b/>
          <w:color w:val="auto"/>
          <w:sz w:val="24"/>
          <w:szCs w:val="24"/>
        </w:rPr>
      </w:pPr>
      <w:r>
        <w:rPr>
          <w:rFonts w:hint="eastAsia" w:ascii="宋体" w:hAnsi="宋体"/>
          <w:b/>
          <w:color w:val="auto"/>
          <w:sz w:val="24"/>
          <w:szCs w:val="24"/>
        </w:rPr>
        <w:t>二、评审标准</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430"/>
        <w:gridCol w:w="6714"/>
        <w:gridCol w:w="909"/>
      </w:tblGrid>
      <w:tr w14:paraId="429DC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53" w:type="dxa"/>
            <w:vAlign w:val="center"/>
          </w:tcPr>
          <w:p w14:paraId="01AE35B0">
            <w:pPr>
              <w:widowControl/>
              <w:spacing w:line="240" w:lineRule="auto"/>
              <w:jc w:val="center"/>
              <w:rPr>
                <w:rFonts w:hint="eastAsia" w:ascii="宋体" w:hAnsi="宋体"/>
                <w:b/>
                <w:bCs/>
                <w:color w:val="auto"/>
                <w:kern w:val="0"/>
                <w:sz w:val="24"/>
                <w:szCs w:val="24"/>
              </w:rPr>
            </w:pPr>
            <w:r>
              <w:rPr>
                <w:rFonts w:hint="eastAsia" w:ascii="宋体" w:hAnsi="宋体"/>
                <w:b/>
                <w:bCs/>
                <w:color w:val="auto"/>
                <w:kern w:val="0"/>
                <w:sz w:val="24"/>
                <w:szCs w:val="24"/>
              </w:rPr>
              <w:t>序号</w:t>
            </w:r>
          </w:p>
        </w:tc>
        <w:tc>
          <w:tcPr>
            <w:tcW w:w="1430" w:type="dxa"/>
            <w:vAlign w:val="center"/>
          </w:tcPr>
          <w:p w14:paraId="604EF3F8">
            <w:pPr>
              <w:widowControl/>
              <w:spacing w:line="240" w:lineRule="auto"/>
              <w:jc w:val="center"/>
              <w:rPr>
                <w:rFonts w:hint="eastAsia" w:ascii="宋体" w:hAnsi="宋体"/>
                <w:b/>
                <w:bCs/>
                <w:color w:val="auto"/>
                <w:kern w:val="0"/>
                <w:sz w:val="24"/>
                <w:szCs w:val="24"/>
              </w:rPr>
            </w:pPr>
            <w:r>
              <w:rPr>
                <w:rFonts w:hint="eastAsia" w:ascii="宋体" w:hAnsi="宋体"/>
                <w:b/>
                <w:bCs/>
                <w:color w:val="auto"/>
                <w:kern w:val="0"/>
                <w:sz w:val="24"/>
                <w:szCs w:val="24"/>
              </w:rPr>
              <w:t>评审因素</w:t>
            </w:r>
          </w:p>
        </w:tc>
        <w:tc>
          <w:tcPr>
            <w:tcW w:w="6714" w:type="dxa"/>
            <w:vAlign w:val="center"/>
          </w:tcPr>
          <w:p w14:paraId="05588ED5">
            <w:pPr>
              <w:widowControl/>
              <w:spacing w:line="240" w:lineRule="auto"/>
              <w:jc w:val="center"/>
              <w:rPr>
                <w:rFonts w:hint="eastAsia" w:ascii="宋体" w:hAnsi="宋体"/>
                <w:b/>
                <w:bCs/>
                <w:color w:val="auto"/>
                <w:kern w:val="0"/>
                <w:sz w:val="24"/>
                <w:szCs w:val="24"/>
              </w:rPr>
            </w:pPr>
            <w:r>
              <w:rPr>
                <w:rFonts w:hint="eastAsia" w:ascii="宋体" w:hAnsi="宋体"/>
                <w:b/>
                <w:bCs/>
                <w:color w:val="auto"/>
                <w:kern w:val="0"/>
                <w:sz w:val="24"/>
                <w:szCs w:val="24"/>
              </w:rPr>
              <w:t>评审因素具体内容</w:t>
            </w:r>
          </w:p>
        </w:tc>
        <w:tc>
          <w:tcPr>
            <w:tcW w:w="909" w:type="dxa"/>
            <w:vAlign w:val="center"/>
          </w:tcPr>
          <w:p w14:paraId="2F3EB99B">
            <w:pPr>
              <w:widowControl/>
              <w:spacing w:line="240" w:lineRule="auto"/>
              <w:jc w:val="center"/>
              <w:rPr>
                <w:rFonts w:hint="eastAsia" w:ascii="宋体" w:hAnsi="宋体"/>
                <w:b/>
                <w:bCs/>
                <w:color w:val="auto"/>
                <w:kern w:val="0"/>
                <w:sz w:val="24"/>
                <w:szCs w:val="24"/>
              </w:rPr>
            </w:pPr>
            <w:r>
              <w:rPr>
                <w:rFonts w:hint="eastAsia" w:ascii="宋体" w:hAnsi="宋体"/>
                <w:b/>
                <w:bCs/>
                <w:color w:val="auto"/>
                <w:kern w:val="0"/>
                <w:sz w:val="24"/>
                <w:szCs w:val="24"/>
              </w:rPr>
              <w:t>分值</w:t>
            </w:r>
          </w:p>
        </w:tc>
      </w:tr>
      <w:tr w14:paraId="63957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3" w:type="dxa"/>
            <w:vAlign w:val="center"/>
          </w:tcPr>
          <w:p w14:paraId="540D5793">
            <w:pPr>
              <w:widowControl/>
              <w:spacing w:line="240" w:lineRule="auto"/>
              <w:jc w:val="center"/>
              <w:rPr>
                <w:rFonts w:hint="eastAsia" w:ascii="宋体" w:hAnsi="宋体"/>
                <w:color w:val="auto"/>
                <w:kern w:val="0"/>
                <w:sz w:val="24"/>
                <w:szCs w:val="24"/>
              </w:rPr>
            </w:pPr>
            <w:r>
              <w:rPr>
                <w:rFonts w:hint="eastAsia" w:ascii="宋体" w:hAnsi="宋体"/>
                <w:color w:val="auto"/>
                <w:kern w:val="0"/>
                <w:sz w:val="24"/>
                <w:szCs w:val="24"/>
              </w:rPr>
              <w:t>1</w:t>
            </w:r>
          </w:p>
        </w:tc>
        <w:tc>
          <w:tcPr>
            <w:tcW w:w="1430" w:type="dxa"/>
            <w:vAlign w:val="center"/>
          </w:tcPr>
          <w:p w14:paraId="66CB4746">
            <w:pPr>
              <w:widowControl/>
              <w:spacing w:line="240" w:lineRule="auto"/>
              <w:jc w:val="center"/>
              <w:rPr>
                <w:rFonts w:hint="eastAsia" w:ascii="宋体" w:hAnsi="宋体"/>
                <w:color w:val="auto"/>
                <w:kern w:val="0"/>
                <w:sz w:val="24"/>
                <w:szCs w:val="24"/>
              </w:rPr>
            </w:pPr>
            <w:r>
              <w:rPr>
                <w:rFonts w:hint="eastAsia" w:ascii="宋体" w:hAnsi="宋体"/>
                <w:color w:val="auto"/>
                <w:kern w:val="0"/>
                <w:sz w:val="24"/>
                <w:szCs w:val="24"/>
              </w:rPr>
              <w:t>价格分(35分）</w:t>
            </w:r>
          </w:p>
        </w:tc>
        <w:tc>
          <w:tcPr>
            <w:tcW w:w="6714" w:type="dxa"/>
            <w:vAlign w:val="top"/>
          </w:tcPr>
          <w:p w14:paraId="703203D7">
            <w:pPr>
              <w:spacing w:line="240" w:lineRule="auto"/>
              <w:rPr>
                <w:rFonts w:hint="eastAsia" w:ascii="宋体" w:hAnsi="宋体"/>
                <w:b/>
                <w:color w:val="auto"/>
                <w:sz w:val="24"/>
                <w:szCs w:val="24"/>
              </w:rPr>
            </w:pPr>
            <w:r>
              <w:rPr>
                <w:rFonts w:hint="eastAsia" w:ascii="宋体" w:hAnsi="宋体"/>
                <w:b/>
                <w:color w:val="auto"/>
                <w:sz w:val="24"/>
                <w:szCs w:val="24"/>
              </w:rPr>
              <w:t>1.本项目为专门面向中小企业采购的项目，根据财政部关于印发《政府采购促进中小企业发展管理办法》的通知（财库〔2020〕46号）的规定，评审时小微企业、监狱企业、残疾人福利性单位不再执行价格评审优惠的扶持政策，评审价=最后报价。</w:t>
            </w:r>
          </w:p>
          <w:p w14:paraId="20A09791">
            <w:pPr>
              <w:spacing w:line="240" w:lineRule="auto"/>
              <w:rPr>
                <w:rFonts w:hint="eastAsia" w:ascii="宋体" w:hAnsi="宋体"/>
                <w:bCs/>
                <w:color w:val="auto"/>
                <w:sz w:val="24"/>
                <w:szCs w:val="24"/>
              </w:rPr>
            </w:pPr>
            <w:r>
              <w:rPr>
                <w:rFonts w:hint="eastAsia" w:ascii="宋体" w:hAnsi="宋体"/>
                <w:bCs/>
                <w:color w:val="auto"/>
                <w:sz w:val="24"/>
                <w:szCs w:val="24"/>
              </w:rPr>
              <w:t>2.</w:t>
            </w:r>
            <w:r>
              <w:rPr>
                <w:rFonts w:hint="eastAsia" w:ascii="宋体" w:hAnsi="宋体"/>
                <w:color w:val="auto"/>
                <w:sz w:val="24"/>
                <w:szCs w:val="24"/>
              </w:rPr>
              <w:t>最终成交供应商的成交金额等于最后报价（如有修正，以确认修正后的最后报价为准）。</w:t>
            </w:r>
            <w:r>
              <w:rPr>
                <w:rFonts w:hint="eastAsia" w:ascii="宋体" w:hAnsi="宋体"/>
                <w:bCs/>
                <w:color w:val="auto"/>
                <w:sz w:val="24"/>
                <w:szCs w:val="24"/>
              </w:rPr>
              <w:t>报价分采用低价优先法计算，即满足磋商文件要求且投标价格最低的投标报价为评分基准价，其报价分为满分。其他投标人的报价分统一按照下列公式计算：</w:t>
            </w:r>
          </w:p>
          <w:p w14:paraId="5758AF6B">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报价得分＝（</w:t>
            </w:r>
            <w:r>
              <w:rPr>
                <w:rFonts w:hint="eastAsia" w:ascii="宋体" w:hAnsi="宋体"/>
                <w:bCs/>
                <w:color w:val="auto"/>
                <w:kern w:val="0"/>
                <w:sz w:val="24"/>
                <w:szCs w:val="24"/>
              </w:rPr>
              <w:t>基准价</w:t>
            </w:r>
            <w:r>
              <w:rPr>
                <w:rFonts w:hint="eastAsia" w:ascii="宋体" w:hAnsi="宋体"/>
                <w:color w:val="auto"/>
                <w:sz w:val="24"/>
                <w:szCs w:val="24"/>
              </w:rPr>
              <w:t>/ 投标人最后报价）×35分</w:t>
            </w:r>
          </w:p>
        </w:tc>
        <w:tc>
          <w:tcPr>
            <w:tcW w:w="909" w:type="dxa"/>
            <w:vAlign w:val="center"/>
          </w:tcPr>
          <w:p w14:paraId="1F6C5DBA">
            <w:pPr>
              <w:widowControl/>
              <w:spacing w:line="240" w:lineRule="auto"/>
              <w:jc w:val="center"/>
              <w:rPr>
                <w:rFonts w:hint="eastAsia" w:ascii="宋体" w:hAnsi="宋体"/>
                <w:color w:val="auto"/>
                <w:kern w:val="0"/>
                <w:sz w:val="24"/>
                <w:szCs w:val="24"/>
              </w:rPr>
            </w:pPr>
            <w:r>
              <w:rPr>
                <w:rFonts w:hint="eastAsia" w:ascii="宋体" w:hAnsi="宋体"/>
                <w:color w:val="auto"/>
                <w:kern w:val="0"/>
                <w:sz w:val="24"/>
                <w:szCs w:val="24"/>
              </w:rPr>
              <w:t xml:space="preserve"> 35分</w:t>
            </w:r>
          </w:p>
        </w:tc>
      </w:tr>
      <w:tr w14:paraId="00723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53" w:type="dxa"/>
            <w:vAlign w:val="center"/>
          </w:tcPr>
          <w:p w14:paraId="51E74676">
            <w:pPr>
              <w:widowControl/>
              <w:spacing w:line="240" w:lineRule="auto"/>
              <w:jc w:val="center"/>
              <w:rPr>
                <w:rFonts w:hint="eastAsia" w:ascii="宋体" w:hAnsi="宋体"/>
                <w:b/>
                <w:color w:val="auto"/>
                <w:kern w:val="0"/>
                <w:sz w:val="24"/>
                <w:szCs w:val="24"/>
              </w:rPr>
            </w:pPr>
            <w:r>
              <w:rPr>
                <w:rFonts w:hint="eastAsia" w:ascii="宋体" w:hAnsi="宋体"/>
                <w:b/>
                <w:color w:val="auto"/>
                <w:kern w:val="0"/>
                <w:sz w:val="24"/>
                <w:szCs w:val="24"/>
              </w:rPr>
              <w:t>2</w:t>
            </w:r>
          </w:p>
        </w:tc>
        <w:tc>
          <w:tcPr>
            <w:tcW w:w="1430" w:type="dxa"/>
            <w:vAlign w:val="center"/>
          </w:tcPr>
          <w:p w14:paraId="1A734DFA">
            <w:pPr>
              <w:widowControl/>
              <w:spacing w:line="240" w:lineRule="auto"/>
              <w:jc w:val="center"/>
              <w:rPr>
                <w:rFonts w:hint="eastAsia" w:ascii="宋体" w:hAnsi="宋体"/>
                <w:b/>
                <w:color w:val="auto"/>
                <w:kern w:val="0"/>
                <w:sz w:val="24"/>
                <w:szCs w:val="24"/>
              </w:rPr>
            </w:pPr>
            <w:r>
              <w:rPr>
                <w:rFonts w:hint="eastAsia" w:ascii="宋体" w:hAnsi="宋体"/>
                <w:b/>
                <w:color w:val="auto"/>
                <w:kern w:val="0"/>
                <w:sz w:val="24"/>
                <w:szCs w:val="24"/>
              </w:rPr>
              <w:t>技术分</w:t>
            </w:r>
          </w:p>
        </w:tc>
        <w:tc>
          <w:tcPr>
            <w:tcW w:w="7623" w:type="dxa"/>
            <w:gridSpan w:val="2"/>
            <w:vAlign w:val="top"/>
          </w:tcPr>
          <w:p w14:paraId="20E795AC">
            <w:pPr>
              <w:widowControl/>
              <w:spacing w:line="240" w:lineRule="auto"/>
              <w:jc w:val="center"/>
              <w:rPr>
                <w:rFonts w:hint="eastAsia" w:ascii="宋体" w:hAnsi="宋体"/>
                <w:b/>
                <w:color w:val="auto"/>
                <w:kern w:val="0"/>
                <w:sz w:val="24"/>
                <w:szCs w:val="24"/>
              </w:rPr>
            </w:pPr>
            <w:r>
              <w:rPr>
                <w:rFonts w:hint="eastAsia" w:ascii="宋体" w:hAnsi="宋体"/>
                <w:b/>
                <w:color w:val="auto"/>
                <w:kern w:val="0"/>
                <w:sz w:val="24"/>
                <w:szCs w:val="24"/>
              </w:rPr>
              <w:t>评审因素</w:t>
            </w:r>
          </w:p>
        </w:tc>
      </w:tr>
      <w:tr w14:paraId="79283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jc w:val="center"/>
        </w:trPr>
        <w:tc>
          <w:tcPr>
            <w:tcW w:w="653" w:type="dxa"/>
            <w:vMerge w:val="restart"/>
            <w:vAlign w:val="center"/>
          </w:tcPr>
          <w:p w14:paraId="69A6793A">
            <w:pPr>
              <w:spacing w:line="240" w:lineRule="auto"/>
              <w:ind w:left="-105" w:leftChars="-50" w:right="-105" w:rightChars="-50"/>
              <w:jc w:val="center"/>
              <w:rPr>
                <w:rFonts w:hint="eastAsia" w:ascii="宋体" w:hAnsi="宋体"/>
                <w:b/>
                <w:color w:val="auto"/>
                <w:kern w:val="0"/>
                <w:sz w:val="24"/>
                <w:szCs w:val="24"/>
              </w:rPr>
            </w:pPr>
            <w:r>
              <w:rPr>
                <w:rFonts w:hint="eastAsia" w:ascii="宋体" w:hAnsi="宋体"/>
                <w:b/>
                <w:color w:val="auto"/>
                <w:kern w:val="0"/>
                <w:sz w:val="24"/>
                <w:szCs w:val="24"/>
              </w:rPr>
              <w:t>2</w:t>
            </w:r>
            <w:r>
              <w:rPr>
                <w:rFonts w:ascii="宋体" w:hAnsi="宋体"/>
                <w:b/>
                <w:color w:val="auto"/>
                <w:kern w:val="0"/>
                <w:sz w:val="24"/>
                <w:szCs w:val="24"/>
              </w:rPr>
              <w:t>.1</w:t>
            </w:r>
          </w:p>
        </w:tc>
        <w:tc>
          <w:tcPr>
            <w:tcW w:w="1430" w:type="dxa"/>
            <w:vMerge w:val="restart"/>
            <w:vAlign w:val="center"/>
          </w:tcPr>
          <w:p w14:paraId="50B4462B">
            <w:pPr>
              <w:spacing w:line="240" w:lineRule="auto"/>
              <w:jc w:val="center"/>
              <w:rPr>
                <w:rFonts w:ascii="宋体" w:hAnsi="宋体"/>
                <w:b/>
                <w:bCs/>
                <w:color w:val="auto"/>
                <w:sz w:val="24"/>
                <w:szCs w:val="24"/>
              </w:rPr>
            </w:pPr>
            <w:r>
              <w:rPr>
                <w:rFonts w:ascii="宋体" w:hAnsi="宋体"/>
                <w:b/>
                <w:bCs/>
                <w:color w:val="auto"/>
                <w:sz w:val="24"/>
                <w:szCs w:val="24"/>
              </w:rPr>
              <w:t>项目管理机构</w:t>
            </w:r>
            <w:r>
              <w:rPr>
                <w:rFonts w:hint="eastAsia" w:ascii="宋体" w:hAnsi="宋体"/>
                <w:b/>
                <w:bCs/>
                <w:color w:val="auto"/>
                <w:sz w:val="24"/>
                <w:szCs w:val="24"/>
              </w:rPr>
              <w:t>（8分）</w:t>
            </w:r>
          </w:p>
        </w:tc>
        <w:tc>
          <w:tcPr>
            <w:tcW w:w="6714" w:type="dxa"/>
            <w:vAlign w:val="center"/>
          </w:tcPr>
          <w:p w14:paraId="7A5E52B3">
            <w:pPr>
              <w:spacing w:line="240" w:lineRule="auto"/>
              <w:rPr>
                <w:rFonts w:hint="eastAsia" w:ascii="宋体" w:hAnsi="宋体"/>
                <w:b/>
                <w:bCs/>
                <w:color w:val="auto"/>
                <w:kern w:val="0"/>
                <w:sz w:val="24"/>
                <w:szCs w:val="24"/>
              </w:rPr>
            </w:pPr>
            <w:r>
              <w:rPr>
                <w:rFonts w:hint="eastAsia" w:ascii="宋体" w:hAnsi="宋体"/>
                <w:b/>
                <w:bCs/>
                <w:color w:val="auto"/>
                <w:kern w:val="0"/>
                <w:sz w:val="24"/>
                <w:szCs w:val="24"/>
              </w:rPr>
              <w:t>1、</w:t>
            </w:r>
            <w:r>
              <w:rPr>
                <w:rFonts w:ascii="宋体" w:hAnsi="宋体"/>
                <w:b/>
                <w:bCs/>
                <w:color w:val="auto"/>
                <w:kern w:val="0"/>
                <w:sz w:val="24"/>
                <w:szCs w:val="24"/>
              </w:rPr>
              <w:t>项目经理任职资格</w:t>
            </w:r>
          </w:p>
          <w:p w14:paraId="4687C441">
            <w:pPr>
              <w:spacing w:line="240" w:lineRule="auto"/>
              <w:rPr>
                <w:rFonts w:ascii="宋体" w:hAnsi="宋体"/>
                <w:color w:val="auto"/>
                <w:sz w:val="24"/>
                <w:szCs w:val="24"/>
              </w:rPr>
            </w:pPr>
            <w:r>
              <w:rPr>
                <w:rFonts w:ascii="宋体" w:hAnsi="宋体"/>
                <w:color w:val="auto"/>
                <w:sz w:val="24"/>
                <w:szCs w:val="24"/>
              </w:rPr>
              <w:t>（1）项目经理</w:t>
            </w:r>
            <w:r>
              <w:rPr>
                <w:rFonts w:hint="eastAsia" w:ascii="宋体" w:hAnsi="宋体"/>
                <w:color w:val="auto"/>
                <w:sz w:val="24"/>
                <w:szCs w:val="24"/>
              </w:rPr>
              <w:t>注册</w:t>
            </w:r>
            <w:r>
              <w:rPr>
                <w:rFonts w:ascii="宋体" w:hAnsi="宋体"/>
                <w:color w:val="auto"/>
                <w:sz w:val="24"/>
                <w:szCs w:val="24"/>
              </w:rPr>
              <w:t>资</w:t>
            </w:r>
            <w:r>
              <w:rPr>
                <w:rFonts w:hint="eastAsia" w:ascii="宋体" w:hAnsi="宋体"/>
                <w:color w:val="auto"/>
                <w:sz w:val="24"/>
                <w:szCs w:val="24"/>
              </w:rPr>
              <w:t>格</w:t>
            </w:r>
            <w:r>
              <w:rPr>
                <w:rFonts w:ascii="宋体" w:hAnsi="宋体"/>
                <w:color w:val="auto"/>
                <w:sz w:val="24"/>
                <w:szCs w:val="24"/>
              </w:rPr>
              <w:t>：</w:t>
            </w:r>
            <w:r>
              <w:rPr>
                <w:rFonts w:hint="eastAsia" w:ascii="宋体" w:hAnsi="宋体"/>
                <w:color w:val="auto"/>
                <w:sz w:val="24"/>
                <w:szCs w:val="24"/>
              </w:rPr>
              <w:t>具备</w:t>
            </w:r>
            <w:r>
              <w:rPr>
                <w:rFonts w:hint="eastAsia" w:ascii="宋体" w:hAnsi="宋体"/>
                <w:bCs/>
                <w:color w:val="auto"/>
                <w:sz w:val="24"/>
                <w:szCs w:val="24"/>
              </w:rPr>
              <w:t>中级及以上职称，</w:t>
            </w:r>
            <w:r>
              <w:rPr>
                <w:rFonts w:hint="eastAsia" w:ascii="宋体" w:hAnsi="宋体"/>
                <w:color w:val="auto"/>
                <w:sz w:val="24"/>
                <w:szCs w:val="24"/>
              </w:rPr>
              <w:t>且具有公路工程专业贰级（含</w:t>
            </w:r>
            <w:r>
              <w:rPr>
                <w:rFonts w:ascii="宋体" w:hAnsi="宋体"/>
                <w:color w:val="auto"/>
                <w:sz w:val="24"/>
                <w:szCs w:val="24"/>
              </w:rPr>
              <w:t>贰级</w:t>
            </w:r>
            <w:r>
              <w:rPr>
                <w:rFonts w:hint="eastAsia" w:ascii="宋体" w:hAnsi="宋体"/>
                <w:color w:val="auto"/>
                <w:sz w:val="24"/>
                <w:szCs w:val="24"/>
              </w:rPr>
              <w:t>）以上注册建造师资格的得2分，具有高级工程师职称且具有公路工程专业贰级（含</w:t>
            </w:r>
            <w:r>
              <w:rPr>
                <w:rFonts w:ascii="宋体" w:hAnsi="宋体"/>
                <w:color w:val="auto"/>
                <w:sz w:val="24"/>
                <w:szCs w:val="24"/>
              </w:rPr>
              <w:t>贰级</w:t>
            </w:r>
            <w:r>
              <w:rPr>
                <w:rFonts w:hint="eastAsia" w:ascii="宋体" w:hAnsi="宋体"/>
                <w:color w:val="auto"/>
                <w:sz w:val="24"/>
                <w:szCs w:val="24"/>
              </w:rPr>
              <w:t>）以上注册建造师资格的得3分。此项满分3分。</w:t>
            </w:r>
          </w:p>
          <w:p w14:paraId="6E8132B5">
            <w:pPr>
              <w:widowControl/>
              <w:spacing w:line="240" w:lineRule="auto"/>
              <w:rPr>
                <w:rFonts w:hint="eastAsia" w:ascii="宋体" w:hAnsi="宋体"/>
                <w:color w:val="auto"/>
                <w:sz w:val="24"/>
                <w:szCs w:val="24"/>
              </w:rPr>
            </w:pPr>
            <w:r>
              <w:rPr>
                <w:rFonts w:hint="eastAsia" w:ascii="宋体" w:hAnsi="宋体"/>
                <w:color w:val="auto"/>
                <w:sz w:val="24"/>
                <w:szCs w:val="24"/>
              </w:rPr>
              <w:t>备注：</w:t>
            </w:r>
            <w:r>
              <w:rPr>
                <w:rFonts w:ascii="宋体" w:hAnsi="宋体"/>
                <w:color w:val="auto"/>
                <w:sz w:val="24"/>
                <w:szCs w:val="24"/>
              </w:rPr>
              <w:t>拟派任项目经理必须与资格审查合格通过的项目经理在名称、专业、资格等级等方面一致。</w:t>
            </w:r>
          </w:p>
          <w:p w14:paraId="417E6298">
            <w:pPr>
              <w:spacing w:line="240" w:lineRule="auto"/>
              <w:ind w:hanging="210"/>
              <w:jc w:val="left"/>
              <w:rPr>
                <w:rFonts w:hint="eastAsia" w:ascii="宋体" w:hAnsi="宋体"/>
                <w:color w:val="auto"/>
                <w:sz w:val="24"/>
                <w:szCs w:val="24"/>
              </w:rPr>
            </w:pPr>
            <w:r>
              <w:rPr>
                <w:rFonts w:hint="eastAsia" w:ascii="宋体" w:hAnsi="宋体"/>
                <w:color w:val="auto"/>
                <w:sz w:val="24"/>
                <w:szCs w:val="24"/>
              </w:rPr>
              <w:t>（须</w:t>
            </w:r>
            <w:r>
              <w:rPr>
                <w:rFonts w:ascii="宋体" w:hAnsi="宋体"/>
                <w:color w:val="auto"/>
                <w:sz w:val="24"/>
                <w:szCs w:val="24"/>
              </w:rPr>
              <w:t>提供</w:t>
            </w:r>
            <w:r>
              <w:rPr>
                <w:rFonts w:hint="eastAsia" w:ascii="宋体" w:hAnsi="宋体"/>
                <w:color w:val="auto"/>
                <w:sz w:val="24"/>
                <w:szCs w:val="24"/>
              </w:rPr>
              <w:t>供应商</w:t>
            </w:r>
            <w:r>
              <w:rPr>
                <w:rFonts w:ascii="宋体" w:hAnsi="宋体"/>
                <w:color w:val="auto"/>
                <w:sz w:val="24"/>
                <w:szCs w:val="24"/>
              </w:rPr>
              <w:t>为其缴纳</w:t>
            </w:r>
            <w:r>
              <w:rPr>
                <w:rFonts w:hint="eastAsia" w:ascii="宋体" w:hAnsi="宋体"/>
                <w:b/>
                <w:bCs/>
                <w:color w:val="auto"/>
                <w:sz w:val="24"/>
                <w:szCs w:val="24"/>
                <w:u w:val="single"/>
              </w:rPr>
              <w:t>202</w:t>
            </w:r>
            <w:r>
              <w:rPr>
                <w:rFonts w:hint="eastAsia" w:ascii="宋体" w:hAnsi="宋体"/>
                <w:b/>
                <w:bCs/>
                <w:color w:val="auto"/>
                <w:sz w:val="24"/>
                <w:szCs w:val="24"/>
                <w:u w:val="single"/>
                <w:lang w:val="en-US" w:eastAsia="zh-CN"/>
              </w:rPr>
              <w:t>4</w:t>
            </w:r>
            <w:r>
              <w:rPr>
                <w:rFonts w:hint="eastAsia" w:ascii="宋体" w:hAnsi="宋体"/>
                <w:b/>
                <w:bCs/>
                <w:color w:val="auto"/>
                <w:sz w:val="24"/>
                <w:szCs w:val="24"/>
                <w:u w:val="single"/>
              </w:rPr>
              <w:t>年</w:t>
            </w:r>
            <w:r>
              <w:rPr>
                <w:rFonts w:hint="eastAsia" w:ascii="宋体" w:hAnsi="宋体"/>
                <w:b/>
                <w:bCs/>
                <w:color w:val="auto"/>
                <w:sz w:val="24"/>
                <w:szCs w:val="24"/>
                <w:u w:val="single"/>
                <w:lang w:val="en-US" w:eastAsia="zh-CN"/>
              </w:rPr>
              <w:t>4</w:t>
            </w:r>
            <w:r>
              <w:rPr>
                <w:rFonts w:hint="eastAsia" w:ascii="宋体" w:hAnsi="宋体"/>
                <w:b/>
                <w:bCs/>
                <w:color w:val="auto"/>
                <w:sz w:val="24"/>
                <w:szCs w:val="24"/>
                <w:u w:val="single"/>
              </w:rPr>
              <w:t>月至2024年</w:t>
            </w:r>
            <w:r>
              <w:rPr>
                <w:rFonts w:hint="eastAsia" w:ascii="宋体" w:hAnsi="宋体"/>
                <w:b/>
                <w:bCs/>
                <w:color w:val="auto"/>
                <w:sz w:val="24"/>
                <w:szCs w:val="24"/>
                <w:u w:val="single"/>
                <w:lang w:val="en-US" w:eastAsia="zh-CN"/>
              </w:rPr>
              <w:t>9</w:t>
            </w:r>
            <w:r>
              <w:rPr>
                <w:rFonts w:hint="eastAsia" w:ascii="宋体" w:hAnsi="宋体"/>
                <w:b/>
                <w:bCs/>
                <w:color w:val="auto"/>
                <w:sz w:val="24"/>
                <w:szCs w:val="24"/>
                <w:u w:val="single"/>
              </w:rPr>
              <w:t>月内连续</w:t>
            </w:r>
            <w:r>
              <w:rPr>
                <w:rFonts w:hint="eastAsia" w:ascii="宋体" w:hAnsi="宋体"/>
                <w:b/>
                <w:bCs/>
                <w:color w:val="auto"/>
                <w:sz w:val="24"/>
                <w:szCs w:val="24"/>
                <w:u w:val="single"/>
                <w:lang w:val="en-US" w:eastAsia="zh-CN"/>
              </w:rPr>
              <w:t>3</w:t>
            </w:r>
            <w:bookmarkStart w:id="208" w:name="_GoBack"/>
            <w:bookmarkEnd w:id="208"/>
            <w:r>
              <w:rPr>
                <w:rFonts w:hint="eastAsia" w:ascii="宋体" w:hAnsi="宋体"/>
                <w:b/>
                <w:bCs/>
                <w:color w:val="auto"/>
                <w:sz w:val="24"/>
                <w:szCs w:val="24"/>
                <w:u w:val="single"/>
              </w:rPr>
              <w:t>个月</w:t>
            </w:r>
            <w:r>
              <w:rPr>
                <w:rFonts w:ascii="宋体" w:hAnsi="宋体"/>
                <w:color w:val="auto"/>
                <w:sz w:val="24"/>
                <w:szCs w:val="24"/>
              </w:rPr>
              <w:t>社会保险的证明材料</w:t>
            </w:r>
            <w:r>
              <w:rPr>
                <w:rFonts w:hint="eastAsia" w:ascii="宋体" w:hAnsi="宋体"/>
                <w:color w:val="auto"/>
                <w:sz w:val="24"/>
                <w:szCs w:val="24"/>
              </w:rPr>
              <w:t>，未提供的不予计分。）</w:t>
            </w:r>
          </w:p>
        </w:tc>
        <w:tc>
          <w:tcPr>
            <w:tcW w:w="909" w:type="dxa"/>
            <w:vAlign w:val="center"/>
          </w:tcPr>
          <w:p w14:paraId="51EC7910">
            <w:pPr>
              <w:spacing w:line="240" w:lineRule="auto"/>
              <w:rPr>
                <w:rFonts w:hint="eastAsia" w:ascii="宋体" w:hAnsi="宋体"/>
                <w:color w:val="auto"/>
                <w:kern w:val="0"/>
                <w:sz w:val="24"/>
                <w:szCs w:val="24"/>
              </w:rPr>
            </w:pPr>
            <w:r>
              <w:rPr>
                <w:rFonts w:hint="eastAsia" w:ascii="宋体" w:hAnsi="宋体"/>
                <w:color w:val="auto"/>
                <w:kern w:val="0"/>
                <w:sz w:val="24"/>
                <w:szCs w:val="24"/>
              </w:rPr>
              <w:t>3分</w:t>
            </w:r>
          </w:p>
        </w:tc>
      </w:tr>
      <w:tr w14:paraId="74A33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53" w:type="dxa"/>
            <w:vMerge w:val="continue"/>
            <w:vAlign w:val="center"/>
          </w:tcPr>
          <w:p w14:paraId="5B41CDC0">
            <w:pPr>
              <w:spacing w:line="240" w:lineRule="auto"/>
              <w:ind w:left="-105" w:leftChars="-50" w:right="-105" w:rightChars="-50"/>
              <w:jc w:val="center"/>
              <w:rPr>
                <w:rFonts w:ascii="宋体" w:hAnsi="宋体"/>
                <w:bCs/>
                <w:color w:val="auto"/>
                <w:kern w:val="0"/>
                <w:sz w:val="24"/>
                <w:szCs w:val="24"/>
              </w:rPr>
            </w:pPr>
          </w:p>
        </w:tc>
        <w:tc>
          <w:tcPr>
            <w:tcW w:w="1430" w:type="dxa"/>
            <w:vMerge w:val="continue"/>
            <w:vAlign w:val="center"/>
          </w:tcPr>
          <w:p w14:paraId="346BD0DA">
            <w:pPr>
              <w:spacing w:line="240" w:lineRule="auto"/>
              <w:jc w:val="center"/>
              <w:rPr>
                <w:rFonts w:ascii="宋体" w:hAnsi="宋体"/>
                <w:color w:val="auto"/>
                <w:sz w:val="24"/>
                <w:szCs w:val="24"/>
              </w:rPr>
            </w:pPr>
          </w:p>
        </w:tc>
        <w:tc>
          <w:tcPr>
            <w:tcW w:w="6714" w:type="dxa"/>
            <w:vAlign w:val="center"/>
          </w:tcPr>
          <w:p w14:paraId="0633A01F">
            <w:pPr>
              <w:spacing w:line="240" w:lineRule="auto"/>
              <w:rPr>
                <w:rFonts w:hint="eastAsia" w:ascii="宋体" w:hAnsi="宋体"/>
                <w:b/>
                <w:bCs/>
                <w:color w:val="auto"/>
                <w:kern w:val="0"/>
                <w:sz w:val="24"/>
                <w:szCs w:val="24"/>
              </w:rPr>
            </w:pPr>
            <w:r>
              <w:rPr>
                <w:rFonts w:hint="eastAsia" w:ascii="宋体" w:hAnsi="宋体"/>
                <w:b/>
                <w:bCs/>
                <w:color w:val="auto"/>
                <w:kern w:val="0"/>
                <w:sz w:val="24"/>
                <w:szCs w:val="24"/>
              </w:rPr>
              <w:t>2、</w:t>
            </w:r>
            <w:r>
              <w:rPr>
                <w:rFonts w:ascii="宋体" w:hAnsi="宋体"/>
                <w:b/>
                <w:bCs/>
                <w:color w:val="auto"/>
                <w:kern w:val="0"/>
                <w:sz w:val="24"/>
                <w:szCs w:val="24"/>
              </w:rPr>
              <w:t>其他主要人员</w:t>
            </w:r>
          </w:p>
          <w:p w14:paraId="168C6B41">
            <w:pPr>
              <w:widowControl/>
              <w:spacing w:line="240" w:lineRule="auto"/>
              <w:rPr>
                <w:rFonts w:hint="eastAsia" w:ascii="宋体" w:hAnsi="宋体"/>
                <w:color w:val="auto"/>
                <w:sz w:val="24"/>
                <w:szCs w:val="24"/>
              </w:rPr>
            </w:pPr>
            <w:r>
              <w:rPr>
                <w:rFonts w:hint="eastAsia" w:ascii="宋体" w:hAnsi="宋体"/>
                <w:color w:val="auto"/>
                <w:sz w:val="24"/>
                <w:szCs w:val="24"/>
              </w:rPr>
              <w:t>根据拟投入本工程技术负责人、施工员、质量员、安全员、试验员配备及持证上岗情况（技术负责人提供职称证书）。</w:t>
            </w:r>
            <w:r>
              <w:rPr>
                <w:rFonts w:ascii="宋体" w:hAnsi="宋体"/>
                <w:color w:val="auto"/>
                <w:kern w:val="0"/>
                <w:sz w:val="24"/>
                <w:szCs w:val="24"/>
              </w:rPr>
              <w:t>优秀得</w:t>
            </w:r>
            <w:r>
              <w:rPr>
                <w:rFonts w:hint="eastAsia" w:ascii="宋体" w:hAnsi="宋体"/>
                <w:color w:val="auto"/>
                <w:kern w:val="0"/>
                <w:sz w:val="24"/>
                <w:szCs w:val="24"/>
              </w:rPr>
              <w:t>5</w:t>
            </w:r>
            <w:r>
              <w:rPr>
                <w:rFonts w:ascii="宋体" w:hAnsi="宋体"/>
                <w:color w:val="auto"/>
                <w:kern w:val="0"/>
                <w:sz w:val="24"/>
                <w:szCs w:val="24"/>
              </w:rPr>
              <w:t>分，良好得</w:t>
            </w:r>
            <w:r>
              <w:rPr>
                <w:rFonts w:hint="eastAsia" w:ascii="宋体" w:hAnsi="宋体"/>
                <w:color w:val="auto"/>
                <w:kern w:val="0"/>
                <w:sz w:val="24"/>
                <w:szCs w:val="24"/>
              </w:rPr>
              <w:t>3</w:t>
            </w:r>
            <w:r>
              <w:rPr>
                <w:rFonts w:ascii="宋体" w:hAnsi="宋体"/>
                <w:color w:val="auto"/>
                <w:kern w:val="0"/>
                <w:sz w:val="24"/>
                <w:szCs w:val="24"/>
              </w:rPr>
              <w:t>分，中等得</w:t>
            </w:r>
            <w:r>
              <w:rPr>
                <w:rFonts w:hint="eastAsia" w:ascii="宋体" w:hAnsi="宋体"/>
                <w:color w:val="auto"/>
                <w:kern w:val="0"/>
                <w:sz w:val="24"/>
                <w:szCs w:val="24"/>
              </w:rPr>
              <w:t>2</w:t>
            </w:r>
            <w:r>
              <w:rPr>
                <w:rFonts w:ascii="宋体" w:hAnsi="宋体"/>
                <w:color w:val="auto"/>
                <w:kern w:val="0"/>
                <w:sz w:val="24"/>
                <w:szCs w:val="24"/>
              </w:rPr>
              <w:t>分</w:t>
            </w:r>
            <w:r>
              <w:rPr>
                <w:rFonts w:hint="eastAsia" w:ascii="宋体" w:hAnsi="宋体"/>
                <w:color w:val="auto"/>
                <w:kern w:val="0"/>
                <w:sz w:val="24"/>
                <w:szCs w:val="24"/>
              </w:rPr>
              <w:t>，差</w:t>
            </w:r>
            <w:r>
              <w:rPr>
                <w:rFonts w:ascii="宋体" w:hAnsi="宋体"/>
                <w:color w:val="auto"/>
                <w:kern w:val="0"/>
                <w:sz w:val="24"/>
                <w:szCs w:val="24"/>
              </w:rPr>
              <w:t>等得</w:t>
            </w:r>
            <w:r>
              <w:rPr>
                <w:rFonts w:hint="eastAsia" w:ascii="宋体" w:hAnsi="宋体"/>
                <w:color w:val="auto"/>
                <w:kern w:val="0"/>
                <w:sz w:val="24"/>
                <w:szCs w:val="24"/>
              </w:rPr>
              <w:t>1</w:t>
            </w:r>
            <w:r>
              <w:rPr>
                <w:rFonts w:ascii="宋体" w:hAnsi="宋体"/>
                <w:color w:val="auto"/>
                <w:kern w:val="0"/>
                <w:sz w:val="24"/>
                <w:szCs w:val="24"/>
              </w:rPr>
              <w:t>分。</w:t>
            </w:r>
          </w:p>
          <w:p w14:paraId="6E88B237">
            <w:pPr>
              <w:widowControl/>
              <w:spacing w:line="240" w:lineRule="auto"/>
              <w:rPr>
                <w:rFonts w:hint="eastAsia" w:ascii="宋体" w:hAnsi="宋体"/>
                <w:color w:val="auto"/>
                <w:kern w:val="0"/>
                <w:sz w:val="24"/>
                <w:szCs w:val="24"/>
              </w:rPr>
            </w:pPr>
            <w:r>
              <w:rPr>
                <w:rFonts w:hint="eastAsia" w:ascii="宋体" w:hAnsi="宋体"/>
                <w:color w:val="auto"/>
                <w:kern w:val="0"/>
                <w:sz w:val="24"/>
                <w:szCs w:val="24"/>
              </w:rPr>
              <w:t>基本要求：</w:t>
            </w:r>
            <w:r>
              <w:rPr>
                <w:rFonts w:ascii="宋体" w:hAnsi="宋体"/>
                <w:color w:val="auto"/>
                <w:kern w:val="0"/>
                <w:sz w:val="24"/>
                <w:szCs w:val="24"/>
              </w:rPr>
              <w:t>人员齐备、专业配套</w:t>
            </w:r>
            <w:r>
              <w:rPr>
                <w:rFonts w:hint="eastAsia" w:ascii="宋体" w:hAnsi="宋体"/>
                <w:color w:val="auto"/>
                <w:kern w:val="0"/>
                <w:sz w:val="24"/>
                <w:szCs w:val="24"/>
              </w:rPr>
              <w:t>应与资格审查提供的人员配备相一致</w:t>
            </w:r>
            <w:r>
              <w:rPr>
                <w:rFonts w:ascii="宋体" w:hAnsi="宋体"/>
                <w:color w:val="auto"/>
                <w:kern w:val="0"/>
                <w:sz w:val="24"/>
                <w:szCs w:val="24"/>
              </w:rPr>
              <w:t>，</w:t>
            </w:r>
            <w:r>
              <w:rPr>
                <w:rFonts w:hint="eastAsia" w:ascii="宋体" w:hAnsi="宋体"/>
                <w:color w:val="auto"/>
                <w:kern w:val="0"/>
                <w:sz w:val="24"/>
                <w:szCs w:val="24"/>
              </w:rPr>
              <w:t>且</w:t>
            </w:r>
            <w:r>
              <w:rPr>
                <w:rFonts w:ascii="宋体" w:hAnsi="宋体"/>
                <w:color w:val="auto"/>
                <w:kern w:val="0"/>
                <w:sz w:val="24"/>
                <w:szCs w:val="24"/>
              </w:rPr>
              <w:t>具备相关岗位证书</w:t>
            </w:r>
            <w:r>
              <w:rPr>
                <w:rFonts w:hint="eastAsia" w:ascii="宋体" w:hAnsi="宋体"/>
                <w:color w:val="auto"/>
                <w:kern w:val="0"/>
                <w:sz w:val="24"/>
                <w:szCs w:val="24"/>
              </w:rPr>
              <w:t>（</w:t>
            </w:r>
            <w:r>
              <w:rPr>
                <w:rFonts w:ascii="宋体" w:hAnsi="宋体"/>
                <w:color w:val="auto"/>
                <w:kern w:val="0"/>
                <w:sz w:val="24"/>
                <w:szCs w:val="24"/>
              </w:rPr>
              <w:t>拟派驻本项目的技术负责人应具有中级及以上职称证件，安全员、施工员、</w:t>
            </w:r>
            <w:r>
              <w:rPr>
                <w:rFonts w:hint="eastAsia" w:ascii="宋体" w:hAnsi="宋体"/>
                <w:color w:val="auto"/>
                <w:kern w:val="0"/>
                <w:sz w:val="24"/>
                <w:szCs w:val="24"/>
              </w:rPr>
              <w:t>质量员</w:t>
            </w:r>
            <w:r>
              <w:rPr>
                <w:rFonts w:ascii="宋体" w:hAnsi="宋体"/>
                <w:color w:val="auto"/>
                <w:kern w:val="0"/>
                <w:sz w:val="24"/>
                <w:szCs w:val="24"/>
              </w:rPr>
              <w:t>、</w:t>
            </w:r>
            <w:r>
              <w:rPr>
                <w:rFonts w:hint="eastAsia" w:ascii="宋体" w:hAnsi="宋体"/>
                <w:color w:val="auto"/>
                <w:kern w:val="0"/>
                <w:sz w:val="24"/>
                <w:szCs w:val="24"/>
              </w:rPr>
              <w:t>试验</w:t>
            </w:r>
            <w:r>
              <w:rPr>
                <w:rFonts w:ascii="宋体" w:hAnsi="宋体"/>
                <w:color w:val="auto"/>
                <w:kern w:val="0"/>
                <w:sz w:val="24"/>
                <w:szCs w:val="24"/>
              </w:rPr>
              <w:t>员应具有相应岗位</w:t>
            </w:r>
            <w:r>
              <w:rPr>
                <w:rFonts w:hint="eastAsia" w:ascii="宋体" w:hAnsi="宋体"/>
                <w:color w:val="auto"/>
                <w:kern w:val="0"/>
                <w:sz w:val="24"/>
                <w:szCs w:val="24"/>
              </w:rPr>
              <w:t>资格</w:t>
            </w:r>
            <w:r>
              <w:rPr>
                <w:rFonts w:ascii="宋体" w:hAnsi="宋体"/>
                <w:color w:val="auto"/>
                <w:kern w:val="0"/>
                <w:sz w:val="24"/>
                <w:szCs w:val="24"/>
              </w:rPr>
              <w:t>证书</w:t>
            </w:r>
            <w:r>
              <w:rPr>
                <w:rFonts w:hint="eastAsia" w:ascii="宋体" w:hAnsi="宋体"/>
                <w:color w:val="auto"/>
                <w:kern w:val="0"/>
                <w:sz w:val="24"/>
                <w:szCs w:val="24"/>
              </w:rPr>
              <w:t>。</w:t>
            </w:r>
          </w:p>
          <w:p w14:paraId="068783BD">
            <w:pPr>
              <w:widowControl/>
              <w:spacing w:line="240" w:lineRule="auto"/>
              <w:rPr>
                <w:rFonts w:ascii="宋体" w:hAnsi="宋体"/>
                <w:color w:val="auto"/>
                <w:kern w:val="0"/>
                <w:sz w:val="24"/>
                <w:szCs w:val="24"/>
              </w:rPr>
            </w:pPr>
            <w:r>
              <w:rPr>
                <w:rFonts w:ascii="宋体" w:hAnsi="宋体"/>
                <w:color w:val="auto"/>
                <w:kern w:val="0"/>
                <w:sz w:val="24"/>
                <w:szCs w:val="24"/>
              </w:rPr>
              <w:t>优：拟投入本工程主要管理人员完全满足施工需要，并有一定储备</w:t>
            </w:r>
            <w:r>
              <w:rPr>
                <w:rFonts w:hint="eastAsia" w:ascii="宋体" w:hAnsi="宋体"/>
                <w:color w:val="auto"/>
                <w:kern w:val="0"/>
                <w:sz w:val="24"/>
                <w:szCs w:val="24"/>
              </w:rPr>
              <w:t>。</w:t>
            </w:r>
          </w:p>
          <w:p w14:paraId="5A9510A9">
            <w:pPr>
              <w:widowControl/>
              <w:spacing w:line="240" w:lineRule="auto"/>
              <w:rPr>
                <w:rFonts w:ascii="宋体" w:hAnsi="宋体"/>
                <w:color w:val="auto"/>
                <w:kern w:val="0"/>
                <w:sz w:val="24"/>
                <w:szCs w:val="24"/>
              </w:rPr>
            </w:pPr>
            <w:r>
              <w:rPr>
                <w:rFonts w:ascii="宋体" w:hAnsi="宋体"/>
                <w:color w:val="auto"/>
                <w:kern w:val="0"/>
                <w:sz w:val="24"/>
                <w:szCs w:val="24"/>
              </w:rPr>
              <w:t>良：拟投入本工程主要管理人员完全满足施工需要。</w:t>
            </w:r>
          </w:p>
          <w:p w14:paraId="549249B3">
            <w:pPr>
              <w:widowControl/>
              <w:spacing w:line="240" w:lineRule="auto"/>
              <w:rPr>
                <w:rFonts w:ascii="宋体" w:hAnsi="宋体"/>
                <w:color w:val="auto"/>
                <w:kern w:val="0"/>
                <w:sz w:val="24"/>
                <w:szCs w:val="24"/>
              </w:rPr>
            </w:pPr>
            <w:r>
              <w:rPr>
                <w:rFonts w:ascii="宋体" w:hAnsi="宋体"/>
                <w:color w:val="auto"/>
                <w:kern w:val="0"/>
                <w:sz w:val="24"/>
                <w:szCs w:val="24"/>
              </w:rPr>
              <w:t>中：拟投入本工程主要管理人员基本满足施工需要。</w:t>
            </w:r>
          </w:p>
          <w:p w14:paraId="6BA67615">
            <w:pPr>
              <w:widowControl/>
              <w:spacing w:line="240" w:lineRule="auto"/>
              <w:rPr>
                <w:rFonts w:hint="eastAsia" w:ascii="宋体" w:hAnsi="宋体"/>
                <w:color w:val="auto"/>
                <w:kern w:val="0"/>
                <w:sz w:val="24"/>
                <w:szCs w:val="24"/>
              </w:rPr>
            </w:pPr>
            <w:r>
              <w:rPr>
                <w:rFonts w:hint="eastAsia" w:ascii="宋体" w:hAnsi="宋体"/>
                <w:color w:val="auto"/>
                <w:kern w:val="0"/>
                <w:sz w:val="24"/>
                <w:szCs w:val="24"/>
              </w:rPr>
              <w:t>差：</w:t>
            </w:r>
            <w:r>
              <w:rPr>
                <w:rFonts w:ascii="宋体" w:hAnsi="宋体"/>
                <w:color w:val="auto"/>
                <w:kern w:val="0"/>
                <w:sz w:val="24"/>
                <w:szCs w:val="24"/>
              </w:rPr>
              <w:t>拟投入本工程主要管理人员</w:t>
            </w:r>
            <w:r>
              <w:rPr>
                <w:rFonts w:hint="eastAsia" w:ascii="宋体" w:hAnsi="宋体"/>
                <w:color w:val="auto"/>
                <w:kern w:val="0"/>
                <w:sz w:val="24"/>
                <w:szCs w:val="24"/>
              </w:rPr>
              <w:t>不能</w:t>
            </w:r>
            <w:r>
              <w:rPr>
                <w:rFonts w:ascii="宋体" w:hAnsi="宋体"/>
                <w:color w:val="auto"/>
                <w:kern w:val="0"/>
                <w:sz w:val="24"/>
                <w:szCs w:val="24"/>
              </w:rPr>
              <w:t>满足施工需要。</w:t>
            </w:r>
          </w:p>
        </w:tc>
        <w:tc>
          <w:tcPr>
            <w:tcW w:w="909" w:type="dxa"/>
            <w:vAlign w:val="center"/>
          </w:tcPr>
          <w:p w14:paraId="531CF9C4">
            <w:pPr>
              <w:spacing w:line="240" w:lineRule="auto"/>
              <w:jc w:val="center"/>
              <w:rPr>
                <w:rFonts w:hint="eastAsia" w:ascii="宋体" w:hAnsi="宋体"/>
                <w:color w:val="auto"/>
                <w:kern w:val="0"/>
                <w:sz w:val="24"/>
                <w:szCs w:val="24"/>
              </w:rPr>
            </w:pPr>
            <w:r>
              <w:rPr>
                <w:rFonts w:hint="eastAsia" w:ascii="宋体" w:hAnsi="宋体"/>
                <w:color w:val="auto"/>
                <w:kern w:val="0"/>
                <w:sz w:val="24"/>
                <w:szCs w:val="24"/>
              </w:rPr>
              <w:t>5分</w:t>
            </w:r>
          </w:p>
        </w:tc>
      </w:tr>
      <w:tr w14:paraId="6A630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5" w:hRule="atLeast"/>
          <w:jc w:val="center"/>
        </w:trPr>
        <w:tc>
          <w:tcPr>
            <w:tcW w:w="653" w:type="dxa"/>
            <w:vMerge w:val="restart"/>
            <w:vAlign w:val="center"/>
          </w:tcPr>
          <w:p w14:paraId="158D98E8">
            <w:pPr>
              <w:spacing w:line="240" w:lineRule="auto"/>
              <w:ind w:left="-105" w:leftChars="-50" w:right="-105" w:rightChars="-50"/>
              <w:jc w:val="center"/>
              <w:rPr>
                <w:rFonts w:ascii="宋体" w:hAnsi="宋体"/>
                <w:b/>
                <w:color w:val="auto"/>
                <w:kern w:val="0"/>
                <w:sz w:val="24"/>
                <w:szCs w:val="24"/>
              </w:rPr>
            </w:pPr>
            <w:r>
              <w:rPr>
                <w:rFonts w:ascii="宋体" w:hAnsi="宋体"/>
                <w:b/>
                <w:color w:val="auto"/>
                <w:kern w:val="0"/>
                <w:sz w:val="24"/>
                <w:szCs w:val="24"/>
              </w:rPr>
              <w:t>2.2</w:t>
            </w:r>
          </w:p>
          <w:p w14:paraId="088FB575">
            <w:pPr>
              <w:spacing w:line="240" w:lineRule="auto"/>
              <w:ind w:left="-105" w:leftChars="-50" w:right="-105" w:rightChars="-50"/>
              <w:jc w:val="center"/>
              <w:rPr>
                <w:rFonts w:ascii="宋体" w:hAnsi="宋体"/>
                <w:b/>
                <w:color w:val="auto"/>
                <w:kern w:val="0"/>
                <w:sz w:val="24"/>
                <w:szCs w:val="24"/>
              </w:rPr>
            </w:pPr>
          </w:p>
        </w:tc>
        <w:tc>
          <w:tcPr>
            <w:tcW w:w="1430" w:type="dxa"/>
            <w:vMerge w:val="restart"/>
            <w:vAlign w:val="center"/>
          </w:tcPr>
          <w:p w14:paraId="6C72071F">
            <w:pPr>
              <w:spacing w:line="240" w:lineRule="auto"/>
              <w:jc w:val="center"/>
              <w:rPr>
                <w:rFonts w:ascii="宋体" w:hAnsi="宋体"/>
                <w:b/>
                <w:color w:val="auto"/>
                <w:sz w:val="24"/>
                <w:szCs w:val="24"/>
              </w:rPr>
            </w:pPr>
            <w:r>
              <w:rPr>
                <w:rFonts w:ascii="宋体" w:hAnsi="宋体"/>
                <w:b/>
                <w:color w:val="auto"/>
                <w:sz w:val="24"/>
                <w:szCs w:val="24"/>
              </w:rPr>
              <w:t>施工组织设计</w:t>
            </w:r>
            <w:r>
              <w:rPr>
                <w:rFonts w:hint="eastAsia" w:ascii="宋体" w:hAnsi="宋体"/>
                <w:b/>
                <w:color w:val="auto"/>
                <w:sz w:val="24"/>
                <w:szCs w:val="24"/>
              </w:rPr>
              <w:t>（50分）</w:t>
            </w:r>
          </w:p>
        </w:tc>
        <w:tc>
          <w:tcPr>
            <w:tcW w:w="6714" w:type="dxa"/>
            <w:vAlign w:val="center"/>
          </w:tcPr>
          <w:p w14:paraId="7871F663">
            <w:pPr>
              <w:numPr>
                <w:ilvl w:val="0"/>
                <w:numId w:val="2"/>
              </w:numPr>
              <w:spacing w:line="240" w:lineRule="auto"/>
              <w:rPr>
                <w:rFonts w:ascii="宋体" w:hAnsi="宋体"/>
                <w:b/>
                <w:bCs/>
                <w:color w:val="auto"/>
                <w:kern w:val="0"/>
                <w:sz w:val="24"/>
                <w:szCs w:val="24"/>
              </w:rPr>
            </w:pPr>
            <w:r>
              <w:rPr>
                <w:rFonts w:ascii="宋体" w:hAnsi="宋体"/>
                <w:b/>
                <w:bCs/>
                <w:color w:val="auto"/>
                <w:kern w:val="0"/>
                <w:sz w:val="24"/>
                <w:szCs w:val="24"/>
              </w:rPr>
              <w:t>主要施工方法</w:t>
            </w:r>
          </w:p>
          <w:p w14:paraId="5FA244F2">
            <w:pPr>
              <w:widowControl/>
              <w:spacing w:line="240" w:lineRule="auto"/>
              <w:rPr>
                <w:rFonts w:hint="eastAsia" w:ascii="宋体" w:hAnsi="宋体"/>
                <w:color w:val="auto"/>
                <w:kern w:val="0"/>
                <w:sz w:val="24"/>
                <w:szCs w:val="24"/>
              </w:rPr>
            </w:pPr>
            <w:r>
              <w:rPr>
                <w:rFonts w:hint="eastAsia" w:ascii="宋体" w:hAnsi="宋体"/>
                <w:color w:val="auto"/>
                <w:kern w:val="0"/>
                <w:sz w:val="24"/>
                <w:szCs w:val="24"/>
              </w:rPr>
              <w:t>各主要分部施工方法符合项目实际， 须有详尽的施工技术方案，工艺先进、 方法科学合理、可行，能指导具体施工并确保安全。满分5分。</w:t>
            </w:r>
          </w:p>
          <w:p w14:paraId="082A3FC5">
            <w:pPr>
              <w:widowControl/>
              <w:spacing w:line="240" w:lineRule="auto"/>
              <w:rPr>
                <w:rFonts w:hint="eastAsia" w:ascii="宋体" w:hAnsi="宋体"/>
                <w:color w:val="auto"/>
                <w:kern w:val="0"/>
                <w:sz w:val="24"/>
                <w:szCs w:val="24"/>
              </w:rPr>
            </w:pPr>
            <w:r>
              <w:rPr>
                <w:rFonts w:hint="eastAsia" w:ascii="宋体" w:hAnsi="宋体"/>
                <w:color w:val="auto"/>
                <w:kern w:val="0"/>
                <w:sz w:val="24"/>
                <w:szCs w:val="24"/>
              </w:rPr>
              <w:t>优（5分）：各主要分部施工方法符合项目实际，须有详尽的施工技术方 案，工艺先进、方法科学合理、可行， 能指导具体施工并确保安全。</w:t>
            </w:r>
          </w:p>
          <w:p w14:paraId="2295D742">
            <w:pPr>
              <w:widowControl/>
              <w:spacing w:line="240" w:lineRule="auto"/>
              <w:rPr>
                <w:rFonts w:hint="eastAsia" w:ascii="宋体" w:hAnsi="宋体"/>
                <w:color w:val="auto"/>
                <w:kern w:val="0"/>
                <w:sz w:val="24"/>
                <w:szCs w:val="24"/>
              </w:rPr>
            </w:pPr>
            <w:r>
              <w:rPr>
                <w:rFonts w:hint="eastAsia" w:ascii="宋体" w:hAnsi="宋体"/>
                <w:color w:val="auto"/>
                <w:kern w:val="0"/>
                <w:sz w:val="24"/>
                <w:szCs w:val="24"/>
              </w:rPr>
              <w:t xml:space="preserve">良（3 分）：各主要分部施工方法 符合项目实际，须有详尽的施工技术方案，工艺较先进、方法可行，能指导具体施工并确保安全。 </w:t>
            </w:r>
          </w:p>
          <w:p w14:paraId="6407D926">
            <w:pPr>
              <w:widowControl/>
              <w:spacing w:line="240" w:lineRule="auto"/>
              <w:rPr>
                <w:rFonts w:hint="eastAsia" w:ascii="宋体" w:hAnsi="宋体"/>
                <w:color w:val="auto"/>
                <w:kern w:val="0"/>
                <w:sz w:val="24"/>
                <w:szCs w:val="24"/>
              </w:rPr>
            </w:pPr>
            <w:r>
              <w:rPr>
                <w:rFonts w:hint="eastAsia" w:ascii="宋体" w:hAnsi="宋体"/>
                <w:color w:val="auto"/>
                <w:kern w:val="0"/>
                <w:sz w:val="24"/>
                <w:szCs w:val="24"/>
              </w:rPr>
              <w:t xml:space="preserve">中（2分）：各主要分部施工方法 符合项目实际，须有较详尽的施工技术方案，工艺一般、方法基本可行，能指导具体施工并确保安全。 </w:t>
            </w:r>
          </w:p>
          <w:p w14:paraId="4FE0407F">
            <w:pPr>
              <w:widowControl/>
              <w:spacing w:line="240" w:lineRule="auto"/>
              <w:rPr>
                <w:rFonts w:hint="eastAsia" w:ascii="宋体" w:hAnsi="宋体"/>
                <w:color w:val="auto"/>
                <w:kern w:val="0"/>
                <w:sz w:val="24"/>
                <w:szCs w:val="24"/>
              </w:rPr>
            </w:pPr>
            <w:r>
              <w:rPr>
                <w:rFonts w:hint="eastAsia" w:ascii="宋体" w:hAnsi="宋体"/>
                <w:color w:val="auto"/>
                <w:kern w:val="0"/>
                <w:sz w:val="24"/>
                <w:szCs w:val="24"/>
              </w:rPr>
              <w:t>差（1分）：各主要分部施工方法 不符合项目实际，无详尽的施工技术方案，不能指导具体施工并确保安全。</w:t>
            </w:r>
            <w:r>
              <w:rPr>
                <w:rFonts w:ascii="宋体" w:hAnsi="宋体"/>
                <w:color w:val="auto"/>
                <w:kern w:val="0"/>
                <w:sz w:val="24"/>
                <w:szCs w:val="24"/>
              </w:rPr>
              <w:t xml:space="preserve"> </w:t>
            </w:r>
          </w:p>
        </w:tc>
        <w:tc>
          <w:tcPr>
            <w:tcW w:w="909" w:type="dxa"/>
            <w:vAlign w:val="center"/>
          </w:tcPr>
          <w:p w14:paraId="1A5C2708">
            <w:pPr>
              <w:spacing w:line="240" w:lineRule="auto"/>
              <w:jc w:val="center"/>
              <w:rPr>
                <w:rFonts w:hint="eastAsia" w:ascii="宋体" w:hAnsi="宋体"/>
                <w:color w:val="auto"/>
                <w:kern w:val="0"/>
                <w:sz w:val="24"/>
                <w:szCs w:val="24"/>
              </w:rPr>
            </w:pPr>
            <w:r>
              <w:rPr>
                <w:rFonts w:hint="eastAsia" w:ascii="宋体" w:hAnsi="宋体"/>
                <w:color w:val="auto"/>
                <w:kern w:val="0"/>
                <w:sz w:val="24"/>
                <w:szCs w:val="24"/>
              </w:rPr>
              <w:t>5分</w:t>
            </w:r>
          </w:p>
        </w:tc>
      </w:tr>
      <w:tr w14:paraId="043AD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53" w:type="dxa"/>
            <w:vMerge w:val="continue"/>
            <w:vAlign w:val="center"/>
          </w:tcPr>
          <w:p w14:paraId="4E9ABEBB">
            <w:pPr>
              <w:spacing w:line="240" w:lineRule="auto"/>
              <w:ind w:left="-105" w:leftChars="-50" w:right="-105" w:rightChars="-50"/>
              <w:jc w:val="center"/>
              <w:rPr>
                <w:rFonts w:ascii="宋体" w:hAnsi="宋体"/>
                <w:b/>
                <w:color w:val="auto"/>
                <w:kern w:val="0"/>
                <w:sz w:val="24"/>
                <w:szCs w:val="24"/>
              </w:rPr>
            </w:pPr>
          </w:p>
        </w:tc>
        <w:tc>
          <w:tcPr>
            <w:tcW w:w="1430" w:type="dxa"/>
            <w:vMerge w:val="continue"/>
            <w:vAlign w:val="center"/>
          </w:tcPr>
          <w:p w14:paraId="6512D9DC">
            <w:pPr>
              <w:spacing w:line="240" w:lineRule="auto"/>
              <w:jc w:val="center"/>
              <w:rPr>
                <w:rFonts w:ascii="宋体" w:hAnsi="宋体"/>
                <w:b/>
                <w:color w:val="auto"/>
                <w:sz w:val="24"/>
                <w:szCs w:val="24"/>
              </w:rPr>
            </w:pPr>
          </w:p>
        </w:tc>
        <w:tc>
          <w:tcPr>
            <w:tcW w:w="6714" w:type="dxa"/>
            <w:vAlign w:val="center"/>
          </w:tcPr>
          <w:p w14:paraId="2AE85283">
            <w:pPr>
              <w:numPr>
                <w:ilvl w:val="0"/>
                <w:numId w:val="2"/>
              </w:numPr>
              <w:spacing w:line="240" w:lineRule="auto"/>
              <w:rPr>
                <w:rFonts w:hint="eastAsia" w:ascii="宋体" w:hAnsi="宋体"/>
                <w:b/>
                <w:bCs/>
                <w:color w:val="auto"/>
                <w:kern w:val="0"/>
                <w:sz w:val="24"/>
                <w:szCs w:val="24"/>
              </w:rPr>
            </w:pPr>
            <w:r>
              <w:rPr>
                <w:rFonts w:hint="eastAsia" w:ascii="宋体" w:hAnsi="宋体"/>
                <w:b/>
                <w:bCs/>
                <w:color w:val="auto"/>
                <w:kern w:val="0"/>
                <w:sz w:val="24"/>
                <w:szCs w:val="24"/>
              </w:rPr>
              <w:t>拟投入的主要物资计划</w:t>
            </w:r>
          </w:p>
          <w:p w14:paraId="244BF285">
            <w:pPr>
              <w:widowControl/>
              <w:spacing w:line="240" w:lineRule="auto"/>
              <w:rPr>
                <w:rFonts w:hint="eastAsia" w:ascii="宋体" w:hAnsi="宋体"/>
                <w:color w:val="auto"/>
                <w:kern w:val="0"/>
                <w:sz w:val="24"/>
                <w:szCs w:val="24"/>
              </w:rPr>
            </w:pPr>
            <w:r>
              <w:rPr>
                <w:rFonts w:hint="eastAsia" w:ascii="宋体" w:hAnsi="宋体"/>
                <w:color w:val="auto"/>
                <w:kern w:val="0"/>
                <w:sz w:val="24"/>
                <w:szCs w:val="24"/>
              </w:rPr>
              <w:t>投入的施工材料有详细的组织计划且计划周密，数量、选型配置、进场时间安排合理，满足施工需要。满分5分。</w:t>
            </w:r>
          </w:p>
          <w:p w14:paraId="398B58B8">
            <w:pPr>
              <w:widowControl/>
              <w:spacing w:line="240" w:lineRule="auto"/>
              <w:rPr>
                <w:rFonts w:hint="eastAsia" w:ascii="宋体" w:hAnsi="宋体"/>
                <w:color w:val="auto"/>
                <w:kern w:val="0"/>
                <w:sz w:val="24"/>
                <w:szCs w:val="24"/>
              </w:rPr>
            </w:pPr>
            <w:r>
              <w:rPr>
                <w:rFonts w:hint="eastAsia" w:ascii="宋体" w:hAnsi="宋体"/>
                <w:color w:val="auto"/>
                <w:kern w:val="0"/>
                <w:sz w:val="24"/>
                <w:szCs w:val="24"/>
              </w:rPr>
              <w:t xml:space="preserve">优（5分）：投入的施工材料有详细的组织计划且计划周密，数量、选型配置、进场时间安排科学合理，完全满足施工需要。 </w:t>
            </w:r>
          </w:p>
          <w:p w14:paraId="70BD8B0B">
            <w:pPr>
              <w:widowControl/>
              <w:spacing w:line="240" w:lineRule="auto"/>
              <w:rPr>
                <w:rFonts w:hint="eastAsia" w:ascii="宋体" w:hAnsi="宋体"/>
                <w:color w:val="auto"/>
                <w:kern w:val="0"/>
                <w:sz w:val="24"/>
                <w:szCs w:val="24"/>
              </w:rPr>
            </w:pPr>
            <w:r>
              <w:rPr>
                <w:rFonts w:hint="eastAsia" w:ascii="宋体" w:hAnsi="宋体"/>
                <w:color w:val="auto"/>
                <w:kern w:val="0"/>
                <w:sz w:val="24"/>
                <w:szCs w:val="24"/>
              </w:rPr>
              <w:t>良（3分）：投入的施工材料有组织计划且计划较好，数量、选型配置、 进场时间安排基本满足施工需要。</w:t>
            </w:r>
          </w:p>
          <w:p w14:paraId="500EE12F">
            <w:pPr>
              <w:widowControl/>
              <w:spacing w:line="240" w:lineRule="auto"/>
              <w:rPr>
                <w:rFonts w:hint="eastAsia" w:ascii="宋体" w:hAnsi="宋体"/>
                <w:color w:val="auto"/>
                <w:kern w:val="0"/>
                <w:sz w:val="24"/>
                <w:szCs w:val="24"/>
              </w:rPr>
            </w:pPr>
            <w:r>
              <w:rPr>
                <w:rFonts w:hint="eastAsia" w:ascii="宋体" w:hAnsi="宋体"/>
                <w:color w:val="auto"/>
                <w:kern w:val="0"/>
                <w:sz w:val="24"/>
                <w:szCs w:val="24"/>
              </w:rPr>
              <w:t xml:space="preserve">中（2分）：投入的施工材料有组织 计划且计划一般，基本满足施工需要。 </w:t>
            </w:r>
          </w:p>
          <w:p w14:paraId="708C66CD">
            <w:pPr>
              <w:widowControl/>
              <w:spacing w:line="240" w:lineRule="auto"/>
              <w:rPr>
                <w:rFonts w:hint="eastAsia" w:ascii="宋体" w:hAnsi="宋体"/>
                <w:color w:val="auto"/>
                <w:kern w:val="0"/>
                <w:sz w:val="24"/>
                <w:szCs w:val="24"/>
              </w:rPr>
            </w:pPr>
            <w:r>
              <w:rPr>
                <w:rFonts w:hint="eastAsia" w:ascii="宋体" w:hAnsi="宋体"/>
                <w:color w:val="auto"/>
                <w:kern w:val="0"/>
                <w:sz w:val="24"/>
                <w:szCs w:val="24"/>
              </w:rPr>
              <w:t>差（1分）：投入的施工材料无详细的组织计划，不能满足施工需要。</w:t>
            </w:r>
          </w:p>
        </w:tc>
        <w:tc>
          <w:tcPr>
            <w:tcW w:w="909" w:type="dxa"/>
            <w:vAlign w:val="center"/>
          </w:tcPr>
          <w:p w14:paraId="728D9896">
            <w:pPr>
              <w:spacing w:line="240" w:lineRule="auto"/>
              <w:jc w:val="center"/>
              <w:rPr>
                <w:rFonts w:hint="eastAsia" w:ascii="宋体" w:hAnsi="宋体"/>
                <w:color w:val="auto"/>
                <w:kern w:val="0"/>
                <w:sz w:val="24"/>
                <w:szCs w:val="24"/>
              </w:rPr>
            </w:pPr>
            <w:r>
              <w:rPr>
                <w:rFonts w:hint="eastAsia" w:ascii="宋体" w:hAnsi="宋体"/>
                <w:color w:val="auto"/>
                <w:kern w:val="0"/>
                <w:sz w:val="24"/>
                <w:szCs w:val="24"/>
              </w:rPr>
              <w:t>5分</w:t>
            </w:r>
          </w:p>
        </w:tc>
      </w:tr>
      <w:tr w14:paraId="1A6D3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53" w:type="dxa"/>
            <w:vMerge w:val="continue"/>
            <w:vAlign w:val="center"/>
          </w:tcPr>
          <w:p w14:paraId="66350B4B">
            <w:pPr>
              <w:spacing w:line="240" w:lineRule="auto"/>
              <w:ind w:left="-105" w:leftChars="-50" w:right="-105" w:rightChars="-50"/>
              <w:jc w:val="center"/>
              <w:rPr>
                <w:rFonts w:ascii="宋体" w:hAnsi="宋体"/>
                <w:bCs/>
                <w:color w:val="auto"/>
                <w:kern w:val="0"/>
                <w:sz w:val="24"/>
                <w:szCs w:val="24"/>
              </w:rPr>
            </w:pPr>
          </w:p>
        </w:tc>
        <w:tc>
          <w:tcPr>
            <w:tcW w:w="1430" w:type="dxa"/>
            <w:vMerge w:val="continue"/>
            <w:vAlign w:val="center"/>
          </w:tcPr>
          <w:p w14:paraId="52AA288D">
            <w:pPr>
              <w:spacing w:line="240" w:lineRule="auto"/>
              <w:jc w:val="center"/>
              <w:rPr>
                <w:rFonts w:ascii="宋体" w:hAnsi="宋体"/>
                <w:color w:val="auto"/>
                <w:sz w:val="24"/>
                <w:szCs w:val="24"/>
              </w:rPr>
            </w:pPr>
          </w:p>
        </w:tc>
        <w:tc>
          <w:tcPr>
            <w:tcW w:w="6714" w:type="dxa"/>
            <w:vAlign w:val="center"/>
          </w:tcPr>
          <w:p w14:paraId="6EE12F20">
            <w:pPr>
              <w:spacing w:line="240" w:lineRule="auto"/>
              <w:rPr>
                <w:rFonts w:hint="eastAsia" w:ascii="宋体" w:hAnsi="宋体"/>
                <w:b/>
                <w:bCs/>
                <w:color w:val="auto"/>
                <w:kern w:val="0"/>
                <w:sz w:val="24"/>
                <w:szCs w:val="24"/>
              </w:rPr>
            </w:pPr>
            <w:r>
              <w:rPr>
                <w:rFonts w:hint="eastAsia" w:ascii="宋体" w:hAnsi="宋体"/>
                <w:b/>
                <w:bCs/>
                <w:color w:val="auto"/>
                <w:kern w:val="0"/>
                <w:sz w:val="24"/>
                <w:szCs w:val="24"/>
              </w:rPr>
              <w:t>3、</w:t>
            </w:r>
            <w:r>
              <w:rPr>
                <w:rFonts w:ascii="宋体" w:hAnsi="宋体"/>
                <w:b/>
                <w:bCs/>
                <w:color w:val="auto"/>
                <w:kern w:val="0"/>
                <w:sz w:val="24"/>
                <w:szCs w:val="24"/>
              </w:rPr>
              <w:t>拟投入的主要施工机械、设备计划</w:t>
            </w:r>
          </w:p>
          <w:p w14:paraId="183FF48A">
            <w:pPr>
              <w:widowControl/>
              <w:spacing w:line="240" w:lineRule="auto"/>
              <w:rPr>
                <w:rFonts w:hint="eastAsia" w:ascii="宋体" w:hAnsi="宋体"/>
                <w:color w:val="auto"/>
                <w:kern w:val="0"/>
                <w:sz w:val="24"/>
                <w:szCs w:val="24"/>
              </w:rPr>
            </w:pPr>
            <w:r>
              <w:rPr>
                <w:rFonts w:hint="eastAsia" w:ascii="宋体" w:hAnsi="宋体"/>
                <w:color w:val="auto"/>
                <w:kern w:val="0"/>
                <w:sz w:val="24"/>
                <w:szCs w:val="24"/>
              </w:rPr>
              <w:t xml:space="preserve">投入的施工机械、设备、机具有详细的组织计划且计划周密，设备数量、 选型配置、进场时间安排合理，满足 施工需要。满分5分。 </w:t>
            </w:r>
          </w:p>
          <w:p w14:paraId="3513D975">
            <w:pPr>
              <w:widowControl/>
              <w:spacing w:line="240" w:lineRule="auto"/>
              <w:rPr>
                <w:rFonts w:hint="eastAsia" w:ascii="宋体" w:hAnsi="宋体"/>
                <w:color w:val="auto"/>
                <w:kern w:val="0"/>
                <w:sz w:val="24"/>
                <w:szCs w:val="24"/>
              </w:rPr>
            </w:pPr>
            <w:r>
              <w:rPr>
                <w:rFonts w:hint="eastAsia" w:ascii="宋体" w:hAnsi="宋体"/>
                <w:color w:val="auto"/>
                <w:kern w:val="0"/>
                <w:sz w:val="24"/>
                <w:szCs w:val="24"/>
              </w:rPr>
              <w:t xml:space="preserve">优（5分）：投入的施工机械、设备、 机具有详细的组织计划且计划周密科学， 完全满足施工需要。 </w:t>
            </w:r>
          </w:p>
          <w:p w14:paraId="667C85E8">
            <w:pPr>
              <w:widowControl/>
              <w:spacing w:line="240" w:lineRule="auto"/>
              <w:rPr>
                <w:rFonts w:hint="eastAsia" w:ascii="宋体" w:hAnsi="宋体"/>
                <w:color w:val="auto"/>
                <w:kern w:val="0"/>
                <w:sz w:val="24"/>
                <w:szCs w:val="24"/>
              </w:rPr>
            </w:pPr>
            <w:r>
              <w:rPr>
                <w:rFonts w:hint="eastAsia" w:ascii="宋体" w:hAnsi="宋体"/>
                <w:color w:val="auto"/>
                <w:kern w:val="0"/>
                <w:sz w:val="24"/>
                <w:szCs w:val="24"/>
              </w:rPr>
              <w:t xml:space="preserve">良（3分）：投入的施工机械、设备、机具有组织计划且计划较好，基本满足施工需要。 </w:t>
            </w:r>
          </w:p>
          <w:p w14:paraId="7FC593A8">
            <w:pPr>
              <w:widowControl/>
              <w:spacing w:line="240" w:lineRule="auto"/>
              <w:rPr>
                <w:rFonts w:hint="eastAsia" w:ascii="宋体" w:hAnsi="宋体"/>
                <w:color w:val="auto"/>
                <w:kern w:val="0"/>
                <w:sz w:val="24"/>
                <w:szCs w:val="24"/>
              </w:rPr>
            </w:pPr>
            <w:r>
              <w:rPr>
                <w:rFonts w:hint="eastAsia" w:ascii="宋体" w:hAnsi="宋体"/>
                <w:color w:val="auto"/>
                <w:kern w:val="0"/>
                <w:sz w:val="24"/>
                <w:szCs w:val="24"/>
              </w:rPr>
              <w:t xml:space="preserve">中（2分）：投入的施工机械、设备、机具有组织计划且计划一般，基本满足施工需要。 </w:t>
            </w:r>
          </w:p>
          <w:p w14:paraId="794854D7">
            <w:pPr>
              <w:widowControl/>
              <w:spacing w:line="240" w:lineRule="auto"/>
              <w:rPr>
                <w:rFonts w:hint="eastAsia" w:ascii="宋体" w:hAnsi="宋体"/>
                <w:color w:val="auto"/>
                <w:kern w:val="0"/>
                <w:sz w:val="24"/>
                <w:szCs w:val="24"/>
              </w:rPr>
            </w:pPr>
            <w:r>
              <w:rPr>
                <w:rFonts w:hint="eastAsia" w:ascii="宋体" w:hAnsi="宋体"/>
                <w:color w:val="auto"/>
                <w:kern w:val="0"/>
                <w:sz w:val="24"/>
                <w:szCs w:val="24"/>
              </w:rPr>
              <w:t>差（1分）：投入的施工机械、设备、机具无详细的组织计划，不能满足施工需要。</w:t>
            </w:r>
          </w:p>
        </w:tc>
        <w:tc>
          <w:tcPr>
            <w:tcW w:w="909" w:type="dxa"/>
            <w:vAlign w:val="center"/>
          </w:tcPr>
          <w:p w14:paraId="51B73996">
            <w:pPr>
              <w:spacing w:line="240" w:lineRule="auto"/>
              <w:jc w:val="center"/>
              <w:rPr>
                <w:rFonts w:hint="eastAsia" w:ascii="宋体" w:hAnsi="宋体"/>
                <w:color w:val="auto"/>
                <w:kern w:val="0"/>
                <w:sz w:val="24"/>
                <w:szCs w:val="24"/>
              </w:rPr>
            </w:pPr>
            <w:r>
              <w:rPr>
                <w:rFonts w:hint="eastAsia" w:ascii="宋体" w:hAnsi="宋体"/>
                <w:color w:val="auto"/>
                <w:kern w:val="0"/>
                <w:sz w:val="24"/>
                <w:szCs w:val="24"/>
              </w:rPr>
              <w:t>5分</w:t>
            </w:r>
          </w:p>
        </w:tc>
      </w:tr>
      <w:tr w14:paraId="1F870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53" w:type="dxa"/>
            <w:vMerge w:val="continue"/>
            <w:vAlign w:val="center"/>
          </w:tcPr>
          <w:p w14:paraId="0A3AB93E">
            <w:pPr>
              <w:spacing w:line="240" w:lineRule="auto"/>
              <w:ind w:left="-105" w:leftChars="-50" w:right="-105" w:rightChars="-50"/>
              <w:jc w:val="center"/>
              <w:rPr>
                <w:rFonts w:ascii="宋体" w:hAnsi="宋体"/>
                <w:bCs/>
                <w:color w:val="auto"/>
                <w:kern w:val="0"/>
                <w:sz w:val="24"/>
                <w:szCs w:val="24"/>
              </w:rPr>
            </w:pPr>
          </w:p>
        </w:tc>
        <w:tc>
          <w:tcPr>
            <w:tcW w:w="1430" w:type="dxa"/>
            <w:vMerge w:val="continue"/>
            <w:vAlign w:val="center"/>
          </w:tcPr>
          <w:p w14:paraId="6BAF34FC">
            <w:pPr>
              <w:spacing w:line="240" w:lineRule="auto"/>
              <w:jc w:val="center"/>
              <w:rPr>
                <w:rFonts w:ascii="宋体" w:hAnsi="宋体"/>
                <w:color w:val="auto"/>
                <w:sz w:val="24"/>
                <w:szCs w:val="24"/>
              </w:rPr>
            </w:pPr>
          </w:p>
        </w:tc>
        <w:tc>
          <w:tcPr>
            <w:tcW w:w="6714" w:type="dxa"/>
            <w:vAlign w:val="center"/>
          </w:tcPr>
          <w:p w14:paraId="0723A6B6">
            <w:pPr>
              <w:spacing w:line="240" w:lineRule="auto"/>
              <w:rPr>
                <w:rFonts w:hint="eastAsia" w:ascii="宋体" w:hAnsi="宋体"/>
                <w:b/>
                <w:bCs/>
                <w:color w:val="auto"/>
                <w:kern w:val="0"/>
                <w:sz w:val="24"/>
                <w:szCs w:val="24"/>
              </w:rPr>
            </w:pPr>
            <w:r>
              <w:rPr>
                <w:rFonts w:hint="eastAsia" w:ascii="宋体" w:hAnsi="宋体"/>
                <w:b/>
                <w:bCs/>
                <w:color w:val="auto"/>
                <w:kern w:val="0"/>
                <w:sz w:val="24"/>
                <w:szCs w:val="24"/>
              </w:rPr>
              <w:t>4、</w:t>
            </w:r>
            <w:r>
              <w:rPr>
                <w:rFonts w:ascii="宋体" w:hAnsi="宋体"/>
                <w:b/>
                <w:bCs/>
                <w:color w:val="auto"/>
                <w:kern w:val="0"/>
                <w:sz w:val="24"/>
                <w:szCs w:val="24"/>
              </w:rPr>
              <w:t>劳动力安排计划</w:t>
            </w:r>
          </w:p>
          <w:p w14:paraId="7B25394F">
            <w:pPr>
              <w:widowControl/>
              <w:spacing w:line="240" w:lineRule="auto"/>
              <w:rPr>
                <w:rFonts w:hint="eastAsia" w:ascii="宋体" w:hAnsi="宋体"/>
                <w:color w:val="auto"/>
                <w:kern w:val="0"/>
                <w:sz w:val="24"/>
                <w:szCs w:val="24"/>
              </w:rPr>
            </w:pPr>
            <w:r>
              <w:rPr>
                <w:rFonts w:hint="eastAsia" w:ascii="宋体" w:hAnsi="宋体"/>
                <w:color w:val="auto"/>
                <w:kern w:val="0"/>
                <w:sz w:val="24"/>
                <w:szCs w:val="24"/>
              </w:rPr>
              <w:t xml:space="preserve">各主要施工工序应有详细周密的劳动力安排计划，有各工种劳动力安排计划，劳动力投入合理，满足施工需要。 满分5分。 </w:t>
            </w:r>
          </w:p>
          <w:p w14:paraId="2F7A8412">
            <w:pPr>
              <w:widowControl/>
              <w:spacing w:line="240" w:lineRule="auto"/>
              <w:rPr>
                <w:rFonts w:hint="eastAsia" w:ascii="宋体" w:hAnsi="宋体"/>
                <w:color w:val="auto"/>
                <w:kern w:val="0"/>
                <w:sz w:val="24"/>
                <w:szCs w:val="24"/>
              </w:rPr>
            </w:pPr>
            <w:r>
              <w:rPr>
                <w:rFonts w:hint="eastAsia" w:ascii="宋体" w:hAnsi="宋体"/>
                <w:color w:val="auto"/>
                <w:kern w:val="0"/>
                <w:sz w:val="24"/>
                <w:szCs w:val="24"/>
              </w:rPr>
              <w:t xml:space="preserve">优（5分）：各主要施工工序有详细周密的劳动力安排计划，有各工种劳动力安排计划，高峰期劳动力投入完全满足施工需要。 </w:t>
            </w:r>
          </w:p>
          <w:p w14:paraId="164E7354">
            <w:pPr>
              <w:widowControl/>
              <w:spacing w:line="240" w:lineRule="auto"/>
              <w:rPr>
                <w:rFonts w:hint="eastAsia" w:ascii="宋体" w:hAnsi="宋体"/>
                <w:color w:val="auto"/>
                <w:kern w:val="0"/>
                <w:sz w:val="24"/>
                <w:szCs w:val="24"/>
              </w:rPr>
            </w:pPr>
            <w:r>
              <w:rPr>
                <w:rFonts w:hint="eastAsia" w:ascii="宋体" w:hAnsi="宋体"/>
                <w:color w:val="auto"/>
                <w:kern w:val="0"/>
                <w:sz w:val="24"/>
                <w:szCs w:val="24"/>
              </w:rPr>
              <w:t>良（3分）：各主要施工工序有劳动力安排计划，有各工种劳动力安排计划，高峰期劳动力投入满足施工需要。</w:t>
            </w:r>
          </w:p>
          <w:p w14:paraId="16F789B6">
            <w:pPr>
              <w:widowControl/>
              <w:spacing w:line="240" w:lineRule="auto"/>
              <w:rPr>
                <w:rFonts w:hint="eastAsia" w:ascii="宋体" w:hAnsi="宋体"/>
                <w:color w:val="auto"/>
                <w:kern w:val="0"/>
                <w:sz w:val="24"/>
                <w:szCs w:val="24"/>
              </w:rPr>
            </w:pPr>
            <w:r>
              <w:rPr>
                <w:rFonts w:hint="eastAsia" w:ascii="宋体" w:hAnsi="宋体"/>
                <w:color w:val="auto"/>
                <w:kern w:val="0"/>
                <w:sz w:val="24"/>
                <w:szCs w:val="24"/>
              </w:rPr>
              <w:t>中（2分）：各主要施工工序有基本的劳动力安排计划，有各工种劳动力安排计划，高峰期劳动力投入人数基本满足施工需要。</w:t>
            </w:r>
          </w:p>
          <w:p w14:paraId="487F53AA">
            <w:pPr>
              <w:widowControl/>
              <w:spacing w:line="240" w:lineRule="auto"/>
              <w:rPr>
                <w:rFonts w:hint="eastAsia" w:ascii="宋体" w:hAnsi="宋体"/>
                <w:color w:val="auto"/>
                <w:kern w:val="0"/>
                <w:sz w:val="24"/>
                <w:szCs w:val="24"/>
              </w:rPr>
            </w:pPr>
            <w:r>
              <w:rPr>
                <w:rFonts w:hint="eastAsia" w:ascii="宋体" w:hAnsi="宋体"/>
                <w:color w:val="auto"/>
                <w:kern w:val="0"/>
                <w:sz w:val="24"/>
                <w:szCs w:val="24"/>
              </w:rPr>
              <w:t>差（1分）：各主要施工工序无劳动力安排计划，无各工种劳动力安排计划，高峰期劳动力投入人数不能满足施工需要。</w:t>
            </w:r>
          </w:p>
        </w:tc>
        <w:tc>
          <w:tcPr>
            <w:tcW w:w="909" w:type="dxa"/>
            <w:vAlign w:val="center"/>
          </w:tcPr>
          <w:p w14:paraId="59AE4747">
            <w:pPr>
              <w:spacing w:line="240" w:lineRule="auto"/>
              <w:jc w:val="center"/>
              <w:rPr>
                <w:rFonts w:hint="eastAsia" w:ascii="宋体" w:hAnsi="宋体"/>
                <w:color w:val="auto"/>
                <w:kern w:val="0"/>
                <w:sz w:val="24"/>
                <w:szCs w:val="24"/>
              </w:rPr>
            </w:pPr>
            <w:r>
              <w:rPr>
                <w:rFonts w:hint="eastAsia" w:ascii="宋体" w:hAnsi="宋体"/>
                <w:color w:val="auto"/>
                <w:kern w:val="0"/>
                <w:sz w:val="24"/>
                <w:szCs w:val="24"/>
              </w:rPr>
              <w:t>5分</w:t>
            </w:r>
          </w:p>
        </w:tc>
      </w:tr>
      <w:tr w14:paraId="7150B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5" w:hRule="atLeast"/>
          <w:jc w:val="center"/>
        </w:trPr>
        <w:tc>
          <w:tcPr>
            <w:tcW w:w="653" w:type="dxa"/>
            <w:vMerge w:val="continue"/>
            <w:vAlign w:val="center"/>
          </w:tcPr>
          <w:p w14:paraId="5666878F">
            <w:pPr>
              <w:spacing w:line="240" w:lineRule="auto"/>
              <w:ind w:left="-105" w:leftChars="-50" w:right="-105" w:rightChars="-50"/>
              <w:jc w:val="center"/>
              <w:rPr>
                <w:rFonts w:ascii="宋体" w:hAnsi="宋体"/>
                <w:bCs/>
                <w:color w:val="auto"/>
                <w:kern w:val="0"/>
                <w:sz w:val="24"/>
                <w:szCs w:val="24"/>
              </w:rPr>
            </w:pPr>
          </w:p>
        </w:tc>
        <w:tc>
          <w:tcPr>
            <w:tcW w:w="1430" w:type="dxa"/>
            <w:vMerge w:val="continue"/>
            <w:vAlign w:val="center"/>
          </w:tcPr>
          <w:p w14:paraId="5228DCBE">
            <w:pPr>
              <w:spacing w:line="240" w:lineRule="auto"/>
              <w:jc w:val="center"/>
              <w:rPr>
                <w:rFonts w:ascii="宋体" w:hAnsi="宋体"/>
                <w:color w:val="auto"/>
                <w:sz w:val="24"/>
                <w:szCs w:val="24"/>
              </w:rPr>
            </w:pPr>
          </w:p>
        </w:tc>
        <w:tc>
          <w:tcPr>
            <w:tcW w:w="6714" w:type="dxa"/>
            <w:vAlign w:val="center"/>
          </w:tcPr>
          <w:p w14:paraId="4FBCE126">
            <w:pPr>
              <w:spacing w:line="240" w:lineRule="auto"/>
              <w:rPr>
                <w:rFonts w:hint="eastAsia" w:ascii="宋体" w:hAnsi="宋体"/>
                <w:b/>
                <w:bCs/>
                <w:color w:val="auto"/>
                <w:kern w:val="0"/>
                <w:sz w:val="24"/>
                <w:szCs w:val="24"/>
              </w:rPr>
            </w:pPr>
            <w:r>
              <w:rPr>
                <w:rFonts w:hint="eastAsia" w:ascii="宋体" w:hAnsi="宋体"/>
                <w:b/>
                <w:bCs/>
                <w:color w:val="auto"/>
                <w:kern w:val="0"/>
                <w:sz w:val="24"/>
                <w:szCs w:val="24"/>
              </w:rPr>
              <w:t>5、</w:t>
            </w:r>
            <w:r>
              <w:rPr>
                <w:rFonts w:ascii="宋体" w:hAnsi="宋体"/>
                <w:b/>
                <w:bCs/>
                <w:color w:val="auto"/>
                <w:kern w:val="0"/>
                <w:sz w:val="24"/>
                <w:szCs w:val="24"/>
              </w:rPr>
              <w:t>确保工程质量的技术组织措施</w:t>
            </w:r>
          </w:p>
          <w:p w14:paraId="312F9F8F">
            <w:pPr>
              <w:widowControl/>
              <w:spacing w:line="240" w:lineRule="auto"/>
              <w:rPr>
                <w:rFonts w:hint="eastAsia" w:ascii="宋体" w:hAnsi="宋体"/>
                <w:color w:val="auto"/>
                <w:kern w:val="0"/>
                <w:sz w:val="24"/>
                <w:szCs w:val="24"/>
              </w:rPr>
            </w:pPr>
            <w:r>
              <w:rPr>
                <w:rFonts w:hint="eastAsia" w:ascii="宋体" w:hAnsi="宋体"/>
                <w:color w:val="auto"/>
                <w:kern w:val="0"/>
                <w:sz w:val="24"/>
                <w:szCs w:val="24"/>
              </w:rPr>
              <w:t>应有专门的质量技术管理班子和制度，且人员配备合理，制度健全。主要工序应有质量技术保证措施和手段，自控体系完整，能有效保证技术质量，达到承诺的质量标准。满分5分。</w:t>
            </w:r>
          </w:p>
          <w:p w14:paraId="6148654A">
            <w:pPr>
              <w:widowControl/>
              <w:spacing w:line="240" w:lineRule="auto"/>
              <w:rPr>
                <w:rFonts w:hint="eastAsia" w:ascii="宋体" w:hAnsi="宋体"/>
                <w:color w:val="auto"/>
                <w:kern w:val="0"/>
                <w:sz w:val="24"/>
                <w:szCs w:val="24"/>
              </w:rPr>
            </w:pPr>
            <w:r>
              <w:rPr>
                <w:rFonts w:hint="eastAsia" w:ascii="宋体" w:hAnsi="宋体"/>
                <w:color w:val="auto"/>
                <w:kern w:val="0"/>
                <w:sz w:val="24"/>
                <w:szCs w:val="24"/>
              </w:rPr>
              <w:t>优（5分）：有专门的质量管理架构和制度，且人员配备合理，制度健全。 主要工序质量技术保证措施和手段科学合理，自控体系非常完整，能有效保证技术质量，达到承诺的质量标准。</w:t>
            </w:r>
          </w:p>
          <w:p w14:paraId="15055F22">
            <w:pPr>
              <w:widowControl/>
              <w:spacing w:line="240" w:lineRule="auto"/>
              <w:rPr>
                <w:rFonts w:hint="eastAsia" w:ascii="宋体" w:hAnsi="宋体"/>
                <w:color w:val="auto"/>
                <w:kern w:val="0"/>
                <w:sz w:val="24"/>
                <w:szCs w:val="24"/>
              </w:rPr>
            </w:pPr>
            <w:r>
              <w:rPr>
                <w:rFonts w:hint="eastAsia" w:ascii="宋体" w:hAnsi="宋体"/>
                <w:color w:val="auto"/>
                <w:kern w:val="0"/>
                <w:sz w:val="24"/>
                <w:szCs w:val="24"/>
              </w:rPr>
              <w:t>良（3分）：有专门的质量管理架构和制度，且人员配备合理，制度健全。主要工序的质量技术保证措施和手段较合理，自控体系完整，基本能有效保证技术质量，达到承诺的质量标准。</w:t>
            </w:r>
          </w:p>
          <w:p w14:paraId="461473FA">
            <w:pPr>
              <w:widowControl/>
              <w:spacing w:line="240" w:lineRule="auto"/>
              <w:rPr>
                <w:rFonts w:hint="eastAsia" w:ascii="宋体" w:hAnsi="宋体"/>
                <w:color w:val="auto"/>
                <w:kern w:val="0"/>
                <w:sz w:val="24"/>
                <w:szCs w:val="24"/>
              </w:rPr>
            </w:pPr>
            <w:r>
              <w:rPr>
                <w:rFonts w:hint="eastAsia" w:ascii="宋体" w:hAnsi="宋体"/>
                <w:color w:val="auto"/>
                <w:kern w:val="0"/>
                <w:sz w:val="24"/>
                <w:szCs w:val="24"/>
              </w:rPr>
              <w:t xml:space="preserve">中（2分）：有专门的质量管理架构和制度，且人员配备合理，制度健全。 主要工序的质量技术保证措施和手段一般，达到承诺的质量标准。 </w:t>
            </w:r>
          </w:p>
          <w:p w14:paraId="09A7C854">
            <w:pPr>
              <w:widowControl/>
              <w:spacing w:line="240" w:lineRule="auto"/>
              <w:rPr>
                <w:rFonts w:hint="eastAsia" w:ascii="宋体" w:hAnsi="宋体"/>
                <w:color w:val="auto"/>
                <w:kern w:val="0"/>
                <w:sz w:val="24"/>
                <w:szCs w:val="24"/>
              </w:rPr>
            </w:pPr>
            <w:r>
              <w:rPr>
                <w:rFonts w:hint="eastAsia" w:ascii="宋体" w:hAnsi="宋体"/>
                <w:color w:val="auto"/>
                <w:kern w:val="0"/>
                <w:sz w:val="24"/>
                <w:szCs w:val="24"/>
              </w:rPr>
              <w:t>差（1分）：有专门的质量管理架构和制度，人员配备不合理，制度不健全。主要工序无质量技术保证措施和手段，达不到承诺的质量标准。</w:t>
            </w:r>
          </w:p>
        </w:tc>
        <w:tc>
          <w:tcPr>
            <w:tcW w:w="909" w:type="dxa"/>
            <w:vAlign w:val="center"/>
          </w:tcPr>
          <w:p w14:paraId="68D0D58B">
            <w:pPr>
              <w:spacing w:line="240" w:lineRule="auto"/>
              <w:jc w:val="center"/>
              <w:rPr>
                <w:rFonts w:hint="eastAsia" w:ascii="宋体" w:hAnsi="宋体"/>
                <w:color w:val="auto"/>
                <w:kern w:val="0"/>
                <w:sz w:val="24"/>
                <w:szCs w:val="24"/>
              </w:rPr>
            </w:pPr>
            <w:r>
              <w:rPr>
                <w:rFonts w:hint="eastAsia" w:ascii="宋体" w:hAnsi="宋体"/>
                <w:color w:val="auto"/>
                <w:kern w:val="0"/>
                <w:sz w:val="24"/>
                <w:szCs w:val="24"/>
              </w:rPr>
              <w:t>5分</w:t>
            </w:r>
          </w:p>
        </w:tc>
      </w:tr>
      <w:tr w14:paraId="074CF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5" w:hRule="atLeast"/>
          <w:jc w:val="center"/>
        </w:trPr>
        <w:tc>
          <w:tcPr>
            <w:tcW w:w="653" w:type="dxa"/>
            <w:vMerge w:val="continue"/>
            <w:vAlign w:val="center"/>
          </w:tcPr>
          <w:p w14:paraId="3AC9C2F5">
            <w:pPr>
              <w:spacing w:line="240" w:lineRule="auto"/>
              <w:ind w:left="-105" w:leftChars="-50" w:right="-105" w:rightChars="-50"/>
              <w:jc w:val="center"/>
              <w:rPr>
                <w:rFonts w:ascii="宋体" w:hAnsi="宋体"/>
                <w:bCs/>
                <w:color w:val="auto"/>
                <w:kern w:val="0"/>
                <w:sz w:val="24"/>
                <w:szCs w:val="24"/>
              </w:rPr>
            </w:pPr>
          </w:p>
        </w:tc>
        <w:tc>
          <w:tcPr>
            <w:tcW w:w="1430" w:type="dxa"/>
            <w:vMerge w:val="continue"/>
            <w:vAlign w:val="center"/>
          </w:tcPr>
          <w:p w14:paraId="25F86858">
            <w:pPr>
              <w:spacing w:line="240" w:lineRule="auto"/>
              <w:jc w:val="center"/>
              <w:rPr>
                <w:rFonts w:ascii="宋体" w:hAnsi="宋体"/>
                <w:color w:val="auto"/>
                <w:sz w:val="24"/>
                <w:szCs w:val="24"/>
              </w:rPr>
            </w:pPr>
          </w:p>
        </w:tc>
        <w:tc>
          <w:tcPr>
            <w:tcW w:w="6714" w:type="dxa"/>
            <w:vAlign w:val="center"/>
          </w:tcPr>
          <w:p w14:paraId="56F4B78A">
            <w:pPr>
              <w:spacing w:line="240" w:lineRule="auto"/>
              <w:ind w:left="-210" w:firstLine="241" w:firstLineChars="100"/>
              <w:jc w:val="left"/>
              <w:rPr>
                <w:rFonts w:hint="eastAsia" w:ascii="宋体" w:hAnsi="宋体"/>
                <w:b/>
                <w:bCs/>
                <w:color w:val="auto"/>
                <w:sz w:val="24"/>
                <w:szCs w:val="24"/>
              </w:rPr>
            </w:pPr>
            <w:r>
              <w:rPr>
                <w:rFonts w:hint="eastAsia" w:ascii="宋体" w:hAnsi="宋体"/>
                <w:b/>
                <w:bCs/>
                <w:color w:val="auto"/>
                <w:sz w:val="24"/>
                <w:szCs w:val="24"/>
              </w:rPr>
              <w:t>6、</w:t>
            </w:r>
            <w:r>
              <w:rPr>
                <w:rFonts w:ascii="宋体" w:hAnsi="宋体"/>
                <w:b/>
                <w:bCs/>
                <w:color w:val="auto"/>
                <w:sz w:val="24"/>
                <w:szCs w:val="24"/>
              </w:rPr>
              <w:t>确保安全生产的技术组织措施</w:t>
            </w:r>
          </w:p>
          <w:p w14:paraId="5641E48D">
            <w:pPr>
              <w:widowControl/>
              <w:spacing w:line="240" w:lineRule="auto"/>
              <w:rPr>
                <w:rFonts w:hint="eastAsia" w:ascii="宋体" w:hAnsi="宋体"/>
                <w:color w:val="auto"/>
                <w:kern w:val="0"/>
                <w:sz w:val="24"/>
                <w:szCs w:val="24"/>
              </w:rPr>
            </w:pPr>
            <w:r>
              <w:rPr>
                <w:rFonts w:hint="eastAsia" w:ascii="宋体" w:hAnsi="宋体"/>
                <w:color w:val="auto"/>
                <w:kern w:val="0"/>
                <w:sz w:val="24"/>
                <w:szCs w:val="24"/>
              </w:rPr>
              <w:t xml:space="preserve">应有专门的安全管理人员和制度，且人员配备合理，制度健全，各道工序安全技术措施针对性强，符合实际且满足有关安全技术标准要求。现场防火、应急救援、社会治安安全措施得力。满分6分。 </w:t>
            </w:r>
          </w:p>
          <w:p w14:paraId="4BD383CF">
            <w:pPr>
              <w:widowControl/>
              <w:spacing w:line="240" w:lineRule="auto"/>
              <w:rPr>
                <w:rFonts w:hint="eastAsia" w:ascii="宋体" w:hAnsi="宋体"/>
                <w:color w:val="auto"/>
                <w:kern w:val="0"/>
                <w:sz w:val="24"/>
                <w:szCs w:val="24"/>
              </w:rPr>
            </w:pPr>
            <w:r>
              <w:rPr>
                <w:rFonts w:hint="eastAsia" w:ascii="宋体" w:hAnsi="宋体"/>
                <w:color w:val="auto"/>
                <w:kern w:val="0"/>
                <w:sz w:val="24"/>
                <w:szCs w:val="24"/>
              </w:rPr>
              <w:t xml:space="preserve">优（5分）：有专门的安全管理人员和制度，且人员配备合理，制度健全， 各道工序安全技术措施针对性强，确保工程质量的技术组织措施符合实际且满足有关安全技术标准要求。 </w:t>
            </w:r>
          </w:p>
          <w:p w14:paraId="7DBCEC8E">
            <w:pPr>
              <w:widowControl/>
              <w:spacing w:line="240" w:lineRule="auto"/>
              <w:rPr>
                <w:rFonts w:hint="eastAsia" w:ascii="宋体" w:hAnsi="宋体"/>
                <w:color w:val="auto"/>
                <w:kern w:val="0"/>
                <w:sz w:val="24"/>
                <w:szCs w:val="24"/>
              </w:rPr>
            </w:pPr>
            <w:r>
              <w:rPr>
                <w:rFonts w:hint="eastAsia" w:ascii="宋体" w:hAnsi="宋体"/>
                <w:color w:val="auto"/>
                <w:kern w:val="0"/>
                <w:sz w:val="24"/>
                <w:szCs w:val="24"/>
              </w:rPr>
              <w:t>良（3分）：有专门的安全管理人员和制度，且人员配备合理，制度健全， 各道工序安全技术措施针对性较强， 确保工程质量的技术组织措施符合实际且基本满足有关安全技术标准要求。</w:t>
            </w:r>
          </w:p>
          <w:p w14:paraId="7DFBAC94">
            <w:pPr>
              <w:widowControl/>
              <w:spacing w:line="240" w:lineRule="auto"/>
              <w:rPr>
                <w:rFonts w:hint="eastAsia" w:ascii="宋体" w:hAnsi="宋体"/>
                <w:color w:val="auto"/>
                <w:kern w:val="0"/>
                <w:sz w:val="24"/>
                <w:szCs w:val="24"/>
              </w:rPr>
            </w:pPr>
            <w:r>
              <w:rPr>
                <w:rFonts w:hint="eastAsia" w:ascii="宋体" w:hAnsi="宋体"/>
                <w:color w:val="auto"/>
                <w:kern w:val="0"/>
                <w:sz w:val="24"/>
                <w:szCs w:val="24"/>
              </w:rPr>
              <w:t>中（2分）：有专门的安全管理人员和制度，且人员配备合理，制度健全， 各道工序安全技术措施针对性一般， 确保工程质量的技术组织措施符合实际且基本满足有关安全技术标准要 求。</w:t>
            </w:r>
          </w:p>
          <w:p w14:paraId="7F0685DF">
            <w:pPr>
              <w:widowControl/>
              <w:spacing w:line="240" w:lineRule="auto"/>
              <w:rPr>
                <w:rFonts w:hint="eastAsia" w:ascii="宋体" w:hAnsi="宋体"/>
                <w:color w:val="auto"/>
                <w:kern w:val="0"/>
                <w:sz w:val="24"/>
                <w:szCs w:val="24"/>
              </w:rPr>
            </w:pPr>
            <w:r>
              <w:rPr>
                <w:rFonts w:hint="eastAsia" w:ascii="宋体" w:hAnsi="宋体"/>
                <w:color w:val="auto"/>
                <w:kern w:val="0"/>
                <w:sz w:val="24"/>
                <w:szCs w:val="24"/>
              </w:rPr>
              <w:t>差（1分）：有专门的安全管理人员和制度，人员配备不合理，制度不健 全，各道工序安全技术措施针无对性，不满足有关安全技术标准要求。</w:t>
            </w:r>
          </w:p>
        </w:tc>
        <w:tc>
          <w:tcPr>
            <w:tcW w:w="909" w:type="dxa"/>
            <w:vAlign w:val="center"/>
          </w:tcPr>
          <w:p w14:paraId="74CA4772">
            <w:pPr>
              <w:spacing w:line="240" w:lineRule="auto"/>
              <w:jc w:val="center"/>
              <w:rPr>
                <w:rFonts w:hint="eastAsia" w:ascii="宋体" w:hAnsi="宋体"/>
                <w:color w:val="auto"/>
                <w:kern w:val="0"/>
                <w:sz w:val="24"/>
                <w:szCs w:val="24"/>
              </w:rPr>
            </w:pPr>
            <w:r>
              <w:rPr>
                <w:rFonts w:hint="eastAsia" w:ascii="宋体" w:hAnsi="宋体"/>
                <w:color w:val="auto"/>
                <w:kern w:val="0"/>
                <w:sz w:val="24"/>
                <w:szCs w:val="24"/>
              </w:rPr>
              <w:t>5分</w:t>
            </w:r>
          </w:p>
        </w:tc>
      </w:tr>
      <w:tr w14:paraId="36651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53" w:type="dxa"/>
            <w:vMerge w:val="continue"/>
            <w:vAlign w:val="center"/>
          </w:tcPr>
          <w:p w14:paraId="122D64F9">
            <w:pPr>
              <w:spacing w:line="240" w:lineRule="auto"/>
              <w:ind w:left="-105" w:leftChars="-50" w:right="-105" w:rightChars="-50"/>
              <w:jc w:val="center"/>
              <w:rPr>
                <w:rFonts w:ascii="宋体" w:hAnsi="宋体"/>
                <w:bCs/>
                <w:color w:val="auto"/>
                <w:kern w:val="0"/>
                <w:sz w:val="24"/>
                <w:szCs w:val="24"/>
              </w:rPr>
            </w:pPr>
          </w:p>
        </w:tc>
        <w:tc>
          <w:tcPr>
            <w:tcW w:w="1430" w:type="dxa"/>
            <w:vMerge w:val="continue"/>
            <w:vAlign w:val="center"/>
          </w:tcPr>
          <w:p w14:paraId="0F2E52A8">
            <w:pPr>
              <w:spacing w:line="240" w:lineRule="auto"/>
              <w:jc w:val="center"/>
              <w:rPr>
                <w:rFonts w:ascii="宋体" w:hAnsi="宋体"/>
                <w:color w:val="auto"/>
                <w:sz w:val="24"/>
                <w:szCs w:val="24"/>
              </w:rPr>
            </w:pPr>
          </w:p>
        </w:tc>
        <w:tc>
          <w:tcPr>
            <w:tcW w:w="6714" w:type="dxa"/>
            <w:vAlign w:val="center"/>
          </w:tcPr>
          <w:p w14:paraId="2E780A32">
            <w:pPr>
              <w:spacing w:line="240" w:lineRule="auto"/>
              <w:jc w:val="left"/>
              <w:rPr>
                <w:rFonts w:hint="eastAsia" w:ascii="宋体" w:hAnsi="宋体"/>
                <w:b/>
                <w:bCs/>
                <w:color w:val="auto"/>
                <w:sz w:val="24"/>
                <w:szCs w:val="24"/>
              </w:rPr>
            </w:pPr>
            <w:r>
              <w:rPr>
                <w:rFonts w:hint="eastAsia" w:ascii="宋体" w:hAnsi="宋体"/>
                <w:b/>
                <w:bCs/>
                <w:color w:val="auto"/>
                <w:sz w:val="24"/>
                <w:szCs w:val="24"/>
              </w:rPr>
              <w:t>7、确保工期的技术组织措施</w:t>
            </w:r>
          </w:p>
          <w:p w14:paraId="60DB24A2">
            <w:pPr>
              <w:widowControl/>
              <w:spacing w:line="240" w:lineRule="auto"/>
              <w:rPr>
                <w:rFonts w:hint="eastAsia" w:ascii="宋体" w:hAnsi="宋体"/>
                <w:color w:val="auto"/>
                <w:kern w:val="0"/>
                <w:sz w:val="24"/>
                <w:szCs w:val="24"/>
              </w:rPr>
            </w:pPr>
            <w:r>
              <w:rPr>
                <w:rFonts w:hint="eastAsia" w:ascii="宋体" w:hAnsi="宋体"/>
                <w:color w:val="auto"/>
                <w:kern w:val="0"/>
                <w:sz w:val="24"/>
                <w:szCs w:val="24"/>
              </w:rPr>
              <w:t>在施工工艺、施工方法、材料选用、 劳动力安排、技术等方面有保证工期的具体措施且措施得当。有控制工期的施工进度计划。应有施工总进度表或施工网络图，各项计划图表编制完善，安排科学合理，符合本项目施工实际要求。满分5分。</w:t>
            </w:r>
          </w:p>
          <w:p w14:paraId="4C1D50EE">
            <w:pPr>
              <w:widowControl/>
              <w:spacing w:line="240" w:lineRule="auto"/>
              <w:rPr>
                <w:rFonts w:hint="eastAsia" w:ascii="宋体" w:hAnsi="宋体"/>
                <w:color w:val="auto"/>
                <w:kern w:val="0"/>
                <w:sz w:val="24"/>
                <w:szCs w:val="24"/>
              </w:rPr>
            </w:pPr>
            <w:r>
              <w:rPr>
                <w:rFonts w:hint="eastAsia" w:ascii="宋体" w:hAnsi="宋体"/>
                <w:color w:val="auto"/>
                <w:kern w:val="0"/>
                <w:sz w:val="24"/>
                <w:szCs w:val="24"/>
              </w:rPr>
              <w:t xml:space="preserve">优（5分）：有控制工期的施工进度计划。有施工总进度表或施工网络图，各项计划图表编制完善，安排科学合理，符合本项目施工实际要求。 </w:t>
            </w:r>
          </w:p>
          <w:p w14:paraId="19099010">
            <w:pPr>
              <w:widowControl/>
              <w:spacing w:line="240" w:lineRule="auto"/>
              <w:rPr>
                <w:rFonts w:hint="eastAsia" w:ascii="宋体" w:hAnsi="宋体"/>
                <w:color w:val="auto"/>
                <w:kern w:val="0"/>
                <w:sz w:val="24"/>
                <w:szCs w:val="24"/>
              </w:rPr>
            </w:pPr>
            <w:r>
              <w:rPr>
                <w:rFonts w:hint="eastAsia" w:ascii="宋体" w:hAnsi="宋体"/>
                <w:color w:val="auto"/>
                <w:kern w:val="0"/>
                <w:sz w:val="24"/>
                <w:szCs w:val="24"/>
              </w:rPr>
              <w:t xml:space="preserve">良（3分）：有控制工期的施工进度计划。有施工总进度表或施工网络图，各项计划图表编制完善，安排基本科学合理，基本符合本项目施工实际要求。 </w:t>
            </w:r>
          </w:p>
          <w:p w14:paraId="6A36FA26">
            <w:pPr>
              <w:widowControl/>
              <w:spacing w:line="240" w:lineRule="auto"/>
              <w:rPr>
                <w:rFonts w:hint="eastAsia" w:ascii="宋体" w:hAnsi="宋体"/>
                <w:color w:val="auto"/>
                <w:kern w:val="0"/>
                <w:sz w:val="24"/>
                <w:szCs w:val="24"/>
              </w:rPr>
            </w:pPr>
            <w:r>
              <w:rPr>
                <w:rFonts w:hint="eastAsia" w:ascii="宋体" w:hAnsi="宋体"/>
                <w:color w:val="auto"/>
                <w:kern w:val="0"/>
                <w:sz w:val="24"/>
                <w:szCs w:val="24"/>
              </w:rPr>
              <w:t xml:space="preserve">中（2 分）：有控制工期的施工进度计划。有施工总进度表或施工网络图，各项计划图表编制基本合理，安排基本合理，基本符合本项目施工实际要求。 </w:t>
            </w:r>
          </w:p>
          <w:p w14:paraId="585F1127">
            <w:pPr>
              <w:widowControl/>
              <w:spacing w:line="240" w:lineRule="auto"/>
              <w:rPr>
                <w:rFonts w:hint="eastAsia" w:ascii="宋体" w:hAnsi="宋体"/>
                <w:color w:val="auto"/>
                <w:kern w:val="0"/>
                <w:sz w:val="24"/>
                <w:szCs w:val="24"/>
              </w:rPr>
            </w:pPr>
            <w:r>
              <w:rPr>
                <w:rFonts w:hint="eastAsia" w:ascii="宋体" w:hAnsi="宋体"/>
                <w:color w:val="auto"/>
                <w:kern w:val="0"/>
                <w:sz w:val="24"/>
                <w:szCs w:val="24"/>
              </w:rPr>
              <w:t>差（1 分）：没有控制工期的施工进度计划。没有施工总进度表或施工网络图，各项计划图表编制不完善，安排不够科学合理，不符合本项目施工实际要求。</w:t>
            </w:r>
          </w:p>
        </w:tc>
        <w:tc>
          <w:tcPr>
            <w:tcW w:w="909" w:type="dxa"/>
            <w:vAlign w:val="center"/>
          </w:tcPr>
          <w:p w14:paraId="79E31C59">
            <w:pPr>
              <w:spacing w:line="240" w:lineRule="auto"/>
              <w:jc w:val="center"/>
              <w:rPr>
                <w:rFonts w:hint="eastAsia" w:ascii="宋体" w:hAnsi="宋体"/>
                <w:color w:val="auto"/>
                <w:kern w:val="0"/>
                <w:sz w:val="24"/>
                <w:szCs w:val="24"/>
              </w:rPr>
            </w:pPr>
            <w:r>
              <w:rPr>
                <w:rFonts w:hint="eastAsia" w:ascii="宋体" w:hAnsi="宋体"/>
                <w:color w:val="auto"/>
                <w:kern w:val="0"/>
                <w:sz w:val="24"/>
                <w:szCs w:val="24"/>
              </w:rPr>
              <w:t>5分</w:t>
            </w:r>
          </w:p>
        </w:tc>
      </w:tr>
      <w:tr w14:paraId="71B9B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653" w:type="dxa"/>
            <w:vMerge w:val="continue"/>
            <w:vAlign w:val="center"/>
          </w:tcPr>
          <w:p w14:paraId="7BFE8C05">
            <w:pPr>
              <w:spacing w:line="240" w:lineRule="auto"/>
              <w:ind w:left="-105" w:leftChars="-50" w:right="-105" w:rightChars="-50"/>
              <w:jc w:val="center"/>
              <w:rPr>
                <w:rFonts w:ascii="宋体" w:hAnsi="宋体"/>
                <w:bCs/>
                <w:color w:val="auto"/>
                <w:kern w:val="0"/>
                <w:sz w:val="24"/>
                <w:szCs w:val="24"/>
              </w:rPr>
            </w:pPr>
          </w:p>
        </w:tc>
        <w:tc>
          <w:tcPr>
            <w:tcW w:w="1430" w:type="dxa"/>
            <w:vMerge w:val="continue"/>
            <w:vAlign w:val="center"/>
          </w:tcPr>
          <w:p w14:paraId="7DACE824">
            <w:pPr>
              <w:spacing w:line="240" w:lineRule="auto"/>
              <w:jc w:val="center"/>
              <w:rPr>
                <w:rFonts w:ascii="宋体" w:hAnsi="宋体"/>
                <w:color w:val="auto"/>
                <w:sz w:val="24"/>
                <w:szCs w:val="24"/>
              </w:rPr>
            </w:pPr>
          </w:p>
        </w:tc>
        <w:tc>
          <w:tcPr>
            <w:tcW w:w="6714" w:type="dxa"/>
            <w:vAlign w:val="center"/>
          </w:tcPr>
          <w:p w14:paraId="423CA236">
            <w:pPr>
              <w:spacing w:line="240" w:lineRule="auto"/>
              <w:jc w:val="left"/>
              <w:rPr>
                <w:rFonts w:hint="eastAsia" w:ascii="宋体" w:hAnsi="宋体"/>
                <w:b/>
                <w:bCs/>
                <w:color w:val="auto"/>
                <w:sz w:val="24"/>
                <w:szCs w:val="24"/>
              </w:rPr>
            </w:pPr>
            <w:r>
              <w:rPr>
                <w:rFonts w:hint="eastAsia" w:ascii="宋体" w:hAnsi="宋体"/>
                <w:b/>
                <w:bCs/>
                <w:color w:val="auto"/>
                <w:sz w:val="24"/>
                <w:szCs w:val="24"/>
              </w:rPr>
              <w:t>8、工程施工的重点和难点及保证措施</w:t>
            </w:r>
          </w:p>
          <w:p w14:paraId="62CF2CEA">
            <w:pPr>
              <w:widowControl/>
              <w:spacing w:line="240" w:lineRule="auto"/>
              <w:rPr>
                <w:rFonts w:hint="eastAsia" w:ascii="宋体" w:hAnsi="宋体"/>
                <w:color w:val="auto"/>
                <w:kern w:val="0"/>
                <w:sz w:val="24"/>
                <w:szCs w:val="24"/>
              </w:rPr>
            </w:pPr>
            <w:r>
              <w:rPr>
                <w:rFonts w:hint="eastAsia" w:ascii="宋体" w:hAnsi="宋体"/>
                <w:color w:val="auto"/>
                <w:kern w:val="0"/>
                <w:sz w:val="24"/>
                <w:szCs w:val="24"/>
              </w:rPr>
              <w:t xml:space="preserve">针对本工程的特点，阐述本工程的重点和难点，解决重点和难点问题的方法是否合理。满分 5分。 </w:t>
            </w:r>
          </w:p>
          <w:p w14:paraId="39A99EDA">
            <w:pPr>
              <w:widowControl/>
              <w:spacing w:line="240" w:lineRule="auto"/>
              <w:rPr>
                <w:rFonts w:hint="eastAsia" w:ascii="宋体" w:hAnsi="宋体"/>
                <w:color w:val="auto"/>
                <w:kern w:val="0"/>
                <w:sz w:val="24"/>
                <w:szCs w:val="24"/>
              </w:rPr>
            </w:pPr>
            <w:r>
              <w:rPr>
                <w:rFonts w:hint="eastAsia" w:ascii="宋体" w:hAnsi="宋体"/>
                <w:color w:val="auto"/>
                <w:kern w:val="0"/>
                <w:sz w:val="24"/>
                <w:szCs w:val="24"/>
              </w:rPr>
              <w:t xml:space="preserve">优（5分）：针对本工程的特点，阐述本工程的重点和难点，解决重点和难点问题的方法科学合理。 </w:t>
            </w:r>
          </w:p>
          <w:p w14:paraId="56698501">
            <w:pPr>
              <w:widowControl/>
              <w:spacing w:line="240" w:lineRule="auto"/>
              <w:rPr>
                <w:rFonts w:hint="eastAsia" w:ascii="宋体" w:hAnsi="宋体"/>
                <w:color w:val="auto"/>
                <w:kern w:val="0"/>
                <w:sz w:val="24"/>
                <w:szCs w:val="24"/>
              </w:rPr>
            </w:pPr>
            <w:r>
              <w:rPr>
                <w:rFonts w:hint="eastAsia" w:ascii="宋体" w:hAnsi="宋体"/>
                <w:color w:val="auto"/>
                <w:kern w:val="0"/>
                <w:sz w:val="24"/>
                <w:szCs w:val="24"/>
              </w:rPr>
              <w:t xml:space="preserve">良（3分）：针对本工程的特点，阐述本工程的重点和难点，解决重点和难点问题的方法基本合理。 </w:t>
            </w:r>
          </w:p>
          <w:p w14:paraId="1D3A496C">
            <w:pPr>
              <w:widowControl/>
              <w:spacing w:line="240" w:lineRule="auto"/>
              <w:rPr>
                <w:rFonts w:hint="eastAsia" w:ascii="宋体" w:hAnsi="宋体"/>
                <w:color w:val="auto"/>
                <w:kern w:val="0"/>
                <w:sz w:val="24"/>
                <w:szCs w:val="24"/>
              </w:rPr>
            </w:pPr>
            <w:r>
              <w:rPr>
                <w:rFonts w:hint="eastAsia" w:ascii="宋体" w:hAnsi="宋体"/>
                <w:color w:val="auto"/>
                <w:kern w:val="0"/>
                <w:sz w:val="24"/>
                <w:szCs w:val="24"/>
              </w:rPr>
              <w:t xml:space="preserve">中（2 分）：针对本工程的特点，阐述本工程的重点和难点，解决重点和难点问题的方法一般。 </w:t>
            </w:r>
          </w:p>
          <w:p w14:paraId="1640504F">
            <w:pPr>
              <w:widowControl/>
              <w:spacing w:line="240" w:lineRule="auto"/>
              <w:rPr>
                <w:rFonts w:hint="eastAsia" w:ascii="宋体" w:hAnsi="宋体"/>
                <w:color w:val="auto"/>
                <w:kern w:val="0"/>
                <w:sz w:val="24"/>
                <w:szCs w:val="24"/>
              </w:rPr>
            </w:pPr>
            <w:r>
              <w:rPr>
                <w:rFonts w:hint="eastAsia" w:ascii="宋体" w:hAnsi="宋体"/>
                <w:color w:val="auto"/>
                <w:kern w:val="0"/>
                <w:sz w:val="24"/>
                <w:szCs w:val="24"/>
              </w:rPr>
              <w:t>差（1 分）：针对本工程的特点，阐述本工程的重点和难点，解决重点和难点问题的方法不合理。</w:t>
            </w:r>
          </w:p>
        </w:tc>
        <w:tc>
          <w:tcPr>
            <w:tcW w:w="909" w:type="dxa"/>
            <w:vAlign w:val="center"/>
          </w:tcPr>
          <w:p w14:paraId="65A6F0EF">
            <w:pPr>
              <w:spacing w:line="240" w:lineRule="auto"/>
              <w:jc w:val="center"/>
              <w:rPr>
                <w:rFonts w:hint="eastAsia" w:ascii="宋体" w:hAnsi="宋体"/>
                <w:color w:val="auto"/>
                <w:kern w:val="0"/>
                <w:sz w:val="24"/>
                <w:szCs w:val="24"/>
              </w:rPr>
            </w:pPr>
            <w:r>
              <w:rPr>
                <w:rFonts w:hint="eastAsia" w:ascii="宋体" w:hAnsi="宋体"/>
                <w:color w:val="auto"/>
                <w:kern w:val="0"/>
                <w:sz w:val="24"/>
                <w:szCs w:val="24"/>
              </w:rPr>
              <w:t>5分</w:t>
            </w:r>
          </w:p>
        </w:tc>
      </w:tr>
      <w:tr w14:paraId="6E85A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653" w:type="dxa"/>
            <w:vMerge w:val="continue"/>
            <w:vAlign w:val="center"/>
          </w:tcPr>
          <w:p w14:paraId="32D3F8F9">
            <w:pPr>
              <w:spacing w:line="240" w:lineRule="auto"/>
              <w:ind w:left="-105" w:leftChars="-50" w:right="-105" w:rightChars="-50"/>
              <w:jc w:val="center"/>
              <w:rPr>
                <w:rFonts w:ascii="宋体" w:hAnsi="宋体"/>
                <w:bCs/>
                <w:color w:val="auto"/>
                <w:kern w:val="0"/>
                <w:sz w:val="24"/>
                <w:szCs w:val="24"/>
              </w:rPr>
            </w:pPr>
          </w:p>
        </w:tc>
        <w:tc>
          <w:tcPr>
            <w:tcW w:w="1430" w:type="dxa"/>
            <w:vMerge w:val="continue"/>
            <w:vAlign w:val="center"/>
          </w:tcPr>
          <w:p w14:paraId="7CD2D066">
            <w:pPr>
              <w:spacing w:line="240" w:lineRule="auto"/>
              <w:jc w:val="center"/>
              <w:rPr>
                <w:rFonts w:ascii="宋体" w:hAnsi="宋体"/>
                <w:color w:val="auto"/>
                <w:sz w:val="24"/>
                <w:szCs w:val="24"/>
              </w:rPr>
            </w:pPr>
          </w:p>
        </w:tc>
        <w:tc>
          <w:tcPr>
            <w:tcW w:w="6714" w:type="dxa"/>
            <w:vAlign w:val="center"/>
          </w:tcPr>
          <w:p w14:paraId="6AC1E9B7">
            <w:pPr>
              <w:spacing w:line="240" w:lineRule="auto"/>
              <w:jc w:val="left"/>
              <w:rPr>
                <w:rFonts w:hint="eastAsia" w:ascii="宋体" w:hAnsi="宋体"/>
                <w:b/>
                <w:bCs/>
                <w:color w:val="auto"/>
                <w:sz w:val="24"/>
                <w:szCs w:val="24"/>
              </w:rPr>
            </w:pPr>
            <w:r>
              <w:rPr>
                <w:rFonts w:hint="eastAsia" w:ascii="宋体" w:hAnsi="宋体"/>
                <w:b/>
                <w:bCs/>
                <w:color w:val="auto"/>
                <w:sz w:val="24"/>
                <w:szCs w:val="24"/>
              </w:rPr>
              <w:t>9、施工总平面布置图</w:t>
            </w:r>
          </w:p>
          <w:p w14:paraId="3B86E080">
            <w:pPr>
              <w:widowControl/>
              <w:spacing w:line="240" w:lineRule="auto"/>
              <w:rPr>
                <w:rFonts w:hint="eastAsia" w:ascii="宋体" w:hAnsi="宋体"/>
                <w:color w:val="auto"/>
                <w:sz w:val="24"/>
                <w:szCs w:val="24"/>
              </w:rPr>
            </w:pPr>
            <w:r>
              <w:rPr>
                <w:rFonts w:hint="eastAsia" w:ascii="宋体" w:hAnsi="宋体"/>
                <w:color w:val="auto"/>
                <w:sz w:val="24"/>
                <w:szCs w:val="24"/>
              </w:rPr>
              <w:t>应</w:t>
            </w:r>
            <w:r>
              <w:rPr>
                <w:rFonts w:hint="eastAsia" w:ascii="宋体" w:hAnsi="宋体"/>
                <w:color w:val="auto"/>
                <w:kern w:val="0"/>
                <w:sz w:val="24"/>
                <w:szCs w:val="24"/>
              </w:rPr>
              <w:t xml:space="preserve">有施工总平面布置图，安排科学合理，符合本项目施工实际要求。满分5分。 </w:t>
            </w:r>
          </w:p>
          <w:p w14:paraId="14307DC9">
            <w:pPr>
              <w:widowControl/>
              <w:spacing w:line="240" w:lineRule="auto"/>
              <w:rPr>
                <w:rFonts w:hint="eastAsia" w:ascii="宋体" w:hAnsi="宋体"/>
                <w:color w:val="auto"/>
                <w:kern w:val="0"/>
                <w:sz w:val="24"/>
                <w:szCs w:val="24"/>
              </w:rPr>
            </w:pPr>
            <w:r>
              <w:rPr>
                <w:rFonts w:hint="eastAsia" w:ascii="宋体" w:hAnsi="宋体"/>
                <w:color w:val="auto"/>
                <w:kern w:val="0"/>
                <w:sz w:val="24"/>
                <w:szCs w:val="24"/>
              </w:rPr>
              <w:t>优（5分）：有施工总平面布置图， 安排科学合理，符合本项目施工实际要求。</w:t>
            </w:r>
          </w:p>
          <w:p w14:paraId="6AF3082C">
            <w:pPr>
              <w:widowControl/>
              <w:spacing w:line="240" w:lineRule="auto"/>
              <w:rPr>
                <w:rFonts w:hint="eastAsia" w:ascii="宋体" w:hAnsi="宋体"/>
                <w:color w:val="auto"/>
                <w:kern w:val="0"/>
                <w:sz w:val="24"/>
                <w:szCs w:val="24"/>
              </w:rPr>
            </w:pPr>
            <w:r>
              <w:rPr>
                <w:rFonts w:hint="eastAsia" w:ascii="宋体" w:hAnsi="宋体"/>
                <w:color w:val="auto"/>
                <w:kern w:val="0"/>
                <w:sz w:val="24"/>
                <w:szCs w:val="24"/>
              </w:rPr>
              <w:t xml:space="preserve">良（3分）：有施工总平面布置图， 安排较科学合理，基本符合本项目施工实际要求。 </w:t>
            </w:r>
          </w:p>
          <w:p w14:paraId="41EF970B">
            <w:pPr>
              <w:widowControl/>
              <w:spacing w:line="240" w:lineRule="auto"/>
              <w:rPr>
                <w:rFonts w:hint="eastAsia" w:ascii="宋体" w:hAnsi="宋体"/>
                <w:color w:val="auto"/>
                <w:kern w:val="0"/>
                <w:sz w:val="24"/>
                <w:szCs w:val="24"/>
              </w:rPr>
            </w:pPr>
            <w:r>
              <w:rPr>
                <w:rFonts w:hint="eastAsia" w:ascii="宋体" w:hAnsi="宋体"/>
                <w:color w:val="auto"/>
                <w:kern w:val="0"/>
                <w:sz w:val="24"/>
                <w:szCs w:val="24"/>
              </w:rPr>
              <w:t>中（2 分）：有施工总平面布置图， 安排基本合理，基本符合本项目施工实际要求。</w:t>
            </w:r>
          </w:p>
          <w:p w14:paraId="4C9A0000">
            <w:pPr>
              <w:widowControl/>
              <w:spacing w:line="240" w:lineRule="auto"/>
              <w:rPr>
                <w:rFonts w:hint="eastAsia" w:ascii="宋体" w:hAnsi="宋体"/>
                <w:color w:val="auto"/>
                <w:kern w:val="0"/>
                <w:sz w:val="24"/>
                <w:szCs w:val="24"/>
              </w:rPr>
            </w:pPr>
            <w:r>
              <w:rPr>
                <w:rFonts w:hint="eastAsia" w:ascii="宋体" w:hAnsi="宋体"/>
                <w:color w:val="auto"/>
                <w:kern w:val="0"/>
                <w:sz w:val="24"/>
                <w:szCs w:val="24"/>
              </w:rPr>
              <w:t>差（1 分）：无施工总平面布置图， 安排不合理，不符合本项目施工实际要求。</w:t>
            </w:r>
          </w:p>
        </w:tc>
        <w:tc>
          <w:tcPr>
            <w:tcW w:w="909" w:type="dxa"/>
            <w:vAlign w:val="center"/>
          </w:tcPr>
          <w:p w14:paraId="6C9E22A2">
            <w:pPr>
              <w:spacing w:line="240" w:lineRule="auto"/>
              <w:jc w:val="center"/>
              <w:rPr>
                <w:rFonts w:hint="eastAsia" w:ascii="宋体" w:hAnsi="宋体"/>
                <w:color w:val="auto"/>
                <w:kern w:val="0"/>
                <w:sz w:val="24"/>
                <w:szCs w:val="24"/>
              </w:rPr>
            </w:pPr>
            <w:r>
              <w:rPr>
                <w:rFonts w:hint="eastAsia" w:ascii="宋体" w:hAnsi="宋体"/>
                <w:color w:val="auto"/>
                <w:kern w:val="0"/>
                <w:sz w:val="24"/>
                <w:szCs w:val="24"/>
              </w:rPr>
              <w:t>5分</w:t>
            </w:r>
          </w:p>
        </w:tc>
      </w:tr>
      <w:tr w14:paraId="237AD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3" w:hRule="atLeast"/>
          <w:jc w:val="center"/>
        </w:trPr>
        <w:tc>
          <w:tcPr>
            <w:tcW w:w="653" w:type="dxa"/>
            <w:vMerge w:val="continue"/>
            <w:vAlign w:val="center"/>
          </w:tcPr>
          <w:p w14:paraId="2D2CC252">
            <w:pPr>
              <w:spacing w:line="240" w:lineRule="auto"/>
              <w:ind w:left="-105" w:leftChars="-50" w:right="-105" w:rightChars="-50"/>
              <w:jc w:val="center"/>
              <w:rPr>
                <w:rFonts w:ascii="宋体" w:hAnsi="宋体"/>
                <w:bCs/>
                <w:color w:val="auto"/>
                <w:kern w:val="0"/>
                <w:sz w:val="24"/>
                <w:szCs w:val="24"/>
              </w:rPr>
            </w:pPr>
          </w:p>
        </w:tc>
        <w:tc>
          <w:tcPr>
            <w:tcW w:w="1430" w:type="dxa"/>
            <w:vMerge w:val="continue"/>
            <w:vAlign w:val="center"/>
          </w:tcPr>
          <w:p w14:paraId="33F28743">
            <w:pPr>
              <w:spacing w:line="240" w:lineRule="auto"/>
              <w:jc w:val="center"/>
              <w:rPr>
                <w:rFonts w:ascii="宋体" w:hAnsi="宋体"/>
                <w:color w:val="auto"/>
                <w:sz w:val="24"/>
                <w:szCs w:val="24"/>
              </w:rPr>
            </w:pPr>
          </w:p>
        </w:tc>
        <w:tc>
          <w:tcPr>
            <w:tcW w:w="6714" w:type="dxa"/>
            <w:vAlign w:val="center"/>
          </w:tcPr>
          <w:p w14:paraId="25172B8F">
            <w:pPr>
              <w:spacing w:line="240" w:lineRule="auto"/>
              <w:jc w:val="left"/>
              <w:rPr>
                <w:rFonts w:hint="eastAsia" w:ascii="宋体" w:hAnsi="宋体"/>
                <w:b/>
                <w:bCs/>
                <w:color w:val="auto"/>
                <w:sz w:val="24"/>
                <w:szCs w:val="24"/>
              </w:rPr>
            </w:pPr>
            <w:r>
              <w:rPr>
                <w:rFonts w:hint="eastAsia" w:ascii="宋体" w:hAnsi="宋体"/>
                <w:b/>
                <w:bCs/>
                <w:color w:val="auto"/>
                <w:sz w:val="24"/>
                <w:szCs w:val="24"/>
              </w:rPr>
              <w:t>10、确保文明施工的技术组织措施</w:t>
            </w:r>
          </w:p>
          <w:p w14:paraId="3FEA3289">
            <w:pPr>
              <w:widowControl/>
              <w:spacing w:line="240" w:lineRule="auto"/>
              <w:rPr>
                <w:rFonts w:hint="eastAsia" w:ascii="宋体" w:hAnsi="宋体"/>
                <w:color w:val="auto"/>
                <w:kern w:val="0"/>
                <w:sz w:val="24"/>
                <w:szCs w:val="24"/>
              </w:rPr>
            </w:pPr>
            <w:r>
              <w:rPr>
                <w:rFonts w:hint="eastAsia" w:ascii="宋体" w:hAnsi="宋体"/>
                <w:color w:val="auto"/>
                <w:kern w:val="0"/>
                <w:sz w:val="24"/>
                <w:szCs w:val="24"/>
              </w:rPr>
              <w:t xml:space="preserve">针对本工程项目特点，应有现场文明 施工、环境保护措施，且措施内容应 达到《建筑施工安全生产检查标准》 （JGJ59-2011）合格标准并符合《广 西壮族自治区建筑工程文明施工导则》要求。各项措施周全、具体、有效。有具体实现现场文明施工目标的承诺。满分 5分。 </w:t>
            </w:r>
          </w:p>
          <w:p w14:paraId="7B0AEFDE">
            <w:pPr>
              <w:widowControl/>
              <w:spacing w:line="240" w:lineRule="auto"/>
              <w:rPr>
                <w:rFonts w:hint="eastAsia" w:ascii="宋体" w:hAnsi="宋体"/>
                <w:color w:val="auto"/>
                <w:kern w:val="0"/>
                <w:sz w:val="24"/>
                <w:szCs w:val="24"/>
              </w:rPr>
            </w:pPr>
            <w:r>
              <w:rPr>
                <w:rFonts w:hint="eastAsia" w:ascii="宋体" w:hAnsi="宋体"/>
                <w:color w:val="auto"/>
                <w:kern w:val="0"/>
                <w:sz w:val="24"/>
                <w:szCs w:val="24"/>
              </w:rPr>
              <w:t xml:space="preserve">优（5分）：各项措施科学周全、 具体、有效。有具体实现现场文明施工目标的承诺。 </w:t>
            </w:r>
          </w:p>
          <w:p w14:paraId="0B2B6357">
            <w:pPr>
              <w:widowControl/>
              <w:spacing w:line="240" w:lineRule="auto"/>
              <w:rPr>
                <w:rFonts w:hint="eastAsia" w:ascii="宋体" w:hAnsi="宋体"/>
                <w:color w:val="auto"/>
                <w:kern w:val="0"/>
                <w:sz w:val="24"/>
                <w:szCs w:val="24"/>
              </w:rPr>
            </w:pPr>
            <w:r>
              <w:rPr>
                <w:rFonts w:hint="eastAsia" w:ascii="宋体" w:hAnsi="宋体"/>
                <w:color w:val="auto"/>
                <w:kern w:val="0"/>
                <w:sz w:val="24"/>
                <w:szCs w:val="24"/>
              </w:rPr>
              <w:t>良（3分）：各项措施较合理。 有具体实现现场文明施工目标的承诺。</w:t>
            </w:r>
          </w:p>
          <w:p w14:paraId="2367E143">
            <w:pPr>
              <w:widowControl/>
              <w:spacing w:line="240" w:lineRule="auto"/>
              <w:rPr>
                <w:rFonts w:hint="eastAsia" w:ascii="宋体" w:hAnsi="宋体"/>
                <w:color w:val="auto"/>
                <w:kern w:val="0"/>
                <w:sz w:val="24"/>
                <w:szCs w:val="24"/>
              </w:rPr>
            </w:pPr>
            <w:r>
              <w:rPr>
                <w:rFonts w:hint="eastAsia" w:ascii="宋体" w:hAnsi="宋体"/>
                <w:color w:val="auto"/>
                <w:kern w:val="0"/>
                <w:sz w:val="24"/>
                <w:szCs w:val="24"/>
              </w:rPr>
              <w:t>中（2 分）：各项措施一般。 有具体实现现场文明施工目标的承诺。</w:t>
            </w:r>
          </w:p>
          <w:p w14:paraId="7384B001">
            <w:pPr>
              <w:widowControl/>
              <w:spacing w:line="240" w:lineRule="auto"/>
              <w:rPr>
                <w:rFonts w:hint="eastAsia" w:ascii="宋体" w:hAnsi="宋体"/>
                <w:color w:val="auto"/>
                <w:kern w:val="0"/>
                <w:sz w:val="24"/>
                <w:szCs w:val="24"/>
              </w:rPr>
            </w:pPr>
            <w:r>
              <w:rPr>
                <w:rFonts w:hint="eastAsia" w:ascii="宋体" w:hAnsi="宋体"/>
                <w:color w:val="auto"/>
                <w:kern w:val="0"/>
                <w:sz w:val="24"/>
                <w:szCs w:val="24"/>
              </w:rPr>
              <w:t>差（1 分）：各项措施不合理。无具体实现现场文明施工目标的承诺。</w:t>
            </w:r>
          </w:p>
        </w:tc>
        <w:tc>
          <w:tcPr>
            <w:tcW w:w="909" w:type="dxa"/>
            <w:vAlign w:val="center"/>
          </w:tcPr>
          <w:p w14:paraId="05E1937A">
            <w:pPr>
              <w:spacing w:line="240" w:lineRule="auto"/>
              <w:jc w:val="center"/>
              <w:rPr>
                <w:rFonts w:hint="eastAsia" w:ascii="宋体" w:hAnsi="宋体"/>
                <w:color w:val="auto"/>
                <w:kern w:val="0"/>
                <w:sz w:val="24"/>
                <w:szCs w:val="24"/>
              </w:rPr>
            </w:pPr>
            <w:r>
              <w:rPr>
                <w:rFonts w:hint="eastAsia" w:ascii="宋体" w:hAnsi="宋体"/>
                <w:color w:val="auto"/>
                <w:kern w:val="0"/>
                <w:sz w:val="24"/>
                <w:szCs w:val="24"/>
              </w:rPr>
              <w:t>5分</w:t>
            </w:r>
          </w:p>
        </w:tc>
      </w:tr>
      <w:tr w14:paraId="11833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53" w:type="dxa"/>
            <w:vAlign w:val="center"/>
          </w:tcPr>
          <w:p w14:paraId="47D4AF2B">
            <w:pPr>
              <w:widowControl/>
              <w:spacing w:line="240" w:lineRule="auto"/>
              <w:jc w:val="center"/>
              <w:rPr>
                <w:rFonts w:hint="eastAsia" w:ascii="宋体" w:hAnsi="宋体"/>
                <w:b/>
                <w:bCs/>
                <w:color w:val="auto"/>
                <w:kern w:val="0"/>
                <w:sz w:val="24"/>
                <w:szCs w:val="24"/>
              </w:rPr>
            </w:pPr>
            <w:r>
              <w:rPr>
                <w:rFonts w:hint="eastAsia" w:ascii="宋体" w:hAnsi="宋体"/>
                <w:b/>
                <w:bCs/>
                <w:color w:val="auto"/>
                <w:kern w:val="0"/>
                <w:sz w:val="24"/>
                <w:szCs w:val="24"/>
              </w:rPr>
              <w:t>3</w:t>
            </w:r>
          </w:p>
        </w:tc>
        <w:tc>
          <w:tcPr>
            <w:tcW w:w="1430" w:type="dxa"/>
            <w:vAlign w:val="center"/>
          </w:tcPr>
          <w:p w14:paraId="70A18929">
            <w:pPr>
              <w:widowControl/>
              <w:spacing w:line="240" w:lineRule="auto"/>
              <w:jc w:val="center"/>
              <w:rPr>
                <w:rFonts w:hint="eastAsia" w:ascii="宋体" w:hAnsi="宋体"/>
                <w:b/>
                <w:bCs/>
                <w:color w:val="auto"/>
                <w:sz w:val="24"/>
                <w:szCs w:val="24"/>
              </w:rPr>
            </w:pPr>
            <w:r>
              <w:rPr>
                <w:rFonts w:hint="eastAsia" w:ascii="宋体" w:hAnsi="宋体"/>
                <w:b/>
                <w:bCs/>
                <w:color w:val="auto"/>
                <w:sz w:val="24"/>
                <w:szCs w:val="24"/>
              </w:rPr>
              <w:t>商务分</w:t>
            </w:r>
          </w:p>
        </w:tc>
        <w:tc>
          <w:tcPr>
            <w:tcW w:w="7623" w:type="dxa"/>
            <w:gridSpan w:val="2"/>
            <w:vAlign w:val="center"/>
          </w:tcPr>
          <w:p w14:paraId="4DB3244B">
            <w:pPr>
              <w:widowControl/>
              <w:spacing w:line="240" w:lineRule="auto"/>
              <w:jc w:val="center"/>
              <w:rPr>
                <w:rFonts w:hint="eastAsia" w:ascii="宋体" w:hAnsi="宋体"/>
                <w:b/>
                <w:bCs/>
                <w:color w:val="auto"/>
                <w:kern w:val="0"/>
                <w:sz w:val="24"/>
                <w:szCs w:val="24"/>
              </w:rPr>
            </w:pPr>
            <w:r>
              <w:rPr>
                <w:rFonts w:hint="eastAsia" w:ascii="宋体" w:hAnsi="宋体"/>
                <w:b/>
                <w:bCs/>
                <w:color w:val="auto"/>
                <w:kern w:val="0"/>
                <w:sz w:val="24"/>
                <w:szCs w:val="24"/>
              </w:rPr>
              <w:t>评审因素</w:t>
            </w:r>
          </w:p>
        </w:tc>
      </w:tr>
      <w:tr w14:paraId="291AB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jc w:val="center"/>
        </w:trPr>
        <w:tc>
          <w:tcPr>
            <w:tcW w:w="653" w:type="dxa"/>
            <w:vAlign w:val="center"/>
          </w:tcPr>
          <w:p w14:paraId="63BE5249">
            <w:pPr>
              <w:spacing w:line="240" w:lineRule="auto"/>
              <w:jc w:val="center"/>
              <w:rPr>
                <w:rFonts w:ascii="宋体" w:hAnsi="宋体"/>
                <w:b/>
                <w:bCs/>
                <w:color w:val="auto"/>
                <w:kern w:val="0"/>
                <w:sz w:val="24"/>
                <w:szCs w:val="24"/>
              </w:rPr>
            </w:pPr>
            <w:r>
              <w:rPr>
                <w:rFonts w:ascii="宋体" w:hAnsi="宋体"/>
                <w:b/>
                <w:bCs/>
                <w:color w:val="auto"/>
                <w:kern w:val="0"/>
                <w:sz w:val="24"/>
                <w:szCs w:val="24"/>
              </w:rPr>
              <w:t>3.</w:t>
            </w:r>
            <w:r>
              <w:rPr>
                <w:rFonts w:hint="eastAsia" w:ascii="宋体" w:hAnsi="宋体"/>
                <w:b/>
                <w:bCs/>
                <w:color w:val="auto"/>
                <w:kern w:val="0"/>
                <w:sz w:val="24"/>
                <w:szCs w:val="24"/>
              </w:rPr>
              <w:t>1</w:t>
            </w:r>
          </w:p>
        </w:tc>
        <w:tc>
          <w:tcPr>
            <w:tcW w:w="1430" w:type="dxa"/>
            <w:vAlign w:val="center"/>
          </w:tcPr>
          <w:p w14:paraId="67388A86">
            <w:pPr>
              <w:widowControl/>
              <w:spacing w:line="240" w:lineRule="auto"/>
              <w:jc w:val="center"/>
              <w:rPr>
                <w:rFonts w:hint="eastAsia" w:ascii="宋体" w:hAnsi="宋体"/>
                <w:b/>
                <w:bCs/>
                <w:color w:val="auto"/>
                <w:sz w:val="24"/>
                <w:szCs w:val="24"/>
              </w:rPr>
            </w:pPr>
            <w:r>
              <w:rPr>
                <w:rFonts w:hint="eastAsia" w:ascii="宋体" w:hAnsi="宋体"/>
                <w:b/>
                <w:bCs/>
                <w:color w:val="auto"/>
                <w:sz w:val="24"/>
                <w:szCs w:val="24"/>
              </w:rPr>
              <w:t>项目业绩分</w:t>
            </w:r>
            <w:r>
              <w:rPr>
                <w:rFonts w:hint="eastAsia" w:ascii="宋体" w:hAnsi="宋体"/>
                <w:b/>
                <w:color w:val="auto"/>
                <w:sz w:val="24"/>
                <w:szCs w:val="24"/>
              </w:rPr>
              <w:t>（7分）</w:t>
            </w:r>
          </w:p>
        </w:tc>
        <w:tc>
          <w:tcPr>
            <w:tcW w:w="6714" w:type="dxa"/>
            <w:vAlign w:val="top"/>
          </w:tcPr>
          <w:p w14:paraId="7637D332">
            <w:pPr>
              <w:spacing w:line="240" w:lineRule="auto"/>
              <w:rPr>
                <w:rFonts w:hint="eastAsia" w:ascii="宋体" w:hAnsi="宋体"/>
                <w:color w:val="auto"/>
                <w:sz w:val="24"/>
                <w:szCs w:val="24"/>
                <w:u w:val="single"/>
              </w:rPr>
            </w:pPr>
            <w:r>
              <w:rPr>
                <w:rFonts w:hint="eastAsia" w:ascii="宋体" w:hAnsi="宋体"/>
                <w:color w:val="auto"/>
                <w:sz w:val="24"/>
                <w:szCs w:val="24"/>
                <w:u w:val="single"/>
              </w:rPr>
              <w:t>2021年</w:t>
            </w:r>
            <w:r>
              <w:rPr>
                <w:rFonts w:hint="eastAsia" w:ascii="宋体" w:hAnsi="宋体"/>
                <w:color w:val="auto"/>
                <w:sz w:val="24"/>
                <w:szCs w:val="24"/>
                <w:u w:val="single"/>
                <w:lang w:val="en-US" w:eastAsia="zh-CN"/>
              </w:rPr>
              <w:t>9</w:t>
            </w:r>
            <w:r>
              <w:rPr>
                <w:rFonts w:hint="eastAsia" w:ascii="宋体" w:hAnsi="宋体"/>
                <w:color w:val="auto"/>
                <w:sz w:val="24"/>
                <w:szCs w:val="24"/>
                <w:u w:val="single"/>
              </w:rPr>
              <w:t>月1日</w:t>
            </w:r>
            <w:r>
              <w:rPr>
                <w:rFonts w:hint="eastAsia" w:ascii="宋体" w:hAnsi="宋体"/>
                <w:color w:val="auto"/>
                <w:sz w:val="24"/>
                <w:szCs w:val="24"/>
              </w:rPr>
              <w:t>以来至响应文件递交截止日期止，供应商承接过1项同类项目业绩得</w:t>
            </w:r>
            <w:r>
              <w:rPr>
                <w:rFonts w:hint="eastAsia" w:ascii="宋体" w:hAnsi="宋体"/>
                <w:color w:val="auto"/>
                <w:sz w:val="24"/>
                <w:szCs w:val="24"/>
                <w:u w:val="single"/>
              </w:rPr>
              <w:t xml:space="preserve"> 3 </w:t>
            </w:r>
            <w:r>
              <w:rPr>
                <w:rFonts w:hint="eastAsia" w:ascii="宋体" w:hAnsi="宋体"/>
                <w:color w:val="auto"/>
                <w:sz w:val="24"/>
                <w:szCs w:val="24"/>
              </w:rPr>
              <w:t>分，每增一项业绩加</w:t>
            </w:r>
            <w:r>
              <w:rPr>
                <w:rFonts w:hint="eastAsia" w:ascii="宋体" w:hAnsi="宋体"/>
                <w:color w:val="auto"/>
                <w:sz w:val="24"/>
                <w:szCs w:val="24"/>
                <w:u w:val="single"/>
              </w:rPr>
              <w:t>2</w:t>
            </w:r>
            <w:r>
              <w:rPr>
                <w:rFonts w:hint="eastAsia" w:ascii="宋体" w:hAnsi="宋体"/>
                <w:color w:val="auto"/>
                <w:sz w:val="24"/>
                <w:szCs w:val="24"/>
              </w:rPr>
              <w:t>分，满分</w:t>
            </w:r>
            <w:r>
              <w:rPr>
                <w:rFonts w:hint="eastAsia" w:ascii="宋体" w:hAnsi="宋体"/>
                <w:color w:val="auto"/>
                <w:sz w:val="24"/>
                <w:szCs w:val="24"/>
                <w:u w:val="single"/>
              </w:rPr>
              <w:t xml:space="preserve"> 7 </w:t>
            </w:r>
            <w:r>
              <w:rPr>
                <w:rFonts w:hint="eastAsia" w:ascii="宋体" w:hAnsi="宋体"/>
                <w:color w:val="auto"/>
                <w:sz w:val="24"/>
                <w:szCs w:val="24"/>
              </w:rPr>
              <w:t>分。[备注：在建业绩提供成交通知书和合同协议书复印件；已完成的业绩提供成交通知书或合同协议书和竣工验收证明复印件，以竣工验收证明时间为准。</w:t>
            </w:r>
            <w:r>
              <w:rPr>
                <w:rFonts w:hint="eastAsia" w:ascii="宋体" w:hAnsi="宋体"/>
                <w:bCs/>
                <w:color w:val="auto"/>
                <w:sz w:val="24"/>
                <w:szCs w:val="24"/>
              </w:rPr>
              <w:t>]</w:t>
            </w:r>
          </w:p>
        </w:tc>
        <w:tc>
          <w:tcPr>
            <w:tcW w:w="909" w:type="dxa"/>
            <w:vAlign w:val="center"/>
          </w:tcPr>
          <w:p w14:paraId="329675E6">
            <w:pPr>
              <w:widowControl/>
              <w:spacing w:line="240" w:lineRule="auto"/>
              <w:jc w:val="center"/>
              <w:rPr>
                <w:rFonts w:hint="eastAsia" w:ascii="宋体" w:hAnsi="宋体"/>
                <w:color w:val="auto"/>
                <w:kern w:val="0"/>
                <w:sz w:val="24"/>
                <w:szCs w:val="24"/>
              </w:rPr>
            </w:pPr>
            <w:r>
              <w:rPr>
                <w:rFonts w:hint="eastAsia" w:ascii="宋体" w:hAnsi="宋体"/>
                <w:color w:val="auto"/>
                <w:kern w:val="0"/>
                <w:sz w:val="24"/>
                <w:szCs w:val="24"/>
              </w:rPr>
              <w:t xml:space="preserve"> </w:t>
            </w:r>
          </w:p>
          <w:p w14:paraId="4AC5647E">
            <w:pPr>
              <w:widowControl/>
              <w:spacing w:line="240" w:lineRule="auto"/>
              <w:jc w:val="center"/>
              <w:rPr>
                <w:rFonts w:hint="eastAsia" w:ascii="宋体" w:hAnsi="宋体"/>
                <w:color w:val="auto"/>
                <w:kern w:val="0"/>
                <w:sz w:val="24"/>
                <w:szCs w:val="24"/>
              </w:rPr>
            </w:pPr>
            <w:r>
              <w:rPr>
                <w:rFonts w:hint="eastAsia" w:ascii="宋体" w:hAnsi="宋体"/>
                <w:color w:val="auto"/>
                <w:kern w:val="0"/>
                <w:sz w:val="24"/>
                <w:szCs w:val="24"/>
              </w:rPr>
              <w:t>7分</w:t>
            </w:r>
          </w:p>
          <w:p w14:paraId="7C68B83E">
            <w:pPr>
              <w:spacing w:line="240" w:lineRule="auto"/>
              <w:jc w:val="center"/>
              <w:rPr>
                <w:rFonts w:hint="eastAsia" w:ascii="宋体" w:hAnsi="宋体"/>
                <w:color w:val="auto"/>
                <w:kern w:val="0"/>
                <w:sz w:val="24"/>
                <w:szCs w:val="24"/>
              </w:rPr>
            </w:pPr>
            <w:r>
              <w:rPr>
                <w:rFonts w:hint="eastAsia" w:ascii="宋体" w:hAnsi="宋体"/>
                <w:color w:val="auto"/>
                <w:kern w:val="0"/>
                <w:sz w:val="24"/>
                <w:szCs w:val="24"/>
              </w:rPr>
              <w:t xml:space="preserve"> </w:t>
            </w:r>
          </w:p>
        </w:tc>
      </w:tr>
      <w:tr w14:paraId="0B748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797" w:type="dxa"/>
            <w:gridSpan w:val="3"/>
            <w:vAlign w:val="center"/>
          </w:tcPr>
          <w:p w14:paraId="5665DE71">
            <w:pPr>
              <w:spacing w:line="240" w:lineRule="auto"/>
              <w:rPr>
                <w:rFonts w:hint="eastAsia" w:ascii="宋体" w:hAnsi="宋体"/>
                <w:bCs/>
                <w:color w:val="auto"/>
                <w:kern w:val="0"/>
                <w:sz w:val="24"/>
                <w:szCs w:val="24"/>
              </w:rPr>
            </w:pPr>
            <w:r>
              <w:rPr>
                <w:rFonts w:hint="eastAsia" w:ascii="宋体" w:hAnsi="宋体"/>
                <w:bCs/>
                <w:color w:val="auto"/>
                <w:kern w:val="0"/>
                <w:sz w:val="24"/>
                <w:szCs w:val="24"/>
              </w:rPr>
              <w:t>总得分＝1＋2＋3</w:t>
            </w:r>
          </w:p>
        </w:tc>
        <w:tc>
          <w:tcPr>
            <w:tcW w:w="909" w:type="dxa"/>
            <w:vAlign w:val="center"/>
          </w:tcPr>
          <w:p w14:paraId="29AC498B">
            <w:pPr>
              <w:widowControl/>
              <w:spacing w:line="240" w:lineRule="auto"/>
              <w:rPr>
                <w:rFonts w:ascii="宋体" w:hAnsi="宋体"/>
                <w:color w:val="auto"/>
                <w:kern w:val="0"/>
                <w:sz w:val="24"/>
                <w:szCs w:val="24"/>
              </w:rPr>
            </w:pPr>
          </w:p>
        </w:tc>
      </w:tr>
    </w:tbl>
    <w:p w14:paraId="7FE0049F">
      <w:pPr>
        <w:spacing w:line="240" w:lineRule="auto"/>
        <w:rPr>
          <w:rFonts w:ascii="宋体" w:hAnsi="宋体"/>
          <w:bCs/>
          <w:color w:val="auto"/>
          <w:sz w:val="24"/>
          <w:szCs w:val="24"/>
        </w:rPr>
      </w:pPr>
      <w:r>
        <w:rPr>
          <w:rFonts w:ascii="宋体" w:hAnsi="宋体"/>
          <w:bCs/>
          <w:color w:val="auto"/>
          <w:sz w:val="24"/>
          <w:szCs w:val="24"/>
        </w:rPr>
        <w:t xml:space="preserve"> </w:t>
      </w:r>
    </w:p>
    <w:p w14:paraId="475FF875">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7.2.终止竞争性磋商采购活动</w:t>
      </w:r>
    </w:p>
    <w:p w14:paraId="66ACAC19">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4AEE3E84">
      <w:pPr>
        <w:keepNext/>
        <w:keepLines/>
        <w:spacing w:line="240" w:lineRule="auto"/>
        <w:ind w:firstLine="480" w:firstLineChars="200"/>
        <w:jc w:val="center"/>
        <w:outlineLvl w:val="1"/>
        <w:rPr>
          <w:rFonts w:ascii="宋体" w:hAnsi="宋体"/>
          <w:bCs/>
          <w:color w:val="auto"/>
          <w:sz w:val="24"/>
          <w:szCs w:val="24"/>
          <w:lang w:val="zh-CN"/>
        </w:rPr>
      </w:pPr>
    </w:p>
    <w:p w14:paraId="2532D3A4">
      <w:pPr>
        <w:keepNext/>
        <w:keepLines/>
        <w:spacing w:line="240" w:lineRule="auto"/>
        <w:ind w:firstLine="480" w:firstLineChars="200"/>
        <w:jc w:val="center"/>
        <w:outlineLvl w:val="1"/>
        <w:rPr>
          <w:rFonts w:hint="eastAsia" w:ascii="宋体" w:hAnsi="宋体"/>
          <w:bCs/>
          <w:color w:val="auto"/>
          <w:sz w:val="24"/>
          <w:szCs w:val="24"/>
          <w:lang w:val="zh-CN"/>
        </w:rPr>
      </w:pPr>
      <w:bookmarkStart w:id="50" w:name="_Toc12611"/>
      <w:bookmarkEnd w:id="50"/>
      <w:bookmarkStart w:id="51" w:name="_Toc28990"/>
      <w:bookmarkEnd w:id="51"/>
      <w:r>
        <w:rPr>
          <w:rFonts w:hint="eastAsia" w:ascii="宋体" w:hAnsi="宋体"/>
          <w:bCs/>
          <w:color w:val="auto"/>
          <w:sz w:val="24"/>
          <w:szCs w:val="24"/>
          <w:lang w:val="zh-CN"/>
        </w:rPr>
        <w:br w:type="page"/>
      </w:r>
      <w:r>
        <w:rPr>
          <w:rFonts w:hint="eastAsia" w:ascii="宋体" w:hAnsi="宋体"/>
          <w:bCs/>
          <w:color w:val="auto"/>
          <w:sz w:val="24"/>
          <w:szCs w:val="24"/>
          <w:lang w:val="zh-CN"/>
        </w:rPr>
        <w:t>第二节 评标报告</w:t>
      </w:r>
    </w:p>
    <w:p w14:paraId="1BFF6B1C">
      <w:pPr>
        <w:spacing w:line="240" w:lineRule="auto"/>
        <w:ind w:firstLine="480" w:firstLineChars="200"/>
        <w:rPr>
          <w:rFonts w:hint="eastAsia" w:ascii="黑体" w:hAnsi="黑体" w:eastAsia="黑体"/>
          <w:color w:val="auto"/>
          <w:sz w:val="24"/>
          <w:szCs w:val="24"/>
        </w:rPr>
      </w:pPr>
      <w:r>
        <w:rPr>
          <w:rFonts w:hint="eastAsia" w:ascii="黑体" w:hAnsi="黑体" w:eastAsia="黑体"/>
          <w:color w:val="auto"/>
          <w:sz w:val="24"/>
          <w:szCs w:val="24"/>
        </w:rPr>
        <w:t>1.成交标准</w:t>
      </w:r>
    </w:p>
    <w:p w14:paraId="6A5CB3B2">
      <w:pPr>
        <w:spacing w:line="240" w:lineRule="auto"/>
        <w:ind w:firstLine="480" w:firstLineChars="200"/>
        <w:rPr>
          <w:rFonts w:hint="eastAsia" w:ascii="宋体" w:hAnsi="宋体"/>
          <w:bCs/>
          <w:color w:val="auto"/>
          <w:sz w:val="24"/>
          <w:szCs w:val="24"/>
        </w:rPr>
      </w:pPr>
      <w:r>
        <w:rPr>
          <w:rFonts w:hint="eastAsia" w:ascii="宋体" w:hAnsi="宋体"/>
          <w:bCs/>
          <w:color w:val="auto"/>
          <w:sz w:val="24"/>
          <w:szCs w:val="24"/>
        </w:rPr>
        <w:t>由磋商小组根据综合评分情况，按照评审得分由高到低顺序推荐3名以上成交候选供应商</w:t>
      </w:r>
      <w:r>
        <w:rPr>
          <w:rFonts w:hint="eastAsia" w:ascii="宋体" w:hAnsi="宋体"/>
          <w:color w:val="auto"/>
          <w:sz w:val="24"/>
          <w:szCs w:val="24"/>
        </w:rPr>
        <w:t>,并在线编写电子评审报告</w:t>
      </w:r>
      <w:r>
        <w:rPr>
          <w:rFonts w:hint="eastAsia" w:ascii="宋体" w:hAnsi="宋体"/>
          <w:bCs/>
          <w:color w:val="auto"/>
          <w:sz w:val="24"/>
          <w:szCs w:val="24"/>
        </w:rPr>
        <w:t>。符合本章第一节第5</w:t>
      </w:r>
      <w:r>
        <w:rPr>
          <w:rFonts w:ascii="宋体" w:hAnsi="宋体"/>
          <w:bCs/>
          <w:color w:val="auto"/>
          <w:sz w:val="24"/>
          <w:szCs w:val="24"/>
        </w:rPr>
        <w:t>.3</w:t>
      </w:r>
      <w:r>
        <w:rPr>
          <w:rFonts w:hint="eastAsia" w:ascii="宋体" w:hAnsi="宋体"/>
          <w:bCs/>
          <w:color w:val="auto"/>
          <w:sz w:val="24"/>
          <w:szCs w:val="24"/>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1C94CB7C">
      <w:pPr>
        <w:spacing w:line="240" w:lineRule="auto"/>
        <w:ind w:firstLine="480" w:firstLineChars="200"/>
        <w:rPr>
          <w:rFonts w:hint="eastAsia" w:ascii="黑体" w:hAnsi="黑体" w:eastAsia="黑体"/>
          <w:color w:val="auto"/>
          <w:sz w:val="24"/>
          <w:szCs w:val="24"/>
        </w:rPr>
      </w:pPr>
      <w:r>
        <w:rPr>
          <w:rFonts w:hint="eastAsia" w:ascii="黑体" w:hAnsi="黑体" w:eastAsia="黑体"/>
          <w:color w:val="auto"/>
          <w:sz w:val="24"/>
          <w:szCs w:val="24"/>
        </w:rPr>
        <w:t>2.评标争议</w:t>
      </w:r>
      <w:r>
        <w:rPr>
          <w:rFonts w:ascii="黑体" w:hAnsi="黑体" w:eastAsia="黑体"/>
          <w:color w:val="auto"/>
          <w:sz w:val="24"/>
          <w:szCs w:val="24"/>
        </w:rPr>
        <w:t>事项</w:t>
      </w:r>
      <w:r>
        <w:rPr>
          <w:rFonts w:hint="eastAsia" w:ascii="黑体" w:hAnsi="黑体" w:eastAsia="黑体"/>
          <w:color w:val="auto"/>
          <w:sz w:val="24"/>
          <w:szCs w:val="24"/>
        </w:rPr>
        <w:t>处理</w:t>
      </w:r>
    </w:p>
    <w:p w14:paraId="70FC7330">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磋商小组</w:t>
      </w:r>
      <w:r>
        <w:rPr>
          <w:rFonts w:ascii="宋体" w:hAnsi="宋体"/>
          <w:color w:val="auto"/>
          <w:sz w:val="24"/>
          <w:szCs w:val="24"/>
        </w:rPr>
        <w:t>成员对需要共同认定的事项存在争议的，应当按照少数服从多数的原则作出结论。持不同意见的</w:t>
      </w:r>
      <w:r>
        <w:rPr>
          <w:rFonts w:hint="eastAsia" w:ascii="宋体" w:hAnsi="宋体"/>
          <w:color w:val="auto"/>
          <w:sz w:val="24"/>
          <w:szCs w:val="24"/>
        </w:rPr>
        <w:t>磋商小组</w:t>
      </w:r>
      <w:r>
        <w:rPr>
          <w:rFonts w:ascii="宋体" w:hAnsi="宋体"/>
          <w:color w:val="auto"/>
          <w:sz w:val="24"/>
          <w:szCs w:val="24"/>
        </w:rPr>
        <w:t>成员应当在评标报告上签署不同意见及理由，否则视为同意评标报告。</w:t>
      </w:r>
    </w:p>
    <w:p w14:paraId="0898B117">
      <w:pPr>
        <w:keepNext/>
        <w:keepLines/>
        <w:spacing w:line="240" w:lineRule="auto"/>
        <w:ind w:firstLine="480" w:firstLineChars="200"/>
        <w:jc w:val="center"/>
        <w:outlineLvl w:val="1"/>
        <w:rPr>
          <w:rFonts w:hint="eastAsia" w:ascii="宋体" w:hAnsi="宋体"/>
          <w:bCs/>
          <w:color w:val="auto"/>
          <w:sz w:val="24"/>
          <w:szCs w:val="24"/>
          <w:lang w:val="zh-CN"/>
        </w:rPr>
      </w:pPr>
    </w:p>
    <w:p w14:paraId="7AF84FD5">
      <w:pPr>
        <w:keepNext/>
        <w:keepLines/>
        <w:spacing w:line="240" w:lineRule="auto"/>
        <w:ind w:firstLine="480" w:firstLineChars="200"/>
        <w:jc w:val="center"/>
        <w:outlineLvl w:val="1"/>
        <w:rPr>
          <w:rFonts w:hint="eastAsia" w:ascii="宋体" w:hAnsi="宋体"/>
          <w:bCs/>
          <w:color w:val="auto"/>
          <w:sz w:val="24"/>
          <w:szCs w:val="24"/>
          <w:lang w:val="zh-CN"/>
        </w:rPr>
      </w:pPr>
      <w:r>
        <w:rPr>
          <w:rFonts w:hint="eastAsia" w:ascii="宋体" w:hAnsi="宋体"/>
          <w:bCs/>
          <w:color w:val="auto"/>
          <w:sz w:val="24"/>
          <w:szCs w:val="24"/>
          <w:lang w:val="zh-CN"/>
        </w:rPr>
        <w:t>第三节 评审过程的保密与录像</w:t>
      </w:r>
    </w:p>
    <w:p w14:paraId="6CF5854C">
      <w:pPr>
        <w:spacing w:line="240" w:lineRule="auto"/>
        <w:ind w:firstLine="480" w:firstLineChars="200"/>
        <w:rPr>
          <w:rFonts w:hint="eastAsia" w:ascii="黑体" w:hAnsi="黑体" w:eastAsia="黑体"/>
          <w:color w:val="auto"/>
          <w:sz w:val="24"/>
          <w:szCs w:val="24"/>
        </w:rPr>
      </w:pPr>
      <w:r>
        <w:rPr>
          <w:rFonts w:hint="eastAsia" w:ascii="黑体" w:hAnsi="黑体" w:eastAsia="黑体"/>
          <w:color w:val="auto"/>
          <w:sz w:val="24"/>
          <w:szCs w:val="24"/>
        </w:rPr>
        <w:t>1.保密。</w:t>
      </w:r>
    </w:p>
    <w:p w14:paraId="553CCAB4">
      <w:pPr>
        <w:widowControl/>
        <w:spacing w:line="240" w:lineRule="auto"/>
        <w:ind w:firstLine="480" w:firstLineChars="200"/>
        <w:rPr>
          <w:rFonts w:ascii="宋体" w:hAnsi="宋体"/>
          <w:color w:val="auto"/>
          <w:sz w:val="24"/>
          <w:szCs w:val="24"/>
        </w:rPr>
      </w:pPr>
      <w:r>
        <w:rPr>
          <w:rFonts w:ascii="宋体" w:hAnsi="宋体"/>
          <w:color w:val="auto"/>
          <w:sz w:val="24"/>
          <w:szCs w:val="24"/>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346E9E26">
      <w:pPr>
        <w:widowControl/>
        <w:spacing w:line="240" w:lineRule="auto"/>
        <w:ind w:firstLine="480" w:firstLineChars="200"/>
        <w:rPr>
          <w:rFonts w:hint="eastAsia" w:ascii="黑体" w:hAnsi="黑体" w:eastAsia="黑体"/>
          <w:color w:val="auto"/>
          <w:sz w:val="24"/>
          <w:szCs w:val="24"/>
        </w:rPr>
      </w:pPr>
      <w:r>
        <w:rPr>
          <w:rFonts w:hint="eastAsia" w:ascii="黑体" w:hAnsi="黑体" w:eastAsia="黑体"/>
          <w:color w:val="auto"/>
          <w:sz w:val="24"/>
          <w:szCs w:val="24"/>
        </w:rPr>
        <w:t>2.录音录像。</w:t>
      </w:r>
    </w:p>
    <w:p w14:paraId="21BA1303">
      <w:pPr>
        <w:spacing w:line="240" w:lineRule="auto"/>
        <w:ind w:firstLine="480" w:firstLineChars="200"/>
        <w:rPr>
          <w:rFonts w:hint="eastAsia" w:ascii="宋体" w:hAnsi="宋体"/>
          <w:color w:val="auto"/>
          <w:sz w:val="24"/>
          <w:szCs w:val="24"/>
        </w:rPr>
      </w:pPr>
      <w:r>
        <w:rPr>
          <w:rFonts w:hint="eastAsia" w:ascii="宋体" w:hAnsi="宋体"/>
          <w:color w:val="auto"/>
          <w:sz w:val="24"/>
          <w:szCs w:val="24"/>
        </w:rPr>
        <w:t>采购代理机构对评审工作现场及操作屏幕进行全过程录音录像，录音录像资料作为采购项目文件随其他文件一并存档。</w:t>
      </w:r>
    </w:p>
    <w:p w14:paraId="52CC88DD">
      <w:pPr>
        <w:spacing w:line="240" w:lineRule="auto"/>
        <w:ind w:firstLine="480" w:firstLineChars="200"/>
        <w:rPr>
          <w:rFonts w:hint="eastAsia" w:ascii="宋体" w:hAnsi="宋体"/>
          <w:color w:val="auto"/>
          <w:sz w:val="24"/>
          <w:szCs w:val="24"/>
        </w:rPr>
      </w:pPr>
    </w:p>
    <w:p w14:paraId="0606420F">
      <w:pPr>
        <w:pStyle w:val="5"/>
        <w:spacing w:line="240" w:lineRule="auto"/>
        <w:rPr>
          <w:color w:val="auto"/>
        </w:rPr>
      </w:pPr>
    </w:p>
    <w:p w14:paraId="28CA1F23">
      <w:pPr>
        <w:spacing w:line="240" w:lineRule="auto"/>
        <w:rPr>
          <w:rFonts w:ascii="宋体" w:hAnsi="宋体"/>
          <w:color w:val="auto"/>
          <w:sz w:val="24"/>
        </w:rPr>
      </w:pPr>
    </w:p>
    <w:p w14:paraId="4B2945D5">
      <w:pPr>
        <w:pStyle w:val="24"/>
        <w:spacing w:line="240" w:lineRule="auto"/>
        <w:rPr>
          <w:color w:val="auto"/>
        </w:rPr>
      </w:pPr>
    </w:p>
    <w:p w14:paraId="7BD53EA6">
      <w:pPr>
        <w:spacing w:line="240" w:lineRule="auto"/>
        <w:jc w:val="center"/>
        <w:rPr>
          <w:rFonts w:ascii="宋体" w:hAnsi="宋体"/>
          <w:color w:val="auto"/>
          <w:sz w:val="24"/>
        </w:rPr>
      </w:pPr>
    </w:p>
    <w:p w14:paraId="73EAD2C3">
      <w:pPr>
        <w:pStyle w:val="4"/>
        <w:numPr>
          <w:ilvl w:val="0"/>
          <w:numId w:val="3"/>
        </w:numPr>
        <w:spacing w:line="240" w:lineRule="auto"/>
        <w:jc w:val="center"/>
        <w:rPr>
          <w:rFonts w:hint="eastAsia" w:ascii="宋体" w:hAnsi="宋体"/>
          <w:color w:val="auto"/>
        </w:rPr>
      </w:pPr>
      <w:r>
        <w:rPr>
          <w:rFonts w:hint="eastAsia" w:ascii="宋体" w:hAnsi="宋体"/>
          <w:color w:val="auto"/>
        </w:rPr>
        <w:t>合同条款及格式</w:t>
      </w:r>
    </w:p>
    <w:p w14:paraId="38E43EB0">
      <w:pPr>
        <w:pStyle w:val="4"/>
        <w:spacing w:line="240" w:lineRule="auto"/>
        <w:ind w:firstLine="2209" w:firstLineChars="500"/>
        <w:rPr>
          <w:rFonts w:ascii="宋体" w:hAnsi="宋体"/>
          <w:color w:val="auto"/>
          <w:kern w:val="2"/>
        </w:rPr>
      </w:pPr>
      <w:r>
        <w:rPr>
          <w:rFonts w:ascii="宋体" w:hAnsi="宋体"/>
          <w:color w:val="auto"/>
          <w:kern w:val="2"/>
        </w:rPr>
        <w:t>第一节</w:t>
      </w:r>
      <w:r>
        <w:rPr>
          <w:rFonts w:hint="eastAsia" w:ascii="宋体" w:hAnsi="宋体"/>
          <w:color w:val="auto"/>
          <w:kern w:val="2"/>
        </w:rPr>
        <w:t xml:space="preserve">  </w:t>
      </w:r>
      <w:r>
        <w:rPr>
          <w:rFonts w:ascii="宋体" w:hAnsi="宋体"/>
          <w:color w:val="auto"/>
          <w:kern w:val="2"/>
        </w:rPr>
        <w:t>通用合同条款</w:t>
      </w:r>
      <w:r>
        <w:rPr>
          <w:rFonts w:hint="eastAsia" w:ascii="黑体" w:hAnsi="黑体" w:eastAsia="黑体"/>
          <w:color w:val="auto"/>
          <w:kern w:val="2"/>
          <w:sz w:val="32"/>
          <w:szCs w:val="32"/>
          <w:vertAlign w:val="superscript"/>
        </w:rPr>
        <w:t>①</w:t>
      </w:r>
    </w:p>
    <w:p w14:paraId="3C737C3F">
      <w:pPr>
        <w:autoSpaceDE w:val="0"/>
        <w:autoSpaceDN w:val="0"/>
        <w:spacing w:line="240" w:lineRule="auto"/>
        <w:ind w:firstLine="3840" w:firstLineChars="1200"/>
        <w:rPr>
          <w:rFonts w:hint="eastAsia" w:ascii="黑体" w:hAnsi="黑体" w:eastAsia="黑体"/>
          <w:color w:val="auto"/>
          <w:kern w:val="0"/>
          <w:sz w:val="32"/>
          <w:szCs w:val="32"/>
          <w:lang w:val="zh-CN"/>
        </w:rPr>
      </w:pPr>
      <w:r>
        <w:rPr>
          <w:rFonts w:hint="eastAsia" w:ascii="黑体" w:hAnsi="黑体" w:eastAsia="黑体"/>
          <w:color w:val="auto"/>
          <w:kern w:val="0"/>
          <w:sz w:val="32"/>
          <w:szCs w:val="32"/>
          <w:lang w:val="zh-CN"/>
        </w:rPr>
        <w:t>通用合同条款</w:t>
      </w:r>
    </w:p>
    <w:p w14:paraId="1A483740">
      <w:pPr>
        <w:keepNext/>
        <w:keepLines/>
        <w:spacing w:before="360" w:after="240" w:line="240" w:lineRule="auto"/>
        <w:outlineLvl w:val="2"/>
        <w:rPr>
          <w:rFonts w:eastAsia="黑体"/>
          <w:bCs/>
          <w:color w:val="auto"/>
          <w:kern w:val="44"/>
          <w:sz w:val="28"/>
          <w:szCs w:val="28"/>
          <w:lang w:val="zh-CN"/>
        </w:rPr>
      </w:pPr>
      <w:r>
        <w:rPr>
          <w:rFonts w:eastAsia="黑体"/>
          <w:bCs/>
          <w:color w:val="auto"/>
          <w:kern w:val="44"/>
          <w:sz w:val="28"/>
          <w:szCs w:val="28"/>
          <w:lang w:val="zh-CN"/>
        </w:rPr>
        <w:t xml:space="preserve">1. </w:t>
      </w:r>
      <w:r>
        <w:rPr>
          <w:rFonts w:hint="eastAsia" w:eastAsia="黑体"/>
          <w:bCs/>
          <w:color w:val="auto"/>
          <w:kern w:val="44"/>
          <w:sz w:val="28"/>
          <w:szCs w:val="28"/>
          <w:lang w:val="zh-CN"/>
        </w:rPr>
        <w:t>一般约定</w:t>
      </w:r>
      <w:r>
        <w:rPr>
          <w:rFonts w:eastAsia="黑体"/>
          <w:bCs/>
          <w:color w:val="auto"/>
          <w:kern w:val="44"/>
          <w:sz w:val="28"/>
          <w:szCs w:val="28"/>
          <w:lang w:val="zh-CN"/>
        </w:rPr>
        <w:tab/>
      </w:r>
    </w:p>
    <w:p w14:paraId="2CD30162">
      <w:pPr>
        <w:keepNext/>
        <w:keepLines/>
        <w:spacing w:before="240" w:after="240" w:line="240" w:lineRule="auto"/>
        <w:rPr>
          <w:rFonts w:eastAsia="黑体"/>
          <w:bCs/>
          <w:color w:val="auto"/>
          <w:kern w:val="44"/>
          <w:sz w:val="24"/>
          <w:lang w:val="zh-CN"/>
        </w:rPr>
      </w:pPr>
      <w:r>
        <w:rPr>
          <w:rFonts w:eastAsia="黑体"/>
          <w:bCs/>
          <w:color w:val="auto"/>
          <w:kern w:val="44"/>
          <w:sz w:val="24"/>
          <w:lang w:val="zh-CN"/>
        </w:rPr>
        <w:t>1.1</w:t>
      </w:r>
      <w:r>
        <w:rPr>
          <w:rFonts w:eastAsia="黑体"/>
          <w:bCs/>
          <w:color w:val="auto"/>
          <w:kern w:val="44"/>
          <w:sz w:val="24"/>
          <w:lang w:val="zh-CN"/>
        </w:rPr>
        <w:tab/>
      </w:r>
      <w:r>
        <w:rPr>
          <w:rFonts w:hint="eastAsia" w:eastAsia="黑体"/>
          <w:bCs/>
          <w:color w:val="auto"/>
          <w:kern w:val="44"/>
          <w:sz w:val="24"/>
          <w:lang w:val="zh-CN"/>
        </w:rPr>
        <w:t>词语定义</w:t>
      </w:r>
    </w:p>
    <w:p w14:paraId="39FEE9B9">
      <w:pPr>
        <w:spacing w:line="240" w:lineRule="auto"/>
        <w:ind w:firstLine="480" w:firstLineChars="200"/>
        <w:rPr>
          <w:rFonts w:hint="eastAsia"/>
          <w:color w:val="auto"/>
          <w:sz w:val="24"/>
        </w:rPr>
      </w:pPr>
      <w:r>
        <w:rPr>
          <w:rFonts w:hint="eastAsia"/>
          <w:color w:val="auto"/>
          <w:sz w:val="24"/>
        </w:rPr>
        <w:t>通用合同条款、专用合同条款中的下列词语应具有本款所赋予的含义。</w:t>
      </w:r>
    </w:p>
    <w:p w14:paraId="47857056">
      <w:pPr>
        <w:spacing w:line="240" w:lineRule="auto"/>
        <w:ind w:firstLine="470" w:firstLineChars="196"/>
        <w:rPr>
          <w:color w:val="auto"/>
          <w:sz w:val="24"/>
        </w:rPr>
      </w:pPr>
      <w:r>
        <w:rPr>
          <w:color w:val="auto"/>
          <w:sz w:val="24"/>
        </w:rPr>
        <w:t xml:space="preserve">1.1.1 </w:t>
      </w:r>
      <w:r>
        <w:rPr>
          <w:rFonts w:hint="eastAsia" w:eastAsia="黑体"/>
          <w:color w:val="auto"/>
          <w:sz w:val="24"/>
        </w:rPr>
        <w:t>合同</w:t>
      </w:r>
    </w:p>
    <w:p w14:paraId="6FA7CE44">
      <w:pPr>
        <w:spacing w:line="240" w:lineRule="auto"/>
        <w:ind w:firstLine="720" w:firstLineChars="300"/>
        <w:rPr>
          <w:color w:val="auto"/>
          <w:sz w:val="24"/>
        </w:rPr>
      </w:pPr>
      <w:r>
        <w:rPr>
          <w:color w:val="auto"/>
          <w:sz w:val="24"/>
        </w:rPr>
        <w:t xml:space="preserve">1.1.1.1 </w:t>
      </w:r>
      <w:r>
        <w:rPr>
          <w:rFonts w:hint="eastAsia"/>
          <w:color w:val="auto"/>
          <w:sz w:val="24"/>
        </w:rPr>
        <w:t>合同文件（或称合同）：指合同协议书、中标通知书、投标函及投标函附录、专用合同条款、通用合同条款、技术标准和要求、图纸、已标价工程量清单，以及其他合同文件。</w:t>
      </w:r>
    </w:p>
    <w:p w14:paraId="40981E71">
      <w:pPr>
        <w:spacing w:line="240" w:lineRule="auto"/>
        <w:ind w:firstLine="720" w:firstLineChars="300"/>
        <w:rPr>
          <w:color w:val="auto"/>
          <w:sz w:val="24"/>
        </w:rPr>
      </w:pPr>
      <w:r>
        <w:rPr>
          <w:color w:val="auto"/>
          <w:sz w:val="24"/>
        </w:rPr>
        <w:t xml:space="preserve">1.1.1.2 </w:t>
      </w:r>
      <w:r>
        <w:rPr>
          <w:rFonts w:hint="eastAsia"/>
          <w:color w:val="auto"/>
          <w:sz w:val="24"/>
        </w:rPr>
        <w:t>合同协议书：指第</w:t>
      </w:r>
      <w:r>
        <w:rPr>
          <w:color w:val="auto"/>
          <w:sz w:val="24"/>
        </w:rPr>
        <w:t>1.5</w:t>
      </w:r>
      <w:r>
        <w:rPr>
          <w:rFonts w:hint="eastAsia"/>
          <w:color w:val="auto"/>
          <w:sz w:val="24"/>
        </w:rPr>
        <w:t>款所指的合同协议书。</w:t>
      </w:r>
    </w:p>
    <w:p w14:paraId="2DA17886">
      <w:pPr>
        <w:spacing w:line="240" w:lineRule="auto"/>
        <w:ind w:firstLine="720" w:firstLineChars="300"/>
        <w:rPr>
          <w:color w:val="auto"/>
          <w:sz w:val="24"/>
        </w:rPr>
      </w:pPr>
      <w:r>
        <w:rPr>
          <w:color w:val="auto"/>
          <w:sz w:val="24"/>
        </w:rPr>
        <w:t xml:space="preserve">1.1.1.3 </w:t>
      </w:r>
      <w:r>
        <w:rPr>
          <w:rFonts w:hint="eastAsia"/>
          <w:color w:val="auto"/>
          <w:sz w:val="24"/>
        </w:rPr>
        <w:t>中标通知书：指发包人通知承包人中标的函件。</w:t>
      </w:r>
    </w:p>
    <w:p w14:paraId="16B787E6">
      <w:pPr>
        <w:spacing w:line="240" w:lineRule="auto"/>
        <w:ind w:firstLine="720" w:firstLineChars="300"/>
        <w:rPr>
          <w:color w:val="auto"/>
          <w:sz w:val="24"/>
        </w:rPr>
      </w:pPr>
      <w:r>
        <w:rPr>
          <w:color w:val="auto"/>
          <w:sz w:val="24"/>
        </w:rPr>
        <w:t xml:space="preserve">1.1.1.4 </w:t>
      </w:r>
      <w:r>
        <w:rPr>
          <w:rFonts w:hint="eastAsia"/>
          <w:color w:val="auto"/>
          <w:sz w:val="24"/>
        </w:rPr>
        <w:t>投标函：指构成合同文件组成部分的由承包人填写并签署的投标函。</w:t>
      </w:r>
    </w:p>
    <w:p w14:paraId="66D48FE8">
      <w:pPr>
        <w:spacing w:line="240" w:lineRule="auto"/>
        <w:ind w:firstLine="720" w:firstLineChars="300"/>
        <w:rPr>
          <w:color w:val="auto"/>
          <w:sz w:val="24"/>
        </w:rPr>
      </w:pPr>
      <w:r>
        <w:rPr>
          <w:color w:val="auto"/>
          <w:sz w:val="24"/>
        </w:rPr>
        <w:t xml:space="preserve">1.1.1.5 </w:t>
      </w:r>
      <w:r>
        <w:rPr>
          <w:rFonts w:hint="eastAsia"/>
          <w:color w:val="auto"/>
          <w:sz w:val="24"/>
        </w:rPr>
        <w:t>投标函附录：指附在投标函后构成合同文件的投标函附录。</w:t>
      </w:r>
    </w:p>
    <w:p w14:paraId="5FABF500">
      <w:pPr>
        <w:spacing w:line="240" w:lineRule="auto"/>
        <w:ind w:firstLine="720" w:firstLineChars="300"/>
        <w:rPr>
          <w:color w:val="auto"/>
          <w:sz w:val="24"/>
        </w:rPr>
      </w:pPr>
      <w:r>
        <w:rPr>
          <w:color w:val="auto"/>
          <w:sz w:val="24"/>
        </w:rPr>
        <w:t xml:space="preserve">1.1.1.6 </w:t>
      </w:r>
      <w:r>
        <w:rPr>
          <w:rFonts w:hint="eastAsia"/>
          <w:color w:val="auto"/>
          <w:sz w:val="24"/>
        </w:rPr>
        <w:t>技术标准和要求：指构成合同文件组成部分的名为技术标准和要求的文件，包括合同双方当事人约定对其所作的修改或补充。</w:t>
      </w:r>
    </w:p>
    <w:p w14:paraId="31FBD0B9">
      <w:pPr>
        <w:spacing w:line="240" w:lineRule="auto"/>
        <w:ind w:firstLine="720" w:firstLineChars="300"/>
        <w:rPr>
          <w:color w:val="auto"/>
          <w:sz w:val="24"/>
        </w:rPr>
      </w:pPr>
      <w:r>
        <w:rPr>
          <w:color w:val="auto"/>
          <w:sz w:val="24"/>
        </w:rPr>
        <w:t xml:space="preserve">1.1.1.7 </w:t>
      </w:r>
      <w:r>
        <w:rPr>
          <w:rFonts w:hint="eastAsia"/>
          <w:color w:val="auto"/>
          <w:sz w:val="24"/>
        </w:rPr>
        <w:t>图纸：指包含在合同中的工程图纸，以及由发包人按合同约定提供的任何补充和修改的图纸，包括配套的说明。</w:t>
      </w:r>
    </w:p>
    <w:p w14:paraId="622AFDA3">
      <w:pPr>
        <w:spacing w:line="240" w:lineRule="auto"/>
        <w:ind w:firstLine="720" w:firstLineChars="300"/>
        <w:rPr>
          <w:color w:val="auto"/>
          <w:sz w:val="24"/>
        </w:rPr>
      </w:pPr>
      <w:r>
        <w:rPr>
          <w:color w:val="auto"/>
          <w:sz w:val="24"/>
        </w:rPr>
        <w:t xml:space="preserve">1.1.1.8 </w:t>
      </w:r>
      <w:r>
        <w:rPr>
          <w:rFonts w:hint="eastAsia"/>
          <w:color w:val="auto"/>
          <w:sz w:val="24"/>
        </w:rPr>
        <w:t>已标价工程量清单：指构成合同文件组成部分的由承包人按照规定的格式和要求填写并标明价格的工程量清单。</w:t>
      </w:r>
    </w:p>
    <w:p w14:paraId="692A6899">
      <w:pPr>
        <w:spacing w:line="240" w:lineRule="auto"/>
        <w:ind w:firstLine="720" w:firstLineChars="300"/>
        <w:rPr>
          <w:color w:val="auto"/>
          <w:sz w:val="24"/>
        </w:rPr>
      </w:pPr>
      <w:r>
        <w:rPr>
          <w:color w:val="auto"/>
          <w:sz w:val="24"/>
        </w:rPr>
        <w:t xml:space="preserve">1.1.1.9 </w:t>
      </w:r>
      <w:r>
        <w:rPr>
          <w:rFonts w:hint="eastAsia"/>
          <w:color w:val="auto"/>
          <w:sz w:val="24"/>
        </w:rPr>
        <w:t>其他合同文件：指经合同双方当事人确认构成合同文件的其他文件。</w:t>
      </w:r>
    </w:p>
    <w:p w14:paraId="11F6667C">
      <w:pPr>
        <w:spacing w:line="240" w:lineRule="auto"/>
        <w:ind w:firstLine="480" w:firstLineChars="200"/>
        <w:rPr>
          <w:color w:val="auto"/>
          <w:sz w:val="24"/>
        </w:rPr>
      </w:pPr>
      <w:r>
        <w:rPr>
          <w:color w:val="auto"/>
          <w:sz w:val="24"/>
        </w:rPr>
        <w:t xml:space="preserve">1.1.2 </w:t>
      </w:r>
      <w:r>
        <w:rPr>
          <w:rFonts w:hint="eastAsia" w:eastAsia="黑体"/>
          <w:color w:val="auto"/>
          <w:sz w:val="24"/>
        </w:rPr>
        <w:t>合同当事人和人员</w:t>
      </w:r>
    </w:p>
    <w:p w14:paraId="2FF08E05">
      <w:pPr>
        <w:spacing w:line="240" w:lineRule="auto"/>
        <w:ind w:firstLine="720" w:firstLineChars="300"/>
        <w:rPr>
          <w:color w:val="auto"/>
          <w:sz w:val="24"/>
        </w:rPr>
      </w:pPr>
      <w:r>
        <w:rPr>
          <w:color w:val="auto"/>
          <w:sz w:val="24"/>
        </w:rPr>
        <w:t xml:space="preserve">1.1.2.1 </w:t>
      </w:r>
      <w:r>
        <w:rPr>
          <w:rFonts w:hint="eastAsia"/>
          <w:color w:val="auto"/>
          <w:sz w:val="24"/>
        </w:rPr>
        <w:t>合同当事人：指发包人和（或）承包人。</w:t>
      </w:r>
    </w:p>
    <w:p w14:paraId="3CA05296">
      <w:pPr>
        <w:spacing w:line="240" w:lineRule="auto"/>
        <w:ind w:firstLine="720" w:firstLineChars="300"/>
        <w:rPr>
          <w:color w:val="auto"/>
          <w:sz w:val="24"/>
        </w:rPr>
      </w:pPr>
      <w:r>
        <w:rPr>
          <w:color w:val="auto"/>
          <w:sz w:val="24"/>
        </w:rPr>
        <w:t xml:space="preserve">1.1.2.2 </w:t>
      </w:r>
      <w:r>
        <w:rPr>
          <w:rFonts w:hint="eastAsia"/>
          <w:color w:val="auto"/>
          <w:sz w:val="24"/>
        </w:rPr>
        <w:t>发包人：指专用合同条款中指明并与承包人在合同协议书中签字的当事人。</w:t>
      </w:r>
    </w:p>
    <w:p w14:paraId="13E6125E">
      <w:pPr>
        <w:spacing w:line="240" w:lineRule="auto"/>
        <w:ind w:firstLine="720" w:firstLineChars="300"/>
        <w:rPr>
          <w:color w:val="auto"/>
          <w:sz w:val="24"/>
        </w:rPr>
      </w:pPr>
      <w:r>
        <w:rPr>
          <w:color w:val="auto"/>
          <w:sz w:val="24"/>
        </w:rPr>
        <w:t>1.1.2.3</w:t>
      </w:r>
      <w:r>
        <w:rPr>
          <w:rFonts w:hint="eastAsia"/>
          <w:color w:val="auto"/>
          <w:sz w:val="24"/>
        </w:rPr>
        <w:t>承包人：指与发包人签订合同协议书的当事人。</w:t>
      </w:r>
    </w:p>
    <w:p w14:paraId="136D8822">
      <w:pPr>
        <w:spacing w:line="240" w:lineRule="auto"/>
        <w:ind w:firstLine="720" w:firstLineChars="300"/>
        <w:rPr>
          <w:color w:val="auto"/>
          <w:sz w:val="24"/>
        </w:rPr>
      </w:pPr>
      <w:r>
        <w:rPr>
          <w:color w:val="auto"/>
          <w:sz w:val="24"/>
        </w:rPr>
        <w:t>1.1.2.4</w:t>
      </w:r>
      <w:r>
        <w:rPr>
          <w:rFonts w:hint="eastAsia"/>
          <w:color w:val="auto"/>
          <w:sz w:val="24"/>
        </w:rPr>
        <w:t>承包人项目经理：指承包人派驻施工场地的全权负责人。</w:t>
      </w:r>
    </w:p>
    <w:p w14:paraId="7CF5145F">
      <w:pPr>
        <w:spacing w:line="240" w:lineRule="auto"/>
        <w:ind w:firstLine="720" w:firstLineChars="300"/>
        <w:rPr>
          <w:color w:val="auto"/>
          <w:sz w:val="24"/>
        </w:rPr>
      </w:pPr>
      <w:r>
        <w:rPr>
          <w:color w:val="auto"/>
          <w:sz w:val="24"/>
        </w:rPr>
        <w:t>1.1.2.5</w:t>
      </w:r>
      <w:r>
        <w:rPr>
          <w:rFonts w:hint="eastAsia"/>
          <w:color w:val="auto"/>
          <w:sz w:val="24"/>
        </w:rPr>
        <w:t>分包人：指从承包人处分包合同中某一部分工程，并与其签订分包合同的分包人。</w:t>
      </w:r>
    </w:p>
    <w:p w14:paraId="7792B52B">
      <w:pPr>
        <w:spacing w:line="240" w:lineRule="auto"/>
        <w:ind w:firstLine="480" w:firstLineChars="200"/>
        <w:rPr>
          <w:color w:val="auto"/>
          <w:sz w:val="24"/>
        </w:rPr>
      </w:pPr>
      <w:r>
        <w:rPr>
          <w:color w:val="auto"/>
          <w:sz w:val="24"/>
        </w:rPr>
        <w:t xml:space="preserve">1.1.3 </w:t>
      </w:r>
      <w:r>
        <w:rPr>
          <w:rFonts w:hint="eastAsia" w:eastAsia="黑体"/>
          <w:color w:val="auto"/>
          <w:sz w:val="24"/>
        </w:rPr>
        <w:t>工程和设备</w:t>
      </w:r>
    </w:p>
    <w:p w14:paraId="451BD915">
      <w:pPr>
        <w:spacing w:line="240" w:lineRule="auto"/>
        <w:ind w:firstLine="720" w:firstLineChars="300"/>
        <w:rPr>
          <w:color w:val="auto"/>
          <w:sz w:val="24"/>
        </w:rPr>
      </w:pPr>
      <w:r>
        <w:rPr>
          <w:color w:val="auto"/>
          <w:sz w:val="24"/>
        </w:rPr>
        <w:t xml:space="preserve">1.1.3.1 </w:t>
      </w:r>
      <w:r>
        <w:rPr>
          <w:rFonts w:hint="eastAsia"/>
          <w:color w:val="auto"/>
          <w:sz w:val="24"/>
        </w:rPr>
        <w:t>工程：指永久工程和（或）临时工程。</w:t>
      </w:r>
    </w:p>
    <w:p w14:paraId="47D8B93F">
      <w:pPr>
        <w:spacing w:line="240" w:lineRule="auto"/>
        <w:ind w:firstLine="720" w:firstLineChars="300"/>
        <w:rPr>
          <w:color w:val="auto"/>
          <w:sz w:val="24"/>
        </w:rPr>
      </w:pPr>
      <w:r>
        <w:rPr>
          <w:color w:val="auto"/>
          <w:sz w:val="24"/>
        </w:rPr>
        <w:t xml:space="preserve">1.1.3.2 </w:t>
      </w:r>
      <w:r>
        <w:rPr>
          <w:rFonts w:hint="eastAsia"/>
          <w:color w:val="auto"/>
          <w:sz w:val="24"/>
        </w:rPr>
        <w:t>永久工程：指按合同约定建造并移交给发包人的工程，包括工程设备。</w:t>
      </w:r>
    </w:p>
    <w:p w14:paraId="67F81A43">
      <w:pPr>
        <w:spacing w:line="240" w:lineRule="auto"/>
        <w:ind w:firstLine="720" w:firstLineChars="300"/>
        <w:rPr>
          <w:color w:val="auto"/>
          <w:sz w:val="24"/>
        </w:rPr>
      </w:pPr>
      <w:r>
        <w:rPr>
          <w:color w:val="auto"/>
          <w:sz w:val="24"/>
        </w:rPr>
        <w:t xml:space="preserve">1.1.3.3 </w:t>
      </w:r>
      <w:r>
        <w:rPr>
          <w:rFonts w:hint="eastAsia"/>
          <w:color w:val="auto"/>
          <w:sz w:val="24"/>
        </w:rPr>
        <w:t>临时工程：指为完成合同约定的永久工程所修建的各类临时性工程，不包括施工设备。</w:t>
      </w:r>
    </w:p>
    <w:p w14:paraId="01684648">
      <w:pPr>
        <w:spacing w:line="240" w:lineRule="auto"/>
        <w:ind w:firstLine="720" w:firstLineChars="300"/>
        <w:rPr>
          <w:color w:val="auto"/>
          <w:sz w:val="24"/>
        </w:rPr>
      </w:pPr>
      <w:r>
        <w:rPr>
          <w:color w:val="auto"/>
          <w:sz w:val="24"/>
        </w:rPr>
        <w:t xml:space="preserve">1.1.3.4 </w:t>
      </w:r>
      <w:r>
        <w:rPr>
          <w:rFonts w:hint="eastAsia"/>
          <w:color w:val="auto"/>
          <w:sz w:val="24"/>
        </w:rPr>
        <w:t>单位工程：指专用合同条款中指明特定范围的永久工程。</w:t>
      </w:r>
    </w:p>
    <w:p w14:paraId="11B51AB4">
      <w:pPr>
        <w:spacing w:line="240" w:lineRule="auto"/>
        <w:ind w:firstLine="720" w:firstLineChars="300"/>
        <w:rPr>
          <w:color w:val="auto"/>
          <w:sz w:val="24"/>
        </w:rPr>
      </w:pPr>
      <w:r>
        <w:rPr>
          <w:color w:val="auto"/>
          <w:sz w:val="24"/>
        </w:rPr>
        <w:t xml:space="preserve">1.1.3.5 </w:t>
      </w:r>
      <w:r>
        <w:rPr>
          <w:rFonts w:hint="eastAsia"/>
          <w:color w:val="auto"/>
          <w:sz w:val="24"/>
        </w:rPr>
        <w:t>工程设备：指构成或计划构成永久工程一部分的机电设备、金属结构设备、仪器装置及其他类似的设备和装置。</w:t>
      </w:r>
    </w:p>
    <w:p w14:paraId="26863F11">
      <w:pPr>
        <w:spacing w:line="240" w:lineRule="auto"/>
        <w:ind w:firstLine="720" w:firstLineChars="300"/>
        <w:rPr>
          <w:color w:val="auto"/>
          <w:sz w:val="24"/>
        </w:rPr>
      </w:pPr>
      <w:r>
        <w:rPr>
          <w:color w:val="auto"/>
          <w:sz w:val="24"/>
        </w:rPr>
        <w:t xml:space="preserve">1.1.3.6 </w:t>
      </w:r>
      <w:r>
        <w:rPr>
          <w:rFonts w:hint="eastAsia"/>
          <w:color w:val="auto"/>
          <w:sz w:val="24"/>
        </w:rPr>
        <w:t>施工设备：指为完成合同约定的各项工作所需的设备、器具和其他物品，不包括临时工程和材料。</w:t>
      </w:r>
    </w:p>
    <w:p w14:paraId="14023769">
      <w:pPr>
        <w:spacing w:line="240" w:lineRule="auto"/>
        <w:ind w:firstLine="720" w:firstLineChars="300"/>
        <w:rPr>
          <w:color w:val="auto"/>
          <w:sz w:val="24"/>
        </w:rPr>
      </w:pPr>
      <w:r>
        <w:rPr>
          <w:color w:val="auto"/>
          <w:sz w:val="24"/>
        </w:rPr>
        <w:t>1.1.3.7</w:t>
      </w:r>
      <w:r>
        <w:rPr>
          <w:rFonts w:hint="eastAsia"/>
          <w:color w:val="auto"/>
          <w:sz w:val="24"/>
        </w:rPr>
        <w:t>临时设施：指为完成合同约定的各项工作所服务的临时性生产和生活设施。</w:t>
      </w:r>
    </w:p>
    <w:p w14:paraId="7C8762E4">
      <w:pPr>
        <w:spacing w:line="240" w:lineRule="auto"/>
        <w:ind w:firstLine="720" w:firstLineChars="300"/>
        <w:rPr>
          <w:color w:val="auto"/>
          <w:sz w:val="24"/>
        </w:rPr>
      </w:pPr>
      <w:r>
        <w:rPr>
          <w:color w:val="auto"/>
          <w:sz w:val="24"/>
        </w:rPr>
        <w:t xml:space="preserve">1.1.3.8 </w:t>
      </w:r>
      <w:r>
        <w:rPr>
          <w:rFonts w:hint="eastAsia"/>
          <w:color w:val="auto"/>
          <w:sz w:val="24"/>
        </w:rPr>
        <w:t>承包人设备：指承包人自带的施工设备。</w:t>
      </w:r>
    </w:p>
    <w:p w14:paraId="70826C76">
      <w:pPr>
        <w:spacing w:line="240" w:lineRule="auto"/>
        <w:ind w:firstLine="720" w:firstLineChars="300"/>
        <w:rPr>
          <w:color w:val="auto"/>
          <w:sz w:val="24"/>
        </w:rPr>
      </w:pPr>
      <w:r>
        <w:rPr>
          <w:color w:val="auto"/>
          <w:sz w:val="24"/>
        </w:rPr>
        <w:t xml:space="preserve">1.1.3.9 </w:t>
      </w:r>
      <w:r>
        <w:rPr>
          <w:rFonts w:hint="eastAsia"/>
          <w:color w:val="auto"/>
          <w:sz w:val="24"/>
        </w:rPr>
        <w:t>施工场地（或称工地、现场）：指用于合同工程施工的场所，以及在合同中指定作为施工场地组成部分的其他场所，包括永久占地和临时占地。</w:t>
      </w:r>
    </w:p>
    <w:p w14:paraId="1B418670">
      <w:pPr>
        <w:spacing w:line="240" w:lineRule="auto"/>
        <w:ind w:firstLine="720" w:firstLineChars="300"/>
        <w:rPr>
          <w:color w:val="auto"/>
          <w:sz w:val="24"/>
        </w:rPr>
      </w:pPr>
      <w:r>
        <w:rPr>
          <w:color w:val="auto"/>
          <w:sz w:val="24"/>
        </w:rPr>
        <w:t xml:space="preserve">1.1.3.10 </w:t>
      </w:r>
      <w:r>
        <w:rPr>
          <w:rFonts w:hint="eastAsia"/>
          <w:color w:val="auto"/>
          <w:sz w:val="24"/>
        </w:rPr>
        <w:t>永久占地：指专用合同条款中指明为实施合同工程需永久占用的土地。</w:t>
      </w:r>
    </w:p>
    <w:p w14:paraId="3868500A">
      <w:pPr>
        <w:spacing w:line="240" w:lineRule="auto"/>
        <w:ind w:firstLine="720" w:firstLineChars="300"/>
        <w:rPr>
          <w:color w:val="auto"/>
          <w:sz w:val="24"/>
        </w:rPr>
      </w:pPr>
      <w:r>
        <w:rPr>
          <w:color w:val="auto"/>
          <w:sz w:val="24"/>
        </w:rPr>
        <w:t xml:space="preserve">1.1.3.11 </w:t>
      </w:r>
      <w:r>
        <w:rPr>
          <w:rFonts w:hint="eastAsia"/>
          <w:color w:val="auto"/>
          <w:sz w:val="24"/>
        </w:rPr>
        <w:t>临时占地：指专用合同条款中指明为实施合同工程需临时占用的土地。</w:t>
      </w:r>
    </w:p>
    <w:p w14:paraId="1838A0B7">
      <w:pPr>
        <w:spacing w:line="240" w:lineRule="auto"/>
        <w:ind w:firstLine="480" w:firstLineChars="200"/>
        <w:rPr>
          <w:color w:val="auto"/>
          <w:sz w:val="24"/>
        </w:rPr>
      </w:pPr>
      <w:r>
        <w:rPr>
          <w:color w:val="auto"/>
          <w:sz w:val="24"/>
        </w:rPr>
        <w:t xml:space="preserve">1.1.4 </w:t>
      </w:r>
      <w:r>
        <w:rPr>
          <w:rFonts w:hint="eastAsia" w:eastAsia="黑体"/>
          <w:color w:val="auto"/>
          <w:sz w:val="24"/>
        </w:rPr>
        <w:t>日期</w:t>
      </w:r>
    </w:p>
    <w:p w14:paraId="113754BE">
      <w:pPr>
        <w:spacing w:line="240" w:lineRule="auto"/>
        <w:ind w:firstLine="720" w:firstLineChars="300"/>
        <w:rPr>
          <w:color w:val="auto"/>
          <w:sz w:val="24"/>
        </w:rPr>
      </w:pPr>
      <w:r>
        <w:rPr>
          <w:color w:val="auto"/>
          <w:sz w:val="24"/>
        </w:rPr>
        <w:t xml:space="preserve">1.1.4.1 </w:t>
      </w:r>
      <w:r>
        <w:rPr>
          <w:rFonts w:hint="eastAsia"/>
          <w:color w:val="auto"/>
          <w:sz w:val="24"/>
        </w:rPr>
        <w:t>开工通知：指发包人按第</w:t>
      </w:r>
      <w:r>
        <w:rPr>
          <w:color w:val="auto"/>
          <w:sz w:val="24"/>
        </w:rPr>
        <w:t>11.1</w:t>
      </w:r>
      <w:r>
        <w:rPr>
          <w:rFonts w:hint="eastAsia"/>
          <w:color w:val="auto"/>
          <w:sz w:val="24"/>
        </w:rPr>
        <w:t>款通知承包人开工的函件。</w:t>
      </w:r>
    </w:p>
    <w:p w14:paraId="3E409E11">
      <w:pPr>
        <w:spacing w:line="240" w:lineRule="auto"/>
        <w:ind w:firstLine="720" w:firstLineChars="300"/>
        <w:rPr>
          <w:color w:val="auto"/>
          <w:sz w:val="24"/>
        </w:rPr>
      </w:pPr>
      <w:r>
        <w:rPr>
          <w:color w:val="auto"/>
          <w:sz w:val="24"/>
        </w:rPr>
        <w:t xml:space="preserve">1.1.4.2 </w:t>
      </w:r>
      <w:r>
        <w:rPr>
          <w:rFonts w:hint="eastAsia"/>
          <w:color w:val="auto"/>
          <w:sz w:val="24"/>
        </w:rPr>
        <w:t>开工日期：指发包人按第</w:t>
      </w:r>
      <w:r>
        <w:rPr>
          <w:color w:val="auto"/>
          <w:sz w:val="24"/>
        </w:rPr>
        <w:t>11.1</w:t>
      </w:r>
      <w:r>
        <w:rPr>
          <w:rFonts w:hint="eastAsia"/>
          <w:color w:val="auto"/>
          <w:sz w:val="24"/>
        </w:rPr>
        <w:t>款发出的开工通知中写明的开工日期。</w:t>
      </w:r>
    </w:p>
    <w:p w14:paraId="1C3EAF99">
      <w:pPr>
        <w:spacing w:line="240" w:lineRule="auto"/>
        <w:ind w:firstLine="720" w:firstLineChars="300"/>
        <w:rPr>
          <w:color w:val="auto"/>
          <w:sz w:val="24"/>
        </w:rPr>
      </w:pPr>
      <w:r>
        <w:rPr>
          <w:color w:val="auto"/>
          <w:sz w:val="24"/>
        </w:rPr>
        <w:t xml:space="preserve">1.1.4.3 </w:t>
      </w:r>
      <w:r>
        <w:rPr>
          <w:rFonts w:hint="eastAsia"/>
          <w:color w:val="auto"/>
          <w:sz w:val="24"/>
        </w:rPr>
        <w:t>工期：指承包人在投标函中承诺的完成合同工程所需的期限，包括按第</w:t>
      </w:r>
      <w:r>
        <w:rPr>
          <w:color w:val="auto"/>
          <w:sz w:val="24"/>
        </w:rPr>
        <w:t>11.3</w:t>
      </w:r>
      <w:r>
        <w:rPr>
          <w:rFonts w:hint="eastAsia"/>
          <w:color w:val="auto"/>
          <w:sz w:val="24"/>
        </w:rPr>
        <w:t>款、第</w:t>
      </w:r>
      <w:r>
        <w:rPr>
          <w:color w:val="auto"/>
          <w:sz w:val="24"/>
        </w:rPr>
        <w:t>11.4</w:t>
      </w:r>
      <w:r>
        <w:rPr>
          <w:rFonts w:hint="eastAsia"/>
          <w:color w:val="auto"/>
          <w:sz w:val="24"/>
        </w:rPr>
        <w:t>款和第</w:t>
      </w:r>
      <w:r>
        <w:rPr>
          <w:color w:val="auto"/>
          <w:sz w:val="24"/>
        </w:rPr>
        <w:t>11.6</w:t>
      </w:r>
      <w:r>
        <w:rPr>
          <w:rFonts w:hint="eastAsia"/>
          <w:color w:val="auto"/>
          <w:sz w:val="24"/>
        </w:rPr>
        <w:t>款约定所作的变更。</w:t>
      </w:r>
    </w:p>
    <w:p w14:paraId="2FBEF13C">
      <w:pPr>
        <w:spacing w:line="240" w:lineRule="auto"/>
        <w:ind w:firstLine="720" w:firstLineChars="300"/>
        <w:rPr>
          <w:color w:val="auto"/>
          <w:sz w:val="24"/>
        </w:rPr>
      </w:pPr>
      <w:r>
        <w:rPr>
          <w:color w:val="auto"/>
          <w:sz w:val="24"/>
        </w:rPr>
        <w:t xml:space="preserve">1.1.4.4 </w:t>
      </w:r>
      <w:r>
        <w:rPr>
          <w:rFonts w:hint="eastAsia"/>
          <w:color w:val="auto"/>
          <w:sz w:val="24"/>
        </w:rPr>
        <w:t>竣工日期：指第</w:t>
      </w:r>
      <w:r>
        <w:rPr>
          <w:color w:val="auto"/>
          <w:sz w:val="24"/>
        </w:rPr>
        <w:t>1.1.4.3</w:t>
      </w:r>
      <w:r>
        <w:rPr>
          <w:rFonts w:hint="eastAsia"/>
          <w:color w:val="auto"/>
          <w:sz w:val="24"/>
        </w:rPr>
        <w:t>目约定工期届满时的日期。实际竣工日期以工程接收证书中写明的日期为准。</w:t>
      </w:r>
    </w:p>
    <w:p w14:paraId="261FECA7">
      <w:pPr>
        <w:spacing w:line="240" w:lineRule="auto"/>
        <w:ind w:firstLine="720" w:firstLineChars="300"/>
        <w:rPr>
          <w:color w:val="auto"/>
          <w:sz w:val="24"/>
        </w:rPr>
      </w:pPr>
      <w:r>
        <w:rPr>
          <w:color w:val="auto"/>
          <w:sz w:val="24"/>
        </w:rPr>
        <w:t xml:space="preserve">1.1.4.5 </w:t>
      </w:r>
      <w:r>
        <w:rPr>
          <w:rFonts w:hint="eastAsia"/>
          <w:color w:val="auto"/>
          <w:sz w:val="24"/>
        </w:rPr>
        <w:t>缺陷责任期：指履行第</w:t>
      </w:r>
      <w:r>
        <w:rPr>
          <w:color w:val="auto"/>
          <w:sz w:val="24"/>
        </w:rPr>
        <w:t>19.2</w:t>
      </w:r>
      <w:r>
        <w:rPr>
          <w:rFonts w:hint="eastAsia"/>
          <w:color w:val="auto"/>
          <w:sz w:val="24"/>
        </w:rPr>
        <w:t>款约定的缺陷责任的期限，具体期限由专用合同条款约定，包括根据第</w:t>
      </w:r>
      <w:r>
        <w:rPr>
          <w:color w:val="auto"/>
          <w:sz w:val="24"/>
        </w:rPr>
        <w:t>19.3</w:t>
      </w:r>
      <w:r>
        <w:rPr>
          <w:rFonts w:hint="eastAsia"/>
          <w:color w:val="auto"/>
          <w:sz w:val="24"/>
        </w:rPr>
        <w:t>款约定所作的延长。</w:t>
      </w:r>
    </w:p>
    <w:p w14:paraId="4D5356E0">
      <w:pPr>
        <w:spacing w:line="240" w:lineRule="auto"/>
        <w:ind w:firstLine="720" w:firstLineChars="300"/>
        <w:rPr>
          <w:color w:val="auto"/>
          <w:sz w:val="24"/>
        </w:rPr>
      </w:pPr>
      <w:r>
        <w:rPr>
          <w:color w:val="auto"/>
          <w:sz w:val="24"/>
        </w:rPr>
        <w:t xml:space="preserve">1.1.4.6 </w:t>
      </w:r>
      <w:r>
        <w:rPr>
          <w:rFonts w:hint="eastAsia"/>
          <w:color w:val="auto"/>
          <w:sz w:val="24"/>
        </w:rPr>
        <w:t>基准日期：指投标截止时间前</w:t>
      </w:r>
      <w:r>
        <w:rPr>
          <w:color w:val="auto"/>
          <w:sz w:val="24"/>
        </w:rPr>
        <w:t>28</w:t>
      </w:r>
      <w:r>
        <w:rPr>
          <w:rFonts w:hint="eastAsia"/>
          <w:color w:val="auto"/>
          <w:sz w:val="24"/>
        </w:rPr>
        <w:t>天的日期。</w:t>
      </w:r>
    </w:p>
    <w:p w14:paraId="2943181C">
      <w:pPr>
        <w:spacing w:line="240" w:lineRule="auto"/>
        <w:ind w:firstLine="720" w:firstLineChars="300"/>
        <w:rPr>
          <w:color w:val="auto"/>
          <w:sz w:val="24"/>
        </w:rPr>
      </w:pPr>
      <w:r>
        <w:rPr>
          <w:color w:val="auto"/>
          <w:sz w:val="24"/>
        </w:rPr>
        <w:t xml:space="preserve">1.1.4.7 </w:t>
      </w:r>
      <w:r>
        <w:rPr>
          <w:rFonts w:hint="eastAsia"/>
          <w:color w:val="auto"/>
          <w:sz w:val="24"/>
        </w:rPr>
        <w:t>天：除特别指明外，指日历天。合同中按天计算时间的，开始当天不计入，从次日开始计算。期限最后一天的截止时间为当天</w:t>
      </w:r>
      <w:r>
        <w:rPr>
          <w:color w:val="auto"/>
          <w:sz w:val="24"/>
        </w:rPr>
        <w:t>24:00</w:t>
      </w:r>
      <w:r>
        <w:rPr>
          <w:rFonts w:hint="eastAsia"/>
          <w:color w:val="auto"/>
          <w:sz w:val="24"/>
        </w:rPr>
        <w:t>。</w:t>
      </w:r>
    </w:p>
    <w:p w14:paraId="50F11DD4">
      <w:pPr>
        <w:spacing w:line="240" w:lineRule="auto"/>
        <w:ind w:firstLine="480" w:firstLineChars="200"/>
        <w:rPr>
          <w:color w:val="auto"/>
          <w:sz w:val="24"/>
        </w:rPr>
      </w:pPr>
      <w:r>
        <w:rPr>
          <w:color w:val="auto"/>
          <w:sz w:val="24"/>
        </w:rPr>
        <w:t xml:space="preserve">1.1.5 </w:t>
      </w:r>
      <w:r>
        <w:rPr>
          <w:rFonts w:hint="eastAsia" w:eastAsia="黑体"/>
          <w:color w:val="auto"/>
          <w:sz w:val="24"/>
        </w:rPr>
        <w:t>合同价格和费用</w:t>
      </w:r>
    </w:p>
    <w:p w14:paraId="692EDBBF">
      <w:pPr>
        <w:spacing w:line="240" w:lineRule="auto"/>
        <w:ind w:firstLine="720" w:firstLineChars="300"/>
        <w:rPr>
          <w:color w:val="auto"/>
          <w:sz w:val="24"/>
        </w:rPr>
      </w:pPr>
      <w:r>
        <w:rPr>
          <w:color w:val="auto"/>
          <w:sz w:val="24"/>
        </w:rPr>
        <w:t xml:space="preserve">1.1.5.1 </w:t>
      </w:r>
      <w:r>
        <w:rPr>
          <w:rFonts w:hint="eastAsia"/>
          <w:color w:val="auto"/>
          <w:sz w:val="24"/>
        </w:rPr>
        <w:t>签约合同价：指签订合同时合同协议书中写明的，包括了暂列金额、暂估价的合同总金额。</w:t>
      </w:r>
    </w:p>
    <w:p w14:paraId="7DEFD8DA">
      <w:pPr>
        <w:spacing w:line="240" w:lineRule="auto"/>
        <w:ind w:firstLine="720" w:firstLineChars="300"/>
        <w:rPr>
          <w:color w:val="auto"/>
          <w:sz w:val="24"/>
        </w:rPr>
      </w:pPr>
      <w:r>
        <w:rPr>
          <w:color w:val="auto"/>
          <w:sz w:val="24"/>
        </w:rPr>
        <w:t xml:space="preserve">1.1.5.2 </w:t>
      </w:r>
      <w:r>
        <w:rPr>
          <w:rFonts w:hint="eastAsia"/>
          <w:color w:val="auto"/>
          <w:sz w:val="24"/>
        </w:rPr>
        <w:t>合同价格：指承包人按合同约定完成了包括缺陷责任期内的全部承包工作后，发包人应付给承包人的金额，包括在履行合同过程中按合同约定进行的变更和调整。</w:t>
      </w:r>
    </w:p>
    <w:p w14:paraId="1DD4172B">
      <w:pPr>
        <w:spacing w:line="240" w:lineRule="auto"/>
        <w:ind w:firstLine="720" w:firstLineChars="300"/>
        <w:rPr>
          <w:color w:val="auto"/>
          <w:sz w:val="24"/>
        </w:rPr>
      </w:pPr>
      <w:r>
        <w:rPr>
          <w:color w:val="auto"/>
          <w:sz w:val="24"/>
        </w:rPr>
        <w:t xml:space="preserve">1.1.5.3 </w:t>
      </w:r>
      <w:r>
        <w:rPr>
          <w:rFonts w:hint="eastAsia"/>
          <w:color w:val="auto"/>
          <w:sz w:val="24"/>
        </w:rPr>
        <w:t>费用：指为履行合同所发生的或将要发生的所有合理开支，包括管理费和应分摊的其他费用，但不包括利润。</w:t>
      </w:r>
    </w:p>
    <w:p w14:paraId="309AF985">
      <w:pPr>
        <w:spacing w:line="240" w:lineRule="auto"/>
        <w:ind w:firstLine="720" w:firstLineChars="300"/>
        <w:rPr>
          <w:color w:val="auto"/>
          <w:sz w:val="24"/>
        </w:rPr>
      </w:pPr>
      <w:r>
        <w:rPr>
          <w:color w:val="auto"/>
          <w:sz w:val="24"/>
        </w:rPr>
        <w:t xml:space="preserve">1.1.5.4 </w:t>
      </w:r>
      <w:r>
        <w:rPr>
          <w:rFonts w:hint="eastAsia"/>
          <w:color w:val="auto"/>
          <w:sz w:val="24"/>
        </w:rPr>
        <w:t>暂列金额：指已标价工程量清单中所列的暂列金额，用于在签订协议书时尚未确定或不可预见变更的施工及其所需材料、工程设备、服务等的金额，包括以计日工方式支付的金额。</w:t>
      </w:r>
    </w:p>
    <w:p w14:paraId="1820EF23">
      <w:pPr>
        <w:spacing w:line="240" w:lineRule="auto"/>
        <w:ind w:firstLine="720" w:firstLineChars="300"/>
        <w:rPr>
          <w:color w:val="auto"/>
          <w:sz w:val="24"/>
        </w:rPr>
      </w:pPr>
      <w:r>
        <w:rPr>
          <w:color w:val="auto"/>
          <w:sz w:val="24"/>
        </w:rPr>
        <w:t>1.1.5.5</w:t>
      </w:r>
      <w:r>
        <w:rPr>
          <w:rFonts w:hint="eastAsia"/>
          <w:color w:val="auto"/>
          <w:sz w:val="24"/>
        </w:rPr>
        <w:t>暂估价：指发包人在工程量清单中给定的用于支付必然发生但暂时不能确定价格的材料、工程设备以及专业工程的金额。</w:t>
      </w:r>
    </w:p>
    <w:p w14:paraId="7230EB24">
      <w:pPr>
        <w:spacing w:line="240" w:lineRule="auto"/>
        <w:ind w:firstLine="720" w:firstLineChars="300"/>
        <w:rPr>
          <w:color w:val="auto"/>
          <w:sz w:val="24"/>
        </w:rPr>
      </w:pPr>
      <w:r>
        <w:rPr>
          <w:color w:val="auto"/>
          <w:sz w:val="24"/>
        </w:rPr>
        <w:t xml:space="preserve">1.1.5.6 </w:t>
      </w:r>
      <w:r>
        <w:rPr>
          <w:rFonts w:hint="eastAsia"/>
          <w:color w:val="auto"/>
          <w:sz w:val="24"/>
        </w:rPr>
        <w:t>计日工：指对零星工作采取的一种计价方式，按合同中的计日工子目及其单价计价付款。</w:t>
      </w:r>
    </w:p>
    <w:p w14:paraId="65F67843">
      <w:pPr>
        <w:spacing w:line="240" w:lineRule="auto"/>
        <w:ind w:firstLine="720" w:firstLineChars="300"/>
        <w:rPr>
          <w:color w:val="auto"/>
          <w:sz w:val="24"/>
        </w:rPr>
      </w:pPr>
      <w:r>
        <w:rPr>
          <w:color w:val="auto"/>
          <w:sz w:val="24"/>
        </w:rPr>
        <w:t xml:space="preserve">1.1.5.7 </w:t>
      </w:r>
      <w:r>
        <w:rPr>
          <w:rFonts w:hint="eastAsia"/>
          <w:color w:val="auto"/>
          <w:sz w:val="24"/>
        </w:rPr>
        <w:t>质量保证金（或称保留金）：指按第</w:t>
      </w:r>
      <w:r>
        <w:rPr>
          <w:color w:val="auto"/>
          <w:sz w:val="24"/>
        </w:rPr>
        <w:t>17.4.1</w:t>
      </w:r>
      <w:r>
        <w:rPr>
          <w:rFonts w:hint="eastAsia"/>
          <w:color w:val="auto"/>
          <w:sz w:val="24"/>
        </w:rPr>
        <w:t>项约定用于保证在缺陷责任期内履行缺陷修复义务的金额。</w:t>
      </w:r>
    </w:p>
    <w:p w14:paraId="459F049C">
      <w:pPr>
        <w:spacing w:line="240" w:lineRule="auto"/>
        <w:ind w:firstLine="470" w:firstLineChars="196"/>
        <w:rPr>
          <w:color w:val="auto"/>
          <w:sz w:val="24"/>
        </w:rPr>
      </w:pPr>
      <w:r>
        <w:rPr>
          <w:color w:val="auto"/>
          <w:sz w:val="24"/>
        </w:rPr>
        <w:t xml:space="preserve">1.1.6 </w:t>
      </w:r>
      <w:r>
        <w:rPr>
          <w:rFonts w:hint="eastAsia" w:eastAsia="黑体"/>
          <w:color w:val="auto"/>
          <w:sz w:val="24"/>
        </w:rPr>
        <w:t>其他</w:t>
      </w:r>
    </w:p>
    <w:p w14:paraId="4F8C34E2">
      <w:pPr>
        <w:spacing w:line="240" w:lineRule="auto"/>
        <w:ind w:firstLine="720" w:firstLineChars="300"/>
        <w:rPr>
          <w:color w:val="auto"/>
          <w:sz w:val="24"/>
        </w:rPr>
      </w:pPr>
      <w:r>
        <w:rPr>
          <w:color w:val="auto"/>
          <w:sz w:val="24"/>
        </w:rPr>
        <w:t xml:space="preserve">1.1.6.1 </w:t>
      </w:r>
      <w:r>
        <w:rPr>
          <w:rFonts w:hint="eastAsia"/>
          <w:color w:val="auto"/>
          <w:sz w:val="24"/>
        </w:rPr>
        <w:t>书面形式：指合同文件、信函、电报、传真等可以有形地表现所载内容的形式。</w:t>
      </w:r>
    </w:p>
    <w:p w14:paraId="76B49B1F">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1.2 </w:t>
      </w:r>
      <w:r>
        <w:rPr>
          <w:rFonts w:hint="eastAsia" w:eastAsia="黑体"/>
          <w:bCs/>
          <w:color w:val="auto"/>
          <w:kern w:val="44"/>
          <w:sz w:val="24"/>
          <w:lang w:val="zh-CN"/>
        </w:rPr>
        <w:t>语言文字</w:t>
      </w:r>
    </w:p>
    <w:p w14:paraId="1B9D1C0C">
      <w:pPr>
        <w:spacing w:line="240" w:lineRule="auto"/>
        <w:rPr>
          <w:rFonts w:hint="eastAsia"/>
          <w:color w:val="auto"/>
          <w:sz w:val="24"/>
        </w:rPr>
      </w:pPr>
      <w:r>
        <w:rPr>
          <w:rFonts w:hint="eastAsia"/>
          <w:color w:val="auto"/>
          <w:sz w:val="24"/>
        </w:rPr>
        <w:t>　　除专用术语外，合同使用的语言文字为中文。必要时专用术语应附有中文注释。</w:t>
      </w:r>
    </w:p>
    <w:p w14:paraId="6530D1B7">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1.3 </w:t>
      </w:r>
      <w:r>
        <w:rPr>
          <w:rFonts w:hint="eastAsia" w:eastAsia="黑体"/>
          <w:bCs/>
          <w:color w:val="auto"/>
          <w:kern w:val="44"/>
          <w:sz w:val="24"/>
          <w:lang w:val="zh-CN"/>
        </w:rPr>
        <w:t>法律</w:t>
      </w:r>
    </w:p>
    <w:p w14:paraId="644EE266">
      <w:pPr>
        <w:tabs>
          <w:tab w:val="left" w:pos="7020"/>
        </w:tabs>
        <w:spacing w:line="240" w:lineRule="auto"/>
        <w:rPr>
          <w:rFonts w:hint="eastAsia"/>
          <w:color w:val="auto"/>
          <w:sz w:val="24"/>
        </w:rPr>
      </w:pPr>
      <w:r>
        <w:rPr>
          <w:rFonts w:hint="eastAsia"/>
          <w:color w:val="auto"/>
          <w:sz w:val="24"/>
        </w:rPr>
        <w:t>　　适用于合同的法律包括中华人民共和国法律、行政法规、部门规章，以及工程所在地的地方法规、自治条例、单行条例和地方政府规章。</w:t>
      </w:r>
    </w:p>
    <w:p w14:paraId="49463E48">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1.4 </w:t>
      </w:r>
      <w:r>
        <w:rPr>
          <w:rFonts w:hint="eastAsia" w:eastAsia="黑体"/>
          <w:bCs/>
          <w:color w:val="auto"/>
          <w:kern w:val="44"/>
          <w:sz w:val="24"/>
          <w:lang w:val="zh-CN"/>
        </w:rPr>
        <w:t>合同文件的优先顺序</w:t>
      </w:r>
    </w:p>
    <w:p w14:paraId="69016958">
      <w:pPr>
        <w:spacing w:line="240" w:lineRule="auto"/>
        <w:rPr>
          <w:rFonts w:hint="eastAsia"/>
          <w:color w:val="auto"/>
          <w:sz w:val="24"/>
        </w:rPr>
      </w:pPr>
      <w:r>
        <w:rPr>
          <w:rFonts w:hint="eastAsia"/>
          <w:color w:val="auto"/>
          <w:sz w:val="24"/>
        </w:rPr>
        <w:t>　　组成合同的各项文件应互相解释，互为说明。除专用合同条款另有约定外，解释合同文件的优先顺序如下：</w:t>
      </w:r>
    </w:p>
    <w:p w14:paraId="12843E4E">
      <w:pPr>
        <w:spacing w:line="240" w:lineRule="auto"/>
        <w:rPr>
          <w:rFonts w:hint="eastAsia"/>
          <w:color w:val="auto"/>
          <w:sz w:val="24"/>
        </w:rPr>
      </w:pPr>
      <w:r>
        <w:rPr>
          <w:rFonts w:hint="eastAsia"/>
          <w:color w:val="auto"/>
          <w:sz w:val="24"/>
        </w:rPr>
        <w:t>　　（</w:t>
      </w:r>
      <w:r>
        <w:rPr>
          <w:color w:val="auto"/>
          <w:sz w:val="24"/>
        </w:rPr>
        <w:t>1</w:t>
      </w:r>
      <w:r>
        <w:rPr>
          <w:rFonts w:hint="eastAsia"/>
          <w:color w:val="auto"/>
          <w:sz w:val="24"/>
        </w:rPr>
        <w:t>）合同协议书；</w:t>
      </w:r>
    </w:p>
    <w:p w14:paraId="623D80DE">
      <w:pPr>
        <w:spacing w:line="240" w:lineRule="auto"/>
        <w:rPr>
          <w:rFonts w:hint="eastAsia"/>
          <w:color w:val="auto"/>
          <w:sz w:val="24"/>
        </w:rPr>
      </w:pPr>
      <w:r>
        <w:rPr>
          <w:rFonts w:hint="eastAsia"/>
          <w:color w:val="auto"/>
          <w:sz w:val="24"/>
        </w:rPr>
        <w:t>　　（</w:t>
      </w:r>
      <w:r>
        <w:rPr>
          <w:color w:val="auto"/>
          <w:sz w:val="24"/>
        </w:rPr>
        <w:t>2</w:t>
      </w:r>
      <w:r>
        <w:rPr>
          <w:rFonts w:hint="eastAsia"/>
          <w:color w:val="auto"/>
          <w:sz w:val="24"/>
        </w:rPr>
        <w:t>）中标通知书；</w:t>
      </w:r>
    </w:p>
    <w:p w14:paraId="3572B26E">
      <w:pPr>
        <w:spacing w:line="240" w:lineRule="auto"/>
        <w:rPr>
          <w:rFonts w:hint="eastAsia"/>
          <w:color w:val="auto"/>
          <w:sz w:val="24"/>
        </w:rPr>
      </w:pPr>
      <w:r>
        <w:rPr>
          <w:rFonts w:hint="eastAsia"/>
          <w:color w:val="auto"/>
          <w:sz w:val="24"/>
        </w:rPr>
        <w:t>　　（</w:t>
      </w:r>
      <w:r>
        <w:rPr>
          <w:color w:val="auto"/>
          <w:sz w:val="24"/>
        </w:rPr>
        <w:t>3</w:t>
      </w:r>
      <w:r>
        <w:rPr>
          <w:rFonts w:hint="eastAsia"/>
          <w:color w:val="auto"/>
          <w:sz w:val="24"/>
        </w:rPr>
        <w:t>）投标函及投标函附录；</w:t>
      </w:r>
    </w:p>
    <w:p w14:paraId="459109A1">
      <w:pPr>
        <w:spacing w:line="240" w:lineRule="auto"/>
        <w:rPr>
          <w:rFonts w:hint="eastAsia"/>
          <w:color w:val="auto"/>
          <w:sz w:val="24"/>
        </w:rPr>
      </w:pPr>
      <w:r>
        <w:rPr>
          <w:rFonts w:hint="eastAsia"/>
          <w:color w:val="auto"/>
          <w:sz w:val="24"/>
        </w:rPr>
        <w:t>　　（</w:t>
      </w:r>
      <w:r>
        <w:rPr>
          <w:color w:val="auto"/>
          <w:sz w:val="24"/>
        </w:rPr>
        <w:t>4</w:t>
      </w:r>
      <w:r>
        <w:rPr>
          <w:rFonts w:hint="eastAsia"/>
          <w:color w:val="auto"/>
          <w:sz w:val="24"/>
        </w:rPr>
        <w:t>）专用合同条款；</w:t>
      </w:r>
    </w:p>
    <w:p w14:paraId="3A4985EB">
      <w:pPr>
        <w:spacing w:line="240" w:lineRule="auto"/>
        <w:rPr>
          <w:rFonts w:hint="eastAsia"/>
          <w:color w:val="auto"/>
          <w:sz w:val="24"/>
        </w:rPr>
      </w:pPr>
      <w:r>
        <w:rPr>
          <w:rFonts w:hint="eastAsia"/>
          <w:color w:val="auto"/>
          <w:sz w:val="24"/>
        </w:rPr>
        <w:t>　　（</w:t>
      </w:r>
      <w:r>
        <w:rPr>
          <w:color w:val="auto"/>
          <w:sz w:val="24"/>
        </w:rPr>
        <w:t>5</w:t>
      </w:r>
      <w:r>
        <w:rPr>
          <w:rFonts w:hint="eastAsia"/>
          <w:color w:val="auto"/>
          <w:sz w:val="24"/>
        </w:rPr>
        <w:t>）通用合同条款；</w:t>
      </w:r>
    </w:p>
    <w:p w14:paraId="04F72ED6">
      <w:pPr>
        <w:spacing w:line="240" w:lineRule="auto"/>
        <w:rPr>
          <w:rFonts w:hint="eastAsia"/>
          <w:color w:val="auto"/>
          <w:sz w:val="24"/>
        </w:rPr>
      </w:pPr>
      <w:r>
        <w:rPr>
          <w:rFonts w:hint="eastAsia"/>
          <w:color w:val="auto"/>
          <w:sz w:val="24"/>
        </w:rPr>
        <w:t>　　（</w:t>
      </w:r>
      <w:r>
        <w:rPr>
          <w:color w:val="auto"/>
          <w:sz w:val="24"/>
        </w:rPr>
        <w:t>6</w:t>
      </w:r>
      <w:r>
        <w:rPr>
          <w:rFonts w:hint="eastAsia"/>
          <w:color w:val="auto"/>
          <w:sz w:val="24"/>
        </w:rPr>
        <w:t>）技术标准和要求；</w:t>
      </w:r>
    </w:p>
    <w:p w14:paraId="2855E911">
      <w:pPr>
        <w:spacing w:line="240" w:lineRule="auto"/>
        <w:rPr>
          <w:rFonts w:hint="eastAsia"/>
          <w:color w:val="auto"/>
          <w:sz w:val="24"/>
        </w:rPr>
      </w:pPr>
      <w:r>
        <w:rPr>
          <w:rFonts w:hint="eastAsia"/>
          <w:color w:val="auto"/>
          <w:sz w:val="24"/>
        </w:rPr>
        <w:t>　　（</w:t>
      </w:r>
      <w:r>
        <w:rPr>
          <w:color w:val="auto"/>
          <w:sz w:val="24"/>
        </w:rPr>
        <w:t>7</w:t>
      </w:r>
      <w:r>
        <w:rPr>
          <w:rFonts w:hint="eastAsia"/>
          <w:color w:val="auto"/>
          <w:sz w:val="24"/>
        </w:rPr>
        <w:t>）图纸；</w:t>
      </w:r>
    </w:p>
    <w:p w14:paraId="40E8E71E">
      <w:pPr>
        <w:spacing w:line="240" w:lineRule="auto"/>
        <w:rPr>
          <w:rFonts w:hint="eastAsia"/>
          <w:color w:val="auto"/>
          <w:sz w:val="24"/>
        </w:rPr>
      </w:pPr>
      <w:r>
        <w:rPr>
          <w:rFonts w:hint="eastAsia"/>
          <w:color w:val="auto"/>
          <w:sz w:val="24"/>
        </w:rPr>
        <w:t>　　（</w:t>
      </w:r>
      <w:r>
        <w:rPr>
          <w:color w:val="auto"/>
          <w:sz w:val="24"/>
        </w:rPr>
        <w:t>8</w:t>
      </w:r>
      <w:r>
        <w:rPr>
          <w:rFonts w:hint="eastAsia"/>
          <w:color w:val="auto"/>
          <w:sz w:val="24"/>
        </w:rPr>
        <w:t>）已标价工程量清单；</w:t>
      </w:r>
    </w:p>
    <w:p w14:paraId="074BA3DC">
      <w:pPr>
        <w:spacing w:line="240" w:lineRule="auto"/>
        <w:rPr>
          <w:rFonts w:hint="eastAsia"/>
          <w:color w:val="auto"/>
          <w:sz w:val="24"/>
        </w:rPr>
      </w:pPr>
      <w:r>
        <w:rPr>
          <w:rFonts w:hint="eastAsia"/>
          <w:color w:val="auto"/>
          <w:sz w:val="24"/>
        </w:rPr>
        <w:t>　　（</w:t>
      </w:r>
      <w:r>
        <w:rPr>
          <w:color w:val="auto"/>
          <w:sz w:val="24"/>
        </w:rPr>
        <w:t>9</w:t>
      </w:r>
      <w:r>
        <w:rPr>
          <w:rFonts w:hint="eastAsia"/>
          <w:color w:val="auto"/>
          <w:sz w:val="24"/>
        </w:rPr>
        <w:t>）其他合同文件。</w:t>
      </w:r>
      <w:r>
        <w:rPr>
          <w:color w:val="auto"/>
          <w:sz w:val="24"/>
        </w:rPr>
        <w:t xml:space="preserve">     </w:t>
      </w:r>
    </w:p>
    <w:p w14:paraId="39B03430">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1.5 </w:t>
      </w:r>
      <w:r>
        <w:rPr>
          <w:rFonts w:hint="eastAsia" w:eastAsia="黑体"/>
          <w:bCs/>
          <w:color w:val="auto"/>
          <w:kern w:val="44"/>
          <w:sz w:val="24"/>
          <w:lang w:val="zh-CN"/>
        </w:rPr>
        <w:t>合同协议书</w:t>
      </w:r>
    </w:p>
    <w:p w14:paraId="6668F1FF">
      <w:pPr>
        <w:spacing w:line="240" w:lineRule="auto"/>
        <w:rPr>
          <w:rFonts w:hint="eastAsia"/>
          <w:color w:val="auto"/>
          <w:sz w:val="24"/>
        </w:rPr>
      </w:pPr>
      <w:r>
        <w:rPr>
          <w:rFonts w:hint="eastAsia"/>
          <w:color w:val="auto"/>
          <w:sz w:val="24"/>
        </w:rPr>
        <w:t>　　承包人按中标通知书规定的时间与发包人签订合同协议书。除法律另有规定或合同另有约定外，发包人和承包人的法定代表人或其委托代理人在合同协议书上签字并盖单位章后，合同生效。</w:t>
      </w:r>
    </w:p>
    <w:p w14:paraId="6AFAD805">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1.6 </w:t>
      </w:r>
      <w:r>
        <w:rPr>
          <w:rFonts w:hint="eastAsia" w:eastAsia="黑体"/>
          <w:bCs/>
          <w:color w:val="auto"/>
          <w:kern w:val="44"/>
          <w:sz w:val="24"/>
          <w:lang w:val="zh-CN"/>
        </w:rPr>
        <w:t>图纸和承包人文件</w:t>
      </w:r>
    </w:p>
    <w:p w14:paraId="32BAE236">
      <w:pPr>
        <w:spacing w:line="240" w:lineRule="auto"/>
        <w:ind w:firstLine="480" w:firstLineChars="200"/>
        <w:rPr>
          <w:color w:val="auto"/>
          <w:sz w:val="24"/>
        </w:rPr>
      </w:pPr>
      <w:r>
        <w:rPr>
          <w:color w:val="auto"/>
          <w:sz w:val="24"/>
        </w:rPr>
        <w:t xml:space="preserve">1.6.1 </w:t>
      </w:r>
      <w:r>
        <w:rPr>
          <w:rFonts w:hint="eastAsia" w:eastAsia="黑体"/>
          <w:color w:val="auto"/>
          <w:sz w:val="24"/>
        </w:rPr>
        <w:t>图纸的提供</w:t>
      </w:r>
    </w:p>
    <w:p w14:paraId="690E0321">
      <w:pPr>
        <w:spacing w:line="240" w:lineRule="auto"/>
        <w:rPr>
          <w:rFonts w:hint="eastAsia"/>
          <w:color w:val="auto"/>
          <w:sz w:val="24"/>
        </w:rPr>
      </w:pPr>
      <w:r>
        <w:rPr>
          <w:rFonts w:hint="eastAsia"/>
          <w:color w:val="auto"/>
          <w:sz w:val="24"/>
        </w:rPr>
        <w:t>　　除专用合同条款另有约定外，图纸应在合理的期限内按照合同约定的数量提供给承包人。由于发包人未按时提供图纸造成工期延误的，按第</w:t>
      </w:r>
      <w:r>
        <w:rPr>
          <w:color w:val="auto"/>
          <w:sz w:val="24"/>
        </w:rPr>
        <w:t>11.3</w:t>
      </w:r>
      <w:r>
        <w:rPr>
          <w:rFonts w:hint="eastAsia"/>
          <w:color w:val="auto"/>
          <w:sz w:val="24"/>
        </w:rPr>
        <w:t>款的约定办理。</w:t>
      </w:r>
    </w:p>
    <w:p w14:paraId="487B23FD">
      <w:pPr>
        <w:spacing w:line="240" w:lineRule="auto"/>
        <w:ind w:firstLine="470" w:firstLineChars="196"/>
        <w:rPr>
          <w:color w:val="auto"/>
          <w:sz w:val="24"/>
        </w:rPr>
      </w:pPr>
      <w:r>
        <w:rPr>
          <w:color w:val="auto"/>
          <w:sz w:val="24"/>
        </w:rPr>
        <w:t>1.6.2</w:t>
      </w:r>
      <w:r>
        <w:rPr>
          <w:rFonts w:eastAsia="黑体"/>
          <w:color w:val="auto"/>
          <w:sz w:val="24"/>
        </w:rPr>
        <w:t xml:space="preserve"> </w:t>
      </w:r>
      <w:r>
        <w:rPr>
          <w:rFonts w:hint="eastAsia" w:eastAsia="黑体"/>
          <w:color w:val="auto"/>
          <w:sz w:val="24"/>
        </w:rPr>
        <w:t>承包人提供的文件</w:t>
      </w:r>
    </w:p>
    <w:p w14:paraId="7319D4CB">
      <w:pPr>
        <w:spacing w:line="240" w:lineRule="auto"/>
        <w:rPr>
          <w:rFonts w:hint="eastAsia"/>
          <w:color w:val="auto"/>
          <w:sz w:val="24"/>
        </w:rPr>
      </w:pPr>
      <w:r>
        <w:rPr>
          <w:rFonts w:hint="eastAsia"/>
          <w:color w:val="auto"/>
          <w:sz w:val="24"/>
        </w:rPr>
        <w:t>　　按专用合同条款约定由承包人提供的文件，包括部分工程的大样图、加工图等，承包人应按约定的数量和期限报送发包人。</w:t>
      </w:r>
      <w:r>
        <w:rPr>
          <w:rFonts w:hint="eastAsia"/>
          <w:color w:val="auto"/>
          <w:sz w:val="24"/>
          <w:lang w:val="en-US" w:eastAsia="zh-CN"/>
        </w:rPr>
        <w:t>发包</w:t>
      </w:r>
      <w:r>
        <w:rPr>
          <w:rFonts w:hint="eastAsia"/>
          <w:color w:val="auto"/>
          <w:sz w:val="24"/>
        </w:rPr>
        <w:t>人应在专用合同条款约定的期限内批复。</w:t>
      </w:r>
    </w:p>
    <w:p w14:paraId="799DA43E">
      <w:pPr>
        <w:spacing w:line="240" w:lineRule="auto"/>
        <w:ind w:firstLine="480" w:firstLineChars="200"/>
        <w:rPr>
          <w:color w:val="auto"/>
          <w:sz w:val="24"/>
        </w:rPr>
      </w:pPr>
      <w:r>
        <w:rPr>
          <w:color w:val="auto"/>
          <w:sz w:val="24"/>
        </w:rPr>
        <w:t xml:space="preserve">1.6.3 </w:t>
      </w:r>
      <w:r>
        <w:rPr>
          <w:rFonts w:hint="eastAsia" w:eastAsia="黑体"/>
          <w:color w:val="auto"/>
          <w:sz w:val="24"/>
        </w:rPr>
        <w:t>图纸的修改</w:t>
      </w:r>
    </w:p>
    <w:p w14:paraId="233A9980">
      <w:pPr>
        <w:spacing w:line="240" w:lineRule="auto"/>
        <w:rPr>
          <w:rFonts w:hint="eastAsia"/>
          <w:color w:val="auto"/>
          <w:sz w:val="24"/>
        </w:rPr>
      </w:pPr>
      <w:r>
        <w:rPr>
          <w:rFonts w:hint="eastAsia"/>
          <w:color w:val="auto"/>
          <w:sz w:val="24"/>
        </w:rPr>
        <w:t>　　图纸需要修改和补充的，应由</w:t>
      </w:r>
      <w:r>
        <w:rPr>
          <w:rFonts w:hint="eastAsia"/>
          <w:color w:val="auto"/>
          <w:sz w:val="24"/>
          <w:lang w:val="en-US" w:eastAsia="zh-CN"/>
        </w:rPr>
        <w:t>发包</w:t>
      </w:r>
      <w:r>
        <w:rPr>
          <w:rFonts w:hint="eastAsia"/>
          <w:color w:val="auto"/>
          <w:sz w:val="24"/>
        </w:rPr>
        <w:t>人取得发包人同意后，在该工程或工程相应部位施工前的合理期限内签发图纸修改图给承包人，具体签发期限在专用合同条款中约定。承包人应按修改后的图纸施工。</w:t>
      </w:r>
    </w:p>
    <w:p w14:paraId="4D97894A">
      <w:pPr>
        <w:spacing w:line="240" w:lineRule="auto"/>
        <w:ind w:firstLine="470" w:firstLineChars="196"/>
        <w:rPr>
          <w:color w:val="auto"/>
          <w:sz w:val="24"/>
        </w:rPr>
      </w:pPr>
      <w:r>
        <w:rPr>
          <w:color w:val="auto"/>
          <w:sz w:val="24"/>
        </w:rPr>
        <w:t xml:space="preserve">1.6.4 </w:t>
      </w:r>
      <w:r>
        <w:rPr>
          <w:rFonts w:hint="eastAsia" w:eastAsia="黑体"/>
          <w:color w:val="auto"/>
          <w:sz w:val="24"/>
        </w:rPr>
        <w:t>图纸的错误</w:t>
      </w:r>
    </w:p>
    <w:p w14:paraId="0301F822">
      <w:pPr>
        <w:spacing w:line="240" w:lineRule="auto"/>
        <w:rPr>
          <w:color w:val="auto"/>
          <w:sz w:val="24"/>
        </w:rPr>
      </w:pPr>
      <w:r>
        <w:rPr>
          <w:color w:val="auto"/>
          <w:sz w:val="24"/>
        </w:rPr>
        <w:t xml:space="preserve">    </w:t>
      </w:r>
      <w:r>
        <w:rPr>
          <w:rFonts w:hint="eastAsia"/>
          <w:color w:val="auto"/>
          <w:sz w:val="24"/>
        </w:rPr>
        <w:t>承包人发现发包人提供的图纸存在明显错误或疏忽，应及时通知</w:t>
      </w:r>
      <w:r>
        <w:rPr>
          <w:rFonts w:hint="eastAsia"/>
          <w:color w:val="auto"/>
          <w:sz w:val="24"/>
          <w:lang w:val="en-US" w:eastAsia="zh-CN"/>
        </w:rPr>
        <w:t>发包</w:t>
      </w:r>
      <w:r>
        <w:rPr>
          <w:rFonts w:hint="eastAsia"/>
          <w:color w:val="auto"/>
          <w:sz w:val="24"/>
        </w:rPr>
        <w:t>人。</w:t>
      </w:r>
    </w:p>
    <w:p w14:paraId="0C8ED3D2">
      <w:pPr>
        <w:spacing w:line="240" w:lineRule="auto"/>
        <w:ind w:firstLine="470" w:firstLineChars="196"/>
        <w:rPr>
          <w:color w:val="auto"/>
          <w:sz w:val="24"/>
        </w:rPr>
      </w:pPr>
      <w:r>
        <w:rPr>
          <w:color w:val="auto"/>
          <w:sz w:val="24"/>
        </w:rPr>
        <w:t>1.6.5</w:t>
      </w:r>
      <w:r>
        <w:rPr>
          <w:rFonts w:eastAsia="黑体"/>
          <w:color w:val="auto"/>
          <w:sz w:val="24"/>
        </w:rPr>
        <w:t xml:space="preserve"> </w:t>
      </w:r>
      <w:r>
        <w:rPr>
          <w:rFonts w:hint="eastAsia" w:eastAsia="黑体"/>
          <w:color w:val="auto"/>
          <w:sz w:val="24"/>
        </w:rPr>
        <w:t>图纸和承包人文件的保管</w:t>
      </w:r>
    </w:p>
    <w:p w14:paraId="35EE0B3F">
      <w:pPr>
        <w:spacing w:line="240" w:lineRule="auto"/>
        <w:rPr>
          <w:rFonts w:hint="eastAsia"/>
          <w:color w:val="auto"/>
          <w:sz w:val="24"/>
        </w:rPr>
      </w:pPr>
      <w:r>
        <w:rPr>
          <w:rFonts w:hint="eastAsia"/>
          <w:color w:val="auto"/>
          <w:sz w:val="24"/>
        </w:rPr>
        <w:t>　　</w:t>
      </w:r>
      <w:r>
        <w:rPr>
          <w:rFonts w:hint="eastAsia"/>
          <w:color w:val="auto"/>
          <w:sz w:val="24"/>
          <w:lang w:val="en-US" w:eastAsia="zh-CN"/>
        </w:rPr>
        <w:t>发包</w:t>
      </w:r>
      <w:r>
        <w:rPr>
          <w:rFonts w:hint="eastAsia"/>
          <w:color w:val="auto"/>
          <w:sz w:val="24"/>
        </w:rPr>
        <w:t>人和承包人均应在施工场地各保存一套完整的包含第</w:t>
      </w:r>
      <w:r>
        <w:rPr>
          <w:color w:val="auto"/>
          <w:sz w:val="24"/>
        </w:rPr>
        <w:t>1.6.1</w:t>
      </w:r>
      <w:r>
        <w:rPr>
          <w:rFonts w:hint="eastAsia"/>
          <w:color w:val="auto"/>
          <w:sz w:val="24"/>
        </w:rPr>
        <w:t>项、第</w:t>
      </w:r>
      <w:r>
        <w:rPr>
          <w:color w:val="auto"/>
          <w:sz w:val="24"/>
        </w:rPr>
        <w:t>1.6.2</w:t>
      </w:r>
      <w:r>
        <w:rPr>
          <w:rFonts w:hint="eastAsia"/>
          <w:color w:val="auto"/>
          <w:sz w:val="24"/>
        </w:rPr>
        <w:t>项、第</w:t>
      </w:r>
      <w:r>
        <w:rPr>
          <w:color w:val="auto"/>
          <w:sz w:val="24"/>
        </w:rPr>
        <w:t>1.6.3</w:t>
      </w:r>
      <w:r>
        <w:rPr>
          <w:rFonts w:hint="eastAsia"/>
          <w:color w:val="auto"/>
          <w:sz w:val="24"/>
        </w:rPr>
        <w:t>项约定内容的图纸和承包人文件。</w:t>
      </w:r>
    </w:p>
    <w:p w14:paraId="16D923A2">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1.7 </w:t>
      </w:r>
      <w:r>
        <w:rPr>
          <w:rFonts w:hint="eastAsia" w:eastAsia="黑体"/>
          <w:bCs/>
          <w:color w:val="auto"/>
          <w:kern w:val="44"/>
          <w:sz w:val="24"/>
          <w:lang w:val="zh-CN"/>
        </w:rPr>
        <w:t>联络</w:t>
      </w:r>
    </w:p>
    <w:p w14:paraId="3E702491">
      <w:pPr>
        <w:spacing w:line="240" w:lineRule="auto"/>
        <w:ind w:firstLine="480" w:firstLineChars="200"/>
        <w:rPr>
          <w:color w:val="auto"/>
          <w:sz w:val="24"/>
        </w:rPr>
      </w:pPr>
      <w:r>
        <w:rPr>
          <w:color w:val="auto"/>
          <w:sz w:val="24"/>
        </w:rPr>
        <w:t xml:space="preserve">1.7.1 </w:t>
      </w:r>
      <w:r>
        <w:rPr>
          <w:rFonts w:hint="eastAsia"/>
          <w:color w:val="auto"/>
          <w:sz w:val="24"/>
        </w:rPr>
        <w:t>与合同有关的通知、批准、证明、证书、指示、要求、请求、同意、意见、确定和决定等，均应采用书面形式。</w:t>
      </w:r>
    </w:p>
    <w:p w14:paraId="19BE5E58">
      <w:pPr>
        <w:spacing w:line="240" w:lineRule="auto"/>
        <w:ind w:firstLine="480" w:firstLineChars="200"/>
        <w:rPr>
          <w:color w:val="auto"/>
          <w:sz w:val="24"/>
        </w:rPr>
      </w:pPr>
      <w:r>
        <w:rPr>
          <w:color w:val="auto"/>
          <w:sz w:val="24"/>
        </w:rPr>
        <w:t xml:space="preserve">1.7.2 </w:t>
      </w:r>
      <w:r>
        <w:rPr>
          <w:rFonts w:hint="eastAsia"/>
          <w:color w:val="auto"/>
          <w:sz w:val="24"/>
        </w:rPr>
        <w:t>第</w:t>
      </w:r>
      <w:r>
        <w:rPr>
          <w:color w:val="auto"/>
          <w:sz w:val="24"/>
        </w:rPr>
        <w:t>1.7.1</w:t>
      </w:r>
      <w:r>
        <w:rPr>
          <w:rFonts w:hint="eastAsia"/>
          <w:color w:val="auto"/>
          <w:sz w:val="24"/>
        </w:rPr>
        <w:t>项中的通知、批准、证明、证书、指示、要求、请求、同意、意见、确定和决定等来往函件，均应在合同约定的期限内送达指定地点和接收人，并办理签收手续。</w:t>
      </w:r>
    </w:p>
    <w:p w14:paraId="5779AB3E">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1.8 </w:t>
      </w:r>
      <w:r>
        <w:rPr>
          <w:rFonts w:hint="eastAsia" w:eastAsia="黑体"/>
          <w:bCs/>
          <w:color w:val="auto"/>
          <w:kern w:val="44"/>
          <w:sz w:val="24"/>
          <w:lang w:val="zh-CN"/>
        </w:rPr>
        <w:t>转让</w:t>
      </w:r>
    </w:p>
    <w:p w14:paraId="469D5D40">
      <w:pPr>
        <w:spacing w:line="240" w:lineRule="auto"/>
        <w:rPr>
          <w:rFonts w:hint="eastAsia"/>
          <w:color w:val="auto"/>
          <w:sz w:val="24"/>
        </w:rPr>
      </w:pPr>
      <w:r>
        <w:rPr>
          <w:rFonts w:hint="eastAsia"/>
          <w:color w:val="auto"/>
          <w:sz w:val="24"/>
        </w:rPr>
        <w:t>　　除合同另有约定外，未经对方当事人同意，一方当事人不得将合同权利全部或部分转让给第三人，也不得全部或部分转移合同义务。</w:t>
      </w:r>
    </w:p>
    <w:p w14:paraId="60036462">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1.9 </w:t>
      </w:r>
      <w:r>
        <w:rPr>
          <w:rFonts w:hint="eastAsia" w:eastAsia="黑体"/>
          <w:bCs/>
          <w:color w:val="auto"/>
          <w:kern w:val="44"/>
          <w:sz w:val="24"/>
          <w:lang w:val="zh-CN"/>
        </w:rPr>
        <w:t>严禁贿赂</w:t>
      </w:r>
    </w:p>
    <w:p w14:paraId="5B82C0E6">
      <w:pPr>
        <w:spacing w:line="240" w:lineRule="auto"/>
        <w:rPr>
          <w:rFonts w:hint="eastAsia"/>
          <w:color w:val="auto"/>
          <w:sz w:val="24"/>
        </w:rPr>
      </w:pPr>
      <w:r>
        <w:rPr>
          <w:rFonts w:hint="eastAsia"/>
          <w:color w:val="auto"/>
          <w:sz w:val="24"/>
        </w:rPr>
        <w:t>　　合同双方当事人不得以贿赂或变相贿赂的方式，谋取不当利益或损害对方权益。因贿赂造成对方损失的，行为人应赔偿损失，并承担相应的法律责任。</w:t>
      </w:r>
    </w:p>
    <w:p w14:paraId="01D3D2CE">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1.10 </w:t>
      </w:r>
      <w:r>
        <w:rPr>
          <w:rFonts w:hint="eastAsia" w:eastAsia="黑体"/>
          <w:bCs/>
          <w:color w:val="auto"/>
          <w:kern w:val="44"/>
          <w:sz w:val="24"/>
          <w:lang w:val="zh-CN"/>
        </w:rPr>
        <w:t>化石、文物</w:t>
      </w:r>
    </w:p>
    <w:p w14:paraId="795DDDF2">
      <w:pPr>
        <w:spacing w:line="240" w:lineRule="auto"/>
        <w:rPr>
          <w:rFonts w:hint="eastAsia"/>
          <w:color w:val="auto"/>
          <w:sz w:val="24"/>
        </w:rPr>
      </w:pPr>
      <w:r>
        <w:rPr>
          <w:rFonts w:hint="eastAsia"/>
          <w:color w:val="auto"/>
          <w:sz w:val="24"/>
        </w:rPr>
        <w:t>　　</w:t>
      </w:r>
      <w:r>
        <w:rPr>
          <w:color w:val="auto"/>
          <w:sz w:val="24"/>
        </w:rPr>
        <w:t xml:space="preserve">1.10.1 </w:t>
      </w:r>
      <w:r>
        <w:rPr>
          <w:rFonts w:hint="eastAsia"/>
          <w:color w:val="auto"/>
          <w:sz w:val="24"/>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w:t>
      </w:r>
      <w:r>
        <w:rPr>
          <w:rFonts w:hint="eastAsia"/>
          <w:color w:val="auto"/>
          <w:sz w:val="24"/>
          <w:lang w:val="en-US" w:eastAsia="zh-CN"/>
        </w:rPr>
        <w:t>发包</w:t>
      </w:r>
      <w:r>
        <w:rPr>
          <w:rFonts w:hint="eastAsia"/>
          <w:color w:val="auto"/>
          <w:sz w:val="24"/>
        </w:rPr>
        <w:t>人。发包人、和承包人应按文物行政部门要求采取妥善保护措施，由此导致费用增加和（或）工期延误由发包人承担。</w:t>
      </w:r>
    </w:p>
    <w:p w14:paraId="3499048C">
      <w:pPr>
        <w:spacing w:line="240" w:lineRule="auto"/>
        <w:rPr>
          <w:rFonts w:hint="eastAsia"/>
          <w:color w:val="auto"/>
          <w:sz w:val="24"/>
        </w:rPr>
      </w:pPr>
      <w:r>
        <w:rPr>
          <w:rFonts w:hint="eastAsia"/>
          <w:color w:val="auto"/>
          <w:sz w:val="24"/>
        </w:rPr>
        <w:t>　　</w:t>
      </w:r>
      <w:r>
        <w:rPr>
          <w:color w:val="auto"/>
          <w:sz w:val="24"/>
        </w:rPr>
        <w:t xml:space="preserve">1.10.2 </w:t>
      </w:r>
      <w:r>
        <w:rPr>
          <w:rFonts w:hint="eastAsia"/>
          <w:color w:val="auto"/>
          <w:sz w:val="24"/>
        </w:rPr>
        <w:t>承包人发现文物后不及时报告或隐瞒不报，致使文物丢失或损坏的，应赔偿损失，并承担相应的法律责任。</w:t>
      </w:r>
    </w:p>
    <w:p w14:paraId="27A27725">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1.11 </w:t>
      </w:r>
      <w:r>
        <w:rPr>
          <w:rFonts w:hint="eastAsia" w:eastAsia="黑体"/>
          <w:bCs/>
          <w:color w:val="auto"/>
          <w:kern w:val="44"/>
          <w:sz w:val="24"/>
          <w:lang w:val="zh-CN"/>
        </w:rPr>
        <w:t>专利技术</w:t>
      </w:r>
    </w:p>
    <w:p w14:paraId="110327DA">
      <w:pPr>
        <w:spacing w:line="240" w:lineRule="auto"/>
        <w:rPr>
          <w:rFonts w:hint="eastAsia"/>
          <w:color w:val="auto"/>
          <w:sz w:val="24"/>
        </w:rPr>
      </w:pPr>
      <w:r>
        <w:rPr>
          <w:rFonts w:hint="eastAsia"/>
          <w:color w:val="auto"/>
          <w:sz w:val="24"/>
        </w:rPr>
        <w:t>　　</w:t>
      </w:r>
      <w:r>
        <w:rPr>
          <w:color w:val="auto"/>
          <w:sz w:val="24"/>
        </w:rPr>
        <w:t xml:space="preserve">1.11.1 </w:t>
      </w:r>
      <w:r>
        <w:rPr>
          <w:rFonts w:hint="eastAsia"/>
          <w:color w:val="auto"/>
          <w:sz w:val="24"/>
        </w:rPr>
        <w:t>承包人在使用任何材料、承包人设备、工程设备或采用施工工艺时，因侵犯专利权或其他知识产权所引起的责任，由承包人承担，但由于遵照发包人提供的设计或技术标准和要求引起的除外。</w:t>
      </w:r>
    </w:p>
    <w:p w14:paraId="25B30198">
      <w:pPr>
        <w:spacing w:line="240" w:lineRule="auto"/>
        <w:ind w:firstLine="480" w:firstLineChars="200"/>
        <w:rPr>
          <w:color w:val="auto"/>
          <w:sz w:val="24"/>
        </w:rPr>
      </w:pPr>
      <w:r>
        <w:rPr>
          <w:color w:val="auto"/>
          <w:sz w:val="24"/>
        </w:rPr>
        <w:t xml:space="preserve">1.11.2 </w:t>
      </w:r>
      <w:r>
        <w:rPr>
          <w:rFonts w:hint="eastAsia"/>
          <w:color w:val="auto"/>
          <w:sz w:val="24"/>
        </w:rPr>
        <w:t>承包人在投标文件中采用专利技术的，专利技术的使用费包含在投标报价内。</w:t>
      </w:r>
    </w:p>
    <w:p w14:paraId="40857F34">
      <w:pPr>
        <w:spacing w:line="240" w:lineRule="auto"/>
        <w:ind w:firstLine="480" w:firstLineChars="200"/>
        <w:rPr>
          <w:color w:val="auto"/>
          <w:sz w:val="24"/>
        </w:rPr>
      </w:pPr>
      <w:r>
        <w:rPr>
          <w:color w:val="auto"/>
          <w:sz w:val="24"/>
        </w:rPr>
        <w:t xml:space="preserve">1.11.3 </w:t>
      </w:r>
      <w:r>
        <w:rPr>
          <w:rFonts w:hint="eastAsia"/>
          <w:color w:val="auto"/>
          <w:sz w:val="24"/>
        </w:rPr>
        <w:t>承包人的技术秘密和声明需要保密的资料和信息，发包人不得为合同以外的目的泄露给他人。</w:t>
      </w:r>
    </w:p>
    <w:p w14:paraId="1B065F17">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1.12 </w:t>
      </w:r>
      <w:r>
        <w:rPr>
          <w:rFonts w:hint="eastAsia" w:eastAsia="黑体"/>
          <w:bCs/>
          <w:color w:val="auto"/>
          <w:kern w:val="44"/>
          <w:sz w:val="24"/>
          <w:lang w:val="zh-CN"/>
        </w:rPr>
        <w:t>图纸和文件的保密</w:t>
      </w:r>
    </w:p>
    <w:p w14:paraId="217D979C">
      <w:pPr>
        <w:spacing w:line="240" w:lineRule="auto"/>
        <w:ind w:firstLine="480" w:firstLineChars="200"/>
        <w:rPr>
          <w:color w:val="auto"/>
          <w:sz w:val="24"/>
        </w:rPr>
      </w:pPr>
      <w:r>
        <w:rPr>
          <w:color w:val="auto"/>
          <w:sz w:val="24"/>
        </w:rPr>
        <w:t xml:space="preserve">1.12.1 </w:t>
      </w:r>
      <w:r>
        <w:rPr>
          <w:rFonts w:hint="eastAsia"/>
          <w:color w:val="auto"/>
          <w:sz w:val="24"/>
        </w:rPr>
        <w:t>发包人提供的图纸和文件，未经发包人同意，承包人不得为合同以外的目的泄露给他人或公开发表与引用。</w:t>
      </w:r>
    </w:p>
    <w:p w14:paraId="1ABB81B3">
      <w:pPr>
        <w:spacing w:line="240" w:lineRule="auto"/>
        <w:ind w:firstLine="480" w:firstLineChars="200"/>
        <w:rPr>
          <w:color w:val="auto"/>
          <w:sz w:val="24"/>
        </w:rPr>
      </w:pPr>
      <w:r>
        <w:rPr>
          <w:color w:val="auto"/>
          <w:sz w:val="24"/>
        </w:rPr>
        <w:t xml:space="preserve">1.12.2 </w:t>
      </w:r>
      <w:r>
        <w:rPr>
          <w:rFonts w:hint="eastAsia"/>
          <w:color w:val="auto"/>
          <w:sz w:val="24"/>
        </w:rPr>
        <w:t>承包人提供的文件，未经承包人同意，发包人不得为合同以外的目的泄露给他人或公开发表与引用。</w:t>
      </w:r>
    </w:p>
    <w:p w14:paraId="278F8A6C">
      <w:pPr>
        <w:keepNext/>
        <w:keepLines/>
        <w:spacing w:before="480" w:after="240" w:line="240" w:lineRule="auto"/>
        <w:outlineLvl w:val="2"/>
        <w:rPr>
          <w:rFonts w:eastAsia="黑体"/>
          <w:bCs/>
          <w:color w:val="auto"/>
          <w:kern w:val="44"/>
          <w:sz w:val="28"/>
          <w:szCs w:val="28"/>
          <w:lang w:val="zh-CN"/>
        </w:rPr>
      </w:pPr>
      <w:r>
        <w:rPr>
          <w:rFonts w:eastAsia="黑体"/>
          <w:bCs/>
          <w:color w:val="auto"/>
          <w:kern w:val="44"/>
          <w:sz w:val="28"/>
          <w:szCs w:val="28"/>
          <w:lang w:val="zh-CN"/>
        </w:rPr>
        <w:t xml:space="preserve">2. </w:t>
      </w:r>
      <w:r>
        <w:rPr>
          <w:rFonts w:hint="eastAsia" w:eastAsia="黑体"/>
          <w:bCs/>
          <w:color w:val="auto"/>
          <w:kern w:val="44"/>
          <w:sz w:val="28"/>
          <w:szCs w:val="28"/>
          <w:lang w:val="zh-CN"/>
        </w:rPr>
        <w:t>发包人义务</w:t>
      </w:r>
    </w:p>
    <w:p w14:paraId="2D3AF97D">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2.1 </w:t>
      </w:r>
      <w:r>
        <w:rPr>
          <w:rFonts w:hint="eastAsia" w:eastAsia="黑体"/>
          <w:bCs/>
          <w:color w:val="auto"/>
          <w:kern w:val="44"/>
          <w:sz w:val="24"/>
          <w:lang w:val="zh-CN"/>
        </w:rPr>
        <w:t>遵守法律</w:t>
      </w:r>
    </w:p>
    <w:p w14:paraId="61E8ECF4">
      <w:pPr>
        <w:spacing w:line="240" w:lineRule="auto"/>
        <w:rPr>
          <w:rFonts w:hint="eastAsia"/>
          <w:color w:val="auto"/>
          <w:sz w:val="24"/>
        </w:rPr>
      </w:pPr>
      <w:r>
        <w:rPr>
          <w:rFonts w:hint="eastAsia"/>
          <w:color w:val="auto"/>
          <w:sz w:val="24"/>
        </w:rPr>
        <w:t>　　发包人在履行合同过程中应遵守法律，并保证承包人免于承担因发包人违反法律而引起的任何责任。</w:t>
      </w:r>
    </w:p>
    <w:p w14:paraId="57415267">
      <w:pPr>
        <w:keepNext/>
        <w:keepLines/>
        <w:spacing w:before="240" w:after="240" w:line="240" w:lineRule="auto"/>
        <w:jc w:val="left"/>
        <w:rPr>
          <w:rFonts w:eastAsia="黑体"/>
          <w:bCs/>
          <w:color w:val="auto"/>
          <w:kern w:val="44"/>
          <w:sz w:val="24"/>
          <w:lang w:val="zh-CN"/>
        </w:rPr>
      </w:pPr>
      <w:r>
        <w:rPr>
          <w:rFonts w:eastAsia="黑体"/>
          <w:bCs/>
          <w:color w:val="auto"/>
          <w:kern w:val="44"/>
          <w:sz w:val="24"/>
          <w:lang w:val="zh-CN"/>
        </w:rPr>
        <w:t xml:space="preserve">2.2 </w:t>
      </w:r>
      <w:r>
        <w:rPr>
          <w:rFonts w:hint="eastAsia" w:eastAsia="黑体"/>
          <w:bCs/>
          <w:color w:val="auto"/>
          <w:kern w:val="44"/>
          <w:sz w:val="24"/>
          <w:lang w:val="zh-CN"/>
        </w:rPr>
        <w:t>发出开工通知</w:t>
      </w:r>
    </w:p>
    <w:p w14:paraId="6BF42AB8">
      <w:pPr>
        <w:spacing w:line="240" w:lineRule="auto"/>
        <w:rPr>
          <w:rFonts w:hint="eastAsia"/>
          <w:color w:val="auto"/>
          <w:sz w:val="24"/>
        </w:rPr>
      </w:pPr>
      <w:r>
        <w:rPr>
          <w:rFonts w:hint="eastAsia"/>
          <w:color w:val="auto"/>
          <w:sz w:val="24"/>
        </w:rPr>
        <w:t>　　发包人应按第</w:t>
      </w:r>
      <w:r>
        <w:rPr>
          <w:color w:val="auto"/>
          <w:sz w:val="24"/>
        </w:rPr>
        <w:t>11.1</w:t>
      </w:r>
      <w:r>
        <w:rPr>
          <w:rFonts w:hint="eastAsia"/>
          <w:color w:val="auto"/>
          <w:sz w:val="24"/>
        </w:rPr>
        <w:t>款的约定向承包人发出开工通知。</w:t>
      </w:r>
    </w:p>
    <w:p w14:paraId="37F4FAEC">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2.3 </w:t>
      </w:r>
      <w:r>
        <w:rPr>
          <w:rFonts w:hint="eastAsia" w:eastAsia="黑体"/>
          <w:bCs/>
          <w:color w:val="auto"/>
          <w:kern w:val="44"/>
          <w:sz w:val="24"/>
          <w:lang w:val="zh-CN"/>
        </w:rPr>
        <w:t>提供施工场地</w:t>
      </w:r>
    </w:p>
    <w:p w14:paraId="59BB87A3">
      <w:pPr>
        <w:spacing w:line="240" w:lineRule="auto"/>
        <w:rPr>
          <w:rFonts w:hint="eastAsia"/>
          <w:color w:val="auto"/>
          <w:sz w:val="24"/>
        </w:rPr>
      </w:pPr>
      <w:r>
        <w:rPr>
          <w:rFonts w:hint="eastAsia"/>
          <w:color w:val="auto"/>
          <w:sz w:val="24"/>
        </w:rPr>
        <w:t>　　发包人应按专用合同条款约定向承包人提供施工场地，以及施工场地内地下管线和地下设施等有关资料，并保证资料的真实、准确、完整。</w:t>
      </w:r>
    </w:p>
    <w:p w14:paraId="67C20F64">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2.4 </w:t>
      </w:r>
      <w:r>
        <w:rPr>
          <w:rFonts w:hint="eastAsia" w:eastAsia="黑体"/>
          <w:bCs/>
          <w:color w:val="auto"/>
          <w:kern w:val="44"/>
          <w:sz w:val="24"/>
          <w:lang w:val="zh-CN"/>
        </w:rPr>
        <w:t>协助承包人办理证件和批件</w:t>
      </w:r>
    </w:p>
    <w:p w14:paraId="5D76FB19">
      <w:pPr>
        <w:spacing w:line="240" w:lineRule="auto"/>
        <w:rPr>
          <w:color w:val="auto"/>
          <w:sz w:val="24"/>
        </w:rPr>
      </w:pPr>
      <w:r>
        <w:rPr>
          <w:color w:val="auto"/>
          <w:sz w:val="24"/>
        </w:rPr>
        <w:t xml:space="preserve">    </w:t>
      </w:r>
      <w:r>
        <w:rPr>
          <w:rFonts w:hint="eastAsia"/>
          <w:color w:val="auto"/>
          <w:sz w:val="24"/>
        </w:rPr>
        <w:t>发包人应协助承包人办理法律规定的有关施工证件和批件。</w:t>
      </w:r>
    </w:p>
    <w:p w14:paraId="367E1BE6">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2.5 </w:t>
      </w:r>
      <w:r>
        <w:rPr>
          <w:rFonts w:hint="eastAsia" w:eastAsia="黑体"/>
          <w:bCs/>
          <w:color w:val="auto"/>
          <w:kern w:val="44"/>
          <w:sz w:val="24"/>
          <w:lang w:val="zh-CN"/>
        </w:rPr>
        <w:t>组织设计交底</w:t>
      </w:r>
    </w:p>
    <w:p w14:paraId="1BBD7860">
      <w:pPr>
        <w:spacing w:line="240" w:lineRule="auto"/>
        <w:rPr>
          <w:rFonts w:hint="eastAsia"/>
          <w:color w:val="auto"/>
          <w:sz w:val="24"/>
        </w:rPr>
      </w:pPr>
      <w:r>
        <w:rPr>
          <w:rFonts w:hint="eastAsia"/>
          <w:color w:val="auto"/>
          <w:sz w:val="24"/>
        </w:rPr>
        <w:t>　　发包人应根据合同进度计划，组织设计单位向承包人进行设计交底。</w:t>
      </w:r>
    </w:p>
    <w:p w14:paraId="70315AE0">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2.6 </w:t>
      </w:r>
      <w:r>
        <w:rPr>
          <w:rFonts w:hint="eastAsia" w:eastAsia="黑体"/>
          <w:bCs/>
          <w:color w:val="auto"/>
          <w:kern w:val="44"/>
          <w:sz w:val="24"/>
          <w:lang w:val="zh-CN"/>
        </w:rPr>
        <w:t>支付合同价款</w:t>
      </w:r>
    </w:p>
    <w:p w14:paraId="006664C1">
      <w:pPr>
        <w:spacing w:line="240" w:lineRule="auto"/>
        <w:ind w:firstLine="480" w:firstLineChars="200"/>
        <w:rPr>
          <w:rFonts w:hint="eastAsia"/>
          <w:color w:val="auto"/>
          <w:sz w:val="24"/>
        </w:rPr>
      </w:pPr>
      <w:r>
        <w:rPr>
          <w:rFonts w:hint="eastAsia"/>
          <w:color w:val="auto"/>
          <w:sz w:val="24"/>
        </w:rPr>
        <w:t>发包人应按合同约定向承包人及时支付合同价款。</w:t>
      </w:r>
    </w:p>
    <w:p w14:paraId="3147F28A">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2.7 </w:t>
      </w:r>
      <w:r>
        <w:rPr>
          <w:rFonts w:hint="eastAsia" w:eastAsia="黑体"/>
          <w:bCs/>
          <w:color w:val="auto"/>
          <w:kern w:val="44"/>
          <w:sz w:val="24"/>
          <w:lang w:val="zh-CN"/>
        </w:rPr>
        <w:t>组织竣工验收</w:t>
      </w:r>
    </w:p>
    <w:p w14:paraId="7380EA18">
      <w:pPr>
        <w:spacing w:line="240" w:lineRule="auto"/>
        <w:rPr>
          <w:color w:val="auto"/>
          <w:sz w:val="24"/>
        </w:rPr>
      </w:pPr>
      <w:r>
        <w:rPr>
          <w:color w:val="auto"/>
          <w:sz w:val="24"/>
        </w:rPr>
        <w:t xml:space="preserve">    </w:t>
      </w:r>
      <w:r>
        <w:rPr>
          <w:rFonts w:hint="eastAsia"/>
          <w:color w:val="auto"/>
          <w:sz w:val="24"/>
        </w:rPr>
        <w:t>发包人应按合同约定及时组织竣工验收。</w:t>
      </w:r>
    </w:p>
    <w:p w14:paraId="793F9A24">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2.8 </w:t>
      </w:r>
      <w:r>
        <w:rPr>
          <w:rFonts w:hint="eastAsia" w:eastAsia="黑体"/>
          <w:bCs/>
          <w:color w:val="auto"/>
          <w:kern w:val="44"/>
          <w:sz w:val="24"/>
          <w:lang w:val="zh-CN"/>
        </w:rPr>
        <w:t>其他义务</w:t>
      </w:r>
    </w:p>
    <w:p w14:paraId="535EC136">
      <w:pPr>
        <w:spacing w:line="240" w:lineRule="auto"/>
        <w:rPr>
          <w:rFonts w:hint="eastAsia"/>
          <w:color w:val="auto"/>
          <w:sz w:val="24"/>
        </w:rPr>
      </w:pPr>
      <w:r>
        <w:rPr>
          <w:rFonts w:hint="eastAsia"/>
          <w:color w:val="auto"/>
          <w:sz w:val="24"/>
        </w:rPr>
        <w:t>　　发包人应履行合同约定的其他义务。</w:t>
      </w:r>
    </w:p>
    <w:p w14:paraId="13BAF30D">
      <w:pPr>
        <w:keepNext/>
        <w:keepLines/>
        <w:spacing w:before="480" w:after="240" w:line="240" w:lineRule="auto"/>
        <w:outlineLvl w:val="2"/>
        <w:rPr>
          <w:rFonts w:hint="default" w:eastAsia="黑体"/>
          <w:bCs/>
          <w:color w:val="auto"/>
          <w:kern w:val="44"/>
          <w:sz w:val="28"/>
          <w:szCs w:val="28"/>
          <w:lang w:val="en-US" w:eastAsia="zh-CN"/>
        </w:rPr>
      </w:pPr>
      <w:r>
        <w:rPr>
          <w:rFonts w:eastAsia="黑体"/>
          <w:bCs/>
          <w:color w:val="auto"/>
          <w:kern w:val="44"/>
          <w:sz w:val="28"/>
          <w:szCs w:val="28"/>
          <w:lang w:val="zh-CN"/>
        </w:rPr>
        <w:t xml:space="preserve">3. </w:t>
      </w:r>
      <w:r>
        <w:rPr>
          <w:rFonts w:hint="eastAsia" w:eastAsia="黑体"/>
          <w:bCs/>
          <w:color w:val="auto"/>
          <w:kern w:val="44"/>
          <w:sz w:val="28"/>
          <w:szCs w:val="28"/>
          <w:lang w:val="zh-CN"/>
        </w:rPr>
        <w:t>监理人（</w:t>
      </w:r>
      <w:r>
        <w:rPr>
          <w:rFonts w:hint="eastAsia" w:eastAsia="黑体"/>
          <w:bCs/>
          <w:color w:val="auto"/>
          <w:kern w:val="44"/>
          <w:sz w:val="28"/>
          <w:szCs w:val="28"/>
          <w:lang w:val="en-US" w:eastAsia="zh-CN"/>
        </w:rPr>
        <w:t>本项目无监理人）</w:t>
      </w:r>
    </w:p>
    <w:p w14:paraId="74C2AA30">
      <w:pPr>
        <w:keepNext/>
        <w:keepLines/>
        <w:spacing w:before="480" w:after="240" w:line="240" w:lineRule="auto"/>
        <w:outlineLvl w:val="2"/>
        <w:rPr>
          <w:rFonts w:eastAsia="黑体"/>
          <w:bCs/>
          <w:color w:val="auto"/>
          <w:kern w:val="44"/>
          <w:sz w:val="28"/>
          <w:szCs w:val="28"/>
          <w:lang w:val="zh-CN"/>
        </w:rPr>
      </w:pPr>
      <w:r>
        <w:rPr>
          <w:rFonts w:eastAsia="黑体"/>
          <w:bCs/>
          <w:color w:val="auto"/>
          <w:kern w:val="44"/>
          <w:sz w:val="28"/>
          <w:szCs w:val="28"/>
          <w:lang w:val="zh-CN"/>
        </w:rPr>
        <w:t xml:space="preserve">4. </w:t>
      </w:r>
      <w:r>
        <w:rPr>
          <w:rFonts w:hint="eastAsia" w:eastAsia="黑体"/>
          <w:bCs/>
          <w:color w:val="auto"/>
          <w:kern w:val="44"/>
          <w:sz w:val="28"/>
          <w:szCs w:val="28"/>
          <w:lang w:val="zh-CN"/>
        </w:rPr>
        <w:t>承包人</w:t>
      </w:r>
    </w:p>
    <w:p w14:paraId="7A5F99F7">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4.1 </w:t>
      </w:r>
      <w:r>
        <w:rPr>
          <w:rFonts w:hint="eastAsia" w:eastAsia="黑体"/>
          <w:bCs/>
          <w:color w:val="auto"/>
          <w:kern w:val="44"/>
          <w:sz w:val="24"/>
          <w:lang w:val="zh-CN"/>
        </w:rPr>
        <w:t>承包人的一般义务</w:t>
      </w:r>
    </w:p>
    <w:p w14:paraId="3D080AC2">
      <w:pPr>
        <w:spacing w:line="240" w:lineRule="auto"/>
        <w:ind w:firstLine="468" w:firstLineChars="195"/>
        <w:rPr>
          <w:color w:val="auto"/>
          <w:sz w:val="24"/>
        </w:rPr>
      </w:pPr>
      <w:r>
        <w:rPr>
          <w:color w:val="auto"/>
          <w:sz w:val="24"/>
        </w:rPr>
        <w:t xml:space="preserve">4.1.1 </w:t>
      </w:r>
      <w:r>
        <w:rPr>
          <w:rFonts w:hint="eastAsia" w:eastAsia="黑体"/>
          <w:color w:val="auto"/>
          <w:sz w:val="24"/>
        </w:rPr>
        <w:t>遵守法律</w:t>
      </w:r>
    </w:p>
    <w:p w14:paraId="1438EBA4">
      <w:pPr>
        <w:spacing w:line="240" w:lineRule="auto"/>
        <w:ind w:firstLine="468" w:firstLineChars="195"/>
        <w:rPr>
          <w:rFonts w:hint="eastAsia"/>
          <w:color w:val="auto"/>
          <w:sz w:val="24"/>
        </w:rPr>
      </w:pPr>
      <w:r>
        <w:rPr>
          <w:rFonts w:hint="eastAsia"/>
          <w:color w:val="auto"/>
          <w:sz w:val="24"/>
        </w:rPr>
        <w:t>承包人在履行合同过程中应遵守法律，并保证发包人免于承担因承包人违反法律而引起的任何责任。</w:t>
      </w:r>
    </w:p>
    <w:p w14:paraId="4E102055">
      <w:pPr>
        <w:spacing w:line="240" w:lineRule="auto"/>
        <w:ind w:firstLine="468" w:firstLineChars="195"/>
        <w:rPr>
          <w:color w:val="auto"/>
          <w:sz w:val="24"/>
        </w:rPr>
      </w:pPr>
      <w:r>
        <w:rPr>
          <w:color w:val="auto"/>
          <w:sz w:val="24"/>
        </w:rPr>
        <w:t xml:space="preserve">4.1.2 </w:t>
      </w:r>
      <w:r>
        <w:rPr>
          <w:rFonts w:hint="eastAsia" w:eastAsia="黑体"/>
          <w:color w:val="auto"/>
          <w:sz w:val="24"/>
        </w:rPr>
        <w:t>依法纳税</w:t>
      </w:r>
    </w:p>
    <w:p w14:paraId="46D268D9">
      <w:pPr>
        <w:spacing w:line="240" w:lineRule="auto"/>
        <w:ind w:firstLine="468" w:firstLineChars="195"/>
        <w:rPr>
          <w:rFonts w:hint="eastAsia"/>
          <w:color w:val="auto"/>
          <w:sz w:val="24"/>
        </w:rPr>
      </w:pPr>
      <w:r>
        <w:rPr>
          <w:rFonts w:hint="eastAsia"/>
          <w:color w:val="auto"/>
          <w:sz w:val="24"/>
        </w:rPr>
        <w:t>承包人应按有关法律规定纳税，应缴纳的税金包括在合同价格内。</w:t>
      </w:r>
    </w:p>
    <w:p w14:paraId="6A5157D4">
      <w:pPr>
        <w:spacing w:line="240" w:lineRule="auto"/>
        <w:ind w:firstLine="468" w:firstLineChars="195"/>
        <w:rPr>
          <w:color w:val="auto"/>
          <w:sz w:val="24"/>
        </w:rPr>
      </w:pPr>
      <w:r>
        <w:rPr>
          <w:color w:val="auto"/>
          <w:sz w:val="24"/>
        </w:rPr>
        <w:t xml:space="preserve">4.1.3 </w:t>
      </w:r>
      <w:r>
        <w:rPr>
          <w:rFonts w:hint="eastAsia" w:eastAsia="黑体"/>
          <w:color w:val="auto"/>
          <w:sz w:val="24"/>
        </w:rPr>
        <w:t>完成各项承包工作</w:t>
      </w:r>
    </w:p>
    <w:p w14:paraId="78CB13E5">
      <w:pPr>
        <w:spacing w:line="240" w:lineRule="auto"/>
        <w:ind w:firstLine="468" w:firstLineChars="195"/>
        <w:rPr>
          <w:rFonts w:hint="eastAsia"/>
          <w:color w:val="auto"/>
          <w:sz w:val="24"/>
        </w:rPr>
      </w:pPr>
      <w:r>
        <w:rPr>
          <w:rFonts w:hint="eastAsia"/>
          <w:color w:val="auto"/>
          <w:sz w:val="24"/>
        </w:rPr>
        <w:t>承包人应按合同约定以及</w:t>
      </w:r>
      <w:r>
        <w:rPr>
          <w:rFonts w:hint="eastAsia"/>
          <w:color w:val="auto"/>
          <w:sz w:val="24"/>
          <w:lang w:val="en-US" w:eastAsia="zh-CN"/>
        </w:rPr>
        <w:t>发包</w:t>
      </w:r>
      <w:r>
        <w:rPr>
          <w:rFonts w:hint="eastAsia"/>
          <w:color w:val="auto"/>
          <w:sz w:val="24"/>
        </w:rPr>
        <w:t>人根据第</w:t>
      </w:r>
      <w:r>
        <w:rPr>
          <w:color w:val="auto"/>
          <w:sz w:val="24"/>
        </w:rPr>
        <w:t>3.4</w:t>
      </w:r>
      <w:r>
        <w:rPr>
          <w:rFonts w:hint="eastAsia"/>
          <w:color w:val="auto"/>
          <w:sz w:val="24"/>
        </w:rPr>
        <w:t>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14:paraId="257D3071">
      <w:pPr>
        <w:spacing w:line="240" w:lineRule="auto"/>
        <w:ind w:firstLine="468" w:firstLineChars="195"/>
        <w:rPr>
          <w:rFonts w:eastAsia="黑体"/>
          <w:color w:val="auto"/>
          <w:sz w:val="24"/>
        </w:rPr>
      </w:pPr>
      <w:r>
        <w:rPr>
          <w:rFonts w:eastAsia="黑体"/>
          <w:color w:val="auto"/>
          <w:sz w:val="24"/>
        </w:rPr>
        <w:t xml:space="preserve">4.1.4 </w:t>
      </w:r>
      <w:r>
        <w:rPr>
          <w:rFonts w:hint="eastAsia" w:eastAsia="黑体"/>
          <w:color w:val="auto"/>
          <w:sz w:val="24"/>
        </w:rPr>
        <w:t>对施工作业和施工方法的完备性负责</w:t>
      </w:r>
    </w:p>
    <w:p w14:paraId="06637718">
      <w:pPr>
        <w:spacing w:line="240" w:lineRule="auto"/>
        <w:ind w:firstLine="468" w:firstLineChars="195"/>
        <w:rPr>
          <w:rFonts w:hint="eastAsia"/>
          <w:color w:val="auto"/>
          <w:sz w:val="24"/>
        </w:rPr>
      </w:pPr>
      <w:r>
        <w:rPr>
          <w:rFonts w:hint="eastAsia"/>
          <w:color w:val="auto"/>
          <w:sz w:val="24"/>
        </w:rPr>
        <w:t>承包人应按合同约定的工作内容和施工进度要求，编制施工组织设计和施工措施计划，并对所有施工作业和施工方法的完备性和安全可靠性负责。</w:t>
      </w:r>
    </w:p>
    <w:p w14:paraId="156BE4C9">
      <w:pPr>
        <w:spacing w:line="240" w:lineRule="auto"/>
        <w:ind w:firstLine="468" w:firstLineChars="195"/>
        <w:rPr>
          <w:color w:val="auto"/>
          <w:sz w:val="24"/>
        </w:rPr>
      </w:pPr>
      <w:r>
        <w:rPr>
          <w:color w:val="auto"/>
          <w:sz w:val="24"/>
        </w:rPr>
        <w:t>4.1.5</w:t>
      </w:r>
      <w:r>
        <w:rPr>
          <w:rFonts w:eastAsia="黑体"/>
          <w:color w:val="auto"/>
          <w:sz w:val="24"/>
        </w:rPr>
        <w:t xml:space="preserve"> </w:t>
      </w:r>
      <w:r>
        <w:rPr>
          <w:rFonts w:hint="eastAsia" w:eastAsia="黑体"/>
          <w:color w:val="auto"/>
          <w:sz w:val="24"/>
        </w:rPr>
        <w:t>保证工程施工和人员的安全</w:t>
      </w:r>
    </w:p>
    <w:p w14:paraId="5B8B4491">
      <w:pPr>
        <w:spacing w:line="240" w:lineRule="auto"/>
        <w:ind w:firstLine="468" w:firstLineChars="195"/>
        <w:rPr>
          <w:rFonts w:hint="eastAsia"/>
          <w:color w:val="auto"/>
          <w:sz w:val="24"/>
        </w:rPr>
      </w:pPr>
      <w:r>
        <w:rPr>
          <w:rFonts w:hint="eastAsia"/>
          <w:color w:val="auto"/>
          <w:sz w:val="24"/>
        </w:rPr>
        <w:t>承包人应按第</w:t>
      </w:r>
      <w:r>
        <w:rPr>
          <w:color w:val="auto"/>
          <w:sz w:val="24"/>
        </w:rPr>
        <w:t>9.2</w:t>
      </w:r>
      <w:r>
        <w:rPr>
          <w:rFonts w:hint="eastAsia"/>
          <w:color w:val="auto"/>
          <w:sz w:val="24"/>
        </w:rPr>
        <w:t>款约定采取施工安全措施，确保工程及其人员、材料、设备和设施的安全，防止因工程施工造成的人身伤害和财产损失。</w:t>
      </w:r>
    </w:p>
    <w:p w14:paraId="5BB84150">
      <w:pPr>
        <w:spacing w:line="240" w:lineRule="auto"/>
        <w:ind w:firstLine="468" w:firstLineChars="195"/>
        <w:rPr>
          <w:color w:val="auto"/>
          <w:sz w:val="24"/>
        </w:rPr>
      </w:pPr>
      <w:r>
        <w:rPr>
          <w:color w:val="auto"/>
          <w:sz w:val="24"/>
        </w:rPr>
        <w:t xml:space="preserve">4.1.6 </w:t>
      </w:r>
      <w:r>
        <w:rPr>
          <w:rFonts w:hint="eastAsia" w:eastAsia="黑体"/>
          <w:color w:val="auto"/>
          <w:sz w:val="24"/>
        </w:rPr>
        <w:t>负责施工场地及其周边环境与生态的保护工作</w:t>
      </w:r>
    </w:p>
    <w:p w14:paraId="77BB24FB">
      <w:pPr>
        <w:spacing w:line="240" w:lineRule="auto"/>
        <w:ind w:firstLine="468" w:firstLineChars="195"/>
        <w:rPr>
          <w:rFonts w:hint="eastAsia"/>
          <w:color w:val="auto"/>
          <w:sz w:val="24"/>
        </w:rPr>
      </w:pPr>
      <w:r>
        <w:rPr>
          <w:rFonts w:hint="eastAsia"/>
          <w:color w:val="auto"/>
          <w:sz w:val="24"/>
        </w:rPr>
        <w:t>承包人应按照第</w:t>
      </w:r>
      <w:r>
        <w:rPr>
          <w:color w:val="auto"/>
          <w:sz w:val="24"/>
        </w:rPr>
        <w:t>9.4</w:t>
      </w:r>
      <w:r>
        <w:rPr>
          <w:rFonts w:hint="eastAsia"/>
          <w:color w:val="auto"/>
          <w:sz w:val="24"/>
        </w:rPr>
        <w:t>款约定负责施工场地及其周边环境与生态的保护工作。</w:t>
      </w:r>
    </w:p>
    <w:p w14:paraId="5204E746">
      <w:pPr>
        <w:spacing w:line="240" w:lineRule="auto"/>
        <w:ind w:firstLine="468" w:firstLineChars="195"/>
        <w:rPr>
          <w:color w:val="auto"/>
          <w:sz w:val="24"/>
        </w:rPr>
      </w:pPr>
      <w:r>
        <w:rPr>
          <w:color w:val="auto"/>
          <w:sz w:val="24"/>
        </w:rPr>
        <w:t xml:space="preserve">4.1.7 </w:t>
      </w:r>
      <w:r>
        <w:rPr>
          <w:rFonts w:hint="eastAsia" w:eastAsia="黑体"/>
          <w:color w:val="auto"/>
          <w:sz w:val="24"/>
        </w:rPr>
        <w:t>避免施工对公众与他人的利益造成损害</w:t>
      </w:r>
    </w:p>
    <w:p w14:paraId="15A61066">
      <w:pPr>
        <w:spacing w:line="240" w:lineRule="auto"/>
        <w:ind w:firstLine="468" w:firstLineChars="195"/>
        <w:rPr>
          <w:rFonts w:hint="eastAsia"/>
          <w:color w:val="auto"/>
          <w:sz w:val="24"/>
        </w:rPr>
      </w:pPr>
      <w:r>
        <w:rPr>
          <w:rFonts w:hint="eastAsia"/>
          <w:color w:val="auto"/>
          <w:sz w:val="24"/>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0784C00B">
      <w:pPr>
        <w:spacing w:line="240" w:lineRule="auto"/>
        <w:ind w:firstLine="468" w:firstLineChars="195"/>
        <w:rPr>
          <w:color w:val="auto"/>
          <w:sz w:val="24"/>
        </w:rPr>
      </w:pPr>
      <w:r>
        <w:rPr>
          <w:color w:val="auto"/>
          <w:sz w:val="24"/>
        </w:rPr>
        <w:t xml:space="preserve">4.1.8 </w:t>
      </w:r>
      <w:r>
        <w:rPr>
          <w:rFonts w:hint="eastAsia" w:eastAsia="黑体"/>
          <w:color w:val="auto"/>
          <w:sz w:val="24"/>
        </w:rPr>
        <w:t>为他人提供方便</w:t>
      </w:r>
    </w:p>
    <w:p w14:paraId="6FA47C58">
      <w:pPr>
        <w:spacing w:line="240" w:lineRule="auto"/>
        <w:ind w:firstLine="468" w:firstLineChars="195"/>
        <w:rPr>
          <w:rFonts w:hint="eastAsia"/>
          <w:color w:val="auto"/>
          <w:sz w:val="24"/>
        </w:rPr>
      </w:pPr>
      <w:r>
        <w:rPr>
          <w:rFonts w:hint="eastAsia"/>
          <w:color w:val="auto"/>
          <w:sz w:val="24"/>
        </w:rPr>
        <w:t>承包人应按</w:t>
      </w:r>
      <w:r>
        <w:rPr>
          <w:rFonts w:hint="eastAsia"/>
          <w:color w:val="auto"/>
          <w:sz w:val="24"/>
          <w:lang w:val="en-US" w:eastAsia="zh-CN"/>
        </w:rPr>
        <w:t>发包</w:t>
      </w:r>
      <w:r>
        <w:rPr>
          <w:rFonts w:hint="eastAsia"/>
          <w:color w:val="auto"/>
          <w:sz w:val="24"/>
        </w:rPr>
        <w:t>人的指示为他人在施工场地或附近实施与工程有关的其他各项工作提供可能的条件。除合同另有约定外，提供有关条件的内容和可能发生的费用，由</w:t>
      </w:r>
      <w:r>
        <w:rPr>
          <w:rFonts w:hint="eastAsia"/>
          <w:color w:val="auto"/>
          <w:sz w:val="24"/>
          <w:lang w:val="en-US" w:eastAsia="zh-CN"/>
        </w:rPr>
        <w:t>发包</w:t>
      </w:r>
      <w:r>
        <w:rPr>
          <w:rFonts w:hint="eastAsia"/>
          <w:color w:val="auto"/>
          <w:sz w:val="24"/>
        </w:rPr>
        <w:t>人按第</w:t>
      </w:r>
      <w:r>
        <w:rPr>
          <w:color w:val="auto"/>
          <w:sz w:val="24"/>
        </w:rPr>
        <w:t>3.5</w:t>
      </w:r>
      <w:r>
        <w:rPr>
          <w:rFonts w:hint="eastAsia"/>
          <w:color w:val="auto"/>
          <w:sz w:val="24"/>
        </w:rPr>
        <w:t>款商定或确定。</w:t>
      </w:r>
    </w:p>
    <w:p w14:paraId="0D1EF258">
      <w:pPr>
        <w:spacing w:line="240" w:lineRule="auto"/>
        <w:ind w:firstLine="468" w:firstLineChars="195"/>
        <w:rPr>
          <w:color w:val="auto"/>
          <w:sz w:val="24"/>
        </w:rPr>
      </w:pPr>
      <w:r>
        <w:rPr>
          <w:color w:val="auto"/>
          <w:sz w:val="24"/>
        </w:rPr>
        <w:t xml:space="preserve">4.1.9 </w:t>
      </w:r>
      <w:r>
        <w:rPr>
          <w:rFonts w:hint="eastAsia" w:eastAsia="黑体"/>
          <w:color w:val="auto"/>
          <w:sz w:val="24"/>
        </w:rPr>
        <w:t>工程的维护和照管</w:t>
      </w:r>
    </w:p>
    <w:p w14:paraId="4C661629">
      <w:pPr>
        <w:spacing w:line="240" w:lineRule="auto"/>
        <w:ind w:firstLine="468" w:firstLineChars="195"/>
        <w:rPr>
          <w:rFonts w:hint="eastAsia"/>
          <w:color w:val="auto"/>
          <w:sz w:val="24"/>
        </w:rPr>
      </w:pPr>
      <w:r>
        <w:rPr>
          <w:rFonts w:hint="eastAsia"/>
          <w:color w:val="auto"/>
          <w:sz w:val="24"/>
        </w:rPr>
        <w:t>工程接收证书颁发前，承包人应负责照管和维护工程。工程接收证书颁发时尚有部分未竣工工程的，承包人还应负责该未竣工工程的照管和维护工作，直至竣工后移交给发包人为止。</w:t>
      </w:r>
    </w:p>
    <w:p w14:paraId="0758A695">
      <w:pPr>
        <w:spacing w:line="240" w:lineRule="auto"/>
        <w:ind w:firstLine="468" w:firstLineChars="195"/>
        <w:rPr>
          <w:color w:val="auto"/>
          <w:sz w:val="24"/>
        </w:rPr>
      </w:pPr>
      <w:r>
        <w:rPr>
          <w:color w:val="auto"/>
          <w:sz w:val="24"/>
        </w:rPr>
        <w:t xml:space="preserve">4.1.10 </w:t>
      </w:r>
      <w:r>
        <w:rPr>
          <w:rFonts w:hint="eastAsia" w:eastAsia="黑体"/>
          <w:color w:val="auto"/>
          <w:sz w:val="24"/>
        </w:rPr>
        <w:t>其他义务</w:t>
      </w:r>
    </w:p>
    <w:p w14:paraId="192F1D94">
      <w:pPr>
        <w:spacing w:line="240" w:lineRule="auto"/>
        <w:ind w:firstLine="468" w:firstLineChars="195"/>
        <w:rPr>
          <w:rFonts w:hint="eastAsia"/>
          <w:color w:val="auto"/>
          <w:sz w:val="24"/>
        </w:rPr>
      </w:pPr>
      <w:r>
        <w:rPr>
          <w:rFonts w:hint="eastAsia"/>
          <w:color w:val="auto"/>
          <w:sz w:val="24"/>
        </w:rPr>
        <w:t>承包人应履行合同约定的其他义务。</w:t>
      </w:r>
    </w:p>
    <w:p w14:paraId="4F9092EA">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4.2 </w:t>
      </w:r>
      <w:r>
        <w:rPr>
          <w:rFonts w:hint="eastAsia" w:eastAsia="黑体"/>
          <w:bCs/>
          <w:color w:val="auto"/>
          <w:kern w:val="44"/>
          <w:sz w:val="24"/>
          <w:lang w:val="zh-CN"/>
        </w:rPr>
        <w:t>履约担保</w:t>
      </w:r>
    </w:p>
    <w:p w14:paraId="3364759A">
      <w:pPr>
        <w:spacing w:line="240" w:lineRule="auto"/>
        <w:ind w:firstLine="480" w:firstLineChars="200"/>
        <w:rPr>
          <w:rFonts w:hint="eastAsia"/>
          <w:color w:val="auto"/>
          <w:sz w:val="24"/>
        </w:rPr>
      </w:pPr>
      <w:r>
        <w:rPr>
          <w:rFonts w:hint="eastAsia"/>
          <w:color w:val="auto"/>
          <w:sz w:val="24"/>
        </w:rPr>
        <w:t>承包人应保证其履约担保在发包人颁发工程接收证书前一直有效。发包人应在工程接收证书颁发后</w:t>
      </w:r>
      <w:r>
        <w:rPr>
          <w:color w:val="auto"/>
          <w:sz w:val="24"/>
        </w:rPr>
        <w:t>28</w:t>
      </w:r>
      <w:r>
        <w:rPr>
          <w:rFonts w:hint="eastAsia"/>
          <w:color w:val="auto"/>
          <w:sz w:val="24"/>
        </w:rPr>
        <w:t>天内把履约担保退还给承包人。</w:t>
      </w:r>
    </w:p>
    <w:p w14:paraId="77A9B3C6">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4.3 </w:t>
      </w:r>
      <w:r>
        <w:rPr>
          <w:rFonts w:hint="eastAsia" w:eastAsia="黑体"/>
          <w:bCs/>
          <w:color w:val="auto"/>
          <w:kern w:val="44"/>
          <w:sz w:val="24"/>
          <w:lang w:val="zh-CN"/>
        </w:rPr>
        <w:t>分包</w:t>
      </w:r>
    </w:p>
    <w:p w14:paraId="0334DFE7">
      <w:pPr>
        <w:spacing w:line="240" w:lineRule="auto"/>
        <w:ind w:firstLine="480" w:firstLineChars="200"/>
        <w:rPr>
          <w:color w:val="auto"/>
          <w:sz w:val="24"/>
        </w:rPr>
      </w:pPr>
      <w:r>
        <w:rPr>
          <w:color w:val="auto"/>
          <w:sz w:val="24"/>
        </w:rPr>
        <w:t xml:space="preserve">4.3.1 </w:t>
      </w:r>
      <w:r>
        <w:rPr>
          <w:rFonts w:hint="eastAsia"/>
          <w:color w:val="auto"/>
          <w:sz w:val="24"/>
        </w:rPr>
        <w:t>承包人不得将其承包的全部工程转包给第三人，或将其承包的全部工程肢解后以分包的名义转包给第三人。</w:t>
      </w:r>
    </w:p>
    <w:p w14:paraId="722ACC52">
      <w:pPr>
        <w:spacing w:line="240" w:lineRule="auto"/>
        <w:ind w:firstLine="480" w:firstLineChars="200"/>
        <w:rPr>
          <w:color w:val="auto"/>
          <w:sz w:val="24"/>
        </w:rPr>
      </w:pPr>
      <w:r>
        <w:rPr>
          <w:color w:val="auto"/>
          <w:sz w:val="24"/>
        </w:rPr>
        <w:t xml:space="preserve">4.3.2 </w:t>
      </w:r>
      <w:r>
        <w:rPr>
          <w:rFonts w:hint="eastAsia"/>
          <w:color w:val="auto"/>
          <w:sz w:val="24"/>
        </w:rPr>
        <w:t>承包人不得将工程主体、关键性工作分包给第三人。除专用合同条款另有约定外，未经发包人同意，承包人不得将工程的其他部分或工作分包给第三人。</w:t>
      </w:r>
    </w:p>
    <w:p w14:paraId="26C7F4F7">
      <w:pPr>
        <w:spacing w:line="240" w:lineRule="auto"/>
        <w:ind w:firstLine="480" w:firstLineChars="200"/>
        <w:rPr>
          <w:color w:val="auto"/>
          <w:sz w:val="24"/>
        </w:rPr>
      </w:pPr>
      <w:r>
        <w:rPr>
          <w:color w:val="auto"/>
          <w:sz w:val="24"/>
        </w:rPr>
        <w:t>4.3.3</w:t>
      </w:r>
      <w:r>
        <w:rPr>
          <w:rFonts w:hint="eastAsia"/>
          <w:color w:val="auto"/>
          <w:sz w:val="24"/>
        </w:rPr>
        <w:t>分包人的资格能力应与其分包工程的标准和规模相适应。</w:t>
      </w:r>
    </w:p>
    <w:p w14:paraId="2B09B715">
      <w:pPr>
        <w:spacing w:line="240" w:lineRule="auto"/>
        <w:ind w:firstLine="480" w:firstLineChars="200"/>
        <w:rPr>
          <w:color w:val="auto"/>
          <w:sz w:val="24"/>
        </w:rPr>
      </w:pPr>
      <w:r>
        <w:rPr>
          <w:color w:val="auto"/>
          <w:sz w:val="24"/>
        </w:rPr>
        <w:t>4.3.4</w:t>
      </w:r>
      <w:r>
        <w:rPr>
          <w:rFonts w:hint="eastAsia"/>
          <w:color w:val="auto"/>
          <w:sz w:val="24"/>
        </w:rPr>
        <w:t>按投标函附录约定分包工程的，承包人应向发包人和监理人提交分包合同副本。</w:t>
      </w:r>
    </w:p>
    <w:p w14:paraId="0B275460">
      <w:pPr>
        <w:spacing w:line="240" w:lineRule="auto"/>
        <w:ind w:firstLine="480" w:firstLineChars="200"/>
        <w:rPr>
          <w:color w:val="auto"/>
          <w:sz w:val="24"/>
        </w:rPr>
      </w:pPr>
      <w:r>
        <w:rPr>
          <w:color w:val="auto"/>
          <w:sz w:val="24"/>
        </w:rPr>
        <w:t>4.3.5</w:t>
      </w:r>
      <w:r>
        <w:rPr>
          <w:rFonts w:hint="eastAsia"/>
          <w:color w:val="auto"/>
          <w:sz w:val="24"/>
        </w:rPr>
        <w:t>承包人应与分包人就分包工程向发包人承担连带责任。</w:t>
      </w:r>
    </w:p>
    <w:p w14:paraId="5AF40B67">
      <w:pPr>
        <w:keepNext/>
        <w:keepLines/>
        <w:spacing w:before="240" w:after="240" w:line="240" w:lineRule="auto"/>
        <w:rPr>
          <w:rFonts w:eastAsia="黑体"/>
          <w:bCs/>
          <w:color w:val="auto"/>
          <w:kern w:val="44"/>
          <w:sz w:val="24"/>
          <w:lang w:val="zh-CN"/>
        </w:rPr>
      </w:pPr>
      <w:r>
        <w:rPr>
          <w:rFonts w:eastAsia="黑体"/>
          <w:bCs/>
          <w:color w:val="auto"/>
          <w:kern w:val="44"/>
          <w:sz w:val="24"/>
          <w:lang w:val="zh-CN"/>
        </w:rPr>
        <w:t>4.4</w:t>
      </w:r>
      <w:r>
        <w:rPr>
          <w:rFonts w:eastAsia="黑体"/>
          <w:bCs/>
          <w:color w:val="auto"/>
          <w:kern w:val="44"/>
          <w:sz w:val="24"/>
          <w:lang w:val="zh-CN"/>
        </w:rPr>
        <w:tab/>
      </w:r>
      <w:r>
        <w:rPr>
          <w:rFonts w:hint="eastAsia" w:eastAsia="黑体"/>
          <w:bCs/>
          <w:color w:val="auto"/>
          <w:kern w:val="44"/>
          <w:sz w:val="24"/>
          <w:lang w:val="zh-CN"/>
        </w:rPr>
        <w:t>联合体</w:t>
      </w:r>
    </w:p>
    <w:p w14:paraId="4E39CD5D">
      <w:pPr>
        <w:spacing w:line="240" w:lineRule="auto"/>
        <w:ind w:firstLine="480" w:firstLineChars="200"/>
        <w:rPr>
          <w:color w:val="auto"/>
          <w:sz w:val="24"/>
        </w:rPr>
      </w:pPr>
      <w:r>
        <w:rPr>
          <w:color w:val="auto"/>
          <w:sz w:val="24"/>
        </w:rPr>
        <w:t xml:space="preserve">4.4.1 </w:t>
      </w:r>
      <w:r>
        <w:rPr>
          <w:rFonts w:hint="eastAsia"/>
          <w:color w:val="auto"/>
          <w:sz w:val="24"/>
        </w:rPr>
        <w:t>联合体各方应共同与发包人签订合同协议书。联合体各方应为履行合同承担连带责任。</w:t>
      </w:r>
    </w:p>
    <w:p w14:paraId="49E81CD0">
      <w:pPr>
        <w:spacing w:line="240" w:lineRule="auto"/>
        <w:ind w:firstLine="480" w:firstLineChars="200"/>
        <w:rPr>
          <w:color w:val="auto"/>
          <w:sz w:val="24"/>
        </w:rPr>
      </w:pPr>
      <w:r>
        <w:rPr>
          <w:color w:val="auto"/>
          <w:sz w:val="24"/>
        </w:rPr>
        <w:t xml:space="preserve">4.4.2 </w:t>
      </w:r>
      <w:r>
        <w:rPr>
          <w:rFonts w:hint="eastAsia"/>
          <w:iCs/>
          <w:color w:val="auto"/>
          <w:sz w:val="24"/>
        </w:rPr>
        <w:t>联合体协议经发包人确认后作为合同附件。</w:t>
      </w:r>
      <w:r>
        <w:rPr>
          <w:rFonts w:hint="eastAsia"/>
          <w:color w:val="auto"/>
          <w:sz w:val="24"/>
        </w:rPr>
        <w:t>在履行合同过程中，未经发包人同意，不得修改联合体协议。</w:t>
      </w:r>
    </w:p>
    <w:p w14:paraId="70AF8CE0">
      <w:pPr>
        <w:spacing w:line="240" w:lineRule="auto"/>
        <w:ind w:firstLine="480" w:firstLineChars="200"/>
        <w:rPr>
          <w:color w:val="auto"/>
          <w:sz w:val="24"/>
        </w:rPr>
      </w:pPr>
      <w:r>
        <w:rPr>
          <w:color w:val="auto"/>
          <w:sz w:val="24"/>
        </w:rPr>
        <w:t xml:space="preserve">4.4.3 </w:t>
      </w:r>
      <w:r>
        <w:rPr>
          <w:rFonts w:hint="eastAsia"/>
          <w:color w:val="auto"/>
          <w:sz w:val="24"/>
        </w:rPr>
        <w:t>联合体牵头人负责与发包人和监理人联系，并接受指示，负责组织联合体各成员全面履行合同。</w:t>
      </w:r>
    </w:p>
    <w:p w14:paraId="1C9157E0">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4.5 </w:t>
      </w:r>
      <w:r>
        <w:rPr>
          <w:rFonts w:hint="eastAsia" w:eastAsia="黑体"/>
          <w:bCs/>
          <w:color w:val="auto"/>
          <w:kern w:val="44"/>
          <w:sz w:val="24"/>
          <w:lang w:val="zh-CN"/>
        </w:rPr>
        <w:t>承包人项目经理</w:t>
      </w:r>
    </w:p>
    <w:p w14:paraId="10E7BE4E">
      <w:pPr>
        <w:spacing w:line="240" w:lineRule="auto"/>
        <w:ind w:firstLine="480" w:firstLineChars="200"/>
        <w:rPr>
          <w:color w:val="auto"/>
          <w:sz w:val="24"/>
        </w:rPr>
      </w:pPr>
      <w:r>
        <w:rPr>
          <w:color w:val="auto"/>
          <w:sz w:val="24"/>
        </w:rPr>
        <w:t>4.5.1</w:t>
      </w:r>
      <w:r>
        <w:rPr>
          <w:rFonts w:hint="eastAsia"/>
          <w:color w:val="auto"/>
          <w:sz w:val="24"/>
        </w:rPr>
        <w:t>承包人应按合同约定指派项目经理，并在约定的期限内到职。承包人更换项目经理应事先征得发包人同意，并应在更换</w:t>
      </w:r>
      <w:r>
        <w:rPr>
          <w:color w:val="auto"/>
          <w:sz w:val="24"/>
        </w:rPr>
        <w:t>14</w:t>
      </w:r>
      <w:r>
        <w:rPr>
          <w:rFonts w:hint="eastAsia"/>
          <w:color w:val="auto"/>
          <w:sz w:val="24"/>
        </w:rPr>
        <w:t>天前通知发包人。承包人项目经理短期离开施工场地，应事先征得</w:t>
      </w:r>
      <w:r>
        <w:rPr>
          <w:rFonts w:hint="eastAsia"/>
          <w:color w:val="auto"/>
          <w:sz w:val="24"/>
          <w:lang w:val="en-US" w:eastAsia="zh-CN"/>
        </w:rPr>
        <w:t>发包</w:t>
      </w:r>
      <w:r>
        <w:rPr>
          <w:rFonts w:hint="eastAsia"/>
          <w:color w:val="auto"/>
          <w:sz w:val="24"/>
        </w:rPr>
        <w:t>人同意，并委派代表代行其职责。</w:t>
      </w:r>
    </w:p>
    <w:p w14:paraId="3710F2C8">
      <w:pPr>
        <w:spacing w:line="240" w:lineRule="auto"/>
        <w:ind w:firstLine="480" w:firstLineChars="200"/>
        <w:rPr>
          <w:color w:val="auto"/>
          <w:sz w:val="24"/>
        </w:rPr>
      </w:pPr>
      <w:r>
        <w:rPr>
          <w:color w:val="auto"/>
          <w:sz w:val="24"/>
        </w:rPr>
        <w:t xml:space="preserve">4.5.2 </w:t>
      </w:r>
      <w:r>
        <w:rPr>
          <w:rFonts w:hint="eastAsia"/>
          <w:color w:val="auto"/>
          <w:sz w:val="24"/>
        </w:rPr>
        <w:t>承包人项目经理应按合同约定以及监理人按第</w:t>
      </w:r>
      <w:r>
        <w:rPr>
          <w:color w:val="auto"/>
          <w:sz w:val="24"/>
        </w:rPr>
        <w:t>3.4</w:t>
      </w:r>
      <w:r>
        <w:rPr>
          <w:rFonts w:hint="eastAsia"/>
          <w:color w:val="auto"/>
          <w:sz w:val="24"/>
        </w:rPr>
        <w:t>款作出的指示，负责组织合同工程的实施。在情况紧急且无法与</w:t>
      </w:r>
      <w:r>
        <w:rPr>
          <w:rFonts w:hint="eastAsia"/>
          <w:color w:val="auto"/>
          <w:sz w:val="24"/>
          <w:lang w:val="en-US" w:eastAsia="zh-CN"/>
        </w:rPr>
        <w:t>发包</w:t>
      </w:r>
      <w:r>
        <w:rPr>
          <w:rFonts w:hint="eastAsia"/>
          <w:color w:val="auto"/>
          <w:sz w:val="24"/>
        </w:rPr>
        <w:t>人取得联系时，可采取保证工程和人员生命财产安全的紧急措施，并在采取措施后</w:t>
      </w:r>
      <w:r>
        <w:rPr>
          <w:color w:val="auto"/>
          <w:sz w:val="24"/>
        </w:rPr>
        <w:t>24</w:t>
      </w:r>
      <w:r>
        <w:rPr>
          <w:rFonts w:hint="eastAsia"/>
          <w:color w:val="auto"/>
          <w:sz w:val="24"/>
        </w:rPr>
        <w:t>小时内向</w:t>
      </w:r>
      <w:r>
        <w:rPr>
          <w:rFonts w:hint="eastAsia"/>
          <w:color w:val="auto"/>
          <w:sz w:val="24"/>
          <w:lang w:val="en-US" w:eastAsia="zh-CN"/>
        </w:rPr>
        <w:t>发包人</w:t>
      </w:r>
      <w:r>
        <w:rPr>
          <w:rFonts w:hint="eastAsia"/>
          <w:color w:val="auto"/>
          <w:sz w:val="24"/>
        </w:rPr>
        <w:t>提交书面报告。</w:t>
      </w:r>
    </w:p>
    <w:p w14:paraId="0BEDB7B6">
      <w:pPr>
        <w:spacing w:line="240" w:lineRule="auto"/>
        <w:ind w:firstLine="480" w:firstLineChars="200"/>
        <w:rPr>
          <w:color w:val="auto"/>
          <w:sz w:val="24"/>
        </w:rPr>
      </w:pPr>
      <w:r>
        <w:rPr>
          <w:color w:val="auto"/>
          <w:sz w:val="24"/>
        </w:rPr>
        <w:t>4.5.3</w:t>
      </w:r>
      <w:r>
        <w:rPr>
          <w:rFonts w:hint="eastAsia"/>
          <w:color w:val="auto"/>
          <w:sz w:val="24"/>
        </w:rPr>
        <w:t>承包人为履行合同发出的一切函件均应盖有承包人授权的施工场地管理机构章，并由承包人项目经理或其授权代表签字。</w:t>
      </w:r>
    </w:p>
    <w:p w14:paraId="574102DF">
      <w:pPr>
        <w:spacing w:line="240" w:lineRule="auto"/>
        <w:ind w:firstLine="480" w:firstLineChars="200"/>
        <w:rPr>
          <w:color w:val="auto"/>
          <w:sz w:val="24"/>
        </w:rPr>
      </w:pPr>
      <w:r>
        <w:rPr>
          <w:color w:val="auto"/>
          <w:sz w:val="24"/>
        </w:rPr>
        <w:t xml:space="preserve">4.5.4 </w:t>
      </w:r>
      <w:r>
        <w:rPr>
          <w:rFonts w:hint="eastAsia"/>
          <w:color w:val="auto"/>
          <w:sz w:val="24"/>
        </w:rPr>
        <w:t>承包人项目经理可以授权其下属人员履行其某项职责，但事先应将这些人员的姓名和授权范围通知</w:t>
      </w:r>
      <w:r>
        <w:rPr>
          <w:rFonts w:hint="eastAsia"/>
          <w:color w:val="auto"/>
          <w:sz w:val="24"/>
          <w:lang w:val="en-US" w:eastAsia="zh-CN"/>
        </w:rPr>
        <w:t>发包</w:t>
      </w:r>
      <w:r>
        <w:rPr>
          <w:rFonts w:hint="eastAsia"/>
          <w:color w:val="auto"/>
          <w:sz w:val="24"/>
        </w:rPr>
        <w:t>人。</w:t>
      </w:r>
    </w:p>
    <w:p w14:paraId="608CDC66">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4.6 </w:t>
      </w:r>
      <w:r>
        <w:rPr>
          <w:rFonts w:hint="eastAsia" w:eastAsia="黑体"/>
          <w:bCs/>
          <w:color w:val="auto"/>
          <w:kern w:val="44"/>
          <w:sz w:val="24"/>
          <w:lang w:val="zh-CN"/>
        </w:rPr>
        <w:t>承包人人员的管理</w:t>
      </w:r>
    </w:p>
    <w:p w14:paraId="21A0DB8B">
      <w:pPr>
        <w:spacing w:line="240" w:lineRule="auto"/>
        <w:ind w:firstLine="480" w:firstLineChars="200"/>
        <w:rPr>
          <w:color w:val="auto"/>
          <w:sz w:val="24"/>
        </w:rPr>
      </w:pPr>
      <w:r>
        <w:rPr>
          <w:color w:val="auto"/>
          <w:sz w:val="24"/>
        </w:rPr>
        <w:t xml:space="preserve">4.6.1 </w:t>
      </w:r>
      <w:r>
        <w:rPr>
          <w:rFonts w:hint="eastAsia"/>
          <w:color w:val="auto"/>
          <w:sz w:val="24"/>
        </w:rPr>
        <w:t>承包人应在接到开工通知后</w:t>
      </w:r>
      <w:r>
        <w:rPr>
          <w:color w:val="auto"/>
          <w:sz w:val="24"/>
        </w:rPr>
        <w:t>28</w:t>
      </w:r>
      <w:r>
        <w:rPr>
          <w:rFonts w:hint="eastAsia"/>
          <w:color w:val="auto"/>
          <w:sz w:val="24"/>
        </w:rPr>
        <w:t>天内，向</w:t>
      </w:r>
      <w:r>
        <w:rPr>
          <w:rFonts w:hint="eastAsia"/>
          <w:color w:val="auto"/>
          <w:sz w:val="24"/>
          <w:lang w:val="en-US" w:eastAsia="zh-CN"/>
        </w:rPr>
        <w:t>发包</w:t>
      </w:r>
      <w:r>
        <w:rPr>
          <w:rFonts w:hint="eastAsia"/>
          <w:color w:val="auto"/>
          <w:sz w:val="24"/>
        </w:rPr>
        <w:t>人提交承包人在施工场地的管理机构以及人员安排的报告，其内容应包括管理机构的设置、各主要岗位的技术和管理人员名单及其资格，以及各工种技术工人的安排状况。承包人应向</w:t>
      </w:r>
      <w:r>
        <w:rPr>
          <w:rFonts w:hint="eastAsia"/>
          <w:color w:val="auto"/>
          <w:sz w:val="24"/>
          <w:lang w:val="en-US" w:eastAsia="zh-CN"/>
        </w:rPr>
        <w:t>发包</w:t>
      </w:r>
      <w:r>
        <w:rPr>
          <w:rFonts w:hint="eastAsia"/>
          <w:color w:val="auto"/>
          <w:sz w:val="24"/>
        </w:rPr>
        <w:t>人提交施工场地人员变动情况的报告。</w:t>
      </w:r>
    </w:p>
    <w:p w14:paraId="52CF9C7B">
      <w:pPr>
        <w:spacing w:line="240" w:lineRule="auto"/>
        <w:ind w:firstLine="480" w:firstLineChars="200"/>
        <w:rPr>
          <w:color w:val="auto"/>
          <w:sz w:val="24"/>
        </w:rPr>
      </w:pPr>
      <w:r>
        <w:rPr>
          <w:color w:val="auto"/>
          <w:sz w:val="24"/>
        </w:rPr>
        <w:t xml:space="preserve">4.6.2 </w:t>
      </w:r>
      <w:r>
        <w:rPr>
          <w:rFonts w:hint="eastAsia"/>
          <w:color w:val="auto"/>
          <w:sz w:val="24"/>
        </w:rPr>
        <w:t>为完成合同约定的各项工作，承包人应向施工场地派遣或雇佣足够数量的下列人员：</w:t>
      </w:r>
    </w:p>
    <w:p w14:paraId="187FCD4E">
      <w:pPr>
        <w:spacing w:line="240" w:lineRule="auto"/>
        <w:ind w:firstLine="720" w:firstLineChars="300"/>
        <w:rPr>
          <w:rFonts w:hint="eastAsia"/>
          <w:color w:val="auto"/>
          <w:sz w:val="24"/>
        </w:rPr>
      </w:pPr>
      <w:r>
        <w:rPr>
          <w:rFonts w:hint="eastAsia"/>
          <w:color w:val="auto"/>
          <w:sz w:val="24"/>
        </w:rPr>
        <w:t>（</w:t>
      </w:r>
      <w:r>
        <w:rPr>
          <w:color w:val="auto"/>
          <w:sz w:val="24"/>
        </w:rPr>
        <w:t>1</w:t>
      </w:r>
      <w:r>
        <w:rPr>
          <w:rFonts w:hint="eastAsia"/>
          <w:color w:val="auto"/>
          <w:sz w:val="24"/>
        </w:rPr>
        <w:t>）具有相应资格的专业技工和合格的普工；</w:t>
      </w:r>
    </w:p>
    <w:p w14:paraId="4EC60EE1">
      <w:pPr>
        <w:spacing w:line="240" w:lineRule="auto"/>
        <w:ind w:firstLine="720" w:firstLineChars="300"/>
        <w:rPr>
          <w:rFonts w:hint="eastAsia"/>
          <w:color w:val="auto"/>
          <w:sz w:val="24"/>
        </w:rPr>
      </w:pPr>
      <w:r>
        <w:rPr>
          <w:rFonts w:hint="eastAsia"/>
          <w:color w:val="auto"/>
          <w:sz w:val="24"/>
        </w:rPr>
        <w:t>（</w:t>
      </w:r>
      <w:r>
        <w:rPr>
          <w:color w:val="auto"/>
          <w:sz w:val="24"/>
        </w:rPr>
        <w:t>2</w:t>
      </w:r>
      <w:r>
        <w:rPr>
          <w:rFonts w:hint="eastAsia"/>
          <w:color w:val="auto"/>
          <w:sz w:val="24"/>
        </w:rPr>
        <w:t>）具有相应施工经验的技术人员；</w:t>
      </w:r>
    </w:p>
    <w:p w14:paraId="4A96438B">
      <w:pPr>
        <w:spacing w:line="240" w:lineRule="auto"/>
        <w:ind w:firstLine="720" w:firstLineChars="300"/>
        <w:rPr>
          <w:rFonts w:hint="eastAsia"/>
          <w:color w:val="auto"/>
          <w:sz w:val="24"/>
        </w:rPr>
      </w:pPr>
      <w:r>
        <w:rPr>
          <w:rFonts w:hint="eastAsia"/>
          <w:color w:val="auto"/>
          <w:sz w:val="24"/>
        </w:rPr>
        <w:t>（</w:t>
      </w:r>
      <w:r>
        <w:rPr>
          <w:color w:val="auto"/>
          <w:sz w:val="24"/>
        </w:rPr>
        <w:t>3</w:t>
      </w:r>
      <w:r>
        <w:rPr>
          <w:rFonts w:hint="eastAsia"/>
          <w:color w:val="auto"/>
          <w:sz w:val="24"/>
        </w:rPr>
        <w:t>）具有相应岗位资格的各级管理人员。</w:t>
      </w:r>
    </w:p>
    <w:p w14:paraId="54201564">
      <w:pPr>
        <w:spacing w:line="240" w:lineRule="auto"/>
        <w:ind w:firstLine="480" w:firstLineChars="200"/>
        <w:rPr>
          <w:color w:val="auto"/>
          <w:sz w:val="24"/>
        </w:rPr>
      </w:pPr>
      <w:r>
        <w:rPr>
          <w:color w:val="auto"/>
          <w:sz w:val="24"/>
        </w:rPr>
        <w:t xml:space="preserve">4.6.3 </w:t>
      </w:r>
      <w:r>
        <w:rPr>
          <w:rFonts w:hint="eastAsia"/>
          <w:color w:val="auto"/>
          <w:sz w:val="24"/>
        </w:rPr>
        <w:t>承包人安排在施工场地的主要管理人员和技术骨干应相对稳定。承包人更换主要管理人员和技术骨干时，应取得</w:t>
      </w:r>
      <w:r>
        <w:rPr>
          <w:rFonts w:hint="eastAsia"/>
          <w:color w:val="auto"/>
          <w:sz w:val="24"/>
          <w:lang w:val="en-US" w:eastAsia="zh-CN"/>
        </w:rPr>
        <w:t>发包</w:t>
      </w:r>
      <w:r>
        <w:rPr>
          <w:rFonts w:hint="eastAsia"/>
          <w:color w:val="auto"/>
          <w:sz w:val="24"/>
        </w:rPr>
        <w:t>人的同意。</w:t>
      </w:r>
    </w:p>
    <w:p w14:paraId="50B75C37">
      <w:pPr>
        <w:spacing w:line="240" w:lineRule="auto"/>
        <w:ind w:firstLine="480" w:firstLineChars="200"/>
        <w:rPr>
          <w:color w:val="auto"/>
          <w:sz w:val="24"/>
        </w:rPr>
      </w:pPr>
      <w:r>
        <w:rPr>
          <w:color w:val="auto"/>
          <w:sz w:val="24"/>
        </w:rPr>
        <w:t xml:space="preserve">4.6.4 </w:t>
      </w:r>
      <w:r>
        <w:rPr>
          <w:rFonts w:hint="eastAsia"/>
          <w:color w:val="auto"/>
          <w:sz w:val="24"/>
        </w:rPr>
        <w:t>特殊岗位的工作人员均应持有相应的资格证明，</w:t>
      </w:r>
      <w:r>
        <w:rPr>
          <w:rFonts w:hint="eastAsia"/>
          <w:color w:val="auto"/>
          <w:sz w:val="24"/>
          <w:lang w:val="en-US" w:eastAsia="zh-CN"/>
        </w:rPr>
        <w:t>发包</w:t>
      </w:r>
      <w:r>
        <w:rPr>
          <w:rFonts w:hint="eastAsia"/>
          <w:color w:val="auto"/>
          <w:sz w:val="24"/>
        </w:rPr>
        <w:t>人有权随时检查。</w:t>
      </w:r>
      <w:r>
        <w:rPr>
          <w:rFonts w:hint="eastAsia"/>
          <w:color w:val="auto"/>
          <w:sz w:val="24"/>
          <w:lang w:val="en-US" w:eastAsia="zh-CN"/>
        </w:rPr>
        <w:t>发包</w:t>
      </w:r>
      <w:r>
        <w:rPr>
          <w:rFonts w:hint="eastAsia"/>
          <w:color w:val="auto"/>
          <w:sz w:val="24"/>
        </w:rPr>
        <w:t>人认为有必要时，可进行现场考核。</w:t>
      </w:r>
    </w:p>
    <w:p w14:paraId="23E480F1">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4.7 </w:t>
      </w:r>
      <w:r>
        <w:rPr>
          <w:rFonts w:hint="eastAsia" w:eastAsia="黑体"/>
          <w:bCs/>
          <w:color w:val="auto"/>
          <w:kern w:val="44"/>
          <w:sz w:val="24"/>
          <w:lang w:val="zh-CN"/>
        </w:rPr>
        <w:t>撤换承包人项目经理和其他人员</w:t>
      </w:r>
    </w:p>
    <w:p w14:paraId="438AED6F">
      <w:pPr>
        <w:spacing w:line="240" w:lineRule="auto"/>
        <w:ind w:firstLine="480" w:firstLineChars="200"/>
        <w:rPr>
          <w:rFonts w:hint="eastAsia"/>
          <w:color w:val="auto"/>
          <w:sz w:val="24"/>
        </w:rPr>
      </w:pPr>
      <w:r>
        <w:rPr>
          <w:rFonts w:hint="eastAsia"/>
          <w:color w:val="auto"/>
          <w:sz w:val="24"/>
        </w:rPr>
        <w:t>承包人应对其项目经理和其他人员进行有效管理。</w:t>
      </w:r>
      <w:r>
        <w:rPr>
          <w:rFonts w:hint="eastAsia"/>
          <w:color w:val="auto"/>
          <w:sz w:val="24"/>
          <w:lang w:val="en-US" w:eastAsia="zh-CN"/>
        </w:rPr>
        <w:t>发包</w:t>
      </w:r>
      <w:r>
        <w:rPr>
          <w:rFonts w:hint="eastAsia"/>
          <w:color w:val="auto"/>
          <w:sz w:val="24"/>
        </w:rPr>
        <w:t>人要求撤换不能胜任本职工作、行为不端或玩忽职守的承包人项目经理和其他人员的，承包人应予以撤换。</w:t>
      </w:r>
    </w:p>
    <w:p w14:paraId="45D61782">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4.8 </w:t>
      </w:r>
      <w:r>
        <w:rPr>
          <w:rFonts w:hint="eastAsia" w:eastAsia="黑体"/>
          <w:bCs/>
          <w:color w:val="auto"/>
          <w:kern w:val="44"/>
          <w:sz w:val="24"/>
          <w:lang w:val="zh-CN"/>
        </w:rPr>
        <w:t>保障承包人人员的合法权益</w:t>
      </w:r>
    </w:p>
    <w:p w14:paraId="78478CE3">
      <w:pPr>
        <w:spacing w:line="240" w:lineRule="auto"/>
        <w:ind w:firstLine="480" w:firstLineChars="200"/>
        <w:rPr>
          <w:color w:val="auto"/>
          <w:sz w:val="24"/>
        </w:rPr>
      </w:pPr>
      <w:r>
        <w:rPr>
          <w:color w:val="auto"/>
          <w:sz w:val="24"/>
        </w:rPr>
        <w:t xml:space="preserve">4.8.1 </w:t>
      </w:r>
      <w:r>
        <w:rPr>
          <w:rFonts w:hint="eastAsia"/>
          <w:color w:val="auto"/>
          <w:sz w:val="24"/>
        </w:rPr>
        <w:t>承包人应与其雇佣的人员签订劳动合同，并按时发放工资。</w:t>
      </w:r>
    </w:p>
    <w:p w14:paraId="48A15D10">
      <w:pPr>
        <w:spacing w:line="240" w:lineRule="auto"/>
        <w:ind w:firstLine="480" w:firstLineChars="200"/>
        <w:rPr>
          <w:color w:val="auto"/>
          <w:sz w:val="24"/>
        </w:rPr>
      </w:pPr>
      <w:r>
        <w:rPr>
          <w:color w:val="auto"/>
          <w:sz w:val="24"/>
        </w:rPr>
        <w:t xml:space="preserve">4.8.2 </w:t>
      </w:r>
      <w:r>
        <w:rPr>
          <w:rFonts w:hint="eastAsia"/>
          <w:color w:val="auto"/>
          <w:sz w:val="24"/>
        </w:rPr>
        <w:t>承包人应按劳动法的规定安排工作时间，保证其雇佣人员享有休息和休假的权利。因工程施工的特殊需要占用休假日或延长工作时间的，应不超过法律规定的限度，并按法律规定给予补休或付酬。</w:t>
      </w:r>
    </w:p>
    <w:p w14:paraId="183E5562">
      <w:pPr>
        <w:spacing w:line="240" w:lineRule="auto"/>
        <w:ind w:firstLine="480" w:firstLineChars="200"/>
        <w:rPr>
          <w:color w:val="auto"/>
          <w:sz w:val="24"/>
        </w:rPr>
      </w:pPr>
      <w:r>
        <w:rPr>
          <w:color w:val="auto"/>
          <w:sz w:val="24"/>
        </w:rPr>
        <w:t xml:space="preserve">4.8.3 </w:t>
      </w:r>
      <w:r>
        <w:rPr>
          <w:rFonts w:hint="eastAsia"/>
          <w:color w:val="auto"/>
          <w:sz w:val="24"/>
        </w:rPr>
        <w:t>承包人应为其雇佣人员提供必要的食宿条件，以及符合环境保护和卫生要求的生活环境，在远离城镇的施工场地，还应配备必要的伤病防治和急救的医务人员与医疗设施。</w:t>
      </w:r>
    </w:p>
    <w:p w14:paraId="2DE79A4A">
      <w:pPr>
        <w:spacing w:line="240" w:lineRule="auto"/>
        <w:ind w:firstLine="480" w:firstLineChars="200"/>
        <w:rPr>
          <w:color w:val="auto"/>
          <w:sz w:val="24"/>
        </w:rPr>
      </w:pPr>
      <w:r>
        <w:rPr>
          <w:color w:val="auto"/>
          <w:sz w:val="24"/>
        </w:rPr>
        <w:t xml:space="preserve">4.8.4 </w:t>
      </w:r>
      <w:r>
        <w:rPr>
          <w:rFonts w:hint="eastAsia"/>
          <w:color w:val="auto"/>
          <w:sz w:val="24"/>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65370AC8">
      <w:pPr>
        <w:spacing w:line="240" w:lineRule="auto"/>
        <w:ind w:firstLine="480" w:firstLineChars="200"/>
        <w:rPr>
          <w:color w:val="auto"/>
          <w:sz w:val="24"/>
        </w:rPr>
      </w:pPr>
      <w:r>
        <w:rPr>
          <w:color w:val="auto"/>
          <w:sz w:val="24"/>
        </w:rPr>
        <w:t xml:space="preserve">4.8.5 </w:t>
      </w:r>
      <w:r>
        <w:rPr>
          <w:rFonts w:hint="eastAsia"/>
          <w:color w:val="auto"/>
          <w:sz w:val="24"/>
        </w:rPr>
        <w:t>承包人应按有关法律规定和合同约定，为其雇佣人员办理保险。</w:t>
      </w:r>
    </w:p>
    <w:p w14:paraId="1C6426E9">
      <w:pPr>
        <w:spacing w:line="240" w:lineRule="auto"/>
        <w:ind w:firstLine="480" w:firstLineChars="200"/>
        <w:rPr>
          <w:color w:val="auto"/>
          <w:sz w:val="24"/>
        </w:rPr>
      </w:pPr>
      <w:r>
        <w:rPr>
          <w:color w:val="auto"/>
          <w:sz w:val="24"/>
        </w:rPr>
        <w:t xml:space="preserve">4.8.6 </w:t>
      </w:r>
      <w:r>
        <w:rPr>
          <w:rFonts w:hint="eastAsia"/>
          <w:color w:val="auto"/>
          <w:sz w:val="24"/>
        </w:rPr>
        <w:t>承包人应负责处理其雇佣人员因工伤亡事故的善后事宜。</w:t>
      </w:r>
    </w:p>
    <w:p w14:paraId="7EFFCFBC">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4.9 </w:t>
      </w:r>
      <w:r>
        <w:rPr>
          <w:rFonts w:hint="eastAsia" w:eastAsia="黑体"/>
          <w:bCs/>
          <w:color w:val="auto"/>
          <w:kern w:val="44"/>
          <w:sz w:val="24"/>
          <w:lang w:val="zh-CN"/>
        </w:rPr>
        <w:t>工程价款应专款专用</w:t>
      </w:r>
    </w:p>
    <w:p w14:paraId="2965A978">
      <w:pPr>
        <w:spacing w:line="240" w:lineRule="auto"/>
        <w:rPr>
          <w:color w:val="auto"/>
          <w:sz w:val="24"/>
        </w:rPr>
      </w:pPr>
      <w:r>
        <w:rPr>
          <w:color w:val="auto"/>
          <w:sz w:val="24"/>
        </w:rPr>
        <w:t xml:space="preserve">   </w:t>
      </w:r>
      <w:r>
        <w:rPr>
          <w:rFonts w:hint="eastAsia"/>
          <w:color w:val="auto"/>
          <w:sz w:val="24"/>
        </w:rPr>
        <w:t>发包人按合同约定支付给承包人的各项价款应专用于合同工程。</w:t>
      </w:r>
    </w:p>
    <w:p w14:paraId="3DAA600F">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4.10 </w:t>
      </w:r>
      <w:r>
        <w:rPr>
          <w:rFonts w:hint="eastAsia" w:eastAsia="黑体"/>
          <w:bCs/>
          <w:color w:val="auto"/>
          <w:kern w:val="44"/>
          <w:sz w:val="24"/>
          <w:lang w:val="zh-CN"/>
        </w:rPr>
        <w:t>承包人现场查勘</w:t>
      </w:r>
      <w:r>
        <w:rPr>
          <w:rFonts w:eastAsia="黑体"/>
          <w:bCs/>
          <w:color w:val="auto"/>
          <w:kern w:val="44"/>
          <w:sz w:val="24"/>
          <w:lang w:val="zh-CN"/>
        </w:rPr>
        <w:t xml:space="preserve">    </w:t>
      </w:r>
    </w:p>
    <w:p w14:paraId="092AE4C2">
      <w:pPr>
        <w:spacing w:line="240" w:lineRule="auto"/>
        <w:ind w:firstLine="480" w:firstLineChars="200"/>
        <w:rPr>
          <w:color w:val="auto"/>
          <w:sz w:val="24"/>
        </w:rPr>
      </w:pPr>
      <w:r>
        <w:rPr>
          <w:color w:val="auto"/>
          <w:sz w:val="24"/>
        </w:rPr>
        <w:t xml:space="preserve">4.10.1 </w:t>
      </w:r>
      <w:r>
        <w:rPr>
          <w:rFonts w:hint="eastAsia"/>
          <w:color w:val="auto"/>
          <w:sz w:val="24"/>
        </w:rPr>
        <w:t>发包人应将其持有的现场地质勘探资料、水文气象资料提供给承包人，并对其准确性负责。但承包人应对其阅读上述有关资料后所作出的解释和推断负责。</w:t>
      </w:r>
    </w:p>
    <w:p w14:paraId="1E9F4789">
      <w:pPr>
        <w:spacing w:line="240" w:lineRule="auto"/>
        <w:ind w:firstLine="480" w:firstLineChars="200"/>
        <w:rPr>
          <w:color w:val="auto"/>
          <w:sz w:val="24"/>
        </w:rPr>
      </w:pPr>
      <w:r>
        <w:rPr>
          <w:color w:val="auto"/>
          <w:sz w:val="24"/>
        </w:rPr>
        <w:t xml:space="preserve">4.10.2 </w:t>
      </w:r>
      <w:r>
        <w:rPr>
          <w:rFonts w:hint="eastAsia"/>
          <w:color w:val="auto"/>
          <w:sz w:val="24"/>
        </w:rPr>
        <w:t>承包人应对施工场地和周围环境进行查勘，并收集有关地质、水文、气象条件、交通条件、风俗习惯以及其他为完成合同工作有关的当地资料。在全部合同工作中，应视为承包人已充分估计了应承担的责任和风险。</w:t>
      </w:r>
    </w:p>
    <w:p w14:paraId="138A2A49">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4.11 </w:t>
      </w:r>
      <w:r>
        <w:rPr>
          <w:rFonts w:hint="eastAsia" w:eastAsia="黑体"/>
          <w:bCs/>
          <w:color w:val="auto"/>
          <w:kern w:val="44"/>
          <w:sz w:val="24"/>
          <w:lang w:val="zh-CN"/>
        </w:rPr>
        <w:t>不利物质条件</w:t>
      </w:r>
    </w:p>
    <w:p w14:paraId="2E11F260">
      <w:pPr>
        <w:spacing w:line="240" w:lineRule="auto"/>
        <w:ind w:firstLine="420"/>
        <w:rPr>
          <w:color w:val="auto"/>
          <w:sz w:val="24"/>
        </w:rPr>
      </w:pPr>
      <w:r>
        <w:rPr>
          <w:color w:val="auto"/>
          <w:sz w:val="24"/>
        </w:rPr>
        <w:t>4.11.1</w:t>
      </w:r>
      <w:r>
        <w:rPr>
          <w:rFonts w:hint="eastAsia"/>
          <w:color w:val="auto"/>
          <w:sz w:val="24"/>
        </w:rPr>
        <w:t>不利物质条件，除专用合同条款另有约定外，是指承包人在施工场地遇到的不可预见的自然物质条件、非自然的物质障碍和污染物，包括地下和水文条件，但不包括气候条件。</w:t>
      </w:r>
    </w:p>
    <w:p w14:paraId="61410953">
      <w:pPr>
        <w:spacing w:line="240" w:lineRule="auto"/>
        <w:ind w:firstLine="420"/>
        <w:rPr>
          <w:iCs/>
          <w:color w:val="auto"/>
          <w:sz w:val="24"/>
        </w:rPr>
      </w:pPr>
      <w:r>
        <w:rPr>
          <w:iCs/>
          <w:color w:val="auto"/>
          <w:sz w:val="24"/>
        </w:rPr>
        <w:t>4.11.2</w:t>
      </w:r>
      <w:r>
        <w:rPr>
          <w:rFonts w:hint="eastAsia"/>
          <w:iCs/>
          <w:color w:val="auto"/>
          <w:sz w:val="24"/>
        </w:rPr>
        <w:t>承包人遇到不利物质条件时，应采取适应不利物质条件的合理措施继续施工，并及时通知</w:t>
      </w:r>
      <w:r>
        <w:rPr>
          <w:rFonts w:hint="eastAsia"/>
          <w:iCs/>
          <w:color w:val="auto"/>
          <w:sz w:val="24"/>
          <w:lang w:val="en-US" w:eastAsia="zh-CN"/>
        </w:rPr>
        <w:t>发包</w:t>
      </w:r>
      <w:r>
        <w:rPr>
          <w:rFonts w:hint="eastAsia"/>
          <w:iCs/>
          <w:color w:val="auto"/>
          <w:sz w:val="24"/>
        </w:rPr>
        <w:t>人。</w:t>
      </w:r>
      <w:r>
        <w:rPr>
          <w:rFonts w:hint="eastAsia"/>
          <w:iCs/>
          <w:color w:val="auto"/>
          <w:sz w:val="24"/>
          <w:lang w:val="en-US" w:eastAsia="zh-CN"/>
        </w:rPr>
        <w:t>发包</w:t>
      </w:r>
      <w:r>
        <w:rPr>
          <w:rFonts w:hint="eastAsia"/>
          <w:iCs/>
          <w:color w:val="auto"/>
          <w:sz w:val="24"/>
        </w:rPr>
        <w:t>人应当及时发出指示，指示构成变更的，按第</w:t>
      </w:r>
      <w:r>
        <w:rPr>
          <w:iCs/>
          <w:color w:val="auto"/>
          <w:sz w:val="24"/>
        </w:rPr>
        <w:t>15</w:t>
      </w:r>
      <w:r>
        <w:rPr>
          <w:rFonts w:hint="eastAsia"/>
          <w:iCs/>
          <w:color w:val="auto"/>
          <w:sz w:val="24"/>
        </w:rPr>
        <w:t>条约定办理。</w:t>
      </w:r>
      <w:r>
        <w:rPr>
          <w:rFonts w:hint="eastAsia"/>
          <w:iCs/>
          <w:color w:val="auto"/>
          <w:sz w:val="24"/>
          <w:lang w:val="en-US" w:eastAsia="zh-CN"/>
        </w:rPr>
        <w:t>发包</w:t>
      </w:r>
      <w:r>
        <w:rPr>
          <w:rFonts w:hint="eastAsia"/>
          <w:iCs/>
          <w:color w:val="auto"/>
          <w:sz w:val="24"/>
        </w:rPr>
        <w:t>人没有发出指示的，承包人因采取合理措施而增加的费用和（或）工期延误，由发包人承担。</w:t>
      </w:r>
    </w:p>
    <w:p w14:paraId="4C8D7372">
      <w:pPr>
        <w:keepNext/>
        <w:keepLines/>
        <w:spacing w:before="480" w:after="240" w:line="240" w:lineRule="auto"/>
        <w:outlineLvl w:val="2"/>
        <w:rPr>
          <w:rFonts w:eastAsia="黑体"/>
          <w:bCs/>
          <w:color w:val="auto"/>
          <w:kern w:val="44"/>
          <w:sz w:val="28"/>
          <w:szCs w:val="28"/>
          <w:lang w:val="zh-CN"/>
        </w:rPr>
      </w:pPr>
      <w:r>
        <w:rPr>
          <w:rFonts w:eastAsia="黑体"/>
          <w:bCs/>
          <w:color w:val="auto"/>
          <w:kern w:val="44"/>
          <w:sz w:val="28"/>
          <w:szCs w:val="28"/>
          <w:lang w:val="zh-CN"/>
        </w:rPr>
        <w:t xml:space="preserve">5. </w:t>
      </w:r>
      <w:r>
        <w:rPr>
          <w:rFonts w:hint="eastAsia" w:eastAsia="黑体"/>
          <w:bCs/>
          <w:color w:val="auto"/>
          <w:kern w:val="44"/>
          <w:sz w:val="28"/>
          <w:szCs w:val="28"/>
          <w:lang w:val="zh-CN"/>
        </w:rPr>
        <w:t>材料和工程设备</w:t>
      </w:r>
    </w:p>
    <w:p w14:paraId="28494CB4">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5.1 </w:t>
      </w:r>
      <w:r>
        <w:rPr>
          <w:rFonts w:hint="eastAsia" w:eastAsia="黑体"/>
          <w:bCs/>
          <w:color w:val="auto"/>
          <w:kern w:val="44"/>
          <w:sz w:val="24"/>
          <w:lang w:val="zh-CN"/>
        </w:rPr>
        <w:t>承包人提供的材料和工程设备</w:t>
      </w:r>
    </w:p>
    <w:p w14:paraId="64486C3B">
      <w:pPr>
        <w:spacing w:line="240" w:lineRule="auto"/>
        <w:ind w:firstLine="480" w:firstLineChars="200"/>
        <w:rPr>
          <w:color w:val="auto"/>
          <w:sz w:val="24"/>
        </w:rPr>
      </w:pPr>
      <w:r>
        <w:rPr>
          <w:color w:val="auto"/>
          <w:sz w:val="24"/>
        </w:rPr>
        <w:t xml:space="preserve">5.1.1 </w:t>
      </w:r>
      <w:r>
        <w:rPr>
          <w:rFonts w:hint="eastAsia"/>
          <w:color w:val="auto"/>
          <w:sz w:val="24"/>
        </w:rPr>
        <w:t>除专用合同条款另有约定外，承包人提供的材料和工程设备均由承包人负责采购、运输和保管。承包人应对其采购的材料和工程设备负责。</w:t>
      </w:r>
    </w:p>
    <w:p w14:paraId="626FFFDD">
      <w:pPr>
        <w:spacing w:line="240" w:lineRule="auto"/>
        <w:ind w:firstLine="480" w:firstLineChars="200"/>
        <w:rPr>
          <w:color w:val="auto"/>
          <w:sz w:val="24"/>
        </w:rPr>
      </w:pPr>
      <w:r>
        <w:rPr>
          <w:color w:val="auto"/>
          <w:sz w:val="24"/>
        </w:rPr>
        <w:t xml:space="preserve">5.1.2 </w:t>
      </w:r>
      <w:r>
        <w:rPr>
          <w:rFonts w:hint="eastAsia"/>
          <w:color w:val="auto"/>
          <w:sz w:val="24"/>
        </w:rPr>
        <w:t>承包人应按专用合同条款的约定，将各项材料和工程设备的供货人及品种、规格、数量和供货时间等报送发包人审批。承包人应向</w:t>
      </w:r>
      <w:r>
        <w:rPr>
          <w:rFonts w:hint="eastAsia"/>
          <w:color w:val="auto"/>
          <w:sz w:val="24"/>
          <w:lang w:val="en-US" w:eastAsia="zh-CN"/>
        </w:rPr>
        <w:t>发包</w:t>
      </w:r>
      <w:r>
        <w:rPr>
          <w:rFonts w:hint="eastAsia"/>
          <w:iCs/>
          <w:color w:val="auto"/>
          <w:sz w:val="24"/>
        </w:rPr>
        <w:t>人</w:t>
      </w:r>
      <w:r>
        <w:rPr>
          <w:rFonts w:hint="eastAsia"/>
          <w:color w:val="auto"/>
          <w:sz w:val="24"/>
        </w:rPr>
        <w:t>提交其负责提供的材料和工程设备的质量证明文件，并满足合同约定的质量标准。</w:t>
      </w:r>
    </w:p>
    <w:p w14:paraId="48E50C6A">
      <w:pPr>
        <w:spacing w:line="240" w:lineRule="auto"/>
        <w:ind w:firstLine="480" w:firstLineChars="200"/>
        <w:rPr>
          <w:color w:val="auto"/>
          <w:sz w:val="24"/>
        </w:rPr>
      </w:pPr>
      <w:r>
        <w:rPr>
          <w:color w:val="auto"/>
          <w:sz w:val="24"/>
        </w:rPr>
        <w:t>5.1.3</w:t>
      </w:r>
      <w:r>
        <w:rPr>
          <w:rFonts w:hint="eastAsia"/>
          <w:color w:val="auto"/>
          <w:sz w:val="24"/>
        </w:rPr>
        <w:t>对承包人提供的材料和工程设备，承包人应会同</w:t>
      </w:r>
      <w:r>
        <w:rPr>
          <w:rFonts w:hint="eastAsia"/>
          <w:color w:val="auto"/>
          <w:sz w:val="24"/>
          <w:lang w:val="en-US" w:eastAsia="zh-CN"/>
        </w:rPr>
        <w:t>发包</w:t>
      </w:r>
      <w:r>
        <w:rPr>
          <w:rFonts w:hint="eastAsia"/>
          <w:color w:val="auto"/>
          <w:sz w:val="24"/>
        </w:rPr>
        <w:t>人进行检验和交货验收，查验材料合格证明和产品合格证书，并按合同约定和发包人指示，进行材料的抽样检验和工程设备的检验测试，检验和测试结果应提交</w:t>
      </w:r>
      <w:r>
        <w:rPr>
          <w:rFonts w:hint="eastAsia"/>
          <w:color w:val="auto"/>
          <w:sz w:val="24"/>
          <w:lang w:val="en-US" w:eastAsia="zh-CN"/>
        </w:rPr>
        <w:t>发包</w:t>
      </w:r>
      <w:r>
        <w:rPr>
          <w:rFonts w:hint="eastAsia"/>
          <w:color w:val="auto"/>
          <w:sz w:val="24"/>
        </w:rPr>
        <w:t>人，所需费用由</w:t>
      </w:r>
      <w:r>
        <w:rPr>
          <w:rFonts w:hint="eastAsia"/>
          <w:color w:val="auto"/>
          <w:sz w:val="24"/>
          <w:lang w:val="en-US" w:eastAsia="zh-CN"/>
        </w:rPr>
        <w:t>发包</w:t>
      </w:r>
      <w:r>
        <w:rPr>
          <w:rFonts w:hint="eastAsia"/>
          <w:color w:val="auto"/>
          <w:sz w:val="24"/>
        </w:rPr>
        <w:t>人承担。</w:t>
      </w:r>
    </w:p>
    <w:p w14:paraId="02F69185">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5.2 </w:t>
      </w:r>
      <w:r>
        <w:rPr>
          <w:rFonts w:hint="eastAsia" w:eastAsia="黑体"/>
          <w:bCs/>
          <w:color w:val="auto"/>
          <w:kern w:val="44"/>
          <w:sz w:val="24"/>
          <w:lang w:val="zh-CN"/>
        </w:rPr>
        <w:t>发包人提供的材料和工程设备</w:t>
      </w:r>
    </w:p>
    <w:p w14:paraId="3CEF18EE">
      <w:pPr>
        <w:spacing w:line="240" w:lineRule="auto"/>
        <w:ind w:firstLine="480" w:firstLineChars="200"/>
        <w:rPr>
          <w:color w:val="auto"/>
          <w:sz w:val="24"/>
        </w:rPr>
      </w:pPr>
      <w:r>
        <w:rPr>
          <w:color w:val="auto"/>
          <w:sz w:val="24"/>
        </w:rPr>
        <w:t xml:space="preserve">5.2.1 </w:t>
      </w:r>
      <w:r>
        <w:rPr>
          <w:rFonts w:hint="eastAsia"/>
          <w:color w:val="auto"/>
          <w:sz w:val="24"/>
        </w:rPr>
        <w:t>发包人提供的材料和工程设备，应在专用合同条款中写明材料和工程设备的名称、规格、数量、价格、交货方式、交货地点和计划交货日期等。</w:t>
      </w:r>
    </w:p>
    <w:p w14:paraId="0110C69B">
      <w:pPr>
        <w:spacing w:line="240" w:lineRule="auto"/>
        <w:ind w:firstLine="480" w:firstLineChars="200"/>
        <w:rPr>
          <w:color w:val="auto"/>
          <w:sz w:val="24"/>
        </w:rPr>
      </w:pPr>
      <w:r>
        <w:rPr>
          <w:color w:val="auto"/>
          <w:sz w:val="24"/>
        </w:rPr>
        <w:t xml:space="preserve">5.2.2 </w:t>
      </w:r>
      <w:r>
        <w:rPr>
          <w:rFonts w:hint="eastAsia"/>
          <w:color w:val="auto"/>
          <w:sz w:val="24"/>
        </w:rPr>
        <w:t>承包人应根据合同进度计划的安排，向</w:t>
      </w:r>
      <w:r>
        <w:rPr>
          <w:rFonts w:hint="eastAsia"/>
          <w:color w:val="auto"/>
          <w:sz w:val="24"/>
          <w:lang w:val="en-US" w:eastAsia="zh-CN"/>
        </w:rPr>
        <w:t>发包</w:t>
      </w:r>
      <w:r>
        <w:rPr>
          <w:rFonts w:hint="eastAsia"/>
          <w:color w:val="auto"/>
          <w:sz w:val="24"/>
        </w:rPr>
        <w:t>人报送要求发包人交货的日期计划。发包人应按照</w:t>
      </w:r>
      <w:r>
        <w:rPr>
          <w:rFonts w:hint="eastAsia"/>
          <w:color w:val="auto"/>
          <w:sz w:val="24"/>
          <w:lang w:val="en-US" w:eastAsia="zh-CN"/>
        </w:rPr>
        <w:t>发包</w:t>
      </w:r>
      <w:r>
        <w:rPr>
          <w:rFonts w:hint="eastAsia"/>
          <w:color w:val="auto"/>
          <w:sz w:val="24"/>
        </w:rPr>
        <w:t>人与合同双方当事人</w:t>
      </w:r>
      <w:r>
        <w:rPr>
          <w:rFonts w:hint="eastAsia"/>
          <w:iCs/>
          <w:color w:val="auto"/>
          <w:sz w:val="24"/>
        </w:rPr>
        <w:t>商定</w:t>
      </w:r>
      <w:r>
        <w:rPr>
          <w:rFonts w:hint="eastAsia"/>
          <w:color w:val="auto"/>
          <w:sz w:val="24"/>
        </w:rPr>
        <w:t>的交货日期，向承包人提交材料和工程设备。</w:t>
      </w:r>
    </w:p>
    <w:p w14:paraId="646BFCB5">
      <w:pPr>
        <w:spacing w:line="240" w:lineRule="auto"/>
        <w:ind w:firstLine="480" w:firstLineChars="200"/>
        <w:rPr>
          <w:color w:val="auto"/>
          <w:sz w:val="24"/>
        </w:rPr>
      </w:pPr>
      <w:r>
        <w:rPr>
          <w:color w:val="auto"/>
          <w:sz w:val="24"/>
        </w:rPr>
        <w:t xml:space="preserve">5.2.3 </w:t>
      </w:r>
      <w:r>
        <w:rPr>
          <w:rFonts w:hint="eastAsia"/>
          <w:color w:val="auto"/>
          <w:sz w:val="24"/>
        </w:rPr>
        <w:t>发包人应在材料和工程设备到货</w:t>
      </w:r>
      <w:r>
        <w:rPr>
          <w:color w:val="auto"/>
          <w:sz w:val="24"/>
        </w:rPr>
        <w:t>7</w:t>
      </w:r>
      <w:r>
        <w:rPr>
          <w:rFonts w:hint="eastAsia"/>
          <w:color w:val="auto"/>
          <w:sz w:val="24"/>
        </w:rPr>
        <w:t>天前通知承包人，承包人应会同</w:t>
      </w:r>
      <w:r>
        <w:rPr>
          <w:rFonts w:hint="eastAsia"/>
          <w:color w:val="auto"/>
          <w:sz w:val="24"/>
          <w:lang w:val="en-US" w:eastAsia="zh-CN"/>
        </w:rPr>
        <w:t>发包</w:t>
      </w:r>
      <w:r>
        <w:rPr>
          <w:rFonts w:hint="eastAsia"/>
          <w:color w:val="auto"/>
          <w:sz w:val="24"/>
        </w:rPr>
        <w:t>人在约定的时间内，赴交货地点共同进行验收。除专用合同条款另有约定外，发包人提供的材料和工程设备验收后，由承包人负责接收、运输和保管。</w:t>
      </w:r>
    </w:p>
    <w:p w14:paraId="0266A100">
      <w:pPr>
        <w:spacing w:line="240" w:lineRule="auto"/>
        <w:ind w:firstLine="480" w:firstLineChars="200"/>
        <w:rPr>
          <w:color w:val="auto"/>
          <w:sz w:val="24"/>
        </w:rPr>
      </w:pPr>
      <w:r>
        <w:rPr>
          <w:color w:val="auto"/>
          <w:sz w:val="24"/>
        </w:rPr>
        <w:t xml:space="preserve">5.2.4 </w:t>
      </w:r>
      <w:r>
        <w:rPr>
          <w:rFonts w:hint="eastAsia"/>
          <w:color w:val="auto"/>
          <w:sz w:val="24"/>
        </w:rPr>
        <w:t>发包人要求向承包人提前交货的，承包人不得拒绝，但发包人应承担承包人由此增加的费用。</w:t>
      </w:r>
      <w:r>
        <w:rPr>
          <w:color w:val="auto"/>
          <w:sz w:val="24"/>
        </w:rPr>
        <w:t xml:space="preserve"> </w:t>
      </w:r>
    </w:p>
    <w:p w14:paraId="35E87FFE">
      <w:pPr>
        <w:spacing w:line="240" w:lineRule="auto"/>
        <w:ind w:firstLine="480" w:firstLineChars="200"/>
        <w:rPr>
          <w:color w:val="auto"/>
          <w:sz w:val="24"/>
        </w:rPr>
      </w:pPr>
      <w:r>
        <w:rPr>
          <w:color w:val="auto"/>
          <w:sz w:val="24"/>
        </w:rPr>
        <w:t xml:space="preserve">5.2.5 </w:t>
      </w:r>
      <w:r>
        <w:rPr>
          <w:rFonts w:hint="eastAsia"/>
          <w:color w:val="auto"/>
          <w:sz w:val="24"/>
        </w:rPr>
        <w:t>承包人要求更改交货日期或地点的，应事先报请</w:t>
      </w:r>
      <w:r>
        <w:rPr>
          <w:rFonts w:hint="eastAsia"/>
          <w:color w:val="auto"/>
          <w:sz w:val="24"/>
          <w:lang w:val="en-US" w:eastAsia="zh-CN"/>
        </w:rPr>
        <w:t>发包</w:t>
      </w:r>
      <w:r>
        <w:rPr>
          <w:rFonts w:hint="eastAsia"/>
          <w:color w:val="auto"/>
          <w:sz w:val="24"/>
        </w:rPr>
        <w:t>人批准。由于承包人要求更改交货时间或地点所增加的费用和（或）工期延误由承包人承担。</w:t>
      </w:r>
      <w:r>
        <w:rPr>
          <w:color w:val="auto"/>
          <w:sz w:val="24"/>
        </w:rPr>
        <w:t xml:space="preserve"> </w:t>
      </w:r>
    </w:p>
    <w:p w14:paraId="327365EF">
      <w:pPr>
        <w:spacing w:line="240" w:lineRule="auto"/>
        <w:ind w:firstLine="480" w:firstLineChars="200"/>
        <w:rPr>
          <w:color w:val="auto"/>
          <w:sz w:val="24"/>
        </w:rPr>
      </w:pPr>
      <w:r>
        <w:rPr>
          <w:color w:val="auto"/>
          <w:sz w:val="24"/>
        </w:rPr>
        <w:t xml:space="preserve">5.2.6 </w:t>
      </w:r>
      <w:r>
        <w:rPr>
          <w:rFonts w:hint="eastAsia"/>
          <w:color w:val="auto"/>
          <w:sz w:val="24"/>
        </w:rPr>
        <w:t>发包人提供的材料和工程设备的规格、数量或质量不符合合同要求，或由于发包人原因发生交货日期延误及交货地点变更等情况的，发包人应承担由此增加的费用和（或）工期延误，并向承包人支付合理利润。</w:t>
      </w:r>
    </w:p>
    <w:p w14:paraId="421D0D94">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5.3 </w:t>
      </w:r>
      <w:r>
        <w:rPr>
          <w:rFonts w:hint="eastAsia" w:eastAsia="黑体"/>
          <w:bCs/>
          <w:color w:val="auto"/>
          <w:kern w:val="44"/>
          <w:sz w:val="24"/>
          <w:lang w:val="zh-CN"/>
        </w:rPr>
        <w:t>材料和工程设备专用于合同工程</w:t>
      </w:r>
    </w:p>
    <w:p w14:paraId="69FFD06E">
      <w:pPr>
        <w:spacing w:line="240" w:lineRule="auto"/>
        <w:ind w:firstLine="480" w:firstLineChars="200"/>
        <w:rPr>
          <w:color w:val="auto"/>
          <w:sz w:val="24"/>
        </w:rPr>
      </w:pPr>
      <w:r>
        <w:rPr>
          <w:color w:val="auto"/>
          <w:sz w:val="24"/>
        </w:rPr>
        <w:t>5.3.1</w:t>
      </w:r>
      <w:r>
        <w:rPr>
          <w:rFonts w:hint="eastAsia"/>
          <w:color w:val="auto"/>
          <w:sz w:val="24"/>
        </w:rPr>
        <w:t>运入施工场地的材料、工程设备，包括备品备件、安装专用工器具与随机资料，必须专用于合同工程，未经发包人同意，承包人不得运出施工场地或挪作他用。</w:t>
      </w:r>
    </w:p>
    <w:p w14:paraId="517742E6">
      <w:pPr>
        <w:spacing w:line="240" w:lineRule="auto"/>
        <w:ind w:firstLine="480" w:firstLineChars="200"/>
        <w:rPr>
          <w:color w:val="auto"/>
          <w:sz w:val="24"/>
        </w:rPr>
      </w:pPr>
      <w:r>
        <w:rPr>
          <w:color w:val="auto"/>
          <w:sz w:val="24"/>
        </w:rPr>
        <w:t xml:space="preserve">5.3.2 </w:t>
      </w:r>
      <w:r>
        <w:rPr>
          <w:rFonts w:hint="eastAsia"/>
          <w:color w:val="auto"/>
          <w:sz w:val="24"/>
        </w:rPr>
        <w:t>随同工程设备运入施工场地的备品备件、专用工器具与随机资料，应由承包人会同监理人按供货人的装箱单清点后共同封存，未经</w:t>
      </w:r>
      <w:r>
        <w:rPr>
          <w:rFonts w:hint="eastAsia"/>
          <w:color w:val="auto"/>
          <w:sz w:val="24"/>
          <w:lang w:val="en-US" w:eastAsia="zh-CN"/>
        </w:rPr>
        <w:t>发包</w:t>
      </w:r>
      <w:r>
        <w:rPr>
          <w:rFonts w:hint="eastAsia"/>
          <w:color w:val="auto"/>
          <w:sz w:val="24"/>
        </w:rPr>
        <w:t>人同意不得启用。承包人因合同工作需要使用上述物品时，应向</w:t>
      </w:r>
      <w:r>
        <w:rPr>
          <w:rFonts w:hint="eastAsia"/>
          <w:color w:val="auto"/>
          <w:sz w:val="24"/>
          <w:lang w:val="en-US" w:eastAsia="zh-CN"/>
        </w:rPr>
        <w:t>发包</w:t>
      </w:r>
      <w:r>
        <w:rPr>
          <w:rFonts w:hint="eastAsia"/>
          <w:color w:val="auto"/>
          <w:sz w:val="24"/>
        </w:rPr>
        <w:t>人提出申请。</w:t>
      </w:r>
    </w:p>
    <w:p w14:paraId="4C257C0C">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5.4 </w:t>
      </w:r>
      <w:r>
        <w:rPr>
          <w:rFonts w:hint="eastAsia" w:eastAsia="黑体"/>
          <w:bCs/>
          <w:color w:val="auto"/>
          <w:kern w:val="44"/>
          <w:sz w:val="24"/>
          <w:lang w:val="zh-CN"/>
        </w:rPr>
        <w:t>禁止使用不合格的材料和工程设备</w:t>
      </w:r>
      <w:r>
        <w:rPr>
          <w:rFonts w:eastAsia="黑体"/>
          <w:bCs/>
          <w:color w:val="auto"/>
          <w:kern w:val="44"/>
          <w:sz w:val="24"/>
          <w:lang w:val="zh-CN"/>
        </w:rPr>
        <w:t xml:space="preserve"> </w:t>
      </w:r>
    </w:p>
    <w:p w14:paraId="09364700">
      <w:pPr>
        <w:spacing w:line="240" w:lineRule="auto"/>
        <w:ind w:firstLine="480" w:firstLineChars="200"/>
        <w:rPr>
          <w:color w:val="auto"/>
          <w:sz w:val="24"/>
        </w:rPr>
      </w:pPr>
      <w:r>
        <w:rPr>
          <w:color w:val="auto"/>
          <w:sz w:val="24"/>
        </w:rPr>
        <w:t xml:space="preserve">5.4.1 </w:t>
      </w:r>
      <w:r>
        <w:rPr>
          <w:rFonts w:hint="eastAsia"/>
          <w:color w:val="auto"/>
          <w:sz w:val="24"/>
          <w:lang w:val="en-US" w:eastAsia="zh-CN"/>
        </w:rPr>
        <w:t>发包</w:t>
      </w:r>
      <w:r>
        <w:rPr>
          <w:rFonts w:hint="eastAsia"/>
          <w:color w:val="auto"/>
          <w:sz w:val="24"/>
        </w:rPr>
        <w:t>人有权拒绝承包人提供的不合格材料或工程设备，并要求承包人立即进行更换。</w:t>
      </w:r>
      <w:r>
        <w:rPr>
          <w:rFonts w:hint="eastAsia"/>
          <w:color w:val="auto"/>
          <w:sz w:val="24"/>
          <w:lang w:val="en-US" w:eastAsia="zh-CN"/>
        </w:rPr>
        <w:t>发包</w:t>
      </w:r>
      <w:r>
        <w:rPr>
          <w:rFonts w:hint="eastAsia"/>
          <w:color w:val="auto"/>
          <w:sz w:val="24"/>
        </w:rPr>
        <w:t>人应在更换后再次进行检查和检验，由此增加的费用和（或）工期延误由承包人承担。</w:t>
      </w:r>
    </w:p>
    <w:p w14:paraId="0296315F">
      <w:pPr>
        <w:spacing w:line="240" w:lineRule="auto"/>
        <w:ind w:firstLine="480" w:firstLineChars="200"/>
        <w:rPr>
          <w:color w:val="auto"/>
          <w:sz w:val="24"/>
        </w:rPr>
      </w:pPr>
      <w:r>
        <w:rPr>
          <w:color w:val="auto"/>
          <w:sz w:val="24"/>
        </w:rPr>
        <w:t xml:space="preserve">5.4.2 </w:t>
      </w:r>
      <w:r>
        <w:rPr>
          <w:rFonts w:hint="eastAsia"/>
          <w:color w:val="auto"/>
          <w:sz w:val="24"/>
          <w:lang w:val="en-US" w:eastAsia="zh-CN"/>
        </w:rPr>
        <w:t>发包</w:t>
      </w:r>
      <w:r>
        <w:rPr>
          <w:rFonts w:hint="eastAsia"/>
          <w:color w:val="auto"/>
          <w:sz w:val="24"/>
        </w:rPr>
        <w:t>人发现承包人使用了不合格的材料和工程设备，应即时发出指示要求承包人立即改正，并禁止在工程中继续使用不合格的材料和工程设备。</w:t>
      </w:r>
    </w:p>
    <w:p w14:paraId="6F97FB76">
      <w:pPr>
        <w:spacing w:line="240" w:lineRule="auto"/>
        <w:ind w:firstLine="480" w:firstLineChars="200"/>
        <w:rPr>
          <w:color w:val="auto"/>
          <w:sz w:val="24"/>
        </w:rPr>
      </w:pPr>
      <w:r>
        <w:rPr>
          <w:color w:val="auto"/>
          <w:sz w:val="24"/>
        </w:rPr>
        <w:t xml:space="preserve">5.4.3 </w:t>
      </w:r>
      <w:r>
        <w:rPr>
          <w:rFonts w:hint="eastAsia"/>
          <w:color w:val="auto"/>
          <w:sz w:val="24"/>
        </w:rPr>
        <w:t>发包人提供的材料或工程设备不符合合同要求的，承包人有权拒绝，并可要求发包人更换，由此增加的费用和（或）工期延误由发包人承担。</w:t>
      </w:r>
    </w:p>
    <w:p w14:paraId="223E06D5">
      <w:pPr>
        <w:keepNext/>
        <w:keepLines/>
        <w:spacing w:before="480" w:after="240" w:line="240" w:lineRule="auto"/>
        <w:outlineLvl w:val="2"/>
        <w:rPr>
          <w:rFonts w:eastAsia="黑体"/>
          <w:bCs/>
          <w:color w:val="auto"/>
          <w:kern w:val="44"/>
          <w:sz w:val="28"/>
          <w:szCs w:val="28"/>
          <w:lang w:val="zh-CN"/>
        </w:rPr>
      </w:pPr>
      <w:r>
        <w:rPr>
          <w:rFonts w:eastAsia="黑体"/>
          <w:bCs/>
          <w:color w:val="auto"/>
          <w:kern w:val="44"/>
          <w:sz w:val="28"/>
          <w:szCs w:val="28"/>
          <w:lang w:val="zh-CN"/>
        </w:rPr>
        <w:t xml:space="preserve">6. </w:t>
      </w:r>
      <w:r>
        <w:rPr>
          <w:rFonts w:hint="eastAsia" w:eastAsia="黑体"/>
          <w:bCs/>
          <w:color w:val="auto"/>
          <w:kern w:val="44"/>
          <w:sz w:val="28"/>
          <w:szCs w:val="28"/>
          <w:lang w:val="zh-CN"/>
        </w:rPr>
        <w:t>施工设备和临时设施</w:t>
      </w:r>
      <w:r>
        <w:rPr>
          <w:rFonts w:eastAsia="黑体"/>
          <w:bCs/>
          <w:color w:val="auto"/>
          <w:kern w:val="44"/>
          <w:sz w:val="28"/>
          <w:szCs w:val="28"/>
          <w:lang w:val="zh-CN"/>
        </w:rPr>
        <w:t xml:space="preserve"> </w:t>
      </w:r>
    </w:p>
    <w:p w14:paraId="241E03CD">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6.1 </w:t>
      </w:r>
      <w:r>
        <w:rPr>
          <w:rFonts w:hint="eastAsia" w:eastAsia="黑体"/>
          <w:bCs/>
          <w:color w:val="auto"/>
          <w:kern w:val="44"/>
          <w:sz w:val="24"/>
          <w:lang w:val="zh-CN"/>
        </w:rPr>
        <w:t>承包人提供的施工设备和临时设施</w:t>
      </w:r>
    </w:p>
    <w:p w14:paraId="1C46E796">
      <w:pPr>
        <w:spacing w:line="240" w:lineRule="auto"/>
        <w:ind w:firstLine="480" w:firstLineChars="200"/>
        <w:rPr>
          <w:color w:val="auto"/>
          <w:sz w:val="24"/>
        </w:rPr>
      </w:pPr>
      <w:r>
        <w:rPr>
          <w:color w:val="auto"/>
          <w:sz w:val="24"/>
        </w:rPr>
        <w:t xml:space="preserve">6.1.1 </w:t>
      </w:r>
      <w:r>
        <w:rPr>
          <w:rFonts w:hint="eastAsia"/>
          <w:color w:val="auto"/>
          <w:sz w:val="24"/>
        </w:rPr>
        <w:t>承包人应按合同进度计划的要求，及时配置施工设备和修建临时设施。进入施工场地的承包人设备需经</w:t>
      </w:r>
      <w:r>
        <w:rPr>
          <w:rFonts w:hint="eastAsia"/>
          <w:color w:val="auto"/>
          <w:sz w:val="24"/>
          <w:lang w:val="en-US" w:eastAsia="zh-CN"/>
        </w:rPr>
        <w:t>发包</w:t>
      </w:r>
      <w:r>
        <w:rPr>
          <w:rFonts w:hint="eastAsia"/>
          <w:color w:val="auto"/>
          <w:sz w:val="24"/>
        </w:rPr>
        <w:t>人核查后才能投入使用。承包人更换合同约定的承包人设备的，应报</w:t>
      </w:r>
      <w:r>
        <w:rPr>
          <w:rFonts w:hint="eastAsia"/>
          <w:color w:val="auto"/>
          <w:sz w:val="24"/>
          <w:lang w:val="en-US" w:eastAsia="zh-CN"/>
        </w:rPr>
        <w:t>发包</w:t>
      </w:r>
      <w:r>
        <w:rPr>
          <w:rFonts w:hint="eastAsia"/>
          <w:color w:val="auto"/>
          <w:sz w:val="24"/>
        </w:rPr>
        <w:t>人批准。</w:t>
      </w:r>
    </w:p>
    <w:p w14:paraId="48736487">
      <w:pPr>
        <w:spacing w:line="240" w:lineRule="auto"/>
        <w:ind w:firstLine="480" w:firstLineChars="200"/>
        <w:rPr>
          <w:color w:val="auto"/>
          <w:sz w:val="24"/>
        </w:rPr>
      </w:pPr>
      <w:r>
        <w:rPr>
          <w:color w:val="auto"/>
          <w:sz w:val="24"/>
        </w:rPr>
        <w:t xml:space="preserve">6.1.2 </w:t>
      </w:r>
      <w:r>
        <w:rPr>
          <w:rFonts w:hint="eastAsia"/>
          <w:color w:val="auto"/>
          <w:sz w:val="24"/>
        </w:rPr>
        <w:t>除专用合同条款另有约定外，承包人应自行承担修建临时设施的费用，需要临时占地的，应由发包人办理申请手续并承担相应费用。</w:t>
      </w:r>
    </w:p>
    <w:p w14:paraId="719BE510">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6.2 </w:t>
      </w:r>
      <w:r>
        <w:rPr>
          <w:rFonts w:hint="eastAsia" w:eastAsia="黑体"/>
          <w:bCs/>
          <w:color w:val="auto"/>
          <w:kern w:val="44"/>
          <w:sz w:val="24"/>
          <w:lang w:val="zh-CN"/>
        </w:rPr>
        <w:t>发包人提供的施工设备和临时设施</w:t>
      </w:r>
    </w:p>
    <w:p w14:paraId="40FF1392">
      <w:pPr>
        <w:spacing w:line="240" w:lineRule="auto"/>
        <w:ind w:firstLine="480" w:firstLineChars="200"/>
        <w:rPr>
          <w:rFonts w:hint="eastAsia"/>
          <w:color w:val="auto"/>
          <w:sz w:val="24"/>
        </w:rPr>
      </w:pPr>
      <w:r>
        <w:rPr>
          <w:rFonts w:hint="eastAsia"/>
          <w:color w:val="auto"/>
          <w:sz w:val="24"/>
        </w:rPr>
        <w:t>发包人提供的施工设备或临时设施在专用合同条款中约定。</w:t>
      </w:r>
    </w:p>
    <w:p w14:paraId="37C1CA97">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6.3 </w:t>
      </w:r>
      <w:r>
        <w:rPr>
          <w:rFonts w:hint="eastAsia" w:eastAsia="黑体"/>
          <w:bCs/>
          <w:color w:val="auto"/>
          <w:kern w:val="44"/>
          <w:sz w:val="24"/>
          <w:lang w:val="zh-CN"/>
        </w:rPr>
        <w:t>要求承包人增加或更换施工设备</w:t>
      </w:r>
    </w:p>
    <w:p w14:paraId="133F7817">
      <w:pPr>
        <w:spacing w:line="240" w:lineRule="auto"/>
        <w:ind w:firstLine="480" w:firstLineChars="200"/>
        <w:rPr>
          <w:rFonts w:hint="eastAsia"/>
          <w:color w:val="auto"/>
          <w:sz w:val="24"/>
        </w:rPr>
      </w:pPr>
      <w:r>
        <w:rPr>
          <w:rFonts w:hint="eastAsia"/>
          <w:color w:val="auto"/>
          <w:sz w:val="24"/>
        </w:rPr>
        <w:t>承包人使用的施工设备不能满足合同进度计划和（或）质量要求时，</w:t>
      </w:r>
      <w:r>
        <w:rPr>
          <w:rFonts w:hint="eastAsia"/>
          <w:color w:val="auto"/>
          <w:sz w:val="24"/>
          <w:lang w:val="en-US" w:eastAsia="zh-CN"/>
        </w:rPr>
        <w:t>发包</w:t>
      </w:r>
      <w:r>
        <w:rPr>
          <w:rFonts w:hint="eastAsia"/>
          <w:color w:val="auto"/>
          <w:sz w:val="24"/>
        </w:rPr>
        <w:t>人有权要求承包人增加或更换施工设备，承包人应及时增加或更换，由此增加的费用和（或）工期延误由承包人承担。</w:t>
      </w:r>
    </w:p>
    <w:p w14:paraId="1762BBE1">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6.4 </w:t>
      </w:r>
      <w:r>
        <w:rPr>
          <w:rFonts w:hint="eastAsia" w:eastAsia="黑体"/>
          <w:bCs/>
          <w:color w:val="auto"/>
          <w:kern w:val="44"/>
          <w:sz w:val="24"/>
          <w:lang w:val="zh-CN"/>
        </w:rPr>
        <w:t>施工设备和临时设施专用于合同工程</w:t>
      </w:r>
    </w:p>
    <w:p w14:paraId="7BC92A30">
      <w:pPr>
        <w:spacing w:line="240" w:lineRule="auto"/>
        <w:ind w:firstLine="480" w:firstLineChars="200"/>
        <w:rPr>
          <w:color w:val="auto"/>
          <w:sz w:val="24"/>
        </w:rPr>
      </w:pPr>
      <w:r>
        <w:rPr>
          <w:color w:val="auto"/>
          <w:sz w:val="24"/>
        </w:rPr>
        <w:t>6.4.1</w:t>
      </w:r>
      <w:r>
        <w:rPr>
          <w:rFonts w:hint="eastAsia"/>
          <w:color w:val="auto"/>
          <w:sz w:val="24"/>
        </w:rPr>
        <w:t>除合同另有约定外，运入施工场地的所有施工设备以及在施工场地建设的临时设施应专用于合同工程。未经</w:t>
      </w:r>
      <w:r>
        <w:rPr>
          <w:rFonts w:hint="eastAsia"/>
          <w:color w:val="auto"/>
          <w:sz w:val="24"/>
          <w:lang w:val="en-US" w:eastAsia="zh-CN"/>
        </w:rPr>
        <w:t>发包</w:t>
      </w:r>
      <w:r>
        <w:rPr>
          <w:rFonts w:hint="eastAsia"/>
          <w:color w:val="auto"/>
          <w:sz w:val="24"/>
        </w:rPr>
        <w:t>人同意，不得将上述施工设备和临时设施中的任何部分运出施工场地或挪作他用。</w:t>
      </w:r>
    </w:p>
    <w:p w14:paraId="300DEFE6">
      <w:pPr>
        <w:spacing w:line="240" w:lineRule="auto"/>
        <w:ind w:firstLine="480" w:firstLineChars="200"/>
        <w:rPr>
          <w:color w:val="auto"/>
          <w:sz w:val="24"/>
        </w:rPr>
      </w:pPr>
      <w:r>
        <w:rPr>
          <w:color w:val="auto"/>
          <w:sz w:val="24"/>
        </w:rPr>
        <w:t xml:space="preserve">6.4.2 </w:t>
      </w:r>
      <w:r>
        <w:rPr>
          <w:rFonts w:hint="eastAsia"/>
          <w:color w:val="auto"/>
          <w:sz w:val="24"/>
        </w:rPr>
        <w:t>经发包人同意，承包人可根据合同进度计划撤走闲置的施工设备。</w:t>
      </w:r>
    </w:p>
    <w:p w14:paraId="75ABBFAA">
      <w:pPr>
        <w:keepNext/>
        <w:keepLines/>
        <w:spacing w:before="480" w:after="240" w:line="240" w:lineRule="auto"/>
        <w:outlineLvl w:val="2"/>
        <w:rPr>
          <w:rFonts w:eastAsia="黑体"/>
          <w:bCs/>
          <w:color w:val="auto"/>
          <w:kern w:val="44"/>
          <w:sz w:val="28"/>
          <w:szCs w:val="28"/>
          <w:lang w:val="zh-CN"/>
        </w:rPr>
      </w:pPr>
      <w:r>
        <w:rPr>
          <w:rFonts w:eastAsia="黑体"/>
          <w:bCs/>
          <w:color w:val="auto"/>
          <w:kern w:val="44"/>
          <w:sz w:val="28"/>
          <w:szCs w:val="28"/>
          <w:lang w:val="zh-CN"/>
        </w:rPr>
        <w:t xml:space="preserve">7. </w:t>
      </w:r>
      <w:r>
        <w:rPr>
          <w:rFonts w:hint="eastAsia" w:eastAsia="黑体"/>
          <w:bCs/>
          <w:color w:val="auto"/>
          <w:kern w:val="44"/>
          <w:sz w:val="28"/>
          <w:szCs w:val="28"/>
          <w:lang w:val="zh-CN"/>
        </w:rPr>
        <w:t>交通运输</w:t>
      </w:r>
      <w:r>
        <w:rPr>
          <w:rFonts w:eastAsia="黑体"/>
          <w:bCs/>
          <w:color w:val="auto"/>
          <w:kern w:val="44"/>
          <w:sz w:val="28"/>
          <w:szCs w:val="28"/>
          <w:lang w:val="zh-CN"/>
        </w:rPr>
        <w:t xml:space="preserve"> </w:t>
      </w:r>
    </w:p>
    <w:p w14:paraId="7BA0CC38">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7.1 </w:t>
      </w:r>
      <w:r>
        <w:rPr>
          <w:rFonts w:hint="eastAsia" w:eastAsia="黑体"/>
          <w:bCs/>
          <w:color w:val="auto"/>
          <w:kern w:val="44"/>
          <w:sz w:val="24"/>
          <w:lang w:val="zh-CN"/>
        </w:rPr>
        <w:t>道路通行权和场外设施</w:t>
      </w:r>
    </w:p>
    <w:p w14:paraId="34264E2E">
      <w:pPr>
        <w:spacing w:line="240" w:lineRule="auto"/>
        <w:ind w:firstLine="420"/>
        <w:rPr>
          <w:rFonts w:hint="eastAsia"/>
          <w:color w:val="auto"/>
          <w:sz w:val="24"/>
        </w:rPr>
      </w:pPr>
      <w:r>
        <w:rPr>
          <w:rFonts w:hint="eastAsia"/>
          <w:color w:val="auto"/>
          <w:sz w:val="24"/>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14:paraId="6329B69C">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7.2 </w:t>
      </w:r>
      <w:r>
        <w:rPr>
          <w:rFonts w:hint="eastAsia" w:eastAsia="黑体"/>
          <w:bCs/>
          <w:color w:val="auto"/>
          <w:kern w:val="44"/>
          <w:sz w:val="24"/>
          <w:lang w:val="zh-CN"/>
        </w:rPr>
        <w:t>场内施工道路</w:t>
      </w:r>
    </w:p>
    <w:p w14:paraId="0793C989">
      <w:pPr>
        <w:spacing w:line="240" w:lineRule="auto"/>
        <w:ind w:firstLine="480" w:firstLineChars="200"/>
        <w:rPr>
          <w:color w:val="auto"/>
          <w:sz w:val="24"/>
        </w:rPr>
      </w:pPr>
      <w:r>
        <w:rPr>
          <w:color w:val="auto"/>
          <w:sz w:val="24"/>
        </w:rPr>
        <w:t xml:space="preserve">7.2.1 </w:t>
      </w:r>
      <w:r>
        <w:rPr>
          <w:rFonts w:hint="eastAsia"/>
          <w:color w:val="auto"/>
          <w:sz w:val="24"/>
        </w:rPr>
        <w:t>除专用合同条款另有约定外，承包人应负责修建、维修、养护和管理施工所需的临时道路和交通设施，包括维修、养护和管理发包人提供的道路和交通设施，并承担相应费用。</w:t>
      </w:r>
    </w:p>
    <w:p w14:paraId="48668593">
      <w:pPr>
        <w:spacing w:line="240" w:lineRule="auto"/>
        <w:ind w:firstLine="480" w:firstLineChars="200"/>
        <w:rPr>
          <w:color w:val="auto"/>
          <w:sz w:val="24"/>
        </w:rPr>
      </w:pPr>
      <w:r>
        <w:rPr>
          <w:color w:val="auto"/>
          <w:sz w:val="24"/>
        </w:rPr>
        <w:t xml:space="preserve">7.2.2 </w:t>
      </w:r>
      <w:r>
        <w:rPr>
          <w:rFonts w:hint="eastAsia"/>
          <w:color w:val="auto"/>
          <w:sz w:val="24"/>
        </w:rPr>
        <w:t>除专用合同条款另有约定外，承包人修建的临时道路和交通设施应免费提供发包人使用。</w:t>
      </w:r>
    </w:p>
    <w:p w14:paraId="611B127E">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7.3 </w:t>
      </w:r>
      <w:r>
        <w:rPr>
          <w:rFonts w:hint="eastAsia" w:eastAsia="黑体"/>
          <w:bCs/>
          <w:color w:val="auto"/>
          <w:kern w:val="44"/>
          <w:sz w:val="24"/>
          <w:lang w:val="zh-CN"/>
        </w:rPr>
        <w:t>场外交通</w:t>
      </w:r>
    </w:p>
    <w:p w14:paraId="44C96C0F">
      <w:pPr>
        <w:spacing w:line="240" w:lineRule="auto"/>
        <w:ind w:firstLine="480" w:firstLineChars="200"/>
        <w:rPr>
          <w:color w:val="auto"/>
          <w:sz w:val="24"/>
        </w:rPr>
      </w:pPr>
      <w:r>
        <w:rPr>
          <w:color w:val="auto"/>
          <w:sz w:val="24"/>
        </w:rPr>
        <w:t xml:space="preserve">7.3.1 </w:t>
      </w:r>
      <w:r>
        <w:rPr>
          <w:rFonts w:hint="eastAsia"/>
          <w:color w:val="auto"/>
          <w:sz w:val="24"/>
        </w:rPr>
        <w:t>承包人车辆外出行驶所需的场外公共道路的通行费、养路费和税款等由承包人承担。</w:t>
      </w:r>
    </w:p>
    <w:p w14:paraId="71806C7E">
      <w:pPr>
        <w:spacing w:line="240" w:lineRule="auto"/>
        <w:ind w:firstLine="480" w:firstLineChars="200"/>
        <w:rPr>
          <w:color w:val="auto"/>
          <w:sz w:val="24"/>
        </w:rPr>
      </w:pPr>
      <w:r>
        <w:rPr>
          <w:color w:val="auto"/>
          <w:sz w:val="24"/>
        </w:rPr>
        <w:t xml:space="preserve">7.3.2 </w:t>
      </w:r>
      <w:r>
        <w:rPr>
          <w:rFonts w:hint="eastAsia"/>
          <w:color w:val="auto"/>
          <w:sz w:val="24"/>
        </w:rPr>
        <w:t>承包人应遵守有关交通法规，严格按照道路和桥梁的限制荷重安全行驶，并服从交通管理部门的检查和监督。</w:t>
      </w:r>
    </w:p>
    <w:p w14:paraId="06AFA77F">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7.4 </w:t>
      </w:r>
      <w:r>
        <w:rPr>
          <w:rFonts w:hint="eastAsia" w:eastAsia="黑体"/>
          <w:bCs/>
          <w:color w:val="auto"/>
          <w:kern w:val="44"/>
          <w:sz w:val="24"/>
          <w:lang w:val="zh-CN"/>
        </w:rPr>
        <w:t>超大件和超重件的运输</w:t>
      </w:r>
    </w:p>
    <w:p w14:paraId="59CDBB17">
      <w:pPr>
        <w:spacing w:line="240" w:lineRule="auto"/>
        <w:ind w:firstLine="480" w:firstLineChars="200"/>
        <w:rPr>
          <w:rFonts w:hint="eastAsia"/>
          <w:color w:val="auto"/>
          <w:sz w:val="24"/>
        </w:rPr>
      </w:pPr>
      <w:r>
        <w:rPr>
          <w:rFonts w:hint="eastAsia"/>
          <w:color w:val="auto"/>
          <w:sz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40D7BDE2">
      <w:pPr>
        <w:spacing w:line="240" w:lineRule="auto"/>
        <w:rPr>
          <w:color w:val="auto"/>
          <w:sz w:val="24"/>
        </w:rPr>
      </w:pPr>
    </w:p>
    <w:p w14:paraId="7D0785D7">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7.5 </w:t>
      </w:r>
      <w:r>
        <w:rPr>
          <w:rFonts w:hint="eastAsia" w:eastAsia="黑体"/>
          <w:bCs/>
          <w:color w:val="auto"/>
          <w:kern w:val="44"/>
          <w:sz w:val="24"/>
          <w:lang w:val="zh-CN"/>
        </w:rPr>
        <w:t>道路和桥梁的损坏责任</w:t>
      </w:r>
    </w:p>
    <w:p w14:paraId="51A89144">
      <w:pPr>
        <w:spacing w:line="240" w:lineRule="auto"/>
        <w:rPr>
          <w:rFonts w:hint="eastAsia"/>
          <w:color w:val="auto"/>
          <w:sz w:val="24"/>
        </w:rPr>
      </w:pPr>
      <w:r>
        <w:rPr>
          <w:rFonts w:hint="eastAsia"/>
          <w:color w:val="auto"/>
          <w:sz w:val="24"/>
        </w:rPr>
        <w:t>　　因承包人运输造成施工场地内外公共道路和桥梁损坏的，由承包人承担修复损坏的全部费用和可能引起的赔偿。</w:t>
      </w:r>
    </w:p>
    <w:p w14:paraId="1F705D95">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7.6 </w:t>
      </w:r>
      <w:r>
        <w:rPr>
          <w:rFonts w:hint="eastAsia" w:eastAsia="黑体"/>
          <w:bCs/>
          <w:color w:val="auto"/>
          <w:kern w:val="44"/>
          <w:sz w:val="24"/>
          <w:lang w:val="zh-CN"/>
        </w:rPr>
        <w:t>水路和航空运输</w:t>
      </w:r>
    </w:p>
    <w:p w14:paraId="05EE94D9">
      <w:pPr>
        <w:spacing w:line="240" w:lineRule="auto"/>
        <w:rPr>
          <w:rFonts w:hint="eastAsia"/>
          <w:color w:val="auto"/>
          <w:sz w:val="24"/>
        </w:rPr>
      </w:pPr>
      <w:r>
        <w:rPr>
          <w:rFonts w:hint="eastAsia"/>
          <w:color w:val="auto"/>
          <w:sz w:val="24"/>
        </w:rPr>
        <w:t>　　本条上述各款的内容适用于水路运输和航空运输，其中</w:t>
      </w:r>
      <w:r>
        <w:rPr>
          <w:color w:val="auto"/>
          <w:sz w:val="24"/>
        </w:rPr>
        <w:t>“</w:t>
      </w:r>
      <w:r>
        <w:rPr>
          <w:rFonts w:hint="eastAsia"/>
          <w:color w:val="auto"/>
          <w:sz w:val="24"/>
        </w:rPr>
        <w:t>道路</w:t>
      </w:r>
      <w:r>
        <w:rPr>
          <w:color w:val="auto"/>
          <w:sz w:val="24"/>
        </w:rPr>
        <w:t>”</w:t>
      </w:r>
      <w:r>
        <w:rPr>
          <w:rFonts w:hint="eastAsia"/>
          <w:color w:val="auto"/>
          <w:sz w:val="24"/>
        </w:rPr>
        <w:t>一词的涵义包括河道、航线、船闸、机场、码头、堤防以及水路或航空运输中其他相似结构物；</w:t>
      </w:r>
      <w:r>
        <w:rPr>
          <w:color w:val="auto"/>
          <w:sz w:val="24"/>
        </w:rPr>
        <w:t>“</w:t>
      </w:r>
      <w:r>
        <w:rPr>
          <w:rFonts w:hint="eastAsia"/>
          <w:color w:val="auto"/>
          <w:sz w:val="24"/>
        </w:rPr>
        <w:t>车辆</w:t>
      </w:r>
      <w:r>
        <w:rPr>
          <w:color w:val="auto"/>
          <w:sz w:val="24"/>
        </w:rPr>
        <w:t>”</w:t>
      </w:r>
      <w:r>
        <w:rPr>
          <w:rFonts w:hint="eastAsia"/>
          <w:color w:val="auto"/>
          <w:sz w:val="24"/>
        </w:rPr>
        <w:t>一词的涵义包括船舶和飞机等。</w:t>
      </w:r>
      <w:r>
        <w:rPr>
          <w:color w:val="auto"/>
          <w:sz w:val="24"/>
        </w:rPr>
        <w:t xml:space="preserve"> </w:t>
      </w:r>
    </w:p>
    <w:p w14:paraId="250152F3">
      <w:pPr>
        <w:keepNext/>
        <w:keepLines/>
        <w:spacing w:before="480" w:after="240" w:line="240" w:lineRule="auto"/>
        <w:outlineLvl w:val="2"/>
        <w:rPr>
          <w:rFonts w:eastAsia="黑体"/>
          <w:bCs/>
          <w:color w:val="auto"/>
          <w:kern w:val="44"/>
          <w:sz w:val="28"/>
          <w:szCs w:val="28"/>
          <w:lang w:val="zh-CN"/>
        </w:rPr>
      </w:pPr>
      <w:r>
        <w:rPr>
          <w:rFonts w:eastAsia="黑体"/>
          <w:bCs/>
          <w:color w:val="auto"/>
          <w:kern w:val="44"/>
          <w:sz w:val="28"/>
          <w:szCs w:val="28"/>
          <w:lang w:val="zh-CN"/>
        </w:rPr>
        <w:t xml:space="preserve">8. </w:t>
      </w:r>
      <w:r>
        <w:rPr>
          <w:rFonts w:hint="eastAsia" w:eastAsia="黑体"/>
          <w:bCs/>
          <w:color w:val="auto"/>
          <w:kern w:val="44"/>
          <w:sz w:val="28"/>
          <w:szCs w:val="28"/>
          <w:lang w:val="zh-CN"/>
        </w:rPr>
        <w:t>测量放线</w:t>
      </w:r>
    </w:p>
    <w:p w14:paraId="43C52C83">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8.1 </w:t>
      </w:r>
      <w:r>
        <w:rPr>
          <w:rFonts w:hint="eastAsia" w:eastAsia="黑体"/>
          <w:bCs/>
          <w:color w:val="auto"/>
          <w:kern w:val="44"/>
          <w:sz w:val="24"/>
          <w:lang w:val="zh-CN"/>
        </w:rPr>
        <w:t>施工控制网</w:t>
      </w:r>
    </w:p>
    <w:p w14:paraId="5D0DF167">
      <w:pPr>
        <w:spacing w:line="240" w:lineRule="auto"/>
        <w:ind w:firstLine="480" w:firstLineChars="200"/>
        <w:rPr>
          <w:color w:val="auto"/>
          <w:sz w:val="24"/>
        </w:rPr>
      </w:pPr>
      <w:r>
        <w:rPr>
          <w:color w:val="auto"/>
          <w:sz w:val="24"/>
        </w:rPr>
        <w:t>8.1.1</w:t>
      </w:r>
      <w:r>
        <w:rPr>
          <w:rFonts w:hint="eastAsia"/>
          <w:color w:val="auto"/>
          <w:sz w:val="24"/>
        </w:rPr>
        <w:t>发包人应在专用合同条款约定的期限内，通过</w:t>
      </w:r>
      <w:r>
        <w:rPr>
          <w:rFonts w:hint="eastAsia"/>
          <w:color w:val="auto"/>
          <w:sz w:val="24"/>
          <w:lang w:val="en-US" w:eastAsia="zh-CN"/>
        </w:rPr>
        <w:t>发包</w:t>
      </w:r>
      <w:r>
        <w:rPr>
          <w:rFonts w:hint="eastAsia"/>
          <w:color w:val="auto"/>
          <w:sz w:val="24"/>
        </w:rPr>
        <w:t>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w:t>
      </w:r>
      <w:r>
        <w:rPr>
          <w:rFonts w:hint="eastAsia"/>
          <w:color w:val="auto"/>
          <w:sz w:val="24"/>
          <w:lang w:val="en-US" w:eastAsia="zh-CN"/>
        </w:rPr>
        <w:t>发包</w:t>
      </w:r>
      <w:r>
        <w:rPr>
          <w:rFonts w:hint="eastAsia"/>
          <w:color w:val="auto"/>
          <w:sz w:val="24"/>
        </w:rPr>
        <w:t>人审批。</w:t>
      </w:r>
    </w:p>
    <w:p w14:paraId="69FF32ED">
      <w:pPr>
        <w:spacing w:line="240" w:lineRule="auto"/>
        <w:rPr>
          <w:rFonts w:hint="eastAsia"/>
          <w:color w:val="auto"/>
          <w:sz w:val="24"/>
        </w:rPr>
      </w:pPr>
      <w:r>
        <w:rPr>
          <w:rFonts w:hint="eastAsia"/>
          <w:color w:val="auto"/>
          <w:sz w:val="24"/>
        </w:rPr>
        <w:t>　　</w:t>
      </w:r>
      <w:r>
        <w:rPr>
          <w:color w:val="auto"/>
          <w:sz w:val="24"/>
        </w:rPr>
        <w:t>8.1.2</w:t>
      </w:r>
      <w:r>
        <w:rPr>
          <w:rFonts w:hint="eastAsia"/>
          <w:color w:val="auto"/>
          <w:sz w:val="24"/>
        </w:rPr>
        <w:t>承包人应负责管理施工控制网点。施工控制网点丢失或损坏的，承包人应及时修复。承包人应承担施工控制网点的管理与修复费用，并在工程竣工后将施工控制网点移交发包人。</w:t>
      </w:r>
    </w:p>
    <w:p w14:paraId="5137D568">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8.2 </w:t>
      </w:r>
      <w:r>
        <w:rPr>
          <w:rFonts w:hint="eastAsia" w:eastAsia="黑体"/>
          <w:bCs/>
          <w:color w:val="auto"/>
          <w:kern w:val="44"/>
          <w:sz w:val="24"/>
          <w:lang w:val="zh-CN"/>
        </w:rPr>
        <w:t>施工测量</w:t>
      </w:r>
    </w:p>
    <w:p w14:paraId="7AFF3D5B">
      <w:pPr>
        <w:spacing w:line="240" w:lineRule="auto"/>
        <w:rPr>
          <w:rFonts w:hint="eastAsia"/>
          <w:color w:val="auto"/>
          <w:sz w:val="24"/>
        </w:rPr>
      </w:pPr>
      <w:r>
        <w:rPr>
          <w:rFonts w:hint="eastAsia"/>
          <w:color w:val="auto"/>
          <w:sz w:val="24"/>
        </w:rPr>
        <w:t>　　</w:t>
      </w:r>
      <w:r>
        <w:rPr>
          <w:color w:val="auto"/>
          <w:sz w:val="24"/>
        </w:rPr>
        <w:t>8.2.1</w:t>
      </w:r>
      <w:r>
        <w:rPr>
          <w:rFonts w:hint="eastAsia"/>
          <w:color w:val="auto"/>
          <w:sz w:val="24"/>
        </w:rPr>
        <w:t>承包人应负责施工过程中的全部施工测量放线工作，并配置合格的人员、仪器、设备和其他物品。</w:t>
      </w:r>
    </w:p>
    <w:p w14:paraId="26553610">
      <w:pPr>
        <w:spacing w:line="240" w:lineRule="auto"/>
        <w:rPr>
          <w:rFonts w:hint="eastAsia"/>
          <w:color w:val="auto"/>
          <w:sz w:val="24"/>
        </w:rPr>
      </w:pPr>
      <w:r>
        <w:rPr>
          <w:rFonts w:hint="eastAsia"/>
          <w:color w:val="auto"/>
          <w:sz w:val="24"/>
        </w:rPr>
        <w:t>　　</w:t>
      </w:r>
      <w:r>
        <w:rPr>
          <w:color w:val="auto"/>
          <w:sz w:val="24"/>
        </w:rPr>
        <w:t>8.2.2</w:t>
      </w:r>
      <w:r>
        <w:rPr>
          <w:rFonts w:hint="eastAsia"/>
          <w:color w:val="auto"/>
          <w:sz w:val="24"/>
          <w:lang w:val="en-US" w:eastAsia="zh-CN"/>
        </w:rPr>
        <w:t>发包</w:t>
      </w:r>
      <w:r>
        <w:rPr>
          <w:rFonts w:hint="eastAsia"/>
          <w:color w:val="auto"/>
          <w:sz w:val="24"/>
        </w:rPr>
        <w:t>人可以指示承包人进行抽样复测，当复测中发现错误或出现超过合同约定的误差时，承包人应按</w:t>
      </w:r>
      <w:r>
        <w:rPr>
          <w:rFonts w:hint="eastAsia"/>
          <w:color w:val="auto"/>
          <w:sz w:val="24"/>
          <w:lang w:val="en-US" w:eastAsia="zh-CN"/>
        </w:rPr>
        <w:t>发包</w:t>
      </w:r>
      <w:r>
        <w:rPr>
          <w:rFonts w:hint="eastAsia"/>
          <w:color w:val="auto"/>
          <w:sz w:val="24"/>
        </w:rPr>
        <w:t>人指示进行修正或补测，并承担相应的复测费用。</w:t>
      </w:r>
    </w:p>
    <w:p w14:paraId="011DEB6F">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8.3 </w:t>
      </w:r>
      <w:r>
        <w:rPr>
          <w:rFonts w:hint="eastAsia" w:eastAsia="黑体"/>
          <w:bCs/>
          <w:color w:val="auto"/>
          <w:kern w:val="44"/>
          <w:sz w:val="24"/>
          <w:lang w:val="zh-CN"/>
        </w:rPr>
        <w:t>基准资料错误的责任</w:t>
      </w:r>
    </w:p>
    <w:p w14:paraId="4F1DC5A3">
      <w:pPr>
        <w:spacing w:line="240" w:lineRule="auto"/>
        <w:rPr>
          <w:rFonts w:hint="eastAsia"/>
          <w:color w:val="auto"/>
          <w:sz w:val="24"/>
        </w:rPr>
      </w:pPr>
      <w:r>
        <w:rPr>
          <w:rFonts w:hint="eastAsia"/>
          <w:color w:val="auto"/>
          <w:sz w:val="24"/>
        </w:rPr>
        <w:t>　　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w:t>
      </w:r>
      <w:r>
        <w:rPr>
          <w:rFonts w:hint="eastAsia"/>
          <w:color w:val="auto"/>
          <w:sz w:val="24"/>
          <w:lang w:val="en-US" w:eastAsia="zh-CN"/>
        </w:rPr>
        <w:t>发包</w:t>
      </w:r>
      <w:r>
        <w:rPr>
          <w:rFonts w:hint="eastAsia"/>
          <w:color w:val="auto"/>
          <w:sz w:val="24"/>
        </w:rPr>
        <w:t>人。</w:t>
      </w:r>
    </w:p>
    <w:p w14:paraId="5519B94F">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8.4 </w:t>
      </w:r>
      <w:r>
        <w:rPr>
          <w:rFonts w:hint="eastAsia" w:eastAsia="黑体"/>
          <w:bCs/>
          <w:color w:val="auto"/>
          <w:kern w:val="44"/>
          <w:sz w:val="24"/>
          <w:lang w:val="en-US" w:eastAsia="zh-CN"/>
        </w:rPr>
        <w:t>发包</w:t>
      </w:r>
      <w:r>
        <w:rPr>
          <w:rFonts w:hint="eastAsia" w:eastAsia="黑体"/>
          <w:bCs/>
          <w:color w:val="auto"/>
          <w:kern w:val="44"/>
          <w:sz w:val="24"/>
          <w:lang w:val="zh-CN"/>
        </w:rPr>
        <w:t>人使用施工控制网</w:t>
      </w:r>
    </w:p>
    <w:p w14:paraId="15D39C81">
      <w:pPr>
        <w:spacing w:line="240" w:lineRule="auto"/>
        <w:ind w:firstLine="390"/>
        <w:rPr>
          <w:rFonts w:hint="eastAsia"/>
          <w:color w:val="auto"/>
          <w:sz w:val="24"/>
        </w:rPr>
      </w:pPr>
      <w:r>
        <w:rPr>
          <w:rFonts w:hint="eastAsia"/>
          <w:color w:val="auto"/>
          <w:sz w:val="24"/>
          <w:lang w:val="en-US" w:eastAsia="zh-CN"/>
        </w:rPr>
        <w:t>发包</w:t>
      </w:r>
      <w:r>
        <w:rPr>
          <w:rFonts w:hint="eastAsia"/>
          <w:color w:val="auto"/>
          <w:sz w:val="24"/>
        </w:rPr>
        <w:t>人需要使用施工控制网的，承包人应提供必要的协助，发包人不再为此支付费用。</w:t>
      </w:r>
    </w:p>
    <w:p w14:paraId="7EDD993A">
      <w:pPr>
        <w:keepNext/>
        <w:keepLines/>
        <w:spacing w:before="480" w:after="240" w:line="240" w:lineRule="auto"/>
        <w:outlineLvl w:val="2"/>
        <w:rPr>
          <w:rFonts w:eastAsia="黑体"/>
          <w:bCs/>
          <w:color w:val="auto"/>
          <w:kern w:val="44"/>
          <w:sz w:val="28"/>
          <w:szCs w:val="28"/>
          <w:lang w:val="zh-CN"/>
        </w:rPr>
      </w:pPr>
      <w:r>
        <w:rPr>
          <w:rFonts w:eastAsia="黑体"/>
          <w:bCs/>
          <w:color w:val="auto"/>
          <w:kern w:val="44"/>
          <w:sz w:val="28"/>
          <w:szCs w:val="28"/>
          <w:lang w:val="zh-CN"/>
        </w:rPr>
        <w:t xml:space="preserve">9. </w:t>
      </w:r>
      <w:r>
        <w:rPr>
          <w:rFonts w:hint="eastAsia" w:eastAsia="黑体"/>
          <w:bCs/>
          <w:color w:val="auto"/>
          <w:kern w:val="44"/>
          <w:sz w:val="28"/>
          <w:szCs w:val="28"/>
          <w:lang w:val="zh-CN"/>
        </w:rPr>
        <w:t>施工安全、治安保卫和环境保护</w:t>
      </w:r>
    </w:p>
    <w:p w14:paraId="4B8BB64C">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9.1 </w:t>
      </w:r>
      <w:r>
        <w:rPr>
          <w:rFonts w:hint="eastAsia" w:eastAsia="黑体"/>
          <w:bCs/>
          <w:color w:val="auto"/>
          <w:kern w:val="44"/>
          <w:sz w:val="24"/>
          <w:lang w:val="zh-CN"/>
        </w:rPr>
        <w:t>发包人的施工安全责任</w:t>
      </w:r>
    </w:p>
    <w:p w14:paraId="19CDE37E">
      <w:pPr>
        <w:spacing w:line="240" w:lineRule="auto"/>
        <w:ind w:firstLine="390"/>
        <w:rPr>
          <w:color w:val="auto"/>
          <w:sz w:val="24"/>
        </w:rPr>
      </w:pPr>
      <w:r>
        <w:rPr>
          <w:color w:val="auto"/>
          <w:sz w:val="24"/>
        </w:rPr>
        <w:t>9.1.1</w:t>
      </w:r>
      <w:r>
        <w:rPr>
          <w:rFonts w:hint="eastAsia"/>
          <w:color w:val="auto"/>
          <w:sz w:val="24"/>
        </w:rPr>
        <w:t>发包人应按合同约定履行安全职责，授权监理人按合同约定的安全工作内容监督、检查承包人安全工作的实施，组织承包人和有关单位进行安全检查。</w:t>
      </w:r>
    </w:p>
    <w:p w14:paraId="79842C7D">
      <w:pPr>
        <w:spacing w:line="240" w:lineRule="auto"/>
        <w:ind w:firstLine="390"/>
        <w:rPr>
          <w:color w:val="auto"/>
          <w:sz w:val="24"/>
        </w:rPr>
      </w:pPr>
      <w:r>
        <w:rPr>
          <w:color w:val="auto"/>
          <w:sz w:val="24"/>
        </w:rPr>
        <w:t>9.1.2</w:t>
      </w:r>
      <w:r>
        <w:rPr>
          <w:rFonts w:hint="eastAsia"/>
          <w:color w:val="auto"/>
          <w:sz w:val="24"/>
        </w:rPr>
        <w:t>发包人应对其现场机构雇佣的全部人员的工伤事故承担责任，但由于承包人原因造成发包人人员工伤的，应由承包人承担责任。</w:t>
      </w:r>
    </w:p>
    <w:p w14:paraId="6B6E9085">
      <w:pPr>
        <w:spacing w:line="240" w:lineRule="auto"/>
        <w:ind w:firstLine="390"/>
        <w:rPr>
          <w:color w:val="auto"/>
          <w:sz w:val="24"/>
        </w:rPr>
      </w:pPr>
      <w:r>
        <w:rPr>
          <w:color w:val="auto"/>
          <w:sz w:val="24"/>
        </w:rPr>
        <w:t>9.1.3</w:t>
      </w:r>
      <w:r>
        <w:rPr>
          <w:rFonts w:hint="eastAsia"/>
          <w:color w:val="auto"/>
          <w:sz w:val="24"/>
        </w:rPr>
        <w:t>发包人应负责赔偿以下各种情况造成的第三者人身伤亡和财产损失：</w:t>
      </w:r>
    </w:p>
    <w:p w14:paraId="66794612">
      <w:pPr>
        <w:spacing w:line="240" w:lineRule="auto"/>
        <w:ind w:firstLine="390"/>
        <w:rPr>
          <w:color w:val="auto"/>
          <w:sz w:val="24"/>
        </w:rPr>
      </w:pPr>
      <w:r>
        <w:rPr>
          <w:color w:val="auto"/>
          <w:sz w:val="24"/>
        </w:rPr>
        <w:t xml:space="preserve">    </w:t>
      </w:r>
      <w:r>
        <w:rPr>
          <w:rFonts w:hint="eastAsia"/>
          <w:color w:val="auto"/>
          <w:sz w:val="24"/>
        </w:rPr>
        <w:t>（</w:t>
      </w:r>
      <w:r>
        <w:rPr>
          <w:color w:val="auto"/>
          <w:sz w:val="24"/>
        </w:rPr>
        <w:t>1</w:t>
      </w:r>
      <w:r>
        <w:rPr>
          <w:rFonts w:hint="eastAsia"/>
          <w:color w:val="auto"/>
          <w:sz w:val="24"/>
        </w:rPr>
        <w:t>）工程或工程的任何部分对土地的占用所造成的第三者财产损失；</w:t>
      </w:r>
    </w:p>
    <w:p w14:paraId="717E1721">
      <w:pPr>
        <w:spacing w:line="240" w:lineRule="auto"/>
        <w:ind w:firstLine="390"/>
        <w:rPr>
          <w:color w:val="auto"/>
          <w:sz w:val="24"/>
        </w:rPr>
      </w:pPr>
      <w:r>
        <w:rPr>
          <w:color w:val="auto"/>
          <w:sz w:val="24"/>
        </w:rPr>
        <w:t xml:space="preserve">    </w:t>
      </w:r>
      <w:r>
        <w:rPr>
          <w:rFonts w:hint="eastAsia"/>
          <w:color w:val="auto"/>
          <w:sz w:val="24"/>
        </w:rPr>
        <w:t>（</w:t>
      </w:r>
      <w:r>
        <w:rPr>
          <w:color w:val="auto"/>
          <w:sz w:val="24"/>
        </w:rPr>
        <w:t>2</w:t>
      </w:r>
      <w:r>
        <w:rPr>
          <w:rFonts w:hint="eastAsia"/>
          <w:color w:val="auto"/>
          <w:sz w:val="24"/>
        </w:rPr>
        <w:t>）由于发包人原因在施工场地及其毗邻地带造成的第三者人身伤亡和财产损失。</w:t>
      </w:r>
    </w:p>
    <w:p w14:paraId="0356D780">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9.2 </w:t>
      </w:r>
      <w:r>
        <w:rPr>
          <w:rFonts w:hint="eastAsia" w:eastAsia="黑体"/>
          <w:bCs/>
          <w:color w:val="auto"/>
          <w:kern w:val="44"/>
          <w:sz w:val="24"/>
          <w:lang w:val="zh-CN"/>
        </w:rPr>
        <w:t>承包人的施工安全责任</w:t>
      </w:r>
    </w:p>
    <w:p w14:paraId="1C7097C6">
      <w:pPr>
        <w:spacing w:line="240" w:lineRule="auto"/>
        <w:ind w:firstLine="480" w:firstLineChars="200"/>
        <w:rPr>
          <w:color w:val="auto"/>
          <w:sz w:val="24"/>
        </w:rPr>
      </w:pPr>
      <w:r>
        <w:rPr>
          <w:color w:val="auto"/>
          <w:sz w:val="24"/>
        </w:rPr>
        <w:t xml:space="preserve">9.2.1 </w:t>
      </w:r>
      <w:r>
        <w:rPr>
          <w:rFonts w:hint="eastAsia"/>
          <w:color w:val="auto"/>
          <w:sz w:val="24"/>
        </w:rPr>
        <w:t>承包人应按合同约定履行安全职责</w:t>
      </w:r>
      <w:r>
        <w:rPr>
          <w:color w:val="auto"/>
          <w:sz w:val="24"/>
        </w:rPr>
        <w:t>,</w:t>
      </w:r>
      <w:r>
        <w:rPr>
          <w:rFonts w:hint="eastAsia"/>
          <w:color w:val="auto"/>
          <w:sz w:val="24"/>
        </w:rPr>
        <w:t>执行</w:t>
      </w:r>
      <w:r>
        <w:rPr>
          <w:rFonts w:hint="eastAsia"/>
          <w:color w:val="auto"/>
          <w:sz w:val="24"/>
          <w:lang w:val="en-US" w:eastAsia="zh-CN"/>
        </w:rPr>
        <w:t>发包</w:t>
      </w:r>
      <w:r>
        <w:rPr>
          <w:rFonts w:hint="eastAsia"/>
          <w:color w:val="auto"/>
          <w:sz w:val="24"/>
        </w:rPr>
        <w:t>人有关安全工作的指示</w:t>
      </w:r>
      <w:r>
        <w:rPr>
          <w:color w:val="auto"/>
          <w:sz w:val="24"/>
        </w:rPr>
        <w:t>,</w:t>
      </w:r>
      <w:r>
        <w:rPr>
          <w:rFonts w:hint="eastAsia"/>
          <w:color w:val="auto"/>
          <w:sz w:val="24"/>
        </w:rPr>
        <w:t>并在专用合同条款约定的期限内，按合同约定的安全工作内容，编制施工安全措施计划报送</w:t>
      </w:r>
      <w:r>
        <w:rPr>
          <w:rFonts w:hint="eastAsia"/>
          <w:color w:val="auto"/>
          <w:sz w:val="24"/>
          <w:lang w:val="en-US" w:eastAsia="zh-CN"/>
        </w:rPr>
        <w:t>发包</w:t>
      </w:r>
      <w:r>
        <w:rPr>
          <w:rFonts w:hint="eastAsia"/>
          <w:color w:val="auto"/>
          <w:sz w:val="24"/>
        </w:rPr>
        <w:t>人审批。</w:t>
      </w:r>
    </w:p>
    <w:p w14:paraId="6B2D28B0">
      <w:pPr>
        <w:spacing w:line="240" w:lineRule="auto"/>
        <w:ind w:firstLine="480" w:firstLineChars="200"/>
        <w:rPr>
          <w:color w:val="auto"/>
          <w:sz w:val="24"/>
        </w:rPr>
      </w:pPr>
      <w:r>
        <w:rPr>
          <w:color w:val="auto"/>
          <w:sz w:val="24"/>
        </w:rPr>
        <w:t xml:space="preserve">9.2.2 </w:t>
      </w:r>
      <w:r>
        <w:rPr>
          <w:rFonts w:hint="eastAsia"/>
          <w:color w:val="auto"/>
          <w:sz w:val="24"/>
        </w:rPr>
        <w:t>承包人应加强施工作业安全管理，特别应加强易燃、易爆材料、火工器材、有毒与腐蚀性材料和其他危险品的管理，以及对爆破作业和地下工程施工等危险作业的管理。</w:t>
      </w:r>
    </w:p>
    <w:p w14:paraId="2B922AC1">
      <w:pPr>
        <w:spacing w:line="240" w:lineRule="auto"/>
        <w:ind w:firstLine="480" w:firstLineChars="200"/>
        <w:rPr>
          <w:color w:val="auto"/>
          <w:sz w:val="24"/>
        </w:rPr>
      </w:pPr>
      <w:r>
        <w:rPr>
          <w:color w:val="auto"/>
          <w:sz w:val="24"/>
        </w:rPr>
        <w:t xml:space="preserve">9.2.3 </w:t>
      </w:r>
      <w:r>
        <w:rPr>
          <w:rFonts w:hint="eastAsia"/>
          <w:color w:val="auto"/>
          <w:sz w:val="24"/>
        </w:rPr>
        <w:t>承包人应严格按照国家安全标准制定施工安全操作规程，配备必要的安全生产和劳动保护设施，加强对承包人人员的安全教育，并发放安全工作手册和劳动保护用具。</w:t>
      </w:r>
    </w:p>
    <w:p w14:paraId="6B091010">
      <w:pPr>
        <w:spacing w:line="240" w:lineRule="auto"/>
        <w:ind w:firstLine="480" w:firstLineChars="200"/>
        <w:rPr>
          <w:color w:val="auto"/>
          <w:sz w:val="24"/>
        </w:rPr>
      </w:pPr>
      <w:r>
        <w:rPr>
          <w:color w:val="auto"/>
          <w:sz w:val="24"/>
        </w:rPr>
        <w:t xml:space="preserve">9.2.4 </w:t>
      </w:r>
      <w:r>
        <w:rPr>
          <w:rFonts w:hint="eastAsia"/>
          <w:color w:val="auto"/>
          <w:sz w:val="24"/>
        </w:rPr>
        <w:t>承包人应按</w:t>
      </w:r>
      <w:r>
        <w:rPr>
          <w:rFonts w:hint="eastAsia"/>
          <w:color w:val="auto"/>
          <w:sz w:val="24"/>
          <w:lang w:val="en-US" w:eastAsia="zh-CN"/>
        </w:rPr>
        <w:t>发包</w:t>
      </w:r>
      <w:r>
        <w:rPr>
          <w:rFonts w:hint="eastAsia"/>
          <w:color w:val="auto"/>
          <w:sz w:val="24"/>
        </w:rPr>
        <w:t>人的指示制定应对灾害的紧急预案，报送</w:t>
      </w:r>
      <w:r>
        <w:rPr>
          <w:rFonts w:hint="eastAsia"/>
          <w:color w:val="auto"/>
          <w:sz w:val="24"/>
          <w:lang w:val="en-US" w:eastAsia="zh-CN"/>
        </w:rPr>
        <w:t>发包</w:t>
      </w:r>
      <w:r>
        <w:rPr>
          <w:rFonts w:hint="eastAsia"/>
          <w:color w:val="auto"/>
          <w:sz w:val="24"/>
        </w:rPr>
        <w:t>人审批。承包人还应按预案做好安全检查，配置必要的救助物资和器材，切实保护好有关人员的人身和财产安全。</w:t>
      </w:r>
    </w:p>
    <w:p w14:paraId="33F31529">
      <w:pPr>
        <w:spacing w:line="240" w:lineRule="auto"/>
        <w:ind w:firstLine="480" w:firstLineChars="200"/>
        <w:rPr>
          <w:color w:val="auto"/>
          <w:sz w:val="24"/>
        </w:rPr>
      </w:pPr>
      <w:r>
        <w:rPr>
          <w:color w:val="auto"/>
          <w:sz w:val="24"/>
        </w:rPr>
        <w:t xml:space="preserve">9.2.5 </w:t>
      </w:r>
      <w:r>
        <w:rPr>
          <w:rFonts w:hint="eastAsia"/>
          <w:color w:val="auto"/>
          <w:sz w:val="24"/>
        </w:rPr>
        <w:t>合同约定的安全作业环境及安全施工措施所需费用应遵守有关规定，并包括在相关工作的合同价格中。因采取合同未约定的安全作业环境及安全施工措施增加的费用，由</w:t>
      </w:r>
      <w:r>
        <w:rPr>
          <w:rFonts w:hint="eastAsia"/>
          <w:color w:val="auto"/>
          <w:sz w:val="24"/>
          <w:lang w:val="en-US" w:eastAsia="zh-CN"/>
        </w:rPr>
        <w:t>发包</w:t>
      </w:r>
      <w:r>
        <w:rPr>
          <w:rFonts w:hint="eastAsia"/>
          <w:color w:val="auto"/>
          <w:sz w:val="24"/>
        </w:rPr>
        <w:t>人按第</w:t>
      </w:r>
      <w:r>
        <w:rPr>
          <w:color w:val="auto"/>
          <w:sz w:val="24"/>
        </w:rPr>
        <w:t>3.5</w:t>
      </w:r>
      <w:r>
        <w:rPr>
          <w:rFonts w:hint="eastAsia"/>
          <w:color w:val="auto"/>
          <w:sz w:val="24"/>
        </w:rPr>
        <w:t>款商定或确定。</w:t>
      </w:r>
    </w:p>
    <w:p w14:paraId="1D6980CC">
      <w:pPr>
        <w:spacing w:line="240" w:lineRule="auto"/>
        <w:ind w:firstLine="480" w:firstLineChars="200"/>
        <w:rPr>
          <w:color w:val="auto"/>
          <w:sz w:val="24"/>
        </w:rPr>
      </w:pPr>
      <w:r>
        <w:rPr>
          <w:color w:val="auto"/>
          <w:sz w:val="24"/>
        </w:rPr>
        <w:t xml:space="preserve">9.2.6 </w:t>
      </w:r>
      <w:r>
        <w:rPr>
          <w:rFonts w:hint="eastAsia"/>
          <w:color w:val="auto"/>
          <w:sz w:val="24"/>
        </w:rPr>
        <w:t>承包人应对其履行合同所雇佣的全部人员，包括分包人人员的工伤事故承担责任，但由于发包人原因造成承包人人员工伤事故的，应由发包人承担责任。</w:t>
      </w:r>
    </w:p>
    <w:p w14:paraId="7D794AB8">
      <w:pPr>
        <w:spacing w:line="240" w:lineRule="auto"/>
        <w:ind w:firstLine="480" w:firstLineChars="200"/>
        <w:rPr>
          <w:color w:val="auto"/>
          <w:sz w:val="24"/>
        </w:rPr>
      </w:pPr>
      <w:r>
        <w:rPr>
          <w:color w:val="auto"/>
          <w:sz w:val="24"/>
        </w:rPr>
        <w:t xml:space="preserve">9.2.7 </w:t>
      </w:r>
      <w:r>
        <w:rPr>
          <w:rFonts w:hint="eastAsia"/>
          <w:color w:val="auto"/>
          <w:sz w:val="24"/>
        </w:rPr>
        <w:t>由于承包人原因在施工场地内及其毗邻地带造成的第三者人员伤亡和财产损失，由承包人负责赔偿。</w:t>
      </w:r>
    </w:p>
    <w:p w14:paraId="257BA0E0">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9.3 </w:t>
      </w:r>
      <w:r>
        <w:rPr>
          <w:rFonts w:hint="eastAsia" w:eastAsia="黑体"/>
          <w:bCs/>
          <w:color w:val="auto"/>
          <w:kern w:val="44"/>
          <w:sz w:val="24"/>
          <w:lang w:val="zh-CN"/>
        </w:rPr>
        <w:t>治安保卫</w:t>
      </w:r>
    </w:p>
    <w:p w14:paraId="309811DF">
      <w:pPr>
        <w:spacing w:line="240" w:lineRule="auto"/>
        <w:ind w:firstLine="480" w:firstLineChars="200"/>
        <w:rPr>
          <w:color w:val="auto"/>
          <w:sz w:val="24"/>
        </w:rPr>
      </w:pPr>
      <w:r>
        <w:rPr>
          <w:color w:val="auto"/>
          <w:sz w:val="24"/>
        </w:rPr>
        <w:t xml:space="preserve">9.3.1 </w:t>
      </w:r>
      <w:r>
        <w:rPr>
          <w:rFonts w:hint="eastAsia"/>
          <w:color w:val="auto"/>
          <w:sz w:val="24"/>
        </w:rPr>
        <w:t>除合同另有约定外，发包人应与当地公安部门协商，在现场建立治安管理机构或联防组织，统一管理施工场地的治安保卫事项，履行合同工程的治安保卫职责。</w:t>
      </w:r>
    </w:p>
    <w:p w14:paraId="580C9061">
      <w:pPr>
        <w:spacing w:line="240" w:lineRule="auto"/>
        <w:ind w:firstLine="480" w:firstLineChars="200"/>
        <w:rPr>
          <w:color w:val="auto"/>
          <w:sz w:val="24"/>
        </w:rPr>
      </w:pPr>
      <w:r>
        <w:rPr>
          <w:color w:val="auto"/>
          <w:sz w:val="24"/>
        </w:rPr>
        <w:t xml:space="preserve">9.3.2 </w:t>
      </w:r>
      <w:r>
        <w:rPr>
          <w:rFonts w:hint="eastAsia"/>
          <w:color w:val="auto"/>
          <w:sz w:val="24"/>
        </w:rPr>
        <w:t>发包人和承包人除应协助现场治安管理机构或联防组织维护施工场地的社会治安外，还应做好包括生活区在内的各自管辖区的治安保卫工作。</w:t>
      </w:r>
    </w:p>
    <w:p w14:paraId="594221E9">
      <w:pPr>
        <w:spacing w:line="240" w:lineRule="auto"/>
        <w:ind w:firstLine="480" w:firstLineChars="200"/>
        <w:rPr>
          <w:color w:val="auto"/>
          <w:sz w:val="24"/>
        </w:rPr>
      </w:pPr>
      <w:r>
        <w:rPr>
          <w:color w:val="auto"/>
          <w:sz w:val="24"/>
        </w:rPr>
        <w:t xml:space="preserve">9.3.3 </w:t>
      </w:r>
      <w:r>
        <w:rPr>
          <w:rFonts w:hint="eastAsia"/>
          <w:color w:val="auto"/>
          <w:sz w:val="24"/>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1404DB03">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9.4 </w:t>
      </w:r>
      <w:r>
        <w:rPr>
          <w:rFonts w:hint="eastAsia" w:eastAsia="黑体"/>
          <w:bCs/>
          <w:color w:val="auto"/>
          <w:kern w:val="44"/>
          <w:sz w:val="24"/>
          <w:lang w:val="zh-CN"/>
        </w:rPr>
        <w:t>环境保护</w:t>
      </w:r>
    </w:p>
    <w:p w14:paraId="18CBECDD">
      <w:pPr>
        <w:spacing w:line="240" w:lineRule="auto"/>
        <w:ind w:firstLine="480" w:firstLineChars="200"/>
        <w:rPr>
          <w:color w:val="auto"/>
          <w:sz w:val="24"/>
        </w:rPr>
      </w:pPr>
      <w:r>
        <w:rPr>
          <w:color w:val="auto"/>
          <w:sz w:val="24"/>
        </w:rPr>
        <w:t xml:space="preserve">9.4.1 </w:t>
      </w:r>
      <w:r>
        <w:rPr>
          <w:rFonts w:hint="eastAsia"/>
          <w:color w:val="auto"/>
          <w:sz w:val="24"/>
        </w:rPr>
        <w:t>承包人在施工过程中，应遵守有关环境保护的法律，履行合同约定的环境保护义务，并对违反法律和合同约定义务所造成的环境破坏、人身伤害和财产损失负责。</w:t>
      </w:r>
    </w:p>
    <w:p w14:paraId="4E2196B9">
      <w:pPr>
        <w:spacing w:line="240" w:lineRule="auto"/>
        <w:ind w:firstLine="480" w:firstLineChars="200"/>
        <w:rPr>
          <w:color w:val="auto"/>
          <w:sz w:val="24"/>
        </w:rPr>
      </w:pPr>
      <w:r>
        <w:rPr>
          <w:color w:val="auto"/>
          <w:sz w:val="24"/>
        </w:rPr>
        <w:t xml:space="preserve">9.4.2 </w:t>
      </w:r>
      <w:r>
        <w:rPr>
          <w:rFonts w:hint="eastAsia"/>
          <w:color w:val="auto"/>
          <w:sz w:val="24"/>
        </w:rPr>
        <w:t>承包人应按合同约定的环保工作内容，编制施工环保措施计划，报送</w:t>
      </w:r>
      <w:r>
        <w:rPr>
          <w:rFonts w:hint="eastAsia"/>
          <w:color w:val="auto"/>
          <w:sz w:val="24"/>
          <w:lang w:val="en-US" w:eastAsia="zh-CN"/>
        </w:rPr>
        <w:t>发包</w:t>
      </w:r>
      <w:r>
        <w:rPr>
          <w:rFonts w:hint="eastAsia"/>
          <w:color w:val="auto"/>
          <w:sz w:val="24"/>
        </w:rPr>
        <w:t>人审批。</w:t>
      </w:r>
    </w:p>
    <w:p w14:paraId="6584130C">
      <w:pPr>
        <w:spacing w:line="240" w:lineRule="auto"/>
        <w:ind w:firstLine="480" w:firstLineChars="200"/>
        <w:rPr>
          <w:color w:val="auto"/>
          <w:sz w:val="24"/>
        </w:rPr>
      </w:pPr>
      <w:r>
        <w:rPr>
          <w:color w:val="auto"/>
          <w:sz w:val="24"/>
        </w:rPr>
        <w:t xml:space="preserve">9.4.3 </w:t>
      </w:r>
      <w:r>
        <w:rPr>
          <w:rFonts w:hint="eastAsia"/>
          <w:color w:val="auto"/>
          <w:sz w:val="24"/>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74825A8E">
      <w:pPr>
        <w:spacing w:line="240" w:lineRule="auto"/>
        <w:ind w:firstLine="480" w:firstLineChars="200"/>
        <w:rPr>
          <w:color w:val="auto"/>
          <w:sz w:val="24"/>
        </w:rPr>
      </w:pPr>
      <w:r>
        <w:rPr>
          <w:color w:val="auto"/>
          <w:sz w:val="24"/>
        </w:rPr>
        <w:t xml:space="preserve">9.4.4 </w:t>
      </w:r>
      <w:r>
        <w:rPr>
          <w:rFonts w:hint="eastAsia"/>
          <w:color w:val="auto"/>
          <w:sz w:val="24"/>
        </w:rPr>
        <w:t>承包人应按合同约定采取有效措施，对施工开挖的边坡及时进行支护</w:t>
      </w:r>
      <w:r>
        <w:rPr>
          <w:color w:val="auto"/>
          <w:sz w:val="24"/>
        </w:rPr>
        <w:t>,</w:t>
      </w:r>
      <w:r>
        <w:rPr>
          <w:rFonts w:hint="eastAsia"/>
          <w:color w:val="auto"/>
          <w:sz w:val="24"/>
        </w:rPr>
        <w:t>维护排水设施，并进行水土保护，避免因施工造成的地质灾害。</w:t>
      </w:r>
    </w:p>
    <w:p w14:paraId="1EDE8001">
      <w:pPr>
        <w:spacing w:line="240" w:lineRule="auto"/>
        <w:ind w:firstLine="480" w:firstLineChars="200"/>
        <w:rPr>
          <w:color w:val="auto"/>
          <w:sz w:val="24"/>
        </w:rPr>
      </w:pPr>
      <w:r>
        <w:rPr>
          <w:color w:val="auto"/>
          <w:sz w:val="24"/>
        </w:rPr>
        <w:t xml:space="preserve">9.4.5 </w:t>
      </w:r>
      <w:r>
        <w:rPr>
          <w:rFonts w:hint="eastAsia"/>
          <w:color w:val="auto"/>
          <w:sz w:val="24"/>
        </w:rPr>
        <w:t>承包人应按国家饮用水管理标准定期对饮用水源进行监测，防止施工活动污染饮用水源。</w:t>
      </w:r>
    </w:p>
    <w:p w14:paraId="550E4723">
      <w:pPr>
        <w:spacing w:line="240" w:lineRule="auto"/>
        <w:ind w:firstLine="480" w:firstLineChars="200"/>
        <w:rPr>
          <w:color w:val="auto"/>
          <w:sz w:val="24"/>
        </w:rPr>
      </w:pPr>
      <w:r>
        <w:rPr>
          <w:color w:val="auto"/>
          <w:sz w:val="24"/>
        </w:rPr>
        <w:t xml:space="preserve">9.4.6 </w:t>
      </w:r>
      <w:r>
        <w:rPr>
          <w:rFonts w:hint="eastAsia"/>
          <w:color w:val="auto"/>
          <w:sz w:val="24"/>
        </w:rPr>
        <w:t>承包人应按合同约定，加强对噪声、粉尘、废气、废水和废油的控制，努力降低噪声，控制粉尘和废气浓度，做好废水和废油的治理和排放。</w:t>
      </w:r>
    </w:p>
    <w:p w14:paraId="1300D6AE">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9.5 </w:t>
      </w:r>
      <w:r>
        <w:rPr>
          <w:rFonts w:hint="eastAsia" w:eastAsia="黑体"/>
          <w:bCs/>
          <w:color w:val="auto"/>
          <w:kern w:val="44"/>
          <w:sz w:val="24"/>
          <w:lang w:val="zh-CN"/>
        </w:rPr>
        <w:t>事故处理</w:t>
      </w:r>
    </w:p>
    <w:p w14:paraId="167E3340">
      <w:pPr>
        <w:spacing w:line="240" w:lineRule="auto"/>
        <w:ind w:firstLine="480" w:firstLineChars="200"/>
        <w:rPr>
          <w:rFonts w:hint="eastAsia"/>
          <w:color w:val="auto"/>
          <w:sz w:val="24"/>
        </w:rPr>
      </w:pPr>
      <w:r>
        <w:rPr>
          <w:rFonts w:hint="eastAsia"/>
          <w:color w:val="auto"/>
          <w:sz w:val="24"/>
        </w:rPr>
        <w:t>工程施工过程中发生事故的，承包人应立即通知</w:t>
      </w:r>
      <w:r>
        <w:rPr>
          <w:rFonts w:hint="eastAsia"/>
          <w:color w:val="auto"/>
          <w:sz w:val="24"/>
          <w:lang w:val="en-US" w:eastAsia="zh-CN"/>
        </w:rPr>
        <w:t>发包</w:t>
      </w:r>
      <w:r>
        <w:rPr>
          <w:rFonts w:hint="eastAsia"/>
          <w:color w:val="auto"/>
          <w:sz w:val="24"/>
        </w:rPr>
        <w:t>人，</w:t>
      </w:r>
      <w:r>
        <w:rPr>
          <w:rFonts w:hint="eastAsia"/>
          <w:color w:val="auto"/>
          <w:sz w:val="24"/>
          <w:lang w:val="en-US" w:eastAsia="zh-CN"/>
        </w:rPr>
        <w:t>发包</w:t>
      </w:r>
      <w:r>
        <w:rPr>
          <w:rFonts w:hint="eastAsia"/>
          <w:color w:val="auto"/>
          <w:sz w:val="24"/>
        </w:rPr>
        <w:t>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71555269">
      <w:pPr>
        <w:keepNext/>
        <w:keepLines/>
        <w:spacing w:before="480" w:after="240" w:line="240" w:lineRule="auto"/>
        <w:outlineLvl w:val="2"/>
        <w:rPr>
          <w:rFonts w:eastAsia="黑体"/>
          <w:bCs/>
          <w:color w:val="auto"/>
          <w:kern w:val="44"/>
          <w:sz w:val="28"/>
          <w:szCs w:val="28"/>
          <w:lang w:val="zh-CN"/>
        </w:rPr>
      </w:pPr>
      <w:r>
        <w:rPr>
          <w:rFonts w:eastAsia="黑体"/>
          <w:bCs/>
          <w:color w:val="auto"/>
          <w:kern w:val="44"/>
          <w:sz w:val="28"/>
          <w:szCs w:val="28"/>
          <w:lang w:val="zh-CN"/>
        </w:rPr>
        <w:t xml:space="preserve">10. </w:t>
      </w:r>
      <w:r>
        <w:rPr>
          <w:rFonts w:hint="eastAsia" w:eastAsia="黑体"/>
          <w:bCs/>
          <w:color w:val="auto"/>
          <w:kern w:val="44"/>
          <w:sz w:val="28"/>
          <w:szCs w:val="28"/>
          <w:lang w:val="zh-CN"/>
        </w:rPr>
        <w:t>进度计划</w:t>
      </w:r>
    </w:p>
    <w:p w14:paraId="74B30B5D">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10.1 </w:t>
      </w:r>
      <w:r>
        <w:rPr>
          <w:rFonts w:hint="eastAsia" w:eastAsia="黑体"/>
          <w:bCs/>
          <w:color w:val="auto"/>
          <w:kern w:val="44"/>
          <w:sz w:val="24"/>
          <w:lang w:val="zh-CN"/>
        </w:rPr>
        <w:t>合同进度计划</w:t>
      </w:r>
    </w:p>
    <w:p w14:paraId="008E068B">
      <w:pPr>
        <w:spacing w:line="240" w:lineRule="auto"/>
        <w:ind w:firstLine="480" w:firstLineChars="200"/>
        <w:rPr>
          <w:rFonts w:hint="eastAsia"/>
          <w:color w:val="auto"/>
          <w:sz w:val="24"/>
        </w:rPr>
      </w:pPr>
      <w:r>
        <w:rPr>
          <w:rFonts w:hint="eastAsia"/>
          <w:color w:val="auto"/>
          <w:sz w:val="24"/>
        </w:rPr>
        <w:t>承包人应按专用合同条款约定的内容和期限，编制详细的施工进度计划和施工方案说明报送监理人。</w:t>
      </w:r>
      <w:r>
        <w:rPr>
          <w:rFonts w:hint="eastAsia"/>
          <w:color w:val="auto"/>
          <w:sz w:val="24"/>
          <w:lang w:val="en-US" w:eastAsia="zh-CN"/>
        </w:rPr>
        <w:t>发包</w:t>
      </w:r>
      <w:r>
        <w:rPr>
          <w:rFonts w:hint="eastAsia"/>
          <w:color w:val="auto"/>
          <w:sz w:val="24"/>
        </w:rPr>
        <w:t>人应在专用合同条款约定的期限内批复或提出修改意见，否则该进度计划视为已得到批准。经</w:t>
      </w:r>
      <w:r>
        <w:rPr>
          <w:rFonts w:hint="eastAsia"/>
          <w:color w:val="auto"/>
          <w:sz w:val="24"/>
          <w:lang w:val="en-US" w:eastAsia="zh-CN"/>
        </w:rPr>
        <w:t>发包</w:t>
      </w:r>
      <w:r>
        <w:rPr>
          <w:rFonts w:hint="eastAsia"/>
          <w:color w:val="auto"/>
          <w:sz w:val="24"/>
        </w:rPr>
        <w:t>人批准的施工进度计划称合同进度计划，是控制合同工程进度的依据。承包人还应根据合同进度计划，编制更为详细的分阶段或分项进度计划，报</w:t>
      </w:r>
      <w:r>
        <w:rPr>
          <w:rFonts w:hint="eastAsia"/>
          <w:color w:val="auto"/>
          <w:sz w:val="24"/>
          <w:lang w:val="en-US" w:eastAsia="zh-CN"/>
        </w:rPr>
        <w:t>发包</w:t>
      </w:r>
      <w:r>
        <w:rPr>
          <w:rFonts w:hint="eastAsia"/>
          <w:color w:val="auto"/>
          <w:sz w:val="24"/>
        </w:rPr>
        <w:t>人审批。</w:t>
      </w:r>
    </w:p>
    <w:p w14:paraId="7D0B1EB2">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10.2 </w:t>
      </w:r>
      <w:r>
        <w:rPr>
          <w:rFonts w:hint="eastAsia" w:eastAsia="黑体"/>
          <w:bCs/>
          <w:color w:val="auto"/>
          <w:kern w:val="44"/>
          <w:sz w:val="24"/>
          <w:lang w:val="zh-CN"/>
        </w:rPr>
        <w:t>合同进度计划的修订</w:t>
      </w:r>
    </w:p>
    <w:p w14:paraId="030AE6C7">
      <w:pPr>
        <w:spacing w:line="240" w:lineRule="auto"/>
        <w:ind w:firstLine="390"/>
        <w:rPr>
          <w:rFonts w:hint="eastAsia"/>
          <w:color w:val="auto"/>
          <w:sz w:val="24"/>
        </w:rPr>
      </w:pPr>
      <w:r>
        <w:rPr>
          <w:rFonts w:hint="eastAsia"/>
          <w:color w:val="auto"/>
          <w:sz w:val="24"/>
        </w:rPr>
        <w:t>不论何种原因造成工程的实际进度与第</w:t>
      </w:r>
      <w:r>
        <w:rPr>
          <w:color w:val="auto"/>
          <w:sz w:val="24"/>
        </w:rPr>
        <w:t>10.1</w:t>
      </w:r>
      <w:r>
        <w:rPr>
          <w:rFonts w:hint="eastAsia"/>
          <w:color w:val="auto"/>
          <w:sz w:val="24"/>
        </w:rPr>
        <w:t>款的合同进度计划不符时，承包人可以在专用合同条款约定的期限内向</w:t>
      </w:r>
      <w:r>
        <w:rPr>
          <w:rFonts w:hint="eastAsia"/>
          <w:color w:val="auto"/>
          <w:sz w:val="24"/>
          <w:lang w:val="en-US" w:eastAsia="zh-CN"/>
        </w:rPr>
        <w:t>发包</w:t>
      </w:r>
      <w:r>
        <w:rPr>
          <w:rFonts w:hint="eastAsia"/>
          <w:color w:val="auto"/>
          <w:sz w:val="24"/>
        </w:rPr>
        <w:t>人提交修订合同进度计划的申请报告，并附有关措施和相关资料，报</w:t>
      </w:r>
      <w:r>
        <w:rPr>
          <w:rFonts w:hint="eastAsia"/>
          <w:color w:val="auto"/>
          <w:sz w:val="24"/>
          <w:lang w:val="en-US" w:eastAsia="zh-CN"/>
        </w:rPr>
        <w:t>发包</w:t>
      </w:r>
      <w:r>
        <w:rPr>
          <w:rFonts w:hint="eastAsia"/>
          <w:color w:val="auto"/>
          <w:sz w:val="24"/>
        </w:rPr>
        <w:t>人审批；</w:t>
      </w:r>
      <w:r>
        <w:rPr>
          <w:rFonts w:hint="eastAsia"/>
          <w:color w:val="auto"/>
          <w:sz w:val="24"/>
          <w:lang w:val="en-US" w:eastAsia="zh-CN"/>
        </w:rPr>
        <w:t>发包</w:t>
      </w:r>
      <w:r>
        <w:rPr>
          <w:rFonts w:hint="eastAsia"/>
          <w:color w:val="auto"/>
          <w:sz w:val="24"/>
        </w:rPr>
        <w:t>人也可以直接向承包人作出修订合同进度计划的指示，承包人应按该指示修订合同进度计划，报</w:t>
      </w:r>
      <w:r>
        <w:rPr>
          <w:rFonts w:hint="eastAsia"/>
          <w:color w:val="auto"/>
          <w:sz w:val="24"/>
          <w:lang w:val="en-US" w:eastAsia="zh-CN"/>
        </w:rPr>
        <w:t>发包</w:t>
      </w:r>
      <w:r>
        <w:rPr>
          <w:rFonts w:hint="eastAsia"/>
          <w:color w:val="auto"/>
          <w:sz w:val="24"/>
        </w:rPr>
        <w:t>人审批。发包人应在专用合同条款约定的期限内批复。</w:t>
      </w:r>
      <w:r>
        <w:rPr>
          <w:rFonts w:hint="eastAsia"/>
          <w:color w:val="auto"/>
          <w:sz w:val="24"/>
          <w:lang w:val="en-US" w:eastAsia="zh-CN"/>
        </w:rPr>
        <w:t>发包</w:t>
      </w:r>
      <w:r>
        <w:rPr>
          <w:rFonts w:hint="eastAsia"/>
          <w:color w:val="auto"/>
          <w:sz w:val="24"/>
        </w:rPr>
        <w:t>人在批复前应获得发包人同意。</w:t>
      </w:r>
    </w:p>
    <w:p w14:paraId="5AABFE32">
      <w:pPr>
        <w:keepNext/>
        <w:keepLines/>
        <w:spacing w:before="480" w:after="240" w:line="240" w:lineRule="auto"/>
        <w:outlineLvl w:val="2"/>
        <w:rPr>
          <w:rFonts w:eastAsia="黑体"/>
          <w:bCs/>
          <w:color w:val="auto"/>
          <w:kern w:val="44"/>
          <w:sz w:val="28"/>
          <w:szCs w:val="28"/>
          <w:lang w:val="zh-CN"/>
        </w:rPr>
      </w:pPr>
      <w:r>
        <w:rPr>
          <w:rFonts w:eastAsia="黑体"/>
          <w:bCs/>
          <w:color w:val="auto"/>
          <w:kern w:val="44"/>
          <w:sz w:val="28"/>
          <w:szCs w:val="28"/>
          <w:lang w:val="zh-CN"/>
        </w:rPr>
        <w:t xml:space="preserve">11. </w:t>
      </w:r>
      <w:r>
        <w:rPr>
          <w:rFonts w:hint="eastAsia" w:eastAsia="黑体"/>
          <w:bCs/>
          <w:color w:val="auto"/>
          <w:kern w:val="44"/>
          <w:sz w:val="28"/>
          <w:szCs w:val="28"/>
          <w:lang w:val="zh-CN"/>
        </w:rPr>
        <w:t>开工和竣工</w:t>
      </w:r>
    </w:p>
    <w:p w14:paraId="4514A625">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11.1 </w:t>
      </w:r>
      <w:r>
        <w:rPr>
          <w:rFonts w:hint="eastAsia" w:eastAsia="黑体"/>
          <w:bCs/>
          <w:color w:val="auto"/>
          <w:kern w:val="44"/>
          <w:sz w:val="24"/>
          <w:lang w:val="zh-CN"/>
        </w:rPr>
        <w:t>开工</w:t>
      </w:r>
    </w:p>
    <w:p w14:paraId="17A0090A">
      <w:pPr>
        <w:spacing w:line="240" w:lineRule="auto"/>
        <w:ind w:firstLine="480" w:firstLineChars="200"/>
        <w:rPr>
          <w:color w:val="auto"/>
          <w:sz w:val="24"/>
        </w:rPr>
      </w:pPr>
      <w:r>
        <w:rPr>
          <w:color w:val="auto"/>
          <w:sz w:val="24"/>
        </w:rPr>
        <w:t xml:space="preserve">11.1.1 </w:t>
      </w:r>
      <w:r>
        <w:rPr>
          <w:rFonts w:hint="eastAsia"/>
          <w:color w:val="auto"/>
          <w:sz w:val="24"/>
          <w:lang w:val="en-US" w:eastAsia="zh-CN"/>
        </w:rPr>
        <w:t>发包</w:t>
      </w:r>
      <w:r>
        <w:rPr>
          <w:rFonts w:hint="eastAsia"/>
          <w:color w:val="auto"/>
          <w:sz w:val="24"/>
        </w:rPr>
        <w:t>人应在开工日期</w:t>
      </w:r>
      <w:r>
        <w:rPr>
          <w:color w:val="auto"/>
          <w:sz w:val="24"/>
        </w:rPr>
        <w:t>7</w:t>
      </w:r>
      <w:r>
        <w:rPr>
          <w:rFonts w:hint="eastAsia"/>
          <w:color w:val="auto"/>
          <w:sz w:val="24"/>
        </w:rPr>
        <w:t>天前向承包人发出开工通知。</w:t>
      </w:r>
      <w:r>
        <w:rPr>
          <w:rFonts w:hint="eastAsia"/>
          <w:color w:val="auto"/>
          <w:sz w:val="24"/>
          <w:lang w:val="en-US" w:eastAsia="zh-CN"/>
        </w:rPr>
        <w:t>发包</w:t>
      </w:r>
      <w:r>
        <w:rPr>
          <w:rFonts w:hint="eastAsia"/>
          <w:color w:val="auto"/>
          <w:sz w:val="24"/>
        </w:rPr>
        <w:t>人在发出开工通知前应获得发包人同意。工期自</w:t>
      </w:r>
      <w:r>
        <w:rPr>
          <w:rFonts w:hint="eastAsia"/>
          <w:color w:val="auto"/>
          <w:sz w:val="24"/>
          <w:lang w:val="en-US" w:eastAsia="zh-CN"/>
        </w:rPr>
        <w:t>发包</w:t>
      </w:r>
      <w:r>
        <w:rPr>
          <w:rFonts w:hint="eastAsia"/>
          <w:color w:val="auto"/>
          <w:sz w:val="24"/>
        </w:rPr>
        <w:t>人发出的开工通知中载明的开工日期起计算。承包人应在开工日期后尽快施工。</w:t>
      </w:r>
    </w:p>
    <w:p w14:paraId="0BFBBF57">
      <w:pPr>
        <w:spacing w:line="240" w:lineRule="auto"/>
        <w:ind w:firstLine="480" w:firstLineChars="200"/>
        <w:rPr>
          <w:color w:val="auto"/>
          <w:sz w:val="24"/>
        </w:rPr>
      </w:pPr>
      <w:r>
        <w:rPr>
          <w:color w:val="auto"/>
          <w:sz w:val="24"/>
        </w:rPr>
        <w:t xml:space="preserve">11.1.2 </w:t>
      </w:r>
      <w:r>
        <w:rPr>
          <w:rFonts w:hint="eastAsia"/>
          <w:color w:val="auto"/>
          <w:sz w:val="24"/>
        </w:rPr>
        <w:t>承包人应按第</w:t>
      </w:r>
      <w:r>
        <w:rPr>
          <w:color w:val="auto"/>
          <w:sz w:val="24"/>
        </w:rPr>
        <w:t>10.1</w:t>
      </w:r>
      <w:r>
        <w:rPr>
          <w:rFonts w:hint="eastAsia"/>
          <w:color w:val="auto"/>
          <w:sz w:val="24"/>
        </w:rPr>
        <w:t>款约定的合同进度计划，向</w:t>
      </w:r>
      <w:r>
        <w:rPr>
          <w:rFonts w:hint="eastAsia"/>
          <w:color w:val="auto"/>
          <w:sz w:val="24"/>
          <w:lang w:val="en-US" w:eastAsia="zh-CN"/>
        </w:rPr>
        <w:t>发包</w:t>
      </w:r>
      <w:r>
        <w:rPr>
          <w:rFonts w:hint="eastAsia"/>
          <w:color w:val="auto"/>
          <w:sz w:val="24"/>
        </w:rPr>
        <w:t>人提交工程开工报审表，经</w:t>
      </w:r>
      <w:r>
        <w:rPr>
          <w:rFonts w:hint="eastAsia"/>
          <w:color w:val="auto"/>
          <w:sz w:val="24"/>
          <w:lang w:val="en-US" w:eastAsia="zh-CN"/>
        </w:rPr>
        <w:t>发包</w:t>
      </w:r>
      <w:r>
        <w:rPr>
          <w:rFonts w:hint="eastAsia"/>
          <w:color w:val="auto"/>
          <w:sz w:val="24"/>
        </w:rPr>
        <w:t>人审批后执行。开工报审表应详细说明按合同进度计划正常施工所需的施工道路、临时设施、材料设备、施工人员等施工组织措施的落实情况以及工程的进度安排。</w:t>
      </w:r>
    </w:p>
    <w:p w14:paraId="1EA12223">
      <w:pPr>
        <w:keepNext/>
        <w:keepLines/>
        <w:spacing w:before="240" w:after="240" w:line="240" w:lineRule="auto"/>
        <w:rPr>
          <w:rFonts w:eastAsia="黑体"/>
          <w:bCs/>
          <w:color w:val="auto"/>
          <w:kern w:val="44"/>
          <w:sz w:val="24"/>
          <w:lang w:val="zh-CN"/>
        </w:rPr>
      </w:pPr>
      <w:r>
        <w:rPr>
          <w:rFonts w:eastAsia="黑体"/>
          <w:bCs/>
          <w:color w:val="auto"/>
          <w:kern w:val="44"/>
          <w:sz w:val="24"/>
          <w:lang w:val="zh-CN"/>
        </w:rPr>
        <w:t>11.2</w:t>
      </w:r>
      <w:r>
        <w:rPr>
          <w:rFonts w:eastAsia="黑体"/>
          <w:bCs/>
          <w:color w:val="auto"/>
          <w:kern w:val="44"/>
          <w:sz w:val="24"/>
          <w:lang w:val="zh-CN"/>
        </w:rPr>
        <w:tab/>
      </w:r>
      <w:r>
        <w:rPr>
          <w:rFonts w:eastAsia="黑体"/>
          <w:bCs/>
          <w:color w:val="auto"/>
          <w:kern w:val="44"/>
          <w:sz w:val="24"/>
          <w:lang w:val="zh-CN"/>
        </w:rPr>
        <w:t xml:space="preserve"> </w:t>
      </w:r>
      <w:r>
        <w:rPr>
          <w:rFonts w:hint="eastAsia" w:eastAsia="黑体"/>
          <w:bCs/>
          <w:color w:val="auto"/>
          <w:kern w:val="44"/>
          <w:sz w:val="24"/>
          <w:lang w:val="zh-CN"/>
        </w:rPr>
        <w:t>竣工</w:t>
      </w:r>
    </w:p>
    <w:p w14:paraId="64DB85B1">
      <w:pPr>
        <w:spacing w:line="240" w:lineRule="auto"/>
        <w:ind w:firstLine="480" w:firstLineChars="200"/>
        <w:rPr>
          <w:rFonts w:hint="eastAsia"/>
          <w:color w:val="auto"/>
          <w:sz w:val="24"/>
        </w:rPr>
      </w:pPr>
      <w:r>
        <w:rPr>
          <w:rFonts w:hint="eastAsia"/>
          <w:color w:val="auto"/>
          <w:sz w:val="24"/>
        </w:rPr>
        <w:t>承包人应在第</w:t>
      </w:r>
      <w:r>
        <w:rPr>
          <w:color w:val="auto"/>
          <w:sz w:val="24"/>
        </w:rPr>
        <w:t>1.1.4.3</w:t>
      </w:r>
      <w:r>
        <w:rPr>
          <w:rFonts w:hint="eastAsia"/>
          <w:color w:val="auto"/>
          <w:sz w:val="24"/>
        </w:rPr>
        <w:t>目约定的期限内完成合同工程。实际竣工日期在接收证书中写明。</w:t>
      </w:r>
    </w:p>
    <w:p w14:paraId="26488593">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11.3 </w:t>
      </w:r>
      <w:r>
        <w:rPr>
          <w:rFonts w:hint="eastAsia" w:eastAsia="黑体"/>
          <w:bCs/>
          <w:color w:val="auto"/>
          <w:kern w:val="44"/>
          <w:sz w:val="24"/>
          <w:lang w:val="zh-CN"/>
        </w:rPr>
        <w:t>发包人的工期延误</w:t>
      </w:r>
    </w:p>
    <w:p w14:paraId="5E70F147">
      <w:pPr>
        <w:spacing w:line="240" w:lineRule="auto"/>
        <w:ind w:firstLine="480" w:firstLineChars="200"/>
        <w:rPr>
          <w:rFonts w:hint="eastAsia"/>
          <w:color w:val="auto"/>
          <w:sz w:val="24"/>
        </w:rPr>
      </w:pPr>
      <w:r>
        <w:rPr>
          <w:rFonts w:hint="eastAsia"/>
          <w:color w:val="auto"/>
          <w:sz w:val="24"/>
        </w:rPr>
        <w:t>在履行合同过程中，由于发包人的下列原因造成工期延误的，承包人有权要求发包人延长工期和（或）增加费用，并支付合理利润。需要修订合同进度计划的，按照第</w:t>
      </w:r>
      <w:r>
        <w:rPr>
          <w:color w:val="auto"/>
          <w:sz w:val="24"/>
        </w:rPr>
        <w:t>10.2</w:t>
      </w:r>
      <w:r>
        <w:rPr>
          <w:rFonts w:hint="eastAsia"/>
          <w:color w:val="auto"/>
          <w:sz w:val="24"/>
        </w:rPr>
        <w:t>款的约定办理。</w:t>
      </w:r>
    </w:p>
    <w:p w14:paraId="6DBAF11D">
      <w:pPr>
        <w:spacing w:line="240" w:lineRule="auto"/>
        <w:ind w:firstLine="480" w:firstLineChars="200"/>
        <w:rPr>
          <w:rFonts w:hint="eastAsia"/>
          <w:color w:val="auto"/>
          <w:sz w:val="24"/>
        </w:rPr>
      </w:pPr>
      <w:r>
        <w:rPr>
          <w:rFonts w:hint="eastAsia"/>
          <w:color w:val="auto"/>
          <w:sz w:val="24"/>
        </w:rPr>
        <w:t>（</w:t>
      </w:r>
      <w:r>
        <w:rPr>
          <w:color w:val="auto"/>
          <w:sz w:val="24"/>
        </w:rPr>
        <w:t>1</w:t>
      </w:r>
      <w:r>
        <w:rPr>
          <w:rFonts w:hint="eastAsia"/>
          <w:color w:val="auto"/>
          <w:sz w:val="24"/>
        </w:rPr>
        <w:t>）增加合同工作内容</w:t>
      </w:r>
      <w:r>
        <w:rPr>
          <w:color w:val="auto"/>
          <w:sz w:val="24"/>
        </w:rPr>
        <w:t>;</w:t>
      </w:r>
    </w:p>
    <w:p w14:paraId="363BAF70">
      <w:pPr>
        <w:spacing w:line="240" w:lineRule="auto"/>
        <w:ind w:firstLine="480" w:firstLineChars="200"/>
        <w:rPr>
          <w:rFonts w:hint="eastAsia"/>
          <w:color w:val="auto"/>
          <w:sz w:val="24"/>
        </w:rPr>
      </w:pPr>
      <w:r>
        <w:rPr>
          <w:rFonts w:hint="eastAsia"/>
          <w:color w:val="auto"/>
          <w:sz w:val="24"/>
        </w:rPr>
        <w:t>（</w:t>
      </w:r>
      <w:r>
        <w:rPr>
          <w:color w:val="auto"/>
          <w:sz w:val="24"/>
        </w:rPr>
        <w:t>2</w:t>
      </w:r>
      <w:r>
        <w:rPr>
          <w:rFonts w:hint="eastAsia"/>
          <w:color w:val="auto"/>
          <w:sz w:val="24"/>
        </w:rPr>
        <w:t>）改变合同中任何一项工作的质量要求或其他特性；</w:t>
      </w:r>
    </w:p>
    <w:p w14:paraId="27563D91">
      <w:pPr>
        <w:spacing w:line="240" w:lineRule="auto"/>
        <w:ind w:firstLine="480" w:firstLineChars="200"/>
        <w:rPr>
          <w:rFonts w:hint="eastAsia"/>
          <w:color w:val="auto"/>
          <w:sz w:val="24"/>
        </w:rPr>
      </w:pPr>
      <w:r>
        <w:rPr>
          <w:rFonts w:hint="eastAsia"/>
          <w:color w:val="auto"/>
          <w:sz w:val="24"/>
        </w:rPr>
        <w:t>（</w:t>
      </w:r>
      <w:r>
        <w:rPr>
          <w:color w:val="auto"/>
          <w:sz w:val="24"/>
        </w:rPr>
        <w:t>3</w:t>
      </w:r>
      <w:r>
        <w:rPr>
          <w:rFonts w:hint="eastAsia"/>
          <w:color w:val="auto"/>
          <w:sz w:val="24"/>
        </w:rPr>
        <w:t>）发包人迟延提供材料、工程设备或变更交货地点的；</w:t>
      </w:r>
    </w:p>
    <w:p w14:paraId="2030D147">
      <w:pPr>
        <w:spacing w:line="240" w:lineRule="auto"/>
        <w:ind w:firstLine="480" w:firstLineChars="200"/>
        <w:rPr>
          <w:rFonts w:hint="eastAsia"/>
          <w:color w:val="auto"/>
          <w:sz w:val="24"/>
        </w:rPr>
      </w:pPr>
      <w:r>
        <w:rPr>
          <w:rFonts w:hint="eastAsia"/>
          <w:color w:val="auto"/>
          <w:sz w:val="24"/>
        </w:rPr>
        <w:t>（</w:t>
      </w:r>
      <w:r>
        <w:rPr>
          <w:color w:val="auto"/>
          <w:sz w:val="24"/>
        </w:rPr>
        <w:t>4</w:t>
      </w:r>
      <w:r>
        <w:rPr>
          <w:rFonts w:hint="eastAsia"/>
          <w:color w:val="auto"/>
          <w:sz w:val="24"/>
        </w:rPr>
        <w:t>）因发包人原因导致的暂停施工；</w:t>
      </w:r>
    </w:p>
    <w:p w14:paraId="0D7791F2">
      <w:pPr>
        <w:spacing w:line="240" w:lineRule="auto"/>
        <w:ind w:firstLine="480" w:firstLineChars="200"/>
        <w:rPr>
          <w:rFonts w:hint="eastAsia"/>
          <w:color w:val="auto"/>
          <w:sz w:val="24"/>
        </w:rPr>
      </w:pPr>
      <w:r>
        <w:rPr>
          <w:rFonts w:hint="eastAsia"/>
          <w:color w:val="auto"/>
          <w:sz w:val="24"/>
        </w:rPr>
        <w:t>（</w:t>
      </w:r>
      <w:r>
        <w:rPr>
          <w:color w:val="auto"/>
          <w:sz w:val="24"/>
        </w:rPr>
        <w:t>5</w:t>
      </w:r>
      <w:r>
        <w:rPr>
          <w:rFonts w:hint="eastAsia"/>
          <w:color w:val="auto"/>
          <w:sz w:val="24"/>
        </w:rPr>
        <w:t>）提供图纸延误；</w:t>
      </w:r>
    </w:p>
    <w:p w14:paraId="2D3D803F">
      <w:pPr>
        <w:spacing w:line="240" w:lineRule="auto"/>
        <w:ind w:firstLine="480" w:firstLineChars="200"/>
        <w:rPr>
          <w:rFonts w:hint="eastAsia"/>
          <w:color w:val="auto"/>
          <w:sz w:val="24"/>
        </w:rPr>
      </w:pPr>
      <w:r>
        <w:rPr>
          <w:rFonts w:hint="eastAsia"/>
          <w:color w:val="auto"/>
          <w:sz w:val="24"/>
        </w:rPr>
        <w:t>（</w:t>
      </w:r>
      <w:r>
        <w:rPr>
          <w:color w:val="auto"/>
          <w:sz w:val="24"/>
        </w:rPr>
        <w:t>6</w:t>
      </w:r>
      <w:r>
        <w:rPr>
          <w:rFonts w:hint="eastAsia"/>
          <w:color w:val="auto"/>
          <w:sz w:val="24"/>
        </w:rPr>
        <w:t>）未按合同约定及时支付预付款、进度款；</w:t>
      </w:r>
    </w:p>
    <w:p w14:paraId="45129499">
      <w:pPr>
        <w:spacing w:line="240" w:lineRule="auto"/>
        <w:ind w:firstLine="480" w:firstLineChars="200"/>
        <w:rPr>
          <w:rFonts w:hint="eastAsia"/>
          <w:color w:val="auto"/>
          <w:sz w:val="24"/>
        </w:rPr>
      </w:pPr>
      <w:r>
        <w:rPr>
          <w:rFonts w:hint="eastAsia"/>
          <w:color w:val="auto"/>
          <w:sz w:val="24"/>
        </w:rPr>
        <w:t>（</w:t>
      </w:r>
      <w:r>
        <w:rPr>
          <w:color w:val="auto"/>
          <w:sz w:val="24"/>
        </w:rPr>
        <w:t>7</w:t>
      </w:r>
      <w:r>
        <w:rPr>
          <w:rFonts w:hint="eastAsia"/>
          <w:color w:val="auto"/>
          <w:sz w:val="24"/>
        </w:rPr>
        <w:t>）发包人造成工期延误的其他原因。</w:t>
      </w:r>
    </w:p>
    <w:p w14:paraId="486430E7">
      <w:pPr>
        <w:keepNext/>
        <w:keepLines/>
        <w:spacing w:before="240" w:after="240" w:line="240" w:lineRule="auto"/>
        <w:rPr>
          <w:rFonts w:eastAsia="黑体"/>
          <w:bCs/>
          <w:color w:val="auto"/>
          <w:kern w:val="44"/>
          <w:sz w:val="24"/>
          <w:lang w:val="zh-CN"/>
        </w:rPr>
      </w:pPr>
      <w:r>
        <w:rPr>
          <w:rFonts w:eastAsia="黑体"/>
          <w:bCs/>
          <w:color w:val="auto"/>
          <w:kern w:val="44"/>
          <w:sz w:val="24"/>
          <w:lang w:val="zh-CN"/>
        </w:rPr>
        <w:t>11.4</w:t>
      </w:r>
      <w:r>
        <w:rPr>
          <w:rFonts w:hint="eastAsia" w:eastAsia="黑体"/>
          <w:bCs/>
          <w:color w:val="auto"/>
          <w:kern w:val="44"/>
          <w:sz w:val="24"/>
          <w:lang w:val="zh-CN"/>
        </w:rPr>
        <w:t>异常恶劣的气候条件</w:t>
      </w:r>
    </w:p>
    <w:p w14:paraId="437B8FCF">
      <w:pPr>
        <w:spacing w:line="240" w:lineRule="auto"/>
        <w:rPr>
          <w:color w:val="auto"/>
          <w:sz w:val="24"/>
        </w:rPr>
      </w:pPr>
      <w:r>
        <w:rPr>
          <w:color w:val="auto"/>
          <w:sz w:val="24"/>
        </w:rPr>
        <w:t xml:space="preserve">    </w:t>
      </w:r>
      <w:r>
        <w:rPr>
          <w:rFonts w:hint="eastAsia"/>
          <w:color w:val="auto"/>
          <w:sz w:val="24"/>
        </w:rPr>
        <w:t>由于出现专用合同条款约定的异常恶劣气候的条件导致工期延误的，承包人有权要求发包人延长工期。</w:t>
      </w:r>
    </w:p>
    <w:p w14:paraId="11968854">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11.5 </w:t>
      </w:r>
      <w:r>
        <w:rPr>
          <w:rFonts w:hint="eastAsia" w:eastAsia="黑体"/>
          <w:bCs/>
          <w:color w:val="auto"/>
          <w:kern w:val="44"/>
          <w:sz w:val="24"/>
          <w:lang w:val="zh-CN"/>
        </w:rPr>
        <w:t>承包人的工期延误</w:t>
      </w:r>
    </w:p>
    <w:p w14:paraId="033830E8">
      <w:pPr>
        <w:spacing w:line="240" w:lineRule="auto"/>
        <w:ind w:firstLine="480" w:firstLineChars="200"/>
        <w:rPr>
          <w:rFonts w:hint="eastAsia"/>
          <w:color w:val="auto"/>
          <w:sz w:val="24"/>
        </w:rPr>
      </w:pPr>
      <w:r>
        <w:rPr>
          <w:rFonts w:hint="eastAsia"/>
          <w:color w:val="auto"/>
          <w:sz w:val="24"/>
        </w:rPr>
        <w:t>由于承包人原因，未能按合同进度计划完成工作，或</w:t>
      </w:r>
      <w:r>
        <w:rPr>
          <w:rFonts w:hint="eastAsia"/>
          <w:color w:val="auto"/>
          <w:sz w:val="24"/>
          <w:lang w:val="en-US" w:eastAsia="zh-CN"/>
        </w:rPr>
        <w:t>发包</w:t>
      </w:r>
      <w:r>
        <w:rPr>
          <w:rFonts w:hint="eastAsia"/>
          <w:color w:val="auto"/>
          <w:sz w:val="24"/>
        </w:rPr>
        <w:t>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71EC9231">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11.6 </w:t>
      </w:r>
      <w:r>
        <w:rPr>
          <w:rFonts w:hint="eastAsia" w:eastAsia="黑体"/>
          <w:bCs/>
          <w:color w:val="auto"/>
          <w:kern w:val="44"/>
          <w:sz w:val="24"/>
          <w:lang w:val="zh-CN"/>
        </w:rPr>
        <w:t>工期提前</w:t>
      </w:r>
    </w:p>
    <w:p w14:paraId="5595DA9A">
      <w:pPr>
        <w:spacing w:line="240" w:lineRule="auto"/>
        <w:ind w:firstLine="480" w:firstLineChars="200"/>
        <w:rPr>
          <w:rFonts w:hint="eastAsia"/>
          <w:color w:val="auto"/>
          <w:sz w:val="24"/>
        </w:rPr>
      </w:pPr>
      <w:r>
        <w:rPr>
          <w:rFonts w:hint="eastAsia"/>
          <w:color w:val="auto"/>
          <w:sz w:val="24"/>
        </w:rPr>
        <w:t>发包人要求承包人提前竣工，或承包人提出提前竣工的建议能够给发包人带来效益的，应由</w:t>
      </w:r>
      <w:r>
        <w:rPr>
          <w:rFonts w:hint="eastAsia"/>
          <w:color w:val="auto"/>
          <w:sz w:val="24"/>
          <w:lang w:val="en-US" w:eastAsia="zh-CN"/>
        </w:rPr>
        <w:t>发包</w:t>
      </w:r>
      <w:r>
        <w:rPr>
          <w:rFonts w:hint="eastAsia"/>
          <w:color w:val="auto"/>
          <w:sz w:val="24"/>
        </w:rPr>
        <w:t>人与承包人共同协商采取加快工程进度的措施和修订合同进度计划。发包人应承担承包人由此增加的费用，并向承包人支付专用合同条款约定的相应奖金。</w:t>
      </w:r>
      <w:r>
        <w:rPr>
          <w:color w:val="auto"/>
          <w:sz w:val="24"/>
        </w:rPr>
        <w:t xml:space="preserve"> </w:t>
      </w:r>
    </w:p>
    <w:p w14:paraId="6B1FBD1C">
      <w:pPr>
        <w:keepNext/>
        <w:keepLines/>
        <w:spacing w:before="480" w:after="240" w:line="240" w:lineRule="auto"/>
        <w:outlineLvl w:val="2"/>
        <w:rPr>
          <w:rFonts w:eastAsia="黑体"/>
          <w:bCs/>
          <w:color w:val="auto"/>
          <w:kern w:val="44"/>
          <w:sz w:val="28"/>
          <w:szCs w:val="28"/>
          <w:lang w:val="zh-CN"/>
        </w:rPr>
      </w:pPr>
      <w:r>
        <w:rPr>
          <w:rFonts w:eastAsia="黑体"/>
          <w:bCs/>
          <w:color w:val="auto"/>
          <w:kern w:val="44"/>
          <w:sz w:val="28"/>
          <w:szCs w:val="28"/>
          <w:lang w:val="zh-CN"/>
        </w:rPr>
        <w:t xml:space="preserve">12. </w:t>
      </w:r>
      <w:r>
        <w:rPr>
          <w:rFonts w:hint="eastAsia" w:eastAsia="黑体"/>
          <w:bCs/>
          <w:color w:val="auto"/>
          <w:kern w:val="44"/>
          <w:sz w:val="28"/>
          <w:szCs w:val="28"/>
          <w:lang w:val="zh-CN"/>
        </w:rPr>
        <w:t>暂停施工</w:t>
      </w:r>
    </w:p>
    <w:p w14:paraId="5CE6F6FD">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12.1 </w:t>
      </w:r>
      <w:r>
        <w:rPr>
          <w:rFonts w:hint="eastAsia" w:eastAsia="黑体"/>
          <w:bCs/>
          <w:color w:val="auto"/>
          <w:kern w:val="44"/>
          <w:sz w:val="24"/>
          <w:lang w:val="zh-CN"/>
        </w:rPr>
        <w:t>承包人暂停施工的责任</w:t>
      </w:r>
    </w:p>
    <w:p w14:paraId="606AA67B">
      <w:pPr>
        <w:spacing w:line="240" w:lineRule="auto"/>
        <w:ind w:firstLine="480" w:firstLineChars="200"/>
        <w:rPr>
          <w:rFonts w:hint="eastAsia"/>
          <w:color w:val="auto"/>
          <w:sz w:val="24"/>
        </w:rPr>
      </w:pPr>
      <w:r>
        <w:rPr>
          <w:rFonts w:hint="eastAsia"/>
          <w:color w:val="auto"/>
          <w:sz w:val="24"/>
        </w:rPr>
        <w:t>因下列暂停施工增加的费用和（或）工期延误由承包人承担：</w:t>
      </w:r>
    </w:p>
    <w:p w14:paraId="0DD91F77">
      <w:pPr>
        <w:spacing w:line="240" w:lineRule="auto"/>
        <w:ind w:firstLine="480" w:firstLineChars="200"/>
        <w:rPr>
          <w:rFonts w:hint="eastAsia"/>
          <w:color w:val="auto"/>
          <w:sz w:val="24"/>
        </w:rPr>
      </w:pPr>
      <w:r>
        <w:rPr>
          <w:rFonts w:hint="eastAsia"/>
          <w:color w:val="auto"/>
          <w:sz w:val="24"/>
        </w:rPr>
        <w:t>（</w:t>
      </w:r>
      <w:r>
        <w:rPr>
          <w:color w:val="auto"/>
          <w:sz w:val="24"/>
        </w:rPr>
        <w:t>1</w:t>
      </w:r>
      <w:r>
        <w:rPr>
          <w:rFonts w:hint="eastAsia"/>
          <w:color w:val="auto"/>
          <w:sz w:val="24"/>
        </w:rPr>
        <w:t>）承包人违约引起的暂停施工；</w:t>
      </w:r>
    </w:p>
    <w:p w14:paraId="637711B8">
      <w:pPr>
        <w:spacing w:line="240" w:lineRule="auto"/>
        <w:ind w:firstLine="480" w:firstLineChars="200"/>
        <w:rPr>
          <w:rFonts w:hint="eastAsia"/>
          <w:color w:val="auto"/>
          <w:sz w:val="24"/>
        </w:rPr>
      </w:pPr>
      <w:r>
        <w:rPr>
          <w:rFonts w:hint="eastAsia"/>
          <w:color w:val="auto"/>
          <w:sz w:val="24"/>
        </w:rPr>
        <w:t>（</w:t>
      </w:r>
      <w:r>
        <w:rPr>
          <w:color w:val="auto"/>
          <w:sz w:val="24"/>
        </w:rPr>
        <w:t>2</w:t>
      </w:r>
      <w:r>
        <w:rPr>
          <w:rFonts w:hint="eastAsia"/>
          <w:color w:val="auto"/>
          <w:sz w:val="24"/>
        </w:rPr>
        <w:t>）由于承包人原因为工程合理施工和安全保障所必需的暂停施工；</w:t>
      </w:r>
    </w:p>
    <w:p w14:paraId="48BD47DF">
      <w:pPr>
        <w:spacing w:line="240" w:lineRule="auto"/>
        <w:ind w:firstLine="480" w:firstLineChars="200"/>
        <w:rPr>
          <w:rFonts w:hint="eastAsia"/>
          <w:color w:val="auto"/>
          <w:sz w:val="24"/>
        </w:rPr>
      </w:pPr>
      <w:r>
        <w:rPr>
          <w:rFonts w:hint="eastAsia"/>
          <w:color w:val="auto"/>
          <w:sz w:val="24"/>
        </w:rPr>
        <w:t>（</w:t>
      </w:r>
      <w:r>
        <w:rPr>
          <w:color w:val="auto"/>
          <w:sz w:val="24"/>
        </w:rPr>
        <w:t>3</w:t>
      </w:r>
      <w:r>
        <w:rPr>
          <w:rFonts w:hint="eastAsia"/>
          <w:color w:val="auto"/>
          <w:sz w:val="24"/>
        </w:rPr>
        <w:t>）承包人擅自暂停施工；</w:t>
      </w:r>
    </w:p>
    <w:p w14:paraId="5F71E8CF">
      <w:pPr>
        <w:spacing w:line="240" w:lineRule="auto"/>
        <w:ind w:firstLine="480" w:firstLineChars="200"/>
        <w:rPr>
          <w:rFonts w:hint="eastAsia"/>
          <w:color w:val="auto"/>
          <w:sz w:val="24"/>
        </w:rPr>
      </w:pPr>
      <w:r>
        <w:rPr>
          <w:rFonts w:hint="eastAsia"/>
          <w:color w:val="auto"/>
          <w:sz w:val="24"/>
        </w:rPr>
        <w:t>（</w:t>
      </w:r>
      <w:r>
        <w:rPr>
          <w:color w:val="auto"/>
          <w:sz w:val="24"/>
        </w:rPr>
        <w:t>4</w:t>
      </w:r>
      <w:r>
        <w:rPr>
          <w:rFonts w:hint="eastAsia"/>
          <w:color w:val="auto"/>
          <w:sz w:val="24"/>
        </w:rPr>
        <w:t>）承包人其他原因引起的暂停施工；</w:t>
      </w:r>
    </w:p>
    <w:p w14:paraId="542F1E73">
      <w:pPr>
        <w:spacing w:line="240" w:lineRule="auto"/>
        <w:ind w:firstLine="480" w:firstLineChars="200"/>
        <w:rPr>
          <w:rFonts w:hint="eastAsia"/>
          <w:color w:val="auto"/>
          <w:sz w:val="24"/>
        </w:rPr>
      </w:pPr>
      <w:r>
        <w:rPr>
          <w:rFonts w:hint="eastAsia"/>
          <w:color w:val="auto"/>
          <w:sz w:val="24"/>
        </w:rPr>
        <w:t>（</w:t>
      </w:r>
      <w:r>
        <w:rPr>
          <w:color w:val="auto"/>
          <w:sz w:val="24"/>
        </w:rPr>
        <w:t>5</w:t>
      </w:r>
      <w:r>
        <w:rPr>
          <w:rFonts w:hint="eastAsia"/>
          <w:color w:val="auto"/>
          <w:sz w:val="24"/>
        </w:rPr>
        <w:t>）专用合同条款约定由承包人承担的其他暂停施工。</w:t>
      </w:r>
    </w:p>
    <w:p w14:paraId="26470424">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12.2 </w:t>
      </w:r>
      <w:r>
        <w:rPr>
          <w:rFonts w:hint="eastAsia" w:eastAsia="黑体"/>
          <w:bCs/>
          <w:color w:val="auto"/>
          <w:kern w:val="44"/>
          <w:sz w:val="24"/>
          <w:lang w:val="zh-CN"/>
        </w:rPr>
        <w:t>发包人暂停施工的责任</w:t>
      </w:r>
    </w:p>
    <w:p w14:paraId="0F73A6A3">
      <w:pPr>
        <w:spacing w:line="240" w:lineRule="auto"/>
        <w:ind w:firstLine="480" w:firstLineChars="200"/>
        <w:rPr>
          <w:rFonts w:hint="eastAsia"/>
          <w:color w:val="auto"/>
          <w:sz w:val="24"/>
        </w:rPr>
      </w:pPr>
      <w:r>
        <w:rPr>
          <w:rFonts w:hint="eastAsia"/>
          <w:color w:val="auto"/>
          <w:sz w:val="24"/>
        </w:rPr>
        <w:t>由于发包人原因引起的暂停施工造成工期延误的，承包人有权要求发包人延长工期和（或）增加费用，并支付合理利润。</w:t>
      </w:r>
    </w:p>
    <w:p w14:paraId="4511AC8A">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12.3 </w:t>
      </w:r>
      <w:r>
        <w:rPr>
          <w:rFonts w:hint="eastAsia" w:eastAsia="黑体"/>
          <w:bCs/>
          <w:color w:val="auto"/>
          <w:kern w:val="44"/>
          <w:sz w:val="24"/>
          <w:lang w:val="en-US" w:eastAsia="zh-CN"/>
        </w:rPr>
        <w:t>发包</w:t>
      </w:r>
      <w:r>
        <w:rPr>
          <w:rFonts w:hint="eastAsia" w:eastAsia="黑体"/>
          <w:bCs/>
          <w:color w:val="auto"/>
          <w:kern w:val="44"/>
          <w:sz w:val="24"/>
          <w:lang w:val="zh-CN"/>
        </w:rPr>
        <w:t>人暂停施工指示</w:t>
      </w:r>
    </w:p>
    <w:p w14:paraId="533D3C40">
      <w:pPr>
        <w:spacing w:line="240" w:lineRule="auto"/>
        <w:ind w:firstLine="480" w:firstLineChars="200"/>
        <w:rPr>
          <w:color w:val="auto"/>
          <w:sz w:val="24"/>
        </w:rPr>
      </w:pPr>
      <w:r>
        <w:rPr>
          <w:color w:val="auto"/>
          <w:sz w:val="24"/>
        </w:rPr>
        <w:t xml:space="preserve">12.3.1 </w:t>
      </w:r>
      <w:r>
        <w:rPr>
          <w:rFonts w:hint="eastAsia"/>
          <w:color w:val="auto"/>
          <w:sz w:val="24"/>
          <w:lang w:val="en-US" w:eastAsia="zh-CN"/>
        </w:rPr>
        <w:t>发包</w:t>
      </w:r>
      <w:r>
        <w:rPr>
          <w:rFonts w:hint="eastAsia"/>
          <w:color w:val="auto"/>
          <w:sz w:val="24"/>
        </w:rPr>
        <w:t>人认为有必要时，可向承包人作出暂停施工的指示，承包人应按</w:t>
      </w:r>
      <w:r>
        <w:rPr>
          <w:rFonts w:hint="eastAsia"/>
          <w:color w:val="auto"/>
          <w:sz w:val="24"/>
          <w:lang w:val="en-US" w:eastAsia="zh-CN"/>
        </w:rPr>
        <w:t>发包</w:t>
      </w:r>
      <w:r>
        <w:rPr>
          <w:rFonts w:hint="eastAsia"/>
          <w:color w:val="auto"/>
          <w:sz w:val="24"/>
        </w:rPr>
        <w:t>人指示暂停施工。不论由于何种原因引起的暂停施工，暂停施工期间承包人应负责妥善保护工程并提供安全保障。</w:t>
      </w:r>
    </w:p>
    <w:p w14:paraId="6EA4367B">
      <w:pPr>
        <w:spacing w:line="240" w:lineRule="auto"/>
        <w:ind w:firstLine="480" w:firstLineChars="200"/>
        <w:rPr>
          <w:color w:val="auto"/>
          <w:sz w:val="24"/>
        </w:rPr>
      </w:pPr>
      <w:r>
        <w:rPr>
          <w:color w:val="auto"/>
          <w:sz w:val="24"/>
        </w:rPr>
        <w:t xml:space="preserve">12.3.2 </w:t>
      </w:r>
      <w:r>
        <w:rPr>
          <w:rFonts w:hint="eastAsia"/>
          <w:color w:val="auto"/>
          <w:sz w:val="24"/>
        </w:rPr>
        <w:t>由于发包人的原因发生暂停施工的紧急情况，承包人可先暂停施工，并及时向</w:t>
      </w:r>
      <w:r>
        <w:rPr>
          <w:rFonts w:hint="eastAsia"/>
          <w:color w:val="auto"/>
          <w:sz w:val="24"/>
          <w:lang w:val="en-US" w:eastAsia="zh-CN"/>
        </w:rPr>
        <w:t>发包</w:t>
      </w:r>
      <w:r>
        <w:rPr>
          <w:rFonts w:hint="eastAsia"/>
          <w:color w:val="auto"/>
          <w:sz w:val="24"/>
        </w:rPr>
        <w:t>人提出暂停施工的书面请求。</w:t>
      </w:r>
      <w:r>
        <w:rPr>
          <w:rFonts w:hint="eastAsia"/>
          <w:color w:val="auto"/>
          <w:sz w:val="24"/>
          <w:lang w:val="en-US" w:eastAsia="zh-CN"/>
        </w:rPr>
        <w:t>发包</w:t>
      </w:r>
      <w:r>
        <w:rPr>
          <w:rFonts w:hint="eastAsia"/>
          <w:color w:val="auto"/>
          <w:sz w:val="24"/>
        </w:rPr>
        <w:t>人应在接到书面请求后的</w:t>
      </w:r>
      <w:r>
        <w:rPr>
          <w:color w:val="auto"/>
          <w:sz w:val="24"/>
        </w:rPr>
        <w:t>24</w:t>
      </w:r>
      <w:r>
        <w:rPr>
          <w:rFonts w:hint="eastAsia"/>
          <w:color w:val="auto"/>
          <w:sz w:val="24"/>
        </w:rPr>
        <w:t>小时内予以答复，逾期未答复的，视为同意承包人的暂停施工请求。</w:t>
      </w:r>
    </w:p>
    <w:p w14:paraId="31313CEE">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12.4 </w:t>
      </w:r>
      <w:r>
        <w:rPr>
          <w:rFonts w:hint="eastAsia" w:eastAsia="黑体"/>
          <w:bCs/>
          <w:color w:val="auto"/>
          <w:kern w:val="44"/>
          <w:sz w:val="24"/>
          <w:lang w:val="zh-CN"/>
        </w:rPr>
        <w:t>暂停施工后的复工</w:t>
      </w:r>
    </w:p>
    <w:p w14:paraId="50FEA56D">
      <w:pPr>
        <w:spacing w:line="240" w:lineRule="auto"/>
        <w:ind w:firstLine="480" w:firstLineChars="200"/>
        <w:rPr>
          <w:color w:val="auto"/>
          <w:sz w:val="24"/>
        </w:rPr>
      </w:pPr>
      <w:r>
        <w:rPr>
          <w:color w:val="auto"/>
          <w:sz w:val="24"/>
        </w:rPr>
        <w:t>12.4.1</w:t>
      </w:r>
      <w:r>
        <w:rPr>
          <w:rFonts w:hint="eastAsia"/>
          <w:color w:val="auto"/>
          <w:sz w:val="24"/>
        </w:rPr>
        <w:t>暂停施工后，发包人和承包人协商，采取有效措施积极消除暂停施工的影响。当工程具备复工条件时，</w:t>
      </w:r>
      <w:r>
        <w:rPr>
          <w:rFonts w:hint="eastAsia"/>
          <w:color w:val="auto"/>
          <w:sz w:val="24"/>
          <w:lang w:val="en-US" w:eastAsia="zh-CN"/>
        </w:rPr>
        <w:t>发包</w:t>
      </w:r>
      <w:r>
        <w:rPr>
          <w:rFonts w:hint="eastAsia"/>
          <w:color w:val="auto"/>
          <w:sz w:val="24"/>
        </w:rPr>
        <w:t>人应立即向承包人发出复工通知。承包人收到复工通知后，应在</w:t>
      </w:r>
      <w:r>
        <w:rPr>
          <w:rFonts w:hint="eastAsia"/>
          <w:color w:val="auto"/>
          <w:sz w:val="24"/>
          <w:lang w:val="en-US" w:eastAsia="zh-CN"/>
        </w:rPr>
        <w:t>发包</w:t>
      </w:r>
      <w:r>
        <w:rPr>
          <w:rFonts w:hint="eastAsia"/>
          <w:color w:val="auto"/>
          <w:sz w:val="24"/>
        </w:rPr>
        <w:t>人指定的期限内复工。</w:t>
      </w:r>
    </w:p>
    <w:p w14:paraId="453B9272">
      <w:pPr>
        <w:spacing w:line="240" w:lineRule="auto"/>
        <w:ind w:firstLine="480" w:firstLineChars="200"/>
        <w:rPr>
          <w:color w:val="auto"/>
          <w:sz w:val="24"/>
        </w:rPr>
      </w:pPr>
      <w:r>
        <w:rPr>
          <w:color w:val="auto"/>
          <w:sz w:val="24"/>
        </w:rPr>
        <w:t>12.4.2</w:t>
      </w:r>
      <w:r>
        <w:rPr>
          <w:rFonts w:hint="eastAsia"/>
          <w:color w:val="auto"/>
          <w:sz w:val="24"/>
        </w:rPr>
        <w:t>承包人无故拖延和拒绝复工的，由此增加的费用和工期延误由承包人承担；因发包人原因无法按时复工的，承包人有权要求发包人延长工期和（或）增加费用，并支付合理利润。</w:t>
      </w:r>
    </w:p>
    <w:p w14:paraId="0C36A2D4">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12.5 </w:t>
      </w:r>
      <w:r>
        <w:rPr>
          <w:rFonts w:hint="eastAsia" w:eastAsia="黑体"/>
          <w:bCs/>
          <w:color w:val="auto"/>
          <w:kern w:val="44"/>
          <w:sz w:val="24"/>
          <w:lang w:val="zh-CN"/>
        </w:rPr>
        <w:t>暂停施工持续</w:t>
      </w:r>
      <w:r>
        <w:rPr>
          <w:rFonts w:eastAsia="黑体"/>
          <w:bCs/>
          <w:color w:val="auto"/>
          <w:kern w:val="44"/>
          <w:sz w:val="24"/>
          <w:lang w:val="zh-CN"/>
        </w:rPr>
        <w:t>56</w:t>
      </w:r>
      <w:r>
        <w:rPr>
          <w:rFonts w:hint="eastAsia" w:eastAsia="黑体"/>
          <w:bCs/>
          <w:color w:val="auto"/>
          <w:kern w:val="44"/>
          <w:sz w:val="24"/>
          <w:lang w:val="zh-CN"/>
        </w:rPr>
        <w:t>天以上</w:t>
      </w:r>
    </w:p>
    <w:p w14:paraId="79CBB592">
      <w:pPr>
        <w:spacing w:line="240" w:lineRule="auto"/>
        <w:ind w:firstLine="480" w:firstLineChars="200"/>
        <w:rPr>
          <w:color w:val="auto"/>
          <w:sz w:val="24"/>
        </w:rPr>
      </w:pPr>
      <w:r>
        <w:rPr>
          <w:color w:val="auto"/>
          <w:sz w:val="24"/>
        </w:rPr>
        <w:t>12.5.1</w:t>
      </w:r>
      <w:r>
        <w:rPr>
          <w:rFonts w:hint="eastAsia"/>
          <w:color w:val="auto"/>
          <w:sz w:val="24"/>
          <w:lang w:val="en-US" w:eastAsia="zh-CN"/>
        </w:rPr>
        <w:t>发包</w:t>
      </w:r>
      <w:r>
        <w:rPr>
          <w:rFonts w:hint="eastAsia"/>
          <w:color w:val="auto"/>
          <w:sz w:val="24"/>
        </w:rPr>
        <w:t>人发出暂停施工指示后</w:t>
      </w:r>
      <w:r>
        <w:rPr>
          <w:color w:val="auto"/>
          <w:sz w:val="24"/>
        </w:rPr>
        <w:t>56</w:t>
      </w:r>
      <w:r>
        <w:rPr>
          <w:rFonts w:hint="eastAsia"/>
          <w:color w:val="auto"/>
          <w:sz w:val="24"/>
        </w:rPr>
        <w:t>天内未向承包人发出复工通知，除了该项停工属于第</w:t>
      </w:r>
      <w:r>
        <w:rPr>
          <w:color w:val="auto"/>
          <w:sz w:val="24"/>
        </w:rPr>
        <w:t>12.1</w:t>
      </w:r>
      <w:r>
        <w:rPr>
          <w:rFonts w:hint="eastAsia"/>
          <w:color w:val="auto"/>
          <w:sz w:val="24"/>
        </w:rPr>
        <w:t>款的情况外，承包人可向</w:t>
      </w:r>
      <w:r>
        <w:rPr>
          <w:rFonts w:hint="eastAsia"/>
          <w:color w:val="auto"/>
          <w:sz w:val="24"/>
          <w:lang w:val="en-US" w:eastAsia="zh-CN"/>
        </w:rPr>
        <w:t>发包</w:t>
      </w:r>
      <w:r>
        <w:rPr>
          <w:rFonts w:hint="eastAsia"/>
          <w:color w:val="auto"/>
          <w:sz w:val="24"/>
        </w:rPr>
        <w:t>人提交书面通知，要求</w:t>
      </w:r>
      <w:r>
        <w:rPr>
          <w:rFonts w:hint="eastAsia"/>
          <w:color w:val="auto"/>
          <w:sz w:val="24"/>
          <w:lang w:val="en-US" w:eastAsia="zh-CN"/>
        </w:rPr>
        <w:t>发包</w:t>
      </w:r>
      <w:r>
        <w:rPr>
          <w:rFonts w:hint="eastAsia"/>
          <w:color w:val="auto"/>
          <w:sz w:val="24"/>
        </w:rPr>
        <w:t>人在收到书面通知后</w:t>
      </w:r>
      <w:r>
        <w:rPr>
          <w:color w:val="auto"/>
          <w:sz w:val="24"/>
        </w:rPr>
        <w:t>28</w:t>
      </w:r>
      <w:r>
        <w:rPr>
          <w:rFonts w:hint="eastAsia"/>
          <w:color w:val="auto"/>
          <w:sz w:val="24"/>
        </w:rPr>
        <w:t>天内准许已暂停施工的工程或其中一部分工程继续施工。如</w:t>
      </w:r>
      <w:r>
        <w:rPr>
          <w:rFonts w:hint="eastAsia"/>
          <w:color w:val="auto"/>
          <w:sz w:val="24"/>
          <w:lang w:val="en-US" w:eastAsia="zh-CN"/>
        </w:rPr>
        <w:t>发包</w:t>
      </w:r>
      <w:r>
        <w:rPr>
          <w:rFonts w:hint="eastAsia"/>
          <w:color w:val="auto"/>
          <w:sz w:val="24"/>
        </w:rPr>
        <w:t>人逾期不予批准，则承包人可以通知</w:t>
      </w:r>
      <w:r>
        <w:rPr>
          <w:rFonts w:hint="eastAsia"/>
          <w:color w:val="auto"/>
          <w:sz w:val="24"/>
          <w:lang w:val="en-US" w:eastAsia="zh-CN"/>
        </w:rPr>
        <w:t>发包</w:t>
      </w:r>
      <w:r>
        <w:rPr>
          <w:rFonts w:hint="eastAsia"/>
          <w:color w:val="auto"/>
          <w:sz w:val="24"/>
        </w:rPr>
        <w:t>人，将工程受影响的部分视为按第</w:t>
      </w:r>
      <w:r>
        <w:rPr>
          <w:color w:val="auto"/>
          <w:sz w:val="24"/>
        </w:rPr>
        <w:t>15.1</w:t>
      </w:r>
      <w:r>
        <w:rPr>
          <w:rFonts w:hint="eastAsia"/>
          <w:color w:val="auto"/>
          <w:sz w:val="24"/>
        </w:rPr>
        <w:t>（</w:t>
      </w:r>
      <w:r>
        <w:rPr>
          <w:color w:val="auto"/>
          <w:sz w:val="24"/>
        </w:rPr>
        <w:t>1</w:t>
      </w:r>
      <w:r>
        <w:rPr>
          <w:rFonts w:hint="eastAsia"/>
          <w:color w:val="auto"/>
          <w:sz w:val="24"/>
        </w:rPr>
        <w:t>）项的可取消工作。如暂停施工影响到整个工程，可视为发包人违约，应按第</w:t>
      </w:r>
      <w:r>
        <w:rPr>
          <w:color w:val="auto"/>
          <w:sz w:val="24"/>
        </w:rPr>
        <w:t>22.2</w:t>
      </w:r>
      <w:r>
        <w:rPr>
          <w:rFonts w:hint="eastAsia"/>
          <w:color w:val="auto"/>
          <w:sz w:val="24"/>
        </w:rPr>
        <w:t>款的约定办理。</w:t>
      </w:r>
    </w:p>
    <w:p w14:paraId="30AD3B9D">
      <w:pPr>
        <w:spacing w:line="240" w:lineRule="auto"/>
        <w:ind w:firstLine="480" w:firstLineChars="200"/>
        <w:rPr>
          <w:color w:val="auto"/>
          <w:sz w:val="24"/>
        </w:rPr>
      </w:pPr>
      <w:r>
        <w:rPr>
          <w:color w:val="auto"/>
          <w:sz w:val="24"/>
        </w:rPr>
        <w:t>12.5.2</w:t>
      </w:r>
      <w:r>
        <w:rPr>
          <w:rFonts w:hint="eastAsia"/>
          <w:color w:val="auto"/>
          <w:sz w:val="24"/>
        </w:rPr>
        <w:t>由于承包人责任引起的暂停施工，如承包人在收到</w:t>
      </w:r>
      <w:r>
        <w:rPr>
          <w:rFonts w:hint="eastAsia"/>
          <w:color w:val="auto"/>
          <w:sz w:val="24"/>
          <w:lang w:val="en-US" w:eastAsia="zh-CN"/>
        </w:rPr>
        <w:t>发包</w:t>
      </w:r>
      <w:r>
        <w:rPr>
          <w:rFonts w:hint="eastAsia"/>
          <w:color w:val="auto"/>
          <w:sz w:val="24"/>
        </w:rPr>
        <w:t>人暂停施工指示后</w:t>
      </w:r>
      <w:r>
        <w:rPr>
          <w:color w:val="auto"/>
          <w:sz w:val="24"/>
        </w:rPr>
        <w:t>56</w:t>
      </w:r>
      <w:r>
        <w:rPr>
          <w:rFonts w:hint="eastAsia"/>
          <w:color w:val="auto"/>
          <w:sz w:val="24"/>
        </w:rPr>
        <w:t>天内不认真采取有效的复工措施，造成工期延误，可视为承包人违约，应按第</w:t>
      </w:r>
      <w:r>
        <w:rPr>
          <w:color w:val="auto"/>
          <w:sz w:val="24"/>
        </w:rPr>
        <w:t>22.1</w:t>
      </w:r>
      <w:r>
        <w:rPr>
          <w:rFonts w:hint="eastAsia"/>
          <w:color w:val="auto"/>
          <w:sz w:val="24"/>
        </w:rPr>
        <w:t>款的约定办理。</w:t>
      </w:r>
    </w:p>
    <w:p w14:paraId="4B67482E">
      <w:pPr>
        <w:keepNext/>
        <w:keepLines/>
        <w:spacing w:before="480" w:after="240" w:line="240" w:lineRule="auto"/>
        <w:outlineLvl w:val="2"/>
        <w:rPr>
          <w:rFonts w:eastAsia="黑体"/>
          <w:bCs/>
          <w:color w:val="auto"/>
          <w:kern w:val="44"/>
          <w:sz w:val="28"/>
          <w:szCs w:val="28"/>
          <w:lang w:val="zh-CN"/>
        </w:rPr>
      </w:pPr>
      <w:r>
        <w:rPr>
          <w:rFonts w:eastAsia="黑体"/>
          <w:bCs/>
          <w:color w:val="auto"/>
          <w:kern w:val="44"/>
          <w:sz w:val="28"/>
          <w:szCs w:val="28"/>
          <w:lang w:val="zh-CN"/>
        </w:rPr>
        <w:t xml:space="preserve">13. </w:t>
      </w:r>
      <w:r>
        <w:rPr>
          <w:rFonts w:hint="eastAsia" w:eastAsia="黑体"/>
          <w:bCs/>
          <w:color w:val="auto"/>
          <w:kern w:val="44"/>
          <w:sz w:val="28"/>
          <w:szCs w:val="28"/>
          <w:lang w:val="zh-CN"/>
        </w:rPr>
        <w:t>工程质量</w:t>
      </w:r>
    </w:p>
    <w:p w14:paraId="00573FA0">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13.1 </w:t>
      </w:r>
      <w:r>
        <w:rPr>
          <w:rFonts w:hint="eastAsia" w:eastAsia="黑体"/>
          <w:bCs/>
          <w:color w:val="auto"/>
          <w:kern w:val="44"/>
          <w:sz w:val="24"/>
          <w:lang w:val="zh-CN"/>
        </w:rPr>
        <w:t>工程质量要求</w:t>
      </w:r>
    </w:p>
    <w:p w14:paraId="0657959E">
      <w:pPr>
        <w:spacing w:line="240" w:lineRule="auto"/>
        <w:ind w:firstLine="480" w:firstLineChars="200"/>
        <w:rPr>
          <w:color w:val="auto"/>
          <w:sz w:val="24"/>
        </w:rPr>
      </w:pPr>
      <w:r>
        <w:rPr>
          <w:color w:val="auto"/>
          <w:sz w:val="24"/>
        </w:rPr>
        <w:t xml:space="preserve">13.1.1 </w:t>
      </w:r>
      <w:r>
        <w:rPr>
          <w:rFonts w:hint="eastAsia"/>
          <w:color w:val="auto"/>
          <w:sz w:val="24"/>
        </w:rPr>
        <w:t>工程质量验收按合同约定验收标准执行。</w:t>
      </w:r>
    </w:p>
    <w:p w14:paraId="3D2EBC6F">
      <w:pPr>
        <w:spacing w:line="240" w:lineRule="auto"/>
        <w:ind w:firstLine="480" w:firstLineChars="200"/>
        <w:rPr>
          <w:color w:val="auto"/>
          <w:sz w:val="24"/>
        </w:rPr>
      </w:pPr>
      <w:r>
        <w:rPr>
          <w:color w:val="auto"/>
          <w:sz w:val="24"/>
        </w:rPr>
        <w:t xml:space="preserve">13.1.2 </w:t>
      </w:r>
      <w:r>
        <w:rPr>
          <w:rFonts w:hint="eastAsia"/>
          <w:color w:val="auto"/>
          <w:sz w:val="24"/>
        </w:rPr>
        <w:t>因承包人原因造成工程质量达不到合同约定验收标准的，</w:t>
      </w:r>
      <w:r>
        <w:rPr>
          <w:rFonts w:hint="eastAsia"/>
          <w:color w:val="auto"/>
          <w:sz w:val="24"/>
          <w:lang w:val="en-US" w:eastAsia="zh-CN"/>
        </w:rPr>
        <w:t>发包</w:t>
      </w:r>
      <w:r>
        <w:rPr>
          <w:rFonts w:hint="eastAsia"/>
          <w:color w:val="auto"/>
          <w:sz w:val="24"/>
        </w:rPr>
        <w:t>人有权要求承包人返工直至符合合同要求为止，由此造成的费用增加和（或）工期延误由承包人承担。</w:t>
      </w:r>
    </w:p>
    <w:p w14:paraId="5ABF78FE">
      <w:pPr>
        <w:spacing w:line="240" w:lineRule="auto"/>
        <w:ind w:firstLine="480" w:firstLineChars="200"/>
        <w:rPr>
          <w:color w:val="auto"/>
          <w:sz w:val="24"/>
        </w:rPr>
      </w:pPr>
      <w:r>
        <w:rPr>
          <w:color w:val="auto"/>
          <w:sz w:val="24"/>
        </w:rPr>
        <w:t xml:space="preserve">13.1.3 </w:t>
      </w:r>
      <w:r>
        <w:rPr>
          <w:rFonts w:hint="eastAsia"/>
          <w:color w:val="auto"/>
          <w:sz w:val="24"/>
        </w:rPr>
        <w:t>因发包人原因造成工程质量达不到合同约定验收标准的，发包人应承担由于承包人返工造成的费用增加和（或）工期延误，并支付承包人合理利润。</w:t>
      </w:r>
    </w:p>
    <w:p w14:paraId="68D099F4">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13.2 </w:t>
      </w:r>
      <w:r>
        <w:rPr>
          <w:rFonts w:hint="eastAsia" w:eastAsia="黑体"/>
          <w:bCs/>
          <w:color w:val="auto"/>
          <w:kern w:val="44"/>
          <w:sz w:val="24"/>
          <w:lang w:val="zh-CN"/>
        </w:rPr>
        <w:t>承包人的质量管理</w:t>
      </w:r>
    </w:p>
    <w:p w14:paraId="3D7CC95B">
      <w:pPr>
        <w:spacing w:line="240" w:lineRule="auto"/>
        <w:ind w:firstLine="480" w:firstLineChars="200"/>
        <w:rPr>
          <w:color w:val="auto"/>
          <w:sz w:val="24"/>
        </w:rPr>
      </w:pPr>
      <w:r>
        <w:rPr>
          <w:color w:val="auto"/>
          <w:sz w:val="24"/>
        </w:rPr>
        <w:t xml:space="preserve">13.2.1 </w:t>
      </w:r>
      <w:r>
        <w:rPr>
          <w:rFonts w:hint="eastAsia"/>
          <w:color w:val="auto"/>
          <w:sz w:val="24"/>
        </w:rPr>
        <w:t>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w:t>
      </w:r>
      <w:r>
        <w:rPr>
          <w:rFonts w:hint="eastAsia"/>
          <w:color w:val="auto"/>
          <w:sz w:val="24"/>
          <w:lang w:val="en-US" w:eastAsia="zh-CN"/>
        </w:rPr>
        <w:t>发包</w:t>
      </w:r>
      <w:r>
        <w:rPr>
          <w:rFonts w:hint="eastAsia"/>
          <w:color w:val="auto"/>
          <w:sz w:val="24"/>
        </w:rPr>
        <w:t>人审批。</w:t>
      </w:r>
    </w:p>
    <w:p w14:paraId="270D491C">
      <w:pPr>
        <w:spacing w:line="240" w:lineRule="auto"/>
        <w:ind w:firstLine="480" w:firstLineChars="200"/>
        <w:rPr>
          <w:color w:val="auto"/>
          <w:sz w:val="24"/>
        </w:rPr>
      </w:pPr>
      <w:r>
        <w:rPr>
          <w:color w:val="auto"/>
          <w:sz w:val="24"/>
        </w:rPr>
        <w:t xml:space="preserve">13.2.2 </w:t>
      </w:r>
      <w:r>
        <w:rPr>
          <w:rFonts w:hint="eastAsia"/>
          <w:color w:val="auto"/>
          <w:sz w:val="24"/>
        </w:rPr>
        <w:t>承包人应加强对施工人员的质量教育和技术培训，定期考核施工人员的劳动技能，严格执行规范和操作规程。</w:t>
      </w:r>
    </w:p>
    <w:p w14:paraId="622DE156">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13.3 </w:t>
      </w:r>
      <w:r>
        <w:rPr>
          <w:rFonts w:hint="eastAsia" w:eastAsia="黑体"/>
          <w:bCs/>
          <w:color w:val="auto"/>
          <w:kern w:val="44"/>
          <w:sz w:val="24"/>
          <w:lang w:val="zh-CN"/>
        </w:rPr>
        <w:t>承包人的质量检查</w:t>
      </w:r>
    </w:p>
    <w:p w14:paraId="7842117E">
      <w:pPr>
        <w:spacing w:line="240" w:lineRule="auto"/>
        <w:ind w:firstLine="480" w:firstLineChars="200"/>
        <w:rPr>
          <w:rFonts w:hint="eastAsia"/>
          <w:color w:val="auto"/>
          <w:sz w:val="24"/>
        </w:rPr>
      </w:pPr>
      <w:r>
        <w:rPr>
          <w:rFonts w:hint="eastAsia"/>
          <w:color w:val="auto"/>
          <w:sz w:val="24"/>
        </w:rPr>
        <w:t>承包人应按合同约定对材料、工程设备以及工程的所有部位及其施工工艺进行全过程的质量检查和检验，并作详细记录，编制工程质量报表，报送发包人审查。</w:t>
      </w:r>
    </w:p>
    <w:p w14:paraId="028D87C2">
      <w:pPr>
        <w:spacing w:line="240" w:lineRule="auto"/>
        <w:ind w:firstLine="470" w:firstLineChars="196"/>
        <w:rPr>
          <w:color w:val="auto"/>
          <w:sz w:val="24"/>
        </w:rPr>
      </w:pPr>
      <w:r>
        <w:rPr>
          <w:color w:val="auto"/>
          <w:sz w:val="24"/>
        </w:rPr>
        <w:t xml:space="preserve">13.5.4 </w:t>
      </w:r>
      <w:r>
        <w:rPr>
          <w:rFonts w:hint="eastAsia" w:eastAsia="黑体"/>
          <w:color w:val="auto"/>
          <w:sz w:val="24"/>
        </w:rPr>
        <w:t>承包人私自覆盖</w:t>
      </w:r>
    </w:p>
    <w:p w14:paraId="7C24BB75">
      <w:pPr>
        <w:spacing w:line="240" w:lineRule="auto"/>
        <w:ind w:firstLine="480" w:firstLineChars="200"/>
        <w:rPr>
          <w:rFonts w:hint="eastAsia"/>
          <w:color w:val="auto"/>
          <w:sz w:val="24"/>
        </w:rPr>
      </w:pPr>
      <w:r>
        <w:rPr>
          <w:rFonts w:hint="eastAsia"/>
          <w:color w:val="auto"/>
          <w:sz w:val="24"/>
        </w:rPr>
        <w:t>承包人未通知监理人到场检查，私自将工程隐蔽部位覆盖的，发包人有权指示承包人钻孔探测或揭开检查，由此增加的费用和（或）工期延误由承包人承担。</w:t>
      </w:r>
    </w:p>
    <w:p w14:paraId="10A5F2A6">
      <w:pPr>
        <w:keepNext/>
        <w:keepLines/>
        <w:spacing w:before="240" w:after="240" w:line="240" w:lineRule="auto"/>
        <w:ind w:firstLine="240" w:firstLineChars="100"/>
        <w:rPr>
          <w:rFonts w:eastAsia="黑体"/>
          <w:bCs/>
          <w:color w:val="auto"/>
          <w:kern w:val="44"/>
          <w:sz w:val="24"/>
          <w:lang w:val="zh-CN"/>
        </w:rPr>
      </w:pPr>
      <w:r>
        <w:rPr>
          <w:rFonts w:eastAsia="黑体"/>
          <w:bCs/>
          <w:color w:val="auto"/>
          <w:kern w:val="44"/>
          <w:sz w:val="24"/>
          <w:lang w:val="zh-CN"/>
        </w:rPr>
        <w:t xml:space="preserve">13.6 </w:t>
      </w:r>
      <w:r>
        <w:rPr>
          <w:rFonts w:hint="eastAsia" w:eastAsia="黑体"/>
          <w:bCs/>
          <w:color w:val="auto"/>
          <w:kern w:val="44"/>
          <w:sz w:val="24"/>
          <w:lang w:val="zh-CN"/>
        </w:rPr>
        <w:t>清除不合格工程</w:t>
      </w:r>
    </w:p>
    <w:p w14:paraId="698A0439">
      <w:pPr>
        <w:spacing w:line="240" w:lineRule="auto"/>
        <w:ind w:firstLine="480" w:firstLineChars="200"/>
        <w:rPr>
          <w:color w:val="auto"/>
          <w:sz w:val="24"/>
        </w:rPr>
      </w:pPr>
      <w:r>
        <w:rPr>
          <w:color w:val="auto"/>
          <w:sz w:val="24"/>
        </w:rPr>
        <w:t>13.6.1</w:t>
      </w:r>
      <w:r>
        <w:rPr>
          <w:rFonts w:hint="eastAsia"/>
          <w:color w:val="auto"/>
          <w:sz w:val="24"/>
        </w:rPr>
        <w:t>承包人使用不合格材料、工程设备，或采用不适当的施工工艺，或施工不当，造成工程不合格的，</w:t>
      </w:r>
      <w:r>
        <w:rPr>
          <w:rFonts w:hint="eastAsia"/>
          <w:color w:val="auto"/>
          <w:sz w:val="24"/>
          <w:lang w:val="en-US" w:eastAsia="zh-CN"/>
        </w:rPr>
        <w:t>发包</w:t>
      </w:r>
      <w:r>
        <w:rPr>
          <w:rFonts w:hint="eastAsia"/>
          <w:color w:val="auto"/>
          <w:sz w:val="24"/>
        </w:rPr>
        <w:t>人可以随时发出指示，要求承包人立即采取措施进行补救，直至达到合同要求的质量标准，由此增加的费用和（或）工期延误由承包人承担。</w:t>
      </w:r>
    </w:p>
    <w:p w14:paraId="41E3818B">
      <w:pPr>
        <w:spacing w:line="240" w:lineRule="auto"/>
        <w:ind w:firstLine="480" w:firstLineChars="200"/>
        <w:rPr>
          <w:color w:val="auto"/>
          <w:sz w:val="24"/>
        </w:rPr>
      </w:pPr>
      <w:r>
        <w:rPr>
          <w:color w:val="auto"/>
          <w:sz w:val="24"/>
        </w:rPr>
        <w:t>13.6.2</w:t>
      </w:r>
      <w:r>
        <w:rPr>
          <w:rFonts w:hint="eastAsia"/>
          <w:color w:val="auto"/>
          <w:sz w:val="24"/>
        </w:rPr>
        <w:t>由于发包人提供的材料或工程设备不合格造成的工程不合格，需要承包人采取措施补救的，发包人应承担由此增加的费用和（或）工期延误，并支付承包人合理利润。</w:t>
      </w:r>
    </w:p>
    <w:p w14:paraId="5A21F96C">
      <w:pPr>
        <w:keepNext/>
        <w:keepLines/>
        <w:spacing w:before="480" w:after="240" w:line="240" w:lineRule="auto"/>
        <w:outlineLvl w:val="2"/>
        <w:rPr>
          <w:rFonts w:eastAsia="黑体"/>
          <w:bCs/>
          <w:color w:val="auto"/>
          <w:kern w:val="44"/>
          <w:sz w:val="28"/>
          <w:szCs w:val="28"/>
          <w:lang w:val="zh-CN"/>
        </w:rPr>
      </w:pPr>
      <w:r>
        <w:rPr>
          <w:rFonts w:eastAsia="黑体"/>
          <w:bCs/>
          <w:color w:val="auto"/>
          <w:kern w:val="44"/>
          <w:sz w:val="28"/>
          <w:szCs w:val="28"/>
          <w:lang w:val="zh-CN"/>
        </w:rPr>
        <w:t xml:space="preserve">14. </w:t>
      </w:r>
      <w:r>
        <w:rPr>
          <w:rFonts w:hint="eastAsia" w:eastAsia="黑体"/>
          <w:bCs/>
          <w:color w:val="auto"/>
          <w:kern w:val="44"/>
          <w:sz w:val="28"/>
          <w:szCs w:val="28"/>
          <w:lang w:val="zh-CN"/>
        </w:rPr>
        <w:t>试验和检验</w:t>
      </w:r>
    </w:p>
    <w:p w14:paraId="01988ACF">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14.1 </w:t>
      </w:r>
      <w:r>
        <w:rPr>
          <w:rFonts w:hint="eastAsia" w:eastAsia="黑体"/>
          <w:bCs/>
          <w:color w:val="auto"/>
          <w:kern w:val="44"/>
          <w:sz w:val="24"/>
          <w:lang w:val="zh-CN"/>
        </w:rPr>
        <w:t>材料、工程设备和工程的试验和检验</w:t>
      </w:r>
    </w:p>
    <w:p w14:paraId="66A2BC32">
      <w:pPr>
        <w:spacing w:line="240" w:lineRule="auto"/>
        <w:ind w:firstLine="480" w:firstLineChars="200"/>
        <w:rPr>
          <w:color w:val="auto"/>
          <w:sz w:val="24"/>
        </w:rPr>
      </w:pPr>
      <w:r>
        <w:rPr>
          <w:color w:val="auto"/>
          <w:sz w:val="24"/>
        </w:rPr>
        <w:t xml:space="preserve">14.1.1 </w:t>
      </w:r>
      <w:r>
        <w:rPr>
          <w:rFonts w:hint="eastAsia"/>
          <w:color w:val="auto"/>
          <w:sz w:val="24"/>
        </w:rPr>
        <w:t>承包人应按合同约定进行材料、工程设备和工程的试验和检验，并为</w:t>
      </w:r>
      <w:r>
        <w:rPr>
          <w:rFonts w:hint="eastAsia"/>
          <w:color w:val="auto"/>
          <w:sz w:val="24"/>
          <w:lang w:val="en-US" w:eastAsia="zh-CN"/>
        </w:rPr>
        <w:t>发包</w:t>
      </w:r>
      <w:r>
        <w:rPr>
          <w:rFonts w:hint="eastAsia"/>
          <w:color w:val="auto"/>
          <w:sz w:val="24"/>
        </w:rPr>
        <w:t>人对上述材料、工程设备和工程的质量检查提供必要的试验资料和原始记录。按合同约定应由</w:t>
      </w:r>
      <w:r>
        <w:rPr>
          <w:rFonts w:hint="eastAsia"/>
          <w:color w:val="auto"/>
          <w:sz w:val="24"/>
          <w:lang w:val="en-US" w:eastAsia="zh-CN"/>
        </w:rPr>
        <w:t>发包</w:t>
      </w:r>
      <w:r>
        <w:rPr>
          <w:rFonts w:hint="eastAsia"/>
          <w:color w:val="auto"/>
          <w:sz w:val="24"/>
        </w:rPr>
        <w:t>人与承包人共同进行试验和检验的，由承包人负责提供必要的试验资料和原始记录。</w:t>
      </w:r>
    </w:p>
    <w:p w14:paraId="02F3772F">
      <w:pPr>
        <w:spacing w:line="240" w:lineRule="auto"/>
        <w:ind w:firstLine="480" w:firstLineChars="200"/>
        <w:rPr>
          <w:color w:val="auto"/>
          <w:sz w:val="24"/>
        </w:rPr>
      </w:pPr>
      <w:r>
        <w:rPr>
          <w:color w:val="auto"/>
          <w:sz w:val="24"/>
        </w:rPr>
        <w:t xml:space="preserve">14.1.2 </w:t>
      </w:r>
      <w:r>
        <w:rPr>
          <w:rFonts w:hint="eastAsia"/>
          <w:color w:val="auto"/>
          <w:sz w:val="24"/>
          <w:lang w:val="en-US" w:eastAsia="zh-CN"/>
        </w:rPr>
        <w:t>发包</w:t>
      </w:r>
      <w:r>
        <w:rPr>
          <w:rFonts w:hint="eastAsia"/>
          <w:color w:val="auto"/>
          <w:sz w:val="24"/>
        </w:rPr>
        <w:t>人未按合同约定派员参加试验和检验的，除发包人另有指示外，承包人可自行试验和检验，并应立即将试验和检验结果报送发包人，</w:t>
      </w:r>
      <w:r>
        <w:rPr>
          <w:rFonts w:hint="eastAsia"/>
          <w:color w:val="auto"/>
          <w:sz w:val="24"/>
          <w:lang w:val="en-US" w:eastAsia="zh-CN"/>
        </w:rPr>
        <w:t>发包</w:t>
      </w:r>
      <w:r>
        <w:rPr>
          <w:rFonts w:hint="eastAsia"/>
          <w:color w:val="auto"/>
          <w:sz w:val="24"/>
        </w:rPr>
        <w:t>人应签字确认。</w:t>
      </w:r>
    </w:p>
    <w:p w14:paraId="7BB6FEA3">
      <w:pPr>
        <w:spacing w:line="240" w:lineRule="auto"/>
        <w:ind w:firstLine="480" w:firstLineChars="200"/>
        <w:rPr>
          <w:color w:val="auto"/>
          <w:sz w:val="24"/>
        </w:rPr>
      </w:pPr>
      <w:r>
        <w:rPr>
          <w:color w:val="auto"/>
          <w:sz w:val="24"/>
        </w:rPr>
        <w:t xml:space="preserve">14.1.3 </w:t>
      </w:r>
      <w:r>
        <w:rPr>
          <w:rFonts w:hint="eastAsia"/>
          <w:color w:val="auto"/>
          <w:sz w:val="24"/>
          <w:lang w:val="en-US" w:eastAsia="zh-CN"/>
        </w:rPr>
        <w:t>发包</w:t>
      </w:r>
      <w:r>
        <w:rPr>
          <w:rFonts w:hint="eastAsia"/>
          <w:color w:val="auto"/>
          <w:sz w:val="24"/>
        </w:rPr>
        <w:t>人对承包人的试验和检验结果有疑问的，或为查清承包人试验和检验成果的可靠性要求承包人重新试验和检验的，可按合同约定由</w:t>
      </w:r>
      <w:r>
        <w:rPr>
          <w:rFonts w:hint="eastAsia"/>
          <w:color w:val="auto"/>
          <w:sz w:val="24"/>
          <w:lang w:val="en-US" w:eastAsia="zh-CN"/>
        </w:rPr>
        <w:t>发包</w:t>
      </w:r>
      <w:r>
        <w:rPr>
          <w:rFonts w:hint="eastAsia"/>
          <w:color w:val="auto"/>
          <w:sz w:val="24"/>
        </w:rPr>
        <w:t>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2E89F724">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14.2 </w:t>
      </w:r>
      <w:r>
        <w:rPr>
          <w:rFonts w:hint="eastAsia" w:eastAsia="黑体"/>
          <w:bCs/>
          <w:color w:val="auto"/>
          <w:kern w:val="44"/>
          <w:sz w:val="24"/>
          <w:lang w:val="zh-CN"/>
        </w:rPr>
        <w:t>现场材料试验</w:t>
      </w:r>
    </w:p>
    <w:p w14:paraId="5A16C1DB">
      <w:pPr>
        <w:spacing w:line="240" w:lineRule="auto"/>
        <w:ind w:firstLine="480" w:firstLineChars="200"/>
        <w:rPr>
          <w:color w:val="auto"/>
          <w:sz w:val="24"/>
        </w:rPr>
      </w:pPr>
      <w:r>
        <w:rPr>
          <w:color w:val="auto"/>
          <w:sz w:val="24"/>
        </w:rPr>
        <w:t xml:space="preserve">14.2.1 </w:t>
      </w:r>
      <w:r>
        <w:rPr>
          <w:rFonts w:hint="eastAsia"/>
          <w:color w:val="auto"/>
          <w:sz w:val="24"/>
        </w:rPr>
        <w:t>承包人根据合同约定现场材料试验，应由承包人提供试验场所、试验人员、试验设备器材以及其他必要的试验条件。</w:t>
      </w:r>
    </w:p>
    <w:p w14:paraId="64B640D8">
      <w:pPr>
        <w:spacing w:line="240" w:lineRule="auto"/>
        <w:ind w:firstLine="480" w:firstLineChars="200"/>
        <w:rPr>
          <w:color w:val="auto"/>
          <w:sz w:val="24"/>
        </w:rPr>
      </w:pPr>
      <w:r>
        <w:rPr>
          <w:color w:val="auto"/>
          <w:sz w:val="24"/>
        </w:rPr>
        <w:t xml:space="preserve">14.2.2 </w:t>
      </w:r>
      <w:r>
        <w:rPr>
          <w:rFonts w:hint="eastAsia"/>
          <w:color w:val="auto"/>
          <w:sz w:val="24"/>
          <w:lang w:val="en-US" w:eastAsia="zh-CN"/>
        </w:rPr>
        <w:t>发包</w:t>
      </w:r>
      <w:r>
        <w:rPr>
          <w:rFonts w:hint="eastAsia"/>
          <w:color w:val="auto"/>
          <w:sz w:val="24"/>
        </w:rPr>
        <w:t>人在必要时可以使用承包人的试验场所、试验设备器材以及其他试验条件，进行以工程质量检查为目的的复核性材料试验，承包人应予以协助。</w:t>
      </w:r>
    </w:p>
    <w:p w14:paraId="6EAC762D">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14.3 </w:t>
      </w:r>
      <w:r>
        <w:rPr>
          <w:rFonts w:hint="eastAsia" w:eastAsia="黑体"/>
          <w:bCs/>
          <w:color w:val="auto"/>
          <w:kern w:val="44"/>
          <w:sz w:val="24"/>
          <w:lang w:val="zh-CN"/>
        </w:rPr>
        <w:t>现场工艺试验</w:t>
      </w:r>
    </w:p>
    <w:p w14:paraId="5C994178">
      <w:pPr>
        <w:spacing w:line="240" w:lineRule="auto"/>
        <w:ind w:firstLine="480" w:firstLineChars="200"/>
        <w:rPr>
          <w:rFonts w:hint="eastAsia"/>
          <w:color w:val="auto"/>
          <w:sz w:val="24"/>
        </w:rPr>
      </w:pPr>
      <w:r>
        <w:rPr>
          <w:rFonts w:hint="eastAsia"/>
          <w:color w:val="auto"/>
          <w:sz w:val="24"/>
        </w:rPr>
        <w:t>承包人应按合同约定或发包人指示进行现场工艺试验。对大型的现场工艺试验，</w:t>
      </w:r>
      <w:r>
        <w:rPr>
          <w:rFonts w:hint="eastAsia"/>
          <w:color w:val="auto"/>
          <w:sz w:val="24"/>
          <w:lang w:val="en-US" w:eastAsia="zh-CN"/>
        </w:rPr>
        <w:t>发包</w:t>
      </w:r>
      <w:r>
        <w:rPr>
          <w:rFonts w:hint="eastAsia"/>
          <w:color w:val="auto"/>
          <w:sz w:val="24"/>
        </w:rPr>
        <w:t>人认为必要时，应由承包人根据</w:t>
      </w:r>
      <w:r>
        <w:rPr>
          <w:rFonts w:hint="eastAsia"/>
          <w:color w:val="auto"/>
          <w:sz w:val="24"/>
          <w:lang w:val="en-US" w:eastAsia="zh-CN"/>
        </w:rPr>
        <w:t>发包</w:t>
      </w:r>
      <w:r>
        <w:rPr>
          <w:rFonts w:hint="eastAsia"/>
          <w:color w:val="auto"/>
          <w:sz w:val="24"/>
        </w:rPr>
        <w:t>人提出的工艺试验要求，编制工艺试验措施计划，报送</w:t>
      </w:r>
      <w:r>
        <w:rPr>
          <w:rFonts w:hint="eastAsia"/>
          <w:color w:val="auto"/>
          <w:sz w:val="24"/>
          <w:lang w:val="en-US" w:eastAsia="zh-CN"/>
        </w:rPr>
        <w:t>发包</w:t>
      </w:r>
      <w:r>
        <w:rPr>
          <w:rFonts w:hint="eastAsia"/>
          <w:color w:val="auto"/>
          <w:sz w:val="24"/>
        </w:rPr>
        <w:t>人审批。</w:t>
      </w:r>
    </w:p>
    <w:p w14:paraId="77B988B0">
      <w:pPr>
        <w:keepNext/>
        <w:keepLines/>
        <w:spacing w:before="480" w:after="240" w:line="240" w:lineRule="auto"/>
        <w:outlineLvl w:val="2"/>
        <w:rPr>
          <w:rFonts w:eastAsia="黑体"/>
          <w:bCs/>
          <w:color w:val="auto"/>
          <w:kern w:val="44"/>
          <w:sz w:val="28"/>
          <w:szCs w:val="28"/>
          <w:lang w:val="zh-CN"/>
        </w:rPr>
      </w:pPr>
      <w:r>
        <w:rPr>
          <w:rFonts w:eastAsia="黑体"/>
          <w:bCs/>
          <w:color w:val="auto"/>
          <w:kern w:val="44"/>
          <w:sz w:val="28"/>
          <w:szCs w:val="28"/>
          <w:lang w:val="zh-CN"/>
        </w:rPr>
        <w:t xml:space="preserve">15. </w:t>
      </w:r>
      <w:r>
        <w:rPr>
          <w:rFonts w:hint="eastAsia" w:eastAsia="黑体"/>
          <w:bCs/>
          <w:color w:val="auto"/>
          <w:kern w:val="44"/>
          <w:sz w:val="28"/>
          <w:szCs w:val="28"/>
          <w:lang w:val="zh-CN"/>
        </w:rPr>
        <w:t>变更</w:t>
      </w:r>
    </w:p>
    <w:p w14:paraId="7F519E2A">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15.1 </w:t>
      </w:r>
      <w:r>
        <w:rPr>
          <w:rFonts w:hint="eastAsia" w:eastAsia="黑体"/>
          <w:bCs/>
          <w:color w:val="auto"/>
          <w:kern w:val="44"/>
          <w:sz w:val="24"/>
          <w:lang w:val="zh-CN"/>
        </w:rPr>
        <w:t>变更的范围和内容</w:t>
      </w:r>
    </w:p>
    <w:p w14:paraId="2BF17DD4">
      <w:pPr>
        <w:spacing w:line="240" w:lineRule="auto"/>
        <w:ind w:firstLine="480" w:firstLineChars="200"/>
        <w:rPr>
          <w:rFonts w:hint="eastAsia"/>
          <w:color w:val="auto"/>
          <w:sz w:val="24"/>
        </w:rPr>
      </w:pPr>
      <w:r>
        <w:rPr>
          <w:rFonts w:hint="eastAsia"/>
          <w:color w:val="auto"/>
          <w:sz w:val="24"/>
        </w:rPr>
        <w:t>除专用合同条款另有约定外，在履行合同中发生以下情形之一，应按照本条规定进行变更。</w:t>
      </w:r>
    </w:p>
    <w:p w14:paraId="28599F41">
      <w:pPr>
        <w:spacing w:line="240" w:lineRule="auto"/>
        <w:ind w:firstLine="480" w:firstLineChars="200"/>
        <w:rPr>
          <w:rFonts w:hint="eastAsia"/>
          <w:color w:val="auto"/>
          <w:sz w:val="24"/>
        </w:rPr>
      </w:pPr>
      <w:r>
        <w:rPr>
          <w:rFonts w:hint="eastAsia"/>
          <w:color w:val="auto"/>
          <w:sz w:val="24"/>
        </w:rPr>
        <w:t>（</w:t>
      </w:r>
      <w:r>
        <w:rPr>
          <w:color w:val="auto"/>
          <w:sz w:val="24"/>
        </w:rPr>
        <w:t>1</w:t>
      </w:r>
      <w:r>
        <w:rPr>
          <w:rFonts w:hint="eastAsia"/>
          <w:color w:val="auto"/>
          <w:sz w:val="24"/>
        </w:rPr>
        <w:t>）取消合同中任何一项工作，但被取消的工作不能转由发包人或其他人实施；</w:t>
      </w:r>
    </w:p>
    <w:p w14:paraId="25D9820B">
      <w:pPr>
        <w:spacing w:line="240" w:lineRule="auto"/>
        <w:ind w:firstLine="480" w:firstLineChars="200"/>
        <w:rPr>
          <w:rFonts w:hint="eastAsia"/>
          <w:color w:val="auto"/>
          <w:sz w:val="24"/>
        </w:rPr>
      </w:pPr>
      <w:r>
        <w:rPr>
          <w:rFonts w:hint="eastAsia"/>
          <w:color w:val="auto"/>
          <w:sz w:val="24"/>
        </w:rPr>
        <w:t>（</w:t>
      </w:r>
      <w:r>
        <w:rPr>
          <w:color w:val="auto"/>
          <w:sz w:val="24"/>
        </w:rPr>
        <w:t>2</w:t>
      </w:r>
      <w:r>
        <w:rPr>
          <w:rFonts w:hint="eastAsia"/>
          <w:color w:val="auto"/>
          <w:sz w:val="24"/>
        </w:rPr>
        <w:t>）改变合同中任何一项工作的质量或其他特性；</w:t>
      </w:r>
    </w:p>
    <w:p w14:paraId="5D521F20">
      <w:pPr>
        <w:spacing w:line="240" w:lineRule="auto"/>
        <w:ind w:firstLine="480" w:firstLineChars="200"/>
        <w:rPr>
          <w:rFonts w:hint="eastAsia"/>
          <w:color w:val="auto"/>
          <w:sz w:val="24"/>
        </w:rPr>
      </w:pPr>
      <w:r>
        <w:rPr>
          <w:rFonts w:hint="eastAsia"/>
          <w:color w:val="auto"/>
          <w:sz w:val="24"/>
        </w:rPr>
        <w:t>（</w:t>
      </w:r>
      <w:r>
        <w:rPr>
          <w:color w:val="auto"/>
          <w:sz w:val="24"/>
        </w:rPr>
        <w:t>3</w:t>
      </w:r>
      <w:r>
        <w:rPr>
          <w:rFonts w:hint="eastAsia"/>
          <w:color w:val="auto"/>
          <w:sz w:val="24"/>
        </w:rPr>
        <w:t>）改变合同工程的基线、标高、位置或尺寸；</w:t>
      </w:r>
    </w:p>
    <w:p w14:paraId="0091EC09">
      <w:pPr>
        <w:spacing w:line="240" w:lineRule="auto"/>
        <w:ind w:firstLine="480" w:firstLineChars="200"/>
        <w:rPr>
          <w:rFonts w:hint="eastAsia"/>
          <w:color w:val="auto"/>
          <w:sz w:val="24"/>
        </w:rPr>
      </w:pPr>
      <w:r>
        <w:rPr>
          <w:rFonts w:hint="eastAsia"/>
          <w:color w:val="auto"/>
          <w:sz w:val="24"/>
        </w:rPr>
        <w:t>（</w:t>
      </w:r>
      <w:r>
        <w:rPr>
          <w:color w:val="auto"/>
          <w:sz w:val="24"/>
        </w:rPr>
        <w:t>4</w:t>
      </w:r>
      <w:r>
        <w:rPr>
          <w:rFonts w:hint="eastAsia"/>
          <w:color w:val="auto"/>
          <w:sz w:val="24"/>
        </w:rPr>
        <w:t>）改变合同中任何一项工作的施工时间或改变已批准的施工工艺或顺序；</w:t>
      </w:r>
    </w:p>
    <w:p w14:paraId="67250B62">
      <w:pPr>
        <w:spacing w:line="240" w:lineRule="auto"/>
        <w:ind w:firstLine="480" w:firstLineChars="200"/>
        <w:rPr>
          <w:rFonts w:hint="eastAsia"/>
          <w:color w:val="auto"/>
          <w:sz w:val="24"/>
        </w:rPr>
      </w:pPr>
      <w:r>
        <w:rPr>
          <w:rFonts w:hint="eastAsia"/>
          <w:color w:val="auto"/>
          <w:sz w:val="24"/>
        </w:rPr>
        <w:t>（</w:t>
      </w:r>
      <w:r>
        <w:rPr>
          <w:color w:val="auto"/>
          <w:sz w:val="24"/>
        </w:rPr>
        <w:t>5</w:t>
      </w:r>
      <w:r>
        <w:rPr>
          <w:rFonts w:hint="eastAsia"/>
          <w:color w:val="auto"/>
          <w:sz w:val="24"/>
        </w:rPr>
        <w:t>）为完成工程需要追加的额外工作。</w:t>
      </w:r>
    </w:p>
    <w:p w14:paraId="6B8E9BA8">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15.2 </w:t>
      </w:r>
      <w:r>
        <w:rPr>
          <w:rFonts w:hint="eastAsia" w:eastAsia="黑体"/>
          <w:bCs/>
          <w:color w:val="auto"/>
          <w:kern w:val="44"/>
          <w:sz w:val="24"/>
          <w:lang w:val="zh-CN"/>
        </w:rPr>
        <w:t>变更权</w:t>
      </w:r>
    </w:p>
    <w:p w14:paraId="6A76E616">
      <w:pPr>
        <w:spacing w:line="240" w:lineRule="auto"/>
        <w:ind w:firstLine="480" w:firstLineChars="200"/>
        <w:rPr>
          <w:rFonts w:hint="eastAsia"/>
          <w:color w:val="auto"/>
          <w:sz w:val="24"/>
        </w:rPr>
      </w:pPr>
      <w:r>
        <w:rPr>
          <w:rFonts w:hint="eastAsia"/>
          <w:color w:val="auto"/>
          <w:sz w:val="24"/>
        </w:rPr>
        <w:t>在履行合同过程中，经发包人同意，</w:t>
      </w:r>
      <w:r>
        <w:rPr>
          <w:rFonts w:hint="eastAsia"/>
          <w:color w:val="auto"/>
          <w:sz w:val="24"/>
          <w:lang w:val="en-US" w:eastAsia="zh-CN"/>
        </w:rPr>
        <w:t>发包</w:t>
      </w:r>
      <w:r>
        <w:rPr>
          <w:rFonts w:hint="eastAsia"/>
          <w:color w:val="auto"/>
          <w:sz w:val="24"/>
        </w:rPr>
        <w:t>人可按第</w:t>
      </w:r>
      <w:r>
        <w:rPr>
          <w:color w:val="auto"/>
          <w:sz w:val="24"/>
        </w:rPr>
        <w:t>15.3</w:t>
      </w:r>
      <w:r>
        <w:rPr>
          <w:rFonts w:hint="eastAsia"/>
          <w:color w:val="auto"/>
          <w:sz w:val="24"/>
        </w:rPr>
        <w:t>款约定的变更程序向承包人作出变更指示，承包人应遵照执行。没有发包人的变更指示，承包人不得擅自变更。</w:t>
      </w:r>
    </w:p>
    <w:p w14:paraId="79B67E2B">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15.3 </w:t>
      </w:r>
      <w:r>
        <w:rPr>
          <w:rFonts w:hint="eastAsia" w:eastAsia="黑体"/>
          <w:bCs/>
          <w:color w:val="auto"/>
          <w:kern w:val="44"/>
          <w:sz w:val="24"/>
          <w:lang w:val="zh-CN"/>
        </w:rPr>
        <w:t>变更程序</w:t>
      </w:r>
    </w:p>
    <w:p w14:paraId="766FAB4E">
      <w:pPr>
        <w:spacing w:line="240" w:lineRule="auto"/>
        <w:ind w:firstLine="470" w:firstLineChars="196"/>
        <w:rPr>
          <w:color w:val="auto"/>
          <w:sz w:val="24"/>
        </w:rPr>
      </w:pPr>
      <w:r>
        <w:rPr>
          <w:color w:val="auto"/>
          <w:sz w:val="24"/>
        </w:rPr>
        <w:t xml:space="preserve">15.3.1 </w:t>
      </w:r>
      <w:r>
        <w:rPr>
          <w:rFonts w:hint="eastAsia" w:eastAsia="黑体"/>
          <w:color w:val="auto"/>
          <w:sz w:val="24"/>
        </w:rPr>
        <w:t>变更的提出</w:t>
      </w:r>
    </w:p>
    <w:p w14:paraId="398B09A1">
      <w:pPr>
        <w:spacing w:line="240" w:lineRule="auto"/>
        <w:ind w:firstLine="480" w:firstLineChars="200"/>
        <w:rPr>
          <w:rFonts w:hint="eastAsia"/>
          <w:color w:val="auto"/>
          <w:sz w:val="24"/>
        </w:rPr>
      </w:pPr>
      <w:r>
        <w:rPr>
          <w:rFonts w:hint="eastAsia"/>
          <w:color w:val="auto"/>
          <w:sz w:val="24"/>
        </w:rPr>
        <w:t>（</w:t>
      </w:r>
      <w:r>
        <w:rPr>
          <w:color w:val="auto"/>
          <w:sz w:val="24"/>
        </w:rPr>
        <w:t>1</w:t>
      </w:r>
      <w:r>
        <w:rPr>
          <w:rFonts w:hint="eastAsia"/>
          <w:color w:val="auto"/>
          <w:sz w:val="24"/>
        </w:rPr>
        <w:t>）在合同履行过程中，可能发生第</w:t>
      </w:r>
      <w:r>
        <w:rPr>
          <w:color w:val="auto"/>
          <w:sz w:val="24"/>
        </w:rPr>
        <w:t>15.1</w:t>
      </w:r>
      <w:r>
        <w:rPr>
          <w:rFonts w:hint="eastAsia"/>
          <w:color w:val="auto"/>
          <w:sz w:val="24"/>
        </w:rPr>
        <w:t>款约定情形的，</w:t>
      </w:r>
      <w:r>
        <w:rPr>
          <w:rFonts w:hint="eastAsia"/>
          <w:color w:val="auto"/>
          <w:sz w:val="24"/>
          <w:lang w:val="en-US" w:eastAsia="zh-CN"/>
        </w:rPr>
        <w:t>发包</w:t>
      </w:r>
      <w:r>
        <w:rPr>
          <w:rFonts w:hint="eastAsia"/>
          <w:color w:val="auto"/>
          <w:sz w:val="24"/>
        </w:rPr>
        <w:t>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w:t>
      </w:r>
      <w:r>
        <w:rPr>
          <w:rFonts w:hint="eastAsia"/>
          <w:color w:val="auto"/>
          <w:sz w:val="24"/>
          <w:lang w:val="en-US" w:eastAsia="zh-CN"/>
        </w:rPr>
        <w:t>发包</w:t>
      </w:r>
      <w:r>
        <w:rPr>
          <w:rFonts w:hint="eastAsia"/>
          <w:color w:val="auto"/>
          <w:sz w:val="24"/>
        </w:rPr>
        <w:t>人按第</w:t>
      </w:r>
      <w:r>
        <w:rPr>
          <w:color w:val="auto"/>
          <w:sz w:val="24"/>
        </w:rPr>
        <w:t>15.3.3</w:t>
      </w:r>
      <w:r>
        <w:rPr>
          <w:rFonts w:hint="eastAsia"/>
          <w:color w:val="auto"/>
          <w:sz w:val="24"/>
        </w:rPr>
        <w:t>项约定发出变更指示。</w:t>
      </w:r>
    </w:p>
    <w:p w14:paraId="110A0D8A">
      <w:pPr>
        <w:spacing w:line="240" w:lineRule="auto"/>
        <w:ind w:firstLine="480" w:firstLineChars="200"/>
        <w:rPr>
          <w:rFonts w:hint="eastAsia"/>
          <w:color w:val="auto"/>
          <w:sz w:val="24"/>
        </w:rPr>
      </w:pPr>
      <w:r>
        <w:rPr>
          <w:rFonts w:hint="eastAsia"/>
          <w:color w:val="auto"/>
          <w:sz w:val="24"/>
        </w:rPr>
        <w:t>（</w:t>
      </w:r>
      <w:r>
        <w:rPr>
          <w:color w:val="auto"/>
          <w:sz w:val="24"/>
        </w:rPr>
        <w:t>2</w:t>
      </w:r>
      <w:r>
        <w:rPr>
          <w:rFonts w:hint="eastAsia"/>
          <w:color w:val="auto"/>
          <w:sz w:val="24"/>
        </w:rPr>
        <w:t>）在合同履行过程中，发生第</w:t>
      </w:r>
      <w:r>
        <w:rPr>
          <w:color w:val="auto"/>
          <w:sz w:val="24"/>
        </w:rPr>
        <w:t>15.1</w:t>
      </w:r>
      <w:r>
        <w:rPr>
          <w:rFonts w:hint="eastAsia"/>
          <w:color w:val="auto"/>
          <w:sz w:val="24"/>
        </w:rPr>
        <w:t>款约定情形的，</w:t>
      </w:r>
      <w:r>
        <w:rPr>
          <w:rFonts w:hint="eastAsia"/>
          <w:color w:val="auto"/>
          <w:sz w:val="24"/>
          <w:lang w:val="en-US" w:eastAsia="zh-CN"/>
        </w:rPr>
        <w:t>发包</w:t>
      </w:r>
      <w:r>
        <w:rPr>
          <w:rFonts w:hint="eastAsia"/>
          <w:color w:val="auto"/>
          <w:sz w:val="24"/>
        </w:rPr>
        <w:t>人应按照第</w:t>
      </w:r>
      <w:r>
        <w:rPr>
          <w:color w:val="auto"/>
          <w:sz w:val="24"/>
        </w:rPr>
        <w:t>15.3.3</w:t>
      </w:r>
      <w:r>
        <w:rPr>
          <w:rFonts w:hint="eastAsia"/>
          <w:color w:val="auto"/>
          <w:sz w:val="24"/>
        </w:rPr>
        <w:t>项约定向承包人发出变更指示。</w:t>
      </w:r>
    </w:p>
    <w:p w14:paraId="0ACDDA94">
      <w:pPr>
        <w:spacing w:line="240" w:lineRule="auto"/>
        <w:ind w:firstLine="480" w:firstLineChars="200"/>
        <w:rPr>
          <w:rFonts w:hint="eastAsia"/>
          <w:color w:val="auto"/>
          <w:sz w:val="24"/>
        </w:rPr>
      </w:pPr>
      <w:r>
        <w:rPr>
          <w:rFonts w:hint="eastAsia"/>
          <w:color w:val="auto"/>
          <w:sz w:val="24"/>
        </w:rPr>
        <w:t>（</w:t>
      </w:r>
      <w:r>
        <w:rPr>
          <w:color w:val="auto"/>
          <w:sz w:val="24"/>
        </w:rPr>
        <w:t>3</w:t>
      </w:r>
      <w:r>
        <w:rPr>
          <w:rFonts w:hint="eastAsia"/>
          <w:color w:val="auto"/>
          <w:sz w:val="24"/>
        </w:rPr>
        <w:t>）承包人收到</w:t>
      </w:r>
      <w:r>
        <w:rPr>
          <w:rFonts w:hint="eastAsia"/>
          <w:color w:val="auto"/>
          <w:sz w:val="24"/>
          <w:lang w:val="en-US" w:eastAsia="zh-CN"/>
        </w:rPr>
        <w:t>发包</w:t>
      </w:r>
      <w:r>
        <w:rPr>
          <w:rFonts w:hint="eastAsia"/>
          <w:color w:val="auto"/>
          <w:sz w:val="24"/>
        </w:rPr>
        <w:t>人按合同约定发出的图纸和文件，经检查认为其中存在第</w:t>
      </w:r>
      <w:r>
        <w:rPr>
          <w:color w:val="auto"/>
          <w:sz w:val="24"/>
        </w:rPr>
        <w:t>15.1</w:t>
      </w:r>
      <w:r>
        <w:rPr>
          <w:rFonts w:hint="eastAsia"/>
          <w:color w:val="auto"/>
          <w:sz w:val="24"/>
        </w:rPr>
        <w:t>款约定情形的，可向</w:t>
      </w:r>
      <w:r>
        <w:rPr>
          <w:rFonts w:hint="eastAsia"/>
          <w:color w:val="auto"/>
          <w:sz w:val="24"/>
          <w:lang w:val="en-US" w:eastAsia="zh-CN"/>
        </w:rPr>
        <w:t>发包</w:t>
      </w:r>
      <w:r>
        <w:rPr>
          <w:rFonts w:hint="eastAsia"/>
          <w:color w:val="auto"/>
          <w:sz w:val="24"/>
        </w:rPr>
        <w:t>人提出书面变更建议。变更建议应阐明要求变更的依据，并附必要的图纸和说明。</w:t>
      </w:r>
      <w:r>
        <w:rPr>
          <w:rFonts w:hint="eastAsia"/>
          <w:color w:val="auto"/>
          <w:sz w:val="24"/>
          <w:lang w:val="en-US" w:eastAsia="zh-CN"/>
        </w:rPr>
        <w:t>发包</w:t>
      </w:r>
      <w:r>
        <w:rPr>
          <w:rFonts w:hint="eastAsia"/>
          <w:color w:val="auto"/>
          <w:sz w:val="24"/>
        </w:rPr>
        <w:t>人收到承包人书面建议后，确认存在变更的，应在收到承包人书面建议后的</w:t>
      </w:r>
      <w:r>
        <w:rPr>
          <w:color w:val="auto"/>
          <w:sz w:val="24"/>
        </w:rPr>
        <w:t>14</w:t>
      </w:r>
      <w:r>
        <w:rPr>
          <w:rFonts w:hint="eastAsia"/>
          <w:color w:val="auto"/>
          <w:sz w:val="24"/>
        </w:rPr>
        <w:t>天内作出变更指示。经研究后不同意作为变更的，应由</w:t>
      </w:r>
      <w:r>
        <w:rPr>
          <w:rFonts w:hint="eastAsia"/>
          <w:color w:val="auto"/>
          <w:sz w:val="24"/>
          <w:lang w:val="en-US" w:eastAsia="zh-CN"/>
        </w:rPr>
        <w:t>发包</w:t>
      </w:r>
      <w:r>
        <w:rPr>
          <w:rFonts w:hint="eastAsia"/>
          <w:color w:val="auto"/>
          <w:sz w:val="24"/>
        </w:rPr>
        <w:t>人书面答复承包人。</w:t>
      </w:r>
    </w:p>
    <w:p w14:paraId="2D071DB5">
      <w:pPr>
        <w:spacing w:line="240" w:lineRule="auto"/>
        <w:ind w:firstLine="480" w:firstLineChars="200"/>
        <w:rPr>
          <w:rFonts w:hint="eastAsia"/>
          <w:color w:val="auto"/>
          <w:sz w:val="24"/>
        </w:rPr>
      </w:pPr>
      <w:r>
        <w:rPr>
          <w:rFonts w:hint="eastAsia"/>
          <w:color w:val="auto"/>
          <w:sz w:val="24"/>
        </w:rPr>
        <w:t>（</w:t>
      </w:r>
      <w:r>
        <w:rPr>
          <w:color w:val="auto"/>
          <w:sz w:val="24"/>
        </w:rPr>
        <w:t>4</w:t>
      </w:r>
      <w:r>
        <w:rPr>
          <w:rFonts w:hint="eastAsia"/>
          <w:color w:val="auto"/>
          <w:sz w:val="24"/>
        </w:rPr>
        <w:t>）若承包人收到</w:t>
      </w:r>
      <w:r>
        <w:rPr>
          <w:rFonts w:hint="eastAsia"/>
          <w:color w:val="auto"/>
          <w:sz w:val="24"/>
          <w:lang w:val="en-US" w:eastAsia="zh-CN"/>
        </w:rPr>
        <w:t>发包</w:t>
      </w:r>
      <w:r>
        <w:rPr>
          <w:rFonts w:hint="eastAsia"/>
          <w:color w:val="auto"/>
          <w:sz w:val="24"/>
        </w:rPr>
        <w:t>人的变更意向书后认为难以实施此项变更，说明原因并附详细依据。</w:t>
      </w:r>
      <w:r>
        <w:rPr>
          <w:rFonts w:hint="eastAsia"/>
          <w:color w:val="auto"/>
          <w:sz w:val="24"/>
          <w:lang w:val="en-US" w:eastAsia="zh-CN"/>
        </w:rPr>
        <w:t>发包</w:t>
      </w:r>
      <w:r>
        <w:rPr>
          <w:rFonts w:hint="eastAsia"/>
          <w:color w:val="auto"/>
          <w:sz w:val="24"/>
        </w:rPr>
        <w:t>人与承包人和发包人协商后确定撤销、改变或不改变原变更意向书。</w:t>
      </w:r>
    </w:p>
    <w:p w14:paraId="03B1F721">
      <w:pPr>
        <w:spacing w:line="240" w:lineRule="auto"/>
        <w:ind w:firstLine="470" w:firstLineChars="196"/>
        <w:rPr>
          <w:color w:val="auto"/>
          <w:sz w:val="24"/>
        </w:rPr>
      </w:pPr>
      <w:r>
        <w:rPr>
          <w:color w:val="auto"/>
          <w:sz w:val="24"/>
        </w:rPr>
        <w:t xml:space="preserve">15.3.2 </w:t>
      </w:r>
      <w:r>
        <w:rPr>
          <w:rFonts w:hint="eastAsia" w:eastAsia="黑体"/>
          <w:color w:val="auto"/>
          <w:sz w:val="24"/>
        </w:rPr>
        <w:t>变更估价</w:t>
      </w:r>
    </w:p>
    <w:p w14:paraId="7FEE51A8">
      <w:pPr>
        <w:spacing w:line="240" w:lineRule="auto"/>
        <w:ind w:firstLine="480" w:firstLineChars="200"/>
        <w:rPr>
          <w:rFonts w:hint="eastAsia"/>
          <w:color w:val="auto"/>
          <w:sz w:val="24"/>
        </w:rPr>
      </w:pPr>
      <w:r>
        <w:rPr>
          <w:rFonts w:hint="eastAsia"/>
          <w:color w:val="auto"/>
          <w:sz w:val="24"/>
        </w:rPr>
        <w:t>（</w:t>
      </w:r>
      <w:r>
        <w:rPr>
          <w:color w:val="auto"/>
          <w:sz w:val="24"/>
        </w:rPr>
        <w:t>1</w:t>
      </w:r>
      <w:r>
        <w:rPr>
          <w:rFonts w:hint="eastAsia"/>
          <w:color w:val="auto"/>
          <w:sz w:val="24"/>
        </w:rPr>
        <w:t>）除专用合同条款对期限另有约定外，承包人应在收到变更指示或变更意向书后的</w:t>
      </w:r>
      <w:r>
        <w:rPr>
          <w:color w:val="auto"/>
          <w:sz w:val="24"/>
        </w:rPr>
        <w:t>14</w:t>
      </w:r>
      <w:r>
        <w:rPr>
          <w:rFonts w:hint="eastAsia"/>
          <w:color w:val="auto"/>
          <w:sz w:val="24"/>
        </w:rPr>
        <w:t>天内，向</w:t>
      </w:r>
      <w:r>
        <w:rPr>
          <w:rFonts w:hint="eastAsia"/>
          <w:color w:val="auto"/>
          <w:sz w:val="24"/>
          <w:lang w:val="en-US" w:eastAsia="zh-CN"/>
        </w:rPr>
        <w:t>发包人</w:t>
      </w:r>
      <w:r>
        <w:rPr>
          <w:rFonts w:hint="eastAsia"/>
          <w:color w:val="auto"/>
          <w:sz w:val="24"/>
        </w:rPr>
        <w:t>变更报价书，报价内容应根据第</w:t>
      </w:r>
      <w:r>
        <w:rPr>
          <w:color w:val="auto"/>
          <w:sz w:val="24"/>
        </w:rPr>
        <w:t>15.4</w:t>
      </w:r>
      <w:r>
        <w:rPr>
          <w:rFonts w:hint="eastAsia"/>
          <w:color w:val="auto"/>
          <w:sz w:val="24"/>
        </w:rPr>
        <w:t>款约定的估价原则，详细开列变更工作的价格组成及其依据，并附必要的施工方法说明和有关图纸。</w:t>
      </w:r>
    </w:p>
    <w:p w14:paraId="63CAA234">
      <w:pPr>
        <w:spacing w:line="240" w:lineRule="auto"/>
        <w:ind w:firstLine="480" w:firstLineChars="200"/>
        <w:rPr>
          <w:rFonts w:hint="eastAsia"/>
          <w:color w:val="auto"/>
          <w:sz w:val="24"/>
        </w:rPr>
      </w:pPr>
      <w:r>
        <w:rPr>
          <w:rFonts w:hint="eastAsia"/>
          <w:color w:val="auto"/>
          <w:sz w:val="24"/>
        </w:rPr>
        <w:t>（</w:t>
      </w:r>
      <w:r>
        <w:rPr>
          <w:color w:val="auto"/>
          <w:sz w:val="24"/>
        </w:rPr>
        <w:t>2</w:t>
      </w:r>
      <w:r>
        <w:rPr>
          <w:rFonts w:hint="eastAsia"/>
          <w:color w:val="auto"/>
          <w:sz w:val="24"/>
        </w:rPr>
        <w:t>）变更工作影响工期的，承包人应提出调整工期的具体细节。</w:t>
      </w:r>
      <w:r>
        <w:rPr>
          <w:rFonts w:hint="eastAsia"/>
          <w:color w:val="auto"/>
          <w:sz w:val="24"/>
          <w:lang w:val="en-US" w:eastAsia="zh-CN"/>
        </w:rPr>
        <w:t>发包</w:t>
      </w:r>
      <w:r>
        <w:rPr>
          <w:rFonts w:hint="eastAsia"/>
          <w:color w:val="auto"/>
          <w:sz w:val="24"/>
        </w:rPr>
        <w:t>人认为有必要时，可要求承包人提交要求提前或延长工期的施工进度计划及相应施工措施等详细资料。</w:t>
      </w:r>
    </w:p>
    <w:p w14:paraId="5FC401D1">
      <w:pPr>
        <w:spacing w:line="240" w:lineRule="auto"/>
        <w:ind w:firstLine="480" w:firstLineChars="200"/>
        <w:rPr>
          <w:rFonts w:hint="eastAsia"/>
          <w:color w:val="auto"/>
          <w:sz w:val="24"/>
        </w:rPr>
      </w:pPr>
      <w:r>
        <w:rPr>
          <w:rFonts w:hint="eastAsia"/>
          <w:color w:val="auto"/>
          <w:sz w:val="24"/>
        </w:rPr>
        <w:t>（</w:t>
      </w:r>
      <w:r>
        <w:rPr>
          <w:color w:val="auto"/>
          <w:sz w:val="24"/>
        </w:rPr>
        <w:t>3</w:t>
      </w:r>
      <w:r>
        <w:rPr>
          <w:rFonts w:hint="eastAsia"/>
          <w:color w:val="auto"/>
          <w:sz w:val="24"/>
        </w:rPr>
        <w:t>）除专用合同条款对期限另有约定外，发包人收到承包人变更报价书后的</w:t>
      </w:r>
      <w:r>
        <w:rPr>
          <w:color w:val="auto"/>
          <w:sz w:val="24"/>
        </w:rPr>
        <w:t>14</w:t>
      </w:r>
      <w:r>
        <w:rPr>
          <w:rFonts w:hint="eastAsia"/>
          <w:color w:val="auto"/>
          <w:sz w:val="24"/>
        </w:rPr>
        <w:t>天内，根据第</w:t>
      </w:r>
      <w:r>
        <w:rPr>
          <w:color w:val="auto"/>
          <w:sz w:val="24"/>
        </w:rPr>
        <w:t>15.4</w:t>
      </w:r>
      <w:r>
        <w:rPr>
          <w:rFonts w:hint="eastAsia"/>
          <w:color w:val="auto"/>
          <w:sz w:val="24"/>
        </w:rPr>
        <w:t>款约定的估价原则，按照第</w:t>
      </w:r>
      <w:r>
        <w:rPr>
          <w:color w:val="auto"/>
          <w:sz w:val="24"/>
        </w:rPr>
        <w:t>3.5</w:t>
      </w:r>
      <w:r>
        <w:rPr>
          <w:rFonts w:hint="eastAsia"/>
          <w:color w:val="auto"/>
          <w:sz w:val="24"/>
        </w:rPr>
        <w:t>款商定或确定变更价格。</w:t>
      </w:r>
    </w:p>
    <w:p w14:paraId="28BA68C8">
      <w:pPr>
        <w:spacing w:line="240" w:lineRule="auto"/>
        <w:ind w:firstLine="470" w:firstLineChars="196"/>
        <w:rPr>
          <w:color w:val="auto"/>
          <w:sz w:val="24"/>
        </w:rPr>
      </w:pPr>
      <w:r>
        <w:rPr>
          <w:color w:val="auto"/>
          <w:sz w:val="24"/>
        </w:rPr>
        <w:t>15.3.3</w:t>
      </w:r>
      <w:r>
        <w:rPr>
          <w:rFonts w:eastAsia="黑体"/>
          <w:color w:val="auto"/>
          <w:sz w:val="24"/>
        </w:rPr>
        <w:t xml:space="preserve"> </w:t>
      </w:r>
      <w:r>
        <w:rPr>
          <w:rFonts w:hint="eastAsia" w:eastAsia="黑体"/>
          <w:color w:val="auto"/>
          <w:sz w:val="24"/>
        </w:rPr>
        <w:t>变更指示</w:t>
      </w:r>
    </w:p>
    <w:p w14:paraId="6B7CBF82">
      <w:pPr>
        <w:spacing w:line="240" w:lineRule="auto"/>
        <w:ind w:firstLine="480" w:firstLineChars="200"/>
        <w:rPr>
          <w:rFonts w:hint="eastAsia"/>
          <w:color w:val="auto"/>
          <w:sz w:val="24"/>
        </w:rPr>
      </w:pPr>
      <w:r>
        <w:rPr>
          <w:rFonts w:hint="eastAsia"/>
          <w:color w:val="auto"/>
          <w:sz w:val="24"/>
        </w:rPr>
        <w:t>（</w:t>
      </w:r>
      <w:r>
        <w:rPr>
          <w:color w:val="auto"/>
          <w:sz w:val="24"/>
        </w:rPr>
        <w:t>1</w:t>
      </w:r>
      <w:r>
        <w:rPr>
          <w:rFonts w:hint="eastAsia"/>
          <w:color w:val="auto"/>
          <w:sz w:val="24"/>
        </w:rPr>
        <w:t>）变更指示只能由发包人发出。</w:t>
      </w:r>
    </w:p>
    <w:p w14:paraId="294E8E42">
      <w:pPr>
        <w:spacing w:line="240" w:lineRule="auto"/>
        <w:ind w:firstLine="480" w:firstLineChars="200"/>
        <w:rPr>
          <w:rFonts w:hint="eastAsia"/>
          <w:color w:val="auto"/>
          <w:sz w:val="24"/>
        </w:rPr>
      </w:pPr>
      <w:r>
        <w:rPr>
          <w:rFonts w:hint="eastAsia"/>
          <w:color w:val="auto"/>
          <w:sz w:val="24"/>
        </w:rPr>
        <w:t>（</w:t>
      </w:r>
      <w:r>
        <w:rPr>
          <w:color w:val="auto"/>
          <w:sz w:val="24"/>
        </w:rPr>
        <w:t>2</w:t>
      </w:r>
      <w:r>
        <w:rPr>
          <w:rFonts w:hint="eastAsia"/>
          <w:color w:val="auto"/>
          <w:sz w:val="24"/>
        </w:rPr>
        <w:t>）变更指示应说明变更的目的、范围、变更内容以及变更的工程量及其进度和技术要求，并附有关图纸和文件。承包人收到变更指示后，应按变更指示进行变更工作。</w:t>
      </w:r>
    </w:p>
    <w:p w14:paraId="46AC3716">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15.4 </w:t>
      </w:r>
      <w:r>
        <w:rPr>
          <w:rFonts w:hint="eastAsia" w:eastAsia="黑体"/>
          <w:bCs/>
          <w:color w:val="auto"/>
          <w:kern w:val="44"/>
          <w:sz w:val="24"/>
          <w:lang w:val="zh-CN"/>
        </w:rPr>
        <w:t>变更的估价原则</w:t>
      </w:r>
      <w:r>
        <w:rPr>
          <w:rFonts w:eastAsia="黑体"/>
          <w:bCs/>
          <w:color w:val="auto"/>
          <w:kern w:val="44"/>
          <w:sz w:val="24"/>
          <w:lang w:val="zh-CN"/>
        </w:rPr>
        <w:t xml:space="preserve"> </w:t>
      </w:r>
    </w:p>
    <w:p w14:paraId="00BAACC8">
      <w:pPr>
        <w:spacing w:line="240" w:lineRule="auto"/>
        <w:rPr>
          <w:color w:val="auto"/>
          <w:sz w:val="24"/>
        </w:rPr>
      </w:pPr>
      <w:r>
        <w:rPr>
          <w:color w:val="auto"/>
          <w:sz w:val="24"/>
        </w:rPr>
        <w:t xml:space="preserve">    </w:t>
      </w:r>
      <w:r>
        <w:rPr>
          <w:rFonts w:hint="eastAsia"/>
          <w:color w:val="auto"/>
          <w:sz w:val="24"/>
        </w:rPr>
        <w:t>除专用合同条款另有约定外，因变更引起的价格调整按照本款约定处理。</w:t>
      </w:r>
    </w:p>
    <w:p w14:paraId="4163D064">
      <w:pPr>
        <w:spacing w:line="240" w:lineRule="auto"/>
        <w:ind w:firstLine="480" w:firstLineChars="200"/>
        <w:rPr>
          <w:color w:val="auto"/>
          <w:sz w:val="24"/>
        </w:rPr>
      </w:pPr>
      <w:r>
        <w:rPr>
          <w:color w:val="auto"/>
          <w:sz w:val="24"/>
        </w:rPr>
        <w:t xml:space="preserve">15.4.1 </w:t>
      </w:r>
      <w:r>
        <w:rPr>
          <w:rFonts w:hint="eastAsia"/>
          <w:color w:val="auto"/>
          <w:sz w:val="24"/>
        </w:rPr>
        <w:t>已标价工程量清单中有适用于变更工作的子目的，采用该子目的单价。</w:t>
      </w:r>
    </w:p>
    <w:p w14:paraId="543219A4">
      <w:pPr>
        <w:spacing w:line="240" w:lineRule="auto"/>
        <w:ind w:firstLine="480" w:firstLineChars="200"/>
        <w:rPr>
          <w:color w:val="auto"/>
          <w:sz w:val="24"/>
        </w:rPr>
      </w:pPr>
      <w:r>
        <w:rPr>
          <w:color w:val="auto"/>
          <w:sz w:val="24"/>
        </w:rPr>
        <w:t xml:space="preserve">15.4.2 </w:t>
      </w:r>
      <w:r>
        <w:rPr>
          <w:rFonts w:hint="eastAsia"/>
          <w:color w:val="auto"/>
          <w:sz w:val="24"/>
        </w:rPr>
        <w:t>已标价工程量清单中无适用于变更工作的子目，但有类似子目的，可在合理范围内参照类似子目的单价，由发包人按第</w:t>
      </w:r>
      <w:r>
        <w:rPr>
          <w:color w:val="auto"/>
          <w:sz w:val="24"/>
        </w:rPr>
        <w:t>3.5</w:t>
      </w:r>
      <w:r>
        <w:rPr>
          <w:rFonts w:hint="eastAsia"/>
          <w:color w:val="auto"/>
          <w:sz w:val="24"/>
        </w:rPr>
        <w:t>款商定或确定变更工作的单价。</w:t>
      </w:r>
    </w:p>
    <w:p w14:paraId="70E26848">
      <w:pPr>
        <w:spacing w:line="240" w:lineRule="auto"/>
        <w:ind w:firstLine="480" w:firstLineChars="200"/>
        <w:rPr>
          <w:color w:val="auto"/>
          <w:sz w:val="24"/>
        </w:rPr>
      </w:pPr>
      <w:r>
        <w:rPr>
          <w:color w:val="auto"/>
          <w:sz w:val="24"/>
        </w:rPr>
        <w:t xml:space="preserve">15.4.3 </w:t>
      </w:r>
      <w:r>
        <w:rPr>
          <w:rFonts w:hint="eastAsia"/>
          <w:color w:val="auto"/>
          <w:sz w:val="24"/>
        </w:rPr>
        <w:t>已标价工程量清单中无适用或类似子目的单价，可按照成本加利润的原则，由</w:t>
      </w:r>
      <w:r>
        <w:rPr>
          <w:rFonts w:hint="eastAsia"/>
          <w:color w:val="auto"/>
          <w:sz w:val="24"/>
          <w:lang w:val="en-US" w:eastAsia="zh-CN"/>
        </w:rPr>
        <w:t>发包</w:t>
      </w:r>
      <w:r>
        <w:rPr>
          <w:rFonts w:hint="eastAsia"/>
          <w:color w:val="auto"/>
          <w:sz w:val="24"/>
        </w:rPr>
        <w:t>人按第</w:t>
      </w:r>
      <w:r>
        <w:rPr>
          <w:color w:val="auto"/>
          <w:sz w:val="24"/>
        </w:rPr>
        <w:t>3.5</w:t>
      </w:r>
      <w:r>
        <w:rPr>
          <w:rFonts w:hint="eastAsia"/>
          <w:color w:val="auto"/>
          <w:sz w:val="24"/>
        </w:rPr>
        <w:t>款商定或确定变更工作的单价。</w:t>
      </w:r>
    </w:p>
    <w:p w14:paraId="6A63ECCB">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15.5 </w:t>
      </w:r>
      <w:r>
        <w:rPr>
          <w:rFonts w:hint="eastAsia" w:eastAsia="黑体"/>
          <w:bCs/>
          <w:color w:val="auto"/>
          <w:kern w:val="44"/>
          <w:sz w:val="24"/>
          <w:lang w:val="zh-CN"/>
        </w:rPr>
        <w:t>承包人的合理化建议</w:t>
      </w:r>
    </w:p>
    <w:p w14:paraId="0CB5CAD0">
      <w:pPr>
        <w:spacing w:line="240" w:lineRule="auto"/>
        <w:ind w:firstLine="480" w:firstLineChars="200"/>
        <w:rPr>
          <w:color w:val="auto"/>
          <w:sz w:val="24"/>
        </w:rPr>
      </w:pPr>
      <w:r>
        <w:rPr>
          <w:color w:val="auto"/>
          <w:sz w:val="24"/>
        </w:rPr>
        <w:t xml:space="preserve">15.5.1 </w:t>
      </w:r>
      <w:r>
        <w:rPr>
          <w:rFonts w:hint="eastAsia"/>
          <w:color w:val="auto"/>
          <w:sz w:val="24"/>
        </w:rPr>
        <w:t>在履行合同过程中，承包人对发包人提供的图纸、技术要求以及其他方面提出的合理化建议，均应以书面形式提交</w:t>
      </w:r>
      <w:r>
        <w:rPr>
          <w:rFonts w:hint="eastAsia"/>
          <w:color w:val="auto"/>
          <w:sz w:val="24"/>
          <w:lang w:val="en-US" w:eastAsia="zh-CN"/>
        </w:rPr>
        <w:t>发包人</w:t>
      </w:r>
      <w:r>
        <w:rPr>
          <w:rFonts w:hint="eastAsia"/>
          <w:color w:val="auto"/>
          <w:sz w:val="24"/>
        </w:rPr>
        <w:t>。合理化建议书的内容应包括建议工作的详细说明、进度计划和效益以及与其他工作的协调等，并附必要的设计文件。</w:t>
      </w:r>
      <w:r>
        <w:rPr>
          <w:rFonts w:hint="eastAsia"/>
          <w:color w:val="auto"/>
          <w:sz w:val="24"/>
          <w:lang w:val="en-US" w:eastAsia="zh-CN"/>
        </w:rPr>
        <w:t>发包</w:t>
      </w:r>
      <w:r>
        <w:rPr>
          <w:rFonts w:hint="eastAsia"/>
          <w:color w:val="auto"/>
          <w:sz w:val="24"/>
        </w:rPr>
        <w:t>人应与发包人协商是否采纳建议。建议被采纳并构成变更的，应按第</w:t>
      </w:r>
      <w:r>
        <w:rPr>
          <w:color w:val="auto"/>
          <w:sz w:val="24"/>
        </w:rPr>
        <w:t>15.3.3</w:t>
      </w:r>
      <w:r>
        <w:rPr>
          <w:rFonts w:hint="eastAsia"/>
          <w:color w:val="auto"/>
          <w:sz w:val="24"/>
        </w:rPr>
        <w:t>项约定向承包人发出变更指示。</w:t>
      </w:r>
    </w:p>
    <w:p w14:paraId="4014FBB8">
      <w:pPr>
        <w:spacing w:line="240" w:lineRule="auto"/>
        <w:ind w:firstLine="390"/>
        <w:rPr>
          <w:color w:val="auto"/>
          <w:sz w:val="24"/>
        </w:rPr>
      </w:pPr>
      <w:r>
        <w:rPr>
          <w:color w:val="auto"/>
          <w:sz w:val="24"/>
        </w:rPr>
        <w:t xml:space="preserve">15.5.2 </w:t>
      </w:r>
      <w:r>
        <w:rPr>
          <w:rFonts w:hint="eastAsia"/>
          <w:color w:val="auto"/>
          <w:sz w:val="24"/>
        </w:rPr>
        <w:t>承包人提出的合理化建议降低了合同价格、缩短了工期或者提高了工程经济效益的，发包人可按国家有关规定在专用合同条款中约定给予奖励。</w:t>
      </w:r>
    </w:p>
    <w:p w14:paraId="75F0560B">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15.6 </w:t>
      </w:r>
      <w:r>
        <w:rPr>
          <w:rFonts w:hint="eastAsia" w:eastAsia="黑体"/>
          <w:bCs/>
          <w:color w:val="auto"/>
          <w:kern w:val="44"/>
          <w:sz w:val="24"/>
          <w:lang w:val="zh-CN"/>
        </w:rPr>
        <w:t>暂列金额</w:t>
      </w:r>
    </w:p>
    <w:p w14:paraId="0FA883EB">
      <w:pPr>
        <w:spacing w:line="240" w:lineRule="auto"/>
        <w:ind w:firstLine="390"/>
        <w:rPr>
          <w:rFonts w:hint="eastAsia"/>
          <w:color w:val="auto"/>
          <w:sz w:val="24"/>
        </w:rPr>
      </w:pPr>
      <w:r>
        <w:rPr>
          <w:rFonts w:hint="eastAsia"/>
          <w:color w:val="auto"/>
          <w:sz w:val="24"/>
        </w:rPr>
        <w:t>暂列金额只能按照</w:t>
      </w:r>
      <w:r>
        <w:rPr>
          <w:rFonts w:hint="eastAsia"/>
          <w:color w:val="auto"/>
          <w:sz w:val="24"/>
          <w:lang w:val="en-US" w:eastAsia="zh-CN"/>
        </w:rPr>
        <w:t>发包</w:t>
      </w:r>
      <w:r>
        <w:rPr>
          <w:rFonts w:hint="eastAsia"/>
          <w:color w:val="auto"/>
          <w:sz w:val="24"/>
        </w:rPr>
        <w:t>人的指示使用，并对合同价格进行相应调整。</w:t>
      </w:r>
    </w:p>
    <w:p w14:paraId="2C08C534">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15.7 </w:t>
      </w:r>
      <w:r>
        <w:rPr>
          <w:rFonts w:hint="eastAsia" w:eastAsia="黑体"/>
          <w:bCs/>
          <w:color w:val="auto"/>
          <w:kern w:val="44"/>
          <w:sz w:val="24"/>
          <w:lang w:val="zh-CN"/>
        </w:rPr>
        <w:t>计日工</w:t>
      </w:r>
    </w:p>
    <w:p w14:paraId="3BA57E64">
      <w:pPr>
        <w:spacing w:line="240" w:lineRule="auto"/>
        <w:ind w:firstLine="480" w:firstLineChars="200"/>
        <w:rPr>
          <w:color w:val="auto"/>
          <w:sz w:val="24"/>
        </w:rPr>
      </w:pPr>
      <w:r>
        <w:rPr>
          <w:color w:val="auto"/>
          <w:sz w:val="24"/>
        </w:rPr>
        <w:t xml:space="preserve">15.7.1 </w:t>
      </w:r>
      <w:r>
        <w:rPr>
          <w:rFonts w:hint="eastAsia"/>
          <w:color w:val="auto"/>
          <w:sz w:val="24"/>
        </w:rPr>
        <w:t>发包人认为有必要时，由</w:t>
      </w:r>
      <w:r>
        <w:rPr>
          <w:rFonts w:hint="eastAsia"/>
          <w:color w:val="auto"/>
          <w:sz w:val="24"/>
          <w:lang w:val="en-US" w:eastAsia="zh-CN"/>
        </w:rPr>
        <w:t>发包</w:t>
      </w:r>
      <w:r>
        <w:rPr>
          <w:rFonts w:hint="eastAsia"/>
          <w:color w:val="auto"/>
          <w:sz w:val="24"/>
        </w:rPr>
        <w:t>人通知承包人以计日工方式实施变更的零星工作。其价款按列入已标价工程量清单中的计日工计价子目及其单价进行计算。</w:t>
      </w:r>
    </w:p>
    <w:p w14:paraId="60942AA4">
      <w:pPr>
        <w:spacing w:line="240" w:lineRule="auto"/>
        <w:ind w:firstLine="480" w:firstLineChars="200"/>
        <w:rPr>
          <w:color w:val="auto"/>
          <w:sz w:val="24"/>
        </w:rPr>
      </w:pPr>
      <w:r>
        <w:rPr>
          <w:color w:val="auto"/>
          <w:sz w:val="24"/>
        </w:rPr>
        <w:t xml:space="preserve">15.7.2 </w:t>
      </w:r>
      <w:r>
        <w:rPr>
          <w:rFonts w:hint="eastAsia"/>
          <w:color w:val="auto"/>
          <w:sz w:val="24"/>
        </w:rPr>
        <w:t>采用计日工计价的任何一项变更工作，应从暂列金额中支付，承包人应在该项变更的实施过程中，每天提交以下报表和有关凭证报送</w:t>
      </w:r>
      <w:r>
        <w:rPr>
          <w:rFonts w:hint="eastAsia"/>
          <w:color w:val="auto"/>
          <w:sz w:val="24"/>
          <w:lang w:val="en-US" w:eastAsia="zh-CN"/>
        </w:rPr>
        <w:t>发包</w:t>
      </w:r>
      <w:r>
        <w:rPr>
          <w:rFonts w:hint="eastAsia"/>
          <w:color w:val="auto"/>
          <w:sz w:val="24"/>
        </w:rPr>
        <w:t>人审批：</w:t>
      </w:r>
    </w:p>
    <w:p w14:paraId="6267AC7C">
      <w:pPr>
        <w:spacing w:line="240" w:lineRule="auto"/>
        <w:ind w:firstLine="480" w:firstLineChars="200"/>
        <w:rPr>
          <w:rFonts w:hint="eastAsia"/>
          <w:color w:val="auto"/>
          <w:sz w:val="24"/>
        </w:rPr>
      </w:pPr>
      <w:r>
        <w:rPr>
          <w:rFonts w:hint="eastAsia"/>
          <w:color w:val="auto"/>
          <w:sz w:val="24"/>
        </w:rPr>
        <w:t>（</w:t>
      </w:r>
      <w:r>
        <w:rPr>
          <w:color w:val="auto"/>
          <w:sz w:val="24"/>
        </w:rPr>
        <w:t>1</w:t>
      </w:r>
      <w:r>
        <w:rPr>
          <w:rFonts w:hint="eastAsia"/>
          <w:color w:val="auto"/>
          <w:sz w:val="24"/>
        </w:rPr>
        <w:t>）工作名称、内容和数量；</w:t>
      </w:r>
    </w:p>
    <w:p w14:paraId="1B3ACDF0">
      <w:pPr>
        <w:spacing w:line="240" w:lineRule="auto"/>
        <w:ind w:firstLine="480" w:firstLineChars="200"/>
        <w:rPr>
          <w:rFonts w:hint="eastAsia"/>
          <w:color w:val="auto"/>
          <w:sz w:val="24"/>
        </w:rPr>
      </w:pPr>
      <w:r>
        <w:rPr>
          <w:rFonts w:hint="eastAsia"/>
          <w:color w:val="auto"/>
          <w:sz w:val="24"/>
        </w:rPr>
        <w:t>（</w:t>
      </w:r>
      <w:r>
        <w:rPr>
          <w:color w:val="auto"/>
          <w:sz w:val="24"/>
        </w:rPr>
        <w:t>2</w:t>
      </w:r>
      <w:r>
        <w:rPr>
          <w:rFonts w:hint="eastAsia"/>
          <w:color w:val="auto"/>
          <w:sz w:val="24"/>
        </w:rPr>
        <w:t>）投入该工作所有人员的姓名、工种、级别和耗用工时；</w:t>
      </w:r>
    </w:p>
    <w:p w14:paraId="3BE7CCFF">
      <w:pPr>
        <w:spacing w:line="240" w:lineRule="auto"/>
        <w:ind w:firstLine="480" w:firstLineChars="200"/>
        <w:rPr>
          <w:rFonts w:hint="eastAsia"/>
          <w:color w:val="auto"/>
          <w:sz w:val="24"/>
        </w:rPr>
      </w:pPr>
      <w:r>
        <w:rPr>
          <w:rFonts w:hint="eastAsia"/>
          <w:color w:val="auto"/>
          <w:sz w:val="24"/>
        </w:rPr>
        <w:t>（</w:t>
      </w:r>
      <w:r>
        <w:rPr>
          <w:color w:val="auto"/>
          <w:sz w:val="24"/>
        </w:rPr>
        <w:t>3</w:t>
      </w:r>
      <w:r>
        <w:rPr>
          <w:rFonts w:hint="eastAsia"/>
          <w:color w:val="auto"/>
          <w:sz w:val="24"/>
        </w:rPr>
        <w:t>）投入该工作的材料类别和数量；</w:t>
      </w:r>
    </w:p>
    <w:p w14:paraId="17006B52">
      <w:pPr>
        <w:spacing w:line="240" w:lineRule="auto"/>
        <w:ind w:firstLine="480" w:firstLineChars="200"/>
        <w:rPr>
          <w:rFonts w:hint="eastAsia"/>
          <w:color w:val="auto"/>
          <w:sz w:val="24"/>
        </w:rPr>
      </w:pPr>
      <w:r>
        <w:rPr>
          <w:rFonts w:hint="eastAsia"/>
          <w:color w:val="auto"/>
          <w:sz w:val="24"/>
        </w:rPr>
        <w:t>（</w:t>
      </w:r>
      <w:r>
        <w:rPr>
          <w:color w:val="auto"/>
          <w:sz w:val="24"/>
        </w:rPr>
        <w:t>4</w:t>
      </w:r>
      <w:r>
        <w:rPr>
          <w:rFonts w:hint="eastAsia"/>
          <w:color w:val="auto"/>
          <w:sz w:val="24"/>
        </w:rPr>
        <w:t>）投入该工作的施工设备型号、台数和耗用台时；</w:t>
      </w:r>
    </w:p>
    <w:p w14:paraId="79BB548C">
      <w:pPr>
        <w:spacing w:line="240" w:lineRule="auto"/>
        <w:ind w:firstLine="480" w:firstLineChars="200"/>
        <w:rPr>
          <w:rFonts w:hint="eastAsia"/>
          <w:color w:val="auto"/>
          <w:sz w:val="24"/>
        </w:rPr>
      </w:pPr>
      <w:r>
        <w:rPr>
          <w:rFonts w:hint="eastAsia"/>
          <w:color w:val="auto"/>
          <w:sz w:val="24"/>
        </w:rPr>
        <w:t>（</w:t>
      </w:r>
      <w:r>
        <w:rPr>
          <w:color w:val="auto"/>
          <w:sz w:val="24"/>
        </w:rPr>
        <w:t>5</w:t>
      </w:r>
      <w:r>
        <w:rPr>
          <w:rFonts w:hint="eastAsia"/>
          <w:color w:val="auto"/>
          <w:sz w:val="24"/>
        </w:rPr>
        <w:t>）</w:t>
      </w:r>
      <w:r>
        <w:rPr>
          <w:rFonts w:hint="eastAsia"/>
          <w:color w:val="auto"/>
          <w:sz w:val="24"/>
          <w:lang w:val="en-US" w:eastAsia="zh-CN"/>
        </w:rPr>
        <w:t>发包</w:t>
      </w:r>
      <w:r>
        <w:rPr>
          <w:rFonts w:hint="eastAsia"/>
          <w:color w:val="auto"/>
          <w:sz w:val="24"/>
        </w:rPr>
        <w:t>人要求提交的其他资料和凭证。</w:t>
      </w:r>
    </w:p>
    <w:p w14:paraId="24D9D6E0">
      <w:pPr>
        <w:spacing w:line="240" w:lineRule="auto"/>
        <w:ind w:firstLine="480" w:firstLineChars="200"/>
        <w:rPr>
          <w:color w:val="auto"/>
          <w:sz w:val="24"/>
        </w:rPr>
      </w:pPr>
      <w:r>
        <w:rPr>
          <w:color w:val="auto"/>
          <w:sz w:val="24"/>
        </w:rPr>
        <w:t xml:space="preserve">15.7.3 </w:t>
      </w:r>
      <w:r>
        <w:rPr>
          <w:rFonts w:hint="eastAsia"/>
          <w:color w:val="auto"/>
          <w:sz w:val="24"/>
        </w:rPr>
        <w:t>计日工由承包人汇总后，按第</w:t>
      </w:r>
      <w:r>
        <w:rPr>
          <w:color w:val="auto"/>
          <w:sz w:val="24"/>
        </w:rPr>
        <w:t>17.3.2</w:t>
      </w:r>
      <w:r>
        <w:rPr>
          <w:rFonts w:hint="eastAsia"/>
          <w:color w:val="auto"/>
          <w:sz w:val="24"/>
        </w:rPr>
        <w:t>项的约定列入进度付款申请单，由</w:t>
      </w:r>
      <w:r>
        <w:rPr>
          <w:rFonts w:hint="eastAsia"/>
          <w:color w:val="auto"/>
          <w:sz w:val="24"/>
          <w:lang w:val="en-US" w:eastAsia="zh-CN"/>
        </w:rPr>
        <w:t>发包</w:t>
      </w:r>
      <w:r>
        <w:rPr>
          <w:rFonts w:hint="eastAsia"/>
          <w:color w:val="auto"/>
          <w:sz w:val="24"/>
        </w:rPr>
        <w:t>人复核并经发包人同意后列入进度付款。</w:t>
      </w:r>
    </w:p>
    <w:p w14:paraId="68361CAB">
      <w:pPr>
        <w:keepNext/>
        <w:keepLines/>
        <w:spacing w:before="240" w:after="240" w:line="240" w:lineRule="auto"/>
        <w:rPr>
          <w:rFonts w:eastAsia="黑体"/>
          <w:bCs/>
          <w:color w:val="auto"/>
          <w:kern w:val="44"/>
          <w:sz w:val="24"/>
          <w:lang w:val="zh-CN"/>
        </w:rPr>
      </w:pPr>
      <w:r>
        <w:rPr>
          <w:rFonts w:eastAsia="黑体"/>
          <w:bCs/>
          <w:color w:val="auto"/>
          <w:kern w:val="44"/>
          <w:sz w:val="24"/>
          <w:lang w:val="zh-CN"/>
        </w:rPr>
        <w:t>15.8</w:t>
      </w:r>
      <w:r>
        <w:rPr>
          <w:rFonts w:hint="eastAsia" w:eastAsia="黑体"/>
          <w:bCs/>
          <w:color w:val="auto"/>
          <w:kern w:val="44"/>
          <w:sz w:val="24"/>
          <w:lang w:val="zh-CN"/>
        </w:rPr>
        <w:t>暂估价</w:t>
      </w:r>
    </w:p>
    <w:p w14:paraId="3DF6881F">
      <w:pPr>
        <w:spacing w:line="240" w:lineRule="auto"/>
        <w:ind w:firstLine="480" w:firstLineChars="200"/>
        <w:rPr>
          <w:color w:val="auto"/>
          <w:sz w:val="24"/>
        </w:rPr>
      </w:pPr>
      <w:r>
        <w:rPr>
          <w:color w:val="auto"/>
          <w:sz w:val="24"/>
        </w:rPr>
        <w:t xml:space="preserve">15.8.1 </w:t>
      </w:r>
      <w:r>
        <w:rPr>
          <w:rFonts w:hint="eastAsia"/>
          <w:color w:val="auto"/>
          <w:sz w:val="24"/>
        </w:rPr>
        <w:t>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14:paraId="2D061669">
      <w:pPr>
        <w:spacing w:line="240" w:lineRule="auto"/>
        <w:ind w:firstLine="480" w:firstLineChars="200"/>
        <w:rPr>
          <w:color w:val="auto"/>
          <w:sz w:val="24"/>
        </w:rPr>
      </w:pPr>
      <w:r>
        <w:rPr>
          <w:color w:val="auto"/>
          <w:sz w:val="24"/>
        </w:rPr>
        <w:t>15.8.2</w:t>
      </w:r>
      <w:r>
        <w:rPr>
          <w:rFonts w:hint="eastAsia"/>
          <w:color w:val="auto"/>
          <w:sz w:val="24"/>
        </w:rPr>
        <w:t>发包人在工程量清单中给定暂估价的材料和工程设备不属于依法必须招标的范围或未达到规定的规模标准的，应由承包人按第</w:t>
      </w:r>
      <w:r>
        <w:rPr>
          <w:color w:val="auto"/>
          <w:sz w:val="24"/>
        </w:rPr>
        <w:t>5.1</w:t>
      </w:r>
      <w:r>
        <w:rPr>
          <w:rFonts w:hint="eastAsia"/>
          <w:color w:val="auto"/>
          <w:sz w:val="24"/>
        </w:rPr>
        <w:t>款的约定提供。经</w:t>
      </w:r>
      <w:r>
        <w:rPr>
          <w:rFonts w:hint="eastAsia"/>
          <w:color w:val="auto"/>
          <w:sz w:val="24"/>
          <w:lang w:val="en-US" w:eastAsia="zh-CN"/>
        </w:rPr>
        <w:t>发包</w:t>
      </w:r>
      <w:r>
        <w:rPr>
          <w:rFonts w:hint="eastAsia"/>
          <w:color w:val="auto"/>
          <w:sz w:val="24"/>
        </w:rPr>
        <w:t>人确认的材料、工程设备的价格与工程量清单中所列的暂估价的金额差以及相应的税金等其他费用列入合同价格。</w:t>
      </w:r>
    </w:p>
    <w:p w14:paraId="6054F46B">
      <w:pPr>
        <w:spacing w:line="240" w:lineRule="auto"/>
        <w:ind w:firstLine="480" w:firstLineChars="200"/>
        <w:rPr>
          <w:color w:val="auto"/>
          <w:sz w:val="24"/>
        </w:rPr>
      </w:pPr>
      <w:r>
        <w:rPr>
          <w:color w:val="auto"/>
          <w:sz w:val="24"/>
        </w:rPr>
        <w:t>15.8.3</w:t>
      </w:r>
      <w:r>
        <w:rPr>
          <w:rFonts w:hint="eastAsia"/>
          <w:color w:val="auto"/>
          <w:sz w:val="24"/>
        </w:rPr>
        <w:t>发包人在工程量清单中给定暂估价的专业工程不属于依法必须招标的范围或未达到规定的规模标准的，由</w:t>
      </w:r>
      <w:r>
        <w:rPr>
          <w:rFonts w:hint="eastAsia"/>
          <w:color w:val="auto"/>
          <w:sz w:val="24"/>
          <w:lang w:val="en-US" w:eastAsia="zh-CN"/>
        </w:rPr>
        <w:t>发包</w:t>
      </w:r>
      <w:r>
        <w:rPr>
          <w:rFonts w:hint="eastAsia"/>
          <w:color w:val="auto"/>
          <w:sz w:val="24"/>
        </w:rPr>
        <w:t>人按照第</w:t>
      </w:r>
      <w:r>
        <w:rPr>
          <w:color w:val="auto"/>
          <w:sz w:val="24"/>
        </w:rPr>
        <w:t>15.4</w:t>
      </w:r>
      <w:r>
        <w:rPr>
          <w:rFonts w:hint="eastAsia"/>
          <w:color w:val="auto"/>
          <w:sz w:val="24"/>
        </w:rPr>
        <w:t>款进行估价，但专用合同条款另有约定的除外。经估价的专业工程与工程量清单中所列的暂估价的金额差以及相应的税金等其他费用列入合同价格。</w:t>
      </w:r>
    </w:p>
    <w:p w14:paraId="3331296D">
      <w:pPr>
        <w:keepNext/>
        <w:keepLines/>
        <w:spacing w:before="480" w:after="240" w:line="240" w:lineRule="auto"/>
        <w:outlineLvl w:val="2"/>
        <w:rPr>
          <w:rFonts w:eastAsia="黑体"/>
          <w:bCs/>
          <w:color w:val="auto"/>
          <w:kern w:val="44"/>
          <w:sz w:val="28"/>
          <w:szCs w:val="28"/>
          <w:lang w:val="zh-CN"/>
        </w:rPr>
      </w:pPr>
      <w:r>
        <w:rPr>
          <w:rFonts w:eastAsia="黑体"/>
          <w:bCs/>
          <w:color w:val="auto"/>
          <w:kern w:val="44"/>
          <w:sz w:val="28"/>
          <w:szCs w:val="28"/>
          <w:lang w:val="zh-CN"/>
        </w:rPr>
        <w:t xml:space="preserve">16. </w:t>
      </w:r>
      <w:r>
        <w:rPr>
          <w:rFonts w:hint="eastAsia" w:eastAsia="黑体"/>
          <w:bCs/>
          <w:color w:val="auto"/>
          <w:kern w:val="44"/>
          <w:sz w:val="28"/>
          <w:szCs w:val="28"/>
          <w:lang w:val="zh-CN"/>
        </w:rPr>
        <w:t>价格调整</w:t>
      </w:r>
    </w:p>
    <w:p w14:paraId="0FA624EB">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16.1 </w:t>
      </w:r>
      <w:r>
        <w:rPr>
          <w:rFonts w:hint="eastAsia" w:eastAsia="黑体"/>
          <w:bCs/>
          <w:color w:val="auto"/>
          <w:kern w:val="44"/>
          <w:sz w:val="24"/>
          <w:lang w:val="zh-CN"/>
        </w:rPr>
        <w:t>物价波动引起的价格调整</w:t>
      </w:r>
    </w:p>
    <w:p w14:paraId="556962B0">
      <w:pPr>
        <w:spacing w:line="240" w:lineRule="auto"/>
        <w:ind w:firstLine="480" w:firstLineChars="200"/>
        <w:rPr>
          <w:rFonts w:hint="eastAsia"/>
          <w:color w:val="auto"/>
          <w:sz w:val="24"/>
        </w:rPr>
      </w:pPr>
      <w:r>
        <w:rPr>
          <w:rFonts w:hint="eastAsia"/>
          <w:color w:val="auto"/>
          <w:sz w:val="24"/>
        </w:rPr>
        <w:t>除专用合同条款另有约定外，因物价波动引起的价格调整按照本款约定处理。</w:t>
      </w:r>
    </w:p>
    <w:p w14:paraId="30142BC2">
      <w:pPr>
        <w:spacing w:line="240" w:lineRule="auto"/>
        <w:ind w:firstLine="470" w:firstLineChars="196"/>
        <w:rPr>
          <w:color w:val="auto"/>
          <w:sz w:val="24"/>
        </w:rPr>
      </w:pPr>
      <w:r>
        <w:rPr>
          <w:color w:val="auto"/>
          <w:sz w:val="24"/>
        </w:rPr>
        <w:t xml:space="preserve">16.1.1 </w:t>
      </w:r>
      <w:r>
        <w:rPr>
          <w:rFonts w:hint="eastAsia" w:eastAsia="黑体"/>
          <w:color w:val="auto"/>
          <w:sz w:val="24"/>
        </w:rPr>
        <w:t>采用价格指数调整价格差额</w:t>
      </w:r>
    </w:p>
    <w:p w14:paraId="78433576">
      <w:pPr>
        <w:spacing w:line="240" w:lineRule="auto"/>
        <w:ind w:firstLine="470" w:firstLineChars="196"/>
        <w:rPr>
          <w:rFonts w:eastAsia="黑体"/>
          <w:color w:val="auto"/>
          <w:sz w:val="24"/>
        </w:rPr>
      </w:pPr>
      <w:r>
        <w:rPr>
          <w:rFonts w:eastAsia="黑体"/>
          <w:color w:val="auto"/>
          <w:sz w:val="24"/>
        </w:rPr>
        <w:t xml:space="preserve">16.1.1.1 </w:t>
      </w:r>
      <w:r>
        <w:rPr>
          <w:rFonts w:hint="eastAsia" w:eastAsia="黑体"/>
          <w:color w:val="auto"/>
          <w:sz w:val="24"/>
        </w:rPr>
        <w:t>价格调整公式</w:t>
      </w:r>
    </w:p>
    <w:p w14:paraId="07F6CF19">
      <w:pPr>
        <w:spacing w:line="240" w:lineRule="auto"/>
        <w:ind w:firstLine="480" w:firstLineChars="200"/>
        <w:rPr>
          <w:rFonts w:hint="eastAsia"/>
          <w:color w:val="auto"/>
          <w:sz w:val="24"/>
        </w:rPr>
      </w:pPr>
      <w:r>
        <w:rPr>
          <w:rFonts w:hint="eastAsia"/>
          <w:color w:val="auto"/>
          <w:sz w:val="24"/>
        </w:rPr>
        <w:t>因人工、材料和设备等价格波动影响合同价格时，根据投标函附录中的价格指数和权重表约定的数据，按以下公式计算差额并调整合同价格：</w:t>
      </w:r>
    </w:p>
    <w:p w14:paraId="152389F0">
      <w:pPr>
        <w:autoSpaceDE w:val="0"/>
        <w:autoSpaceDN w:val="0"/>
        <w:spacing w:line="240" w:lineRule="auto"/>
        <w:ind w:right="249"/>
        <w:jc w:val="center"/>
        <w:rPr>
          <w:b/>
          <w:bCs/>
          <w:color w:val="auto"/>
          <w:kern w:val="0"/>
          <w:position w:val="-34"/>
          <w:sz w:val="24"/>
          <w:lang w:val="zh-CN"/>
        </w:rPr>
      </w:pPr>
      <w:r>
        <w:rPr>
          <w:b/>
          <w:bCs/>
          <w:color w:val="auto"/>
          <w:kern w:val="0"/>
          <w:position w:val="-34"/>
          <w:sz w:val="24"/>
          <w:lang w:val="zh-CN"/>
        </w:rPr>
        <w:drawing>
          <wp:inline distT="0" distB="0" distL="0" distR="0">
            <wp:extent cx="4570095" cy="656590"/>
            <wp:effectExtent l="0" t="0" r="1905" b="10795"/>
            <wp:docPr id="1" name="_x0000_i7171"/>
            <wp:cNvGraphicFramePr/>
            <a:graphic xmlns:a="http://schemas.openxmlformats.org/drawingml/2006/main">
              <a:graphicData uri="http://schemas.openxmlformats.org/drawingml/2006/picture">
                <pic:pic xmlns:pic="http://schemas.openxmlformats.org/drawingml/2006/picture">
                  <pic:nvPicPr>
                    <pic:cNvPr id="1" name="_x0000_i7171"/>
                    <pic:cNvPicPr/>
                  </pic:nvPicPr>
                  <pic:blipFill>
                    <a:blip r:embed="rId8"/>
                    <a:stretch>
                      <a:fillRect/>
                    </a:stretch>
                  </pic:blipFill>
                  <pic:spPr>
                    <a:xfrm>
                      <a:off x="0" y="0"/>
                      <a:ext cx="4570628" cy="657037"/>
                    </a:xfrm>
                    <a:prstGeom prst="rect">
                      <a:avLst/>
                    </a:prstGeom>
                  </pic:spPr>
                </pic:pic>
              </a:graphicData>
            </a:graphic>
          </wp:inline>
        </w:drawing>
      </w:r>
    </w:p>
    <w:p w14:paraId="149B6325">
      <w:pPr>
        <w:spacing w:line="240" w:lineRule="auto"/>
        <w:rPr>
          <w:rFonts w:hint="eastAsia"/>
          <w:color w:val="auto"/>
          <w:sz w:val="24"/>
        </w:rPr>
      </w:pPr>
      <w:r>
        <w:rPr>
          <w:rFonts w:hint="eastAsia"/>
          <w:color w:val="auto"/>
          <w:sz w:val="24"/>
        </w:rPr>
        <w:t>式中：</w:t>
      </w:r>
      <w:r>
        <w:rPr>
          <w:color w:val="auto"/>
          <w:sz w:val="24"/>
        </w:rPr>
        <w:t xml:space="preserve"> </w:t>
      </w:r>
      <w:r>
        <w:rPr>
          <w:rFonts w:hint="eastAsia" w:ascii="Cambria Math" w:hAnsi="Cambria Math"/>
          <w:b/>
          <w:color w:val="auto"/>
          <w:sz w:val="24"/>
        </w:rPr>
        <w:t>△</w:t>
      </w:r>
      <w:r>
        <w:rPr>
          <w:b/>
          <w:color w:val="auto"/>
          <w:sz w:val="24"/>
        </w:rPr>
        <w:t>P</w:t>
      </w:r>
      <w:r>
        <w:rPr>
          <w:color w:val="auto"/>
          <w:sz w:val="24"/>
        </w:rPr>
        <w:t xml:space="preserve">-- </w:t>
      </w:r>
      <w:r>
        <w:rPr>
          <w:rFonts w:hint="eastAsia"/>
          <w:color w:val="auto"/>
          <w:sz w:val="24"/>
        </w:rPr>
        <w:t>需调整的价格差额；</w:t>
      </w:r>
    </w:p>
    <w:p w14:paraId="38B738CD">
      <w:pPr>
        <w:spacing w:line="240" w:lineRule="auto"/>
        <w:rPr>
          <w:color w:val="auto"/>
          <w:sz w:val="24"/>
        </w:rPr>
      </w:pPr>
      <w:r>
        <w:rPr>
          <w:color w:val="auto"/>
          <w:sz w:val="24"/>
        </w:rPr>
        <w:t xml:space="preserve">      </w:t>
      </w:r>
      <w:r>
        <w:rPr>
          <w:b/>
          <w:bCs/>
          <w:color w:val="auto"/>
          <w:sz w:val="24"/>
          <w:lang w:val="zh-CN"/>
        </w:rPr>
        <w:t xml:space="preserve"> P</w:t>
      </w:r>
      <w:r>
        <w:rPr>
          <w:b/>
          <w:bCs/>
          <w:color w:val="auto"/>
          <w:sz w:val="24"/>
          <w:vertAlign w:val="subscript"/>
          <w:lang w:val="zh-CN"/>
        </w:rPr>
        <w:t xml:space="preserve">0 </w:t>
      </w:r>
      <w:r>
        <w:rPr>
          <w:color w:val="auto"/>
          <w:sz w:val="24"/>
        </w:rPr>
        <w:t xml:space="preserve"> -- </w:t>
      </w:r>
      <w:r>
        <w:rPr>
          <w:rFonts w:hint="eastAsia"/>
          <w:color w:val="auto"/>
          <w:sz w:val="24"/>
        </w:rPr>
        <w:t>第</w:t>
      </w:r>
      <w:r>
        <w:rPr>
          <w:color w:val="auto"/>
          <w:sz w:val="24"/>
        </w:rPr>
        <w:t>17.3.3</w:t>
      </w:r>
      <w:r>
        <w:rPr>
          <w:rFonts w:hint="eastAsia"/>
          <w:color w:val="auto"/>
          <w:sz w:val="24"/>
        </w:rPr>
        <w:t>项、第</w:t>
      </w:r>
      <w:r>
        <w:rPr>
          <w:color w:val="auto"/>
          <w:sz w:val="24"/>
        </w:rPr>
        <w:t>17.5.2</w:t>
      </w:r>
      <w:r>
        <w:rPr>
          <w:rFonts w:hint="eastAsia"/>
          <w:color w:val="auto"/>
          <w:sz w:val="24"/>
        </w:rPr>
        <w:t>项和第</w:t>
      </w:r>
      <w:r>
        <w:rPr>
          <w:color w:val="auto"/>
          <w:sz w:val="24"/>
        </w:rPr>
        <w:t>17.6.2</w:t>
      </w:r>
      <w:r>
        <w:rPr>
          <w:rFonts w:hint="eastAsia"/>
          <w:color w:val="auto"/>
          <w:sz w:val="24"/>
        </w:rPr>
        <w:t>项约定的付款证书中承包人应得到的已完成工程量的金额。此项金额应不包括价格调整、不计质量保证金的扣留和支付、预付款的支付和扣回。第</w:t>
      </w:r>
      <w:r>
        <w:rPr>
          <w:color w:val="auto"/>
          <w:sz w:val="24"/>
        </w:rPr>
        <w:t>15</w:t>
      </w:r>
      <w:r>
        <w:rPr>
          <w:rFonts w:hint="eastAsia"/>
          <w:color w:val="auto"/>
          <w:sz w:val="24"/>
        </w:rPr>
        <w:t>条约定的变更及其他金额已按现行价格计价的，也不计在内；</w:t>
      </w:r>
    </w:p>
    <w:p w14:paraId="0DEA1B74">
      <w:pPr>
        <w:spacing w:line="240" w:lineRule="auto"/>
        <w:rPr>
          <w:color w:val="auto"/>
          <w:sz w:val="24"/>
        </w:rPr>
      </w:pPr>
      <w:r>
        <w:rPr>
          <w:color w:val="auto"/>
          <w:sz w:val="24"/>
        </w:rPr>
        <w:t xml:space="preserve">      </w:t>
      </w:r>
      <w:r>
        <w:rPr>
          <w:b/>
          <w:bCs/>
          <w:color w:val="auto"/>
          <w:sz w:val="24"/>
          <w:lang w:val="zh-CN"/>
        </w:rPr>
        <w:t xml:space="preserve"> A</w:t>
      </w:r>
      <w:r>
        <w:rPr>
          <w:color w:val="auto"/>
          <w:sz w:val="24"/>
        </w:rPr>
        <w:t xml:space="preserve"> -- </w:t>
      </w:r>
      <w:r>
        <w:rPr>
          <w:rFonts w:hint="eastAsia"/>
          <w:color w:val="auto"/>
          <w:sz w:val="24"/>
        </w:rPr>
        <w:t>定值权重（即不调部分的权重）；</w:t>
      </w:r>
    </w:p>
    <w:p w14:paraId="7C382E7A">
      <w:pPr>
        <w:spacing w:line="240" w:lineRule="auto"/>
        <w:rPr>
          <w:color w:val="auto"/>
          <w:sz w:val="24"/>
        </w:rPr>
      </w:pPr>
      <w:r>
        <w:rPr>
          <w:color w:val="auto"/>
          <w:sz w:val="24"/>
        </w:rPr>
        <w:t xml:space="preserve">      </w:t>
      </w:r>
      <w:r>
        <w:rPr>
          <w:b/>
          <w:bCs/>
          <w:color w:val="auto"/>
          <w:sz w:val="24"/>
        </w:rPr>
        <w:t xml:space="preserve"> B</w:t>
      </w:r>
      <w:r>
        <w:rPr>
          <w:b/>
          <w:bCs/>
          <w:color w:val="auto"/>
          <w:sz w:val="24"/>
          <w:vertAlign w:val="subscript"/>
        </w:rPr>
        <w:t>1</w:t>
      </w:r>
      <w:r>
        <w:rPr>
          <w:b/>
          <w:bCs/>
          <w:color w:val="auto"/>
          <w:sz w:val="24"/>
          <w:vertAlign w:val="subscript"/>
          <w:lang w:val="zh-CN"/>
        </w:rPr>
        <w:t xml:space="preserve">; </w:t>
      </w:r>
      <w:r>
        <w:rPr>
          <w:b/>
          <w:bCs/>
          <w:color w:val="auto"/>
          <w:sz w:val="24"/>
        </w:rPr>
        <w:t>B</w:t>
      </w:r>
      <w:r>
        <w:rPr>
          <w:b/>
          <w:bCs/>
          <w:color w:val="auto"/>
          <w:sz w:val="24"/>
          <w:vertAlign w:val="subscript"/>
        </w:rPr>
        <w:t>2</w:t>
      </w:r>
      <w:r>
        <w:rPr>
          <w:b/>
          <w:bCs/>
          <w:color w:val="auto"/>
          <w:sz w:val="24"/>
          <w:vertAlign w:val="subscript"/>
          <w:lang w:val="zh-CN"/>
        </w:rPr>
        <w:t xml:space="preserve">; </w:t>
      </w:r>
      <w:r>
        <w:rPr>
          <w:b/>
          <w:bCs/>
          <w:color w:val="auto"/>
          <w:sz w:val="24"/>
        </w:rPr>
        <w:t>B</w:t>
      </w:r>
      <w:r>
        <w:rPr>
          <w:b/>
          <w:bCs/>
          <w:color w:val="auto"/>
          <w:sz w:val="24"/>
          <w:vertAlign w:val="subscript"/>
        </w:rPr>
        <w:t>3……</w:t>
      </w:r>
      <w:r>
        <w:rPr>
          <w:b/>
          <w:bCs/>
          <w:color w:val="auto"/>
          <w:sz w:val="24"/>
          <w:lang w:val="zh-CN"/>
        </w:rPr>
        <w:t>B</w:t>
      </w:r>
      <w:r>
        <w:rPr>
          <w:b/>
          <w:bCs/>
          <w:color w:val="auto"/>
          <w:sz w:val="24"/>
          <w:vertAlign w:val="subscript"/>
          <w:lang w:val="zh-CN"/>
        </w:rPr>
        <w:t>n</w:t>
      </w:r>
      <w:r>
        <w:rPr>
          <w:color w:val="auto"/>
          <w:sz w:val="24"/>
          <w:vertAlign w:val="subscript"/>
        </w:rPr>
        <w:t xml:space="preserve"> </w:t>
      </w:r>
      <w:r>
        <w:rPr>
          <w:color w:val="auto"/>
          <w:sz w:val="24"/>
        </w:rPr>
        <w:t xml:space="preserve"> -- </w:t>
      </w:r>
      <w:r>
        <w:rPr>
          <w:rFonts w:hint="eastAsia"/>
          <w:color w:val="auto"/>
          <w:sz w:val="24"/>
        </w:rPr>
        <w:t>各可调因子的变值权重（即可调部分的权重）为各可调因子在投标函投标总报价中所占的比例；</w:t>
      </w:r>
    </w:p>
    <w:p w14:paraId="35DAF947">
      <w:pPr>
        <w:spacing w:line="240" w:lineRule="auto"/>
        <w:rPr>
          <w:color w:val="auto"/>
          <w:sz w:val="24"/>
        </w:rPr>
      </w:pPr>
      <w:r>
        <w:rPr>
          <w:color w:val="auto"/>
          <w:sz w:val="24"/>
        </w:rPr>
        <w:t xml:space="preserve">      </w:t>
      </w:r>
      <w:r>
        <w:rPr>
          <w:b/>
          <w:bCs/>
          <w:color w:val="auto"/>
          <w:sz w:val="24"/>
          <w:lang w:val="zh-CN"/>
        </w:rPr>
        <w:t xml:space="preserve"> F</w:t>
      </w:r>
      <w:r>
        <w:rPr>
          <w:b/>
          <w:bCs/>
          <w:color w:val="auto"/>
          <w:sz w:val="24"/>
          <w:vertAlign w:val="subscript"/>
          <w:lang w:val="zh-CN"/>
        </w:rPr>
        <w:t>t1;</w:t>
      </w:r>
      <w:r>
        <w:rPr>
          <w:b/>
          <w:bCs/>
          <w:color w:val="auto"/>
          <w:sz w:val="24"/>
          <w:lang w:val="zh-CN"/>
        </w:rPr>
        <w:t xml:space="preserve"> F</w:t>
      </w:r>
      <w:r>
        <w:rPr>
          <w:b/>
          <w:bCs/>
          <w:color w:val="auto"/>
          <w:sz w:val="24"/>
          <w:vertAlign w:val="subscript"/>
          <w:lang w:val="zh-CN"/>
        </w:rPr>
        <w:t>t2;</w:t>
      </w:r>
      <w:r>
        <w:rPr>
          <w:b/>
          <w:bCs/>
          <w:color w:val="auto"/>
          <w:sz w:val="24"/>
          <w:lang w:val="zh-CN"/>
        </w:rPr>
        <w:t xml:space="preserve"> F</w:t>
      </w:r>
      <w:r>
        <w:rPr>
          <w:b/>
          <w:bCs/>
          <w:color w:val="auto"/>
          <w:sz w:val="24"/>
          <w:vertAlign w:val="subscript"/>
          <w:lang w:val="zh-CN"/>
        </w:rPr>
        <w:t>t3</w:t>
      </w:r>
      <w:r>
        <w:rPr>
          <w:b/>
          <w:bCs/>
          <w:color w:val="auto"/>
          <w:sz w:val="24"/>
          <w:lang w:val="zh-CN"/>
        </w:rPr>
        <w:t>……F</w:t>
      </w:r>
      <w:r>
        <w:rPr>
          <w:b/>
          <w:bCs/>
          <w:color w:val="auto"/>
          <w:sz w:val="24"/>
          <w:vertAlign w:val="subscript"/>
          <w:lang w:val="zh-CN"/>
        </w:rPr>
        <w:t>tn</w:t>
      </w:r>
      <w:r>
        <w:rPr>
          <w:color w:val="auto"/>
          <w:sz w:val="24"/>
        </w:rPr>
        <w:t xml:space="preserve"> -- </w:t>
      </w:r>
      <w:r>
        <w:rPr>
          <w:rFonts w:hint="eastAsia"/>
          <w:color w:val="auto"/>
          <w:sz w:val="24"/>
        </w:rPr>
        <w:t>各可调因子的现行价格指数，指第</w:t>
      </w:r>
      <w:r>
        <w:rPr>
          <w:color w:val="auto"/>
          <w:sz w:val="24"/>
        </w:rPr>
        <w:t>17.3.3</w:t>
      </w:r>
      <w:r>
        <w:rPr>
          <w:rFonts w:hint="eastAsia"/>
          <w:color w:val="auto"/>
          <w:sz w:val="24"/>
        </w:rPr>
        <w:t>项、第</w:t>
      </w:r>
      <w:r>
        <w:rPr>
          <w:color w:val="auto"/>
          <w:sz w:val="24"/>
        </w:rPr>
        <w:t>17.5.2</w:t>
      </w:r>
      <w:r>
        <w:rPr>
          <w:rFonts w:hint="eastAsia"/>
          <w:color w:val="auto"/>
          <w:sz w:val="24"/>
        </w:rPr>
        <w:t>项和第</w:t>
      </w:r>
      <w:r>
        <w:rPr>
          <w:color w:val="auto"/>
          <w:sz w:val="24"/>
        </w:rPr>
        <w:t>17.6.2</w:t>
      </w:r>
      <w:r>
        <w:rPr>
          <w:rFonts w:hint="eastAsia"/>
          <w:color w:val="auto"/>
          <w:sz w:val="24"/>
        </w:rPr>
        <w:t>项约定的付款证书相关周期最后一天的前</w:t>
      </w:r>
      <w:r>
        <w:rPr>
          <w:color w:val="auto"/>
          <w:sz w:val="24"/>
        </w:rPr>
        <w:t>42</w:t>
      </w:r>
      <w:r>
        <w:rPr>
          <w:rFonts w:hint="eastAsia"/>
          <w:color w:val="auto"/>
          <w:sz w:val="24"/>
        </w:rPr>
        <w:t>天的各可调因子的价格指数；</w:t>
      </w:r>
    </w:p>
    <w:p w14:paraId="22198E78">
      <w:pPr>
        <w:spacing w:line="240" w:lineRule="auto"/>
        <w:ind w:firstLine="716" w:firstLineChars="297"/>
        <w:rPr>
          <w:b/>
          <w:bCs/>
          <w:color w:val="auto"/>
          <w:sz w:val="24"/>
        </w:rPr>
      </w:pPr>
      <w:r>
        <w:rPr>
          <w:b/>
          <w:bCs/>
          <w:color w:val="auto"/>
          <w:sz w:val="24"/>
        </w:rPr>
        <w:t>F</w:t>
      </w:r>
      <w:r>
        <w:rPr>
          <w:b/>
          <w:bCs/>
          <w:color w:val="auto"/>
          <w:sz w:val="24"/>
          <w:vertAlign w:val="subscript"/>
        </w:rPr>
        <w:t>o1;</w:t>
      </w:r>
      <w:r>
        <w:rPr>
          <w:b/>
          <w:bCs/>
          <w:color w:val="auto"/>
          <w:sz w:val="24"/>
        </w:rPr>
        <w:t xml:space="preserve"> F</w:t>
      </w:r>
      <w:r>
        <w:rPr>
          <w:b/>
          <w:bCs/>
          <w:color w:val="auto"/>
          <w:sz w:val="24"/>
          <w:vertAlign w:val="subscript"/>
        </w:rPr>
        <w:t>o2;</w:t>
      </w:r>
      <w:r>
        <w:rPr>
          <w:b/>
          <w:bCs/>
          <w:color w:val="auto"/>
          <w:sz w:val="24"/>
        </w:rPr>
        <w:t xml:space="preserve"> F</w:t>
      </w:r>
      <w:r>
        <w:rPr>
          <w:b/>
          <w:bCs/>
          <w:color w:val="auto"/>
          <w:sz w:val="24"/>
          <w:vertAlign w:val="subscript"/>
        </w:rPr>
        <w:t>o3</w:t>
      </w:r>
      <w:r>
        <w:rPr>
          <w:b/>
          <w:bCs/>
          <w:color w:val="auto"/>
          <w:sz w:val="24"/>
        </w:rPr>
        <w:t>……F</w:t>
      </w:r>
      <w:r>
        <w:rPr>
          <w:b/>
          <w:bCs/>
          <w:color w:val="auto"/>
          <w:sz w:val="24"/>
          <w:vertAlign w:val="subscript"/>
        </w:rPr>
        <w:t>on</w:t>
      </w:r>
      <w:r>
        <w:rPr>
          <w:color w:val="auto"/>
          <w:sz w:val="24"/>
        </w:rPr>
        <w:t xml:space="preserve"> --</w:t>
      </w:r>
      <w:r>
        <w:rPr>
          <w:rFonts w:hint="eastAsia"/>
          <w:color w:val="auto"/>
          <w:sz w:val="24"/>
        </w:rPr>
        <w:t>各可调因子的基本价格指数，指基准日期的各可调因子的价格指数。</w:t>
      </w:r>
    </w:p>
    <w:p w14:paraId="77A6DABF">
      <w:pPr>
        <w:spacing w:line="240" w:lineRule="auto"/>
        <w:ind w:firstLine="477" w:firstLineChars="199"/>
        <w:rPr>
          <w:rFonts w:hint="eastAsia"/>
          <w:color w:val="auto"/>
          <w:sz w:val="24"/>
        </w:rPr>
      </w:pPr>
      <w:r>
        <w:rPr>
          <w:rFonts w:hint="eastAsia"/>
          <w:color w:val="auto"/>
          <w:sz w:val="24"/>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6FB648C2">
      <w:pPr>
        <w:spacing w:line="240" w:lineRule="auto"/>
        <w:ind w:firstLine="470" w:firstLineChars="196"/>
        <w:rPr>
          <w:rFonts w:eastAsia="黑体"/>
          <w:color w:val="auto"/>
          <w:sz w:val="24"/>
        </w:rPr>
      </w:pPr>
      <w:r>
        <w:rPr>
          <w:rFonts w:eastAsia="黑体"/>
          <w:color w:val="auto"/>
          <w:sz w:val="24"/>
        </w:rPr>
        <w:t xml:space="preserve">16.1.1.2 </w:t>
      </w:r>
      <w:r>
        <w:rPr>
          <w:rFonts w:hint="eastAsia" w:eastAsia="黑体"/>
          <w:color w:val="auto"/>
          <w:sz w:val="24"/>
        </w:rPr>
        <w:t>暂时确定调整差额</w:t>
      </w:r>
    </w:p>
    <w:p w14:paraId="3D800F92">
      <w:pPr>
        <w:spacing w:line="240" w:lineRule="auto"/>
        <w:ind w:firstLine="480" w:firstLineChars="200"/>
        <w:rPr>
          <w:rFonts w:hint="eastAsia"/>
          <w:color w:val="auto"/>
          <w:sz w:val="24"/>
        </w:rPr>
      </w:pPr>
      <w:r>
        <w:rPr>
          <w:rFonts w:hint="eastAsia"/>
          <w:color w:val="auto"/>
          <w:sz w:val="24"/>
        </w:rPr>
        <w:t>在计算调整差额时得不到现行价格指数的，可暂用上一次价格指数计算，并在以后的付款中再按实际价格指数进行调整。</w:t>
      </w:r>
    </w:p>
    <w:p w14:paraId="023A152E">
      <w:pPr>
        <w:spacing w:line="240" w:lineRule="auto"/>
        <w:ind w:firstLine="470" w:firstLineChars="196"/>
        <w:rPr>
          <w:rFonts w:eastAsia="黑体"/>
          <w:color w:val="auto"/>
          <w:sz w:val="24"/>
        </w:rPr>
      </w:pPr>
      <w:r>
        <w:rPr>
          <w:rFonts w:eastAsia="黑体"/>
          <w:color w:val="auto"/>
          <w:sz w:val="24"/>
        </w:rPr>
        <w:br w:type="page"/>
      </w:r>
      <w:r>
        <w:rPr>
          <w:rFonts w:eastAsia="黑体"/>
          <w:color w:val="auto"/>
          <w:sz w:val="24"/>
        </w:rPr>
        <w:t xml:space="preserve">16.1.1.3 </w:t>
      </w:r>
      <w:r>
        <w:rPr>
          <w:rFonts w:hint="eastAsia" w:eastAsia="黑体"/>
          <w:color w:val="auto"/>
          <w:sz w:val="24"/>
        </w:rPr>
        <w:t>权重的调整</w:t>
      </w:r>
    </w:p>
    <w:p w14:paraId="2FCEF5B3">
      <w:pPr>
        <w:spacing w:line="240" w:lineRule="auto"/>
        <w:ind w:firstLine="480" w:firstLineChars="200"/>
        <w:rPr>
          <w:rFonts w:hint="eastAsia"/>
          <w:color w:val="auto"/>
          <w:sz w:val="24"/>
        </w:rPr>
      </w:pPr>
      <w:r>
        <w:rPr>
          <w:rFonts w:hint="eastAsia"/>
          <w:color w:val="auto"/>
          <w:sz w:val="24"/>
        </w:rPr>
        <w:t>按第</w:t>
      </w:r>
      <w:r>
        <w:rPr>
          <w:color w:val="auto"/>
          <w:sz w:val="24"/>
        </w:rPr>
        <w:t>15.1</w:t>
      </w:r>
      <w:r>
        <w:rPr>
          <w:rFonts w:hint="eastAsia"/>
          <w:color w:val="auto"/>
          <w:sz w:val="24"/>
        </w:rPr>
        <w:t>款约定的变更导致原定合同中的权重不合理时，由</w:t>
      </w:r>
      <w:r>
        <w:rPr>
          <w:rFonts w:hint="eastAsia"/>
          <w:color w:val="auto"/>
          <w:sz w:val="24"/>
          <w:lang w:val="en-US" w:eastAsia="zh-CN"/>
        </w:rPr>
        <w:t>发包</w:t>
      </w:r>
      <w:r>
        <w:rPr>
          <w:rFonts w:hint="eastAsia"/>
          <w:color w:val="auto"/>
          <w:sz w:val="24"/>
        </w:rPr>
        <w:t>人与承包人和发包人协商后进行调整。</w:t>
      </w:r>
    </w:p>
    <w:p w14:paraId="7F04D376">
      <w:pPr>
        <w:spacing w:line="240" w:lineRule="auto"/>
        <w:ind w:firstLine="470" w:firstLineChars="196"/>
        <w:rPr>
          <w:rFonts w:eastAsia="黑体"/>
          <w:color w:val="auto"/>
          <w:sz w:val="24"/>
        </w:rPr>
      </w:pPr>
      <w:r>
        <w:rPr>
          <w:rFonts w:eastAsia="黑体"/>
          <w:color w:val="auto"/>
          <w:sz w:val="24"/>
        </w:rPr>
        <w:t xml:space="preserve">16.1.1.4 </w:t>
      </w:r>
      <w:r>
        <w:rPr>
          <w:rFonts w:hint="eastAsia" w:eastAsia="黑体"/>
          <w:color w:val="auto"/>
          <w:sz w:val="24"/>
        </w:rPr>
        <w:t>承包人工期延误后的价格调整</w:t>
      </w:r>
    </w:p>
    <w:p w14:paraId="1C0D458A">
      <w:pPr>
        <w:spacing w:line="240" w:lineRule="auto"/>
        <w:ind w:firstLine="480" w:firstLineChars="200"/>
        <w:rPr>
          <w:rFonts w:hint="eastAsia"/>
          <w:color w:val="auto"/>
          <w:sz w:val="24"/>
        </w:rPr>
      </w:pPr>
      <w:r>
        <w:rPr>
          <w:rFonts w:hint="eastAsia"/>
          <w:color w:val="auto"/>
          <w:sz w:val="24"/>
        </w:rPr>
        <w:t>由于承包人原因未在约定的工期内竣工的，则对原约定竣工日期后继续施工的工程，在使用第</w:t>
      </w:r>
      <w:r>
        <w:rPr>
          <w:color w:val="auto"/>
          <w:sz w:val="24"/>
        </w:rPr>
        <w:t>16.1.1.1</w:t>
      </w:r>
      <w:r>
        <w:rPr>
          <w:rFonts w:hint="eastAsia"/>
          <w:color w:val="auto"/>
          <w:sz w:val="24"/>
        </w:rPr>
        <w:t>目价格调整公式时，应采用原约定竣工日期与实际竣工日期的两个价格指数中较低的一个作为现行价格指数。</w:t>
      </w:r>
    </w:p>
    <w:p w14:paraId="6D4F7313">
      <w:pPr>
        <w:spacing w:line="240" w:lineRule="auto"/>
        <w:ind w:firstLine="470" w:firstLineChars="196"/>
        <w:rPr>
          <w:color w:val="auto"/>
          <w:sz w:val="24"/>
        </w:rPr>
      </w:pPr>
      <w:r>
        <w:rPr>
          <w:color w:val="auto"/>
          <w:sz w:val="24"/>
        </w:rPr>
        <w:t xml:space="preserve">16.1.2 </w:t>
      </w:r>
      <w:r>
        <w:rPr>
          <w:rFonts w:hint="eastAsia" w:eastAsia="黑体"/>
          <w:color w:val="auto"/>
          <w:sz w:val="24"/>
        </w:rPr>
        <w:t>采用造价信息调整价格差额</w:t>
      </w:r>
    </w:p>
    <w:p w14:paraId="43C5DFBA">
      <w:pPr>
        <w:spacing w:line="240" w:lineRule="auto"/>
        <w:ind w:firstLine="480" w:firstLineChars="200"/>
        <w:rPr>
          <w:rFonts w:hint="eastAsia"/>
          <w:color w:val="auto"/>
          <w:sz w:val="24"/>
        </w:rPr>
      </w:pPr>
      <w:r>
        <w:rPr>
          <w:rFonts w:hint="eastAsia"/>
          <w:color w:val="auto"/>
          <w:sz w:val="24"/>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w:t>
      </w:r>
      <w:r>
        <w:rPr>
          <w:rFonts w:hint="eastAsia"/>
          <w:color w:val="auto"/>
          <w:sz w:val="24"/>
          <w:lang w:val="en-US" w:eastAsia="zh-CN"/>
        </w:rPr>
        <w:t>发包</w:t>
      </w:r>
      <w:r>
        <w:rPr>
          <w:rFonts w:hint="eastAsia"/>
          <w:color w:val="auto"/>
          <w:sz w:val="24"/>
        </w:rPr>
        <w:t>人复核，</w:t>
      </w:r>
      <w:r>
        <w:rPr>
          <w:rFonts w:hint="eastAsia"/>
          <w:color w:val="auto"/>
          <w:sz w:val="24"/>
          <w:lang w:val="en-US" w:eastAsia="zh-CN"/>
        </w:rPr>
        <w:t>发包</w:t>
      </w:r>
      <w:r>
        <w:rPr>
          <w:rFonts w:hint="eastAsia"/>
          <w:color w:val="auto"/>
          <w:sz w:val="24"/>
        </w:rPr>
        <w:t>人确认需调整的材料单价及数量，作为调整工程合同价格差额的依据。</w:t>
      </w:r>
    </w:p>
    <w:p w14:paraId="5E6D0113">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16.2 </w:t>
      </w:r>
      <w:r>
        <w:rPr>
          <w:rFonts w:hint="eastAsia" w:eastAsia="黑体"/>
          <w:bCs/>
          <w:color w:val="auto"/>
          <w:kern w:val="44"/>
          <w:sz w:val="24"/>
          <w:lang w:val="zh-CN"/>
        </w:rPr>
        <w:t>法律变化引起的价格调整</w:t>
      </w:r>
    </w:p>
    <w:p w14:paraId="314E4B1F">
      <w:pPr>
        <w:spacing w:line="240" w:lineRule="auto"/>
        <w:ind w:firstLine="435"/>
        <w:rPr>
          <w:rFonts w:hint="eastAsia"/>
          <w:color w:val="auto"/>
          <w:sz w:val="24"/>
        </w:rPr>
      </w:pPr>
      <w:r>
        <w:rPr>
          <w:rFonts w:hint="eastAsia"/>
          <w:color w:val="auto"/>
          <w:sz w:val="24"/>
        </w:rPr>
        <w:t>在基准日后，因法律变化导致承包人在合同履行中所需要的工程费用发生除第</w:t>
      </w:r>
      <w:r>
        <w:rPr>
          <w:color w:val="auto"/>
          <w:sz w:val="24"/>
        </w:rPr>
        <w:t>16.1</w:t>
      </w:r>
      <w:r>
        <w:rPr>
          <w:rFonts w:hint="eastAsia"/>
          <w:color w:val="auto"/>
          <w:sz w:val="24"/>
        </w:rPr>
        <w:t>款约定以外的增减时，发包人应根据法律、国家或省、自治区、直辖市有关部门的规定，按第</w:t>
      </w:r>
      <w:r>
        <w:rPr>
          <w:color w:val="auto"/>
          <w:sz w:val="24"/>
        </w:rPr>
        <w:t>3.5</w:t>
      </w:r>
      <w:r>
        <w:rPr>
          <w:rFonts w:hint="eastAsia"/>
          <w:color w:val="auto"/>
          <w:sz w:val="24"/>
        </w:rPr>
        <w:t>款商定或确定需调整的合同价款。</w:t>
      </w:r>
    </w:p>
    <w:p w14:paraId="4F099965">
      <w:pPr>
        <w:keepNext/>
        <w:keepLines/>
        <w:spacing w:before="480" w:after="240" w:line="240" w:lineRule="auto"/>
        <w:outlineLvl w:val="2"/>
        <w:rPr>
          <w:rFonts w:eastAsia="黑体"/>
          <w:bCs/>
          <w:color w:val="auto"/>
          <w:kern w:val="44"/>
          <w:sz w:val="28"/>
          <w:szCs w:val="28"/>
          <w:lang w:val="zh-CN"/>
        </w:rPr>
      </w:pPr>
      <w:r>
        <w:rPr>
          <w:rFonts w:eastAsia="黑体"/>
          <w:bCs/>
          <w:color w:val="auto"/>
          <w:kern w:val="44"/>
          <w:sz w:val="28"/>
          <w:szCs w:val="28"/>
          <w:lang w:val="zh-CN"/>
        </w:rPr>
        <w:t xml:space="preserve">17. </w:t>
      </w:r>
      <w:r>
        <w:rPr>
          <w:rFonts w:hint="eastAsia" w:eastAsia="黑体"/>
          <w:bCs/>
          <w:color w:val="auto"/>
          <w:kern w:val="44"/>
          <w:sz w:val="28"/>
          <w:szCs w:val="28"/>
          <w:lang w:val="zh-CN"/>
        </w:rPr>
        <w:t>计量与支付</w:t>
      </w:r>
    </w:p>
    <w:p w14:paraId="6F443FFE">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17.1 </w:t>
      </w:r>
      <w:r>
        <w:rPr>
          <w:rFonts w:hint="eastAsia" w:eastAsia="黑体"/>
          <w:bCs/>
          <w:color w:val="auto"/>
          <w:kern w:val="44"/>
          <w:sz w:val="24"/>
          <w:lang w:val="zh-CN"/>
        </w:rPr>
        <w:t>计量</w:t>
      </w:r>
      <w:r>
        <w:rPr>
          <w:rFonts w:eastAsia="黑体"/>
          <w:bCs/>
          <w:color w:val="auto"/>
          <w:kern w:val="44"/>
          <w:sz w:val="24"/>
          <w:lang w:val="zh-CN"/>
        </w:rPr>
        <w:t xml:space="preserve"> </w:t>
      </w:r>
    </w:p>
    <w:p w14:paraId="1F9A2170">
      <w:pPr>
        <w:spacing w:line="240" w:lineRule="auto"/>
        <w:ind w:firstLine="470" w:firstLineChars="196"/>
        <w:rPr>
          <w:color w:val="auto"/>
          <w:sz w:val="24"/>
        </w:rPr>
      </w:pPr>
      <w:r>
        <w:rPr>
          <w:color w:val="auto"/>
          <w:sz w:val="24"/>
        </w:rPr>
        <w:t xml:space="preserve">17.1.1 </w:t>
      </w:r>
      <w:r>
        <w:rPr>
          <w:rFonts w:hint="eastAsia" w:eastAsia="黑体"/>
          <w:color w:val="auto"/>
          <w:sz w:val="24"/>
        </w:rPr>
        <w:t>计量单位</w:t>
      </w:r>
    </w:p>
    <w:p w14:paraId="73CA14D3">
      <w:pPr>
        <w:spacing w:line="240" w:lineRule="auto"/>
        <w:ind w:firstLine="480" w:firstLineChars="200"/>
        <w:rPr>
          <w:rFonts w:hint="eastAsia"/>
          <w:color w:val="auto"/>
          <w:sz w:val="24"/>
        </w:rPr>
      </w:pPr>
      <w:r>
        <w:rPr>
          <w:rFonts w:hint="eastAsia"/>
          <w:color w:val="auto"/>
          <w:sz w:val="24"/>
        </w:rPr>
        <w:t>计量采用国家法定的计量单位。</w:t>
      </w:r>
    </w:p>
    <w:p w14:paraId="2714F0DE">
      <w:pPr>
        <w:spacing w:line="240" w:lineRule="auto"/>
        <w:ind w:firstLine="470" w:firstLineChars="196"/>
        <w:rPr>
          <w:color w:val="auto"/>
          <w:sz w:val="24"/>
        </w:rPr>
      </w:pPr>
      <w:r>
        <w:rPr>
          <w:color w:val="auto"/>
          <w:sz w:val="24"/>
        </w:rPr>
        <w:t xml:space="preserve">17.1.2 </w:t>
      </w:r>
      <w:r>
        <w:rPr>
          <w:rFonts w:hint="eastAsia" w:eastAsia="黑体"/>
          <w:color w:val="auto"/>
          <w:sz w:val="24"/>
        </w:rPr>
        <w:t>计量方法</w:t>
      </w:r>
    </w:p>
    <w:p w14:paraId="5777056D">
      <w:pPr>
        <w:spacing w:line="240" w:lineRule="auto"/>
        <w:ind w:firstLine="480" w:firstLineChars="200"/>
        <w:rPr>
          <w:rFonts w:hint="eastAsia"/>
          <w:color w:val="auto"/>
          <w:sz w:val="24"/>
        </w:rPr>
      </w:pPr>
      <w:r>
        <w:rPr>
          <w:rFonts w:hint="eastAsia"/>
          <w:color w:val="auto"/>
          <w:sz w:val="24"/>
        </w:rPr>
        <w:t>工程量清单中的工程量计算规则应按有关国家标准、行业标准的规定，并在合同中约定执行。</w:t>
      </w:r>
    </w:p>
    <w:p w14:paraId="34853B67">
      <w:pPr>
        <w:spacing w:line="240" w:lineRule="auto"/>
        <w:ind w:firstLine="470" w:firstLineChars="196"/>
        <w:rPr>
          <w:color w:val="auto"/>
          <w:sz w:val="24"/>
        </w:rPr>
      </w:pPr>
      <w:r>
        <w:rPr>
          <w:color w:val="auto"/>
          <w:sz w:val="24"/>
        </w:rPr>
        <w:t xml:space="preserve">17.1.3 </w:t>
      </w:r>
      <w:r>
        <w:rPr>
          <w:rFonts w:hint="eastAsia" w:eastAsia="黑体"/>
          <w:color w:val="auto"/>
          <w:sz w:val="24"/>
        </w:rPr>
        <w:t>计量周期</w:t>
      </w:r>
    </w:p>
    <w:p w14:paraId="333F713C">
      <w:pPr>
        <w:spacing w:line="240" w:lineRule="auto"/>
        <w:rPr>
          <w:color w:val="auto"/>
          <w:sz w:val="24"/>
        </w:rPr>
      </w:pPr>
      <w:r>
        <w:rPr>
          <w:color w:val="auto"/>
          <w:sz w:val="24"/>
        </w:rPr>
        <w:t xml:space="preserve">    </w:t>
      </w:r>
      <w:r>
        <w:rPr>
          <w:rFonts w:hint="eastAsia"/>
          <w:color w:val="auto"/>
          <w:sz w:val="24"/>
        </w:rPr>
        <w:t>除专用合同条款另有约定外，单价子目已完成工程量按月计量，总价子目的计量周期按批准的支付分解报告确定。</w:t>
      </w:r>
      <w:r>
        <w:rPr>
          <w:color w:val="auto"/>
          <w:sz w:val="24"/>
        </w:rPr>
        <w:t xml:space="preserve"> </w:t>
      </w:r>
    </w:p>
    <w:p w14:paraId="48CCCA87">
      <w:pPr>
        <w:spacing w:line="240" w:lineRule="auto"/>
        <w:ind w:firstLine="470" w:firstLineChars="196"/>
        <w:rPr>
          <w:color w:val="auto"/>
          <w:sz w:val="24"/>
        </w:rPr>
      </w:pPr>
      <w:r>
        <w:rPr>
          <w:color w:val="auto"/>
          <w:sz w:val="24"/>
        </w:rPr>
        <w:t xml:space="preserve">17.1.4 </w:t>
      </w:r>
      <w:r>
        <w:rPr>
          <w:rFonts w:hint="eastAsia" w:eastAsia="黑体"/>
          <w:color w:val="auto"/>
          <w:sz w:val="24"/>
        </w:rPr>
        <w:t>单价子目的计量</w:t>
      </w:r>
    </w:p>
    <w:p w14:paraId="4B6A1EA0">
      <w:pPr>
        <w:spacing w:line="240" w:lineRule="auto"/>
        <w:ind w:firstLine="480" w:firstLineChars="200"/>
        <w:rPr>
          <w:rFonts w:hint="eastAsia"/>
          <w:color w:val="auto"/>
          <w:sz w:val="24"/>
        </w:rPr>
      </w:pPr>
      <w:r>
        <w:rPr>
          <w:rFonts w:hint="eastAsia"/>
          <w:color w:val="auto"/>
          <w:sz w:val="24"/>
        </w:rPr>
        <w:t>（</w:t>
      </w:r>
      <w:r>
        <w:rPr>
          <w:color w:val="auto"/>
          <w:sz w:val="24"/>
        </w:rPr>
        <w:t>1</w:t>
      </w:r>
      <w:r>
        <w:rPr>
          <w:rFonts w:hint="eastAsia"/>
          <w:color w:val="auto"/>
          <w:sz w:val="24"/>
        </w:rPr>
        <w:t>）已标价工程量清单中的单价子目工程量为估算工程量。结算工程量是承包人实际完成的，并按合同约定的计量方法进行计量的工程量。</w:t>
      </w:r>
    </w:p>
    <w:p w14:paraId="33114C7B">
      <w:pPr>
        <w:spacing w:line="240" w:lineRule="auto"/>
        <w:ind w:firstLine="480" w:firstLineChars="200"/>
        <w:rPr>
          <w:rFonts w:hint="eastAsia"/>
          <w:color w:val="auto"/>
          <w:sz w:val="24"/>
        </w:rPr>
      </w:pPr>
      <w:r>
        <w:rPr>
          <w:rFonts w:hint="eastAsia"/>
          <w:color w:val="auto"/>
          <w:sz w:val="24"/>
        </w:rPr>
        <w:t>（</w:t>
      </w:r>
      <w:r>
        <w:rPr>
          <w:color w:val="auto"/>
          <w:sz w:val="24"/>
        </w:rPr>
        <w:t>2</w:t>
      </w:r>
      <w:r>
        <w:rPr>
          <w:rFonts w:hint="eastAsia"/>
          <w:color w:val="auto"/>
          <w:sz w:val="24"/>
        </w:rPr>
        <w:t>）承包人对已完成的工程进行计量，向</w:t>
      </w:r>
      <w:r>
        <w:rPr>
          <w:rFonts w:hint="eastAsia"/>
          <w:color w:val="auto"/>
          <w:sz w:val="24"/>
          <w:lang w:val="en-US" w:eastAsia="zh-CN"/>
        </w:rPr>
        <w:t>发包</w:t>
      </w:r>
      <w:r>
        <w:rPr>
          <w:rFonts w:hint="eastAsia"/>
          <w:color w:val="auto"/>
          <w:sz w:val="24"/>
        </w:rPr>
        <w:t>人提交进度付款申请单、已完成工程量报表和有关计量资料。</w:t>
      </w:r>
    </w:p>
    <w:p w14:paraId="35DA4566">
      <w:pPr>
        <w:spacing w:line="240" w:lineRule="auto"/>
        <w:ind w:firstLine="480" w:firstLineChars="200"/>
        <w:rPr>
          <w:rFonts w:hint="eastAsia"/>
          <w:color w:val="auto"/>
          <w:sz w:val="24"/>
        </w:rPr>
      </w:pPr>
      <w:r>
        <w:rPr>
          <w:rFonts w:hint="eastAsia"/>
          <w:color w:val="auto"/>
          <w:sz w:val="24"/>
        </w:rPr>
        <w:t>（</w:t>
      </w:r>
      <w:r>
        <w:rPr>
          <w:color w:val="auto"/>
          <w:sz w:val="24"/>
        </w:rPr>
        <w:t>3</w:t>
      </w:r>
      <w:r>
        <w:rPr>
          <w:rFonts w:hint="eastAsia"/>
          <w:color w:val="auto"/>
          <w:sz w:val="24"/>
        </w:rPr>
        <w:t>）</w:t>
      </w:r>
      <w:r>
        <w:rPr>
          <w:rFonts w:hint="eastAsia"/>
          <w:color w:val="auto"/>
          <w:sz w:val="24"/>
          <w:lang w:val="en-US" w:eastAsia="zh-CN"/>
        </w:rPr>
        <w:t>发包</w:t>
      </w:r>
      <w:r>
        <w:rPr>
          <w:rFonts w:hint="eastAsia"/>
          <w:color w:val="auto"/>
          <w:sz w:val="24"/>
        </w:rPr>
        <w:t>人对承包人提交的工程量报表进行复核，以确定实际完成的工程量。对数量有异议的，可要求承包人按第</w:t>
      </w:r>
      <w:r>
        <w:rPr>
          <w:color w:val="auto"/>
          <w:sz w:val="24"/>
        </w:rPr>
        <w:t>8.2</w:t>
      </w:r>
      <w:r>
        <w:rPr>
          <w:rFonts w:hint="eastAsia"/>
          <w:color w:val="auto"/>
          <w:sz w:val="24"/>
        </w:rPr>
        <w:t>款约定进行共同复核和抽样复测。承包人应协助</w:t>
      </w:r>
      <w:r>
        <w:rPr>
          <w:rFonts w:hint="eastAsia"/>
          <w:color w:val="auto"/>
          <w:sz w:val="24"/>
          <w:lang w:val="en-US" w:eastAsia="zh-CN"/>
        </w:rPr>
        <w:t>发包</w:t>
      </w:r>
      <w:r>
        <w:rPr>
          <w:rFonts w:hint="eastAsia"/>
          <w:color w:val="auto"/>
          <w:sz w:val="24"/>
        </w:rPr>
        <w:t>人进行复核并按</w:t>
      </w:r>
      <w:r>
        <w:rPr>
          <w:rFonts w:hint="eastAsia"/>
          <w:color w:val="auto"/>
          <w:sz w:val="24"/>
          <w:lang w:val="en-US" w:eastAsia="zh-CN"/>
        </w:rPr>
        <w:t>发包</w:t>
      </w:r>
      <w:r>
        <w:rPr>
          <w:rFonts w:hint="eastAsia"/>
          <w:color w:val="auto"/>
          <w:sz w:val="24"/>
        </w:rPr>
        <w:t>人要求提供补充计量资料。承包人未按</w:t>
      </w:r>
      <w:r>
        <w:rPr>
          <w:rFonts w:hint="eastAsia"/>
          <w:color w:val="auto"/>
          <w:sz w:val="24"/>
          <w:lang w:val="en-US" w:eastAsia="zh-CN"/>
        </w:rPr>
        <w:t>发包</w:t>
      </w:r>
      <w:r>
        <w:rPr>
          <w:rFonts w:hint="eastAsia"/>
          <w:color w:val="auto"/>
          <w:sz w:val="24"/>
        </w:rPr>
        <w:t>人要求参加复核，</w:t>
      </w:r>
      <w:r>
        <w:rPr>
          <w:rFonts w:hint="eastAsia"/>
          <w:color w:val="auto"/>
          <w:sz w:val="24"/>
          <w:lang w:val="en-US" w:eastAsia="zh-CN"/>
        </w:rPr>
        <w:t>发包</w:t>
      </w:r>
      <w:r>
        <w:rPr>
          <w:rFonts w:hint="eastAsia"/>
          <w:color w:val="auto"/>
          <w:sz w:val="24"/>
        </w:rPr>
        <w:t>人复核或修正的工程量视为承包人实际完成的工程量。</w:t>
      </w:r>
    </w:p>
    <w:p w14:paraId="7FB7A139">
      <w:pPr>
        <w:spacing w:line="240" w:lineRule="auto"/>
        <w:ind w:firstLine="480" w:firstLineChars="200"/>
        <w:rPr>
          <w:rFonts w:hint="eastAsia"/>
          <w:color w:val="auto"/>
          <w:sz w:val="24"/>
        </w:rPr>
      </w:pPr>
      <w:r>
        <w:rPr>
          <w:rFonts w:hint="eastAsia"/>
          <w:color w:val="auto"/>
          <w:sz w:val="24"/>
        </w:rPr>
        <w:t>（</w:t>
      </w:r>
      <w:r>
        <w:rPr>
          <w:color w:val="auto"/>
          <w:sz w:val="24"/>
        </w:rPr>
        <w:t>4</w:t>
      </w:r>
      <w:r>
        <w:rPr>
          <w:rFonts w:hint="eastAsia"/>
          <w:color w:val="auto"/>
          <w:sz w:val="24"/>
        </w:rPr>
        <w:t>）</w:t>
      </w:r>
      <w:r>
        <w:rPr>
          <w:rFonts w:hint="eastAsia"/>
          <w:color w:val="auto"/>
          <w:sz w:val="24"/>
          <w:lang w:val="en-US" w:eastAsia="zh-CN"/>
        </w:rPr>
        <w:t>发包</w:t>
      </w:r>
      <w:r>
        <w:rPr>
          <w:rFonts w:hint="eastAsia"/>
          <w:color w:val="auto"/>
          <w:sz w:val="24"/>
        </w:rPr>
        <w:t>人认为有必要时，可通知承包人共同进行联合测量、计量，承包人应遵照执行。</w:t>
      </w:r>
    </w:p>
    <w:p w14:paraId="3CD1F517">
      <w:pPr>
        <w:spacing w:line="240" w:lineRule="auto"/>
        <w:ind w:firstLine="480" w:firstLineChars="200"/>
        <w:rPr>
          <w:rFonts w:hint="eastAsia"/>
          <w:color w:val="auto"/>
          <w:sz w:val="24"/>
        </w:rPr>
      </w:pPr>
      <w:r>
        <w:rPr>
          <w:rFonts w:hint="eastAsia"/>
          <w:color w:val="auto"/>
          <w:sz w:val="24"/>
        </w:rPr>
        <w:t>（</w:t>
      </w:r>
      <w:r>
        <w:rPr>
          <w:color w:val="auto"/>
          <w:sz w:val="24"/>
        </w:rPr>
        <w:t>5</w:t>
      </w:r>
      <w:r>
        <w:rPr>
          <w:rFonts w:hint="eastAsia"/>
          <w:color w:val="auto"/>
          <w:sz w:val="24"/>
        </w:rPr>
        <w:t>）承包人完成工程量清单中每个子目的工程量后，</w:t>
      </w:r>
      <w:r>
        <w:rPr>
          <w:rFonts w:hint="eastAsia"/>
          <w:color w:val="auto"/>
          <w:sz w:val="24"/>
          <w:lang w:val="en-US" w:eastAsia="zh-CN"/>
        </w:rPr>
        <w:t>发包</w:t>
      </w:r>
      <w:r>
        <w:rPr>
          <w:rFonts w:hint="eastAsia"/>
          <w:color w:val="auto"/>
          <w:sz w:val="24"/>
        </w:rPr>
        <w:t>人应要求承包人派员共同对每个子目的历次计量报表进行汇总，以核实最终结算工程量。</w:t>
      </w:r>
      <w:r>
        <w:rPr>
          <w:rFonts w:hint="eastAsia"/>
          <w:color w:val="auto"/>
          <w:sz w:val="24"/>
          <w:lang w:val="en-US" w:eastAsia="zh-CN"/>
        </w:rPr>
        <w:t>发包</w:t>
      </w:r>
      <w:r>
        <w:rPr>
          <w:rFonts w:hint="eastAsia"/>
          <w:color w:val="auto"/>
          <w:sz w:val="24"/>
        </w:rPr>
        <w:t>人可要求承包人提供补充计量资料，以确定最后一次进度付款的准确工程量。承包人未按</w:t>
      </w:r>
      <w:r>
        <w:rPr>
          <w:rFonts w:hint="eastAsia"/>
          <w:color w:val="auto"/>
          <w:sz w:val="24"/>
          <w:lang w:val="en-US" w:eastAsia="zh-CN"/>
        </w:rPr>
        <w:t>发包</w:t>
      </w:r>
      <w:r>
        <w:rPr>
          <w:rFonts w:hint="eastAsia"/>
          <w:color w:val="auto"/>
          <w:sz w:val="24"/>
        </w:rPr>
        <w:t>人要求派员参加的，</w:t>
      </w:r>
      <w:r>
        <w:rPr>
          <w:rFonts w:hint="eastAsia"/>
          <w:color w:val="auto"/>
          <w:sz w:val="24"/>
          <w:lang w:val="en-US" w:eastAsia="zh-CN"/>
        </w:rPr>
        <w:t>发包</w:t>
      </w:r>
      <w:r>
        <w:rPr>
          <w:rFonts w:hint="eastAsia"/>
          <w:color w:val="auto"/>
          <w:sz w:val="24"/>
        </w:rPr>
        <w:t>人最终核实的工程量视为承包人完成该子目的准确工程量。</w:t>
      </w:r>
    </w:p>
    <w:p w14:paraId="2F1D8E32">
      <w:pPr>
        <w:spacing w:line="240" w:lineRule="auto"/>
        <w:ind w:firstLine="480" w:firstLineChars="200"/>
        <w:rPr>
          <w:rFonts w:hint="eastAsia"/>
          <w:color w:val="auto"/>
          <w:sz w:val="24"/>
        </w:rPr>
      </w:pPr>
      <w:r>
        <w:rPr>
          <w:rFonts w:hint="eastAsia"/>
          <w:color w:val="auto"/>
          <w:sz w:val="24"/>
        </w:rPr>
        <w:t>（</w:t>
      </w:r>
      <w:r>
        <w:rPr>
          <w:color w:val="auto"/>
          <w:sz w:val="24"/>
        </w:rPr>
        <w:t>6</w:t>
      </w:r>
      <w:r>
        <w:rPr>
          <w:rFonts w:hint="eastAsia"/>
          <w:color w:val="auto"/>
          <w:sz w:val="24"/>
        </w:rPr>
        <w:t>）</w:t>
      </w:r>
      <w:r>
        <w:rPr>
          <w:rFonts w:hint="eastAsia"/>
          <w:color w:val="auto"/>
          <w:sz w:val="24"/>
          <w:lang w:val="en-US" w:eastAsia="zh-CN"/>
        </w:rPr>
        <w:t>发包</w:t>
      </w:r>
      <w:r>
        <w:rPr>
          <w:rFonts w:hint="eastAsia"/>
          <w:color w:val="auto"/>
          <w:sz w:val="24"/>
        </w:rPr>
        <w:t>人应在收到承包人提交的工程量报表后的</w:t>
      </w:r>
      <w:r>
        <w:rPr>
          <w:color w:val="auto"/>
          <w:sz w:val="24"/>
        </w:rPr>
        <w:t>7</w:t>
      </w:r>
      <w:r>
        <w:rPr>
          <w:rFonts w:hint="eastAsia"/>
          <w:color w:val="auto"/>
          <w:sz w:val="24"/>
        </w:rPr>
        <w:t>天内进行复核，</w:t>
      </w:r>
      <w:r>
        <w:rPr>
          <w:rFonts w:hint="eastAsia"/>
          <w:color w:val="auto"/>
          <w:sz w:val="24"/>
          <w:lang w:val="en-US" w:eastAsia="zh-CN"/>
        </w:rPr>
        <w:t>发包</w:t>
      </w:r>
      <w:r>
        <w:rPr>
          <w:rFonts w:hint="eastAsia"/>
          <w:color w:val="auto"/>
          <w:sz w:val="24"/>
        </w:rPr>
        <w:t>人未在约定时间内复核的，承包人提交的工程量报表中的工程量视为承包人实际完成的工程量，据此计算工程价款。</w:t>
      </w:r>
    </w:p>
    <w:p w14:paraId="1775F8B3">
      <w:pPr>
        <w:spacing w:line="240" w:lineRule="auto"/>
        <w:ind w:firstLine="470" w:firstLineChars="196"/>
        <w:rPr>
          <w:color w:val="auto"/>
          <w:sz w:val="24"/>
        </w:rPr>
      </w:pPr>
      <w:r>
        <w:rPr>
          <w:color w:val="auto"/>
          <w:sz w:val="24"/>
        </w:rPr>
        <w:t xml:space="preserve">17.1.5 </w:t>
      </w:r>
      <w:r>
        <w:rPr>
          <w:rFonts w:hint="eastAsia" w:eastAsia="黑体"/>
          <w:color w:val="auto"/>
          <w:sz w:val="24"/>
        </w:rPr>
        <w:t>总价子目的计量</w:t>
      </w:r>
    </w:p>
    <w:p w14:paraId="2E12C333">
      <w:pPr>
        <w:spacing w:line="240" w:lineRule="auto"/>
        <w:ind w:firstLine="470" w:firstLineChars="196"/>
        <w:rPr>
          <w:rFonts w:hint="eastAsia"/>
          <w:color w:val="auto"/>
          <w:sz w:val="24"/>
        </w:rPr>
      </w:pPr>
      <w:r>
        <w:rPr>
          <w:rFonts w:hint="eastAsia"/>
          <w:color w:val="auto"/>
          <w:sz w:val="24"/>
        </w:rPr>
        <w:t>除专用合同条款另有约定外，总价子目的分解和计量按照下述约定进行。</w:t>
      </w:r>
    </w:p>
    <w:p w14:paraId="5FE938D0">
      <w:pPr>
        <w:spacing w:line="240" w:lineRule="auto"/>
        <w:ind w:firstLine="470" w:firstLineChars="196"/>
        <w:rPr>
          <w:rFonts w:hint="eastAsia"/>
          <w:color w:val="auto"/>
          <w:sz w:val="24"/>
        </w:rPr>
      </w:pPr>
      <w:r>
        <w:rPr>
          <w:rFonts w:hint="eastAsia"/>
          <w:color w:val="auto"/>
          <w:sz w:val="24"/>
        </w:rPr>
        <w:t>（</w:t>
      </w:r>
      <w:r>
        <w:rPr>
          <w:color w:val="auto"/>
          <w:sz w:val="24"/>
        </w:rPr>
        <w:t>1</w:t>
      </w:r>
      <w:r>
        <w:rPr>
          <w:rFonts w:hint="eastAsia"/>
          <w:color w:val="auto"/>
          <w:sz w:val="24"/>
        </w:rPr>
        <w:t>）总价子目的计量和支付应以总价为基础，不因第</w:t>
      </w:r>
      <w:r>
        <w:rPr>
          <w:color w:val="auto"/>
          <w:sz w:val="24"/>
        </w:rPr>
        <w:t>16.1</w:t>
      </w:r>
      <w:r>
        <w:rPr>
          <w:rFonts w:hint="eastAsia"/>
          <w:color w:val="auto"/>
          <w:sz w:val="24"/>
        </w:rPr>
        <w:t>款中的因素而进行调整。承包人实际完成的工程量，是进行工程目标管理和控制进度支付的依据。</w:t>
      </w:r>
    </w:p>
    <w:p w14:paraId="32E93B31">
      <w:pPr>
        <w:spacing w:line="240" w:lineRule="auto"/>
        <w:ind w:firstLine="470" w:firstLineChars="196"/>
        <w:rPr>
          <w:rFonts w:hint="eastAsia"/>
          <w:color w:val="auto"/>
          <w:sz w:val="24"/>
        </w:rPr>
      </w:pPr>
      <w:r>
        <w:rPr>
          <w:rFonts w:hint="eastAsia"/>
          <w:color w:val="auto"/>
          <w:sz w:val="24"/>
        </w:rPr>
        <w:t>（</w:t>
      </w:r>
      <w:r>
        <w:rPr>
          <w:color w:val="auto"/>
          <w:sz w:val="24"/>
        </w:rPr>
        <w:t>2</w:t>
      </w:r>
      <w:r>
        <w:rPr>
          <w:rFonts w:hint="eastAsia"/>
          <w:color w:val="auto"/>
          <w:sz w:val="24"/>
        </w:rPr>
        <w:t>）承包人在合同约定的每个计量周期内，对已完成的工程进行计量，并向</w:t>
      </w:r>
      <w:r>
        <w:rPr>
          <w:rFonts w:hint="eastAsia"/>
          <w:color w:val="auto"/>
          <w:sz w:val="24"/>
          <w:lang w:val="en-US" w:eastAsia="zh-CN"/>
        </w:rPr>
        <w:t>发包</w:t>
      </w:r>
      <w:r>
        <w:rPr>
          <w:rFonts w:hint="eastAsia"/>
          <w:color w:val="auto"/>
          <w:sz w:val="24"/>
        </w:rPr>
        <w:t>人提交进度付款申请单、专用合同条款约定的合同总价支付分解表所表示的阶段性或分项计量的支持性资料，以及所达到工程形象目标或分阶段需完成的工程量和有关计量资料。</w:t>
      </w:r>
    </w:p>
    <w:p w14:paraId="121ECF59">
      <w:pPr>
        <w:spacing w:line="240" w:lineRule="auto"/>
        <w:ind w:firstLine="470" w:firstLineChars="196"/>
        <w:rPr>
          <w:rFonts w:hint="eastAsia"/>
          <w:color w:val="auto"/>
          <w:sz w:val="24"/>
        </w:rPr>
      </w:pPr>
      <w:r>
        <w:rPr>
          <w:rFonts w:hint="eastAsia"/>
          <w:color w:val="auto"/>
          <w:sz w:val="24"/>
        </w:rPr>
        <w:t>（</w:t>
      </w:r>
      <w:r>
        <w:rPr>
          <w:color w:val="auto"/>
          <w:sz w:val="24"/>
        </w:rPr>
        <w:t>3</w:t>
      </w:r>
      <w:r>
        <w:rPr>
          <w:rFonts w:hint="eastAsia"/>
          <w:color w:val="auto"/>
          <w:sz w:val="24"/>
        </w:rPr>
        <w:t>）</w:t>
      </w:r>
      <w:r>
        <w:rPr>
          <w:rFonts w:hint="eastAsia"/>
          <w:color w:val="auto"/>
          <w:sz w:val="24"/>
          <w:lang w:val="en-US" w:eastAsia="zh-CN"/>
        </w:rPr>
        <w:t>发包</w:t>
      </w:r>
      <w:r>
        <w:rPr>
          <w:rFonts w:hint="eastAsia"/>
          <w:color w:val="auto"/>
          <w:sz w:val="24"/>
        </w:rPr>
        <w:t>人对承包人提交的上述资料进行复核，以确定分阶段实际完成的工程量和工程形象目标。对其有异议的，可要求承包人按第</w:t>
      </w:r>
      <w:r>
        <w:rPr>
          <w:color w:val="auto"/>
          <w:sz w:val="24"/>
        </w:rPr>
        <w:t>8.2</w:t>
      </w:r>
      <w:r>
        <w:rPr>
          <w:rFonts w:hint="eastAsia"/>
          <w:color w:val="auto"/>
          <w:sz w:val="24"/>
        </w:rPr>
        <w:t>款约定进行共同复核和抽样复测。</w:t>
      </w:r>
    </w:p>
    <w:p w14:paraId="062A6AD7">
      <w:pPr>
        <w:spacing w:line="240" w:lineRule="auto"/>
        <w:ind w:firstLine="470" w:firstLineChars="196"/>
        <w:rPr>
          <w:rFonts w:hint="eastAsia"/>
          <w:color w:val="auto"/>
          <w:sz w:val="24"/>
        </w:rPr>
      </w:pPr>
      <w:r>
        <w:rPr>
          <w:rFonts w:hint="eastAsia"/>
          <w:color w:val="auto"/>
          <w:sz w:val="24"/>
        </w:rPr>
        <w:t>（</w:t>
      </w:r>
      <w:r>
        <w:rPr>
          <w:color w:val="auto"/>
          <w:sz w:val="24"/>
        </w:rPr>
        <w:t>4</w:t>
      </w:r>
      <w:r>
        <w:rPr>
          <w:rFonts w:hint="eastAsia"/>
          <w:color w:val="auto"/>
          <w:sz w:val="24"/>
        </w:rPr>
        <w:t>）除按照第</w:t>
      </w:r>
      <w:r>
        <w:rPr>
          <w:color w:val="auto"/>
          <w:sz w:val="24"/>
        </w:rPr>
        <w:t>15</w:t>
      </w:r>
      <w:r>
        <w:rPr>
          <w:rFonts w:hint="eastAsia"/>
          <w:color w:val="auto"/>
          <w:sz w:val="24"/>
        </w:rPr>
        <w:t>条约定的变更外，总价子目的工程量是承包人用于结算的最终工程量。</w:t>
      </w:r>
    </w:p>
    <w:p w14:paraId="44DD5A20">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17.2 </w:t>
      </w:r>
      <w:r>
        <w:rPr>
          <w:rFonts w:hint="eastAsia" w:eastAsia="黑体"/>
          <w:bCs/>
          <w:color w:val="auto"/>
          <w:kern w:val="44"/>
          <w:sz w:val="24"/>
          <w:lang w:val="zh-CN"/>
        </w:rPr>
        <w:t>预付款</w:t>
      </w:r>
    </w:p>
    <w:p w14:paraId="5C900DE2">
      <w:pPr>
        <w:spacing w:line="240" w:lineRule="auto"/>
        <w:ind w:firstLine="470" w:firstLineChars="196"/>
        <w:rPr>
          <w:color w:val="auto"/>
          <w:sz w:val="24"/>
        </w:rPr>
      </w:pPr>
      <w:r>
        <w:rPr>
          <w:color w:val="auto"/>
          <w:sz w:val="24"/>
        </w:rPr>
        <w:t>本项目不设预付款</w:t>
      </w:r>
    </w:p>
    <w:p w14:paraId="336FF977">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17.3 </w:t>
      </w:r>
      <w:r>
        <w:rPr>
          <w:rFonts w:hint="eastAsia" w:eastAsia="黑体"/>
          <w:bCs/>
          <w:color w:val="auto"/>
          <w:kern w:val="44"/>
          <w:sz w:val="24"/>
          <w:lang w:val="zh-CN"/>
        </w:rPr>
        <w:t>工程进度付款</w:t>
      </w:r>
    </w:p>
    <w:p w14:paraId="38E82B1A">
      <w:pPr>
        <w:spacing w:line="240" w:lineRule="auto"/>
        <w:ind w:firstLine="470" w:firstLineChars="196"/>
        <w:rPr>
          <w:color w:val="auto"/>
          <w:sz w:val="24"/>
        </w:rPr>
      </w:pPr>
      <w:r>
        <w:rPr>
          <w:color w:val="auto"/>
          <w:sz w:val="24"/>
        </w:rPr>
        <w:t xml:space="preserve">17.3.1 </w:t>
      </w:r>
      <w:r>
        <w:rPr>
          <w:rFonts w:hint="eastAsia" w:eastAsia="黑体"/>
          <w:color w:val="auto"/>
          <w:sz w:val="24"/>
        </w:rPr>
        <w:t>付款周期</w:t>
      </w:r>
    </w:p>
    <w:p w14:paraId="0BEE0E10">
      <w:pPr>
        <w:spacing w:line="240" w:lineRule="auto"/>
        <w:ind w:firstLine="390"/>
        <w:rPr>
          <w:rFonts w:hint="eastAsia"/>
          <w:color w:val="auto"/>
          <w:sz w:val="24"/>
        </w:rPr>
      </w:pPr>
      <w:r>
        <w:rPr>
          <w:rFonts w:hint="eastAsia"/>
          <w:color w:val="auto"/>
          <w:sz w:val="24"/>
        </w:rPr>
        <w:t>付款周期同计量周期。</w:t>
      </w:r>
    </w:p>
    <w:p w14:paraId="42D94EE0">
      <w:pPr>
        <w:spacing w:line="240" w:lineRule="auto"/>
        <w:ind w:firstLine="470" w:firstLineChars="196"/>
        <w:rPr>
          <w:color w:val="auto"/>
          <w:sz w:val="24"/>
        </w:rPr>
      </w:pPr>
      <w:r>
        <w:rPr>
          <w:color w:val="auto"/>
          <w:sz w:val="24"/>
        </w:rPr>
        <w:t xml:space="preserve">17.3.2 </w:t>
      </w:r>
      <w:r>
        <w:rPr>
          <w:rFonts w:hint="eastAsia" w:eastAsia="黑体"/>
          <w:color w:val="auto"/>
          <w:sz w:val="24"/>
        </w:rPr>
        <w:t>进度付款申请单</w:t>
      </w:r>
    </w:p>
    <w:p w14:paraId="408F3F1E">
      <w:pPr>
        <w:spacing w:line="240" w:lineRule="auto"/>
        <w:ind w:firstLine="390"/>
        <w:rPr>
          <w:rFonts w:hint="eastAsia"/>
          <w:color w:val="auto"/>
          <w:sz w:val="24"/>
        </w:rPr>
      </w:pPr>
      <w:r>
        <w:rPr>
          <w:rFonts w:hint="eastAsia"/>
          <w:color w:val="auto"/>
          <w:sz w:val="24"/>
        </w:rPr>
        <w:t>承包人应在每个付款周期末，按</w:t>
      </w:r>
      <w:r>
        <w:rPr>
          <w:rFonts w:hint="eastAsia"/>
          <w:color w:val="auto"/>
          <w:sz w:val="24"/>
          <w:lang w:val="en-US" w:eastAsia="zh-CN"/>
        </w:rPr>
        <w:t>发包</w:t>
      </w:r>
      <w:r>
        <w:rPr>
          <w:rFonts w:hint="eastAsia"/>
          <w:color w:val="auto"/>
          <w:sz w:val="24"/>
        </w:rPr>
        <w:t>人批准的格式和专用合同条款约定的份数，向</w:t>
      </w:r>
      <w:r>
        <w:rPr>
          <w:rFonts w:hint="eastAsia"/>
          <w:color w:val="auto"/>
          <w:sz w:val="24"/>
          <w:lang w:val="en-US" w:eastAsia="zh-CN"/>
        </w:rPr>
        <w:t>发包</w:t>
      </w:r>
      <w:r>
        <w:rPr>
          <w:rFonts w:hint="eastAsia"/>
          <w:color w:val="auto"/>
          <w:sz w:val="24"/>
        </w:rPr>
        <w:t>人提交进度付款申请单，并附相应的支持性证明文件。除专用合同条款另有约定外，进度付款申请单应包括下列内容：</w:t>
      </w:r>
    </w:p>
    <w:p w14:paraId="517E247F">
      <w:pPr>
        <w:spacing w:line="240" w:lineRule="auto"/>
        <w:ind w:firstLine="390"/>
        <w:rPr>
          <w:rFonts w:hint="eastAsia"/>
          <w:color w:val="auto"/>
          <w:sz w:val="24"/>
        </w:rPr>
      </w:pPr>
      <w:r>
        <w:rPr>
          <w:rFonts w:hint="eastAsia"/>
          <w:color w:val="auto"/>
          <w:sz w:val="24"/>
        </w:rPr>
        <w:t>（</w:t>
      </w:r>
      <w:r>
        <w:rPr>
          <w:color w:val="auto"/>
          <w:sz w:val="24"/>
        </w:rPr>
        <w:t>1</w:t>
      </w:r>
      <w:r>
        <w:rPr>
          <w:rFonts w:hint="eastAsia"/>
          <w:color w:val="auto"/>
          <w:sz w:val="24"/>
        </w:rPr>
        <w:t>）截至本次付款周期末已实施工程的价款；</w:t>
      </w:r>
    </w:p>
    <w:p w14:paraId="12DDE531">
      <w:pPr>
        <w:spacing w:line="240" w:lineRule="auto"/>
        <w:ind w:firstLine="390"/>
        <w:rPr>
          <w:rFonts w:hint="eastAsia"/>
          <w:color w:val="auto"/>
          <w:sz w:val="24"/>
        </w:rPr>
      </w:pPr>
      <w:r>
        <w:rPr>
          <w:rFonts w:hint="eastAsia"/>
          <w:color w:val="auto"/>
          <w:sz w:val="24"/>
        </w:rPr>
        <w:t>（</w:t>
      </w:r>
      <w:r>
        <w:rPr>
          <w:color w:val="auto"/>
          <w:sz w:val="24"/>
        </w:rPr>
        <w:t>2</w:t>
      </w:r>
      <w:r>
        <w:rPr>
          <w:rFonts w:hint="eastAsia"/>
          <w:color w:val="auto"/>
          <w:sz w:val="24"/>
        </w:rPr>
        <w:t>）根据第</w:t>
      </w:r>
      <w:r>
        <w:rPr>
          <w:color w:val="auto"/>
          <w:sz w:val="24"/>
        </w:rPr>
        <w:t>15</w:t>
      </w:r>
      <w:r>
        <w:rPr>
          <w:rFonts w:hint="eastAsia"/>
          <w:color w:val="auto"/>
          <w:sz w:val="24"/>
        </w:rPr>
        <w:t>条应增加和扣减的变更金额；</w:t>
      </w:r>
    </w:p>
    <w:p w14:paraId="138C9453">
      <w:pPr>
        <w:spacing w:line="240" w:lineRule="auto"/>
        <w:ind w:firstLine="390"/>
        <w:rPr>
          <w:rFonts w:hint="eastAsia"/>
          <w:color w:val="auto"/>
          <w:sz w:val="24"/>
        </w:rPr>
      </w:pPr>
      <w:r>
        <w:rPr>
          <w:rFonts w:hint="eastAsia"/>
          <w:color w:val="auto"/>
          <w:sz w:val="24"/>
        </w:rPr>
        <w:t>（</w:t>
      </w:r>
      <w:r>
        <w:rPr>
          <w:color w:val="auto"/>
          <w:sz w:val="24"/>
        </w:rPr>
        <w:t>3</w:t>
      </w:r>
      <w:r>
        <w:rPr>
          <w:rFonts w:hint="eastAsia"/>
          <w:color w:val="auto"/>
          <w:sz w:val="24"/>
        </w:rPr>
        <w:t>）根据第</w:t>
      </w:r>
      <w:r>
        <w:rPr>
          <w:color w:val="auto"/>
          <w:sz w:val="24"/>
        </w:rPr>
        <w:t>23</w:t>
      </w:r>
      <w:r>
        <w:rPr>
          <w:rFonts w:hint="eastAsia"/>
          <w:color w:val="auto"/>
          <w:sz w:val="24"/>
        </w:rPr>
        <w:t>条应增加和扣减的索赔金额；</w:t>
      </w:r>
    </w:p>
    <w:p w14:paraId="79334032">
      <w:pPr>
        <w:spacing w:line="240" w:lineRule="auto"/>
        <w:ind w:firstLine="390"/>
        <w:rPr>
          <w:rFonts w:hint="eastAsia"/>
          <w:color w:val="auto"/>
          <w:sz w:val="24"/>
        </w:rPr>
      </w:pPr>
      <w:r>
        <w:rPr>
          <w:rFonts w:hint="eastAsia"/>
          <w:color w:val="auto"/>
          <w:sz w:val="24"/>
        </w:rPr>
        <w:t>（</w:t>
      </w:r>
      <w:r>
        <w:rPr>
          <w:color w:val="auto"/>
          <w:sz w:val="24"/>
        </w:rPr>
        <w:t>4</w:t>
      </w:r>
      <w:r>
        <w:rPr>
          <w:rFonts w:hint="eastAsia"/>
          <w:color w:val="auto"/>
          <w:sz w:val="24"/>
        </w:rPr>
        <w:t>）根据第</w:t>
      </w:r>
      <w:r>
        <w:rPr>
          <w:color w:val="auto"/>
          <w:sz w:val="24"/>
        </w:rPr>
        <w:t>17.2</w:t>
      </w:r>
      <w:r>
        <w:rPr>
          <w:rFonts w:hint="eastAsia"/>
          <w:color w:val="auto"/>
          <w:sz w:val="24"/>
        </w:rPr>
        <w:t>款约定应支付的预付款和扣减的返还预付款；</w:t>
      </w:r>
    </w:p>
    <w:p w14:paraId="2DA1EAC1">
      <w:pPr>
        <w:spacing w:line="240" w:lineRule="auto"/>
        <w:ind w:firstLine="390"/>
        <w:rPr>
          <w:rFonts w:hint="eastAsia"/>
          <w:color w:val="auto"/>
          <w:sz w:val="24"/>
        </w:rPr>
      </w:pPr>
      <w:r>
        <w:rPr>
          <w:rFonts w:hint="eastAsia"/>
          <w:color w:val="auto"/>
          <w:sz w:val="24"/>
        </w:rPr>
        <w:t>（</w:t>
      </w:r>
      <w:r>
        <w:rPr>
          <w:color w:val="auto"/>
          <w:sz w:val="24"/>
        </w:rPr>
        <w:t>5</w:t>
      </w:r>
      <w:r>
        <w:rPr>
          <w:rFonts w:hint="eastAsia"/>
          <w:color w:val="auto"/>
          <w:sz w:val="24"/>
        </w:rPr>
        <w:t>）根据第</w:t>
      </w:r>
      <w:r>
        <w:rPr>
          <w:color w:val="auto"/>
          <w:sz w:val="24"/>
        </w:rPr>
        <w:t>17.4.1</w:t>
      </w:r>
      <w:r>
        <w:rPr>
          <w:rFonts w:hint="eastAsia"/>
          <w:color w:val="auto"/>
          <w:sz w:val="24"/>
        </w:rPr>
        <w:t>项约定应扣减的质量保证金；</w:t>
      </w:r>
    </w:p>
    <w:p w14:paraId="3AC392C3">
      <w:pPr>
        <w:spacing w:line="240" w:lineRule="auto"/>
        <w:ind w:firstLine="390"/>
        <w:rPr>
          <w:rFonts w:hint="eastAsia"/>
          <w:color w:val="auto"/>
          <w:sz w:val="24"/>
        </w:rPr>
      </w:pPr>
      <w:r>
        <w:rPr>
          <w:rFonts w:hint="eastAsia"/>
          <w:color w:val="auto"/>
          <w:sz w:val="24"/>
        </w:rPr>
        <w:t>（</w:t>
      </w:r>
      <w:r>
        <w:rPr>
          <w:color w:val="auto"/>
          <w:sz w:val="24"/>
        </w:rPr>
        <w:t>6</w:t>
      </w:r>
      <w:r>
        <w:rPr>
          <w:rFonts w:hint="eastAsia"/>
          <w:color w:val="auto"/>
          <w:sz w:val="24"/>
        </w:rPr>
        <w:t>）根据合同应增加和扣减的其他金额。</w:t>
      </w:r>
    </w:p>
    <w:p w14:paraId="7B37A61A">
      <w:pPr>
        <w:spacing w:line="240" w:lineRule="auto"/>
        <w:ind w:firstLine="470" w:firstLineChars="196"/>
        <w:rPr>
          <w:color w:val="auto"/>
          <w:sz w:val="24"/>
        </w:rPr>
      </w:pPr>
      <w:r>
        <w:rPr>
          <w:color w:val="auto"/>
          <w:sz w:val="24"/>
        </w:rPr>
        <w:t xml:space="preserve">17.3.3 </w:t>
      </w:r>
      <w:r>
        <w:rPr>
          <w:rFonts w:hint="eastAsia" w:eastAsia="黑体"/>
          <w:color w:val="auto"/>
          <w:sz w:val="24"/>
        </w:rPr>
        <w:t>进度付款证书和支付时间</w:t>
      </w:r>
    </w:p>
    <w:p w14:paraId="2858A67B">
      <w:pPr>
        <w:spacing w:line="240" w:lineRule="auto"/>
        <w:ind w:firstLine="480" w:firstLineChars="200"/>
        <w:rPr>
          <w:rFonts w:hint="eastAsia"/>
          <w:color w:val="auto"/>
          <w:sz w:val="24"/>
        </w:rPr>
      </w:pPr>
      <w:r>
        <w:rPr>
          <w:rFonts w:hint="eastAsia"/>
          <w:color w:val="auto"/>
          <w:sz w:val="24"/>
        </w:rPr>
        <w:t>（</w:t>
      </w:r>
      <w:r>
        <w:rPr>
          <w:color w:val="auto"/>
          <w:sz w:val="24"/>
        </w:rPr>
        <w:t>1</w:t>
      </w:r>
      <w:r>
        <w:rPr>
          <w:rFonts w:hint="eastAsia"/>
          <w:color w:val="auto"/>
          <w:sz w:val="24"/>
        </w:rPr>
        <w:t>）</w:t>
      </w:r>
      <w:r>
        <w:rPr>
          <w:rFonts w:hint="eastAsia"/>
          <w:color w:val="auto"/>
          <w:sz w:val="24"/>
          <w:lang w:val="en-US" w:eastAsia="zh-CN"/>
        </w:rPr>
        <w:t>发包</w:t>
      </w:r>
      <w:r>
        <w:rPr>
          <w:rFonts w:hint="eastAsia"/>
          <w:color w:val="auto"/>
          <w:sz w:val="24"/>
        </w:rPr>
        <w:t>人在收到承包人进度付款申请单以及相应的支持性证明文件后的</w:t>
      </w:r>
      <w:r>
        <w:rPr>
          <w:color w:val="auto"/>
          <w:sz w:val="24"/>
        </w:rPr>
        <w:t>14</w:t>
      </w:r>
      <w:r>
        <w:rPr>
          <w:rFonts w:hint="eastAsia"/>
          <w:color w:val="auto"/>
          <w:sz w:val="24"/>
        </w:rPr>
        <w:t>天内完成核查，提出发包人到期应支付给承包人的金额以及相应的支持性材料，经发包人审查同意后，由</w:t>
      </w:r>
      <w:r>
        <w:rPr>
          <w:rFonts w:hint="eastAsia"/>
          <w:color w:val="auto"/>
          <w:sz w:val="24"/>
          <w:lang w:val="en-US" w:eastAsia="zh-CN"/>
        </w:rPr>
        <w:t>发包</w:t>
      </w:r>
      <w:r>
        <w:rPr>
          <w:rFonts w:hint="eastAsia"/>
          <w:color w:val="auto"/>
          <w:sz w:val="24"/>
        </w:rPr>
        <w:t>人向承包人出具经发包人签认的进度付款证书。</w:t>
      </w:r>
      <w:r>
        <w:rPr>
          <w:rFonts w:hint="eastAsia"/>
          <w:color w:val="auto"/>
          <w:sz w:val="24"/>
          <w:lang w:val="en-US" w:eastAsia="zh-CN"/>
        </w:rPr>
        <w:t>发包</w:t>
      </w:r>
      <w:r>
        <w:rPr>
          <w:rFonts w:hint="eastAsia"/>
          <w:color w:val="auto"/>
          <w:sz w:val="24"/>
        </w:rPr>
        <w:t>人有权扣发承包人未能按照合同要求履行任何工作或义务的相应金额。</w:t>
      </w:r>
    </w:p>
    <w:p w14:paraId="1565BB16">
      <w:pPr>
        <w:spacing w:line="240" w:lineRule="auto"/>
        <w:ind w:firstLine="480" w:firstLineChars="200"/>
        <w:rPr>
          <w:rFonts w:hint="eastAsia"/>
          <w:color w:val="auto"/>
          <w:sz w:val="24"/>
        </w:rPr>
      </w:pPr>
      <w:r>
        <w:rPr>
          <w:rFonts w:hint="eastAsia"/>
          <w:color w:val="auto"/>
          <w:sz w:val="24"/>
        </w:rPr>
        <w:t>（</w:t>
      </w:r>
      <w:r>
        <w:rPr>
          <w:color w:val="auto"/>
          <w:sz w:val="24"/>
        </w:rPr>
        <w:t>2</w:t>
      </w:r>
      <w:r>
        <w:rPr>
          <w:rFonts w:hint="eastAsia"/>
          <w:color w:val="auto"/>
          <w:sz w:val="24"/>
        </w:rPr>
        <w:t>）发包人应</w:t>
      </w:r>
      <w:r>
        <w:rPr>
          <w:rFonts w:hint="eastAsia"/>
          <w:color w:val="auto"/>
          <w:sz w:val="24"/>
          <w:lang w:val="en-US" w:eastAsia="zh-CN"/>
        </w:rPr>
        <w:t>在</w:t>
      </w:r>
      <w:r>
        <w:rPr>
          <w:rFonts w:hint="eastAsia"/>
          <w:color w:val="auto"/>
          <w:sz w:val="24"/>
        </w:rPr>
        <w:t>收到进度付款申请单后的</w:t>
      </w:r>
      <w:r>
        <w:rPr>
          <w:color w:val="auto"/>
          <w:sz w:val="24"/>
        </w:rPr>
        <w:t>28</w:t>
      </w:r>
      <w:r>
        <w:rPr>
          <w:rFonts w:hint="eastAsia"/>
          <w:color w:val="auto"/>
          <w:sz w:val="24"/>
        </w:rPr>
        <w:t>天内，将进度应付款支付给承包人。发包人不按期支付的，按专用合同条款的约定支付逾期付款违约金。</w:t>
      </w:r>
    </w:p>
    <w:p w14:paraId="5A66BF64">
      <w:pPr>
        <w:spacing w:line="240" w:lineRule="auto"/>
        <w:ind w:firstLine="480" w:firstLineChars="200"/>
        <w:rPr>
          <w:rFonts w:hint="eastAsia"/>
          <w:color w:val="auto"/>
          <w:sz w:val="24"/>
        </w:rPr>
      </w:pPr>
      <w:r>
        <w:rPr>
          <w:rFonts w:hint="eastAsia"/>
          <w:color w:val="auto"/>
          <w:sz w:val="24"/>
        </w:rPr>
        <w:t>（</w:t>
      </w:r>
      <w:r>
        <w:rPr>
          <w:rFonts w:hint="eastAsia"/>
          <w:color w:val="auto"/>
          <w:sz w:val="24"/>
          <w:lang w:val="en-US" w:eastAsia="zh-CN"/>
        </w:rPr>
        <w:t>3</w:t>
      </w:r>
      <w:r>
        <w:rPr>
          <w:rFonts w:hint="eastAsia"/>
          <w:color w:val="auto"/>
          <w:sz w:val="24"/>
        </w:rPr>
        <w:t>）进度付款涉及政府投资资金的，按照国库集中支付等国家相关规定和专用合同条款的约定办理。</w:t>
      </w:r>
    </w:p>
    <w:p w14:paraId="62A713C7">
      <w:pPr>
        <w:spacing w:line="240" w:lineRule="auto"/>
        <w:ind w:firstLine="470" w:firstLineChars="196"/>
        <w:rPr>
          <w:color w:val="auto"/>
          <w:sz w:val="24"/>
        </w:rPr>
      </w:pPr>
      <w:r>
        <w:rPr>
          <w:color w:val="auto"/>
          <w:sz w:val="24"/>
        </w:rPr>
        <w:br w:type="page"/>
      </w:r>
      <w:r>
        <w:rPr>
          <w:color w:val="auto"/>
          <w:sz w:val="24"/>
        </w:rPr>
        <w:t>17.3.4</w:t>
      </w:r>
      <w:r>
        <w:rPr>
          <w:rFonts w:eastAsia="黑体"/>
          <w:color w:val="auto"/>
          <w:sz w:val="24"/>
        </w:rPr>
        <w:t xml:space="preserve"> </w:t>
      </w:r>
      <w:r>
        <w:rPr>
          <w:rFonts w:hint="eastAsia" w:eastAsia="黑体"/>
          <w:color w:val="auto"/>
          <w:sz w:val="24"/>
        </w:rPr>
        <w:t>工程进度付款的修正</w:t>
      </w:r>
    </w:p>
    <w:p w14:paraId="47FA3BE4">
      <w:pPr>
        <w:spacing w:line="240" w:lineRule="auto"/>
        <w:ind w:firstLine="480" w:firstLineChars="200"/>
        <w:rPr>
          <w:rFonts w:hint="eastAsia"/>
          <w:color w:val="auto"/>
          <w:sz w:val="24"/>
        </w:rPr>
      </w:pPr>
      <w:r>
        <w:rPr>
          <w:rFonts w:hint="eastAsia"/>
          <w:color w:val="auto"/>
          <w:sz w:val="24"/>
        </w:rPr>
        <w:t>在对以往历次已签发的进度付款证书进行汇总和复核中发现错、漏或重复的，</w:t>
      </w:r>
      <w:r>
        <w:rPr>
          <w:rFonts w:hint="eastAsia"/>
          <w:color w:val="auto"/>
          <w:sz w:val="24"/>
          <w:lang w:val="en-US" w:eastAsia="zh-CN"/>
        </w:rPr>
        <w:t>发包</w:t>
      </w:r>
      <w:r>
        <w:rPr>
          <w:rFonts w:hint="eastAsia"/>
          <w:color w:val="auto"/>
          <w:sz w:val="24"/>
        </w:rPr>
        <w:t>人有权予以修正，承包人也有权提出修正申请。经双方复核同意的修正，应在本次进度付款中支付或扣除。</w:t>
      </w:r>
    </w:p>
    <w:p w14:paraId="575E1373">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17.4 </w:t>
      </w:r>
      <w:r>
        <w:rPr>
          <w:rFonts w:hint="eastAsia" w:eastAsia="黑体"/>
          <w:bCs/>
          <w:color w:val="auto"/>
          <w:kern w:val="44"/>
          <w:sz w:val="24"/>
          <w:lang w:val="zh-CN"/>
        </w:rPr>
        <w:t>质量保证金</w:t>
      </w:r>
    </w:p>
    <w:p w14:paraId="379257AD">
      <w:pPr>
        <w:spacing w:line="240" w:lineRule="auto"/>
        <w:ind w:firstLine="480" w:firstLineChars="200"/>
        <w:rPr>
          <w:color w:val="auto"/>
          <w:sz w:val="24"/>
        </w:rPr>
      </w:pPr>
      <w:r>
        <w:rPr>
          <w:color w:val="auto"/>
          <w:sz w:val="24"/>
        </w:rPr>
        <w:t xml:space="preserve">17.4.1 </w:t>
      </w:r>
      <w:r>
        <w:rPr>
          <w:rFonts w:hint="eastAsia"/>
          <w:color w:val="auto"/>
          <w:sz w:val="24"/>
        </w:rPr>
        <w:t>第一期计量后承包人应向发包人一次性缴纳项目全额质量保证金，质量保证金以现金形式，金额应符合项目专用合同条款数据表的规定。质量保证金不计付利息以及利息。</w:t>
      </w:r>
    </w:p>
    <w:p w14:paraId="0810D976">
      <w:pPr>
        <w:spacing w:line="240" w:lineRule="auto"/>
        <w:ind w:firstLine="480" w:firstLineChars="200"/>
        <w:rPr>
          <w:color w:val="auto"/>
          <w:sz w:val="24"/>
        </w:rPr>
      </w:pPr>
      <w:r>
        <w:rPr>
          <w:color w:val="auto"/>
          <w:sz w:val="24"/>
        </w:rPr>
        <w:t xml:space="preserve">17.4.2 </w:t>
      </w:r>
      <w:r>
        <w:rPr>
          <w:rFonts w:hint="eastAsia"/>
          <w:color w:val="auto"/>
          <w:sz w:val="24"/>
        </w:rPr>
        <w:t>在第1.1.4.5目约定的缺陷责任期满，按规定对工程质量检测鉴定合格，承包人向发包人申请到期应返还承包人剩余的质量保证金金额，发包人应在14天内会同承包人按照合同约定的内容核实承包人是否完成缺陷责任。如无异议，发包人应当在核实后将剩余保证金返还承包人。</w:t>
      </w:r>
    </w:p>
    <w:p w14:paraId="4B57E350">
      <w:pPr>
        <w:spacing w:line="240" w:lineRule="auto"/>
        <w:ind w:firstLine="480" w:firstLineChars="200"/>
        <w:rPr>
          <w:color w:val="auto"/>
          <w:sz w:val="24"/>
        </w:rPr>
      </w:pPr>
      <w:r>
        <w:rPr>
          <w:color w:val="auto"/>
          <w:sz w:val="24"/>
        </w:rPr>
        <w:t>17.4.3</w:t>
      </w:r>
      <w:r>
        <w:rPr>
          <w:rFonts w:hint="eastAsia"/>
          <w:color w:val="auto"/>
          <w:sz w:val="24"/>
        </w:rPr>
        <w:t>在第</w:t>
      </w:r>
      <w:r>
        <w:rPr>
          <w:color w:val="auto"/>
          <w:sz w:val="24"/>
        </w:rPr>
        <w:t>1.1.4.5</w:t>
      </w:r>
      <w:r>
        <w:rPr>
          <w:rFonts w:hint="eastAsia"/>
          <w:color w:val="auto"/>
          <w:sz w:val="24"/>
        </w:rPr>
        <w:t>目约定的缺陷责任期满时，承包人没有完成缺陷责任的，发包人有权扣留与未履行责任剩余工作所需金额相应的质量保证金余额，并有权根据第</w:t>
      </w:r>
      <w:r>
        <w:rPr>
          <w:color w:val="auto"/>
          <w:sz w:val="24"/>
        </w:rPr>
        <w:t>19.3</w:t>
      </w:r>
      <w:r>
        <w:rPr>
          <w:rFonts w:hint="eastAsia"/>
          <w:color w:val="auto"/>
          <w:sz w:val="24"/>
        </w:rPr>
        <w:t>款约定要求延长缺陷责任期，直至完成剩余工作为止。</w:t>
      </w:r>
      <w:r>
        <w:rPr>
          <w:color w:val="auto"/>
          <w:sz w:val="24"/>
        </w:rPr>
        <w:t xml:space="preserve"> </w:t>
      </w:r>
    </w:p>
    <w:p w14:paraId="68D0E032">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17.5 </w:t>
      </w:r>
      <w:r>
        <w:rPr>
          <w:rFonts w:hint="eastAsia" w:eastAsia="黑体"/>
          <w:bCs/>
          <w:color w:val="auto"/>
          <w:kern w:val="44"/>
          <w:sz w:val="24"/>
          <w:lang w:val="zh-CN"/>
        </w:rPr>
        <w:t>竣工结算</w:t>
      </w:r>
    </w:p>
    <w:p w14:paraId="042992A3">
      <w:pPr>
        <w:spacing w:line="240" w:lineRule="auto"/>
        <w:ind w:firstLine="470" w:firstLineChars="196"/>
        <w:rPr>
          <w:color w:val="auto"/>
          <w:sz w:val="24"/>
        </w:rPr>
      </w:pPr>
      <w:r>
        <w:rPr>
          <w:color w:val="auto"/>
          <w:sz w:val="24"/>
        </w:rPr>
        <w:t xml:space="preserve">17.5.1 </w:t>
      </w:r>
      <w:r>
        <w:rPr>
          <w:rFonts w:hint="eastAsia" w:eastAsia="黑体"/>
          <w:color w:val="auto"/>
          <w:sz w:val="24"/>
        </w:rPr>
        <w:t>竣工付款申请单</w:t>
      </w:r>
    </w:p>
    <w:p w14:paraId="320760D5">
      <w:pPr>
        <w:spacing w:line="240" w:lineRule="auto"/>
        <w:ind w:firstLine="480" w:firstLineChars="200"/>
        <w:rPr>
          <w:rFonts w:hint="eastAsia"/>
          <w:color w:val="auto"/>
          <w:sz w:val="24"/>
        </w:rPr>
      </w:pPr>
      <w:r>
        <w:rPr>
          <w:rFonts w:hint="eastAsia"/>
          <w:color w:val="auto"/>
          <w:sz w:val="24"/>
        </w:rPr>
        <w:t>（</w:t>
      </w:r>
      <w:r>
        <w:rPr>
          <w:color w:val="auto"/>
          <w:sz w:val="24"/>
        </w:rPr>
        <w:t>1</w:t>
      </w:r>
      <w:r>
        <w:rPr>
          <w:rFonts w:hint="eastAsia"/>
          <w:color w:val="auto"/>
          <w:sz w:val="24"/>
        </w:rPr>
        <w:t>）</w:t>
      </w:r>
      <w:r>
        <w:rPr>
          <w:color w:val="auto"/>
          <w:sz w:val="24"/>
        </w:rPr>
        <w:t xml:space="preserve"> </w:t>
      </w:r>
      <w:r>
        <w:rPr>
          <w:rFonts w:hint="eastAsia"/>
          <w:color w:val="auto"/>
          <w:sz w:val="24"/>
        </w:rPr>
        <w:t>工程接收证书颁发后，承包人应按专用合同条款约定的份数和期限向发包人提交竣工付款申请单，并提供相关证明材料。除专用合同条款另有约定外，竣工付款申请单应包括下列内容：竣工结算合同总价、发包人已支付承包人的工程价款、应扣留的质量保证金、应支付的竣工付款金额。</w:t>
      </w:r>
    </w:p>
    <w:p w14:paraId="607EE0E8">
      <w:pPr>
        <w:spacing w:line="240" w:lineRule="auto"/>
        <w:ind w:firstLine="480" w:firstLineChars="200"/>
        <w:rPr>
          <w:rFonts w:hint="eastAsia"/>
          <w:color w:val="auto"/>
          <w:sz w:val="24"/>
        </w:rPr>
      </w:pPr>
      <w:r>
        <w:rPr>
          <w:rFonts w:hint="eastAsia"/>
          <w:color w:val="auto"/>
          <w:sz w:val="24"/>
        </w:rPr>
        <w:t>（</w:t>
      </w:r>
      <w:r>
        <w:rPr>
          <w:color w:val="auto"/>
          <w:sz w:val="24"/>
        </w:rPr>
        <w:t>2</w:t>
      </w:r>
      <w:r>
        <w:rPr>
          <w:rFonts w:hint="eastAsia"/>
          <w:color w:val="auto"/>
          <w:sz w:val="24"/>
        </w:rPr>
        <w:t>）</w:t>
      </w:r>
      <w:r>
        <w:rPr>
          <w:rFonts w:hint="eastAsia"/>
          <w:color w:val="auto"/>
          <w:sz w:val="24"/>
          <w:lang w:val="en-US" w:eastAsia="zh-CN"/>
        </w:rPr>
        <w:t>发包</w:t>
      </w:r>
      <w:r>
        <w:rPr>
          <w:rFonts w:hint="eastAsia"/>
          <w:color w:val="auto"/>
          <w:sz w:val="24"/>
        </w:rPr>
        <w:t>人对竣工付款申请单有异议的，有权要求承包人进行修正和提供补充资料。经监理人和承包人协商后，由承包人向</w:t>
      </w:r>
      <w:r>
        <w:rPr>
          <w:rFonts w:hint="eastAsia"/>
          <w:color w:val="auto"/>
          <w:sz w:val="24"/>
          <w:lang w:val="en-US" w:eastAsia="zh-CN"/>
        </w:rPr>
        <w:t>发包</w:t>
      </w:r>
      <w:r>
        <w:rPr>
          <w:rFonts w:hint="eastAsia"/>
          <w:color w:val="auto"/>
          <w:sz w:val="24"/>
        </w:rPr>
        <w:t>人提交修正后的竣工付款申请单。</w:t>
      </w:r>
    </w:p>
    <w:p w14:paraId="4372A657">
      <w:pPr>
        <w:spacing w:line="240" w:lineRule="auto"/>
        <w:ind w:firstLine="470" w:firstLineChars="196"/>
        <w:rPr>
          <w:color w:val="auto"/>
          <w:sz w:val="24"/>
        </w:rPr>
      </w:pPr>
      <w:r>
        <w:rPr>
          <w:color w:val="auto"/>
          <w:sz w:val="24"/>
        </w:rPr>
        <w:t xml:space="preserve">17.5.2 </w:t>
      </w:r>
      <w:r>
        <w:rPr>
          <w:rFonts w:hint="eastAsia" w:eastAsia="黑体"/>
          <w:color w:val="auto"/>
          <w:sz w:val="24"/>
        </w:rPr>
        <w:t>竣工付款证书及支付时间</w:t>
      </w:r>
    </w:p>
    <w:p w14:paraId="086E629C">
      <w:pPr>
        <w:spacing w:line="240" w:lineRule="auto"/>
        <w:ind w:firstLine="470" w:firstLineChars="196"/>
        <w:rPr>
          <w:rFonts w:hint="eastAsia"/>
          <w:color w:val="auto"/>
          <w:sz w:val="24"/>
        </w:rPr>
      </w:pPr>
      <w:r>
        <w:rPr>
          <w:rFonts w:hint="eastAsia"/>
          <w:color w:val="auto"/>
          <w:sz w:val="24"/>
        </w:rPr>
        <w:t>（</w:t>
      </w:r>
      <w:r>
        <w:rPr>
          <w:color w:val="auto"/>
          <w:sz w:val="24"/>
        </w:rPr>
        <w:t>1</w:t>
      </w:r>
      <w:r>
        <w:rPr>
          <w:rFonts w:hint="eastAsia"/>
          <w:color w:val="auto"/>
          <w:sz w:val="24"/>
        </w:rPr>
        <w:t>）</w:t>
      </w:r>
      <w:r>
        <w:rPr>
          <w:rFonts w:hint="eastAsia"/>
          <w:color w:val="auto"/>
          <w:sz w:val="24"/>
          <w:lang w:val="en-US" w:eastAsia="zh-CN"/>
        </w:rPr>
        <w:t>发包</w:t>
      </w:r>
      <w:r>
        <w:rPr>
          <w:rFonts w:hint="eastAsia"/>
          <w:color w:val="auto"/>
          <w:sz w:val="24"/>
        </w:rPr>
        <w:t>人在收到承包人提交的竣工付款申请单后的</w:t>
      </w:r>
      <w:r>
        <w:rPr>
          <w:color w:val="auto"/>
          <w:sz w:val="24"/>
        </w:rPr>
        <w:t>14</w:t>
      </w:r>
      <w:r>
        <w:rPr>
          <w:rFonts w:hint="eastAsia"/>
          <w:color w:val="auto"/>
          <w:sz w:val="24"/>
        </w:rPr>
        <w:t>天内完成核查，提出发包人到期应支付给承包人的价款送发包人审核并抄送承包人。发包人应在收到后</w:t>
      </w:r>
      <w:r>
        <w:rPr>
          <w:color w:val="auto"/>
          <w:sz w:val="24"/>
        </w:rPr>
        <w:t>14</w:t>
      </w:r>
      <w:r>
        <w:rPr>
          <w:rFonts w:hint="eastAsia"/>
          <w:color w:val="auto"/>
          <w:sz w:val="24"/>
        </w:rPr>
        <w:t>天内审核完毕，由</w:t>
      </w:r>
      <w:r>
        <w:rPr>
          <w:rFonts w:hint="eastAsia"/>
          <w:color w:val="auto"/>
          <w:sz w:val="24"/>
          <w:lang w:val="en-US" w:eastAsia="zh-CN"/>
        </w:rPr>
        <w:t>发包</w:t>
      </w:r>
      <w:r>
        <w:rPr>
          <w:rFonts w:hint="eastAsia"/>
          <w:color w:val="auto"/>
          <w:sz w:val="24"/>
        </w:rPr>
        <w:t>人向承包人出具经发包人签认的竣工付款证书。</w:t>
      </w:r>
      <w:r>
        <w:rPr>
          <w:rFonts w:hint="eastAsia"/>
          <w:color w:val="auto"/>
          <w:sz w:val="24"/>
          <w:lang w:val="en-US" w:eastAsia="zh-CN"/>
        </w:rPr>
        <w:t>发包</w:t>
      </w:r>
      <w:r>
        <w:rPr>
          <w:rFonts w:hint="eastAsia"/>
          <w:color w:val="auto"/>
          <w:sz w:val="24"/>
        </w:rPr>
        <w:t>人未在约定时间内核查，又未提出具体意见的，视为承包人提交的竣工付款申请单已经</w:t>
      </w:r>
      <w:r>
        <w:rPr>
          <w:rFonts w:hint="eastAsia"/>
          <w:color w:val="auto"/>
          <w:sz w:val="24"/>
          <w:lang w:val="en-US" w:eastAsia="zh-CN"/>
        </w:rPr>
        <w:t>发包</w:t>
      </w:r>
      <w:r>
        <w:rPr>
          <w:rFonts w:hint="eastAsia"/>
          <w:color w:val="auto"/>
          <w:sz w:val="24"/>
        </w:rPr>
        <w:t>人核查同意；发包人未在约定时间内审核又未提出具体意见的，</w:t>
      </w:r>
      <w:r>
        <w:rPr>
          <w:rFonts w:hint="eastAsia"/>
          <w:color w:val="auto"/>
          <w:sz w:val="24"/>
          <w:lang w:val="en-US" w:eastAsia="zh-CN"/>
        </w:rPr>
        <w:t>发包</w:t>
      </w:r>
      <w:r>
        <w:rPr>
          <w:rFonts w:hint="eastAsia"/>
          <w:color w:val="auto"/>
          <w:sz w:val="24"/>
        </w:rPr>
        <w:t>人提出发包人到期应支付给承包人的价款视为已经发包人同意。</w:t>
      </w:r>
    </w:p>
    <w:p w14:paraId="3B09966B">
      <w:pPr>
        <w:spacing w:line="240" w:lineRule="auto"/>
        <w:ind w:firstLine="600"/>
        <w:rPr>
          <w:rFonts w:hint="eastAsia"/>
          <w:color w:val="auto"/>
          <w:sz w:val="24"/>
        </w:rPr>
      </w:pPr>
      <w:r>
        <w:rPr>
          <w:rFonts w:hint="eastAsia"/>
          <w:color w:val="auto"/>
          <w:sz w:val="24"/>
        </w:rPr>
        <w:t>（</w:t>
      </w:r>
      <w:r>
        <w:rPr>
          <w:color w:val="auto"/>
          <w:sz w:val="24"/>
        </w:rPr>
        <w:t>2</w:t>
      </w:r>
      <w:r>
        <w:rPr>
          <w:rFonts w:hint="eastAsia"/>
          <w:color w:val="auto"/>
          <w:sz w:val="24"/>
        </w:rPr>
        <w:t>）发包人应在</w:t>
      </w:r>
      <w:r>
        <w:rPr>
          <w:rFonts w:hint="eastAsia"/>
          <w:color w:val="auto"/>
          <w:sz w:val="24"/>
          <w:lang w:val="en-US" w:eastAsia="zh-CN"/>
        </w:rPr>
        <w:t>发包</w:t>
      </w:r>
      <w:r>
        <w:rPr>
          <w:rFonts w:hint="eastAsia"/>
          <w:color w:val="auto"/>
          <w:sz w:val="24"/>
        </w:rPr>
        <w:t>人出具竣工付款证书后的</w:t>
      </w:r>
      <w:r>
        <w:rPr>
          <w:color w:val="auto"/>
          <w:sz w:val="24"/>
        </w:rPr>
        <w:t>14</w:t>
      </w:r>
      <w:r>
        <w:rPr>
          <w:rFonts w:hint="eastAsia"/>
          <w:color w:val="auto"/>
          <w:sz w:val="24"/>
        </w:rPr>
        <w:t>天内，将应支付款支付给承包人。发包人不按期支付的，按第</w:t>
      </w:r>
      <w:r>
        <w:rPr>
          <w:color w:val="auto"/>
          <w:sz w:val="24"/>
        </w:rPr>
        <w:t>17.3.3</w:t>
      </w:r>
      <w:r>
        <w:rPr>
          <w:rFonts w:hint="eastAsia"/>
          <w:color w:val="auto"/>
          <w:sz w:val="24"/>
        </w:rPr>
        <w:t>（</w:t>
      </w:r>
      <w:r>
        <w:rPr>
          <w:color w:val="auto"/>
          <w:sz w:val="24"/>
        </w:rPr>
        <w:t>2</w:t>
      </w:r>
      <w:r>
        <w:rPr>
          <w:rFonts w:hint="eastAsia"/>
          <w:color w:val="auto"/>
          <w:sz w:val="24"/>
        </w:rPr>
        <w:t>）目的约定，将逾期付款违约金支付给承包人。</w:t>
      </w:r>
    </w:p>
    <w:p w14:paraId="4D9A8B3F">
      <w:pPr>
        <w:spacing w:line="240" w:lineRule="auto"/>
        <w:ind w:firstLine="600"/>
        <w:rPr>
          <w:rFonts w:hint="eastAsia"/>
          <w:color w:val="auto"/>
          <w:sz w:val="24"/>
        </w:rPr>
      </w:pPr>
      <w:r>
        <w:rPr>
          <w:rFonts w:hint="eastAsia"/>
          <w:color w:val="auto"/>
          <w:sz w:val="24"/>
        </w:rPr>
        <w:t>（</w:t>
      </w:r>
      <w:r>
        <w:rPr>
          <w:color w:val="auto"/>
          <w:sz w:val="24"/>
        </w:rPr>
        <w:t>3</w:t>
      </w:r>
      <w:r>
        <w:rPr>
          <w:rFonts w:hint="eastAsia"/>
          <w:color w:val="auto"/>
          <w:sz w:val="24"/>
        </w:rPr>
        <w:t>）承包人对发包人签认的竣工付款证书有异议的，发包人可出具竣工付款申请单中承包人已同意部分的临时付款证书。存在争议的部分，按第</w:t>
      </w:r>
      <w:r>
        <w:rPr>
          <w:color w:val="auto"/>
          <w:sz w:val="24"/>
        </w:rPr>
        <w:t>24</w:t>
      </w:r>
      <w:r>
        <w:rPr>
          <w:rFonts w:hint="eastAsia"/>
          <w:color w:val="auto"/>
          <w:sz w:val="24"/>
        </w:rPr>
        <w:t>条的约定办理。</w:t>
      </w:r>
    </w:p>
    <w:p w14:paraId="06FE8DD2">
      <w:pPr>
        <w:spacing w:line="240" w:lineRule="auto"/>
        <w:ind w:firstLine="600"/>
        <w:rPr>
          <w:rFonts w:hint="eastAsia"/>
          <w:color w:val="auto"/>
          <w:sz w:val="24"/>
        </w:rPr>
      </w:pPr>
      <w:r>
        <w:rPr>
          <w:rFonts w:hint="eastAsia"/>
          <w:color w:val="auto"/>
          <w:sz w:val="24"/>
        </w:rPr>
        <w:t>（</w:t>
      </w:r>
      <w:r>
        <w:rPr>
          <w:color w:val="auto"/>
          <w:sz w:val="24"/>
        </w:rPr>
        <w:t>4</w:t>
      </w:r>
      <w:r>
        <w:rPr>
          <w:rFonts w:hint="eastAsia"/>
          <w:color w:val="auto"/>
          <w:sz w:val="24"/>
        </w:rPr>
        <w:t>）竣工付款涉及政府投资资金的，按第</w:t>
      </w:r>
      <w:r>
        <w:rPr>
          <w:color w:val="auto"/>
          <w:sz w:val="24"/>
        </w:rPr>
        <w:t>17.3.3</w:t>
      </w:r>
      <w:r>
        <w:rPr>
          <w:rFonts w:hint="eastAsia"/>
          <w:color w:val="auto"/>
          <w:sz w:val="24"/>
        </w:rPr>
        <w:t>（</w:t>
      </w:r>
      <w:r>
        <w:rPr>
          <w:color w:val="auto"/>
          <w:sz w:val="24"/>
        </w:rPr>
        <w:t>4</w:t>
      </w:r>
      <w:r>
        <w:rPr>
          <w:rFonts w:hint="eastAsia"/>
          <w:color w:val="auto"/>
          <w:sz w:val="24"/>
        </w:rPr>
        <w:t>）目的约定办理。</w:t>
      </w:r>
    </w:p>
    <w:p w14:paraId="46ADEB80">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17.6 </w:t>
      </w:r>
      <w:r>
        <w:rPr>
          <w:rFonts w:hint="eastAsia" w:eastAsia="黑体"/>
          <w:bCs/>
          <w:color w:val="auto"/>
          <w:kern w:val="44"/>
          <w:sz w:val="24"/>
          <w:lang w:val="zh-CN"/>
        </w:rPr>
        <w:t>最终结清</w:t>
      </w:r>
    </w:p>
    <w:p w14:paraId="04E2F9DF">
      <w:pPr>
        <w:spacing w:line="240" w:lineRule="auto"/>
        <w:ind w:firstLine="470" w:firstLineChars="196"/>
        <w:rPr>
          <w:color w:val="auto"/>
          <w:sz w:val="24"/>
        </w:rPr>
      </w:pPr>
      <w:r>
        <w:rPr>
          <w:color w:val="auto"/>
          <w:sz w:val="24"/>
        </w:rPr>
        <w:t xml:space="preserve">17.6.1 </w:t>
      </w:r>
      <w:r>
        <w:rPr>
          <w:rFonts w:hint="eastAsia" w:eastAsia="黑体"/>
          <w:color w:val="auto"/>
          <w:sz w:val="24"/>
        </w:rPr>
        <w:t>最终结清申请单</w:t>
      </w:r>
    </w:p>
    <w:p w14:paraId="25276966">
      <w:pPr>
        <w:spacing w:line="240" w:lineRule="auto"/>
        <w:ind w:firstLine="480" w:firstLineChars="200"/>
        <w:rPr>
          <w:rFonts w:hint="eastAsia"/>
          <w:color w:val="auto"/>
          <w:sz w:val="24"/>
        </w:rPr>
      </w:pPr>
      <w:r>
        <w:rPr>
          <w:rFonts w:hint="eastAsia"/>
          <w:color w:val="auto"/>
          <w:sz w:val="24"/>
        </w:rPr>
        <w:t>（</w:t>
      </w:r>
      <w:r>
        <w:rPr>
          <w:color w:val="auto"/>
          <w:sz w:val="24"/>
        </w:rPr>
        <w:t>1</w:t>
      </w:r>
      <w:r>
        <w:rPr>
          <w:rFonts w:hint="eastAsia"/>
          <w:color w:val="auto"/>
          <w:sz w:val="24"/>
        </w:rPr>
        <w:t>）缺陷责任期终止证书签发后，承包人可按专用合同条款约定的份数和期限向</w:t>
      </w:r>
      <w:r>
        <w:rPr>
          <w:rFonts w:hint="eastAsia"/>
          <w:color w:val="auto"/>
          <w:sz w:val="24"/>
          <w:lang w:val="en-US" w:eastAsia="zh-CN"/>
        </w:rPr>
        <w:t>发包</w:t>
      </w:r>
      <w:r>
        <w:rPr>
          <w:rFonts w:hint="eastAsia"/>
          <w:color w:val="auto"/>
          <w:sz w:val="24"/>
        </w:rPr>
        <w:t>人提交最终结清申请单，并提供相关证明材料。</w:t>
      </w:r>
    </w:p>
    <w:p w14:paraId="1A83B021">
      <w:pPr>
        <w:spacing w:line="240" w:lineRule="auto"/>
        <w:ind w:firstLine="480" w:firstLineChars="200"/>
        <w:rPr>
          <w:rFonts w:hint="eastAsia"/>
          <w:color w:val="auto"/>
          <w:sz w:val="24"/>
        </w:rPr>
      </w:pPr>
      <w:r>
        <w:rPr>
          <w:rFonts w:hint="eastAsia"/>
          <w:color w:val="auto"/>
          <w:sz w:val="24"/>
        </w:rPr>
        <w:t>（</w:t>
      </w:r>
      <w:r>
        <w:rPr>
          <w:color w:val="auto"/>
          <w:sz w:val="24"/>
        </w:rPr>
        <w:t>2</w:t>
      </w:r>
      <w:r>
        <w:rPr>
          <w:rFonts w:hint="eastAsia"/>
          <w:color w:val="auto"/>
          <w:sz w:val="24"/>
        </w:rPr>
        <w:t>）发包人对最终结清申请单内容有异议的，有权要求承包人进行修正和提供补充资料，由承包人向</w:t>
      </w:r>
      <w:r>
        <w:rPr>
          <w:rFonts w:hint="eastAsia"/>
          <w:color w:val="auto"/>
          <w:sz w:val="24"/>
          <w:lang w:val="en-US" w:eastAsia="zh-CN"/>
        </w:rPr>
        <w:t>发包</w:t>
      </w:r>
      <w:r>
        <w:rPr>
          <w:rFonts w:hint="eastAsia"/>
          <w:color w:val="auto"/>
          <w:sz w:val="24"/>
        </w:rPr>
        <w:t>人提交修正后的最终结清申请单。</w:t>
      </w:r>
    </w:p>
    <w:p w14:paraId="1683C565">
      <w:pPr>
        <w:spacing w:line="240" w:lineRule="auto"/>
        <w:ind w:firstLine="470" w:firstLineChars="196"/>
        <w:rPr>
          <w:color w:val="auto"/>
          <w:sz w:val="24"/>
        </w:rPr>
      </w:pPr>
      <w:r>
        <w:rPr>
          <w:color w:val="auto"/>
          <w:sz w:val="24"/>
        </w:rPr>
        <w:t xml:space="preserve">17.6.2 </w:t>
      </w:r>
      <w:r>
        <w:rPr>
          <w:rFonts w:hint="eastAsia" w:eastAsia="黑体"/>
          <w:color w:val="auto"/>
          <w:sz w:val="24"/>
        </w:rPr>
        <w:t>最终结清证书和支付时间</w:t>
      </w:r>
      <w:r>
        <w:rPr>
          <w:color w:val="auto"/>
          <w:sz w:val="24"/>
        </w:rPr>
        <w:t xml:space="preserve"> </w:t>
      </w:r>
    </w:p>
    <w:p w14:paraId="0FA3C41D">
      <w:pPr>
        <w:spacing w:line="240" w:lineRule="auto"/>
        <w:ind w:firstLine="480" w:firstLineChars="200"/>
        <w:rPr>
          <w:rFonts w:hint="eastAsia"/>
          <w:color w:val="auto"/>
          <w:sz w:val="24"/>
        </w:rPr>
      </w:pPr>
      <w:r>
        <w:rPr>
          <w:rFonts w:hint="eastAsia"/>
          <w:color w:val="auto"/>
          <w:sz w:val="24"/>
        </w:rPr>
        <w:t>（</w:t>
      </w:r>
      <w:r>
        <w:rPr>
          <w:color w:val="auto"/>
          <w:sz w:val="24"/>
        </w:rPr>
        <w:t>1</w:t>
      </w:r>
      <w:r>
        <w:rPr>
          <w:rFonts w:hint="eastAsia"/>
          <w:color w:val="auto"/>
          <w:sz w:val="24"/>
        </w:rPr>
        <w:t>）</w:t>
      </w:r>
      <w:r>
        <w:rPr>
          <w:rFonts w:hint="eastAsia"/>
          <w:color w:val="auto"/>
          <w:sz w:val="24"/>
          <w:lang w:val="en-US" w:eastAsia="zh-CN"/>
        </w:rPr>
        <w:t>发包</w:t>
      </w:r>
      <w:r>
        <w:rPr>
          <w:rFonts w:hint="eastAsia"/>
          <w:color w:val="auto"/>
          <w:sz w:val="24"/>
        </w:rPr>
        <w:t>人收到承包人提交的最终结清申请单后的</w:t>
      </w:r>
      <w:r>
        <w:rPr>
          <w:color w:val="auto"/>
          <w:sz w:val="24"/>
        </w:rPr>
        <w:t>14</w:t>
      </w:r>
      <w:r>
        <w:rPr>
          <w:rFonts w:hint="eastAsia"/>
          <w:color w:val="auto"/>
          <w:sz w:val="24"/>
        </w:rPr>
        <w:t>天内，提出发包人应支付给承包人的价款送发包人审核并抄送承包人。发包人应在收到后</w:t>
      </w:r>
      <w:r>
        <w:rPr>
          <w:color w:val="auto"/>
          <w:sz w:val="24"/>
        </w:rPr>
        <w:t>14</w:t>
      </w:r>
      <w:r>
        <w:rPr>
          <w:rFonts w:hint="eastAsia"/>
          <w:color w:val="auto"/>
          <w:sz w:val="24"/>
        </w:rPr>
        <w:t>天内审核完毕，向承包人出具经发包人签认的最终结清证书。</w:t>
      </w:r>
      <w:r>
        <w:rPr>
          <w:rFonts w:hint="eastAsia"/>
          <w:color w:val="auto"/>
          <w:sz w:val="24"/>
          <w:lang w:val="en-US" w:eastAsia="zh-CN"/>
        </w:rPr>
        <w:t>发包</w:t>
      </w:r>
      <w:r>
        <w:rPr>
          <w:rFonts w:hint="eastAsia"/>
          <w:color w:val="auto"/>
          <w:sz w:val="24"/>
        </w:rPr>
        <w:t>人未在约定时间内核查，又未提出具体意见的，视为承包人提交的最终结清申请单已经发包人核查同意；发包人未在约定时间内审核又未提出具体意见的，</w:t>
      </w:r>
      <w:r>
        <w:rPr>
          <w:rFonts w:hint="eastAsia"/>
          <w:color w:val="auto"/>
          <w:sz w:val="24"/>
          <w:lang w:val="en-US" w:eastAsia="zh-CN"/>
        </w:rPr>
        <w:t>发包</w:t>
      </w:r>
      <w:r>
        <w:rPr>
          <w:rFonts w:hint="eastAsia"/>
          <w:color w:val="auto"/>
          <w:sz w:val="24"/>
        </w:rPr>
        <w:t>人提出应支付给承包人的价款视为已经发包人同意。</w:t>
      </w:r>
    </w:p>
    <w:p w14:paraId="60F86509">
      <w:pPr>
        <w:spacing w:line="240" w:lineRule="auto"/>
        <w:ind w:firstLine="480" w:firstLineChars="200"/>
        <w:rPr>
          <w:rFonts w:hint="eastAsia"/>
          <w:color w:val="auto"/>
          <w:sz w:val="24"/>
        </w:rPr>
      </w:pPr>
      <w:r>
        <w:rPr>
          <w:rFonts w:hint="eastAsia"/>
          <w:color w:val="auto"/>
          <w:sz w:val="24"/>
        </w:rPr>
        <w:t>（</w:t>
      </w:r>
      <w:r>
        <w:rPr>
          <w:color w:val="auto"/>
          <w:sz w:val="24"/>
        </w:rPr>
        <w:t>2</w:t>
      </w:r>
      <w:r>
        <w:rPr>
          <w:rFonts w:hint="eastAsia"/>
          <w:color w:val="auto"/>
          <w:sz w:val="24"/>
        </w:rPr>
        <w:t>）发包人应在发包人出具最终结清证书后的</w:t>
      </w:r>
      <w:r>
        <w:rPr>
          <w:color w:val="auto"/>
          <w:sz w:val="24"/>
        </w:rPr>
        <w:t>14</w:t>
      </w:r>
      <w:r>
        <w:rPr>
          <w:rFonts w:hint="eastAsia"/>
          <w:color w:val="auto"/>
          <w:sz w:val="24"/>
        </w:rPr>
        <w:t>天内，将应支付款支付给承包人。发包人不按期支付的，按第</w:t>
      </w:r>
      <w:r>
        <w:rPr>
          <w:color w:val="auto"/>
          <w:sz w:val="24"/>
        </w:rPr>
        <w:t>17.3.3</w:t>
      </w:r>
      <w:r>
        <w:rPr>
          <w:rFonts w:hint="eastAsia"/>
          <w:color w:val="auto"/>
          <w:sz w:val="24"/>
        </w:rPr>
        <w:t>（</w:t>
      </w:r>
      <w:r>
        <w:rPr>
          <w:color w:val="auto"/>
          <w:sz w:val="24"/>
        </w:rPr>
        <w:t>2</w:t>
      </w:r>
      <w:r>
        <w:rPr>
          <w:rFonts w:hint="eastAsia"/>
          <w:color w:val="auto"/>
          <w:sz w:val="24"/>
        </w:rPr>
        <w:t>）目的约定，将逾期付款违约金支付给承包人。</w:t>
      </w:r>
    </w:p>
    <w:p w14:paraId="5C351B3F">
      <w:pPr>
        <w:spacing w:line="240" w:lineRule="auto"/>
        <w:ind w:firstLine="480" w:firstLineChars="200"/>
        <w:rPr>
          <w:rFonts w:hint="eastAsia"/>
          <w:color w:val="auto"/>
          <w:sz w:val="24"/>
        </w:rPr>
      </w:pPr>
      <w:r>
        <w:rPr>
          <w:rFonts w:hint="eastAsia"/>
          <w:color w:val="auto"/>
          <w:sz w:val="24"/>
        </w:rPr>
        <w:t>（</w:t>
      </w:r>
      <w:r>
        <w:rPr>
          <w:color w:val="auto"/>
          <w:sz w:val="24"/>
        </w:rPr>
        <w:t>3</w:t>
      </w:r>
      <w:r>
        <w:rPr>
          <w:rFonts w:hint="eastAsia"/>
          <w:color w:val="auto"/>
          <w:sz w:val="24"/>
        </w:rPr>
        <w:t>）承包人对发包人签认的最终结清证书有异议的，按第</w:t>
      </w:r>
      <w:r>
        <w:rPr>
          <w:color w:val="auto"/>
          <w:sz w:val="24"/>
        </w:rPr>
        <w:t>24</w:t>
      </w:r>
      <w:r>
        <w:rPr>
          <w:rFonts w:hint="eastAsia"/>
          <w:color w:val="auto"/>
          <w:sz w:val="24"/>
        </w:rPr>
        <w:t>条的约定办理。</w:t>
      </w:r>
    </w:p>
    <w:p w14:paraId="66032B4A">
      <w:pPr>
        <w:spacing w:line="240" w:lineRule="auto"/>
        <w:ind w:firstLine="480" w:firstLineChars="200"/>
        <w:rPr>
          <w:rFonts w:hint="eastAsia"/>
          <w:color w:val="auto"/>
          <w:sz w:val="24"/>
        </w:rPr>
      </w:pPr>
      <w:r>
        <w:rPr>
          <w:rFonts w:hint="eastAsia"/>
          <w:color w:val="auto"/>
          <w:sz w:val="24"/>
        </w:rPr>
        <w:t>（</w:t>
      </w:r>
      <w:r>
        <w:rPr>
          <w:color w:val="auto"/>
          <w:sz w:val="24"/>
        </w:rPr>
        <w:t>4</w:t>
      </w:r>
      <w:r>
        <w:rPr>
          <w:rFonts w:hint="eastAsia"/>
          <w:color w:val="auto"/>
          <w:sz w:val="24"/>
        </w:rPr>
        <w:t>）最终结清付款涉及政府投资资金的，按第</w:t>
      </w:r>
      <w:r>
        <w:rPr>
          <w:color w:val="auto"/>
          <w:sz w:val="24"/>
        </w:rPr>
        <w:t>17.3.3</w:t>
      </w:r>
      <w:r>
        <w:rPr>
          <w:rFonts w:hint="eastAsia"/>
          <w:color w:val="auto"/>
          <w:sz w:val="24"/>
        </w:rPr>
        <w:t>（</w:t>
      </w:r>
      <w:r>
        <w:rPr>
          <w:color w:val="auto"/>
          <w:sz w:val="24"/>
        </w:rPr>
        <w:t>4</w:t>
      </w:r>
      <w:r>
        <w:rPr>
          <w:rFonts w:hint="eastAsia"/>
          <w:color w:val="auto"/>
          <w:sz w:val="24"/>
        </w:rPr>
        <w:t>）目的约定办理。</w:t>
      </w:r>
    </w:p>
    <w:p w14:paraId="1D42A730">
      <w:pPr>
        <w:keepNext/>
        <w:keepLines/>
        <w:spacing w:before="480" w:after="240" w:line="240" w:lineRule="auto"/>
        <w:outlineLvl w:val="2"/>
        <w:rPr>
          <w:rFonts w:eastAsia="黑体"/>
          <w:bCs/>
          <w:color w:val="auto"/>
          <w:kern w:val="44"/>
          <w:sz w:val="28"/>
          <w:szCs w:val="28"/>
          <w:lang w:val="zh-CN"/>
        </w:rPr>
      </w:pPr>
      <w:r>
        <w:rPr>
          <w:rFonts w:eastAsia="黑体"/>
          <w:bCs/>
          <w:color w:val="auto"/>
          <w:kern w:val="44"/>
          <w:sz w:val="28"/>
          <w:szCs w:val="28"/>
          <w:lang w:val="zh-CN"/>
        </w:rPr>
        <w:t xml:space="preserve">18. </w:t>
      </w:r>
      <w:r>
        <w:rPr>
          <w:rFonts w:hint="eastAsia" w:eastAsia="黑体"/>
          <w:bCs/>
          <w:color w:val="auto"/>
          <w:kern w:val="44"/>
          <w:sz w:val="28"/>
          <w:szCs w:val="28"/>
          <w:lang w:val="zh-CN"/>
        </w:rPr>
        <w:t>竣工验收</w:t>
      </w:r>
    </w:p>
    <w:p w14:paraId="6F251102">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18.1 </w:t>
      </w:r>
      <w:r>
        <w:rPr>
          <w:rFonts w:hint="eastAsia" w:eastAsia="黑体"/>
          <w:bCs/>
          <w:color w:val="auto"/>
          <w:kern w:val="44"/>
          <w:sz w:val="24"/>
          <w:lang w:val="zh-CN"/>
        </w:rPr>
        <w:t>竣工验收的含义</w:t>
      </w:r>
    </w:p>
    <w:p w14:paraId="1D7A60A8">
      <w:pPr>
        <w:spacing w:line="240" w:lineRule="auto"/>
        <w:ind w:firstLine="480" w:firstLineChars="200"/>
        <w:rPr>
          <w:color w:val="auto"/>
          <w:sz w:val="24"/>
        </w:rPr>
      </w:pPr>
      <w:r>
        <w:rPr>
          <w:color w:val="auto"/>
          <w:sz w:val="24"/>
        </w:rPr>
        <w:t xml:space="preserve">18.1.1 </w:t>
      </w:r>
      <w:r>
        <w:rPr>
          <w:rFonts w:hint="eastAsia"/>
          <w:color w:val="auto"/>
          <w:sz w:val="24"/>
        </w:rPr>
        <w:t>竣工验收指承包人完成了全部合同工作后，发包人按合同要求进行的验收。</w:t>
      </w:r>
    </w:p>
    <w:p w14:paraId="0CC61E8D">
      <w:pPr>
        <w:spacing w:line="240" w:lineRule="auto"/>
        <w:ind w:firstLine="480" w:firstLineChars="200"/>
        <w:rPr>
          <w:color w:val="auto"/>
          <w:sz w:val="24"/>
        </w:rPr>
      </w:pPr>
      <w:r>
        <w:rPr>
          <w:color w:val="auto"/>
          <w:sz w:val="24"/>
        </w:rPr>
        <w:t xml:space="preserve">18.1.2 </w:t>
      </w:r>
      <w:r>
        <w:rPr>
          <w:rFonts w:hint="eastAsia"/>
          <w:color w:val="auto"/>
          <w:sz w:val="24"/>
        </w:rPr>
        <w:t>国家验收是政府有关部门根据法律、规范、规程和政策要求，针对发包人全面组织实施的整个工程正式交付投运前的验收。</w:t>
      </w:r>
    </w:p>
    <w:p w14:paraId="536B34B9">
      <w:pPr>
        <w:spacing w:line="240" w:lineRule="auto"/>
        <w:ind w:firstLine="480" w:firstLineChars="200"/>
        <w:rPr>
          <w:color w:val="auto"/>
          <w:sz w:val="24"/>
        </w:rPr>
      </w:pPr>
      <w:r>
        <w:rPr>
          <w:color w:val="auto"/>
          <w:sz w:val="24"/>
        </w:rPr>
        <w:t xml:space="preserve">18.1.3 </w:t>
      </w:r>
      <w:r>
        <w:rPr>
          <w:rFonts w:hint="eastAsia"/>
          <w:color w:val="auto"/>
          <w:sz w:val="24"/>
        </w:rPr>
        <w:t>需要进行国家验收的，竣工验收是国家验收的一部分。竣工验收所采用的各项验收和评定标准应符合国家验收标准。发包人和承包人为竣工验收提供的各项竣工验收资料应符合国家验收的要求。</w:t>
      </w:r>
      <w:r>
        <w:rPr>
          <w:color w:val="auto"/>
          <w:sz w:val="24"/>
        </w:rPr>
        <w:t xml:space="preserve"> </w:t>
      </w:r>
    </w:p>
    <w:p w14:paraId="5D10B639">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18.2 </w:t>
      </w:r>
      <w:r>
        <w:rPr>
          <w:rFonts w:hint="eastAsia" w:eastAsia="黑体"/>
          <w:bCs/>
          <w:color w:val="auto"/>
          <w:kern w:val="44"/>
          <w:sz w:val="24"/>
          <w:lang w:val="zh-CN"/>
        </w:rPr>
        <w:t>竣工验收申请报告</w:t>
      </w:r>
    </w:p>
    <w:p w14:paraId="70D1C22A">
      <w:pPr>
        <w:spacing w:line="240" w:lineRule="auto"/>
        <w:ind w:firstLine="480" w:firstLineChars="200"/>
        <w:rPr>
          <w:rFonts w:hint="eastAsia"/>
          <w:color w:val="auto"/>
          <w:sz w:val="24"/>
        </w:rPr>
      </w:pPr>
      <w:r>
        <w:rPr>
          <w:rFonts w:hint="eastAsia"/>
          <w:color w:val="auto"/>
          <w:sz w:val="24"/>
        </w:rPr>
        <w:t>当工程具备以下条件时，承包人即可向</w:t>
      </w:r>
      <w:r>
        <w:rPr>
          <w:rFonts w:hint="eastAsia"/>
          <w:color w:val="auto"/>
          <w:sz w:val="24"/>
          <w:lang w:val="en-US" w:eastAsia="zh-CN"/>
        </w:rPr>
        <w:t>发包</w:t>
      </w:r>
      <w:r>
        <w:rPr>
          <w:rFonts w:hint="eastAsia"/>
          <w:color w:val="auto"/>
          <w:sz w:val="24"/>
        </w:rPr>
        <w:t>人报送竣工验收申请报告：</w:t>
      </w:r>
    </w:p>
    <w:p w14:paraId="4AA38988">
      <w:pPr>
        <w:spacing w:line="240" w:lineRule="auto"/>
        <w:ind w:firstLine="480" w:firstLineChars="200"/>
        <w:rPr>
          <w:rFonts w:hint="eastAsia"/>
          <w:color w:val="auto"/>
          <w:sz w:val="24"/>
        </w:rPr>
      </w:pPr>
      <w:r>
        <w:rPr>
          <w:rFonts w:hint="eastAsia"/>
          <w:color w:val="auto"/>
          <w:sz w:val="24"/>
        </w:rPr>
        <w:t>（</w:t>
      </w:r>
      <w:r>
        <w:rPr>
          <w:color w:val="auto"/>
          <w:sz w:val="24"/>
        </w:rPr>
        <w:t>1</w:t>
      </w:r>
      <w:r>
        <w:rPr>
          <w:rFonts w:hint="eastAsia"/>
          <w:color w:val="auto"/>
          <w:sz w:val="24"/>
        </w:rPr>
        <w:t>）除</w:t>
      </w:r>
      <w:r>
        <w:rPr>
          <w:rFonts w:hint="eastAsia"/>
          <w:color w:val="auto"/>
          <w:sz w:val="24"/>
          <w:lang w:val="en-US" w:eastAsia="zh-CN"/>
        </w:rPr>
        <w:t xml:space="preserve">发包 </w:t>
      </w:r>
      <w:r>
        <w:rPr>
          <w:rFonts w:hint="eastAsia"/>
          <w:color w:val="auto"/>
          <w:sz w:val="24"/>
        </w:rPr>
        <w:t>人同意列入缺陷责任期内完成的尾工（甩项）工程和缺陷修补工作外，合同范围内的全部单位工程以及有关工作，包括合同要求的试验、试运行以及检验和验收均已完成，并符合合同要求；</w:t>
      </w:r>
    </w:p>
    <w:p w14:paraId="0D803502">
      <w:pPr>
        <w:spacing w:line="240" w:lineRule="auto"/>
        <w:ind w:firstLine="480" w:firstLineChars="200"/>
        <w:rPr>
          <w:rFonts w:hint="eastAsia"/>
          <w:color w:val="auto"/>
          <w:sz w:val="24"/>
        </w:rPr>
      </w:pPr>
      <w:r>
        <w:rPr>
          <w:rFonts w:hint="eastAsia"/>
          <w:color w:val="auto"/>
          <w:sz w:val="24"/>
        </w:rPr>
        <w:t>（</w:t>
      </w:r>
      <w:r>
        <w:rPr>
          <w:color w:val="auto"/>
          <w:sz w:val="24"/>
        </w:rPr>
        <w:t>2</w:t>
      </w:r>
      <w:r>
        <w:rPr>
          <w:rFonts w:hint="eastAsia"/>
          <w:color w:val="auto"/>
          <w:sz w:val="24"/>
        </w:rPr>
        <w:t>）已按合同约定的内容和份数备齐了符合要求的竣工资料；</w:t>
      </w:r>
      <w:r>
        <w:rPr>
          <w:color w:val="auto"/>
          <w:sz w:val="24"/>
        </w:rPr>
        <w:t xml:space="preserve"> </w:t>
      </w:r>
    </w:p>
    <w:p w14:paraId="5D8AD903">
      <w:pPr>
        <w:spacing w:line="240" w:lineRule="auto"/>
        <w:ind w:firstLine="480" w:firstLineChars="200"/>
        <w:rPr>
          <w:rFonts w:hint="eastAsia"/>
          <w:color w:val="auto"/>
          <w:sz w:val="24"/>
        </w:rPr>
      </w:pPr>
      <w:r>
        <w:rPr>
          <w:rFonts w:hint="eastAsia"/>
          <w:color w:val="auto"/>
          <w:sz w:val="24"/>
        </w:rPr>
        <w:t>（</w:t>
      </w:r>
      <w:r>
        <w:rPr>
          <w:color w:val="auto"/>
          <w:sz w:val="24"/>
        </w:rPr>
        <w:t>3</w:t>
      </w:r>
      <w:r>
        <w:rPr>
          <w:rFonts w:hint="eastAsia"/>
          <w:color w:val="auto"/>
          <w:sz w:val="24"/>
        </w:rPr>
        <w:t>）已按</w:t>
      </w:r>
      <w:r>
        <w:rPr>
          <w:rFonts w:hint="eastAsia"/>
          <w:color w:val="auto"/>
          <w:sz w:val="24"/>
          <w:lang w:val="en-US" w:eastAsia="zh-CN"/>
        </w:rPr>
        <w:t>发包</w:t>
      </w:r>
      <w:r>
        <w:rPr>
          <w:rFonts w:hint="eastAsia"/>
          <w:color w:val="auto"/>
          <w:sz w:val="24"/>
        </w:rPr>
        <w:t>人的要求编制了在缺陷责任期内完成的尾工（甩项）工程和缺陷修补工作清单以及相应施工计划；</w:t>
      </w:r>
    </w:p>
    <w:p w14:paraId="67A4CCAA">
      <w:pPr>
        <w:spacing w:line="240" w:lineRule="auto"/>
        <w:ind w:firstLine="480" w:firstLineChars="200"/>
        <w:rPr>
          <w:rFonts w:hint="eastAsia"/>
          <w:color w:val="auto"/>
          <w:sz w:val="24"/>
        </w:rPr>
      </w:pPr>
      <w:r>
        <w:rPr>
          <w:rFonts w:hint="eastAsia"/>
          <w:color w:val="auto"/>
          <w:sz w:val="24"/>
        </w:rPr>
        <w:t>（</w:t>
      </w:r>
      <w:r>
        <w:rPr>
          <w:color w:val="auto"/>
          <w:sz w:val="24"/>
        </w:rPr>
        <w:t>4</w:t>
      </w:r>
      <w:r>
        <w:rPr>
          <w:rFonts w:hint="eastAsia"/>
          <w:color w:val="auto"/>
          <w:sz w:val="24"/>
        </w:rPr>
        <w:t>）</w:t>
      </w:r>
      <w:r>
        <w:rPr>
          <w:rFonts w:hint="eastAsia"/>
          <w:color w:val="auto"/>
          <w:sz w:val="24"/>
          <w:lang w:val="en-US" w:eastAsia="zh-CN"/>
        </w:rPr>
        <w:t>发包</w:t>
      </w:r>
      <w:r>
        <w:rPr>
          <w:rFonts w:hint="eastAsia"/>
          <w:color w:val="auto"/>
          <w:sz w:val="24"/>
        </w:rPr>
        <w:t>人要求在竣工验收前应完成的其他工作；</w:t>
      </w:r>
    </w:p>
    <w:p w14:paraId="76AA2412">
      <w:pPr>
        <w:spacing w:line="240" w:lineRule="auto"/>
        <w:ind w:firstLine="480" w:firstLineChars="200"/>
        <w:rPr>
          <w:rFonts w:hint="eastAsia"/>
          <w:color w:val="auto"/>
          <w:sz w:val="24"/>
        </w:rPr>
      </w:pPr>
      <w:r>
        <w:rPr>
          <w:rFonts w:hint="eastAsia"/>
          <w:color w:val="auto"/>
          <w:sz w:val="24"/>
        </w:rPr>
        <w:t>（</w:t>
      </w:r>
      <w:r>
        <w:rPr>
          <w:color w:val="auto"/>
          <w:sz w:val="24"/>
        </w:rPr>
        <w:t>5</w:t>
      </w:r>
      <w:r>
        <w:rPr>
          <w:rFonts w:hint="eastAsia"/>
          <w:color w:val="auto"/>
          <w:sz w:val="24"/>
        </w:rPr>
        <w:t>）</w:t>
      </w:r>
      <w:r>
        <w:rPr>
          <w:rFonts w:hint="eastAsia"/>
          <w:color w:val="auto"/>
          <w:sz w:val="24"/>
          <w:lang w:val="en-US" w:eastAsia="zh-CN"/>
        </w:rPr>
        <w:t>发包</w:t>
      </w:r>
      <w:r>
        <w:rPr>
          <w:rFonts w:hint="eastAsia"/>
          <w:color w:val="auto"/>
          <w:sz w:val="24"/>
        </w:rPr>
        <w:t>人要求提交的竣工验收资料清单。</w:t>
      </w:r>
    </w:p>
    <w:p w14:paraId="50A522A0">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18.3 </w:t>
      </w:r>
      <w:r>
        <w:rPr>
          <w:rFonts w:hint="eastAsia" w:eastAsia="黑体"/>
          <w:bCs/>
          <w:color w:val="auto"/>
          <w:kern w:val="44"/>
          <w:sz w:val="24"/>
          <w:lang w:val="zh-CN"/>
        </w:rPr>
        <w:t>验收</w:t>
      </w:r>
    </w:p>
    <w:p w14:paraId="525736C3">
      <w:pPr>
        <w:spacing w:line="240" w:lineRule="auto"/>
        <w:ind w:firstLine="480" w:firstLineChars="200"/>
        <w:rPr>
          <w:rFonts w:hint="eastAsia"/>
          <w:color w:val="auto"/>
          <w:sz w:val="24"/>
        </w:rPr>
      </w:pPr>
      <w:r>
        <w:rPr>
          <w:rFonts w:hint="eastAsia"/>
          <w:color w:val="auto"/>
          <w:sz w:val="24"/>
          <w:lang w:val="en-US" w:eastAsia="zh-CN"/>
        </w:rPr>
        <w:t>发包</w:t>
      </w:r>
      <w:r>
        <w:rPr>
          <w:rFonts w:hint="eastAsia"/>
          <w:color w:val="auto"/>
          <w:sz w:val="24"/>
        </w:rPr>
        <w:t>人收到承包人按第</w:t>
      </w:r>
      <w:r>
        <w:rPr>
          <w:color w:val="auto"/>
          <w:sz w:val="24"/>
        </w:rPr>
        <w:t>18.2</w:t>
      </w:r>
      <w:r>
        <w:rPr>
          <w:rFonts w:hint="eastAsia"/>
          <w:color w:val="auto"/>
          <w:sz w:val="24"/>
        </w:rPr>
        <w:t>款约定提交的竣工验收申请报告后，应审查申请报告的各项内容，并按以下不同情况进行处理。</w:t>
      </w:r>
    </w:p>
    <w:p w14:paraId="7252F257">
      <w:pPr>
        <w:spacing w:line="240" w:lineRule="auto"/>
        <w:ind w:firstLine="480" w:firstLineChars="200"/>
        <w:rPr>
          <w:color w:val="auto"/>
          <w:sz w:val="24"/>
        </w:rPr>
      </w:pPr>
      <w:r>
        <w:rPr>
          <w:color w:val="auto"/>
          <w:sz w:val="24"/>
        </w:rPr>
        <w:t xml:space="preserve">18.3.1 </w:t>
      </w:r>
      <w:r>
        <w:rPr>
          <w:rFonts w:hint="eastAsia"/>
          <w:color w:val="auto"/>
          <w:sz w:val="24"/>
          <w:lang w:val="en-US" w:eastAsia="zh-CN"/>
        </w:rPr>
        <w:t>发包</w:t>
      </w:r>
      <w:r>
        <w:rPr>
          <w:rFonts w:hint="eastAsia"/>
          <w:color w:val="auto"/>
          <w:sz w:val="24"/>
        </w:rPr>
        <w:t>人审查后认为尚不具备竣工验收条件的，应在收到竣工验收申请报告后的</w:t>
      </w:r>
      <w:r>
        <w:rPr>
          <w:color w:val="auto"/>
          <w:sz w:val="24"/>
        </w:rPr>
        <w:t>28</w:t>
      </w:r>
      <w:r>
        <w:rPr>
          <w:rFonts w:hint="eastAsia"/>
          <w:color w:val="auto"/>
          <w:sz w:val="24"/>
        </w:rPr>
        <w:t>天内通知承包人，指出在颁发接收证书前承包人还需进行的工作内容。承包人完成</w:t>
      </w:r>
      <w:r>
        <w:rPr>
          <w:rFonts w:hint="eastAsia"/>
          <w:color w:val="auto"/>
          <w:sz w:val="24"/>
          <w:lang w:val="en-US" w:eastAsia="zh-CN"/>
        </w:rPr>
        <w:t>发包</w:t>
      </w:r>
      <w:r>
        <w:rPr>
          <w:rFonts w:hint="eastAsia"/>
          <w:color w:val="auto"/>
          <w:sz w:val="24"/>
        </w:rPr>
        <w:t>人通知的全部工作内容后，应再次提交竣工验收申请报告，直至</w:t>
      </w:r>
      <w:r>
        <w:rPr>
          <w:rFonts w:hint="eastAsia"/>
          <w:color w:val="auto"/>
          <w:sz w:val="24"/>
          <w:lang w:val="en-US" w:eastAsia="zh-CN"/>
        </w:rPr>
        <w:t>发包</w:t>
      </w:r>
      <w:r>
        <w:rPr>
          <w:rFonts w:hint="eastAsia"/>
          <w:color w:val="auto"/>
          <w:sz w:val="24"/>
        </w:rPr>
        <w:t>人同意为止。</w:t>
      </w:r>
    </w:p>
    <w:p w14:paraId="047D921A">
      <w:pPr>
        <w:spacing w:line="240" w:lineRule="auto"/>
        <w:ind w:firstLine="480" w:firstLineChars="200"/>
        <w:rPr>
          <w:color w:val="auto"/>
          <w:sz w:val="24"/>
        </w:rPr>
      </w:pPr>
      <w:r>
        <w:rPr>
          <w:color w:val="auto"/>
          <w:sz w:val="24"/>
        </w:rPr>
        <w:t xml:space="preserve">18.3.2 </w:t>
      </w:r>
      <w:r>
        <w:rPr>
          <w:rFonts w:hint="eastAsia"/>
          <w:color w:val="auto"/>
          <w:sz w:val="24"/>
          <w:lang w:val="en-US" w:eastAsia="zh-CN"/>
        </w:rPr>
        <w:t>发包</w:t>
      </w:r>
      <w:r>
        <w:rPr>
          <w:rFonts w:hint="eastAsia"/>
          <w:color w:val="auto"/>
          <w:sz w:val="24"/>
        </w:rPr>
        <w:t>人审查后认为已具备竣工验收条件的，应在收到竣工验收申请报告后的</w:t>
      </w:r>
      <w:r>
        <w:rPr>
          <w:color w:val="auto"/>
          <w:sz w:val="24"/>
        </w:rPr>
        <w:t>28</w:t>
      </w:r>
      <w:r>
        <w:rPr>
          <w:rFonts w:hint="eastAsia"/>
          <w:color w:val="auto"/>
          <w:sz w:val="24"/>
        </w:rPr>
        <w:t>天内提请发包人进行工程验收。</w:t>
      </w:r>
    </w:p>
    <w:p w14:paraId="7E60A360">
      <w:pPr>
        <w:spacing w:line="240" w:lineRule="auto"/>
        <w:ind w:firstLine="480" w:firstLineChars="200"/>
        <w:rPr>
          <w:color w:val="auto"/>
          <w:sz w:val="24"/>
        </w:rPr>
      </w:pPr>
      <w:r>
        <w:rPr>
          <w:color w:val="auto"/>
          <w:sz w:val="24"/>
        </w:rPr>
        <w:t>18.3.3</w:t>
      </w:r>
      <w:r>
        <w:rPr>
          <w:rFonts w:hint="eastAsia"/>
          <w:color w:val="auto"/>
          <w:sz w:val="24"/>
        </w:rPr>
        <w:t>发包人经过验收后同意接收工程的，应在收到竣工验收申请报告后的</w:t>
      </w:r>
      <w:r>
        <w:rPr>
          <w:color w:val="auto"/>
          <w:sz w:val="24"/>
        </w:rPr>
        <w:t>56</w:t>
      </w:r>
      <w:r>
        <w:rPr>
          <w:rFonts w:hint="eastAsia"/>
          <w:color w:val="auto"/>
          <w:sz w:val="24"/>
        </w:rPr>
        <w:t>天内，由承包人出具经发包人签认的工程接收证书。发包人验收后同意接收工程但提出整修和完善要求的，限期修好，并缓发工程接收证书。整修和完善工作完成后，发包人复查达到要求的，经发包人同意后，再向承包人出具工程接收证书。</w:t>
      </w:r>
    </w:p>
    <w:p w14:paraId="6E5EA09D">
      <w:pPr>
        <w:spacing w:line="240" w:lineRule="auto"/>
        <w:ind w:firstLine="480" w:firstLineChars="200"/>
        <w:rPr>
          <w:color w:val="auto"/>
          <w:sz w:val="24"/>
        </w:rPr>
      </w:pPr>
      <w:r>
        <w:rPr>
          <w:color w:val="auto"/>
          <w:sz w:val="24"/>
        </w:rPr>
        <w:t xml:space="preserve">18.3.4 </w:t>
      </w:r>
      <w:r>
        <w:rPr>
          <w:rFonts w:hint="eastAsia"/>
          <w:color w:val="auto"/>
          <w:sz w:val="24"/>
        </w:rPr>
        <w:t>发包人验收后不同意接收工程的，应按照发包人的验收意见发出指示，要求承包人对不合格工程认真返工重作或进行补救处理，并承担由此产生的费用。承包人在完成不合格工程的返工重作或补救工作后，应重新提交竣工验收申请报告，按第</w:t>
      </w:r>
      <w:r>
        <w:rPr>
          <w:color w:val="auto"/>
          <w:sz w:val="24"/>
        </w:rPr>
        <w:t>18.3.1</w:t>
      </w:r>
      <w:r>
        <w:rPr>
          <w:rFonts w:hint="eastAsia"/>
          <w:color w:val="auto"/>
          <w:sz w:val="24"/>
        </w:rPr>
        <w:t>项、第</w:t>
      </w:r>
      <w:r>
        <w:rPr>
          <w:color w:val="auto"/>
          <w:sz w:val="24"/>
        </w:rPr>
        <w:t>18.3.2</w:t>
      </w:r>
      <w:r>
        <w:rPr>
          <w:rFonts w:hint="eastAsia"/>
          <w:color w:val="auto"/>
          <w:sz w:val="24"/>
        </w:rPr>
        <w:t>项和第</w:t>
      </w:r>
      <w:r>
        <w:rPr>
          <w:color w:val="auto"/>
          <w:sz w:val="24"/>
        </w:rPr>
        <w:t>18.3.3</w:t>
      </w:r>
      <w:r>
        <w:rPr>
          <w:rFonts w:hint="eastAsia"/>
          <w:color w:val="auto"/>
          <w:sz w:val="24"/>
        </w:rPr>
        <w:t>项的约定进行。</w:t>
      </w:r>
    </w:p>
    <w:p w14:paraId="4D4DDE4F">
      <w:pPr>
        <w:spacing w:line="240" w:lineRule="auto"/>
        <w:ind w:firstLine="480" w:firstLineChars="200"/>
        <w:rPr>
          <w:color w:val="auto"/>
          <w:sz w:val="24"/>
        </w:rPr>
      </w:pPr>
      <w:r>
        <w:rPr>
          <w:color w:val="auto"/>
          <w:sz w:val="24"/>
        </w:rPr>
        <w:t xml:space="preserve">18.3.5 </w:t>
      </w:r>
      <w:r>
        <w:rPr>
          <w:rFonts w:hint="eastAsia"/>
          <w:color w:val="auto"/>
          <w:sz w:val="24"/>
        </w:rPr>
        <w:t>除专用合同条款另有约定外，经验收合格工程的实际竣工日期，以提交竣工验收申请报告的日期为准，并在工程接收证书中写明。</w:t>
      </w:r>
    </w:p>
    <w:p w14:paraId="18AE02C0">
      <w:pPr>
        <w:spacing w:line="240" w:lineRule="auto"/>
        <w:ind w:firstLine="480" w:firstLineChars="200"/>
        <w:rPr>
          <w:color w:val="auto"/>
          <w:sz w:val="24"/>
        </w:rPr>
      </w:pPr>
      <w:r>
        <w:rPr>
          <w:color w:val="auto"/>
          <w:sz w:val="24"/>
        </w:rPr>
        <w:t xml:space="preserve">18.3.6 </w:t>
      </w:r>
      <w:r>
        <w:rPr>
          <w:rFonts w:hint="eastAsia"/>
          <w:color w:val="auto"/>
          <w:sz w:val="24"/>
        </w:rPr>
        <w:t>发包人在收到承包人竣工验收申请报告</w:t>
      </w:r>
      <w:r>
        <w:rPr>
          <w:color w:val="auto"/>
          <w:sz w:val="24"/>
        </w:rPr>
        <w:t>56</w:t>
      </w:r>
      <w:r>
        <w:rPr>
          <w:rFonts w:hint="eastAsia"/>
          <w:color w:val="auto"/>
          <w:sz w:val="24"/>
        </w:rPr>
        <w:t>天后未进行验收的，视为验收合格，实际竣工日期以提交竣工验收申请报告的日期为准，但发包人由于不可抗力不能进行验收的除外。</w:t>
      </w:r>
    </w:p>
    <w:p w14:paraId="5C1E24B5">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18.4 </w:t>
      </w:r>
      <w:r>
        <w:rPr>
          <w:rFonts w:hint="eastAsia" w:eastAsia="黑体"/>
          <w:bCs/>
          <w:color w:val="auto"/>
          <w:kern w:val="44"/>
          <w:sz w:val="24"/>
          <w:lang w:val="zh-CN"/>
        </w:rPr>
        <w:t>单位工程验收</w:t>
      </w:r>
    </w:p>
    <w:p w14:paraId="7D53E3C7">
      <w:pPr>
        <w:spacing w:line="240" w:lineRule="auto"/>
        <w:ind w:firstLine="480" w:firstLineChars="200"/>
        <w:rPr>
          <w:rFonts w:eastAsia="黑体"/>
          <w:color w:val="auto"/>
          <w:sz w:val="24"/>
        </w:rPr>
      </w:pPr>
      <w:r>
        <w:rPr>
          <w:rFonts w:eastAsia="黑体"/>
          <w:color w:val="auto"/>
          <w:sz w:val="24"/>
        </w:rPr>
        <w:t>18.4.1</w:t>
      </w:r>
      <w:r>
        <w:rPr>
          <w:rFonts w:hint="eastAsia"/>
          <w:color w:val="auto"/>
          <w:sz w:val="24"/>
        </w:rPr>
        <w:t>发包人根据合同进度计划安排，在全部工程竣工前需要使用已经竣工的单位工程时，或承包人提出经发包人同意时，可进行单位工程验收。验收的程序可参照第</w:t>
      </w:r>
      <w:r>
        <w:rPr>
          <w:color w:val="auto"/>
          <w:sz w:val="24"/>
        </w:rPr>
        <w:t>18.2</w:t>
      </w:r>
      <w:r>
        <w:rPr>
          <w:rFonts w:hint="eastAsia"/>
          <w:color w:val="auto"/>
          <w:sz w:val="24"/>
        </w:rPr>
        <w:t>款与第</w:t>
      </w:r>
      <w:r>
        <w:rPr>
          <w:color w:val="auto"/>
          <w:sz w:val="24"/>
        </w:rPr>
        <w:t>18.3</w:t>
      </w:r>
      <w:r>
        <w:rPr>
          <w:rFonts w:hint="eastAsia"/>
          <w:color w:val="auto"/>
          <w:sz w:val="24"/>
        </w:rPr>
        <w:t>款的约定进行。验收合格后，由</w:t>
      </w:r>
      <w:r>
        <w:rPr>
          <w:rFonts w:hint="eastAsia"/>
          <w:color w:val="auto"/>
          <w:sz w:val="24"/>
          <w:lang w:val="en-US" w:eastAsia="zh-CN"/>
        </w:rPr>
        <w:t>发包</w:t>
      </w:r>
      <w:r>
        <w:rPr>
          <w:rFonts w:hint="eastAsia"/>
          <w:color w:val="auto"/>
          <w:sz w:val="24"/>
        </w:rPr>
        <w:t>人向承包人出具经发包人签认的单位工程验收证书。已签发单位工程接收证书的单位工程由发包人负责照管。单位工程的验收成果和结论作为全部工程竣工验收申请报告的附件。</w:t>
      </w:r>
    </w:p>
    <w:p w14:paraId="52C90B7D">
      <w:pPr>
        <w:spacing w:line="240" w:lineRule="auto"/>
        <w:ind w:firstLine="480" w:firstLineChars="200"/>
        <w:rPr>
          <w:color w:val="auto"/>
          <w:sz w:val="24"/>
        </w:rPr>
      </w:pPr>
      <w:r>
        <w:rPr>
          <w:color w:val="auto"/>
          <w:sz w:val="24"/>
        </w:rPr>
        <w:t>18.4.2</w:t>
      </w:r>
      <w:r>
        <w:rPr>
          <w:rFonts w:hint="eastAsia"/>
          <w:color w:val="auto"/>
          <w:sz w:val="24"/>
        </w:rPr>
        <w:t>发包人在全部工程竣工前，使用已接收的单位工程导致承包人费用增加的，发包人应承担由此增加的费用和（或）工期延误，并支付承包人合理利润。</w:t>
      </w:r>
    </w:p>
    <w:p w14:paraId="08F944F3">
      <w:pPr>
        <w:keepNext/>
        <w:keepLines/>
        <w:spacing w:before="240" w:after="240" w:line="240" w:lineRule="auto"/>
        <w:rPr>
          <w:rFonts w:eastAsia="黑体"/>
          <w:bCs/>
          <w:color w:val="auto"/>
          <w:kern w:val="44"/>
          <w:sz w:val="24"/>
          <w:lang w:val="zh-CN"/>
        </w:rPr>
      </w:pPr>
      <w:r>
        <w:rPr>
          <w:rFonts w:eastAsia="黑体"/>
          <w:bCs/>
          <w:color w:val="auto"/>
          <w:kern w:val="44"/>
          <w:sz w:val="24"/>
          <w:lang w:val="zh-CN"/>
        </w:rPr>
        <w:t>18.5</w:t>
      </w:r>
      <w:r>
        <w:rPr>
          <w:rFonts w:hint="eastAsia" w:eastAsia="黑体"/>
          <w:bCs/>
          <w:color w:val="auto"/>
          <w:kern w:val="44"/>
          <w:sz w:val="24"/>
          <w:lang w:val="zh-CN"/>
        </w:rPr>
        <w:t>施工期运行</w:t>
      </w:r>
    </w:p>
    <w:p w14:paraId="25A2CBB3">
      <w:pPr>
        <w:spacing w:line="240" w:lineRule="auto"/>
        <w:ind w:firstLine="480" w:firstLineChars="200"/>
        <w:rPr>
          <w:color w:val="auto"/>
          <w:sz w:val="24"/>
        </w:rPr>
      </w:pPr>
      <w:r>
        <w:rPr>
          <w:color w:val="auto"/>
          <w:sz w:val="24"/>
        </w:rPr>
        <w:t xml:space="preserve">18.5.1 </w:t>
      </w:r>
      <w:r>
        <w:rPr>
          <w:rFonts w:hint="eastAsia"/>
          <w:color w:val="auto"/>
          <w:sz w:val="24"/>
        </w:rPr>
        <w:t>施工期运行是指合同工程尚未全部竣工，其中某项或某几项单位工程或工程设备安装已竣工，根据专用合同条款约定，需要投入施工期运行的，经发包人按第</w:t>
      </w:r>
      <w:r>
        <w:rPr>
          <w:color w:val="auto"/>
          <w:sz w:val="24"/>
        </w:rPr>
        <w:t>18.4</w:t>
      </w:r>
      <w:r>
        <w:rPr>
          <w:rFonts w:hint="eastAsia"/>
          <w:color w:val="auto"/>
          <w:sz w:val="24"/>
        </w:rPr>
        <w:t>款的约定验收合格，证明能确保安全后，才能在施工期投入运行。</w:t>
      </w:r>
    </w:p>
    <w:p w14:paraId="6E9C6BC2">
      <w:pPr>
        <w:spacing w:line="240" w:lineRule="auto"/>
        <w:ind w:firstLine="480" w:firstLineChars="200"/>
        <w:rPr>
          <w:color w:val="auto"/>
          <w:sz w:val="24"/>
        </w:rPr>
      </w:pPr>
      <w:r>
        <w:rPr>
          <w:color w:val="auto"/>
          <w:sz w:val="24"/>
        </w:rPr>
        <w:t xml:space="preserve">18.5.2 </w:t>
      </w:r>
      <w:r>
        <w:rPr>
          <w:rFonts w:hint="eastAsia"/>
          <w:color w:val="auto"/>
          <w:sz w:val="24"/>
        </w:rPr>
        <w:t>在施工期运行中发现工程或工程设备损坏或存在缺陷的，由承包人按第</w:t>
      </w:r>
      <w:r>
        <w:rPr>
          <w:color w:val="auto"/>
          <w:sz w:val="24"/>
        </w:rPr>
        <w:t>19.2</w:t>
      </w:r>
      <w:r>
        <w:rPr>
          <w:rFonts w:hint="eastAsia"/>
          <w:color w:val="auto"/>
          <w:sz w:val="24"/>
        </w:rPr>
        <w:t>款约定进行修复。</w:t>
      </w:r>
    </w:p>
    <w:p w14:paraId="3F4A460C">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18.6 </w:t>
      </w:r>
      <w:r>
        <w:rPr>
          <w:rFonts w:hint="eastAsia" w:eastAsia="黑体"/>
          <w:bCs/>
          <w:color w:val="auto"/>
          <w:kern w:val="44"/>
          <w:sz w:val="24"/>
          <w:lang w:val="zh-CN"/>
        </w:rPr>
        <w:t>试运行</w:t>
      </w:r>
    </w:p>
    <w:p w14:paraId="7F4C0779">
      <w:pPr>
        <w:spacing w:line="240" w:lineRule="auto"/>
        <w:ind w:firstLine="480" w:firstLineChars="200"/>
        <w:rPr>
          <w:color w:val="auto"/>
          <w:sz w:val="24"/>
        </w:rPr>
      </w:pPr>
      <w:r>
        <w:rPr>
          <w:color w:val="auto"/>
          <w:sz w:val="24"/>
        </w:rPr>
        <w:t>18.6.1</w:t>
      </w:r>
      <w:r>
        <w:rPr>
          <w:b/>
          <w:color w:val="auto"/>
          <w:sz w:val="24"/>
        </w:rPr>
        <w:t xml:space="preserve"> </w:t>
      </w:r>
      <w:r>
        <w:rPr>
          <w:rFonts w:hint="eastAsia"/>
          <w:color w:val="auto"/>
          <w:sz w:val="24"/>
        </w:rPr>
        <w:t>除专用合同条款另有约定外，承包人应按专用合同条款约定进行工程及工程设备试运行，负责提供试运行所需的人员、器材和必要的条件，并承担全部试运行费用。</w:t>
      </w:r>
    </w:p>
    <w:p w14:paraId="0DEC4F8D">
      <w:pPr>
        <w:spacing w:line="240" w:lineRule="auto"/>
        <w:ind w:firstLine="480" w:firstLineChars="200"/>
        <w:rPr>
          <w:color w:val="auto"/>
          <w:sz w:val="24"/>
        </w:rPr>
      </w:pPr>
      <w:r>
        <w:rPr>
          <w:color w:val="auto"/>
          <w:sz w:val="24"/>
        </w:rPr>
        <w:t>18.6.2</w:t>
      </w:r>
      <w:r>
        <w:rPr>
          <w:rFonts w:hint="eastAsia"/>
          <w:color w:val="auto"/>
          <w:sz w:val="24"/>
        </w:rPr>
        <w:t>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7679765A">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18.7 </w:t>
      </w:r>
      <w:r>
        <w:rPr>
          <w:rFonts w:hint="eastAsia" w:eastAsia="黑体"/>
          <w:bCs/>
          <w:color w:val="auto"/>
          <w:kern w:val="44"/>
          <w:sz w:val="24"/>
          <w:lang w:val="zh-CN"/>
        </w:rPr>
        <w:t>竣工清场</w:t>
      </w:r>
    </w:p>
    <w:p w14:paraId="60BD69EB">
      <w:pPr>
        <w:spacing w:line="240" w:lineRule="auto"/>
        <w:ind w:firstLine="480" w:firstLineChars="200"/>
        <w:rPr>
          <w:color w:val="auto"/>
          <w:sz w:val="24"/>
        </w:rPr>
      </w:pPr>
      <w:r>
        <w:rPr>
          <w:color w:val="auto"/>
          <w:sz w:val="24"/>
        </w:rPr>
        <w:t>18.7.1</w:t>
      </w:r>
      <w:r>
        <w:rPr>
          <w:rFonts w:hint="eastAsia"/>
          <w:color w:val="auto"/>
          <w:sz w:val="24"/>
        </w:rPr>
        <w:t>除合同另有约定外，工程接收证书颁发后，承包人应按以下要求对施工场地进行清理，直至</w:t>
      </w:r>
      <w:r>
        <w:rPr>
          <w:rFonts w:hint="eastAsia"/>
          <w:color w:val="auto"/>
          <w:sz w:val="24"/>
          <w:lang w:val="en-US" w:eastAsia="zh-CN"/>
        </w:rPr>
        <w:t>发包</w:t>
      </w:r>
      <w:r>
        <w:rPr>
          <w:rFonts w:hint="eastAsia"/>
          <w:color w:val="auto"/>
          <w:sz w:val="24"/>
        </w:rPr>
        <w:t>人检验合格为止。竣工清场费用由承包人承担。</w:t>
      </w:r>
    </w:p>
    <w:p w14:paraId="5E69022E">
      <w:pPr>
        <w:spacing w:line="240" w:lineRule="auto"/>
        <w:ind w:firstLine="650" w:firstLineChars="271"/>
        <w:rPr>
          <w:rFonts w:hint="eastAsia"/>
          <w:color w:val="auto"/>
          <w:sz w:val="24"/>
        </w:rPr>
      </w:pPr>
      <w:r>
        <w:rPr>
          <w:rFonts w:hint="eastAsia"/>
          <w:color w:val="auto"/>
          <w:sz w:val="24"/>
        </w:rPr>
        <w:t>（</w:t>
      </w:r>
      <w:r>
        <w:rPr>
          <w:color w:val="auto"/>
          <w:sz w:val="24"/>
        </w:rPr>
        <w:t>1</w:t>
      </w:r>
      <w:r>
        <w:rPr>
          <w:rFonts w:hint="eastAsia"/>
          <w:color w:val="auto"/>
          <w:sz w:val="24"/>
        </w:rPr>
        <w:t>）施工场地内残留的垃圾已全部清除出场；</w:t>
      </w:r>
    </w:p>
    <w:p w14:paraId="19F561A8">
      <w:pPr>
        <w:spacing w:line="240" w:lineRule="auto"/>
        <w:ind w:firstLine="650" w:firstLineChars="271"/>
        <w:rPr>
          <w:rFonts w:hint="eastAsia"/>
          <w:color w:val="auto"/>
          <w:sz w:val="24"/>
        </w:rPr>
      </w:pPr>
      <w:r>
        <w:rPr>
          <w:rFonts w:hint="eastAsia"/>
          <w:color w:val="auto"/>
          <w:sz w:val="24"/>
        </w:rPr>
        <w:t>（</w:t>
      </w:r>
      <w:r>
        <w:rPr>
          <w:color w:val="auto"/>
          <w:sz w:val="24"/>
        </w:rPr>
        <w:t>2</w:t>
      </w:r>
      <w:r>
        <w:rPr>
          <w:rFonts w:hint="eastAsia"/>
          <w:color w:val="auto"/>
          <w:sz w:val="24"/>
        </w:rPr>
        <w:t>）临时工程已拆除，场地已按合同要求进行清理、平整或复原；</w:t>
      </w:r>
    </w:p>
    <w:p w14:paraId="282CBF95">
      <w:pPr>
        <w:spacing w:line="240" w:lineRule="auto"/>
        <w:ind w:firstLine="650" w:firstLineChars="271"/>
        <w:rPr>
          <w:rFonts w:hint="eastAsia"/>
          <w:color w:val="auto"/>
          <w:sz w:val="24"/>
        </w:rPr>
      </w:pPr>
      <w:r>
        <w:rPr>
          <w:rFonts w:hint="eastAsia"/>
          <w:color w:val="auto"/>
          <w:sz w:val="24"/>
        </w:rPr>
        <w:t>（</w:t>
      </w:r>
      <w:r>
        <w:rPr>
          <w:color w:val="auto"/>
          <w:sz w:val="24"/>
        </w:rPr>
        <w:t>3</w:t>
      </w:r>
      <w:r>
        <w:rPr>
          <w:rFonts w:hint="eastAsia"/>
          <w:color w:val="auto"/>
          <w:sz w:val="24"/>
        </w:rPr>
        <w:t>）按合同约定应撤离的承包人设备和剩余的材料，包括废弃的施工设备和材料，已按计划撤离施工场地；</w:t>
      </w:r>
    </w:p>
    <w:p w14:paraId="2D412912">
      <w:pPr>
        <w:spacing w:line="240" w:lineRule="auto"/>
        <w:ind w:firstLine="650" w:firstLineChars="271"/>
        <w:rPr>
          <w:rFonts w:hint="eastAsia"/>
          <w:color w:val="auto"/>
          <w:sz w:val="24"/>
        </w:rPr>
      </w:pPr>
      <w:r>
        <w:rPr>
          <w:rFonts w:hint="eastAsia"/>
          <w:color w:val="auto"/>
          <w:sz w:val="24"/>
        </w:rPr>
        <w:t>（</w:t>
      </w:r>
      <w:r>
        <w:rPr>
          <w:color w:val="auto"/>
          <w:sz w:val="24"/>
        </w:rPr>
        <w:t>4</w:t>
      </w:r>
      <w:r>
        <w:rPr>
          <w:rFonts w:hint="eastAsia"/>
          <w:color w:val="auto"/>
          <w:sz w:val="24"/>
        </w:rPr>
        <w:t>）工程建筑物周边及其附近道路、河道的施工堆积物，已按发包人指示全部清理；</w:t>
      </w:r>
    </w:p>
    <w:p w14:paraId="5B4C6C3A">
      <w:pPr>
        <w:spacing w:line="240" w:lineRule="auto"/>
        <w:ind w:firstLine="650" w:firstLineChars="271"/>
        <w:rPr>
          <w:rFonts w:hint="eastAsia"/>
          <w:color w:val="auto"/>
          <w:sz w:val="24"/>
        </w:rPr>
      </w:pPr>
      <w:r>
        <w:rPr>
          <w:rFonts w:hint="eastAsia"/>
          <w:color w:val="auto"/>
          <w:sz w:val="24"/>
        </w:rPr>
        <w:t>（</w:t>
      </w:r>
      <w:r>
        <w:rPr>
          <w:color w:val="auto"/>
          <w:sz w:val="24"/>
        </w:rPr>
        <w:t>5</w:t>
      </w:r>
      <w:r>
        <w:rPr>
          <w:rFonts w:hint="eastAsia"/>
          <w:color w:val="auto"/>
          <w:sz w:val="24"/>
        </w:rPr>
        <w:t>）</w:t>
      </w:r>
      <w:r>
        <w:rPr>
          <w:rFonts w:hint="eastAsia"/>
          <w:color w:val="auto"/>
          <w:sz w:val="24"/>
          <w:lang w:val="en-US" w:eastAsia="zh-CN"/>
        </w:rPr>
        <w:t>发包</w:t>
      </w:r>
      <w:r>
        <w:rPr>
          <w:rFonts w:hint="eastAsia"/>
          <w:color w:val="auto"/>
          <w:sz w:val="24"/>
        </w:rPr>
        <w:t>人指示的其他场地清理工作已全部完成。</w:t>
      </w:r>
    </w:p>
    <w:p w14:paraId="453B1F84">
      <w:pPr>
        <w:spacing w:line="240" w:lineRule="auto"/>
        <w:ind w:firstLine="480" w:firstLineChars="200"/>
        <w:rPr>
          <w:color w:val="auto"/>
          <w:sz w:val="24"/>
        </w:rPr>
      </w:pPr>
      <w:r>
        <w:rPr>
          <w:color w:val="auto"/>
          <w:sz w:val="24"/>
        </w:rPr>
        <w:t>18.7.2</w:t>
      </w:r>
      <w:r>
        <w:rPr>
          <w:rFonts w:hint="eastAsia"/>
          <w:color w:val="auto"/>
          <w:sz w:val="24"/>
        </w:rPr>
        <w:t>承包人未按</w:t>
      </w:r>
      <w:r>
        <w:rPr>
          <w:rFonts w:hint="eastAsia"/>
          <w:color w:val="auto"/>
          <w:sz w:val="24"/>
          <w:lang w:val="en-US" w:eastAsia="zh-CN"/>
        </w:rPr>
        <w:t>发包</w:t>
      </w:r>
      <w:r>
        <w:rPr>
          <w:rFonts w:hint="eastAsia"/>
          <w:color w:val="auto"/>
          <w:sz w:val="24"/>
        </w:rPr>
        <w:t>人的要求恢复临时占地，或者场地清理未达到合同约定的，发包人有权委托其他人恢复或清理，所发生的金额从拟支付给承包人的款项中扣除。</w:t>
      </w:r>
    </w:p>
    <w:p w14:paraId="0590B1DD">
      <w:pPr>
        <w:keepNext/>
        <w:keepLines/>
        <w:spacing w:before="240" w:after="240" w:line="240" w:lineRule="auto"/>
        <w:rPr>
          <w:rFonts w:eastAsia="黑体"/>
          <w:bCs/>
          <w:color w:val="auto"/>
          <w:kern w:val="44"/>
          <w:sz w:val="24"/>
          <w:lang w:val="zh-CN"/>
        </w:rPr>
      </w:pPr>
      <w:r>
        <w:rPr>
          <w:rFonts w:eastAsia="黑体"/>
          <w:bCs/>
          <w:color w:val="auto"/>
          <w:kern w:val="44"/>
          <w:sz w:val="24"/>
          <w:lang w:val="zh-CN"/>
        </w:rPr>
        <w:t>18.8</w:t>
      </w:r>
      <w:r>
        <w:rPr>
          <w:rFonts w:hint="eastAsia" w:eastAsia="黑体"/>
          <w:bCs/>
          <w:color w:val="auto"/>
          <w:kern w:val="44"/>
          <w:sz w:val="24"/>
          <w:lang w:val="zh-CN"/>
        </w:rPr>
        <w:t>施工队伍的撤离</w:t>
      </w:r>
    </w:p>
    <w:p w14:paraId="405F1FD8">
      <w:pPr>
        <w:spacing w:line="240" w:lineRule="auto"/>
        <w:ind w:firstLine="480" w:firstLineChars="200"/>
        <w:rPr>
          <w:rFonts w:hint="eastAsia"/>
          <w:color w:val="auto"/>
          <w:sz w:val="24"/>
        </w:rPr>
      </w:pPr>
      <w:r>
        <w:rPr>
          <w:rFonts w:hint="eastAsia"/>
          <w:color w:val="auto"/>
          <w:sz w:val="24"/>
        </w:rPr>
        <w:t>工程接收证书颁发后的</w:t>
      </w:r>
      <w:r>
        <w:rPr>
          <w:color w:val="auto"/>
          <w:sz w:val="24"/>
        </w:rPr>
        <w:t>56</w:t>
      </w:r>
      <w:r>
        <w:rPr>
          <w:rFonts w:hint="eastAsia"/>
          <w:color w:val="auto"/>
          <w:sz w:val="24"/>
        </w:rPr>
        <w:t>天内，除了经</w:t>
      </w:r>
      <w:r>
        <w:rPr>
          <w:rFonts w:hint="eastAsia"/>
          <w:color w:val="auto"/>
          <w:sz w:val="24"/>
          <w:lang w:val="en-US" w:eastAsia="zh-CN"/>
        </w:rPr>
        <w:t>发包</w:t>
      </w:r>
      <w:r>
        <w:rPr>
          <w:rFonts w:hint="eastAsia"/>
          <w:color w:val="auto"/>
          <w:sz w:val="24"/>
        </w:rPr>
        <w:t>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2EDCFFF5">
      <w:pPr>
        <w:keepNext/>
        <w:keepLines/>
        <w:spacing w:before="480" w:after="240" w:line="240" w:lineRule="auto"/>
        <w:outlineLvl w:val="2"/>
        <w:rPr>
          <w:rFonts w:eastAsia="黑体"/>
          <w:bCs/>
          <w:color w:val="auto"/>
          <w:kern w:val="44"/>
          <w:sz w:val="28"/>
          <w:szCs w:val="28"/>
          <w:lang w:val="zh-CN"/>
        </w:rPr>
      </w:pPr>
      <w:r>
        <w:rPr>
          <w:rFonts w:eastAsia="黑体"/>
          <w:bCs/>
          <w:color w:val="auto"/>
          <w:kern w:val="44"/>
          <w:sz w:val="28"/>
          <w:szCs w:val="28"/>
          <w:lang w:val="zh-CN"/>
        </w:rPr>
        <w:t xml:space="preserve">19. </w:t>
      </w:r>
      <w:r>
        <w:rPr>
          <w:rFonts w:hint="eastAsia" w:eastAsia="黑体"/>
          <w:bCs/>
          <w:color w:val="auto"/>
          <w:kern w:val="44"/>
          <w:sz w:val="28"/>
          <w:szCs w:val="28"/>
          <w:lang w:val="zh-CN"/>
        </w:rPr>
        <w:t>缺陷责任与保修责任</w:t>
      </w:r>
    </w:p>
    <w:p w14:paraId="2A24A3E9">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19.1 </w:t>
      </w:r>
      <w:r>
        <w:rPr>
          <w:rFonts w:hint="eastAsia" w:eastAsia="黑体"/>
          <w:bCs/>
          <w:color w:val="auto"/>
          <w:kern w:val="44"/>
          <w:sz w:val="24"/>
          <w:lang w:val="zh-CN"/>
        </w:rPr>
        <w:t>缺陷责任期的起算时间</w:t>
      </w:r>
    </w:p>
    <w:p w14:paraId="09F78021">
      <w:pPr>
        <w:spacing w:line="240" w:lineRule="auto"/>
        <w:ind w:firstLine="480" w:firstLineChars="200"/>
        <w:rPr>
          <w:rFonts w:hint="eastAsia"/>
          <w:color w:val="auto"/>
          <w:sz w:val="24"/>
        </w:rPr>
      </w:pPr>
      <w:r>
        <w:rPr>
          <w:rFonts w:hint="eastAsia"/>
          <w:color w:val="auto"/>
          <w:sz w:val="24"/>
        </w:rPr>
        <w:t>缺陷责任期自实际交工日期起计算12个月。在全部工程竣工验收前，已经发包人提前验收的单位工程，其缺陷责任期的起算日期相应提前。</w:t>
      </w:r>
    </w:p>
    <w:p w14:paraId="5433003D">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19.2 </w:t>
      </w:r>
      <w:r>
        <w:rPr>
          <w:rFonts w:hint="eastAsia" w:eastAsia="黑体"/>
          <w:bCs/>
          <w:color w:val="auto"/>
          <w:kern w:val="44"/>
          <w:sz w:val="24"/>
          <w:lang w:val="zh-CN"/>
        </w:rPr>
        <w:t>缺陷责任</w:t>
      </w:r>
    </w:p>
    <w:p w14:paraId="03470AA3">
      <w:pPr>
        <w:spacing w:line="240" w:lineRule="auto"/>
        <w:ind w:firstLine="480" w:firstLineChars="200"/>
        <w:rPr>
          <w:color w:val="auto"/>
          <w:sz w:val="24"/>
        </w:rPr>
      </w:pPr>
      <w:r>
        <w:rPr>
          <w:color w:val="auto"/>
          <w:sz w:val="24"/>
        </w:rPr>
        <w:t xml:space="preserve">19.2.1 </w:t>
      </w:r>
      <w:r>
        <w:rPr>
          <w:rFonts w:hint="eastAsia"/>
          <w:color w:val="auto"/>
          <w:sz w:val="24"/>
        </w:rPr>
        <w:t>承包人应在缺陷责任期内对已交付使用的工程承担缺陷责任。</w:t>
      </w:r>
    </w:p>
    <w:p w14:paraId="3D8F7FA1">
      <w:pPr>
        <w:spacing w:line="240" w:lineRule="auto"/>
        <w:ind w:firstLine="480" w:firstLineChars="200"/>
        <w:rPr>
          <w:color w:val="auto"/>
          <w:sz w:val="24"/>
        </w:rPr>
      </w:pPr>
      <w:r>
        <w:rPr>
          <w:color w:val="auto"/>
          <w:sz w:val="24"/>
        </w:rPr>
        <w:t xml:space="preserve">19.2.2 </w:t>
      </w:r>
      <w:r>
        <w:rPr>
          <w:rFonts w:hint="eastAsia"/>
          <w:color w:val="auto"/>
          <w:sz w:val="24"/>
        </w:rPr>
        <w:t>缺陷责任期内，发包人对已接收使用的工程负责日常维护工作。发包人在使用过程中，发现已接收的工程存在新的缺陷或已修复的缺陷部位或部件又遭损坏的，承包人应负责修复，直至检验合格为止。</w:t>
      </w:r>
    </w:p>
    <w:p w14:paraId="1F9BB89A">
      <w:pPr>
        <w:spacing w:line="240" w:lineRule="auto"/>
        <w:ind w:firstLine="480" w:firstLineChars="200"/>
        <w:rPr>
          <w:color w:val="auto"/>
          <w:sz w:val="24"/>
        </w:rPr>
      </w:pPr>
      <w:r>
        <w:rPr>
          <w:color w:val="auto"/>
          <w:sz w:val="24"/>
        </w:rPr>
        <w:t xml:space="preserve">19.2.3 </w:t>
      </w:r>
      <w:r>
        <w:rPr>
          <w:rFonts w:hint="eastAsia"/>
          <w:color w:val="auto"/>
          <w:sz w:val="24"/>
          <w:lang w:val="en-US" w:eastAsia="zh-CN"/>
        </w:rPr>
        <w:t>发包</w:t>
      </w:r>
      <w:r>
        <w:rPr>
          <w:rFonts w:hint="eastAsia"/>
          <w:color w:val="auto"/>
          <w:sz w:val="24"/>
        </w:rPr>
        <w:t>人和承包人应共同查清缺陷和（或）损坏的原因。经查明属承包人原因造成的，应由承包人承担修复和查验的费用。经查验属发包人原因造成的，发包人应承担修复和查验的费用，并支付承包人合理利润。</w:t>
      </w:r>
    </w:p>
    <w:p w14:paraId="5652A9F0">
      <w:pPr>
        <w:spacing w:line="240" w:lineRule="auto"/>
        <w:ind w:firstLine="480" w:firstLineChars="200"/>
        <w:rPr>
          <w:color w:val="auto"/>
          <w:sz w:val="24"/>
        </w:rPr>
      </w:pPr>
      <w:r>
        <w:rPr>
          <w:color w:val="auto"/>
          <w:sz w:val="24"/>
        </w:rPr>
        <w:t xml:space="preserve">19.2.4 </w:t>
      </w:r>
      <w:r>
        <w:rPr>
          <w:rFonts w:hint="eastAsia"/>
          <w:color w:val="auto"/>
          <w:sz w:val="24"/>
        </w:rPr>
        <w:t>承包人不能在合理时间内修复缺陷的，发包人可自行修复或委托其他人修复，所需费用和利润的承担，按第</w:t>
      </w:r>
      <w:r>
        <w:rPr>
          <w:color w:val="auto"/>
          <w:sz w:val="24"/>
        </w:rPr>
        <w:t>19.2.3</w:t>
      </w:r>
      <w:r>
        <w:rPr>
          <w:rFonts w:hint="eastAsia"/>
          <w:color w:val="auto"/>
          <w:sz w:val="24"/>
        </w:rPr>
        <w:t>项约定办理。</w:t>
      </w:r>
    </w:p>
    <w:p w14:paraId="01BE058B">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19.3 </w:t>
      </w:r>
      <w:r>
        <w:rPr>
          <w:rFonts w:hint="eastAsia" w:eastAsia="黑体"/>
          <w:bCs/>
          <w:color w:val="auto"/>
          <w:kern w:val="44"/>
          <w:sz w:val="24"/>
          <w:lang w:val="zh-CN"/>
        </w:rPr>
        <w:t>缺陷责任期的延长</w:t>
      </w:r>
    </w:p>
    <w:p w14:paraId="510A2814">
      <w:pPr>
        <w:spacing w:line="240" w:lineRule="auto"/>
        <w:ind w:firstLine="480" w:firstLineChars="200"/>
        <w:rPr>
          <w:rFonts w:hint="eastAsia"/>
          <w:color w:val="auto"/>
          <w:sz w:val="24"/>
        </w:rPr>
      </w:pPr>
      <w:r>
        <w:rPr>
          <w:rFonts w:hint="eastAsia"/>
          <w:color w:val="auto"/>
          <w:sz w:val="24"/>
        </w:rPr>
        <w:t>由于承包人原因造成某项缺陷或损坏使某项工程或工程设备不能按原定目标使用而需要再次检查、检验和修复的，发包人有权要求承包人相应延长缺陷责任期，但缺陷责任期最长不超过</w:t>
      </w:r>
      <w:r>
        <w:rPr>
          <w:color w:val="auto"/>
          <w:sz w:val="24"/>
        </w:rPr>
        <w:t>2</w:t>
      </w:r>
      <w:r>
        <w:rPr>
          <w:rFonts w:hint="eastAsia"/>
          <w:color w:val="auto"/>
          <w:sz w:val="24"/>
        </w:rPr>
        <w:t>年。</w:t>
      </w:r>
    </w:p>
    <w:p w14:paraId="22DA94F7">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19.4 </w:t>
      </w:r>
      <w:r>
        <w:rPr>
          <w:rFonts w:hint="eastAsia" w:eastAsia="黑体"/>
          <w:bCs/>
          <w:color w:val="auto"/>
          <w:kern w:val="44"/>
          <w:sz w:val="24"/>
          <w:lang w:val="zh-CN"/>
        </w:rPr>
        <w:t>进一步试验和试运行</w:t>
      </w:r>
    </w:p>
    <w:p w14:paraId="4832C7CF">
      <w:pPr>
        <w:spacing w:line="240" w:lineRule="auto"/>
        <w:rPr>
          <w:color w:val="auto"/>
          <w:sz w:val="24"/>
        </w:rPr>
      </w:pPr>
      <w:r>
        <w:rPr>
          <w:color w:val="auto"/>
          <w:sz w:val="24"/>
        </w:rPr>
        <w:t xml:space="preserve">    </w:t>
      </w:r>
      <w:r>
        <w:rPr>
          <w:rFonts w:hint="eastAsia"/>
          <w:color w:val="auto"/>
          <w:sz w:val="24"/>
        </w:rPr>
        <w:t>任何一项缺陷或损坏修复后，经检查证明其影响了工程或工程设备的使用性能，承包人应重新进行合同约定的试验和试运行，试验和试运行的全部费用应由责任方承担。</w:t>
      </w:r>
    </w:p>
    <w:p w14:paraId="33AC70BA">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19.5 </w:t>
      </w:r>
      <w:r>
        <w:rPr>
          <w:rFonts w:hint="eastAsia" w:eastAsia="黑体"/>
          <w:bCs/>
          <w:color w:val="auto"/>
          <w:kern w:val="44"/>
          <w:sz w:val="24"/>
          <w:lang w:val="zh-CN"/>
        </w:rPr>
        <w:t>承包人的进入权</w:t>
      </w:r>
      <w:r>
        <w:rPr>
          <w:rFonts w:eastAsia="黑体"/>
          <w:bCs/>
          <w:color w:val="auto"/>
          <w:kern w:val="44"/>
          <w:sz w:val="24"/>
          <w:lang w:val="zh-CN"/>
        </w:rPr>
        <w:t xml:space="preserve"> </w:t>
      </w:r>
    </w:p>
    <w:p w14:paraId="4217228E">
      <w:pPr>
        <w:spacing w:line="240" w:lineRule="auto"/>
        <w:ind w:firstLine="435"/>
        <w:rPr>
          <w:rFonts w:hint="eastAsia"/>
          <w:color w:val="auto"/>
          <w:sz w:val="24"/>
        </w:rPr>
      </w:pPr>
      <w:r>
        <w:rPr>
          <w:rFonts w:hint="eastAsia"/>
          <w:color w:val="auto"/>
          <w:sz w:val="24"/>
        </w:rPr>
        <w:t>缺陷责任期内承包人为缺陷修复工作需要，有权进入工程现场，但应遵守发包人的保安和保密规定。</w:t>
      </w:r>
    </w:p>
    <w:p w14:paraId="1FFE49E2">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19.6 </w:t>
      </w:r>
      <w:r>
        <w:rPr>
          <w:rFonts w:hint="eastAsia" w:eastAsia="黑体"/>
          <w:bCs/>
          <w:color w:val="auto"/>
          <w:kern w:val="44"/>
          <w:sz w:val="24"/>
          <w:lang w:val="zh-CN"/>
        </w:rPr>
        <w:t>缺陷责任期终止证书</w:t>
      </w:r>
    </w:p>
    <w:p w14:paraId="70EF57F0">
      <w:pPr>
        <w:spacing w:line="240" w:lineRule="auto"/>
        <w:ind w:firstLine="480" w:firstLineChars="200"/>
        <w:rPr>
          <w:rFonts w:hint="eastAsia"/>
          <w:color w:val="auto"/>
          <w:sz w:val="24"/>
        </w:rPr>
      </w:pPr>
      <w:r>
        <w:rPr>
          <w:rFonts w:hint="eastAsia"/>
          <w:color w:val="auto"/>
          <w:sz w:val="24"/>
        </w:rPr>
        <w:t>在第</w:t>
      </w:r>
      <w:r>
        <w:rPr>
          <w:color w:val="auto"/>
          <w:sz w:val="24"/>
        </w:rPr>
        <w:t>1.1.4.5</w:t>
      </w:r>
      <w:r>
        <w:rPr>
          <w:rFonts w:hint="eastAsia"/>
          <w:color w:val="auto"/>
          <w:sz w:val="24"/>
        </w:rPr>
        <w:t>目约定的缺陷责任期，包括根据第</w:t>
      </w:r>
      <w:r>
        <w:rPr>
          <w:color w:val="auto"/>
          <w:sz w:val="24"/>
        </w:rPr>
        <w:t>19.3</w:t>
      </w:r>
      <w:r>
        <w:rPr>
          <w:rFonts w:hint="eastAsia"/>
          <w:color w:val="auto"/>
          <w:sz w:val="24"/>
        </w:rPr>
        <w:t>款延长的期限终止后</w:t>
      </w:r>
      <w:r>
        <w:rPr>
          <w:color w:val="auto"/>
          <w:sz w:val="24"/>
        </w:rPr>
        <w:t>14</w:t>
      </w:r>
      <w:r>
        <w:rPr>
          <w:rFonts w:hint="eastAsia"/>
          <w:color w:val="auto"/>
          <w:sz w:val="24"/>
        </w:rPr>
        <w:t>天内，由</w:t>
      </w:r>
      <w:r>
        <w:rPr>
          <w:rFonts w:hint="eastAsia"/>
          <w:color w:val="auto"/>
          <w:sz w:val="24"/>
          <w:lang w:val="en-US" w:eastAsia="zh-CN"/>
        </w:rPr>
        <w:t>发包</w:t>
      </w:r>
      <w:r>
        <w:rPr>
          <w:rFonts w:hint="eastAsia"/>
          <w:color w:val="auto"/>
          <w:sz w:val="24"/>
        </w:rPr>
        <w:t>人向承包人出具经发包人签认的缺陷责任期终止证书，并退还剩余的质量保证金。</w:t>
      </w:r>
    </w:p>
    <w:p w14:paraId="179032D1">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19.7 </w:t>
      </w:r>
      <w:r>
        <w:rPr>
          <w:rFonts w:hint="eastAsia" w:eastAsia="黑体"/>
          <w:bCs/>
          <w:color w:val="auto"/>
          <w:kern w:val="44"/>
          <w:sz w:val="24"/>
          <w:lang w:val="zh-CN"/>
        </w:rPr>
        <w:t>保修责任</w:t>
      </w:r>
    </w:p>
    <w:p w14:paraId="4B2E0181">
      <w:pPr>
        <w:spacing w:line="240" w:lineRule="auto"/>
        <w:ind w:firstLine="480" w:firstLineChars="200"/>
        <w:rPr>
          <w:rFonts w:hint="eastAsia"/>
          <w:color w:val="auto"/>
          <w:sz w:val="24"/>
        </w:rPr>
      </w:pPr>
      <w:r>
        <w:rPr>
          <w:rFonts w:hint="eastAsia"/>
          <w:color w:val="auto"/>
          <w:sz w:val="24"/>
        </w:rPr>
        <w:t>合同当事人根据有关法律规定，在专用合同条款中约定工程质量保修范围、期限和责任。</w:t>
      </w:r>
    </w:p>
    <w:p w14:paraId="5D5210F5">
      <w:pPr>
        <w:keepNext/>
        <w:keepLines/>
        <w:spacing w:before="480" w:after="240" w:line="240" w:lineRule="auto"/>
        <w:outlineLvl w:val="2"/>
        <w:rPr>
          <w:rFonts w:eastAsia="黑体"/>
          <w:bCs/>
          <w:color w:val="auto"/>
          <w:kern w:val="44"/>
          <w:sz w:val="28"/>
          <w:szCs w:val="28"/>
          <w:lang w:val="zh-CN"/>
        </w:rPr>
      </w:pPr>
      <w:r>
        <w:rPr>
          <w:rFonts w:eastAsia="黑体"/>
          <w:bCs/>
          <w:color w:val="auto"/>
          <w:kern w:val="44"/>
          <w:sz w:val="28"/>
          <w:szCs w:val="28"/>
          <w:lang w:val="zh-CN"/>
        </w:rPr>
        <w:t xml:space="preserve">20. </w:t>
      </w:r>
      <w:r>
        <w:rPr>
          <w:rFonts w:hint="eastAsia" w:eastAsia="黑体"/>
          <w:bCs/>
          <w:color w:val="auto"/>
          <w:kern w:val="44"/>
          <w:sz w:val="28"/>
          <w:szCs w:val="28"/>
          <w:lang w:val="zh-CN"/>
        </w:rPr>
        <w:t>保险</w:t>
      </w:r>
    </w:p>
    <w:p w14:paraId="1283D970">
      <w:pPr>
        <w:keepNext/>
        <w:keepLines/>
        <w:spacing w:before="240" w:after="240" w:line="240" w:lineRule="auto"/>
        <w:rPr>
          <w:rFonts w:eastAsia="黑体"/>
          <w:bCs/>
          <w:color w:val="auto"/>
          <w:kern w:val="44"/>
          <w:sz w:val="24"/>
          <w:lang w:val="zh-CN"/>
        </w:rPr>
      </w:pPr>
      <w:r>
        <w:rPr>
          <w:rFonts w:eastAsia="黑体"/>
          <w:bCs/>
          <w:color w:val="auto"/>
          <w:kern w:val="44"/>
          <w:sz w:val="24"/>
          <w:lang w:val="zh-CN"/>
        </w:rPr>
        <w:t>20.1</w:t>
      </w:r>
      <w:r>
        <w:rPr>
          <w:rFonts w:hint="eastAsia" w:eastAsia="黑体"/>
          <w:bCs/>
          <w:color w:val="auto"/>
          <w:kern w:val="44"/>
          <w:sz w:val="24"/>
          <w:lang w:val="zh-CN"/>
        </w:rPr>
        <w:t>工程保险</w:t>
      </w:r>
    </w:p>
    <w:p w14:paraId="0AFA4309">
      <w:pPr>
        <w:spacing w:line="240" w:lineRule="auto"/>
        <w:ind w:firstLine="480" w:firstLineChars="200"/>
        <w:rPr>
          <w:rFonts w:hint="eastAsia"/>
          <w:color w:val="auto"/>
          <w:sz w:val="24"/>
        </w:rPr>
      </w:pPr>
      <w:r>
        <w:rPr>
          <w:rFonts w:hint="eastAsia"/>
          <w:color w:val="auto"/>
          <w:sz w:val="24"/>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060D460C">
      <w:pPr>
        <w:keepNext/>
        <w:keepLines/>
        <w:spacing w:before="240" w:after="240" w:line="240" w:lineRule="auto"/>
        <w:rPr>
          <w:rFonts w:eastAsia="黑体"/>
          <w:bCs/>
          <w:color w:val="auto"/>
          <w:kern w:val="44"/>
          <w:sz w:val="24"/>
          <w:lang w:val="zh-CN"/>
        </w:rPr>
      </w:pPr>
      <w:r>
        <w:rPr>
          <w:rFonts w:eastAsia="黑体"/>
          <w:bCs/>
          <w:color w:val="auto"/>
          <w:kern w:val="44"/>
          <w:sz w:val="24"/>
          <w:lang w:val="zh-CN"/>
        </w:rPr>
        <w:t>20.2</w:t>
      </w:r>
      <w:r>
        <w:rPr>
          <w:rFonts w:hint="eastAsia" w:eastAsia="黑体"/>
          <w:bCs/>
          <w:color w:val="auto"/>
          <w:kern w:val="44"/>
          <w:sz w:val="24"/>
          <w:lang w:val="zh-CN"/>
        </w:rPr>
        <w:t>人员工伤事故的保险</w:t>
      </w:r>
    </w:p>
    <w:p w14:paraId="050C392E">
      <w:pPr>
        <w:spacing w:line="240" w:lineRule="auto"/>
        <w:ind w:firstLine="480" w:firstLineChars="200"/>
        <w:rPr>
          <w:color w:val="auto"/>
          <w:sz w:val="24"/>
        </w:rPr>
      </w:pPr>
      <w:r>
        <w:rPr>
          <w:color w:val="auto"/>
          <w:sz w:val="24"/>
        </w:rPr>
        <w:t xml:space="preserve">20.2.1 </w:t>
      </w:r>
      <w:r>
        <w:rPr>
          <w:rFonts w:hint="eastAsia" w:eastAsia="黑体"/>
          <w:color w:val="auto"/>
          <w:sz w:val="24"/>
        </w:rPr>
        <w:t>承包人员工伤事故的保险</w:t>
      </w:r>
    </w:p>
    <w:p w14:paraId="73865E83">
      <w:pPr>
        <w:spacing w:line="240" w:lineRule="auto"/>
        <w:ind w:firstLine="480" w:firstLineChars="200"/>
        <w:rPr>
          <w:rFonts w:hint="eastAsia"/>
          <w:color w:val="auto"/>
          <w:sz w:val="24"/>
        </w:rPr>
      </w:pPr>
      <w:r>
        <w:rPr>
          <w:rFonts w:hint="eastAsia"/>
          <w:color w:val="auto"/>
          <w:sz w:val="24"/>
        </w:rPr>
        <w:t>承包人应依照有关法律规定参加工伤保险，为其履行合同所雇用的全部人员，缴纳工伤保险费，并要求其分包人也进行此项保险。</w:t>
      </w:r>
    </w:p>
    <w:p w14:paraId="46268C34">
      <w:pPr>
        <w:spacing w:line="240" w:lineRule="auto"/>
        <w:ind w:firstLine="480" w:firstLineChars="200"/>
        <w:rPr>
          <w:color w:val="auto"/>
          <w:sz w:val="24"/>
        </w:rPr>
      </w:pPr>
      <w:r>
        <w:rPr>
          <w:color w:val="auto"/>
          <w:sz w:val="24"/>
        </w:rPr>
        <w:t>20.2.2</w:t>
      </w:r>
      <w:r>
        <w:rPr>
          <w:rFonts w:hint="eastAsia" w:eastAsia="黑体"/>
          <w:color w:val="auto"/>
          <w:sz w:val="24"/>
        </w:rPr>
        <w:t>发包人员工伤事故的保险</w:t>
      </w:r>
    </w:p>
    <w:p w14:paraId="2A8F0C10">
      <w:pPr>
        <w:spacing w:line="240" w:lineRule="auto"/>
        <w:ind w:firstLine="480" w:firstLineChars="200"/>
        <w:rPr>
          <w:rFonts w:hint="eastAsia"/>
          <w:color w:val="auto"/>
          <w:sz w:val="24"/>
        </w:rPr>
      </w:pPr>
      <w:r>
        <w:rPr>
          <w:rFonts w:hint="eastAsia"/>
          <w:color w:val="auto"/>
          <w:sz w:val="24"/>
        </w:rPr>
        <w:t>发包人应依照有关法律规定参加工伤保险，为其现场机构雇用的全部人员，缴纳工伤保险费。</w:t>
      </w:r>
    </w:p>
    <w:p w14:paraId="3235F987">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20.3 </w:t>
      </w:r>
      <w:r>
        <w:rPr>
          <w:rFonts w:hint="eastAsia" w:eastAsia="黑体"/>
          <w:bCs/>
          <w:color w:val="auto"/>
          <w:kern w:val="44"/>
          <w:sz w:val="24"/>
          <w:lang w:val="zh-CN"/>
        </w:rPr>
        <w:t>人身意外伤害险</w:t>
      </w:r>
    </w:p>
    <w:p w14:paraId="35D35CF7">
      <w:pPr>
        <w:spacing w:line="240" w:lineRule="auto"/>
        <w:ind w:firstLine="480" w:firstLineChars="200"/>
        <w:rPr>
          <w:color w:val="auto"/>
          <w:sz w:val="24"/>
        </w:rPr>
      </w:pPr>
      <w:r>
        <w:rPr>
          <w:color w:val="auto"/>
          <w:sz w:val="24"/>
        </w:rPr>
        <w:t>20.3.1</w:t>
      </w:r>
      <w:r>
        <w:rPr>
          <w:rFonts w:hint="eastAsia"/>
          <w:color w:val="auto"/>
          <w:sz w:val="24"/>
        </w:rPr>
        <w:t>发包人应在整个施工期间为其现场机构雇用的全部人员，投保人身意外伤害险，缴纳保险费，</w:t>
      </w:r>
    </w:p>
    <w:p w14:paraId="23FF2FCA">
      <w:pPr>
        <w:spacing w:line="240" w:lineRule="auto"/>
        <w:ind w:firstLine="480" w:firstLineChars="200"/>
        <w:rPr>
          <w:color w:val="auto"/>
          <w:sz w:val="24"/>
        </w:rPr>
      </w:pPr>
      <w:r>
        <w:rPr>
          <w:color w:val="auto"/>
          <w:sz w:val="24"/>
        </w:rPr>
        <w:t xml:space="preserve">20.3.2 </w:t>
      </w:r>
      <w:r>
        <w:rPr>
          <w:rFonts w:hint="eastAsia"/>
          <w:color w:val="auto"/>
          <w:sz w:val="24"/>
        </w:rPr>
        <w:t>承包人应在整个施工期间为其现场机构雇用的全部人员，投保人身意外伤害险，缴纳保险费，并要求其分包人也进行此项保险。</w:t>
      </w:r>
    </w:p>
    <w:p w14:paraId="46C4D972">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20.4 </w:t>
      </w:r>
      <w:r>
        <w:rPr>
          <w:rFonts w:hint="eastAsia" w:eastAsia="黑体"/>
          <w:bCs/>
          <w:color w:val="auto"/>
          <w:kern w:val="44"/>
          <w:sz w:val="24"/>
          <w:lang w:val="zh-CN"/>
        </w:rPr>
        <w:t>第三者责任险</w:t>
      </w:r>
    </w:p>
    <w:p w14:paraId="200B46E5">
      <w:pPr>
        <w:spacing w:line="240" w:lineRule="auto"/>
        <w:ind w:firstLine="480"/>
        <w:rPr>
          <w:color w:val="auto"/>
          <w:sz w:val="24"/>
        </w:rPr>
      </w:pPr>
      <w:r>
        <w:rPr>
          <w:color w:val="auto"/>
          <w:sz w:val="24"/>
        </w:rPr>
        <w:t>20.4.1</w:t>
      </w:r>
      <w:r>
        <w:rPr>
          <w:rFonts w:hint="eastAsia"/>
          <w:color w:val="auto"/>
          <w:sz w:val="24"/>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2C430543">
      <w:pPr>
        <w:spacing w:line="240" w:lineRule="auto"/>
        <w:ind w:firstLine="480"/>
        <w:rPr>
          <w:color w:val="auto"/>
          <w:sz w:val="24"/>
        </w:rPr>
      </w:pPr>
      <w:r>
        <w:rPr>
          <w:color w:val="auto"/>
          <w:sz w:val="24"/>
        </w:rPr>
        <w:t xml:space="preserve">20.4.2 </w:t>
      </w:r>
      <w:r>
        <w:rPr>
          <w:rFonts w:hint="eastAsia"/>
          <w:color w:val="auto"/>
          <w:sz w:val="24"/>
        </w:rPr>
        <w:t>在缺陷责任期终止证书颁发前，承包人应以承包人和发包人的共同名义，投保第</w:t>
      </w:r>
      <w:r>
        <w:rPr>
          <w:color w:val="auto"/>
          <w:sz w:val="24"/>
        </w:rPr>
        <w:t>20.4.1</w:t>
      </w:r>
      <w:r>
        <w:rPr>
          <w:rFonts w:hint="eastAsia"/>
          <w:color w:val="auto"/>
          <w:sz w:val="24"/>
        </w:rPr>
        <w:t>项约定的第三者责任险，其保险费率、保险金额等有关内容在专用合同条款中约定。</w:t>
      </w:r>
    </w:p>
    <w:p w14:paraId="6D11D02D">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20.5 </w:t>
      </w:r>
      <w:r>
        <w:rPr>
          <w:rFonts w:hint="eastAsia" w:eastAsia="黑体"/>
          <w:bCs/>
          <w:color w:val="auto"/>
          <w:kern w:val="44"/>
          <w:sz w:val="24"/>
          <w:lang w:val="zh-CN"/>
        </w:rPr>
        <w:t>其他保险</w:t>
      </w:r>
    </w:p>
    <w:p w14:paraId="01B6C4C8">
      <w:pPr>
        <w:spacing w:line="240" w:lineRule="auto"/>
        <w:ind w:firstLine="420"/>
        <w:rPr>
          <w:rFonts w:hint="eastAsia"/>
          <w:color w:val="auto"/>
          <w:sz w:val="24"/>
        </w:rPr>
      </w:pPr>
      <w:r>
        <w:rPr>
          <w:rFonts w:hint="eastAsia"/>
          <w:color w:val="auto"/>
          <w:sz w:val="24"/>
        </w:rPr>
        <w:t>除专用合同条款另有约定外，承包人应为其施工设备、进场的材料和工程设备等办理保险。</w:t>
      </w:r>
    </w:p>
    <w:p w14:paraId="0ADC4C66">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20.6 </w:t>
      </w:r>
      <w:r>
        <w:rPr>
          <w:rFonts w:hint="eastAsia" w:eastAsia="黑体"/>
          <w:bCs/>
          <w:color w:val="auto"/>
          <w:kern w:val="44"/>
          <w:sz w:val="24"/>
          <w:lang w:val="zh-CN"/>
        </w:rPr>
        <w:t>对各项保险的一般要求</w:t>
      </w:r>
    </w:p>
    <w:p w14:paraId="355793E9">
      <w:pPr>
        <w:spacing w:line="240" w:lineRule="auto"/>
        <w:ind w:firstLine="390"/>
        <w:rPr>
          <w:color w:val="auto"/>
          <w:sz w:val="24"/>
        </w:rPr>
      </w:pPr>
      <w:r>
        <w:rPr>
          <w:color w:val="auto"/>
          <w:sz w:val="24"/>
        </w:rPr>
        <w:t xml:space="preserve">20.6.1 </w:t>
      </w:r>
      <w:r>
        <w:rPr>
          <w:rFonts w:hint="eastAsia" w:eastAsia="黑体"/>
          <w:color w:val="auto"/>
          <w:sz w:val="24"/>
        </w:rPr>
        <w:t>保险凭证</w:t>
      </w:r>
    </w:p>
    <w:p w14:paraId="7E1F17DE">
      <w:pPr>
        <w:spacing w:line="240" w:lineRule="auto"/>
        <w:ind w:firstLine="390"/>
        <w:rPr>
          <w:rFonts w:hint="eastAsia"/>
          <w:color w:val="auto"/>
          <w:sz w:val="24"/>
        </w:rPr>
      </w:pPr>
      <w:r>
        <w:rPr>
          <w:rFonts w:hint="eastAsia"/>
          <w:color w:val="auto"/>
          <w:sz w:val="24"/>
        </w:rPr>
        <w:t>承包人应在专用合同条款约定的期限内向发包人提交各项保险生效的证据和保险单副本，保险单必须与专用合同条款约定的条件保持一致。</w:t>
      </w:r>
    </w:p>
    <w:p w14:paraId="05F27AC9">
      <w:pPr>
        <w:spacing w:line="240" w:lineRule="auto"/>
        <w:ind w:firstLine="390"/>
        <w:rPr>
          <w:color w:val="auto"/>
          <w:sz w:val="24"/>
        </w:rPr>
      </w:pPr>
      <w:r>
        <w:rPr>
          <w:color w:val="auto"/>
          <w:sz w:val="24"/>
        </w:rPr>
        <w:t>20.6.2</w:t>
      </w:r>
      <w:r>
        <w:rPr>
          <w:rFonts w:hint="eastAsia" w:eastAsia="黑体"/>
          <w:color w:val="auto"/>
          <w:sz w:val="24"/>
        </w:rPr>
        <w:t>保险合同条款的变动</w:t>
      </w:r>
    </w:p>
    <w:p w14:paraId="6E390B48">
      <w:pPr>
        <w:spacing w:line="240" w:lineRule="auto"/>
        <w:ind w:firstLine="390"/>
        <w:rPr>
          <w:rFonts w:hint="eastAsia"/>
          <w:color w:val="auto"/>
          <w:sz w:val="24"/>
        </w:rPr>
      </w:pPr>
      <w:r>
        <w:rPr>
          <w:rFonts w:hint="eastAsia"/>
          <w:color w:val="auto"/>
          <w:sz w:val="24"/>
        </w:rPr>
        <w:t>承包人需要变动保险合同条款时，应事先征得发包人同意，并通知发包人。保险人作出变动的，承包人应在收到保险人通知后立即通知发包人。</w:t>
      </w:r>
    </w:p>
    <w:p w14:paraId="24C2AD35">
      <w:pPr>
        <w:spacing w:line="240" w:lineRule="auto"/>
        <w:ind w:firstLine="390"/>
        <w:rPr>
          <w:color w:val="auto"/>
          <w:sz w:val="24"/>
        </w:rPr>
      </w:pPr>
      <w:r>
        <w:rPr>
          <w:color w:val="auto"/>
          <w:sz w:val="24"/>
        </w:rPr>
        <w:t xml:space="preserve">20.6.3 </w:t>
      </w:r>
      <w:r>
        <w:rPr>
          <w:rFonts w:hint="eastAsia" w:eastAsia="黑体"/>
          <w:color w:val="auto"/>
          <w:sz w:val="24"/>
        </w:rPr>
        <w:t>持续保险</w:t>
      </w:r>
    </w:p>
    <w:p w14:paraId="7687D3D5">
      <w:pPr>
        <w:spacing w:line="240" w:lineRule="auto"/>
        <w:ind w:firstLine="390"/>
        <w:rPr>
          <w:rFonts w:hint="eastAsia"/>
          <w:color w:val="auto"/>
          <w:sz w:val="24"/>
        </w:rPr>
      </w:pPr>
      <w:r>
        <w:rPr>
          <w:rFonts w:hint="eastAsia"/>
          <w:color w:val="auto"/>
          <w:sz w:val="24"/>
        </w:rPr>
        <w:t>承包人应与保险人保持联系，使保险人能够随时了解工程实施中的变动，并确保按保险合同条款要求持续保险。</w:t>
      </w:r>
    </w:p>
    <w:p w14:paraId="0568D353">
      <w:pPr>
        <w:spacing w:line="240" w:lineRule="auto"/>
        <w:ind w:firstLine="390"/>
        <w:rPr>
          <w:color w:val="auto"/>
          <w:sz w:val="24"/>
        </w:rPr>
      </w:pPr>
      <w:r>
        <w:rPr>
          <w:color w:val="auto"/>
          <w:sz w:val="24"/>
        </w:rPr>
        <w:t xml:space="preserve">20.6.4 </w:t>
      </w:r>
      <w:r>
        <w:rPr>
          <w:rFonts w:hint="eastAsia" w:eastAsia="黑体"/>
          <w:color w:val="auto"/>
          <w:sz w:val="24"/>
        </w:rPr>
        <w:t>保险金不足的补偿</w:t>
      </w:r>
    </w:p>
    <w:p w14:paraId="13E2CC45">
      <w:pPr>
        <w:spacing w:line="240" w:lineRule="auto"/>
        <w:ind w:firstLine="390"/>
        <w:rPr>
          <w:rFonts w:hint="eastAsia"/>
          <w:color w:val="auto"/>
          <w:sz w:val="24"/>
        </w:rPr>
      </w:pPr>
      <w:r>
        <w:rPr>
          <w:rFonts w:hint="eastAsia"/>
          <w:color w:val="auto"/>
          <w:sz w:val="24"/>
        </w:rPr>
        <w:t>保险金不足以补偿损失的，应由承包人和（或）发包人按合同约定负责补偿。</w:t>
      </w:r>
    </w:p>
    <w:p w14:paraId="1791ACCF">
      <w:pPr>
        <w:spacing w:line="240" w:lineRule="auto"/>
        <w:ind w:firstLine="390"/>
        <w:rPr>
          <w:color w:val="auto"/>
          <w:sz w:val="24"/>
        </w:rPr>
      </w:pPr>
      <w:r>
        <w:rPr>
          <w:color w:val="auto"/>
          <w:sz w:val="24"/>
        </w:rPr>
        <w:t xml:space="preserve">20.6.5 </w:t>
      </w:r>
      <w:r>
        <w:rPr>
          <w:rFonts w:hint="eastAsia" w:eastAsia="黑体"/>
          <w:color w:val="auto"/>
          <w:sz w:val="24"/>
        </w:rPr>
        <w:t>未按约定投保的补救</w:t>
      </w:r>
    </w:p>
    <w:p w14:paraId="36F5A7A7">
      <w:pPr>
        <w:spacing w:line="240" w:lineRule="auto"/>
        <w:ind w:firstLine="390"/>
        <w:rPr>
          <w:rFonts w:hint="eastAsia"/>
          <w:color w:val="auto"/>
          <w:sz w:val="24"/>
        </w:rPr>
      </w:pPr>
      <w:r>
        <w:rPr>
          <w:rFonts w:hint="eastAsia"/>
          <w:color w:val="auto"/>
          <w:sz w:val="24"/>
        </w:rPr>
        <w:t>（</w:t>
      </w:r>
      <w:r>
        <w:rPr>
          <w:color w:val="auto"/>
          <w:sz w:val="24"/>
        </w:rPr>
        <w:t>1</w:t>
      </w:r>
      <w:r>
        <w:rPr>
          <w:rFonts w:hint="eastAsia"/>
          <w:color w:val="auto"/>
          <w:sz w:val="24"/>
        </w:rPr>
        <w:t>）由于负有投保义务的一方当事人未按合同约定办理保险，或未能使保险持续有效的，另一方当事人可代为办理，所需费用由对方当事人承担。</w:t>
      </w:r>
    </w:p>
    <w:p w14:paraId="13DF5D44">
      <w:pPr>
        <w:spacing w:line="240" w:lineRule="auto"/>
        <w:ind w:firstLine="390"/>
        <w:rPr>
          <w:rFonts w:hint="eastAsia"/>
          <w:color w:val="auto"/>
          <w:sz w:val="24"/>
        </w:rPr>
      </w:pPr>
      <w:r>
        <w:rPr>
          <w:rFonts w:hint="eastAsia"/>
          <w:color w:val="auto"/>
          <w:sz w:val="24"/>
        </w:rPr>
        <w:t>（</w:t>
      </w:r>
      <w:r>
        <w:rPr>
          <w:color w:val="auto"/>
          <w:sz w:val="24"/>
        </w:rPr>
        <w:t>2</w:t>
      </w:r>
      <w:r>
        <w:rPr>
          <w:rFonts w:hint="eastAsia"/>
          <w:color w:val="auto"/>
          <w:sz w:val="24"/>
        </w:rPr>
        <w:t>）由于负有投保义务的一方当事人未按合同约定办理某项保险，导致受益人未能得到保险人的赔偿，原应从该项保险得到的保险金应由负有投保义务的一方当事人支付。</w:t>
      </w:r>
    </w:p>
    <w:p w14:paraId="315441E5">
      <w:pPr>
        <w:spacing w:line="240" w:lineRule="auto"/>
        <w:ind w:firstLine="390"/>
        <w:rPr>
          <w:color w:val="auto"/>
          <w:sz w:val="24"/>
        </w:rPr>
      </w:pPr>
      <w:r>
        <w:rPr>
          <w:color w:val="auto"/>
          <w:sz w:val="24"/>
        </w:rPr>
        <w:t>20.6.6</w:t>
      </w:r>
      <w:r>
        <w:rPr>
          <w:rFonts w:hint="eastAsia" w:eastAsia="黑体"/>
          <w:color w:val="auto"/>
          <w:sz w:val="24"/>
        </w:rPr>
        <w:t>报告义务</w:t>
      </w:r>
    </w:p>
    <w:p w14:paraId="0B57C071">
      <w:pPr>
        <w:spacing w:line="240" w:lineRule="auto"/>
        <w:ind w:firstLine="390"/>
        <w:rPr>
          <w:color w:val="auto"/>
          <w:sz w:val="24"/>
        </w:rPr>
      </w:pPr>
      <w:r>
        <w:rPr>
          <w:color w:val="auto"/>
          <w:sz w:val="24"/>
        </w:rPr>
        <w:t xml:space="preserve">  </w:t>
      </w:r>
      <w:r>
        <w:rPr>
          <w:rFonts w:hint="eastAsia"/>
          <w:color w:val="auto"/>
          <w:sz w:val="24"/>
        </w:rPr>
        <w:t>当保险事故发生时，投保人应按照保险单规定的条件和期限及时向保险人报告。</w:t>
      </w:r>
    </w:p>
    <w:p w14:paraId="164A8F2F">
      <w:pPr>
        <w:keepNext/>
        <w:keepLines/>
        <w:spacing w:before="480" w:after="240" w:line="240" w:lineRule="auto"/>
        <w:outlineLvl w:val="2"/>
        <w:rPr>
          <w:rFonts w:eastAsia="黑体"/>
          <w:bCs/>
          <w:color w:val="auto"/>
          <w:kern w:val="44"/>
          <w:sz w:val="28"/>
          <w:szCs w:val="28"/>
          <w:lang w:val="zh-CN"/>
        </w:rPr>
      </w:pPr>
      <w:r>
        <w:rPr>
          <w:rFonts w:eastAsia="黑体"/>
          <w:bCs/>
          <w:color w:val="auto"/>
          <w:kern w:val="44"/>
          <w:sz w:val="28"/>
          <w:szCs w:val="28"/>
          <w:lang w:val="zh-CN"/>
        </w:rPr>
        <w:t xml:space="preserve">21. </w:t>
      </w:r>
      <w:r>
        <w:rPr>
          <w:rFonts w:hint="eastAsia" w:eastAsia="黑体"/>
          <w:bCs/>
          <w:color w:val="auto"/>
          <w:kern w:val="44"/>
          <w:sz w:val="28"/>
          <w:szCs w:val="28"/>
          <w:lang w:val="zh-CN"/>
        </w:rPr>
        <w:t>不可抗力</w:t>
      </w:r>
    </w:p>
    <w:p w14:paraId="5075305C">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21.1 </w:t>
      </w:r>
      <w:r>
        <w:rPr>
          <w:rFonts w:hint="eastAsia" w:eastAsia="黑体"/>
          <w:bCs/>
          <w:color w:val="auto"/>
          <w:kern w:val="44"/>
          <w:sz w:val="24"/>
          <w:lang w:val="zh-CN"/>
        </w:rPr>
        <w:t>不可抗力的确认</w:t>
      </w:r>
    </w:p>
    <w:p w14:paraId="4B65D4C0">
      <w:pPr>
        <w:spacing w:line="240" w:lineRule="auto"/>
        <w:ind w:firstLine="480" w:firstLineChars="200"/>
        <w:rPr>
          <w:color w:val="auto"/>
          <w:sz w:val="24"/>
        </w:rPr>
      </w:pPr>
      <w:r>
        <w:rPr>
          <w:color w:val="auto"/>
          <w:sz w:val="24"/>
        </w:rPr>
        <w:t xml:space="preserve">21.1.1 </w:t>
      </w:r>
      <w:r>
        <w:rPr>
          <w:rFonts w:hint="eastAsia"/>
          <w:color w:val="auto"/>
          <w:sz w:val="24"/>
        </w:rPr>
        <w:t>不可抗力是指承包人和发包人在订立合同时不可预见，在工程施工过程中不可避免发生并不能克服的自然灾害和社会性突发事件，如地震、海啸、瘟疫、水灾、骚乱、暴动、战争和专用合同条款约定的其他情形。</w:t>
      </w:r>
    </w:p>
    <w:p w14:paraId="133FB339">
      <w:pPr>
        <w:spacing w:line="240" w:lineRule="auto"/>
        <w:ind w:firstLine="480" w:firstLineChars="200"/>
        <w:rPr>
          <w:color w:val="auto"/>
          <w:sz w:val="24"/>
        </w:rPr>
      </w:pPr>
      <w:r>
        <w:rPr>
          <w:color w:val="auto"/>
          <w:sz w:val="24"/>
        </w:rPr>
        <w:t xml:space="preserve">21.1.2 </w:t>
      </w:r>
      <w:r>
        <w:rPr>
          <w:rFonts w:hint="eastAsia"/>
          <w:color w:val="auto"/>
          <w:sz w:val="24"/>
        </w:rPr>
        <w:t>不可抗力发生后，发包人和承包人应及时认真统计所造成的损失，收集不可抗力造成损失的证据。合同双方对是否属于不可抗力或其损失的意见不一致的，由</w:t>
      </w:r>
      <w:r>
        <w:rPr>
          <w:rFonts w:hint="eastAsia"/>
          <w:color w:val="auto"/>
          <w:sz w:val="24"/>
          <w:lang w:val="en-US" w:eastAsia="zh-CN"/>
        </w:rPr>
        <w:t>发包</w:t>
      </w:r>
      <w:r>
        <w:rPr>
          <w:rFonts w:hint="eastAsia"/>
          <w:color w:val="auto"/>
          <w:sz w:val="24"/>
        </w:rPr>
        <w:t>人按第</w:t>
      </w:r>
      <w:r>
        <w:rPr>
          <w:color w:val="auto"/>
          <w:sz w:val="24"/>
        </w:rPr>
        <w:t>3.5</w:t>
      </w:r>
      <w:r>
        <w:rPr>
          <w:rFonts w:hint="eastAsia"/>
          <w:color w:val="auto"/>
          <w:sz w:val="24"/>
        </w:rPr>
        <w:t>款商定或确定。发生争议时，按第</w:t>
      </w:r>
      <w:r>
        <w:rPr>
          <w:color w:val="auto"/>
          <w:sz w:val="24"/>
        </w:rPr>
        <w:t>24</w:t>
      </w:r>
      <w:r>
        <w:rPr>
          <w:rFonts w:hint="eastAsia"/>
          <w:color w:val="auto"/>
          <w:sz w:val="24"/>
        </w:rPr>
        <w:t>条的约定办理。</w:t>
      </w:r>
    </w:p>
    <w:p w14:paraId="600174A3">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21.2 </w:t>
      </w:r>
      <w:r>
        <w:rPr>
          <w:rFonts w:hint="eastAsia" w:eastAsia="黑体"/>
          <w:bCs/>
          <w:color w:val="auto"/>
          <w:kern w:val="44"/>
          <w:sz w:val="24"/>
          <w:lang w:val="zh-CN"/>
        </w:rPr>
        <w:t>不可抗力的通知</w:t>
      </w:r>
    </w:p>
    <w:p w14:paraId="2E0A6D11">
      <w:pPr>
        <w:spacing w:line="240" w:lineRule="auto"/>
        <w:ind w:firstLine="480" w:firstLineChars="200"/>
        <w:rPr>
          <w:color w:val="auto"/>
          <w:sz w:val="24"/>
        </w:rPr>
      </w:pPr>
      <w:r>
        <w:rPr>
          <w:color w:val="auto"/>
          <w:sz w:val="24"/>
        </w:rPr>
        <w:t xml:space="preserve">21.2.1 </w:t>
      </w:r>
      <w:r>
        <w:rPr>
          <w:rFonts w:hint="eastAsia"/>
          <w:color w:val="auto"/>
          <w:sz w:val="24"/>
        </w:rPr>
        <w:t>合同一方当事人遇到不可抗力事件，使其履行合同义务受到阻碍时，应立即通知合同另一方当事人，书面说明不可抗力和受阻碍的详细情况，并提供必要的证明。</w:t>
      </w:r>
    </w:p>
    <w:p w14:paraId="08197E08">
      <w:pPr>
        <w:spacing w:line="240" w:lineRule="auto"/>
        <w:ind w:firstLine="480" w:firstLineChars="200"/>
        <w:rPr>
          <w:color w:val="auto"/>
          <w:sz w:val="24"/>
        </w:rPr>
      </w:pPr>
      <w:r>
        <w:rPr>
          <w:color w:val="auto"/>
          <w:sz w:val="24"/>
        </w:rPr>
        <w:t xml:space="preserve">21.2.2 </w:t>
      </w:r>
      <w:r>
        <w:rPr>
          <w:rFonts w:hint="eastAsia"/>
          <w:color w:val="auto"/>
          <w:sz w:val="24"/>
        </w:rPr>
        <w:t>如不可抗力持续发生，合同一方当事人应及时向合同另一方当事人提交中间报告，说明不可抗力和履行合同受阻的情况，并于不可抗力事件结束后</w:t>
      </w:r>
      <w:r>
        <w:rPr>
          <w:color w:val="auto"/>
          <w:sz w:val="24"/>
        </w:rPr>
        <w:t>28</w:t>
      </w:r>
      <w:r>
        <w:rPr>
          <w:rFonts w:hint="eastAsia"/>
          <w:color w:val="auto"/>
          <w:sz w:val="24"/>
        </w:rPr>
        <w:t>天内提交最终报告及有关资料。</w:t>
      </w:r>
    </w:p>
    <w:p w14:paraId="6B58032B">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21.3 </w:t>
      </w:r>
      <w:r>
        <w:rPr>
          <w:rFonts w:hint="eastAsia" w:eastAsia="黑体"/>
          <w:bCs/>
          <w:color w:val="auto"/>
          <w:kern w:val="44"/>
          <w:sz w:val="24"/>
          <w:lang w:val="zh-CN"/>
        </w:rPr>
        <w:t>不可抗力后果及其处理</w:t>
      </w:r>
    </w:p>
    <w:p w14:paraId="7891A6B2">
      <w:pPr>
        <w:spacing w:line="240" w:lineRule="auto"/>
        <w:ind w:firstLine="470" w:firstLineChars="196"/>
        <w:rPr>
          <w:color w:val="auto"/>
          <w:sz w:val="24"/>
        </w:rPr>
      </w:pPr>
      <w:r>
        <w:rPr>
          <w:color w:val="auto"/>
          <w:sz w:val="24"/>
        </w:rPr>
        <w:t xml:space="preserve">21.3.1 </w:t>
      </w:r>
      <w:r>
        <w:rPr>
          <w:rFonts w:hint="eastAsia" w:eastAsia="黑体"/>
          <w:color w:val="auto"/>
          <w:sz w:val="24"/>
        </w:rPr>
        <w:t>不可抗力造成损害的责任</w:t>
      </w:r>
    </w:p>
    <w:p w14:paraId="78AFFD69">
      <w:pPr>
        <w:spacing w:line="240" w:lineRule="auto"/>
        <w:ind w:firstLine="480" w:firstLineChars="200"/>
        <w:rPr>
          <w:rFonts w:hint="eastAsia"/>
          <w:color w:val="auto"/>
          <w:sz w:val="24"/>
        </w:rPr>
      </w:pPr>
      <w:r>
        <w:rPr>
          <w:rFonts w:hint="eastAsia"/>
          <w:color w:val="auto"/>
          <w:sz w:val="24"/>
        </w:rPr>
        <w:t>除专用合同条款另有约定外，不可抗力导致的人员伤亡、财产损失、费用增加和（或）工期延误等后果，由合同双方按以下原则承担：</w:t>
      </w:r>
    </w:p>
    <w:p w14:paraId="00B3D3E3">
      <w:pPr>
        <w:spacing w:line="240" w:lineRule="auto"/>
        <w:rPr>
          <w:color w:val="auto"/>
          <w:sz w:val="24"/>
        </w:rPr>
      </w:pPr>
      <w:r>
        <w:rPr>
          <w:color w:val="auto"/>
          <w:sz w:val="24"/>
        </w:rPr>
        <w:t xml:space="preserve">      </w:t>
      </w:r>
      <w:r>
        <w:rPr>
          <w:rFonts w:hint="eastAsia"/>
          <w:color w:val="auto"/>
          <w:sz w:val="24"/>
        </w:rPr>
        <w:t>（</w:t>
      </w:r>
      <w:r>
        <w:rPr>
          <w:color w:val="auto"/>
          <w:sz w:val="24"/>
        </w:rPr>
        <w:t>1</w:t>
      </w:r>
      <w:r>
        <w:rPr>
          <w:rFonts w:hint="eastAsia"/>
          <w:color w:val="auto"/>
          <w:sz w:val="24"/>
        </w:rPr>
        <w:t>）永久工程，包括已运至施工场地的材料和工程设备的损害，以及因工程损害造成的第三者人员伤亡和财产损失由发包人承担；</w:t>
      </w:r>
    </w:p>
    <w:p w14:paraId="24240C96">
      <w:pPr>
        <w:spacing w:line="240" w:lineRule="auto"/>
        <w:rPr>
          <w:color w:val="auto"/>
          <w:sz w:val="24"/>
        </w:rPr>
      </w:pPr>
      <w:r>
        <w:rPr>
          <w:color w:val="auto"/>
          <w:sz w:val="24"/>
        </w:rPr>
        <w:t xml:space="preserve">      </w:t>
      </w:r>
      <w:r>
        <w:rPr>
          <w:rFonts w:hint="eastAsia"/>
          <w:color w:val="auto"/>
          <w:sz w:val="24"/>
        </w:rPr>
        <w:t>（</w:t>
      </w:r>
      <w:r>
        <w:rPr>
          <w:color w:val="auto"/>
          <w:sz w:val="24"/>
        </w:rPr>
        <w:t>2</w:t>
      </w:r>
      <w:r>
        <w:rPr>
          <w:rFonts w:hint="eastAsia"/>
          <w:color w:val="auto"/>
          <w:sz w:val="24"/>
        </w:rPr>
        <w:t>）承包人设备的损坏由承包人承担；</w:t>
      </w:r>
    </w:p>
    <w:p w14:paraId="4C8ED679">
      <w:pPr>
        <w:spacing w:line="240" w:lineRule="auto"/>
        <w:rPr>
          <w:color w:val="auto"/>
          <w:sz w:val="24"/>
        </w:rPr>
      </w:pPr>
      <w:r>
        <w:rPr>
          <w:color w:val="auto"/>
          <w:sz w:val="24"/>
        </w:rPr>
        <w:t xml:space="preserve">      </w:t>
      </w:r>
      <w:r>
        <w:rPr>
          <w:rFonts w:hint="eastAsia"/>
          <w:color w:val="auto"/>
          <w:sz w:val="24"/>
        </w:rPr>
        <w:t>（</w:t>
      </w:r>
      <w:r>
        <w:rPr>
          <w:color w:val="auto"/>
          <w:sz w:val="24"/>
        </w:rPr>
        <w:t>3</w:t>
      </w:r>
      <w:r>
        <w:rPr>
          <w:rFonts w:hint="eastAsia"/>
          <w:color w:val="auto"/>
          <w:sz w:val="24"/>
        </w:rPr>
        <w:t>）发包人和承包人各自承担其人员伤亡和其他财产损失及其相关费用；</w:t>
      </w:r>
    </w:p>
    <w:p w14:paraId="3D295DEF">
      <w:pPr>
        <w:spacing w:line="240" w:lineRule="auto"/>
        <w:rPr>
          <w:color w:val="auto"/>
          <w:sz w:val="24"/>
        </w:rPr>
      </w:pPr>
      <w:r>
        <w:rPr>
          <w:color w:val="auto"/>
          <w:sz w:val="24"/>
        </w:rPr>
        <w:t xml:space="preserve">      </w:t>
      </w:r>
      <w:r>
        <w:rPr>
          <w:rFonts w:hint="eastAsia"/>
          <w:color w:val="auto"/>
          <w:sz w:val="24"/>
        </w:rPr>
        <w:t>（</w:t>
      </w:r>
      <w:r>
        <w:rPr>
          <w:color w:val="auto"/>
          <w:sz w:val="24"/>
        </w:rPr>
        <w:t>4</w:t>
      </w:r>
      <w:r>
        <w:rPr>
          <w:rFonts w:hint="eastAsia"/>
          <w:color w:val="auto"/>
          <w:sz w:val="24"/>
        </w:rPr>
        <w:t>）承包人的停工损失由承包人承担，但停工期间应</w:t>
      </w:r>
      <w:r>
        <w:rPr>
          <w:rFonts w:hint="eastAsia"/>
          <w:color w:val="auto"/>
          <w:sz w:val="24"/>
          <w:lang w:val="en-US" w:eastAsia="zh-CN"/>
        </w:rPr>
        <w:t>发包</w:t>
      </w:r>
      <w:r>
        <w:rPr>
          <w:rFonts w:hint="eastAsia"/>
          <w:color w:val="auto"/>
          <w:sz w:val="24"/>
        </w:rPr>
        <w:t>人要求照管工程和清理、修复工程的金额由发包人承担；</w:t>
      </w:r>
    </w:p>
    <w:p w14:paraId="4D5C1186">
      <w:pPr>
        <w:spacing w:line="240" w:lineRule="auto"/>
        <w:rPr>
          <w:color w:val="auto"/>
          <w:sz w:val="24"/>
        </w:rPr>
      </w:pPr>
      <w:r>
        <w:rPr>
          <w:color w:val="auto"/>
          <w:sz w:val="24"/>
        </w:rPr>
        <w:t xml:space="preserve">      </w:t>
      </w:r>
      <w:r>
        <w:rPr>
          <w:rFonts w:hint="eastAsia"/>
          <w:color w:val="auto"/>
          <w:sz w:val="24"/>
        </w:rPr>
        <w:t>（</w:t>
      </w:r>
      <w:r>
        <w:rPr>
          <w:color w:val="auto"/>
          <w:sz w:val="24"/>
        </w:rPr>
        <w:t>5</w:t>
      </w:r>
      <w:r>
        <w:rPr>
          <w:rFonts w:hint="eastAsia"/>
          <w:color w:val="auto"/>
          <w:sz w:val="24"/>
        </w:rPr>
        <w:t>）不能按期竣工的，应合理延长工期，承包人不需支付逾期竣工违约金。发包人要求赶工的，承包人应采取赶工措施，赶工费用由发包人承担。</w:t>
      </w:r>
    </w:p>
    <w:p w14:paraId="13376AB2">
      <w:pPr>
        <w:spacing w:line="240" w:lineRule="auto"/>
        <w:ind w:firstLine="470" w:firstLineChars="196"/>
        <w:rPr>
          <w:color w:val="auto"/>
          <w:sz w:val="24"/>
        </w:rPr>
      </w:pPr>
      <w:r>
        <w:rPr>
          <w:color w:val="auto"/>
          <w:sz w:val="24"/>
        </w:rPr>
        <w:t xml:space="preserve">21.3.2 </w:t>
      </w:r>
      <w:r>
        <w:rPr>
          <w:rFonts w:hint="eastAsia" w:eastAsia="黑体"/>
          <w:color w:val="auto"/>
          <w:sz w:val="24"/>
        </w:rPr>
        <w:t>延迟履行期间发生的不可抗力</w:t>
      </w:r>
    </w:p>
    <w:p w14:paraId="1AA777C9">
      <w:pPr>
        <w:spacing w:line="240" w:lineRule="auto"/>
        <w:ind w:firstLine="480" w:firstLineChars="200"/>
        <w:rPr>
          <w:rFonts w:hint="eastAsia"/>
          <w:color w:val="auto"/>
          <w:sz w:val="24"/>
        </w:rPr>
      </w:pPr>
      <w:r>
        <w:rPr>
          <w:rFonts w:hint="eastAsia"/>
          <w:color w:val="auto"/>
          <w:sz w:val="24"/>
        </w:rPr>
        <w:t>合同一方当事人延迟履行，在延迟履行期间发生不可抗力的，不免除其责任。</w:t>
      </w:r>
    </w:p>
    <w:p w14:paraId="6B6653D6">
      <w:pPr>
        <w:spacing w:line="240" w:lineRule="auto"/>
        <w:ind w:firstLine="470" w:firstLineChars="196"/>
        <w:rPr>
          <w:color w:val="auto"/>
          <w:sz w:val="24"/>
        </w:rPr>
      </w:pPr>
      <w:r>
        <w:rPr>
          <w:color w:val="auto"/>
          <w:sz w:val="24"/>
        </w:rPr>
        <w:t xml:space="preserve">21.3.3 </w:t>
      </w:r>
      <w:r>
        <w:rPr>
          <w:rFonts w:hint="eastAsia" w:eastAsia="黑体"/>
          <w:color w:val="auto"/>
          <w:sz w:val="24"/>
        </w:rPr>
        <w:t>避免和减少不可抗力损失</w:t>
      </w:r>
    </w:p>
    <w:p w14:paraId="6771DC7D">
      <w:pPr>
        <w:spacing w:line="240" w:lineRule="auto"/>
        <w:ind w:firstLine="480" w:firstLineChars="200"/>
        <w:rPr>
          <w:rFonts w:hint="eastAsia"/>
          <w:color w:val="auto"/>
          <w:sz w:val="24"/>
        </w:rPr>
      </w:pPr>
      <w:r>
        <w:rPr>
          <w:rFonts w:hint="eastAsia"/>
          <w:color w:val="auto"/>
          <w:sz w:val="24"/>
        </w:rPr>
        <w:t>不可抗力发生后，发包人和承包人均应采取措施尽量避免和减少损失的扩大，任何一方没有采取有效措施导致损失扩大的，应对扩大的损失承担责任。</w:t>
      </w:r>
    </w:p>
    <w:p w14:paraId="49AA16F8">
      <w:pPr>
        <w:spacing w:line="240" w:lineRule="auto"/>
        <w:ind w:firstLine="470" w:firstLineChars="196"/>
        <w:rPr>
          <w:color w:val="auto"/>
          <w:sz w:val="24"/>
        </w:rPr>
      </w:pPr>
      <w:r>
        <w:rPr>
          <w:color w:val="auto"/>
          <w:sz w:val="24"/>
        </w:rPr>
        <w:t xml:space="preserve">21.3.4 </w:t>
      </w:r>
      <w:r>
        <w:rPr>
          <w:rFonts w:hint="eastAsia" w:eastAsia="黑体"/>
          <w:color w:val="auto"/>
          <w:sz w:val="24"/>
        </w:rPr>
        <w:t>因不可抗力解除合同</w:t>
      </w:r>
    </w:p>
    <w:p w14:paraId="5F2B8D26">
      <w:pPr>
        <w:spacing w:line="240" w:lineRule="auto"/>
        <w:ind w:firstLine="480" w:firstLineChars="200"/>
        <w:rPr>
          <w:rFonts w:hint="eastAsia"/>
          <w:color w:val="auto"/>
          <w:sz w:val="24"/>
        </w:rPr>
      </w:pPr>
      <w:r>
        <w:rPr>
          <w:rFonts w:hint="eastAsia"/>
          <w:color w:val="auto"/>
          <w:sz w:val="24"/>
        </w:rPr>
        <w:t>合同一方当事人因不可抗力不能履行合同的，应当及时通知对方解除合同。合同解除后，承包人应按照第</w:t>
      </w:r>
      <w:r>
        <w:rPr>
          <w:color w:val="auto"/>
          <w:sz w:val="24"/>
        </w:rPr>
        <w:t>22.2.5</w:t>
      </w:r>
      <w:r>
        <w:rPr>
          <w:rFonts w:hint="eastAsia"/>
          <w:color w:val="auto"/>
          <w:sz w:val="24"/>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rPr>
          <w:color w:val="auto"/>
          <w:sz w:val="24"/>
        </w:rPr>
        <w:t>22.2.4</w:t>
      </w:r>
      <w:r>
        <w:rPr>
          <w:rFonts w:hint="eastAsia"/>
          <w:color w:val="auto"/>
          <w:sz w:val="24"/>
        </w:rPr>
        <w:t>项约定，由</w:t>
      </w:r>
      <w:r>
        <w:rPr>
          <w:rFonts w:hint="eastAsia"/>
          <w:color w:val="auto"/>
          <w:sz w:val="24"/>
          <w:lang w:val="en-US" w:eastAsia="zh-CN"/>
        </w:rPr>
        <w:t>发包</w:t>
      </w:r>
      <w:r>
        <w:rPr>
          <w:rFonts w:hint="eastAsia"/>
          <w:color w:val="auto"/>
          <w:sz w:val="24"/>
        </w:rPr>
        <w:t>人按第</w:t>
      </w:r>
      <w:r>
        <w:rPr>
          <w:color w:val="auto"/>
          <w:sz w:val="24"/>
        </w:rPr>
        <w:t>3.5</w:t>
      </w:r>
      <w:r>
        <w:rPr>
          <w:rFonts w:hint="eastAsia"/>
          <w:color w:val="auto"/>
          <w:sz w:val="24"/>
        </w:rPr>
        <w:t>款商定或确定。</w:t>
      </w:r>
    </w:p>
    <w:p w14:paraId="7B89D4B7">
      <w:pPr>
        <w:keepNext/>
        <w:keepLines/>
        <w:spacing w:before="480" w:after="240" w:line="240" w:lineRule="auto"/>
        <w:outlineLvl w:val="2"/>
        <w:rPr>
          <w:rFonts w:eastAsia="黑体"/>
          <w:bCs/>
          <w:color w:val="auto"/>
          <w:kern w:val="44"/>
          <w:sz w:val="28"/>
          <w:szCs w:val="28"/>
          <w:lang w:val="zh-CN"/>
        </w:rPr>
      </w:pPr>
      <w:r>
        <w:rPr>
          <w:rFonts w:eastAsia="黑体"/>
          <w:bCs/>
          <w:color w:val="auto"/>
          <w:kern w:val="44"/>
          <w:sz w:val="28"/>
          <w:szCs w:val="28"/>
          <w:lang w:val="zh-CN"/>
        </w:rPr>
        <w:t xml:space="preserve">22. </w:t>
      </w:r>
      <w:r>
        <w:rPr>
          <w:rFonts w:hint="eastAsia" w:eastAsia="黑体"/>
          <w:bCs/>
          <w:color w:val="auto"/>
          <w:kern w:val="44"/>
          <w:sz w:val="28"/>
          <w:szCs w:val="28"/>
          <w:lang w:val="zh-CN"/>
        </w:rPr>
        <w:t>违约</w:t>
      </w:r>
    </w:p>
    <w:p w14:paraId="26FA830F">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22.1 </w:t>
      </w:r>
      <w:r>
        <w:rPr>
          <w:rFonts w:hint="eastAsia" w:eastAsia="黑体"/>
          <w:bCs/>
          <w:color w:val="auto"/>
          <w:kern w:val="44"/>
          <w:sz w:val="24"/>
          <w:lang w:val="zh-CN"/>
        </w:rPr>
        <w:t>承包人违约</w:t>
      </w:r>
    </w:p>
    <w:p w14:paraId="53A637EC">
      <w:pPr>
        <w:spacing w:line="240" w:lineRule="auto"/>
        <w:ind w:firstLine="480" w:firstLineChars="200"/>
        <w:rPr>
          <w:color w:val="auto"/>
          <w:sz w:val="24"/>
        </w:rPr>
      </w:pPr>
      <w:r>
        <w:rPr>
          <w:color w:val="auto"/>
          <w:sz w:val="24"/>
        </w:rPr>
        <w:t xml:space="preserve">22.1.1 </w:t>
      </w:r>
      <w:r>
        <w:rPr>
          <w:rFonts w:hint="eastAsia" w:eastAsia="黑体"/>
          <w:color w:val="auto"/>
          <w:sz w:val="24"/>
        </w:rPr>
        <w:t>承包人违约的情形</w:t>
      </w:r>
    </w:p>
    <w:p w14:paraId="4DC8FE76">
      <w:pPr>
        <w:spacing w:line="240" w:lineRule="auto"/>
        <w:ind w:firstLine="480" w:firstLineChars="200"/>
        <w:rPr>
          <w:rFonts w:hint="eastAsia"/>
          <w:color w:val="auto"/>
          <w:sz w:val="24"/>
        </w:rPr>
      </w:pPr>
      <w:r>
        <w:rPr>
          <w:rFonts w:hint="eastAsia"/>
          <w:color w:val="auto"/>
          <w:sz w:val="24"/>
        </w:rPr>
        <w:t>在履行合同过程中发生的下列情况属承包人违约：</w:t>
      </w:r>
    </w:p>
    <w:p w14:paraId="0F9FC602">
      <w:pPr>
        <w:spacing w:line="240" w:lineRule="auto"/>
        <w:ind w:firstLine="480" w:firstLineChars="200"/>
        <w:rPr>
          <w:rFonts w:hint="eastAsia"/>
          <w:color w:val="auto"/>
          <w:sz w:val="24"/>
        </w:rPr>
      </w:pPr>
      <w:r>
        <w:rPr>
          <w:rFonts w:hint="eastAsia"/>
          <w:color w:val="auto"/>
          <w:sz w:val="24"/>
        </w:rPr>
        <w:t>（</w:t>
      </w:r>
      <w:r>
        <w:rPr>
          <w:color w:val="auto"/>
          <w:sz w:val="24"/>
        </w:rPr>
        <w:t>1</w:t>
      </w:r>
      <w:r>
        <w:rPr>
          <w:rFonts w:hint="eastAsia"/>
          <w:color w:val="auto"/>
          <w:sz w:val="24"/>
        </w:rPr>
        <w:t>）承包人违反第</w:t>
      </w:r>
      <w:r>
        <w:rPr>
          <w:color w:val="auto"/>
          <w:sz w:val="24"/>
        </w:rPr>
        <w:t>1.8</w:t>
      </w:r>
      <w:r>
        <w:rPr>
          <w:rFonts w:hint="eastAsia"/>
          <w:color w:val="auto"/>
          <w:sz w:val="24"/>
        </w:rPr>
        <w:t>款或第</w:t>
      </w:r>
      <w:r>
        <w:rPr>
          <w:color w:val="auto"/>
          <w:sz w:val="24"/>
        </w:rPr>
        <w:t>4.3</w:t>
      </w:r>
      <w:r>
        <w:rPr>
          <w:rFonts w:hint="eastAsia"/>
          <w:color w:val="auto"/>
          <w:sz w:val="24"/>
        </w:rPr>
        <w:t>款的约定，私自将合同的全部或部分权利转让给其他人，或私自将合同的全部或部分义务转移给其他人；</w:t>
      </w:r>
    </w:p>
    <w:p w14:paraId="0F4AE403">
      <w:pPr>
        <w:spacing w:line="240" w:lineRule="auto"/>
        <w:ind w:firstLine="480" w:firstLineChars="200"/>
        <w:rPr>
          <w:rFonts w:hint="eastAsia"/>
          <w:color w:val="auto"/>
          <w:sz w:val="24"/>
        </w:rPr>
      </w:pPr>
      <w:r>
        <w:rPr>
          <w:rFonts w:hint="eastAsia"/>
          <w:color w:val="auto"/>
          <w:sz w:val="24"/>
        </w:rPr>
        <w:t>（</w:t>
      </w:r>
      <w:r>
        <w:rPr>
          <w:color w:val="auto"/>
          <w:sz w:val="24"/>
        </w:rPr>
        <w:t>2</w:t>
      </w:r>
      <w:r>
        <w:rPr>
          <w:rFonts w:hint="eastAsia"/>
          <w:color w:val="auto"/>
          <w:sz w:val="24"/>
        </w:rPr>
        <w:t>）承包人违反第</w:t>
      </w:r>
      <w:r>
        <w:rPr>
          <w:color w:val="auto"/>
          <w:sz w:val="24"/>
        </w:rPr>
        <w:t>5.3</w:t>
      </w:r>
      <w:r>
        <w:rPr>
          <w:rFonts w:hint="eastAsia"/>
          <w:color w:val="auto"/>
          <w:sz w:val="24"/>
        </w:rPr>
        <w:t>款或第</w:t>
      </w:r>
      <w:r>
        <w:rPr>
          <w:color w:val="auto"/>
          <w:sz w:val="24"/>
        </w:rPr>
        <w:t>6.4</w:t>
      </w:r>
      <w:r>
        <w:rPr>
          <w:rFonts w:hint="eastAsia"/>
          <w:color w:val="auto"/>
          <w:sz w:val="24"/>
        </w:rPr>
        <w:t>款的约定，未经发包人批准，私自将已按合同约定进入施工场地的施工设备、临时设施或材料撤离施工场地；</w:t>
      </w:r>
    </w:p>
    <w:p w14:paraId="0D70209A">
      <w:pPr>
        <w:spacing w:line="240" w:lineRule="auto"/>
        <w:ind w:firstLine="480" w:firstLineChars="200"/>
        <w:rPr>
          <w:rFonts w:hint="eastAsia"/>
          <w:color w:val="auto"/>
          <w:sz w:val="24"/>
        </w:rPr>
      </w:pPr>
      <w:r>
        <w:rPr>
          <w:rFonts w:hint="eastAsia"/>
          <w:color w:val="auto"/>
          <w:sz w:val="24"/>
        </w:rPr>
        <w:t>（</w:t>
      </w:r>
      <w:r>
        <w:rPr>
          <w:color w:val="auto"/>
          <w:sz w:val="24"/>
        </w:rPr>
        <w:t>3</w:t>
      </w:r>
      <w:r>
        <w:rPr>
          <w:rFonts w:hint="eastAsia"/>
          <w:color w:val="auto"/>
          <w:sz w:val="24"/>
        </w:rPr>
        <w:t>）承包人违反第</w:t>
      </w:r>
      <w:r>
        <w:rPr>
          <w:color w:val="auto"/>
          <w:sz w:val="24"/>
        </w:rPr>
        <w:t>5.4</w:t>
      </w:r>
      <w:r>
        <w:rPr>
          <w:rFonts w:hint="eastAsia"/>
          <w:color w:val="auto"/>
          <w:sz w:val="24"/>
        </w:rPr>
        <w:t>款的约定使用了不合格材料或工程设备，工程质量达不到标准要求，又拒绝清除不合格工程；</w:t>
      </w:r>
    </w:p>
    <w:p w14:paraId="0E11A905">
      <w:pPr>
        <w:spacing w:line="240" w:lineRule="auto"/>
        <w:ind w:firstLine="480" w:firstLineChars="200"/>
        <w:rPr>
          <w:rFonts w:hint="eastAsia"/>
          <w:color w:val="auto"/>
          <w:sz w:val="24"/>
        </w:rPr>
      </w:pPr>
      <w:r>
        <w:rPr>
          <w:rFonts w:hint="eastAsia"/>
          <w:color w:val="auto"/>
          <w:sz w:val="24"/>
        </w:rPr>
        <w:t>（</w:t>
      </w:r>
      <w:r>
        <w:rPr>
          <w:color w:val="auto"/>
          <w:sz w:val="24"/>
        </w:rPr>
        <w:t>4</w:t>
      </w:r>
      <w:r>
        <w:rPr>
          <w:rFonts w:hint="eastAsia"/>
          <w:color w:val="auto"/>
          <w:sz w:val="24"/>
        </w:rPr>
        <w:t>）承包人未能按合同进度计划及时完成合同约定的工作，已造成或预期造成工期延误；</w:t>
      </w:r>
    </w:p>
    <w:p w14:paraId="66090A45">
      <w:pPr>
        <w:spacing w:line="240" w:lineRule="auto"/>
        <w:ind w:firstLine="480" w:firstLineChars="200"/>
        <w:rPr>
          <w:rFonts w:hint="eastAsia"/>
          <w:color w:val="auto"/>
          <w:sz w:val="24"/>
        </w:rPr>
      </w:pPr>
      <w:r>
        <w:rPr>
          <w:rFonts w:hint="eastAsia"/>
          <w:color w:val="auto"/>
          <w:sz w:val="24"/>
        </w:rPr>
        <w:t>（</w:t>
      </w:r>
      <w:r>
        <w:rPr>
          <w:color w:val="auto"/>
          <w:sz w:val="24"/>
        </w:rPr>
        <w:t>5</w:t>
      </w:r>
      <w:r>
        <w:rPr>
          <w:rFonts w:hint="eastAsia"/>
          <w:color w:val="auto"/>
          <w:sz w:val="24"/>
        </w:rPr>
        <w:t>）承包人在缺陷责任期内，未能对工程接收证书所列的缺陷清单的内容或缺陷责任期内发生的缺陷进行修复，而又拒绝按发包人指示再进行修补；</w:t>
      </w:r>
    </w:p>
    <w:p w14:paraId="20485F56">
      <w:pPr>
        <w:spacing w:line="240" w:lineRule="auto"/>
        <w:ind w:firstLine="480" w:firstLineChars="200"/>
        <w:rPr>
          <w:rFonts w:hint="eastAsia"/>
          <w:color w:val="auto"/>
          <w:sz w:val="24"/>
        </w:rPr>
      </w:pPr>
      <w:r>
        <w:rPr>
          <w:rFonts w:hint="eastAsia"/>
          <w:color w:val="auto"/>
          <w:sz w:val="24"/>
        </w:rPr>
        <w:t>（</w:t>
      </w:r>
      <w:r>
        <w:rPr>
          <w:color w:val="auto"/>
          <w:sz w:val="24"/>
        </w:rPr>
        <w:t>6</w:t>
      </w:r>
      <w:r>
        <w:rPr>
          <w:rFonts w:hint="eastAsia"/>
          <w:color w:val="auto"/>
          <w:sz w:val="24"/>
        </w:rPr>
        <w:t>）承包人无法继续履行或明确表示不履行或实质上已停止履行合同；</w:t>
      </w:r>
    </w:p>
    <w:p w14:paraId="0AE90D0E">
      <w:pPr>
        <w:spacing w:line="240" w:lineRule="auto"/>
        <w:ind w:firstLine="480" w:firstLineChars="200"/>
        <w:rPr>
          <w:rFonts w:hint="eastAsia"/>
          <w:color w:val="auto"/>
          <w:sz w:val="24"/>
        </w:rPr>
      </w:pPr>
      <w:r>
        <w:rPr>
          <w:rFonts w:hint="eastAsia"/>
          <w:color w:val="auto"/>
          <w:sz w:val="24"/>
        </w:rPr>
        <w:t>（</w:t>
      </w:r>
      <w:r>
        <w:rPr>
          <w:color w:val="auto"/>
          <w:sz w:val="24"/>
        </w:rPr>
        <w:t>7</w:t>
      </w:r>
      <w:r>
        <w:rPr>
          <w:rFonts w:hint="eastAsia"/>
          <w:color w:val="auto"/>
          <w:sz w:val="24"/>
        </w:rPr>
        <w:t>）承包人不按合同约定履行义务的其他情况。</w:t>
      </w:r>
    </w:p>
    <w:p w14:paraId="76381B75">
      <w:pPr>
        <w:spacing w:line="240" w:lineRule="auto"/>
        <w:ind w:firstLine="470" w:firstLineChars="196"/>
        <w:rPr>
          <w:color w:val="auto"/>
          <w:sz w:val="24"/>
        </w:rPr>
      </w:pPr>
      <w:r>
        <w:rPr>
          <w:color w:val="auto"/>
          <w:sz w:val="24"/>
        </w:rPr>
        <w:t xml:space="preserve">22.1.2 </w:t>
      </w:r>
      <w:r>
        <w:rPr>
          <w:rFonts w:hint="eastAsia" w:eastAsia="黑体"/>
          <w:color w:val="auto"/>
          <w:sz w:val="24"/>
        </w:rPr>
        <w:t>对承包人违约的处理</w:t>
      </w:r>
    </w:p>
    <w:p w14:paraId="53A6E324">
      <w:pPr>
        <w:spacing w:line="240" w:lineRule="auto"/>
        <w:ind w:firstLine="480" w:firstLineChars="200"/>
        <w:rPr>
          <w:rFonts w:hint="eastAsia"/>
          <w:color w:val="auto"/>
          <w:sz w:val="24"/>
        </w:rPr>
      </w:pPr>
      <w:r>
        <w:rPr>
          <w:rFonts w:hint="eastAsia"/>
          <w:color w:val="auto"/>
          <w:sz w:val="24"/>
        </w:rPr>
        <w:t>（</w:t>
      </w:r>
      <w:r>
        <w:rPr>
          <w:color w:val="auto"/>
          <w:sz w:val="24"/>
        </w:rPr>
        <w:t>1</w:t>
      </w:r>
      <w:r>
        <w:rPr>
          <w:rFonts w:hint="eastAsia"/>
          <w:color w:val="auto"/>
          <w:sz w:val="24"/>
        </w:rPr>
        <w:t>）承包人发生第</w:t>
      </w:r>
      <w:r>
        <w:rPr>
          <w:color w:val="auto"/>
          <w:sz w:val="24"/>
        </w:rPr>
        <w:t>22.1.1</w:t>
      </w:r>
      <w:r>
        <w:rPr>
          <w:rFonts w:hint="eastAsia"/>
          <w:color w:val="auto"/>
          <w:sz w:val="24"/>
        </w:rPr>
        <w:t>（</w:t>
      </w:r>
      <w:r>
        <w:rPr>
          <w:color w:val="auto"/>
          <w:sz w:val="24"/>
        </w:rPr>
        <w:t>6</w:t>
      </w:r>
      <w:r>
        <w:rPr>
          <w:rFonts w:hint="eastAsia"/>
          <w:color w:val="auto"/>
          <w:sz w:val="24"/>
        </w:rPr>
        <w:t>）目约定的违约情况时，发包人可通知承包人立即解除合同，并按有关法律处理。</w:t>
      </w:r>
    </w:p>
    <w:p w14:paraId="06D36263">
      <w:pPr>
        <w:spacing w:line="240" w:lineRule="auto"/>
        <w:ind w:firstLine="480" w:firstLineChars="200"/>
        <w:rPr>
          <w:rFonts w:hint="eastAsia"/>
          <w:color w:val="auto"/>
          <w:sz w:val="24"/>
        </w:rPr>
      </w:pPr>
      <w:r>
        <w:rPr>
          <w:rFonts w:hint="eastAsia"/>
          <w:color w:val="auto"/>
          <w:sz w:val="24"/>
        </w:rPr>
        <w:t>（</w:t>
      </w:r>
      <w:r>
        <w:rPr>
          <w:color w:val="auto"/>
          <w:sz w:val="24"/>
        </w:rPr>
        <w:t>2</w:t>
      </w:r>
      <w:r>
        <w:rPr>
          <w:rFonts w:hint="eastAsia"/>
          <w:color w:val="auto"/>
          <w:sz w:val="24"/>
        </w:rPr>
        <w:t>）承包人发生除第</w:t>
      </w:r>
      <w:r>
        <w:rPr>
          <w:color w:val="auto"/>
          <w:sz w:val="24"/>
        </w:rPr>
        <w:t>22.1.1</w:t>
      </w:r>
      <w:r>
        <w:rPr>
          <w:rFonts w:hint="eastAsia"/>
          <w:color w:val="auto"/>
          <w:sz w:val="24"/>
        </w:rPr>
        <w:t>（</w:t>
      </w:r>
      <w:r>
        <w:rPr>
          <w:color w:val="auto"/>
          <w:sz w:val="24"/>
        </w:rPr>
        <w:t>6</w:t>
      </w:r>
      <w:r>
        <w:rPr>
          <w:rFonts w:hint="eastAsia"/>
          <w:color w:val="auto"/>
          <w:sz w:val="24"/>
        </w:rPr>
        <w:t>）目约定以外的其他违约情况时，监理人可向承包人发出整改通知，要求其在指定的期限内改正。承包人应承担其违约所引起的费用增加和（或）工期延误。</w:t>
      </w:r>
    </w:p>
    <w:p w14:paraId="1FCE5A28">
      <w:pPr>
        <w:spacing w:line="240" w:lineRule="auto"/>
        <w:ind w:firstLine="480" w:firstLineChars="200"/>
        <w:rPr>
          <w:rFonts w:hint="eastAsia"/>
          <w:color w:val="auto"/>
          <w:sz w:val="24"/>
        </w:rPr>
      </w:pPr>
      <w:r>
        <w:rPr>
          <w:rFonts w:hint="eastAsia"/>
          <w:color w:val="auto"/>
          <w:sz w:val="24"/>
        </w:rPr>
        <w:t>（</w:t>
      </w:r>
      <w:r>
        <w:rPr>
          <w:color w:val="auto"/>
          <w:sz w:val="24"/>
        </w:rPr>
        <w:t>3</w:t>
      </w:r>
      <w:r>
        <w:rPr>
          <w:rFonts w:hint="eastAsia"/>
          <w:color w:val="auto"/>
          <w:sz w:val="24"/>
        </w:rPr>
        <w:t>）经检查证明承包人已采取了有效措施纠正违约行为，具备复工条件的，可</w:t>
      </w:r>
      <w:r>
        <w:rPr>
          <w:rFonts w:hint="eastAsia"/>
          <w:color w:val="auto"/>
          <w:sz w:val="24"/>
          <w:lang w:val="en-US" w:eastAsia="zh-CN"/>
        </w:rPr>
        <w:t>发包</w:t>
      </w:r>
      <w:r>
        <w:rPr>
          <w:rFonts w:hint="eastAsia"/>
          <w:color w:val="auto"/>
          <w:sz w:val="24"/>
        </w:rPr>
        <w:t>人签发复工通知复工。</w:t>
      </w:r>
    </w:p>
    <w:p w14:paraId="3F93915E">
      <w:pPr>
        <w:spacing w:line="240" w:lineRule="auto"/>
        <w:ind w:firstLine="470" w:firstLineChars="196"/>
        <w:rPr>
          <w:color w:val="auto"/>
          <w:sz w:val="24"/>
        </w:rPr>
      </w:pPr>
      <w:r>
        <w:rPr>
          <w:color w:val="auto"/>
          <w:sz w:val="24"/>
        </w:rPr>
        <w:t xml:space="preserve">22.1.3 </w:t>
      </w:r>
      <w:r>
        <w:rPr>
          <w:rFonts w:hint="eastAsia" w:eastAsia="黑体"/>
          <w:color w:val="auto"/>
          <w:sz w:val="24"/>
        </w:rPr>
        <w:t>承包人违约解除合同</w:t>
      </w:r>
    </w:p>
    <w:p w14:paraId="73F8D0E1">
      <w:pPr>
        <w:spacing w:line="240" w:lineRule="auto"/>
        <w:ind w:firstLine="480" w:firstLineChars="200"/>
        <w:rPr>
          <w:rFonts w:hint="eastAsia"/>
          <w:color w:val="auto"/>
          <w:sz w:val="24"/>
        </w:rPr>
      </w:pPr>
      <w:r>
        <w:rPr>
          <w:rFonts w:hint="eastAsia"/>
          <w:color w:val="auto"/>
          <w:sz w:val="24"/>
          <w:lang w:val="en-US" w:eastAsia="zh-CN"/>
        </w:rPr>
        <w:t>发包</w:t>
      </w:r>
      <w:r>
        <w:rPr>
          <w:rFonts w:hint="eastAsia"/>
          <w:color w:val="auto"/>
          <w:sz w:val="24"/>
        </w:rPr>
        <w:t>人发出整改通知</w:t>
      </w:r>
      <w:r>
        <w:rPr>
          <w:color w:val="auto"/>
          <w:sz w:val="24"/>
        </w:rPr>
        <w:t>28</w:t>
      </w:r>
      <w:r>
        <w:rPr>
          <w:rFonts w:hint="eastAsia"/>
          <w:color w:val="auto"/>
          <w:sz w:val="24"/>
        </w:rPr>
        <w:t>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62441BD1">
      <w:pPr>
        <w:spacing w:line="240" w:lineRule="auto"/>
        <w:ind w:firstLine="470" w:firstLineChars="196"/>
        <w:rPr>
          <w:color w:val="auto"/>
          <w:sz w:val="24"/>
        </w:rPr>
      </w:pPr>
      <w:r>
        <w:rPr>
          <w:color w:val="auto"/>
          <w:sz w:val="24"/>
        </w:rPr>
        <w:t xml:space="preserve">22.1.4 </w:t>
      </w:r>
      <w:r>
        <w:rPr>
          <w:rFonts w:hint="eastAsia" w:eastAsia="黑体"/>
          <w:color w:val="auto"/>
          <w:sz w:val="24"/>
        </w:rPr>
        <w:t>合同解除后的估价、付款和结清</w:t>
      </w:r>
    </w:p>
    <w:p w14:paraId="47E382B8">
      <w:pPr>
        <w:tabs>
          <w:tab w:val="left" w:pos="540"/>
        </w:tabs>
        <w:spacing w:line="240" w:lineRule="auto"/>
        <w:ind w:firstLine="480" w:firstLineChars="200"/>
        <w:rPr>
          <w:rFonts w:hint="eastAsia"/>
          <w:color w:val="auto"/>
          <w:sz w:val="24"/>
        </w:rPr>
      </w:pPr>
      <w:r>
        <w:rPr>
          <w:rFonts w:hint="eastAsia"/>
          <w:color w:val="auto"/>
          <w:sz w:val="24"/>
        </w:rPr>
        <w:t>（</w:t>
      </w:r>
      <w:r>
        <w:rPr>
          <w:color w:val="auto"/>
          <w:sz w:val="24"/>
        </w:rPr>
        <w:t>1</w:t>
      </w:r>
      <w:r>
        <w:rPr>
          <w:rFonts w:hint="eastAsia"/>
          <w:color w:val="auto"/>
          <w:sz w:val="24"/>
        </w:rPr>
        <w:t>）合同解除后，</w:t>
      </w:r>
      <w:r>
        <w:rPr>
          <w:rFonts w:hint="eastAsia"/>
          <w:color w:val="auto"/>
          <w:sz w:val="24"/>
          <w:lang w:val="en-US" w:eastAsia="zh-CN"/>
        </w:rPr>
        <w:t>发包</w:t>
      </w:r>
      <w:r>
        <w:rPr>
          <w:rFonts w:hint="eastAsia"/>
          <w:color w:val="auto"/>
          <w:sz w:val="24"/>
        </w:rPr>
        <w:t>人按第</w:t>
      </w:r>
      <w:r>
        <w:rPr>
          <w:color w:val="auto"/>
          <w:sz w:val="24"/>
        </w:rPr>
        <w:t>3.5</w:t>
      </w:r>
      <w:r>
        <w:rPr>
          <w:rFonts w:hint="eastAsia"/>
          <w:color w:val="auto"/>
          <w:sz w:val="24"/>
        </w:rPr>
        <w:t>款商定或确定承包人实际完成工作的价值，以及承包人已提供的材料、施工设备、工程设备和临时工程等的价值。</w:t>
      </w:r>
      <w:r>
        <w:rPr>
          <w:color w:val="auto"/>
          <w:sz w:val="24"/>
        </w:rPr>
        <w:t xml:space="preserve"> </w:t>
      </w:r>
    </w:p>
    <w:p w14:paraId="44360C01">
      <w:pPr>
        <w:spacing w:line="240" w:lineRule="auto"/>
        <w:ind w:firstLine="480" w:firstLineChars="200"/>
        <w:rPr>
          <w:rFonts w:hint="eastAsia"/>
          <w:color w:val="auto"/>
          <w:sz w:val="24"/>
        </w:rPr>
      </w:pPr>
      <w:r>
        <w:rPr>
          <w:rFonts w:hint="eastAsia"/>
          <w:color w:val="auto"/>
          <w:sz w:val="24"/>
        </w:rPr>
        <w:t>（</w:t>
      </w:r>
      <w:r>
        <w:rPr>
          <w:color w:val="auto"/>
          <w:sz w:val="24"/>
        </w:rPr>
        <w:t>2</w:t>
      </w:r>
      <w:r>
        <w:rPr>
          <w:rFonts w:hint="eastAsia"/>
          <w:color w:val="auto"/>
          <w:sz w:val="24"/>
        </w:rPr>
        <w:t>）合同解除后，发包人应暂停对承包人的一切付款，查清各项付款和已扣款金额，包括承包人应支付的违约金。</w:t>
      </w:r>
      <w:r>
        <w:rPr>
          <w:color w:val="auto"/>
          <w:sz w:val="24"/>
        </w:rPr>
        <w:t xml:space="preserve"> </w:t>
      </w:r>
    </w:p>
    <w:p w14:paraId="1294CC6A">
      <w:pPr>
        <w:tabs>
          <w:tab w:val="left" w:pos="720"/>
        </w:tabs>
        <w:spacing w:line="240" w:lineRule="auto"/>
        <w:ind w:firstLine="480" w:firstLineChars="200"/>
        <w:rPr>
          <w:rFonts w:hint="eastAsia"/>
          <w:color w:val="auto"/>
          <w:sz w:val="24"/>
        </w:rPr>
      </w:pPr>
      <w:r>
        <w:rPr>
          <w:rFonts w:hint="eastAsia"/>
          <w:color w:val="auto"/>
          <w:sz w:val="24"/>
        </w:rPr>
        <w:t>（</w:t>
      </w:r>
      <w:r>
        <w:rPr>
          <w:color w:val="auto"/>
          <w:sz w:val="24"/>
        </w:rPr>
        <w:t>3</w:t>
      </w:r>
      <w:r>
        <w:rPr>
          <w:rFonts w:hint="eastAsia"/>
          <w:color w:val="auto"/>
          <w:sz w:val="24"/>
        </w:rPr>
        <w:t>）合同解除后，发包人应按第</w:t>
      </w:r>
      <w:r>
        <w:rPr>
          <w:color w:val="auto"/>
          <w:sz w:val="24"/>
        </w:rPr>
        <w:t>23.4</w:t>
      </w:r>
      <w:r>
        <w:rPr>
          <w:rFonts w:hint="eastAsia"/>
          <w:color w:val="auto"/>
          <w:sz w:val="24"/>
        </w:rPr>
        <w:t>款的约定向承包人索赔由于解除合同给发包人造成的损失。</w:t>
      </w:r>
    </w:p>
    <w:p w14:paraId="7C365C35">
      <w:pPr>
        <w:spacing w:line="240" w:lineRule="auto"/>
        <w:ind w:firstLine="480" w:firstLineChars="200"/>
        <w:rPr>
          <w:rFonts w:hint="eastAsia"/>
          <w:color w:val="auto"/>
          <w:sz w:val="24"/>
        </w:rPr>
      </w:pPr>
      <w:r>
        <w:rPr>
          <w:rFonts w:hint="eastAsia"/>
          <w:color w:val="auto"/>
          <w:sz w:val="24"/>
        </w:rPr>
        <w:t>（</w:t>
      </w:r>
      <w:r>
        <w:rPr>
          <w:color w:val="auto"/>
          <w:sz w:val="24"/>
        </w:rPr>
        <w:t>4</w:t>
      </w:r>
      <w:r>
        <w:rPr>
          <w:rFonts w:hint="eastAsia"/>
          <w:color w:val="auto"/>
          <w:sz w:val="24"/>
        </w:rPr>
        <w:t>）合同双方确认上述往来款项后，出具最终结清付款证书，结清全部合同款项。</w:t>
      </w:r>
    </w:p>
    <w:p w14:paraId="74C9C167">
      <w:pPr>
        <w:spacing w:line="240" w:lineRule="auto"/>
        <w:ind w:right="25" w:rightChars="12" w:firstLine="480" w:firstLineChars="200"/>
        <w:rPr>
          <w:rFonts w:hint="eastAsia"/>
          <w:color w:val="auto"/>
          <w:sz w:val="24"/>
        </w:rPr>
      </w:pPr>
      <w:r>
        <w:rPr>
          <w:rFonts w:hint="eastAsia"/>
          <w:color w:val="auto"/>
          <w:sz w:val="24"/>
        </w:rPr>
        <w:t>（</w:t>
      </w:r>
      <w:r>
        <w:rPr>
          <w:color w:val="auto"/>
          <w:sz w:val="24"/>
        </w:rPr>
        <w:t>5</w:t>
      </w:r>
      <w:r>
        <w:rPr>
          <w:rFonts w:hint="eastAsia"/>
          <w:color w:val="auto"/>
          <w:sz w:val="24"/>
        </w:rPr>
        <w:t>）发包人和承包人未能就解除合同后的结清达成一致而形成争议的，按第</w:t>
      </w:r>
      <w:r>
        <w:rPr>
          <w:color w:val="auto"/>
          <w:sz w:val="24"/>
        </w:rPr>
        <w:t>24</w:t>
      </w:r>
      <w:r>
        <w:rPr>
          <w:rFonts w:hint="eastAsia"/>
          <w:color w:val="auto"/>
          <w:sz w:val="24"/>
        </w:rPr>
        <w:t>条的约定办理。</w:t>
      </w:r>
    </w:p>
    <w:p w14:paraId="56B83D57">
      <w:pPr>
        <w:spacing w:line="240" w:lineRule="auto"/>
        <w:ind w:firstLine="470" w:firstLineChars="196"/>
        <w:rPr>
          <w:color w:val="auto"/>
          <w:sz w:val="24"/>
        </w:rPr>
      </w:pPr>
      <w:r>
        <w:rPr>
          <w:color w:val="auto"/>
          <w:sz w:val="24"/>
        </w:rPr>
        <w:t xml:space="preserve">22.1.5 </w:t>
      </w:r>
      <w:r>
        <w:rPr>
          <w:rFonts w:hint="eastAsia" w:eastAsia="黑体"/>
          <w:color w:val="auto"/>
          <w:sz w:val="24"/>
        </w:rPr>
        <w:t>协议利益的转让</w:t>
      </w:r>
    </w:p>
    <w:p w14:paraId="728EDC69">
      <w:pPr>
        <w:spacing w:line="240" w:lineRule="auto"/>
        <w:ind w:firstLine="480" w:firstLineChars="200"/>
        <w:rPr>
          <w:rFonts w:hint="eastAsia"/>
          <w:color w:val="auto"/>
          <w:sz w:val="24"/>
        </w:rPr>
      </w:pPr>
      <w:r>
        <w:rPr>
          <w:rFonts w:hint="eastAsia"/>
          <w:color w:val="auto"/>
          <w:sz w:val="24"/>
        </w:rPr>
        <w:t>因承包人违约解除合同的，发包人有权要求承包人将其为实施合同而签订的材料和设备的订货协议或任何服务协议利益转让给发包人，并在解除合同后的</w:t>
      </w:r>
      <w:r>
        <w:rPr>
          <w:color w:val="auto"/>
          <w:sz w:val="24"/>
        </w:rPr>
        <w:t>14</w:t>
      </w:r>
      <w:r>
        <w:rPr>
          <w:rFonts w:hint="eastAsia"/>
          <w:color w:val="auto"/>
          <w:sz w:val="24"/>
        </w:rPr>
        <w:t>天内，依法办理转让手续。</w:t>
      </w:r>
      <w:r>
        <w:rPr>
          <w:color w:val="auto"/>
          <w:sz w:val="24"/>
        </w:rPr>
        <w:t xml:space="preserve"> </w:t>
      </w:r>
    </w:p>
    <w:p w14:paraId="7F80F145">
      <w:pPr>
        <w:spacing w:line="240" w:lineRule="auto"/>
        <w:ind w:firstLine="470" w:firstLineChars="196"/>
        <w:rPr>
          <w:color w:val="auto"/>
          <w:sz w:val="24"/>
        </w:rPr>
      </w:pPr>
      <w:r>
        <w:rPr>
          <w:color w:val="auto"/>
          <w:sz w:val="24"/>
        </w:rPr>
        <w:t xml:space="preserve">22.1.6 </w:t>
      </w:r>
      <w:r>
        <w:rPr>
          <w:rFonts w:hint="eastAsia" w:eastAsia="黑体"/>
          <w:color w:val="auto"/>
          <w:sz w:val="24"/>
        </w:rPr>
        <w:t>紧急情况下无能力或不愿进行抢救</w:t>
      </w:r>
    </w:p>
    <w:p w14:paraId="624E5C77">
      <w:pPr>
        <w:spacing w:line="240" w:lineRule="auto"/>
        <w:ind w:firstLine="480" w:firstLineChars="200"/>
        <w:rPr>
          <w:rFonts w:hint="eastAsia"/>
          <w:color w:val="auto"/>
          <w:sz w:val="24"/>
        </w:rPr>
      </w:pPr>
      <w:r>
        <w:rPr>
          <w:rFonts w:hint="eastAsia"/>
          <w:color w:val="auto"/>
          <w:sz w:val="24"/>
        </w:rPr>
        <w:t>在工程实施期间或缺陷责任期内发生危及工程安全的事件，</w:t>
      </w:r>
      <w:r>
        <w:rPr>
          <w:rFonts w:hint="eastAsia"/>
          <w:color w:val="auto"/>
          <w:sz w:val="24"/>
          <w:lang w:val="en-US" w:eastAsia="zh-CN"/>
        </w:rPr>
        <w:t>发包</w:t>
      </w:r>
      <w:r>
        <w:rPr>
          <w:rFonts w:hint="eastAsia"/>
          <w:color w:val="auto"/>
          <w:sz w:val="24"/>
        </w:rPr>
        <w:t>人通知承包人进行抢救，承包人声明无能力或不愿立即执行的，发包人有权雇佣其他人员进行抢救。此类抢救按合同约定属于承包人义务的，由此发生的金额和（或）工期延误由承包人承担。</w:t>
      </w:r>
    </w:p>
    <w:p w14:paraId="08AA3919">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22.2 </w:t>
      </w:r>
      <w:r>
        <w:rPr>
          <w:rFonts w:hint="eastAsia" w:eastAsia="黑体"/>
          <w:bCs/>
          <w:color w:val="auto"/>
          <w:kern w:val="44"/>
          <w:sz w:val="24"/>
          <w:lang w:val="zh-CN"/>
        </w:rPr>
        <w:t>发包人违约</w:t>
      </w:r>
    </w:p>
    <w:p w14:paraId="1EE55548">
      <w:pPr>
        <w:spacing w:line="240" w:lineRule="auto"/>
        <w:ind w:firstLine="480" w:firstLineChars="200"/>
        <w:rPr>
          <w:color w:val="auto"/>
          <w:sz w:val="24"/>
        </w:rPr>
      </w:pPr>
      <w:r>
        <w:rPr>
          <w:color w:val="auto"/>
          <w:sz w:val="24"/>
        </w:rPr>
        <w:t>22.2.1</w:t>
      </w:r>
      <w:r>
        <w:rPr>
          <w:rFonts w:hint="eastAsia" w:eastAsia="黑体"/>
          <w:color w:val="auto"/>
          <w:sz w:val="24"/>
        </w:rPr>
        <w:t>发包人违约的情形</w:t>
      </w:r>
    </w:p>
    <w:p w14:paraId="127F4713">
      <w:pPr>
        <w:spacing w:line="240" w:lineRule="auto"/>
        <w:ind w:firstLine="480" w:firstLineChars="200"/>
        <w:rPr>
          <w:rFonts w:hint="eastAsia"/>
          <w:color w:val="auto"/>
          <w:sz w:val="24"/>
        </w:rPr>
      </w:pPr>
      <w:r>
        <w:rPr>
          <w:rFonts w:hint="eastAsia"/>
          <w:color w:val="auto"/>
          <w:sz w:val="24"/>
        </w:rPr>
        <w:t>在履行合同过程中发生的下列情形，属发包人违约：</w:t>
      </w:r>
    </w:p>
    <w:p w14:paraId="4C5872D4">
      <w:pPr>
        <w:spacing w:line="240" w:lineRule="auto"/>
        <w:ind w:firstLine="480" w:firstLineChars="200"/>
        <w:rPr>
          <w:rFonts w:hint="eastAsia"/>
          <w:color w:val="auto"/>
          <w:sz w:val="24"/>
        </w:rPr>
      </w:pPr>
      <w:r>
        <w:rPr>
          <w:rFonts w:hint="eastAsia"/>
          <w:color w:val="auto"/>
          <w:sz w:val="24"/>
        </w:rPr>
        <w:t>（</w:t>
      </w:r>
      <w:r>
        <w:rPr>
          <w:color w:val="auto"/>
          <w:sz w:val="24"/>
        </w:rPr>
        <w:t>1</w:t>
      </w:r>
      <w:r>
        <w:rPr>
          <w:rFonts w:hint="eastAsia"/>
          <w:color w:val="auto"/>
          <w:sz w:val="24"/>
        </w:rPr>
        <w:t>）发包人未能按合同约定支付预付款或合同价款，或拖延、拒绝批准付款申请和支付凭证，导致付款延误的；</w:t>
      </w:r>
      <w:r>
        <w:rPr>
          <w:color w:val="auto"/>
          <w:sz w:val="24"/>
        </w:rPr>
        <w:t xml:space="preserve"> </w:t>
      </w:r>
    </w:p>
    <w:p w14:paraId="49F29DED">
      <w:pPr>
        <w:tabs>
          <w:tab w:val="left" w:pos="720"/>
        </w:tabs>
        <w:spacing w:line="240" w:lineRule="auto"/>
        <w:ind w:firstLine="480" w:firstLineChars="200"/>
        <w:rPr>
          <w:rFonts w:hint="eastAsia"/>
          <w:color w:val="auto"/>
          <w:sz w:val="24"/>
        </w:rPr>
      </w:pPr>
      <w:r>
        <w:rPr>
          <w:rFonts w:hint="eastAsia"/>
          <w:color w:val="auto"/>
          <w:sz w:val="24"/>
        </w:rPr>
        <w:t>（</w:t>
      </w:r>
      <w:r>
        <w:rPr>
          <w:color w:val="auto"/>
          <w:sz w:val="24"/>
        </w:rPr>
        <w:t>2</w:t>
      </w:r>
      <w:r>
        <w:rPr>
          <w:rFonts w:hint="eastAsia"/>
          <w:color w:val="auto"/>
          <w:sz w:val="24"/>
        </w:rPr>
        <w:t>）发包人原因造成停工的；</w:t>
      </w:r>
    </w:p>
    <w:p w14:paraId="7758E1E1">
      <w:pPr>
        <w:spacing w:line="240" w:lineRule="auto"/>
        <w:ind w:firstLine="480" w:firstLineChars="200"/>
        <w:rPr>
          <w:rFonts w:hint="eastAsia"/>
          <w:color w:val="auto"/>
          <w:sz w:val="24"/>
        </w:rPr>
      </w:pPr>
      <w:r>
        <w:rPr>
          <w:rFonts w:hint="eastAsia"/>
          <w:color w:val="auto"/>
          <w:sz w:val="24"/>
        </w:rPr>
        <w:t>（</w:t>
      </w:r>
      <w:r>
        <w:rPr>
          <w:color w:val="auto"/>
          <w:sz w:val="24"/>
        </w:rPr>
        <w:t>3</w:t>
      </w:r>
      <w:r>
        <w:rPr>
          <w:rFonts w:hint="eastAsia"/>
          <w:color w:val="auto"/>
          <w:sz w:val="24"/>
        </w:rPr>
        <w:t>）</w:t>
      </w:r>
      <w:r>
        <w:rPr>
          <w:rFonts w:hint="eastAsia"/>
          <w:color w:val="auto"/>
          <w:sz w:val="24"/>
          <w:lang w:val="en-US" w:eastAsia="zh-CN"/>
        </w:rPr>
        <w:t>发包</w:t>
      </w:r>
      <w:r>
        <w:rPr>
          <w:rFonts w:hint="eastAsia"/>
          <w:color w:val="auto"/>
          <w:sz w:val="24"/>
        </w:rPr>
        <w:t>人无正当理由没有在约定期限内发出复工指示，导致承包人无法复工的；</w:t>
      </w:r>
    </w:p>
    <w:p w14:paraId="7E81CCBC">
      <w:pPr>
        <w:spacing w:line="240" w:lineRule="auto"/>
        <w:ind w:firstLine="480" w:firstLineChars="200"/>
        <w:rPr>
          <w:rFonts w:hint="eastAsia"/>
          <w:color w:val="auto"/>
          <w:sz w:val="24"/>
        </w:rPr>
      </w:pPr>
      <w:r>
        <w:rPr>
          <w:rFonts w:hint="eastAsia"/>
          <w:color w:val="auto"/>
          <w:sz w:val="24"/>
        </w:rPr>
        <w:t>（</w:t>
      </w:r>
      <w:r>
        <w:rPr>
          <w:color w:val="auto"/>
          <w:sz w:val="24"/>
        </w:rPr>
        <w:t>4</w:t>
      </w:r>
      <w:r>
        <w:rPr>
          <w:rFonts w:hint="eastAsia"/>
          <w:color w:val="auto"/>
          <w:sz w:val="24"/>
        </w:rPr>
        <w:t>）发包人无法继续履行或明确表示不履行或实质上已停止履行合同的；</w:t>
      </w:r>
    </w:p>
    <w:p w14:paraId="6B19633A">
      <w:pPr>
        <w:tabs>
          <w:tab w:val="left" w:pos="720"/>
        </w:tabs>
        <w:spacing w:line="240" w:lineRule="auto"/>
        <w:ind w:firstLine="480" w:firstLineChars="200"/>
        <w:rPr>
          <w:rFonts w:hint="eastAsia"/>
          <w:color w:val="auto"/>
          <w:sz w:val="24"/>
        </w:rPr>
      </w:pPr>
      <w:r>
        <w:rPr>
          <w:rFonts w:hint="eastAsia"/>
          <w:color w:val="auto"/>
          <w:sz w:val="24"/>
        </w:rPr>
        <w:t>（</w:t>
      </w:r>
      <w:r>
        <w:rPr>
          <w:color w:val="auto"/>
          <w:sz w:val="24"/>
        </w:rPr>
        <w:t>5</w:t>
      </w:r>
      <w:r>
        <w:rPr>
          <w:rFonts w:hint="eastAsia"/>
          <w:color w:val="auto"/>
          <w:sz w:val="24"/>
        </w:rPr>
        <w:t>）发包人不履行合同约定其他义务的。</w:t>
      </w:r>
    </w:p>
    <w:p w14:paraId="118CFB4C">
      <w:pPr>
        <w:spacing w:line="240" w:lineRule="auto"/>
        <w:ind w:firstLine="470" w:firstLineChars="196"/>
        <w:rPr>
          <w:color w:val="auto"/>
          <w:sz w:val="24"/>
        </w:rPr>
      </w:pPr>
      <w:r>
        <w:rPr>
          <w:color w:val="auto"/>
          <w:sz w:val="24"/>
        </w:rPr>
        <w:t xml:space="preserve">22.2.2 </w:t>
      </w:r>
      <w:r>
        <w:rPr>
          <w:rFonts w:hint="eastAsia" w:eastAsia="黑体"/>
          <w:color w:val="auto"/>
          <w:sz w:val="24"/>
        </w:rPr>
        <w:t>承包人有权暂停施工</w:t>
      </w:r>
    </w:p>
    <w:p w14:paraId="7722DBFC">
      <w:pPr>
        <w:spacing w:line="240" w:lineRule="auto"/>
        <w:ind w:firstLine="480" w:firstLineChars="200"/>
        <w:rPr>
          <w:rFonts w:hint="eastAsia"/>
          <w:color w:val="auto"/>
          <w:sz w:val="24"/>
        </w:rPr>
      </w:pPr>
      <w:r>
        <w:rPr>
          <w:rFonts w:hint="eastAsia"/>
          <w:color w:val="auto"/>
          <w:sz w:val="24"/>
        </w:rPr>
        <w:t>发包人发生除第</w:t>
      </w:r>
      <w:r>
        <w:rPr>
          <w:color w:val="auto"/>
          <w:sz w:val="24"/>
        </w:rPr>
        <w:t>22.2.1</w:t>
      </w:r>
      <w:r>
        <w:rPr>
          <w:rFonts w:hint="eastAsia"/>
          <w:color w:val="auto"/>
          <w:sz w:val="24"/>
        </w:rPr>
        <w:t>（</w:t>
      </w:r>
      <w:r>
        <w:rPr>
          <w:color w:val="auto"/>
          <w:sz w:val="24"/>
        </w:rPr>
        <w:t>4</w:t>
      </w:r>
      <w:r>
        <w:rPr>
          <w:rFonts w:hint="eastAsia"/>
          <w:color w:val="auto"/>
          <w:sz w:val="24"/>
        </w:rPr>
        <w:t>）目以外的违约情况时，承包人可向发包人发出通知，要求发包人采取有效措施纠正违约行为。发包人收到承包人通知后的</w:t>
      </w:r>
      <w:r>
        <w:rPr>
          <w:color w:val="auto"/>
          <w:sz w:val="24"/>
        </w:rPr>
        <w:t>28</w:t>
      </w:r>
      <w:r>
        <w:rPr>
          <w:rFonts w:hint="eastAsia"/>
          <w:color w:val="auto"/>
          <w:sz w:val="24"/>
        </w:rPr>
        <w:t>天内仍不履行合同义务，承包人有权暂停施工，发包人应承担由此增加的费用和（或）工期延误，并支付承包人合理利润。</w:t>
      </w:r>
    </w:p>
    <w:p w14:paraId="2529EA61">
      <w:pPr>
        <w:spacing w:line="240" w:lineRule="auto"/>
        <w:ind w:firstLine="470" w:firstLineChars="196"/>
        <w:rPr>
          <w:color w:val="auto"/>
          <w:sz w:val="24"/>
        </w:rPr>
      </w:pPr>
      <w:r>
        <w:rPr>
          <w:color w:val="auto"/>
          <w:sz w:val="24"/>
        </w:rPr>
        <w:t xml:space="preserve">22.2.3 </w:t>
      </w:r>
      <w:r>
        <w:rPr>
          <w:rFonts w:hint="eastAsia" w:eastAsia="黑体"/>
          <w:color w:val="auto"/>
          <w:sz w:val="24"/>
        </w:rPr>
        <w:t>发包人违约解除合同</w:t>
      </w:r>
      <w:r>
        <w:rPr>
          <w:color w:val="auto"/>
          <w:sz w:val="24"/>
        </w:rPr>
        <w:t xml:space="preserve"> </w:t>
      </w:r>
    </w:p>
    <w:p w14:paraId="035BB0DD">
      <w:pPr>
        <w:spacing w:line="240" w:lineRule="auto"/>
        <w:ind w:firstLine="480" w:firstLineChars="200"/>
        <w:rPr>
          <w:rFonts w:hint="eastAsia"/>
          <w:color w:val="auto"/>
          <w:sz w:val="24"/>
        </w:rPr>
      </w:pPr>
      <w:r>
        <w:rPr>
          <w:rFonts w:hint="eastAsia"/>
          <w:color w:val="auto"/>
          <w:sz w:val="24"/>
        </w:rPr>
        <w:t>（</w:t>
      </w:r>
      <w:r>
        <w:rPr>
          <w:color w:val="auto"/>
          <w:sz w:val="24"/>
        </w:rPr>
        <w:t>1</w:t>
      </w:r>
      <w:r>
        <w:rPr>
          <w:rFonts w:hint="eastAsia"/>
          <w:color w:val="auto"/>
          <w:sz w:val="24"/>
        </w:rPr>
        <w:t>）发生第</w:t>
      </w:r>
      <w:r>
        <w:rPr>
          <w:color w:val="auto"/>
          <w:sz w:val="24"/>
        </w:rPr>
        <w:t>22.2.1</w:t>
      </w:r>
      <w:r>
        <w:rPr>
          <w:rFonts w:hint="eastAsia"/>
          <w:color w:val="auto"/>
          <w:sz w:val="24"/>
        </w:rPr>
        <w:t>（</w:t>
      </w:r>
      <w:r>
        <w:rPr>
          <w:color w:val="auto"/>
          <w:sz w:val="24"/>
        </w:rPr>
        <w:t>4</w:t>
      </w:r>
      <w:r>
        <w:rPr>
          <w:rFonts w:hint="eastAsia"/>
          <w:color w:val="auto"/>
          <w:sz w:val="24"/>
        </w:rPr>
        <w:t>）目的违约情况时，承包人可书面通知发包人解除合同。</w:t>
      </w:r>
      <w:r>
        <w:rPr>
          <w:color w:val="auto"/>
          <w:sz w:val="24"/>
        </w:rPr>
        <w:t xml:space="preserve">   </w:t>
      </w:r>
    </w:p>
    <w:p w14:paraId="0EE6A2F7">
      <w:pPr>
        <w:tabs>
          <w:tab w:val="left" w:pos="720"/>
          <w:tab w:val="left" w:pos="900"/>
        </w:tabs>
        <w:spacing w:line="240" w:lineRule="auto"/>
        <w:ind w:firstLine="480" w:firstLineChars="200"/>
        <w:rPr>
          <w:rFonts w:hint="eastAsia"/>
          <w:color w:val="auto"/>
          <w:sz w:val="24"/>
        </w:rPr>
      </w:pPr>
      <w:r>
        <w:rPr>
          <w:rFonts w:hint="eastAsia"/>
          <w:color w:val="auto"/>
          <w:sz w:val="24"/>
        </w:rPr>
        <w:t>（</w:t>
      </w:r>
      <w:r>
        <w:rPr>
          <w:color w:val="auto"/>
          <w:sz w:val="24"/>
        </w:rPr>
        <w:t>2</w:t>
      </w:r>
      <w:r>
        <w:rPr>
          <w:rFonts w:hint="eastAsia"/>
          <w:color w:val="auto"/>
          <w:sz w:val="24"/>
        </w:rPr>
        <w:t>）承包人按第</w:t>
      </w:r>
      <w:r>
        <w:rPr>
          <w:color w:val="auto"/>
          <w:sz w:val="24"/>
        </w:rPr>
        <w:t>22.2.2</w:t>
      </w:r>
      <w:r>
        <w:rPr>
          <w:rFonts w:hint="eastAsia"/>
          <w:color w:val="auto"/>
          <w:sz w:val="24"/>
        </w:rPr>
        <w:t>项暂停施工</w:t>
      </w:r>
      <w:r>
        <w:rPr>
          <w:color w:val="auto"/>
          <w:sz w:val="24"/>
        </w:rPr>
        <w:t>28</w:t>
      </w:r>
      <w:r>
        <w:rPr>
          <w:rFonts w:hint="eastAsia"/>
          <w:color w:val="auto"/>
          <w:sz w:val="24"/>
        </w:rPr>
        <w:t>天后，发包人仍不纠正违约行为的，承包人可向发包人发出解除合同通知。但承包人的这一行动不免除发包人承担的违约责任，也不影响承包人根据合同约定享有的索赔权利。</w:t>
      </w:r>
    </w:p>
    <w:p w14:paraId="556B79C2">
      <w:pPr>
        <w:spacing w:line="240" w:lineRule="auto"/>
        <w:ind w:firstLine="470" w:firstLineChars="196"/>
        <w:rPr>
          <w:color w:val="auto"/>
          <w:sz w:val="24"/>
        </w:rPr>
      </w:pPr>
      <w:r>
        <w:rPr>
          <w:color w:val="auto"/>
          <w:sz w:val="24"/>
        </w:rPr>
        <w:t>22.2.4</w:t>
      </w:r>
      <w:r>
        <w:rPr>
          <w:rFonts w:eastAsia="黑体"/>
          <w:color w:val="auto"/>
          <w:sz w:val="24"/>
        </w:rPr>
        <w:t xml:space="preserve"> </w:t>
      </w:r>
      <w:r>
        <w:rPr>
          <w:rFonts w:hint="eastAsia" w:eastAsia="黑体"/>
          <w:color w:val="auto"/>
          <w:sz w:val="24"/>
        </w:rPr>
        <w:t>解除合同后的付款</w:t>
      </w:r>
    </w:p>
    <w:p w14:paraId="33E99B8D">
      <w:pPr>
        <w:spacing w:line="240" w:lineRule="auto"/>
        <w:ind w:firstLine="480" w:firstLineChars="200"/>
        <w:rPr>
          <w:rFonts w:hint="eastAsia"/>
          <w:color w:val="auto"/>
          <w:sz w:val="24"/>
        </w:rPr>
      </w:pPr>
      <w:r>
        <w:rPr>
          <w:rFonts w:hint="eastAsia"/>
          <w:color w:val="auto"/>
          <w:sz w:val="24"/>
        </w:rPr>
        <w:t>因发包人违约解除合同的，发包人应在解除合同后</w:t>
      </w:r>
      <w:r>
        <w:rPr>
          <w:color w:val="auto"/>
          <w:sz w:val="24"/>
        </w:rPr>
        <w:t>28</w:t>
      </w:r>
      <w:r>
        <w:rPr>
          <w:rFonts w:hint="eastAsia"/>
          <w:color w:val="auto"/>
          <w:sz w:val="24"/>
        </w:rPr>
        <w:t>天内向承包人支付下列金额，承包人应在此期限内及时向发包人提交要求支付下列金额的有关资料和凭证：</w:t>
      </w:r>
    </w:p>
    <w:p w14:paraId="5D29785A">
      <w:pPr>
        <w:spacing w:line="240" w:lineRule="auto"/>
        <w:ind w:firstLine="480" w:firstLineChars="200"/>
        <w:rPr>
          <w:rFonts w:hint="eastAsia"/>
          <w:color w:val="auto"/>
          <w:sz w:val="24"/>
        </w:rPr>
      </w:pPr>
      <w:r>
        <w:rPr>
          <w:rFonts w:hint="eastAsia"/>
          <w:color w:val="auto"/>
          <w:sz w:val="24"/>
        </w:rPr>
        <w:t>（</w:t>
      </w:r>
      <w:r>
        <w:rPr>
          <w:color w:val="auto"/>
          <w:sz w:val="24"/>
        </w:rPr>
        <w:t>1</w:t>
      </w:r>
      <w:r>
        <w:rPr>
          <w:rFonts w:hint="eastAsia"/>
          <w:color w:val="auto"/>
          <w:sz w:val="24"/>
        </w:rPr>
        <w:t>）合同解除日以前所完成工作的价款；</w:t>
      </w:r>
    </w:p>
    <w:p w14:paraId="235DBB49">
      <w:pPr>
        <w:spacing w:line="240" w:lineRule="auto"/>
        <w:ind w:firstLine="480" w:firstLineChars="200"/>
        <w:rPr>
          <w:rFonts w:hint="eastAsia"/>
          <w:color w:val="auto"/>
          <w:sz w:val="24"/>
        </w:rPr>
      </w:pPr>
      <w:r>
        <w:rPr>
          <w:rFonts w:hint="eastAsia"/>
          <w:color w:val="auto"/>
          <w:sz w:val="24"/>
        </w:rPr>
        <w:t>（</w:t>
      </w:r>
      <w:r>
        <w:rPr>
          <w:color w:val="auto"/>
          <w:sz w:val="24"/>
        </w:rPr>
        <w:t>2</w:t>
      </w:r>
      <w:r>
        <w:rPr>
          <w:rFonts w:hint="eastAsia"/>
          <w:color w:val="auto"/>
          <w:sz w:val="24"/>
        </w:rPr>
        <w:t>）承包人为该工程施工订购并已付款的材料、工程设备和其他物品的金额。发包人付还后，该材料、工程设备和其他物品归发包人所有；</w:t>
      </w:r>
    </w:p>
    <w:p w14:paraId="00F64DCC">
      <w:pPr>
        <w:spacing w:line="240" w:lineRule="auto"/>
        <w:ind w:firstLine="480" w:firstLineChars="200"/>
        <w:rPr>
          <w:rFonts w:hint="eastAsia"/>
          <w:color w:val="auto"/>
          <w:sz w:val="24"/>
        </w:rPr>
      </w:pPr>
      <w:r>
        <w:rPr>
          <w:rFonts w:hint="eastAsia"/>
          <w:color w:val="auto"/>
          <w:sz w:val="24"/>
        </w:rPr>
        <w:t>（</w:t>
      </w:r>
      <w:r>
        <w:rPr>
          <w:color w:val="auto"/>
          <w:sz w:val="24"/>
        </w:rPr>
        <w:t>3</w:t>
      </w:r>
      <w:r>
        <w:rPr>
          <w:rFonts w:hint="eastAsia"/>
          <w:color w:val="auto"/>
          <w:sz w:val="24"/>
        </w:rPr>
        <w:t>）承包人为完成工程所发生的，而发包人未支付的金额；</w:t>
      </w:r>
    </w:p>
    <w:p w14:paraId="2B6BACBA">
      <w:pPr>
        <w:spacing w:line="240" w:lineRule="auto"/>
        <w:ind w:firstLine="480" w:firstLineChars="200"/>
        <w:rPr>
          <w:rFonts w:hint="eastAsia"/>
          <w:color w:val="auto"/>
          <w:sz w:val="24"/>
        </w:rPr>
      </w:pPr>
      <w:r>
        <w:rPr>
          <w:rFonts w:hint="eastAsia"/>
          <w:color w:val="auto"/>
          <w:sz w:val="24"/>
        </w:rPr>
        <w:t>（</w:t>
      </w:r>
      <w:r>
        <w:rPr>
          <w:color w:val="auto"/>
          <w:sz w:val="24"/>
        </w:rPr>
        <w:t>4</w:t>
      </w:r>
      <w:r>
        <w:rPr>
          <w:rFonts w:hint="eastAsia"/>
          <w:color w:val="auto"/>
          <w:sz w:val="24"/>
        </w:rPr>
        <w:t>）承包人撤离施工场地以及遣散承包人人员的金额；</w:t>
      </w:r>
    </w:p>
    <w:p w14:paraId="6AF1189C">
      <w:pPr>
        <w:spacing w:line="240" w:lineRule="auto"/>
        <w:ind w:firstLine="480" w:firstLineChars="200"/>
        <w:rPr>
          <w:rFonts w:hint="eastAsia"/>
          <w:color w:val="auto"/>
          <w:sz w:val="24"/>
        </w:rPr>
      </w:pPr>
      <w:r>
        <w:rPr>
          <w:rFonts w:hint="eastAsia"/>
          <w:color w:val="auto"/>
          <w:sz w:val="24"/>
        </w:rPr>
        <w:t>（</w:t>
      </w:r>
      <w:r>
        <w:rPr>
          <w:color w:val="auto"/>
          <w:sz w:val="24"/>
        </w:rPr>
        <w:t>5</w:t>
      </w:r>
      <w:r>
        <w:rPr>
          <w:rFonts w:hint="eastAsia"/>
          <w:color w:val="auto"/>
          <w:sz w:val="24"/>
        </w:rPr>
        <w:t>）由于解除合同应赔偿的承包人损失；</w:t>
      </w:r>
    </w:p>
    <w:p w14:paraId="5DED4079">
      <w:pPr>
        <w:spacing w:line="240" w:lineRule="auto"/>
        <w:ind w:firstLine="480" w:firstLineChars="200"/>
        <w:rPr>
          <w:rFonts w:hint="eastAsia"/>
          <w:color w:val="auto"/>
          <w:sz w:val="24"/>
        </w:rPr>
      </w:pPr>
      <w:r>
        <w:rPr>
          <w:rFonts w:hint="eastAsia"/>
          <w:color w:val="auto"/>
          <w:sz w:val="24"/>
        </w:rPr>
        <w:t>（</w:t>
      </w:r>
      <w:r>
        <w:rPr>
          <w:color w:val="auto"/>
          <w:sz w:val="24"/>
        </w:rPr>
        <w:t>6</w:t>
      </w:r>
      <w:r>
        <w:rPr>
          <w:rFonts w:hint="eastAsia"/>
          <w:color w:val="auto"/>
          <w:sz w:val="24"/>
        </w:rPr>
        <w:t>）按合同约定在合同解除日前应支付给承包人的其他金额。</w:t>
      </w:r>
    </w:p>
    <w:p w14:paraId="5BD30C23">
      <w:pPr>
        <w:spacing w:line="240" w:lineRule="auto"/>
        <w:ind w:firstLine="480" w:firstLineChars="200"/>
        <w:rPr>
          <w:rFonts w:hint="eastAsia"/>
          <w:color w:val="auto"/>
          <w:sz w:val="24"/>
        </w:rPr>
      </w:pPr>
      <w:r>
        <w:rPr>
          <w:rFonts w:hint="eastAsia"/>
          <w:color w:val="auto"/>
          <w:sz w:val="24"/>
        </w:rPr>
        <w:t>发包人应按本项约定支付上述金额并退还质量保证金和履约担保，但有权要求承包人支付应偿还给发包人的各项金额。</w:t>
      </w:r>
    </w:p>
    <w:p w14:paraId="62D4202B">
      <w:pPr>
        <w:spacing w:line="240" w:lineRule="auto"/>
        <w:ind w:firstLine="470" w:firstLineChars="196"/>
        <w:rPr>
          <w:rFonts w:eastAsia="黑体"/>
          <w:color w:val="auto"/>
          <w:sz w:val="24"/>
        </w:rPr>
      </w:pPr>
      <w:r>
        <w:rPr>
          <w:rFonts w:eastAsia="黑体"/>
          <w:color w:val="auto"/>
          <w:sz w:val="24"/>
        </w:rPr>
        <w:t xml:space="preserve">22.2.5 </w:t>
      </w:r>
      <w:r>
        <w:rPr>
          <w:rFonts w:hint="eastAsia" w:eastAsia="黑体"/>
          <w:color w:val="auto"/>
          <w:sz w:val="24"/>
        </w:rPr>
        <w:t>解除合同后的承包人撤离</w:t>
      </w:r>
    </w:p>
    <w:p w14:paraId="763F304E">
      <w:pPr>
        <w:spacing w:line="240" w:lineRule="auto"/>
        <w:ind w:firstLine="390"/>
        <w:rPr>
          <w:rFonts w:hint="eastAsia"/>
          <w:color w:val="auto"/>
          <w:sz w:val="24"/>
        </w:rPr>
      </w:pPr>
      <w:r>
        <w:rPr>
          <w:rFonts w:hint="eastAsia"/>
          <w:color w:val="auto"/>
          <w:sz w:val="24"/>
        </w:rPr>
        <w:t>因发包人违约而解除合同后，承包人应妥善做好已竣工工程和已购材料、设备的保护和移交工作，按发包人要求将承包人设备和人员撤出施工场地。承包人撤出施工场地应遵守第</w:t>
      </w:r>
      <w:r>
        <w:rPr>
          <w:color w:val="auto"/>
          <w:sz w:val="24"/>
        </w:rPr>
        <w:t>18.7.1</w:t>
      </w:r>
      <w:r>
        <w:rPr>
          <w:rFonts w:hint="eastAsia"/>
          <w:color w:val="auto"/>
          <w:sz w:val="24"/>
        </w:rPr>
        <w:t>项的约定，发包人应为承包人撤出提供必要条件。</w:t>
      </w:r>
    </w:p>
    <w:p w14:paraId="645285B0">
      <w:pPr>
        <w:keepNext/>
        <w:keepLines/>
        <w:spacing w:before="240" w:after="240" w:line="240" w:lineRule="auto"/>
        <w:rPr>
          <w:rFonts w:eastAsia="黑体"/>
          <w:bCs/>
          <w:color w:val="auto"/>
          <w:kern w:val="44"/>
          <w:sz w:val="24"/>
          <w:lang w:val="zh-CN"/>
        </w:rPr>
      </w:pPr>
      <w:r>
        <w:rPr>
          <w:rFonts w:eastAsia="黑体"/>
          <w:bCs/>
          <w:color w:val="auto"/>
          <w:kern w:val="44"/>
          <w:sz w:val="24"/>
          <w:lang w:val="zh-CN"/>
        </w:rPr>
        <w:t>22.3</w:t>
      </w:r>
      <w:r>
        <w:rPr>
          <w:rFonts w:hint="eastAsia" w:eastAsia="黑体"/>
          <w:bCs/>
          <w:color w:val="auto"/>
          <w:kern w:val="44"/>
          <w:sz w:val="24"/>
          <w:lang w:val="zh-CN"/>
        </w:rPr>
        <w:t>第三人造成的违约</w:t>
      </w:r>
    </w:p>
    <w:p w14:paraId="5A8FAF8A">
      <w:pPr>
        <w:spacing w:line="240" w:lineRule="auto"/>
        <w:ind w:firstLine="390"/>
        <w:rPr>
          <w:rFonts w:hint="eastAsia"/>
          <w:color w:val="auto"/>
          <w:sz w:val="24"/>
        </w:rPr>
      </w:pPr>
      <w:r>
        <w:rPr>
          <w:rFonts w:hint="eastAsia"/>
          <w:color w:val="auto"/>
          <w:sz w:val="24"/>
        </w:rPr>
        <w:t>在履行合同过程中，一方当事人因第三人的原因造成违约的，应当向对方当事人承担违约责任。一方当事人和第三人之间的纠纷，依照法律规定或者按照约定解决。</w:t>
      </w:r>
    </w:p>
    <w:p w14:paraId="3001BBF5">
      <w:pPr>
        <w:keepNext/>
        <w:keepLines/>
        <w:spacing w:before="480" w:after="240" w:line="240" w:lineRule="auto"/>
        <w:outlineLvl w:val="2"/>
        <w:rPr>
          <w:rFonts w:eastAsia="黑体"/>
          <w:bCs/>
          <w:color w:val="auto"/>
          <w:kern w:val="44"/>
          <w:sz w:val="28"/>
          <w:szCs w:val="28"/>
          <w:lang w:val="zh-CN"/>
        </w:rPr>
      </w:pPr>
      <w:r>
        <w:rPr>
          <w:rFonts w:eastAsia="黑体"/>
          <w:bCs/>
          <w:color w:val="auto"/>
          <w:kern w:val="44"/>
          <w:sz w:val="28"/>
          <w:szCs w:val="28"/>
          <w:lang w:val="zh-CN"/>
        </w:rPr>
        <w:t xml:space="preserve">23. </w:t>
      </w:r>
      <w:r>
        <w:rPr>
          <w:rFonts w:hint="eastAsia" w:eastAsia="黑体"/>
          <w:bCs/>
          <w:color w:val="auto"/>
          <w:kern w:val="44"/>
          <w:sz w:val="28"/>
          <w:szCs w:val="28"/>
          <w:lang w:val="zh-CN"/>
        </w:rPr>
        <w:t>索赔</w:t>
      </w:r>
    </w:p>
    <w:p w14:paraId="38899B0A">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23.1 </w:t>
      </w:r>
      <w:r>
        <w:rPr>
          <w:rFonts w:hint="eastAsia" w:eastAsia="黑体"/>
          <w:bCs/>
          <w:color w:val="auto"/>
          <w:kern w:val="44"/>
          <w:sz w:val="24"/>
          <w:lang w:val="zh-CN"/>
        </w:rPr>
        <w:t>承包人索赔的提出</w:t>
      </w:r>
    </w:p>
    <w:p w14:paraId="7C68738B">
      <w:pPr>
        <w:spacing w:line="240" w:lineRule="auto"/>
        <w:ind w:firstLine="480" w:firstLineChars="200"/>
        <w:rPr>
          <w:rFonts w:hint="eastAsia"/>
          <w:color w:val="auto"/>
          <w:sz w:val="24"/>
        </w:rPr>
      </w:pPr>
      <w:r>
        <w:rPr>
          <w:rFonts w:hint="eastAsia"/>
          <w:color w:val="auto"/>
          <w:sz w:val="24"/>
        </w:rPr>
        <w:t>根据合同约定，承包人认为有权得到追加付款和（或）延长工期的，应按以下程序向发包人提出索赔：</w:t>
      </w:r>
    </w:p>
    <w:p w14:paraId="081E489F">
      <w:pPr>
        <w:spacing w:line="240" w:lineRule="auto"/>
        <w:ind w:firstLine="480" w:firstLineChars="200"/>
        <w:rPr>
          <w:rFonts w:hint="eastAsia"/>
          <w:color w:val="auto"/>
          <w:sz w:val="24"/>
        </w:rPr>
      </w:pPr>
      <w:r>
        <w:rPr>
          <w:rFonts w:hint="eastAsia"/>
          <w:color w:val="auto"/>
          <w:sz w:val="24"/>
        </w:rPr>
        <w:t>（</w:t>
      </w:r>
      <w:r>
        <w:rPr>
          <w:color w:val="auto"/>
          <w:sz w:val="24"/>
        </w:rPr>
        <w:t>1</w:t>
      </w:r>
      <w:r>
        <w:rPr>
          <w:rFonts w:hint="eastAsia"/>
          <w:color w:val="auto"/>
          <w:sz w:val="24"/>
        </w:rPr>
        <w:t>）承包人应在知道或应当知道索赔事件发生后</w:t>
      </w:r>
      <w:r>
        <w:rPr>
          <w:color w:val="auto"/>
          <w:sz w:val="24"/>
        </w:rPr>
        <w:t>28</w:t>
      </w:r>
      <w:r>
        <w:rPr>
          <w:rFonts w:hint="eastAsia"/>
          <w:color w:val="auto"/>
          <w:sz w:val="24"/>
        </w:rPr>
        <w:t>天内，向</w:t>
      </w:r>
      <w:r>
        <w:rPr>
          <w:rFonts w:hint="eastAsia"/>
          <w:color w:val="auto"/>
          <w:sz w:val="24"/>
          <w:lang w:val="en-US" w:eastAsia="zh-CN"/>
        </w:rPr>
        <w:t>发包</w:t>
      </w:r>
      <w:r>
        <w:rPr>
          <w:rFonts w:hint="eastAsia"/>
          <w:color w:val="auto"/>
          <w:sz w:val="24"/>
        </w:rPr>
        <w:t>人递交索赔意向通知书，并说明发生索赔事件的事由。承包人未在前述</w:t>
      </w:r>
      <w:r>
        <w:rPr>
          <w:color w:val="auto"/>
          <w:sz w:val="24"/>
        </w:rPr>
        <w:t>28</w:t>
      </w:r>
      <w:r>
        <w:rPr>
          <w:rFonts w:hint="eastAsia"/>
          <w:color w:val="auto"/>
          <w:sz w:val="24"/>
        </w:rPr>
        <w:t>天内发出索赔意向通知书的，丧失要求追加付款和（或）延长工期的权利；</w:t>
      </w:r>
    </w:p>
    <w:p w14:paraId="5776E51D">
      <w:pPr>
        <w:spacing w:line="240" w:lineRule="auto"/>
        <w:ind w:firstLine="480" w:firstLineChars="200"/>
        <w:rPr>
          <w:rFonts w:hint="eastAsia"/>
          <w:color w:val="auto"/>
          <w:sz w:val="24"/>
        </w:rPr>
      </w:pPr>
      <w:r>
        <w:rPr>
          <w:rFonts w:hint="eastAsia"/>
          <w:color w:val="auto"/>
          <w:sz w:val="24"/>
        </w:rPr>
        <w:t>（</w:t>
      </w:r>
      <w:r>
        <w:rPr>
          <w:color w:val="auto"/>
          <w:sz w:val="24"/>
        </w:rPr>
        <w:t>2</w:t>
      </w:r>
      <w:r>
        <w:rPr>
          <w:rFonts w:hint="eastAsia"/>
          <w:color w:val="auto"/>
          <w:sz w:val="24"/>
        </w:rPr>
        <w:t>）承包人应在发出索赔意向通知书后</w:t>
      </w:r>
      <w:r>
        <w:rPr>
          <w:color w:val="auto"/>
          <w:sz w:val="24"/>
        </w:rPr>
        <w:t>28</w:t>
      </w:r>
      <w:r>
        <w:rPr>
          <w:rFonts w:hint="eastAsia"/>
          <w:color w:val="auto"/>
          <w:sz w:val="24"/>
        </w:rPr>
        <w:t>天内，向</w:t>
      </w:r>
      <w:r>
        <w:rPr>
          <w:rFonts w:hint="eastAsia"/>
          <w:color w:val="auto"/>
          <w:sz w:val="24"/>
          <w:lang w:val="en-US" w:eastAsia="zh-CN"/>
        </w:rPr>
        <w:t>发包</w:t>
      </w:r>
      <w:r>
        <w:rPr>
          <w:rFonts w:hint="eastAsia"/>
          <w:color w:val="auto"/>
          <w:sz w:val="24"/>
        </w:rPr>
        <w:t>人正式递交索赔通知书。索赔通知书应详细说明索赔理由以及要求追加的付款金额和（或）延长的工期，并附必要的记录和证明材料；</w:t>
      </w:r>
    </w:p>
    <w:p w14:paraId="714A6E37">
      <w:pPr>
        <w:spacing w:line="240" w:lineRule="auto"/>
        <w:ind w:firstLine="480" w:firstLineChars="200"/>
        <w:rPr>
          <w:rFonts w:hint="eastAsia"/>
          <w:color w:val="auto"/>
          <w:sz w:val="24"/>
        </w:rPr>
      </w:pPr>
      <w:r>
        <w:rPr>
          <w:rFonts w:hint="eastAsia"/>
          <w:color w:val="auto"/>
          <w:sz w:val="24"/>
        </w:rPr>
        <w:t>（</w:t>
      </w:r>
      <w:r>
        <w:rPr>
          <w:color w:val="auto"/>
          <w:sz w:val="24"/>
        </w:rPr>
        <w:t>3</w:t>
      </w:r>
      <w:r>
        <w:rPr>
          <w:rFonts w:hint="eastAsia"/>
          <w:color w:val="auto"/>
          <w:sz w:val="24"/>
        </w:rPr>
        <w:t>）索赔事件具有连续影响的，承包人应按合理时间间隔继续递交延续索赔通知，说明连续影响的实际情况和记录，列出累计的追加付款金额和（或）工期延长天数；</w:t>
      </w:r>
    </w:p>
    <w:p w14:paraId="39DA25C5">
      <w:pPr>
        <w:spacing w:line="240" w:lineRule="auto"/>
        <w:ind w:firstLine="480" w:firstLineChars="200"/>
        <w:rPr>
          <w:rFonts w:hint="eastAsia"/>
          <w:color w:val="auto"/>
          <w:sz w:val="24"/>
        </w:rPr>
      </w:pPr>
      <w:r>
        <w:rPr>
          <w:rFonts w:hint="eastAsia"/>
          <w:color w:val="auto"/>
          <w:sz w:val="24"/>
        </w:rPr>
        <w:t>（</w:t>
      </w:r>
      <w:r>
        <w:rPr>
          <w:color w:val="auto"/>
          <w:sz w:val="24"/>
        </w:rPr>
        <w:t>4</w:t>
      </w:r>
      <w:r>
        <w:rPr>
          <w:rFonts w:hint="eastAsia"/>
          <w:color w:val="auto"/>
          <w:sz w:val="24"/>
        </w:rPr>
        <w:t>）在索赔事件影响结束后的</w:t>
      </w:r>
      <w:r>
        <w:rPr>
          <w:color w:val="auto"/>
          <w:sz w:val="24"/>
        </w:rPr>
        <w:t>28</w:t>
      </w:r>
      <w:r>
        <w:rPr>
          <w:rFonts w:hint="eastAsia"/>
          <w:color w:val="auto"/>
          <w:sz w:val="24"/>
        </w:rPr>
        <w:t>天内，承包人应向</w:t>
      </w:r>
      <w:r>
        <w:rPr>
          <w:rFonts w:hint="eastAsia"/>
          <w:color w:val="auto"/>
          <w:sz w:val="24"/>
          <w:lang w:val="en-US" w:eastAsia="zh-CN"/>
        </w:rPr>
        <w:t>发包</w:t>
      </w:r>
      <w:r>
        <w:rPr>
          <w:rFonts w:hint="eastAsia"/>
          <w:color w:val="auto"/>
          <w:sz w:val="24"/>
        </w:rPr>
        <w:t>人递交最终索赔通知书，说明最终要求索赔的追加付款金额和延长的工期，并附必要的记录和证明材料。</w:t>
      </w:r>
    </w:p>
    <w:p w14:paraId="4CC97142">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23.2 </w:t>
      </w:r>
      <w:r>
        <w:rPr>
          <w:rFonts w:hint="eastAsia" w:eastAsia="黑体"/>
          <w:bCs/>
          <w:color w:val="auto"/>
          <w:kern w:val="44"/>
          <w:sz w:val="24"/>
          <w:lang w:val="zh-CN"/>
        </w:rPr>
        <w:t>承包人索赔处理程序</w:t>
      </w:r>
    </w:p>
    <w:p w14:paraId="217D2B21">
      <w:pPr>
        <w:spacing w:line="240" w:lineRule="auto"/>
        <w:ind w:firstLine="480" w:firstLineChars="200"/>
        <w:rPr>
          <w:rFonts w:hint="eastAsia"/>
          <w:color w:val="auto"/>
          <w:sz w:val="24"/>
        </w:rPr>
      </w:pPr>
      <w:r>
        <w:rPr>
          <w:rFonts w:hint="eastAsia"/>
          <w:color w:val="auto"/>
          <w:sz w:val="24"/>
        </w:rPr>
        <w:t>（</w:t>
      </w:r>
      <w:r>
        <w:rPr>
          <w:color w:val="auto"/>
          <w:sz w:val="24"/>
        </w:rPr>
        <w:t>1</w:t>
      </w:r>
      <w:r>
        <w:rPr>
          <w:rFonts w:hint="eastAsia"/>
          <w:color w:val="auto"/>
          <w:sz w:val="24"/>
        </w:rPr>
        <w:t>）</w:t>
      </w:r>
      <w:r>
        <w:rPr>
          <w:rFonts w:hint="eastAsia"/>
          <w:color w:val="auto"/>
          <w:sz w:val="24"/>
          <w:lang w:val="en-US" w:eastAsia="zh-CN"/>
        </w:rPr>
        <w:t>发包</w:t>
      </w:r>
      <w:r>
        <w:rPr>
          <w:rFonts w:hint="eastAsia"/>
          <w:color w:val="auto"/>
          <w:sz w:val="24"/>
        </w:rPr>
        <w:t>人收到承包人提交的索赔通知书后，应及时审查索赔通知书的内容、查验承包人的记录和证明材料，必要时</w:t>
      </w:r>
      <w:r>
        <w:rPr>
          <w:rFonts w:hint="eastAsia"/>
          <w:color w:val="auto"/>
          <w:sz w:val="24"/>
          <w:lang w:val="en-US" w:eastAsia="zh-CN"/>
        </w:rPr>
        <w:t>发包</w:t>
      </w:r>
      <w:r>
        <w:rPr>
          <w:rFonts w:hint="eastAsia"/>
          <w:color w:val="auto"/>
          <w:sz w:val="24"/>
        </w:rPr>
        <w:t>人可要求承包人提交全部原始记录副本。</w:t>
      </w:r>
    </w:p>
    <w:p w14:paraId="50FAC9B9">
      <w:pPr>
        <w:spacing w:line="240" w:lineRule="auto"/>
        <w:ind w:firstLine="480" w:firstLineChars="200"/>
        <w:rPr>
          <w:rFonts w:hint="eastAsia"/>
          <w:color w:val="auto"/>
          <w:sz w:val="24"/>
        </w:rPr>
      </w:pPr>
      <w:r>
        <w:rPr>
          <w:rFonts w:hint="eastAsia"/>
          <w:color w:val="auto"/>
          <w:sz w:val="24"/>
        </w:rPr>
        <w:t>（</w:t>
      </w:r>
      <w:r>
        <w:rPr>
          <w:color w:val="auto"/>
          <w:sz w:val="24"/>
        </w:rPr>
        <w:t>2</w:t>
      </w:r>
      <w:r>
        <w:rPr>
          <w:rFonts w:hint="eastAsia"/>
          <w:color w:val="auto"/>
          <w:sz w:val="24"/>
        </w:rPr>
        <w:t>）</w:t>
      </w:r>
      <w:r>
        <w:rPr>
          <w:rFonts w:hint="eastAsia"/>
          <w:color w:val="auto"/>
          <w:sz w:val="24"/>
          <w:lang w:val="en-US" w:eastAsia="zh-CN"/>
        </w:rPr>
        <w:t>发包</w:t>
      </w:r>
      <w:r>
        <w:rPr>
          <w:rFonts w:hint="eastAsia"/>
          <w:color w:val="auto"/>
          <w:sz w:val="24"/>
        </w:rPr>
        <w:t>人应按第</w:t>
      </w:r>
      <w:r>
        <w:rPr>
          <w:color w:val="auto"/>
          <w:sz w:val="24"/>
        </w:rPr>
        <w:t>3.5</w:t>
      </w:r>
      <w:r>
        <w:rPr>
          <w:rFonts w:hint="eastAsia"/>
          <w:color w:val="auto"/>
          <w:sz w:val="24"/>
        </w:rPr>
        <w:t>款商定或确定追加的付款和（或）延长的工期，并在收到上述索赔通知书或有关索赔的进一步证明材料后的</w:t>
      </w:r>
      <w:r>
        <w:rPr>
          <w:color w:val="auto"/>
          <w:sz w:val="24"/>
        </w:rPr>
        <w:t>42</w:t>
      </w:r>
      <w:r>
        <w:rPr>
          <w:rFonts w:hint="eastAsia"/>
          <w:color w:val="auto"/>
          <w:sz w:val="24"/>
        </w:rPr>
        <w:t>天内，将索赔处理结果答复承包人。</w:t>
      </w:r>
    </w:p>
    <w:p w14:paraId="3F9D3348">
      <w:pPr>
        <w:spacing w:line="240" w:lineRule="auto"/>
        <w:ind w:firstLine="480" w:firstLineChars="200"/>
        <w:rPr>
          <w:rFonts w:hint="eastAsia"/>
          <w:color w:val="auto"/>
          <w:sz w:val="24"/>
        </w:rPr>
      </w:pPr>
      <w:r>
        <w:rPr>
          <w:rFonts w:hint="eastAsia"/>
          <w:color w:val="auto"/>
          <w:sz w:val="24"/>
        </w:rPr>
        <w:t>（</w:t>
      </w:r>
      <w:r>
        <w:rPr>
          <w:color w:val="auto"/>
          <w:sz w:val="24"/>
        </w:rPr>
        <w:t>3</w:t>
      </w:r>
      <w:r>
        <w:rPr>
          <w:rFonts w:hint="eastAsia"/>
          <w:color w:val="auto"/>
          <w:sz w:val="24"/>
        </w:rPr>
        <w:t>）承包人接受索赔处理结果的，发包人应在作出索赔处理结果答复后</w:t>
      </w:r>
      <w:r>
        <w:rPr>
          <w:color w:val="auto"/>
          <w:sz w:val="24"/>
        </w:rPr>
        <w:t>28</w:t>
      </w:r>
      <w:r>
        <w:rPr>
          <w:rFonts w:hint="eastAsia"/>
          <w:color w:val="auto"/>
          <w:sz w:val="24"/>
        </w:rPr>
        <w:t>天内完成赔付。承包人不接受索赔处理结果的，按第</w:t>
      </w:r>
      <w:r>
        <w:rPr>
          <w:color w:val="auto"/>
          <w:sz w:val="24"/>
        </w:rPr>
        <w:t>24</w:t>
      </w:r>
      <w:r>
        <w:rPr>
          <w:rFonts w:hint="eastAsia"/>
          <w:color w:val="auto"/>
          <w:sz w:val="24"/>
        </w:rPr>
        <w:t>条的约定办理。</w:t>
      </w:r>
    </w:p>
    <w:p w14:paraId="22E8AC82">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23.3 </w:t>
      </w:r>
      <w:r>
        <w:rPr>
          <w:rFonts w:hint="eastAsia" w:eastAsia="黑体"/>
          <w:bCs/>
          <w:color w:val="auto"/>
          <w:kern w:val="44"/>
          <w:sz w:val="24"/>
          <w:lang w:val="zh-CN"/>
        </w:rPr>
        <w:t>承包人提出索赔的期限</w:t>
      </w:r>
    </w:p>
    <w:p w14:paraId="19D87A97">
      <w:pPr>
        <w:spacing w:line="240" w:lineRule="auto"/>
        <w:ind w:firstLine="480" w:firstLineChars="200"/>
        <w:rPr>
          <w:color w:val="auto"/>
          <w:sz w:val="24"/>
        </w:rPr>
      </w:pPr>
      <w:r>
        <w:rPr>
          <w:color w:val="auto"/>
          <w:sz w:val="24"/>
        </w:rPr>
        <w:t xml:space="preserve">23.3.1 </w:t>
      </w:r>
      <w:r>
        <w:rPr>
          <w:rFonts w:hint="eastAsia"/>
          <w:color w:val="auto"/>
          <w:sz w:val="24"/>
        </w:rPr>
        <w:t>承包人按第</w:t>
      </w:r>
      <w:r>
        <w:rPr>
          <w:color w:val="auto"/>
          <w:sz w:val="24"/>
        </w:rPr>
        <w:t>17.5</w:t>
      </w:r>
      <w:r>
        <w:rPr>
          <w:rFonts w:hint="eastAsia"/>
          <w:color w:val="auto"/>
          <w:sz w:val="24"/>
        </w:rPr>
        <w:t>款的约定接受了竣工付款证书后，应被认为已无权再提出在合同工程接收证书颁发前所发生的任何索赔。</w:t>
      </w:r>
    </w:p>
    <w:p w14:paraId="390CD39C">
      <w:pPr>
        <w:spacing w:line="240" w:lineRule="auto"/>
        <w:ind w:firstLine="480" w:firstLineChars="200"/>
        <w:rPr>
          <w:color w:val="auto"/>
          <w:sz w:val="24"/>
        </w:rPr>
      </w:pPr>
      <w:r>
        <w:rPr>
          <w:color w:val="auto"/>
          <w:sz w:val="24"/>
        </w:rPr>
        <w:t xml:space="preserve">23.3.2 </w:t>
      </w:r>
      <w:r>
        <w:rPr>
          <w:rFonts w:hint="eastAsia"/>
          <w:color w:val="auto"/>
          <w:sz w:val="24"/>
        </w:rPr>
        <w:t>承包人按第</w:t>
      </w:r>
      <w:r>
        <w:rPr>
          <w:color w:val="auto"/>
          <w:sz w:val="24"/>
        </w:rPr>
        <w:t>17.6</w:t>
      </w:r>
      <w:r>
        <w:rPr>
          <w:rFonts w:hint="eastAsia"/>
          <w:color w:val="auto"/>
          <w:sz w:val="24"/>
        </w:rPr>
        <w:t>款的约定提交的最终结清申请单中，只限于提出工程接收证书颁发后发生的索赔。提出索赔的期限自接受最终结清证书时终止。</w:t>
      </w:r>
    </w:p>
    <w:p w14:paraId="5BF1302A">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23.4 </w:t>
      </w:r>
      <w:r>
        <w:rPr>
          <w:rFonts w:hint="eastAsia" w:eastAsia="黑体"/>
          <w:bCs/>
          <w:color w:val="auto"/>
          <w:kern w:val="44"/>
          <w:sz w:val="24"/>
          <w:lang w:val="zh-CN"/>
        </w:rPr>
        <w:t>发包人的索赔</w:t>
      </w:r>
      <w:r>
        <w:rPr>
          <w:rFonts w:eastAsia="黑体"/>
          <w:bCs/>
          <w:color w:val="auto"/>
          <w:kern w:val="44"/>
          <w:sz w:val="24"/>
          <w:lang w:val="zh-CN"/>
        </w:rPr>
        <w:t xml:space="preserve">                            </w:t>
      </w:r>
    </w:p>
    <w:p w14:paraId="1D415A5B">
      <w:pPr>
        <w:spacing w:line="240" w:lineRule="auto"/>
        <w:ind w:firstLine="480" w:firstLineChars="200"/>
        <w:rPr>
          <w:color w:val="auto"/>
          <w:sz w:val="24"/>
        </w:rPr>
      </w:pPr>
      <w:r>
        <w:rPr>
          <w:color w:val="auto"/>
          <w:sz w:val="24"/>
        </w:rPr>
        <w:t xml:space="preserve">23.4.1 </w:t>
      </w:r>
      <w:r>
        <w:rPr>
          <w:rFonts w:hint="eastAsia"/>
          <w:color w:val="auto"/>
          <w:sz w:val="24"/>
        </w:rPr>
        <w:t>发生索赔事件后，</w:t>
      </w:r>
      <w:r>
        <w:rPr>
          <w:rFonts w:hint="eastAsia"/>
          <w:color w:val="auto"/>
          <w:sz w:val="24"/>
          <w:lang w:val="en-US" w:eastAsia="zh-CN"/>
        </w:rPr>
        <w:t>发包</w:t>
      </w:r>
      <w:r>
        <w:rPr>
          <w:rFonts w:hint="eastAsia"/>
          <w:color w:val="auto"/>
          <w:sz w:val="24"/>
        </w:rPr>
        <w:t>人应及时书面通知承包人，详细说明发包人有权得到的索赔金额和（或）延长缺陷责任期的细节和依据。发包人提出索赔的期限和要求与第</w:t>
      </w:r>
      <w:r>
        <w:rPr>
          <w:color w:val="auto"/>
          <w:sz w:val="24"/>
        </w:rPr>
        <w:t>23.3</w:t>
      </w:r>
      <w:r>
        <w:rPr>
          <w:rFonts w:hint="eastAsia"/>
          <w:color w:val="auto"/>
          <w:sz w:val="24"/>
        </w:rPr>
        <w:t>款的约定相同，延长缺陷责任期的通知应在缺陷责任期届满前发出。</w:t>
      </w:r>
    </w:p>
    <w:p w14:paraId="0B24FBB2">
      <w:pPr>
        <w:spacing w:line="240" w:lineRule="auto"/>
        <w:ind w:firstLine="480" w:firstLineChars="200"/>
        <w:rPr>
          <w:color w:val="auto"/>
          <w:sz w:val="24"/>
        </w:rPr>
      </w:pPr>
      <w:r>
        <w:rPr>
          <w:color w:val="auto"/>
          <w:sz w:val="24"/>
        </w:rPr>
        <w:t xml:space="preserve">23.4.2 </w:t>
      </w:r>
      <w:r>
        <w:rPr>
          <w:rFonts w:hint="eastAsia"/>
          <w:color w:val="auto"/>
          <w:sz w:val="24"/>
          <w:lang w:val="en-US" w:eastAsia="zh-CN"/>
        </w:rPr>
        <w:t>发包</w:t>
      </w:r>
      <w:r>
        <w:rPr>
          <w:rFonts w:hint="eastAsia"/>
          <w:color w:val="auto"/>
          <w:sz w:val="24"/>
        </w:rPr>
        <w:t>人按第</w:t>
      </w:r>
      <w:r>
        <w:rPr>
          <w:color w:val="auto"/>
          <w:sz w:val="24"/>
        </w:rPr>
        <w:t>3.5</w:t>
      </w:r>
      <w:r>
        <w:rPr>
          <w:rFonts w:hint="eastAsia"/>
          <w:color w:val="auto"/>
          <w:sz w:val="24"/>
        </w:rPr>
        <w:t>款商定或确定发包人从承包人处得到赔付的金额和（或）缺陷责任期的延长期。承包人应付给发包人的金额可从拟支付给承包人的合同价款中扣除，或由承包人以其他方式支付给发包人。</w:t>
      </w:r>
    </w:p>
    <w:p w14:paraId="6E042EF7">
      <w:pPr>
        <w:keepNext/>
        <w:keepLines/>
        <w:spacing w:before="480" w:after="240" w:line="240" w:lineRule="auto"/>
        <w:outlineLvl w:val="2"/>
        <w:rPr>
          <w:rFonts w:eastAsia="黑体"/>
          <w:bCs/>
          <w:color w:val="auto"/>
          <w:kern w:val="44"/>
          <w:sz w:val="28"/>
          <w:szCs w:val="28"/>
          <w:lang w:val="zh-CN"/>
        </w:rPr>
      </w:pPr>
      <w:r>
        <w:rPr>
          <w:rFonts w:eastAsia="黑体"/>
          <w:bCs/>
          <w:color w:val="auto"/>
          <w:kern w:val="44"/>
          <w:sz w:val="28"/>
          <w:szCs w:val="28"/>
          <w:lang w:val="zh-CN"/>
        </w:rPr>
        <w:t xml:space="preserve">24. </w:t>
      </w:r>
      <w:r>
        <w:rPr>
          <w:rFonts w:hint="eastAsia" w:eastAsia="黑体"/>
          <w:bCs/>
          <w:color w:val="auto"/>
          <w:kern w:val="44"/>
          <w:sz w:val="28"/>
          <w:szCs w:val="28"/>
          <w:lang w:val="zh-CN"/>
        </w:rPr>
        <w:t>争议的解决</w:t>
      </w:r>
    </w:p>
    <w:p w14:paraId="29363755">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24.1 </w:t>
      </w:r>
      <w:r>
        <w:rPr>
          <w:rFonts w:hint="eastAsia" w:eastAsia="黑体"/>
          <w:bCs/>
          <w:color w:val="auto"/>
          <w:kern w:val="44"/>
          <w:sz w:val="24"/>
          <w:lang w:val="zh-CN"/>
        </w:rPr>
        <w:t>争议的解决方式</w:t>
      </w:r>
    </w:p>
    <w:p w14:paraId="1176940F">
      <w:pPr>
        <w:spacing w:line="240" w:lineRule="auto"/>
        <w:ind w:firstLine="480" w:firstLineChars="200"/>
        <w:rPr>
          <w:rFonts w:hint="eastAsia"/>
          <w:color w:val="auto"/>
          <w:sz w:val="24"/>
        </w:rPr>
      </w:pPr>
      <w:r>
        <w:rPr>
          <w:rFonts w:hint="eastAsia"/>
          <w:color w:val="auto"/>
          <w:sz w:val="24"/>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172ACE60">
      <w:pPr>
        <w:spacing w:line="240" w:lineRule="auto"/>
        <w:ind w:firstLine="480" w:firstLineChars="200"/>
        <w:rPr>
          <w:rFonts w:hint="eastAsia"/>
          <w:color w:val="auto"/>
          <w:sz w:val="24"/>
        </w:rPr>
      </w:pPr>
      <w:r>
        <w:rPr>
          <w:rFonts w:hint="eastAsia"/>
          <w:color w:val="auto"/>
          <w:sz w:val="24"/>
        </w:rPr>
        <w:t>（</w:t>
      </w:r>
      <w:r>
        <w:rPr>
          <w:color w:val="auto"/>
          <w:sz w:val="24"/>
        </w:rPr>
        <w:t>1</w:t>
      </w:r>
      <w:r>
        <w:rPr>
          <w:rFonts w:hint="eastAsia"/>
          <w:color w:val="auto"/>
          <w:sz w:val="24"/>
        </w:rPr>
        <w:t>）向约定的仲裁委员会申请仲裁；</w:t>
      </w:r>
    </w:p>
    <w:p w14:paraId="592DD962">
      <w:pPr>
        <w:spacing w:line="240" w:lineRule="auto"/>
        <w:ind w:firstLine="480" w:firstLineChars="200"/>
        <w:rPr>
          <w:rFonts w:hint="eastAsia"/>
          <w:color w:val="auto"/>
          <w:sz w:val="24"/>
        </w:rPr>
      </w:pPr>
      <w:r>
        <w:rPr>
          <w:rFonts w:hint="eastAsia"/>
          <w:color w:val="auto"/>
          <w:sz w:val="24"/>
        </w:rPr>
        <w:t>（</w:t>
      </w:r>
      <w:r>
        <w:rPr>
          <w:color w:val="auto"/>
          <w:sz w:val="24"/>
        </w:rPr>
        <w:t>2</w:t>
      </w:r>
      <w:r>
        <w:rPr>
          <w:rFonts w:hint="eastAsia"/>
          <w:color w:val="auto"/>
          <w:sz w:val="24"/>
        </w:rPr>
        <w:t>）向有管辖权的人民法院提起诉讼。</w:t>
      </w:r>
    </w:p>
    <w:p w14:paraId="73DE57F3">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24.2 </w:t>
      </w:r>
      <w:r>
        <w:rPr>
          <w:rFonts w:hint="eastAsia" w:eastAsia="黑体"/>
          <w:bCs/>
          <w:color w:val="auto"/>
          <w:kern w:val="44"/>
          <w:sz w:val="24"/>
          <w:lang w:val="zh-CN"/>
        </w:rPr>
        <w:t>友好解决</w:t>
      </w:r>
    </w:p>
    <w:p w14:paraId="1B441029">
      <w:pPr>
        <w:spacing w:line="240" w:lineRule="auto"/>
        <w:ind w:firstLine="480" w:firstLineChars="200"/>
        <w:rPr>
          <w:rFonts w:hint="eastAsia"/>
          <w:color w:val="auto"/>
          <w:sz w:val="24"/>
        </w:rPr>
      </w:pPr>
      <w:r>
        <w:rPr>
          <w:rFonts w:hint="eastAsia"/>
          <w:color w:val="auto"/>
          <w:sz w:val="24"/>
        </w:rPr>
        <w:t>在提请争议评审、仲裁或者诉讼前，以及在争议评审、仲裁或诉讼过程中，发包人和承包人均可共同努力友好协商解决争议。</w:t>
      </w:r>
    </w:p>
    <w:p w14:paraId="38C85DCA">
      <w:pPr>
        <w:keepNext/>
        <w:keepLines/>
        <w:spacing w:before="240" w:after="240" w:line="240" w:lineRule="auto"/>
        <w:rPr>
          <w:rFonts w:eastAsia="黑体"/>
          <w:bCs/>
          <w:color w:val="auto"/>
          <w:kern w:val="44"/>
          <w:sz w:val="24"/>
          <w:lang w:val="zh-CN"/>
        </w:rPr>
      </w:pPr>
      <w:r>
        <w:rPr>
          <w:rFonts w:eastAsia="黑体"/>
          <w:bCs/>
          <w:color w:val="auto"/>
          <w:kern w:val="44"/>
          <w:sz w:val="24"/>
          <w:lang w:val="zh-CN"/>
        </w:rPr>
        <w:t xml:space="preserve">24.3 </w:t>
      </w:r>
      <w:r>
        <w:rPr>
          <w:rFonts w:hint="eastAsia" w:eastAsia="黑体"/>
          <w:bCs/>
          <w:color w:val="auto"/>
          <w:kern w:val="44"/>
          <w:sz w:val="24"/>
          <w:lang w:val="zh-CN"/>
        </w:rPr>
        <w:t>争议评审</w:t>
      </w:r>
    </w:p>
    <w:p w14:paraId="7867A363">
      <w:pPr>
        <w:spacing w:line="240" w:lineRule="auto"/>
        <w:ind w:firstLine="480" w:firstLineChars="200"/>
        <w:rPr>
          <w:color w:val="auto"/>
          <w:sz w:val="24"/>
        </w:rPr>
      </w:pPr>
      <w:r>
        <w:rPr>
          <w:color w:val="auto"/>
          <w:sz w:val="24"/>
        </w:rPr>
        <w:t>24.3.1</w:t>
      </w:r>
      <w:r>
        <w:rPr>
          <w:rFonts w:hint="eastAsia"/>
          <w:color w:val="auto"/>
          <w:sz w:val="24"/>
        </w:rPr>
        <w:t>采用争议评审的，发包人和承包人应在开工日后的</w:t>
      </w:r>
      <w:r>
        <w:rPr>
          <w:color w:val="auto"/>
          <w:sz w:val="24"/>
        </w:rPr>
        <w:t>28</w:t>
      </w:r>
      <w:r>
        <w:rPr>
          <w:rFonts w:hint="eastAsia"/>
          <w:color w:val="auto"/>
          <w:sz w:val="24"/>
        </w:rPr>
        <w:t>天内或在争议发生后，协商成立争议评审组。争议评审组由有合同管理和工程实践经验的专家组成。</w:t>
      </w:r>
    </w:p>
    <w:p w14:paraId="3E0AB0DC">
      <w:pPr>
        <w:spacing w:line="240" w:lineRule="auto"/>
        <w:ind w:firstLine="480" w:firstLineChars="200"/>
        <w:rPr>
          <w:color w:val="auto"/>
          <w:sz w:val="24"/>
        </w:rPr>
      </w:pPr>
      <w:r>
        <w:rPr>
          <w:color w:val="auto"/>
          <w:sz w:val="24"/>
        </w:rPr>
        <w:t xml:space="preserve">24.3.2 </w:t>
      </w:r>
      <w:r>
        <w:rPr>
          <w:rFonts w:hint="eastAsia"/>
          <w:color w:val="auto"/>
          <w:sz w:val="24"/>
        </w:rPr>
        <w:t>合同双方的争议，应首先由申请人向争议评审组提交一份详细的评审申请报告，并附必要的文件、图纸和证明材料，申请人还应将上述报告的副本同时提交给被申请人和</w:t>
      </w:r>
      <w:r>
        <w:rPr>
          <w:rFonts w:hint="eastAsia"/>
          <w:color w:val="auto"/>
          <w:sz w:val="24"/>
          <w:lang w:val="en-US" w:eastAsia="zh-CN"/>
        </w:rPr>
        <w:t>发包</w:t>
      </w:r>
      <w:r>
        <w:rPr>
          <w:rFonts w:hint="eastAsia"/>
          <w:color w:val="auto"/>
          <w:sz w:val="24"/>
        </w:rPr>
        <w:t>人。</w:t>
      </w:r>
    </w:p>
    <w:p w14:paraId="0AED0147">
      <w:pPr>
        <w:spacing w:line="240" w:lineRule="auto"/>
        <w:ind w:firstLine="480" w:firstLineChars="200"/>
        <w:rPr>
          <w:color w:val="auto"/>
          <w:sz w:val="24"/>
        </w:rPr>
      </w:pPr>
      <w:r>
        <w:rPr>
          <w:color w:val="auto"/>
          <w:sz w:val="24"/>
        </w:rPr>
        <w:t xml:space="preserve">24.3.3 </w:t>
      </w:r>
      <w:r>
        <w:rPr>
          <w:rFonts w:hint="eastAsia"/>
          <w:color w:val="auto"/>
          <w:sz w:val="24"/>
        </w:rPr>
        <w:t>被申请人在收到申请人评审申请报告副本后的</w:t>
      </w:r>
      <w:r>
        <w:rPr>
          <w:color w:val="auto"/>
          <w:sz w:val="24"/>
        </w:rPr>
        <w:t>28</w:t>
      </w:r>
      <w:r>
        <w:rPr>
          <w:rFonts w:hint="eastAsia"/>
          <w:color w:val="auto"/>
          <w:sz w:val="24"/>
        </w:rPr>
        <w:t>天内，向争议评审组提交一份答辩报告，并附证明材料。被申请人应将答辩报告的副本同时提交给申请人和</w:t>
      </w:r>
      <w:r>
        <w:rPr>
          <w:rFonts w:hint="eastAsia"/>
          <w:color w:val="auto"/>
          <w:sz w:val="24"/>
          <w:lang w:val="en-US" w:eastAsia="zh-CN"/>
        </w:rPr>
        <w:t>发包</w:t>
      </w:r>
      <w:r>
        <w:rPr>
          <w:rFonts w:hint="eastAsia"/>
          <w:color w:val="auto"/>
          <w:sz w:val="24"/>
        </w:rPr>
        <w:t>人。</w:t>
      </w:r>
    </w:p>
    <w:p w14:paraId="319E9C85">
      <w:pPr>
        <w:spacing w:line="240" w:lineRule="auto"/>
        <w:ind w:firstLine="480" w:firstLineChars="200"/>
        <w:rPr>
          <w:color w:val="auto"/>
          <w:sz w:val="24"/>
        </w:rPr>
      </w:pPr>
      <w:r>
        <w:rPr>
          <w:color w:val="auto"/>
          <w:sz w:val="24"/>
        </w:rPr>
        <w:t xml:space="preserve">24.3.4 </w:t>
      </w:r>
      <w:r>
        <w:rPr>
          <w:rFonts w:hint="eastAsia"/>
          <w:color w:val="auto"/>
          <w:sz w:val="24"/>
        </w:rPr>
        <w:t>除专用合同条款另有约定外，争议评审组在收到合同双方报告后的</w:t>
      </w:r>
      <w:r>
        <w:rPr>
          <w:color w:val="auto"/>
          <w:sz w:val="24"/>
        </w:rPr>
        <w:t>14</w:t>
      </w:r>
      <w:r>
        <w:rPr>
          <w:rFonts w:hint="eastAsia"/>
          <w:color w:val="auto"/>
          <w:sz w:val="24"/>
        </w:rPr>
        <w:t>天内，邀请双方代表和有关人员举行调查会，向双方调查争议细节；必要时争议评审组可要求双方进一步提供补充材料。</w:t>
      </w:r>
    </w:p>
    <w:p w14:paraId="39F35997">
      <w:pPr>
        <w:spacing w:line="240" w:lineRule="auto"/>
        <w:ind w:firstLine="480" w:firstLineChars="200"/>
        <w:rPr>
          <w:color w:val="auto"/>
          <w:sz w:val="24"/>
        </w:rPr>
      </w:pPr>
      <w:r>
        <w:rPr>
          <w:color w:val="auto"/>
          <w:sz w:val="24"/>
        </w:rPr>
        <w:t xml:space="preserve">24.3.5 </w:t>
      </w:r>
      <w:r>
        <w:rPr>
          <w:rFonts w:hint="eastAsia"/>
          <w:color w:val="auto"/>
          <w:sz w:val="24"/>
        </w:rPr>
        <w:t>除专用合同条款另有约定外，在调查会结束后的</w:t>
      </w:r>
      <w:r>
        <w:rPr>
          <w:color w:val="auto"/>
          <w:sz w:val="24"/>
        </w:rPr>
        <w:t>14</w:t>
      </w:r>
      <w:r>
        <w:rPr>
          <w:rFonts w:hint="eastAsia"/>
          <w:color w:val="auto"/>
          <w:sz w:val="24"/>
        </w:rPr>
        <w:t>天内，争议评审组应在不受任何干扰的情况下进行独立、公正的评审，作出书面评审意见，并说明理由。在争议评审期间，争议双方暂按总监理工程师的确定执行。</w:t>
      </w:r>
    </w:p>
    <w:p w14:paraId="0F1FECAB">
      <w:pPr>
        <w:spacing w:line="240" w:lineRule="auto"/>
        <w:ind w:firstLine="480" w:firstLineChars="200"/>
        <w:rPr>
          <w:color w:val="auto"/>
          <w:sz w:val="24"/>
        </w:rPr>
      </w:pPr>
      <w:r>
        <w:rPr>
          <w:color w:val="auto"/>
          <w:sz w:val="24"/>
        </w:rPr>
        <w:t xml:space="preserve">24.3.6 </w:t>
      </w:r>
      <w:r>
        <w:rPr>
          <w:rFonts w:hint="eastAsia"/>
          <w:color w:val="auto"/>
          <w:sz w:val="24"/>
        </w:rPr>
        <w:t>发包人和承包人接受评审意见的，根据评审意见拟定执行协议，经争议双方签字后作为合同的补充文件，并遵照执行。</w:t>
      </w:r>
    </w:p>
    <w:p w14:paraId="1B0F34CA">
      <w:pPr>
        <w:spacing w:line="240" w:lineRule="auto"/>
        <w:ind w:firstLine="480" w:firstLineChars="200"/>
        <w:rPr>
          <w:color w:val="auto"/>
          <w:sz w:val="24"/>
        </w:rPr>
      </w:pPr>
      <w:r>
        <w:rPr>
          <w:color w:val="auto"/>
          <w:sz w:val="24"/>
        </w:rPr>
        <w:t xml:space="preserve">24.3.7 </w:t>
      </w:r>
      <w:r>
        <w:rPr>
          <w:rFonts w:hint="eastAsia"/>
          <w:color w:val="auto"/>
          <w:sz w:val="24"/>
        </w:rPr>
        <w:t>发包人或承包人不接受评审意见，并要求提交仲裁或提起诉讼的，应在收到评审意见后的</w:t>
      </w:r>
      <w:r>
        <w:rPr>
          <w:color w:val="auto"/>
          <w:sz w:val="24"/>
        </w:rPr>
        <w:t>14</w:t>
      </w:r>
      <w:r>
        <w:rPr>
          <w:rFonts w:hint="eastAsia"/>
          <w:color w:val="auto"/>
          <w:sz w:val="24"/>
        </w:rPr>
        <w:t>天内将仲裁或起诉意向书面通知另一方，但在仲裁或诉讼结束前应暂按总监理工程师的确定执行。</w:t>
      </w:r>
    </w:p>
    <w:p w14:paraId="15579CB9">
      <w:pPr>
        <w:spacing w:line="240" w:lineRule="auto"/>
        <w:rPr>
          <w:rFonts w:hint="eastAsia" w:ascii="Calibri" w:hAnsi="Calibri"/>
          <w:color w:val="auto"/>
          <w:sz w:val="20"/>
          <w:szCs w:val="22"/>
        </w:rPr>
      </w:pPr>
      <w:r>
        <w:rPr>
          <w:rFonts w:hint="eastAsia" w:ascii="Calibri" w:hAnsi="Calibri"/>
          <w:color w:val="auto"/>
          <w:sz w:val="20"/>
          <w:szCs w:val="22"/>
        </w:rPr>
        <w:t xml:space="preserve"> </w:t>
      </w:r>
    </w:p>
    <w:p w14:paraId="2DAEA15B">
      <w:pPr>
        <w:spacing w:line="240" w:lineRule="auto"/>
        <w:rPr>
          <w:color w:val="auto"/>
        </w:rPr>
      </w:pPr>
    </w:p>
    <w:p w14:paraId="5A866A14">
      <w:pPr>
        <w:spacing w:line="240" w:lineRule="auto"/>
        <w:rPr>
          <w:rFonts w:ascii="黑体" w:hAnsi="黑体" w:eastAsia="黑体"/>
          <w:color w:val="auto"/>
          <w:sz w:val="28"/>
          <w:szCs w:val="22"/>
        </w:rPr>
      </w:pPr>
      <w:r>
        <w:rPr>
          <w:rFonts w:ascii="黑体" w:hAnsi="黑体" w:eastAsia="黑体"/>
          <w:color w:val="auto"/>
          <w:sz w:val="28"/>
          <w:szCs w:val="22"/>
        </w:rPr>
        <w:br w:type="page"/>
      </w:r>
    </w:p>
    <w:p w14:paraId="39EEE5BA">
      <w:pPr>
        <w:spacing w:line="240" w:lineRule="auto"/>
        <w:rPr>
          <w:rFonts w:hint="eastAsia" w:ascii="黑体" w:hAnsi="黑体" w:eastAsia="黑体"/>
          <w:color w:val="auto"/>
          <w:sz w:val="28"/>
          <w:szCs w:val="22"/>
        </w:rPr>
      </w:pPr>
    </w:p>
    <w:p w14:paraId="786DE76E">
      <w:pPr>
        <w:spacing w:before="108" w:line="240" w:lineRule="auto"/>
        <w:ind w:left="2659"/>
        <w:outlineLvl w:val="1"/>
        <w:rPr>
          <w:rFonts w:ascii="宋体" w:hAnsi="宋体"/>
          <w:b/>
          <w:color w:val="auto"/>
          <w:sz w:val="44"/>
          <w:szCs w:val="44"/>
        </w:rPr>
      </w:pPr>
      <w:bookmarkStart w:id="52" w:name="_Toc39866685"/>
      <w:bookmarkEnd w:id="52"/>
      <w:bookmarkStart w:id="53" w:name="_Toc256000033"/>
      <w:bookmarkEnd w:id="53"/>
      <w:r>
        <w:rPr>
          <w:rFonts w:ascii="宋体" w:hAnsi="宋体"/>
          <w:b/>
          <w:color w:val="auto"/>
          <w:sz w:val="44"/>
          <w:szCs w:val="44"/>
        </w:rPr>
        <w:t>第二节专用合同条款</w:t>
      </w:r>
    </w:p>
    <w:p w14:paraId="1CB6CF8A">
      <w:pPr>
        <w:spacing w:line="240" w:lineRule="auto"/>
        <w:rPr>
          <w:rFonts w:ascii="Calibri" w:hAnsi="Calibri"/>
          <w:color w:val="auto"/>
          <w:szCs w:val="22"/>
        </w:rPr>
      </w:pPr>
      <w:r>
        <w:rPr>
          <w:rFonts w:ascii="Calibri" w:hAnsi="Calibri"/>
          <w:color w:val="auto"/>
          <w:szCs w:val="22"/>
        </w:rPr>
        <w:br w:type="page"/>
      </w:r>
    </w:p>
    <w:p w14:paraId="3E773629">
      <w:pPr>
        <w:autoSpaceDE w:val="0"/>
        <w:autoSpaceDN w:val="0"/>
        <w:spacing w:line="240" w:lineRule="auto"/>
        <w:jc w:val="center"/>
        <w:outlineLvl w:val="2"/>
        <w:rPr>
          <w:rFonts w:hint="eastAsia" w:ascii="黑体" w:hAnsi="黑体" w:eastAsia="黑体"/>
          <w:color w:val="auto"/>
          <w:kern w:val="0"/>
          <w:sz w:val="32"/>
          <w:szCs w:val="32"/>
          <w:lang w:val="zh-CN" w:bidi="zh-CN"/>
        </w:rPr>
      </w:pPr>
      <w:r>
        <w:rPr>
          <w:rFonts w:hint="eastAsia" w:ascii="黑体" w:hAnsi="黑体" w:eastAsia="黑体"/>
          <w:color w:val="auto"/>
          <w:kern w:val="0"/>
          <w:sz w:val="32"/>
          <w:szCs w:val="32"/>
          <w:lang w:val="zh-CN" w:bidi="zh-CN"/>
        </w:rPr>
        <w:t>A.</w:t>
      </w:r>
      <w:r>
        <w:rPr>
          <w:rFonts w:ascii="黑体" w:hAnsi="黑体" w:eastAsia="黑体"/>
          <w:color w:val="auto"/>
          <w:kern w:val="0"/>
          <w:sz w:val="32"/>
          <w:szCs w:val="32"/>
          <w:lang w:val="zh-CN" w:bidi="zh-CN"/>
        </w:rPr>
        <w:t>公路工程专用合同条款</w:t>
      </w:r>
    </w:p>
    <w:p w14:paraId="51ADE729">
      <w:pPr>
        <w:kinsoku w:val="0"/>
        <w:overflowPunct w:val="0"/>
        <w:autoSpaceDE w:val="0"/>
        <w:autoSpaceDN w:val="0"/>
        <w:spacing w:before="14" w:line="240" w:lineRule="auto"/>
        <w:ind w:left="144" w:right="29"/>
        <w:jc w:val="left"/>
        <w:rPr>
          <w:rFonts w:hint="eastAsia" w:ascii="宋体" w:hAnsi="宋体"/>
          <w:color w:val="auto"/>
          <w:kern w:val="0"/>
          <w:sz w:val="28"/>
          <w:szCs w:val="28"/>
        </w:rPr>
      </w:pPr>
      <w:r>
        <w:rPr>
          <w:rFonts w:hint="eastAsia" w:ascii="宋体" w:hAnsi="宋体"/>
          <w:color w:val="auto"/>
          <w:kern w:val="0"/>
          <w:sz w:val="28"/>
          <w:szCs w:val="28"/>
        </w:rPr>
        <w:t xml:space="preserve">1. </w:t>
      </w:r>
      <w:r>
        <w:rPr>
          <w:rFonts w:hint="eastAsia" w:ascii="宋体" w:hAnsi="宋体"/>
          <w:color w:val="auto"/>
          <w:spacing w:val="1"/>
          <w:kern w:val="0"/>
          <w:sz w:val="28"/>
          <w:szCs w:val="28"/>
        </w:rPr>
        <w:t xml:space="preserve"> </w:t>
      </w:r>
      <w:r>
        <w:rPr>
          <w:rFonts w:hint="eastAsia" w:ascii="宋体" w:hAnsi="宋体"/>
          <w:color w:val="auto"/>
          <w:kern w:val="0"/>
          <w:sz w:val="28"/>
          <w:szCs w:val="28"/>
        </w:rPr>
        <w:t>一般约定</w:t>
      </w:r>
    </w:p>
    <w:p w14:paraId="61DC35D3">
      <w:pPr>
        <w:kinsoku w:val="0"/>
        <w:overflowPunct w:val="0"/>
        <w:autoSpaceDE w:val="0"/>
        <w:autoSpaceDN w:val="0"/>
        <w:spacing w:before="2" w:line="240" w:lineRule="auto"/>
        <w:jc w:val="left"/>
        <w:rPr>
          <w:rFonts w:hint="eastAsia" w:ascii="宋体" w:hAnsi="宋体"/>
          <w:color w:val="auto"/>
          <w:kern w:val="0"/>
          <w:sz w:val="22"/>
          <w:szCs w:val="22"/>
        </w:rPr>
      </w:pPr>
    </w:p>
    <w:p w14:paraId="67218B94">
      <w:pPr>
        <w:kinsoku w:val="0"/>
        <w:overflowPunct w:val="0"/>
        <w:autoSpaceDE w:val="0"/>
        <w:autoSpaceDN w:val="0"/>
        <w:spacing w:line="240" w:lineRule="auto"/>
        <w:ind w:right="29"/>
        <w:jc w:val="left"/>
        <w:rPr>
          <w:rFonts w:hint="eastAsia" w:ascii="宋体" w:hAnsi="宋体"/>
          <w:color w:val="auto"/>
          <w:kern w:val="0"/>
          <w:sz w:val="24"/>
          <w:szCs w:val="22"/>
        </w:rPr>
      </w:pPr>
      <w:bookmarkStart w:id="54" w:name="bookmark160"/>
      <w:bookmarkEnd w:id="54"/>
      <w:r>
        <w:rPr>
          <w:rFonts w:hint="eastAsia" w:ascii="宋体" w:hAnsi="宋体"/>
          <w:color w:val="auto"/>
          <w:kern w:val="0"/>
          <w:sz w:val="24"/>
          <w:szCs w:val="22"/>
        </w:rPr>
        <w:t>1.1</w:t>
      </w:r>
      <w:r>
        <w:rPr>
          <w:rFonts w:hint="eastAsia" w:ascii="宋体" w:hAnsi="宋体"/>
          <w:color w:val="auto"/>
          <w:spacing w:val="59"/>
          <w:kern w:val="0"/>
          <w:sz w:val="24"/>
          <w:szCs w:val="22"/>
        </w:rPr>
        <w:t xml:space="preserve"> </w:t>
      </w:r>
      <w:r>
        <w:rPr>
          <w:rFonts w:hint="eastAsia" w:ascii="宋体" w:hAnsi="宋体"/>
          <w:color w:val="auto"/>
          <w:kern w:val="0"/>
          <w:sz w:val="24"/>
          <w:szCs w:val="22"/>
        </w:rPr>
        <w:t>词语定义</w:t>
      </w:r>
    </w:p>
    <w:p w14:paraId="33A6359F">
      <w:pPr>
        <w:kinsoku w:val="0"/>
        <w:overflowPunct w:val="0"/>
        <w:autoSpaceDE w:val="0"/>
        <w:autoSpaceDN w:val="0"/>
        <w:spacing w:line="240" w:lineRule="auto"/>
        <w:ind w:right="29" w:firstLine="480"/>
        <w:jc w:val="left"/>
        <w:rPr>
          <w:rFonts w:hint="eastAsia" w:ascii="宋体" w:hAnsi="宋体"/>
          <w:color w:val="auto"/>
          <w:kern w:val="0"/>
          <w:sz w:val="24"/>
          <w:szCs w:val="22"/>
        </w:rPr>
      </w:pPr>
      <w:r>
        <w:rPr>
          <w:rFonts w:hint="eastAsia" w:ascii="宋体" w:hAnsi="宋体"/>
          <w:color w:val="auto"/>
          <w:kern w:val="0"/>
          <w:sz w:val="24"/>
          <w:szCs w:val="22"/>
        </w:rPr>
        <w:t>1.1.1  合同</w:t>
      </w:r>
    </w:p>
    <w:p w14:paraId="16C390C9">
      <w:pPr>
        <w:kinsoku w:val="0"/>
        <w:overflowPunct w:val="0"/>
        <w:autoSpaceDE w:val="0"/>
        <w:autoSpaceDN w:val="0"/>
        <w:spacing w:before="66" w:line="240" w:lineRule="auto"/>
        <w:ind w:right="29" w:firstLine="480"/>
        <w:jc w:val="left"/>
        <w:rPr>
          <w:rFonts w:hint="eastAsia" w:ascii="宋体" w:hAnsi="宋体"/>
          <w:color w:val="auto"/>
          <w:kern w:val="0"/>
          <w:sz w:val="24"/>
          <w:szCs w:val="22"/>
        </w:rPr>
      </w:pPr>
      <w:r>
        <w:rPr>
          <w:rFonts w:hint="eastAsia" w:ascii="宋体" w:hAnsi="宋体"/>
          <w:color w:val="auto"/>
          <w:kern w:val="0"/>
          <w:sz w:val="24"/>
          <w:szCs w:val="22"/>
        </w:rPr>
        <w:t>第</w:t>
      </w:r>
      <w:r>
        <w:rPr>
          <w:rFonts w:hint="eastAsia" w:ascii="宋体" w:hAnsi="宋体"/>
          <w:color w:val="auto"/>
          <w:spacing w:val="-60"/>
          <w:kern w:val="0"/>
          <w:sz w:val="24"/>
          <w:szCs w:val="22"/>
        </w:rPr>
        <w:t xml:space="preserve"> </w:t>
      </w:r>
      <w:r>
        <w:rPr>
          <w:rFonts w:hint="eastAsia" w:ascii="宋体" w:hAnsi="宋体"/>
          <w:color w:val="auto"/>
          <w:kern w:val="0"/>
          <w:sz w:val="24"/>
          <w:szCs w:val="22"/>
        </w:rPr>
        <w:t>1.1.1.6 目细化为： 技术规范：指本合同所约定的技术标准和要求，是合同文件的组成部分。通用合同条款中“技术标准和要求”一词具有相同含义。 第</w:t>
      </w:r>
      <w:r>
        <w:rPr>
          <w:rFonts w:hint="eastAsia" w:ascii="宋体" w:hAnsi="宋体"/>
          <w:color w:val="auto"/>
          <w:spacing w:val="-60"/>
          <w:kern w:val="0"/>
          <w:sz w:val="24"/>
          <w:szCs w:val="22"/>
        </w:rPr>
        <w:t xml:space="preserve"> </w:t>
      </w:r>
      <w:r>
        <w:rPr>
          <w:rFonts w:hint="eastAsia" w:ascii="宋体" w:hAnsi="宋体"/>
          <w:color w:val="auto"/>
          <w:kern w:val="0"/>
          <w:sz w:val="24"/>
          <w:szCs w:val="22"/>
        </w:rPr>
        <w:t>1.1.1.8 目细化为：</w:t>
      </w:r>
    </w:p>
    <w:p w14:paraId="534DDF90">
      <w:pPr>
        <w:kinsoku w:val="0"/>
        <w:overflowPunct w:val="0"/>
        <w:autoSpaceDE w:val="0"/>
        <w:autoSpaceDN w:val="0"/>
        <w:spacing w:before="15" w:line="240" w:lineRule="auto"/>
        <w:ind w:right="102" w:firstLine="480"/>
        <w:rPr>
          <w:rFonts w:hint="eastAsia" w:ascii="宋体" w:hAnsi="宋体"/>
          <w:color w:val="auto"/>
          <w:kern w:val="0"/>
          <w:sz w:val="24"/>
          <w:szCs w:val="22"/>
        </w:rPr>
      </w:pPr>
      <w:r>
        <w:rPr>
          <w:rFonts w:hint="eastAsia" w:ascii="宋体" w:hAnsi="宋体"/>
          <w:color w:val="auto"/>
          <w:kern w:val="0"/>
          <w:sz w:val="24"/>
          <w:szCs w:val="22"/>
        </w:rPr>
        <w:t>已标价工程量清单：指构成合同文件组成部分的已标明价格、经算术性错误 修正及其他错误修正（如有）且承包人已确认的最终的工程量清单，包括工程量清</w:t>
      </w:r>
      <w:r>
        <w:rPr>
          <w:rFonts w:hint="eastAsia" w:ascii="宋体" w:hAnsi="宋体"/>
          <w:color w:val="auto"/>
          <w:spacing w:val="-94"/>
          <w:kern w:val="0"/>
          <w:sz w:val="24"/>
          <w:szCs w:val="22"/>
        </w:rPr>
        <w:t xml:space="preserve"> </w:t>
      </w:r>
      <w:r>
        <w:rPr>
          <w:rFonts w:hint="eastAsia" w:ascii="宋体" w:hAnsi="宋体"/>
          <w:color w:val="auto"/>
          <w:kern w:val="0"/>
          <w:sz w:val="24"/>
          <w:szCs w:val="22"/>
        </w:rPr>
        <w:t>单说明、投标报价说明、计日工说明、其他说明及工程量清单各项表格（工程量清</w:t>
      </w:r>
      <w:r>
        <w:rPr>
          <w:rFonts w:hint="eastAsia" w:ascii="宋体" w:hAnsi="宋体"/>
          <w:color w:val="auto"/>
          <w:spacing w:val="-95"/>
          <w:kern w:val="0"/>
          <w:sz w:val="24"/>
          <w:szCs w:val="22"/>
        </w:rPr>
        <w:t xml:space="preserve"> </w:t>
      </w:r>
      <w:r>
        <w:rPr>
          <w:rFonts w:hint="eastAsia" w:ascii="宋体" w:hAnsi="宋体"/>
          <w:color w:val="auto"/>
          <w:kern w:val="0"/>
          <w:sz w:val="24"/>
          <w:szCs w:val="22"/>
        </w:rPr>
        <w:t>单表</w:t>
      </w:r>
      <w:r>
        <w:rPr>
          <w:rFonts w:hint="eastAsia" w:ascii="宋体" w:hAnsi="宋体"/>
          <w:color w:val="auto"/>
          <w:spacing w:val="-61"/>
          <w:kern w:val="0"/>
          <w:sz w:val="24"/>
          <w:szCs w:val="22"/>
        </w:rPr>
        <w:t xml:space="preserve"> </w:t>
      </w:r>
      <w:r>
        <w:rPr>
          <w:rFonts w:hint="eastAsia" w:ascii="宋体" w:hAnsi="宋体"/>
          <w:color w:val="auto"/>
          <w:kern w:val="0"/>
          <w:sz w:val="24"/>
          <w:szCs w:val="22"/>
        </w:rPr>
        <w:t>5.1～表</w:t>
      </w:r>
      <w:r>
        <w:rPr>
          <w:rFonts w:hint="eastAsia" w:ascii="宋体" w:hAnsi="宋体"/>
          <w:color w:val="auto"/>
          <w:spacing w:val="-60"/>
          <w:kern w:val="0"/>
          <w:sz w:val="24"/>
          <w:szCs w:val="22"/>
        </w:rPr>
        <w:t xml:space="preserve"> </w:t>
      </w:r>
      <w:r>
        <w:rPr>
          <w:rFonts w:hint="eastAsia" w:ascii="宋体" w:hAnsi="宋体"/>
          <w:color w:val="auto"/>
          <w:spacing w:val="-24"/>
          <w:kern w:val="0"/>
          <w:sz w:val="24"/>
          <w:szCs w:val="22"/>
        </w:rPr>
        <w:t>5.5）。</w:t>
      </w:r>
    </w:p>
    <w:p w14:paraId="5EBAA444">
      <w:pPr>
        <w:kinsoku w:val="0"/>
        <w:overflowPunct w:val="0"/>
        <w:autoSpaceDE w:val="0"/>
        <w:autoSpaceDN w:val="0"/>
        <w:spacing w:line="240" w:lineRule="auto"/>
        <w:ind w:right="29" w:firstLine="480"/>
        <w:jc w:val="left"/>
        <w:rPr>
          <w:rFonts w:hint="eastAsia" w:ascii="宋体" w:hAnsi="宋体"/>
          <w:color w:val="auto"/>
          <w:kern w:val="0"/>
          <w:sz w:val="24"/>
          <w:szCs w:val="22"/>
        </w:rPr>
      </w:pPr>
      <w:r>
        <w:rPr>
          <w:rFonts w:hint="eastAsia" w:ascii="宋体" w:hAnsi="宋体"/>
          <w:color w:val="auto"/>
          <w:kern w:val="0"/>
          <w:sz w:val="24"/>
          <w:szCs w:val="22"/>
        </w:rPr>
        <w:t>本项补充第</w:t>
      </w:r>
      <w:r>
        <w:rPr>
          <w:rFonts w:hint="eastAsia" w:ascii="宋体" w:hAnsi="宋体"/>
          <w:color w:val="auto"/>
          <w:spacing w:val="-60"/>
          <w:kern w:val="0"/>
          <w:sz w:val="24"/>
          <w:szCs w:val="22"/>
        </w:rPr>
        <w:t xml:space="preserve"> </w:t>
      </w:r>
      <w:r>
        <w:rPr>
          <w:rFonts w:hint="eastAsia" w:ascii="宋体" w:hAnsi="宋体"/>
          <w:color w:val="auto"/>
          <w:kern w:val="0"/>
          <w:sz w:val="24"/>
          <w:szCs w:val="22"/>
        </w:rPr>
        <w:t>1.1.1.10 目：</w:t>
      </w:r>
    </w:p>
    <w:p w14:paraId="08E1643D">
      <w:pPr>
        <w:kinsoku w:val="0"/>
        <w:overflowPunct w:val="0"/>
        <w:autoSpaceDE w:val="0"/>
        <w:autoSpaceDN w:val="0"/>
        <w:spacing w:before="66" w:line="240" w:lineRule="auto"/>
        <w:ind w:right="29" w:firstLine="480"/>
        <w:jc w:val="left"/>
        <w:rPr>
          <w:rFonts w:hint="eastAsia" w:ascii="宋体" w:hAnsi="宋体"/>
          <w:color w:val="auto"/>
          <w:kern w:val="0"/>
          <w:sz w:val="24"/>
          <w:szCs w:val="22"/>
        </w:rPr>
      </w:pPr>
      <w:r>
        <w:rPr>
          <w:rFonts w:hint="eastAsia" w:ascii="宋体" w:hAnsi="宋体"/>
          <w:color w:val="auto"/>
          <w:kern w:val="0"/>
          <w:sz w:val="24"/>
          <w:szCs w:val="22"/>
        </w:rPr>
        <w:t>1.1.1.10</w:t>
      </w:r>
      <w:r>
        <w:rPr>
          <w:rFonts w:hint="eastAsia" w:ascii="宋体" w:hAnsi="宋体"/>
          <w:color w:val="auto"/>
          <w:spacing w:val="19"/>
          <w:kern w:val="0"/>
          <w:sz w:val="24"/>
          <w:szCs w:val="22"/>
        </w:rPr>
        <w:t xml:space="preserve"> </w:t>
      </w:r>
      <w:r>
        <w:rPr>
          <w:rFonts w:hint="eastAsia" w:ascii="宋体" w:hAnsi="宋体"/>
          <w:color w:val="auto"/>
          <w:spacing w:val="2"/>
          <w:kern w:val="0"/>
          <w:sz w:val="24"/>
          <w:szCs w:val="22"/>
        </w:rPr>
        <w:t>补遗书：指发出招标文件之后由招标人向已取得招标文件的投标人</w:t>
      </w:r>
      <w:r>
        <w:rPr>
          <w:rFonts w:hint="eastAsia" w:ascii="宋体" w:hAnsi="宋体"/>
          <w:color w:val="auto"/>
          <w:kern w:val="0"/>
          <w:sz w:val="24"/>
          <w:szCs w:val="22"/>
        </w:rPr>
        <w:t xml:space="preserve"> 发出的、编号的对招标文件所作的澄清、修改书。</w:t>
      </w:r>
    </w:p>
    <w:p w14:paraId="270BC65D">
      <w:pPr>
        <w:kinsoku w:val="0"/>
        <w:overflowPunct w:val="0"/>
        <w:autoSpaceDE w:val="0"/>
        <w:autoSpaceDN w:val="0"/>
        <w:spacing w:before="66" w:line="240" w:lineRule="auto"/>
        <w:ind w:right="29" w:firstLine="480"/>
        <w:jc w:val="left"/>
        <w:rPr>
          <w:rFonts w:hint="eastAsia" w:ascii="宋体" w:hAnsi="宋体"/>
          <w:color w:val="auto"/>
          <w:kern w:val="0"/>
          <w:sz w:val="24"/>
          <w:szCs w:val="22"/>
        </w:rPr>
      </w:pPr>
      <w:r>
        <w:rPr>
          <w:rFonts w:hint="eastAsia" w:ascii="宋体" w:hAnsi="宋体"/>
          <w:color w:val="auto"/>
          <w:kern w:val="0"/>
          <w:sz w:val="24"/>
          <w:szCs w:val="22"/>
        </w:rPr>
        <w:t>1.1.2  合同当事人和人员</w:t>
      </w:r>
    </w:p>
    <w:p w14:paraId="39853DF8">
      <w:pPr>
        <w:kinsoku w:val="0"/>
        <w:overflowPunct w:val="0"/>
        <w:autoSpaceDE w:val="0"/>
        <w:autoSpaceDN w:val="0"/>
        <w:spacing w:before="66" w:line="240" w:lineRule="auto"/>
        <w:ind w:right="29" w:firstLine="480"/>
        <w:jc w:val="left"/>
        <w:rPr>
          <w:rFonts w:hint="eastAsia" w:ascii="宋体" w:hAnsi="宋体"/>
          <w:color w:val="auto"/>
          <w:kern w:val="0"/>
          <w:sz w:val="24"/>
          <w:szCs w:val="22"/>
        </w:rPr>
      </w:pPr>
      <w:r>
        <w:rPr>
          <w:rFonts w:hint="eastAsia" w:ascii="宋体" w:hAnsi="宋体"/>
          <w:color w:val="auto"/>
          <w:kern w:val="0"/>
          <w:sz w:val="24"/>
          <w:szCs w:val="22"/>
        </w:rPr>
        <w:t>本项补充第</w:t>
      </w:r>
      <w:r>
        <w:rPr>
          <w:rFonts w:hint="eastAsia" w:ascii="宋体" w:hAnsi="宋体"/>
          <w:color w:val="auto"/>
          <w:spacing w:val="-60"/>
          <w:kern w:val="0"/>
          <w:sz w:val="24"/>
          <w:szCs w:val="22"/>
        </w:rPr>
        <w:t xml:space="preserve"> </w:t>
      </w:r>
      <w:r>
        <w:rPr>
          <w:rFonts w:hint="eastAsia" w:ascii="宋体" w:hAnsi="宋体"/>
          <w:color w:val="auto"/>
          <w:kern w:val="0"/>
          <w:sz w:val="24"/>
          <w:szCs w:val="22"/>
        </w:rPr>
        <w:t>1.1.2.8 目：</w:t>
      </w:r>
    </w:p>
    <w:p w14:paraId="7358EA16">
      <w:pPr>
        <w:kinsoku w:val="0"/>
        <w:overflowPunct w:val="0"/>
        <w:autoSpaceDE w:val="0"/>
        <w:autoSpaceDN w:val="0"/>
        <w:spacing w:before="68" w:line="240" w:lineRule="auto"/>
        <w:ind w:right="29" w:firstLine="480"/>
        <w:jc w:val="left"/>
        <w:rPr>
          <w:rFonts w:hint="eastAsia" w:ascii="宋体" w:hAnsi="宋体"/>
          <w:color w:val="auto"/>
          <w:kern w:val="0"/>
          <w:sz w:val="24"/>
          <w:szCs w:val="22"/>
        </w:rPr>
      </w:pPr>
      <w:r>
        <w:rPr>
          <w:rFonts w:hint="eastAsia" w:ascii="宋体" w:hAnsi="宋体"/>
          <w:color w:val="auto"/>
          <w:kern w:val="0"/>
          <w:sz w:val="24"/>
          <w:szCs w:val="22"/>
        </w:rPr>
        <w:t>1.1.2.8</w:t>
      </w:r>
      <w:r>
        <w:rPr>
          <w:rFonts w:hint="eastAsia" w:ascii="宋体" w:hAnsi="宋体"/>
          <w:color w:val="auto"/>
          <w:spacing w:val="37"/>
          <w:kern w:val="0"/>
          <w:sz w:val="24"/>
          <w:szCs w:val="22"/>
        </w:rPr>
        <w:t xml:space="preserve"> </w:t>
      </w:r>
      <w:r>
        <w:rPr>
          <w:rFonts w:hint="eastAsia" w:ascii="宋体" w:hAnsi="宋体"/>
          <w:color w:val="auto"/>
          <w:kern w:val="0"/>
          <w:sz w:val="24"/>
          <w:szCs w:val="22"/>
        </w:rPr>
        <w:t>承包人项目总工：指由承包人书面委派常驻现场负责管理本合同工程 的总工程师或技术总负责人。</w:t>
      </w:r>
    </w:p>
    <w:p w14:paraId="137A0BB3">
      <w:pPr>
        <w:kinsoku w:val="0"/>
        <w:overflowPunct w:val="0"/>
        <w:autoSpaceDE w:val="0"/>
        <w:autoSpaceDN w:val="0"/>
        <w:spacing w:before="34" w:line="240" w:lineRule="auto"/>
        <w:ind w:right="29" w:firstLine="480"/>
        <w:jc w:val="left"/>
        <w:rPr>
          <w:rFonts w:hint="eastAsia" w:ascii="宋体" w:hAnsi="宋体"/>
          <w:color w:val="auto"/>
          <w:kern w:val="0"/>
          <w:sz w:val="24"/>
          <w:szCs w:val="22"/>
        </w:rPr>
      </w:pPr>
      <w:r>
        <w:rPr>
          <w:rFonts w:hint="eastAsia" w:ascii="宋体" w:hAnsi="宋体"/>
          <w:color w:val="auto"/>
          <w:kern w:val="0"/>
          <w:sz w:val="24"/>
          <w:szCs w:val="22"/>
        </w:rPr>
        <w:t>1.1.3  工程和设备</w:t>
      </w:r>
    </w:p>
    <w:p w14:paraId="26E1D601">
      <w:pPr>
        <w:kinsoku w:val="0"/>
        <w:overflowPunct w:val="0"/>
        <w:autoSpaceDE w:val="0"/>
        <w:autoSpaceDN w:val="0"/>
        <w:spacing w:before="34" w:line="240" w:lineRule="auto"/>
        <w:ind w:right="29" w:firstLine="480"/>
        <w:jc w:val="left"/>
        <w:rPr>
          <w:rFonts w:hint="eastAsia" w:ascii="宋体" w:hAnsi="宋体"/>
          <w:color w:val="auto"/>
          <w:kern w:val="0"/>
          <w:sz w:val="24"/>
          <w:szCs w:val="22"/>
        </w:rPr>
      </w:pPr>
      <w:r>
        <w:rPr>
          <w:rFonts w:hint="eastAsia" w:ascii="宋体" w:hAnsi="宋体"/>
          <w:color w:val="auto"/>
          <w:kern w:val="0"/>
          <w:sz w:val="24"/>
          <w:szCs w:val="22"/>
        </w:rPr>
        <w:t>第</w:t>
      </w:r>
      <w:r>
        <w:rPr>
          <w:rFonts w:hint="eastAsia" w:ascii="宋体" w:hAnsi="宋体"/>
          <w:color w:val="auto"/>
          <w:spacing w:val="-60"/>
          <w:kern w:val="0"/>
          <w:sz w:val="24"/>
          <w:szCs w:val="22"/>
        </w:rPr>
        <w:t xml:space="preserve"> </w:t>
      </w:r>
      <w:r>
        <w:rPr>
          <w:rFonts w:hint="eastAsia" w:ascii="宋体" w:hAnsi="宋体"/>
          <w:color w:val="auto"/>
          <w:kern w:val="0"/>
          <w:sz w:val="24"/>
          <w:szCs w:val="22"/>
        </w:rPr>
        <w:t>1.1.3.4 目细化为： 单位工程：指在建设项目中，根据签订的合同，具有独立施工条件的工程。</w:t>
      </w:r>
    </w:p>
    <w:p w14:paraId="0CDE2733">
      <w:pPr>
        <w:kinsoku w:val="0"/>
        <w:overflowPunct w:val="0"/>
        <w:autoSpaceDE w:val="0"/>
        <w:autoSpaceDN w:val="0"/>
        <w:spacing w:before="34" w:line="240" w:lineRule="auto"/>
        <w:ind w:right="29" w:firstLine="480"/>
        <w:jc w:val="left"/>
        <w:rPr>
          <w:rFonts w:hint="eastAsia" w:ascii="宋体" w:hAnsi="宋体"/>
          <w:color w:val="auto"/>
          <w:kern w:val="0"/>
          <w:sz w:val="24"/>
          <w:szCs w:val="22"/>
        </w:rPr>
      </w:pPr>
      <w:r>
        <w:rPr>
          <w:rFonts w:hint="eastAsia" w:ascii="宋体" w:hAnsi="宋体"/>
          <w:color w:val="auto"/>
          <w:kern w:val="0"/>
          <w:sz w:val="24"/>
          <w:szCs w:val="22"/>
        </w:rPr>
        <w:t xml:space="preserve"> 第</w:t>
      </w:r>
      <w:r>
        <w:rPr>
          <w:rFonts w:hint="eastAsia" w:ascii="宋体" w:hAnsi="宋体"/>
          <w:color w:val="auto"/>
          <w:spacing w:val="-60"/>
          <w:kern w:val="0"/>
          <w:sz w:val="24"/>
          <w:szCs w:val="22"/>
        </w:rPr>
        <w:t xml:space="preserve"> </w:t>
      </w:r>
      <w:r>
        <w:rPr>
          <w:rFonts w:hint="eastAsia" w:ascii="宋体" w:hAnsi="宋体"/>
          <w:color w:val="auto"/>
          <w:kern w:val="0"/>
          <w:sz w:val="24"/>
          <w:szCs w:val="22"/>
        </w:rPr>
        <w:t>1.1.3.10 目细化为： 永久占地：指为实施本合同工程而需要的一切永久占用的土地，包括公路两侧路权范围内的用地。</w:t>
      </w:r>
    </w:p>
    <w:p w14:paraId="62322175">
      <w:pPr>
        <w:kinsoku w:val="0"/>
        <w:overflowPunct w:val="0"/>
        <w:autoSpaceDE w:val="0"/>
        <w:autoSpaceDN w:val="0"/>
        <w:spacing w:before="31" w:line="240" w:lineRule="auto"/>
        <w:ind w:left="144" w:right="29" w:firstLine="480"/>
        <w:jc w:val="left"/>
        <w:rPr>
          <w:rFonts w:hint="eastAsia" w:ascii="宋体" w:hAnsi="宋体"/>
          <w:color w:val="auto"/>
          <w:kern w:val="0"/>
          <w:sz w:val="24"/>
          <w:szCs w:val="22"/>
        </w:rPr>
      </w:pPr>
      <w:r>
        <w:rPr>
          <w:rFonts w:hint="eastAsia" w:ascii="宋体" w:hAnsi="宋体"/>
          <w:color w:val="auto"/>
          <w:kern w:val="0"/>
          <w:sz w:val="24"/>
          <w:szCs w:val="22"/>
        </w:rPr>
        <w:t>第</w:t>
      </w:r>
      <w:r>
        <w:rPr>
          <w:rFonts w:hint="eastAsia" w:ascii="宋体" w:hAnsi="宋体"/>
          <w:color w:val="auto"/>
          <w:spacing w:val="-61"/>
          <w:kern w:val="0"/>
          <w:sz w:val="24"/>
          <w:szCs w:val="22"/>
        </w:rPr>
        <w:t xml:space="preserve"> </w:t>
      </w:r>
      <w:r>
        <w:rPr>
          <w:rFonts w:hint="eastAsia" w:ascii="宋体" w:hAnsi="宋体"/>
          <w:color w:val="auto"/>
          <w:kern w:val="0"/>
          <w:sz w:val="24"/>
          <w:szCs w:val="22"/>
        </w:rPr>
        <w:t>1.1.3.11</w:t>
      </w:r>
      <w:r>
        <w:rPr>
          <w:rFonts w:hint="eastAsia" w:ascii="宋体" w:hAnsi="宋体"/>
          <w:color w:val="auto"/>
          <w:spacing w:val="-1"/>
          <w:kern w:val="0"/>
          <w:sz w:val="24"/>
          <w:szCs w:val="22"/>
        </w:rPr>
        <w:t xml:space="preserve"> </w:t>
      </w:r>
      <w:r>
        <w:rPr>
          <w:rFonts w:hint="eastAsia" w:ascii="宋体" w:hAnsi="宋体"/>
          <w:color w:val="auto"/>
          <w:kern w:val="0"/>
          <w:sz w:val="24"/>
          <w:szCs w:val="22"/>
        </w:rPr>
        <w:t>目细化为： 临时占地：指为实施本合同工程而需要的一切临时占用的土地，包括施工所</w:t>
      </w:r>
    </w:p>
    <w:p w14:paraId="76E8ADB1">
      <w:pPr>
        <w:kinsoku w:val="0"/>
        <w:overflowPunct w:val="0"/>
        <w:autoSpaceDE w:val="0"/>
        <w:autoSpaceDN w:val="0"/>
        <w:spacing w:before="36" w:line="240" w:lineRule="auto"/>
        <w:ind w:left="144" w:right="29"/>
        <w:jc w:val="left"/>
        <w:rPr>
          <w:rFonts w:hint="eastAsia" w:ascii="宋体" w:hAnsi="宋体"/>
          <w:color w:val="auto"/>
          <w:spacing w:val="-6"/>
          <w:kern w:val="0"/>
          <w:sz w:val="24"/>
          <w:szCs w:val="22"/>
        </w:rPr>
      </w:pPr>
      <w:r>
        <w:rPr>
          <w:rFonts w:hint="eastAsia" w:ascii="宋体" w:hAnsi="宋体"/>
          <w:color w:val="auto"/>
          <w:spacing w:val="-6"/>
          <w:kern w:val="0"/>
          <w:sz w:val="24"/>
          <w:szCs w:val="22"/>
        </w:rPr>
        <w:t>用的临时支线、便道、便桥和现场的临时出入通道，以及生产（办公）、生活等临时</w:t>
      </w:r>
      <w:r>
        <w:rPr>
          <w:rFonts w:hint="eastAsia" w:ascii="宋体" w:hAnsi="宋体"/>
          <w:color w:val="auto"/>
          <w:spacing w:val="-102"/>
          <w:kern w:val="0"/>
          <w:sz w:val="24"/>
          <w:szCs w:val="22"/>
        </w:rPr>
        <w:t xml:space="preserve"> </w:t>
      </w:r>
      <w:r>
        <w:rPr>
          <w:rFonts w:hint="eastAsia" w:ascii="宋体" w:hAnsi="宋体"/>
          <w:color w:val="auto"/>
          <w:kern w:val="0"/>
          <w:sz w:val="24"/>
          <w:szCs w:val="22"/>
        </w:rPr>
        <w:t>设施用地等。</w:t>
      </w:r>
    </w:p>
    <w:p w14:paraId="7B4398AE">
      <w:pPr>
        <w:kinsoku w:val="0"/>
        <w:overflowPunct w:val="0"/>
        <w:autoSpaceDE w:val="0"/>
        <w:autoSpaceDN w:val="0"/>
        <w:spacing w:before="36" w:line="240" w:lineRule="auto"/>
        <w:ind w:left="144" w:right="29" w:firstLine="480"/>
        <w:jc w:val="left"/>
        <w:rPr>
          <w:rFonts w:hint="eastAsia" w:ascii="宋体" w:hAnsi="宋体"/>
          <w:color w:val="auto"/>
          <w:kern w:val="0"/>
          <w:sz w:val="24"/>
          <w:szCs w:val="22"/>
        </w:rPr>
      </w:pPr>
      <w:r>
        <w:rPr>
          <w:rFonts w:hint="eastAsia" w:ascii="宋体" w:hAnsi="宋体"/>
          <w:color w:val="auto"/>
          <w:kern w:val="0"/>
          <w:sz w:val="24"/>
          <w:szCs w:val="22"/>
        </w:rPr>
        <w:t>本项补充第</w:t>
      </w:r>
      <w:r>
        <w:rPr>
          <w:rFonts w:hint="eastAsia" w:ascii="宋体" w:hAnsi="宋体"/>
          <w:color w:val="auto"/>
          <w:spacing w:val="-60"/>
          <w:kern w:val="0"/>
          <w:sz w:val="24"/>
          <w:szCs w:val="22"/>
        </w:rPr>
        <w:t xml:space="preserve"> </w:t>
      </w:r>
      <w:r>
        <w:rPr>
          <w:rFonts w:hint="eastAsia" w:ascii="宋体" w:hAnsi="宋体"/>
          <w:color w:val="auto"/>
          <w:kern w:val="0"/>
          <w:sz w:val="24"/>
          <w:szCs w:val="22"/>
        </w:rPr>
        <w:t>1.1.3.12 目、第</w:t>
      </w:r>
      <w:r>
        <w:rPr>
          <w:rFonts w:hint="eastAsia" w:ascii="宋体" w:hAnsi="宋体"/>
          <w:color w:val="auto"/>
          <w:spacing w:val="-60"/>
          <w:kern w:val="0"/>
          <w:sz w:val="24"/>
          <w:szCs w:val="22"/>
        </w:rPr>
        <w:t xml:space="preserve"> </w:t>
      </w:r>
      <w:r>
        <w:rPr>
          <w:rFonts w:hint="eastAsia" w:ascii="宋体" w:hAnsi="宋体"/>
          <w:color w:val="auto"/>
          <w:kern w:val="0"/>
          <w:sz w:val="24"/>
          <w:szCs w:val="22"/>
        </w:rPr>
        <w:t>1.1.3.13 目：</w:t>
      </w:r>
    </w:p>
    <w:p w14:paraId="6D8EBAB7">
      <w:pPr>
        <w:kinsoku w:val="0"/>
        <w:overflowPunct w:val="0"/>
        <w:autoSpaceDE w:val="0"/>
        <w:autoSpaceDN w:val="0"/>
        <w:spacing w:before="36" w:line="240" w:lineRule="auto"/>
        <w:ind w:left="144" w:right="29" w:firstLine="480"/>
        <w:jc w:val="left"/>
        <w:rPr>
          <w:rFonts w:hint="eastAsia" w:ascii="宋体" w:hAnsi="宋体"/>
          <w:color w:val="auto"/>
          <w:kern w:val="0"/>
          <w:sz w:val="24"/>
          <w:szCs w:val="22"/>
        </w:rPr>
      </w:pPr>
      <w:r>
        <w:rPr>
          <w:rFonts w:hint="eastAsia" w:ascii="宋体" w:hAnsi="宋体"/>
          <w:color w:val="auto"/>
          <w:kern w:val="0"/>
          <w:sz w:val="24"/>
          <w:szCs w:val="22"/>
        </w:rPr>
        <w:t xml:space="preserve">1.1.3.12 </w:t>
      </w:r>
      <w:r>
        <w:rPr>
          <w:rFonts w:hint="eastAsia" w:ascii="宋体" w:hAnsi="宋体"/>
          <w:color w:val="auto"/>
          <w:spacing w:val="21"/>
          <w:kern w:val="0"/>
          <w:sz w:val="24"/>
          <w:szCs w:val="22"/>
        </w:rPr>
        <w:t xml:space="preserve"> </w:t>
      </w:r>
      <w:r>
        <w:rPr>
          <w:rFonts w:hint="eastAsia" w:ascii="宋体" w:hAnsi="宋体"/>
          <w:color w:val="auto"/>
          <w:spacing w:val="2"/>
          <w:kern w:val="0"/>
          <w:sz w:val="24"/>
          <w:szCs w:val="22"/>
        </w:rPr>
        <w:t>分部工程：指在单位工程中，按结构部位、路段长度及施工特点或</w:t>
      </w:r>
    </w:p>
    <w:p w14:paraId="1A1AF11A">
      <w:pPr>
        <w:kinsoku w:val="0"/>
        <w:overflowPunct w:val="0"/>
        <w:autoSpaceDE w:val="0"/>
        <w:autoSpaceDN w:val="0"/>
        <w:spacing w:before="26" w:line="240" w:lineRule="auto"/>
        <w:ind w:left="144"/>
        <w:jc w:val="left"/>
        <w:rPr>
          <w:rFonts w:hint="eastAsia" w:ascii="宋体" w:hAnsi="宋体"/>
          <w:color w:val="auto"/>
          <w:kern w:val="0"/>
          <w:sz w:val="24"/>
          <w:szCs w:val="22"/>
        </w:rPr>
      </w:pPr>
      <w:r>
        <w:rPr>
          <w:rFonts w:hint="eastAsia" w:ascii="宋体" w:hAnsi="宋体"/>
          <w:color w:val="auto"/>
          <w:kern w:val="0"/>
          <w:sz w:val="24"/>
          <w:szCs w:val="22"/>
        </w:rPr>
        <w:t>施工任务划分的若干个工程。</w:t>
      </w:r>
    </w:p>
    <w:p w14:paraId="1CFE0098">
      <w:pPr>
        <w:kinsoku w:val="0"/>
        <w:overflowPunct w:val="0"/>
        <w:autoSpaceDE w:val="0"/>
        <w:autoSpaceDN w:val="0"/>
        <w:spacing w:before="84"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1.1.3.13</w:t>
      </w:r>
      <w:r>
        <w:rPr>
          <w:rFonts w:hint="eastAsia" w:ascii="宋体" w:hAnsi="宋体"/>
          <w:color w:val="auto"/>
          <w:spacing w:val="19"/>
          <w:kern w:val="0"/>
          <w:sz w:val="24"/>
          <w:szCs w:val="22"/>
        </w:rPr>
        <w:t xml:space="preserve"> </w:t>
      </w:r>
      <w:r>
        <w:rPr>
          <w:rFonts w:hint="eastAsia" w:ascii="宋体" w:hAnsi="宋体"/>
          <w:color w:val="auto"/>
          <w:spacing w:val="2"/>
          <w:kern w:val="0"/>
          <w:sz w:val="24"/>
          <w:szCs w:val="22"/>
        </w:rPr>
        <w:t>分项工程：指在分部工程中，按不同的施工方法、材料、工序及路</w:t>
      </w:r>
      <w:r>
        <w:rPr>
          <w:rFonts w:hint="eastAsia" w:ascii="宋体" w:hAnsi="宋体"/>
          <w:color w:val="auto"/>
          <w:kern w:val="0"/>
          <w:sz w:val="24"/>
          <w:szCs w:val="22"/>
        </w:rPr>
        <w:t xml:space="preserve"> 段长度等划分的若干个工程。</w:t>
      </w:r>
    </w:p>
    <w:p w14:paraId="6D906C77">
      <w:pPr>
        <w:kinsoku w:val="0"/>
        <w:overflowPunct w:val="0"/>
        <w:autoSpaceDE w:val="0"/>
        <w:autoSpaceDN w:val="0"/>
        <w:spacing w:before="36"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1.1.6  其他</w:t>
      </w:r>
    </w:p>
    <w:p w14:paraId="35366D55">
      <w:pPr>
        <w:kinsoku w:val="0"/>
        <w:overflowPunct w:val="0"/>
        <w:autoSpaceDE w:val="0"/>
        <w:autoSpaceDN w:val="0"/>
        <w:spacing w:before="36"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本项补充第</w:t>
      </w:r>
      <w:r>
        <w:rPr>
          <w:rFonts w:hint="eastAsia" w:ascii="宋体" w:hAnsi="宋体"/>
          <w:color w:val="auto"/>
          <w:spacing w:val="-60"/>
          <w:kern w:val="0"/>
          <w:sz w:val="24"/>
          <w:szCs w:val="22"/>
        </w:rPr>
        <w:t xml:space="preserve"> </w:t>
      </w:r>
      <w:r>
        <w:rPr>
          <w:rFonts w:hint="eastAsia" w:ascii="宋体" w:hAnsi="宋体"/>
          <w:color w:val="auto"/>
          <w:kern w:val="0"/>
          <w:sz w:val="24"/>
          <w:szCs w:val="22"/>
        </w:rPr>
        <w:t>1.1.6.2 目～第</w:t>
      </w:r>
      <w:r>
        <w:rPr>
          <w:rFonts w:hint="eastAsia" w:ascii="宋体" w:hAnsi="宋体"/>
          <w:color w:val="auto"/>
          <w:spacing w:val="-60"/>
          <w:kern w:val="0"/>
          <w:sz w:val="24"/>
          <w:szCs w:val="22"/>
        </w:rPr>
        <w:t xml:space="preserve"> </w:t>
      </w:r>
      <w:r>
        <w:rPr>
          <w:rFonts w:hint="eastAsia" w:ascii="宋体" w:hAnsi="宋体"/>
          <w:color w:val="auto"/>
          <w:kern w:val="0"/>
          <w:sz w:val="24"/>
          <w:szCs w:val="22"/>
        </w:rPr>
        <w:t>1.1.6.9 目：</w:t>
      </w:r>
    </w:p>
    <w:p w14:paraId="4B414F78">
      <w:pPr>
        <w:kinsoku w:val="0"/>
        <w:overflowPunct w:val="0"/>
        <w:autoSpaceDE w:val="0"/>
        <w:autoSpaceDN w:val="0"/>
        <w:spacing w:before="36"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1.1.6.2</w:t>
      </w:r>
      <w:r>
        <w:rPr>
          <w:rFonts w:hint="eastAsia" w:ascii="宋体" w:hAnsi="宋体"/>
          <w:color w:val="auto"/>
          <w:spacing w:val="36"/>
          <w:kern w:val="0"/>
          <w:sz w:val="24"/>
          <w:szCs w:val="22"/>
        </w:rPr>
        <w:t xml:space="preserve"> </w:t>
      </w:r>
      <w:r>
        <w:rPr>
          <w:rFonts w:hint="eastAsia" w:ascii="宋体" w:hAnsi="宋体"/>
          <w:color w:val="auto"/>
          <w:kern w:val="0"/>
          <w:sz w:val="24"/>
          <w:szCs w:val="22"/>
        </w:rPr>
        <w:t>竣工验收：指《公路工程竣（交）工验收办法》中的竣工验收。通用 合同条款中“国家验收”一词具有相同含义。</w:t>
      </w:r>
    </w:p>
    <w:p w14:paraId="2ACF1220">
      <w:pPr>
        <w:kinsoku w:val="0"/>
        <w:overflowPunct w:val="0"/>
        <w:autoSpaceDE w:val="0"/>
        <w:autoSpaceDN w:val="0"/>
        <w:spacing w:before="36"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1.1.6.3</w:t>
      </w:r>
      <w:r>
        <w:rPr>
          <w:rFonts w:hint="eastAsia" w:ascii="宋体" w:hAnsi="宋体"/>
          <w:color w:val="auto"/>
          <w:spacing w:val="36"/>
          <w:kern w:val="0"/>
          <w:sz w:val="24"/>
          <w:szCs w:val="22"/>
        </w:rPr>
        <w:t xml:space="preserve"> </w:t>
      </w:r>
      <w:r>
        <w:rPr>
          <w:rFonts w:hint="eastAsia" w:ascii="宋体" w:hAnsi="宋体"/>
          <w:color w:val="auto"/>
          <w:kern w:val="0"/>
          <w:sz w:val="24"/>
          <w:szCs w:val="22"/>
        </w:rPr>
        <w:t>交工：指《公路工程竣（交）工验收办法》中的交工。通用合同条款 中“竣工”一词具有相同含义。</w:t>
      </w:r>
    </w:p>
    <w:p w14:paraId="0410E9E0">
      <w:pPr>
        <w:kinsoku w:val="0"/>
        <w:overflowPunct w:val="0"/>
        <w:autoSpaceDE w:val="0"/>
        <w:autoSpaceDN w:val="0"/>
        <w:spacing w:before="36"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1.1.6.4</w:t>
      </w:r>
      <w:r>
        <w:rPr>
          <w:rFonts w:hint="eastAsia" w:ascii="宋体" w:hAnsi="宋体"/>
          <w:color w:val="auto"/>
          <w:spacing w:val="36"/>
          <w:kern w:val="0"/>
          <w:sz w:val="24"/>
          <w:szCs w:val="22"/>
        </w:rPr>
        <w:t xml:space="preserve"> </w:t>
      </w:r>
      <w:r>
        <w:rPr>
          <w:rFonts w:hint="eastAsia" w:ascii="宋体" w:hAnsi="宋体"/>
          <w:color w:val="auto"/>
          <w:kern w:val="0"/>
          <w:sz w:val="24"/>
          <w:szCs w:val="22"/>
        </w:rPr>
        <w:t>交工验收：指《公路工程竣（交）工验收办法》中的交工验收。通用 合同条款中“竣工验收”一词具有相同含义。</w:t>
      </w:r>
    </w:p>
    <w:p w14:paraId="4FCCBAC8">
      <w:pPr>
        <w:kinsoku w:val="0"/>
        <w:overflowPunct w:val="0"/>
        <w:autoSpaceDE w:val="0"/>
        <w:autoSpaceDN w:val="0"/>
        <w:spacing w:before="36"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1.1.6.5</w:t>
      </w:r>
      <w:r>
        <w:rPr>
          <w:rFonts w:hint="eastAsia" w:ascii="宋体" w:hAnsi="宋体"/>
          <w:color w:val="auto"/>
          <w:spacing w:val="36"/>
          <w:kern w:val="0"/>
          <w:sz w:val="24"/>
          <w:szCs w:val="22"/>
        </w:rPr>
        <w:t xml:space="preserve"> </w:t>
      </w:r>
      <w:r>
        <w:rPr>
          <w:rFonts w:hint="eastAsia" w:ascii="宋体" w:hAnsi="宋体"/>
          <w:color w:val="auto"/>
          <w:kern w:val="0"/>
          <w:sz w:val="24"/>
          <w:szCs w:val="22"/>
        </w:rPr>
        <w:t>交工验收证书：指《公路工程竣（交）工验收办法》中的交工验收证 书。通用合同条款中“工程接收证书”一词具有相同含义。</w:t>
      </w:r>
    </w:p>
    <w:p w14:paraId="52458FC4">
      <w:pPr>
        <w:kinsoku w:val="0"/>
        <w:overflowPunct w:val="0"/>
        <w:autoSpaceDE w:val="0"/>
        <w:autoSpaceDN w:val="0"/>
        <w:spacing w:before="36"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1.1.6.6</w:t>
      </w:r>
      <w:r>
        <w:rPr>
          <w:rFonts w:hint="eastAsia" w:ascii="宋体" w:hAnsi="宋体"/>
          <w:color w:val="auto"/>
          <w:spacing w:val="36"/>
          <w:kern w:val="0"/>
          <w:sz w:val="24"/>
          <w:szCs w:val="22"/>
        </w:rPr>
        <w:t xml:space="preserve"> </w:t>
      </w:r>
      <w:r>
        <w:rPr>
          <w:rFonts w:hint="eastAsia" w:ascii="宋体" w:hAnsi="宋体"/>
          <w:color w:val="auto"/>
          <w:kern w:val="0"/>
          <w:sz w:val="24"/>
          <w:szCs w:val="22"/>
        </w:rPr>
        <w:t>转包：指承包人违反法律和不履行合同规定的责任和义务，将中标工 程全部委托或以专业分包的名义将中标工程肢解后全部委托给其他施工企业施工的</w:t>
      </w:r>
      <w:r>
        <w:rPr>
          <w:rFonts w:hint="eastAsia" w:ascii="宋体" w:hAnsi="宋体"/>
          <w:color w:val="auto"/>
          <w:spacing w:val="-92"/>
          <w:kern w:val="0"/>
          <w:sz w:val="24"/>
          <w:szCs w:val="22"/>
        </w:rPr>
        <w:t xml:space="preserve"> </w:t>
      </w:r>
      <w:r>
        <w:rPr>
          <w:rFonts w:hint="eastAsia" w:ascii="宋体" w:hAnsi="宋体"/>
          <w:color w:val="auto"/>
          <w:kern w:val="0"/>
          <w:sz w:val="24"/>
          <w:szCs w:val="22"/>
        </w:rPr>
        <w:t>行为。</w:t>
      </w:r>
    </w:p>
    <w:p w14:paraId="37C07094">
      <w:pPr>
        <w:kinsoku w:val="0"/>
        <w:overflowPunct w:val="0"/>
        <w:autoSpaceDE w:val="0"/>
        <w:autoSpaceDN w:val="0"/>
        <w:spacing w:before="36"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1.1.6.7</w:t>
      </w:r>
      <w:r>
        <w:rPr>
          <w:rFonts w:hint="eastAsia" w:ascii="宋体" w:hAnsi="宋体"/>
          <w:color w:val="auto"/>
          <w:spacing w:val="36"/>
          <w:kern w:val="0"/>
          <w:sz w:val="24"/>
          <w:szCs w:val="22"/>
        </w:rPr>
        <w:t xml:space="preserve"> </w:t>
      </w:r>
      <w:r>
        <w:rPr>
          <w:rFonts w:hint="eastAsia" w:ascii="宋体" w:hAnsi="宋体"/>
          <w:color w:val="auto"/>
          <w:kern w:val="0"/>
          <w:sz w:val="24"/>
          <w:szCs w:val="22"/>
        </w:rPr>
        <w:t xml:space="preserve">专业分包：指承包人与具有相应资格的施工企业签订专业分包合同， </w:t>
      </w:r>
      <w:r>
        <w:rPr>
          <w:rFonts w:hint="eastAsia" w:ascii="宋体" w:hAnsi="宋体"/>
          <w:color w:val="auto"/>
          <w:spacing w:val="-3"/>
          <w:kern w:val="0"/>
          <w:sz w:val="24"/>
          <w:szCs w:val="22"/>
        </w:rPr>
        <w:t>由分包人承担承包人委托的分部工程、分项工程或适合专业化队伍施工的其他工程，</w:t>
      </w:r>
      <w:r>
        <w:rPr>
          <w:rFonts w:hint="eastAsia" w:ascii="宋体" w:hAnsi="宋体"/>
          <w:color w:val="auto"/>
          <w:spacing w:val="-92"/>
          <w:kern w:val="0"/>
          <w:sz w:val="24"/>
          <w:szCs w:val="22"/>
        </w:rPr>
        <w:t xml:space="preserve"> </w:t>
      </w:r>
      <w:r>
        <w:rPr>
          <w:rFonts w:hint="eastAsia" w:ascii="宋体" w:hAnsi="宋体"/>
          <w:color w:val="auto"/>
          <w:kern w:val="0"/>
          <w:sz w:val="24"/>
          <w:szCs w:val="22"/>
        </w:rPr>
        <w:t>整体结算，并能独立控制工程质量、施工进度、材料采购、生产安全的施工行为。</w:t>
      </w:r>
    </w:p>
    <w:p w14:paraId="4CE26E49">
      <w:pPr>
        <w:kinsoku w:val="0"/>
        <w:overflowPunct w:val="0"/>
        <w:autoSpaceDE w:val="0"/>
        <w:autoSpaceDN w:val="0"/>
        <w:spacing w:before="36"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1.1.6.8</w:t>
      </w:r>
      <w:r>
        <w:rPr>
          <w:rFonts w:hint="eastAsia" w:ascii="宋体" w:hAnsi="宋体"/>
          <w:color w:val="auto"/>
          <w:spacing w:val="36"/>
          <w:kern w:val="0"/>
          <w:sz w:val="24"/>
          <w:szCs w:val="22"/>
        </w:rPr>
        <w:t xml:space="preserve"> </w:t>
      </w:r>
      <w:r>
        <w:rPr>
          <w:rFonts w:hint="eastAsia" w:ascii="宋体" w:hAnsi="宋体"/>
          <w:color w:val="auto"/>
          <w:kern w:val="0"/>
          <w:sz w:val="24"/>
          <w:szCs w:val="22"/>
        </w:rPr>
        <w:t xml:space="preserve">劳务分包：指承包人与具有施工劳务资质的劳务企业签订劳务分包合 </w:t>
      </w:r>
      <w:r>
        <w:rPr>
          <w:rFonts w:hint="eastAsia" w:ascii="宋体" w:hAnsi="宋体"/>
          <w:color w:val="auto"/>
          <w:spacing w:val="-3"/>
          <w:kern w:val="0"/>
          <w:sz w:val="24"/>
          <w:szCs w:val="22"/>
        </w:rPr>
        <w:t>同，由劳务企业提供劳务人员及机具，由承包人统一组织施工、统一控制工程质量、</w:t>
      </w:r>
      <w:r>
        <w:rPr>
          <w:rFonts w:hint="eastAsia" w:ascii="宋体" w:hAnsi="宋体"/>
          <w:color w:val="auto"/>
          <w:spacing w:val="-96"/>
          <w:kern w:val="0"/>
          <w:sz w:val="24"/>
          <w:szCs w:val="22"/>
        </w:rPr>
        <w:t xml:space="preserve"> </w:t>
      </w:r>
      <w:r>
        <w:rPr>
          <w:rFonts w:hint="eastAsia" w:ascii="宋体" w:hAnsi="宋体"/>
          <w:color w:val="auto"/>
          <w:kern w:val="0"/>
          <w:sz w:val="24"/>
          <w:szCs w:val="22"/>
        </w:rPr>
        <w:t>施工进度、材料采购、生产安全的施工行为。</w:t>
      </w:r>
    </w:p>
    <w:p w14:paraId="5722A367">
      <w:pPr>
        <w:kinsoku w:val="0"/>
        <w:overflowPunct w:val="0"/>
        <w:autoSpaceDE w:val="0"/>
        <w:autoSpaceDN w:val="0"/>
        <w:spacing w:before="36"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1.1.6.9</w:t>
      </w:r>
      <w:r>
        <w:rPr>
          <w:rFonts w:hint="eastAsia" w:ascii="宋体" w:hAnsi="宋体"/>
          <w:color w:val="auto"/>
          <w:spacing w:val="36"/>
          <w:kern w:val="0"/>
          <w:sz w:val="24"/>
          <w:szCs w:val="22"/>
        </w:rPr>
        <w:t xml:space="preserve"> </w:t>
      </w:r>
      <w:r>
        <w:rPr>
          <w:rFonts w:hint="eastAsia" w:ascii="宋体" w:hAnsi="宋体"/>
          <w:color w:val="auto"/>
          <w:kern w:val="0"/>
          <w:sz w:val="24"/>
          <w:szCs w:val="22"/>
        </w:rPr>
        <w:t>雇用民工：指承包人与具有相应劳动能力的自然人签订劳动合同，由 承包人统一组织管理，从事分项工程施工或配套工程施工的行为。</w:t>
      </w:r>
    </w:p>
    <w:p w14:paraId="63AFFFD1">
      <w:pPr>
        <w:kinsoku w:val="0"/>
        <w:overflowPunct w:val="0"/>
        <w:autoSpaceDE w:val="0"/>
        <w:autoSpaceDN w:val="0"/>
        <w:spacing w:line="240" w:lineRule="auto"/>
        <w:ind w:left="144"/>
        <w:jc w:val="left"/>
        <w:rPr>
          <w:rFonts w:hint="eastAsia" w:ascii="宋体" w:hAnsi="宋体"/>
          <w:color w:val="auto"/>
          <w:kern w:val="0"/>
          <w:sz w:val="24"/>
          <w:szCs w:val="22"/>
        </w:rPr>
      </w:pPr>
      <w:bookmarkStart w:id="55" w:name="bookmark161"/>
      <w:bookmarkEnd w:id="55"/>
      <w:r>
        <w:rPr>
          <w:rFonts w:hint="eastAsia" w:ascii="宋体" w:hAnsi="宋体"/>
          <w:color w:val="auto"/>
          <w:kern w:val="0"/>
          <w:sz w:val="24"/>
          <w:szCs w:val="22"/>
        </w:rPr>
        <w:t>1.4</w:t>
      </w:r>
      <w:r>
        <w:rPr>
          <w:rFonts w:hint="eastAsia" w:ascii="宋体" w:hAnsi="宋体"/>
          <w:color w:val="auto"/>
          <w:spacing w:val="59"/>
          <w:kern w:val="0"/>
          <w:sz w:val="24"/>
          <w:szCs w:val="22"/>
        </w:rPr>
        <w:t xml:space="preserve"> </w:t>
      </w:r>
      <w:r>
        <w:rPr>
          <w:rFonts w:hint="eastAsia" w:ascii="宋体" w:hAnsi="宋体"/>
          <w:color w:val="auto"/>
          <w:kern w:val="0"/>
          <w:sz w:val="24"/>
          <w:szCs w:val="22"/>
        </w:rPr>
        <w:t>合同文件的优先顺序</w:t>
      </w:r>
    </w:p>
    <w:p w14:paraId="4A60CAE0">
      <w:pPr>
        <w:kinsoku w:val="0"/>
        <w:overflowPunct w:val="0"/>
        <w:autoSpaceDE w:val="0"/>
        <w:autoSpaceDN w:val="0"/>
        <w:spacing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本款约定为： 组成合同的各项文件应互相解释，互为说明。除项目专用合同条款另有约定外，</w:t>
      </w:r>
    </w:p>
    <w:p w14:paraId="4F900554">
      <w:pPr>
        <w:kinsoku w:val="0"/>
        <w:overflowPunct w:val="0"/>
        <w:autoSpaceDE w:val="0"/>
        <w:autoSpaceDN w:val="0"/>
        <w:spacing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解释合同文件的优先顺序如下：</w:t>
      </w:r>
    </w:p>
    <w:p w14:paraId="0467C118">
      <w:pPr>
        <w:kinsoku w:val="0"/>
        <w:overflowPunct w:val="0"/>
        <w:autoSpaceDE w:val="0"/>
        <w:autoSpaceDN w:val="0"/>
        <w:spacing w:line="240" w:lineRule="auto"/>
        <w:ind w:firstLine="472"/>
        <w:jc w:val="left"/>
        <w:rPr>
          <w:rFonts w:hint="eastAsia" w:ascii="宋体" w:hAnsi="宋体"/>
          <w:color w:val="auto"/>
          <w:spacing w:val="-2"/>
          <w:kern w:val="0"/>
          <w:sz w:val="24"/>
          <w:szCs w:val="22"/>
        </w:rPr>
      </w:pPr>
      <w:r>
        <w:rPr>
          <w:rFonts w:hint="eastAsia" w:ascii="宋体" w:hAnsi="宋体"/>
          <w:color w:val="auto"/>
          <w:spacing w:val="-2"/>
          <w:kern w:val="0"/>
          <w:sz w:val="24"/>
          <w:szCs w:val="22"/>
        </w:rPr>
        <w:t>（1）合同协议书及各种合同附件（含评标期间和合同谈判过程中的澄清文件和</w:t>
      </w:r>
      <w:r>
        <w:rPr>
          <w:rFonts w:hint="eastAsia" w:ascii="宋体" w:hAnsi="宋体"/>
          <w:color w:val="auto"/>
          <w:kern w:val="0"/>
          <w:sz w:val="24"/>
          <w:szCs w:val="22"/>
        </w:rPr>
        <w:t xml:space="preserve"> </w:t>
      </w:r>
      <w:r>
        <w:rPr>
          <w:rFonts w:hint="eastAsia" w:ascii="宋体" w:hAnsi="宋体"/>
          <w:color w:val="auto"/>
          <w:spacing w:val="-21"/>
          <w:kern w:val="0"/>
          <w:sz w:val="24"/>
          <w:szCs w:val="22"/>
        </w:rPr>
        <w:t>补充资料）；</w:t>
      </w:r>
    </w:p>
    <w:p w14:paraId="5F69926C">
      <w:pPr>
        <w:kinsoku w:val="0"/>
        <w:overflowPunct w:val="0"/>
        <w:autoSpaceDE w:val="0"/>
        <w:autoSpaceDN w:val="0"/>
        <w:spacing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（2）中标通知书；</w:t>
      </w:r>
    </w:p>
    <w:p w14:paraId="0C74170A">
      <w:pPr>
        <w:kinsoku w:val="0"/>
        <w:overflowPunct w:val="0"/>
        <w:autoSpaceDE w:val="0"/>
        <w:autoSpaceDN w:val="0"/>
        <w:spacing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（3）投标函及投标函附录；</w:t>
      </w:r>
    </w:p>
    <w:p w14:paraId="659B4E77">
      <w:pPr>
        <w:kinsoku w:val="0"/>
        <w:overflowPunct w:val="0"/>
        <w:autoSpaceDE w:val="0"/>
        <w:autoSpaceDN w:val="0"/>
        <w:spacing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（4）项目专用合同条款；</w:t>
      </w:r>
    </w:p>
    <w:p w14:paraId="660D9FDA">
      <w:pPr>
        <w:kinsoku w:val="0"/>
        <w:overflowPunct w:val="0"/>
        <w:autoSpaceDE w:val="0"/>
        <w:autoSpaceDN w:val="0"/>
        <w:spacing w:before="68" w:line="240" w:lineRule="auto"/>
        <w:jc w:val="left"/>
        <w:rPr>
          <w:rFonts w:hint="eastAsia" w:ascii="宋体" w:hAnsi="宋体"/>
          <w:color w:val="auto"/>
          <w:kern w:val="0"/>
          <w:sz w:val="24"/>
          <w:szCs w:val="22"/>
        </w:rPr>
      </w:pPr>
    </w:p>
    <w:p w14:paraId="3965F121">
      <w:pPr>
        <w:kinsoku w:val="0"/>
        <w:overflowPunct w:val="0"/>
        <w:autoSpaceDE w:val="0"/>
        <w:autoSpaceDN w:val="0"/>
        <w:spacing w:before="26" w:line="240" w:lineRule="auto"/>
        <w:ind w:firstLine="480"/>
        <w:rPr>
          <w:rFonts w:hint="eastAsia" w:ascii="宋体" w:hAnsi="宋体"/>
          <w:color w:val="auto"/>
          <w:kern w:val="0"/>
          <w:sz w:val="24"/>
          <w:szCs w:val="22"/>
        </w:rPr>
      </w:pPr>
      <w:r>
        <w:rPr>
          <w:rFonts w:hint="eastAsia" w:ascii="宋体" w:hAnsi="宋体"/>
          <w:color w:val="auto"/>
          <w:kern w:val="0"/>
          <w:sz w:val="24"/>
          <w:szCs w:val="22"/>
        </w:rPr>
        <w:t>（5）公路工程专用合同条款；</w:t>
      </w:r>
    </w:p>
    <w:p w14:paraId="612C4BCE">
      <w:pPr>
        <w:kinsoku w:val="0"/>
        <w:overflowPunct w:val="0"/>
        <w:autoSpaceDE w:val="0"/>
        <w:autoSpaceDN w:val="0"/>
        <w:spacing w:before="26" w:line="240" w:lineRule="auto"/>
        <w:ind w:firstLine="480"/>
        <w:rPr>
          <w:rFonts w:hint="eastAsia" w:ascii="宋体" w:hAnsi="宋体"/>
          <w:color w:val="auto"/>
          <w:kern w:val="0"/>
          <w:sz w:val="24"/>
          <w:szCs w:val="22"/>
        </w:rPr>
      </w:pPr>
      <w:r>
        <w:rPr>
          <w:rFonts w:hint="eastAsia" w:ascii="宋体" w:hAnsi="宋体"/>
          <w:color w:val="auto"/>
          <w:kern w:val="0"/>
          <w:sz w:val="24"/>
          <w:szCs w:val="22"/>
        </w:rPr>
        <w:t>（6）通用合同条款；</w:t>
      </w:r>
    </w:p>
    <w:p w14:paraId="119F1E98">
      <w:pPr>
        <w:kinsoku w:val="0"/>
        <w:overflowPunct w:val="0"/>
        <w:autoSpaceDE w:val="0"/>
        <w:autoSpaceDN w:val="0"/>
        <w:spacing w:before="26" w:line="240" w:lineRule="auto"/>
        <w:ind w:firstLine="480"/>
        <w:rPr>
          <w:rFonts w:hint="eastAsia" w:ascii="宋体" w:hAnsi="宋体"/>
          <w:color w:val="auto"/>
          <w:kern w:val="0"/>
          <w:sz w:val="24"/>
          <w:szCs w:val="22"/>
        </w:rPr>
      </w:pPr>
      <w:r>
        <w:rPr>
          <w:rFonts w:hint="eastAsia" w:ascii="宋体" w:hAnsi="宋体"/>
          <w:color w:val="auto"/>
          <w:kern w:val="0"/>
          <w:sz w:val="24"/>
          <w:szCs w:val="22"/>
        </w:rPr>
        <w:t>（7）工程量清单计量规则；</w:t>
      </w:r>
    </w:p>
    <w:p w14:paraId="46163277">
      <w:pPr>
        <w:kinsoku w:val="0"/>
        <w:overflowPunct w:val="0"/>
        <w:autoSpaceDE w:val="0"/>
        <w:autoSpaceDN w:val="0"/>
        <w:spacing w:before="26" w:line="240" w:lineRule="auto"/>
        <w:ind w:firstLine="480"/>
        <w:rPr>
          <w:rFonts w:hint="eastAsia" w:ascii="宋体" w:hAnsi="宋体"/>
          <w:color w:val="auto"/>
          <w:kern w:val="0"/>
          <w:sz w:val="24"/>
          <w:szCs w:val="22"/>
        </w:rPr>
      </w:pPr>
      <w:r>
        <w:rPr>
          <w:rFonts w:hint="eastAsia" w:ascii="宋体" w:hAnsi="宋体"/>
          <w:color w:val="auto"/>
          <w:kern w:val="0"/>
          <w:sz w:val="24"/>
          <w:szCs w:val="22"/>
        </w:rPr>
        <w:t>（8）技术规范；</w:t>
      </w:r>
    </w:p>
    <w:p w14:paraId="793D303A">
      <w:pPr>
        <w:kinsoku w:val="0"/>
        <w:overflowPunct w:val="0"/>
        <w:autoSpaceDE w:val="0"/>
        <w:autoSpaceDN w:val="0"/>
        <w:spacing w:before="26" w:line="240" w:lineRule="auto"/>
        <w:ind w:firstLine="480"/>
        <w:rPr>
          <w:rFonts w:hint="eastAsia" w:ascii="宋体" w:hAnsi="宋体"/>
          <w:color w:val="auto"/>
          <w:kern w:val="0"/>
          <w:sz w:val="24"/>
          <w:szCs w:val="22"/>
        </w:rPr>
      </w:pPr>
      <w:r>
        <w:rPr>
          <w:rFonts w:hint="eastAsia" w:ascii="宋体" w:hAnsi="宋体"/>
          <w:color w:val="auto"/>
          <w:kern w:val="0"/>
          <w:sz w:val="24"/>
          <w:szCs w:val="22"/>
        </w:rPr>
        <w:t>（9）图纸；</w:t>
      </w:r>
    </w:p>
    <w:p w14:paraId="3236011D">
      <w:pPr>
        <w:kinsoku w:val="0"/>
        <w:overflowPunct w:val="0"/>
        <w:autoSpaceDE w:val="0"/>
        <w:autoSpaceDN w:val="0"/>
        <w:spacing w:before="26" w:line="240" w:lineRule="auto"/>
        <w:ind w:firstLine="480"/>
        <w:rPr>
          <w:rFonts w:hint="eastAsia" w:ascii="宋体" w:hAnsi="宋体"/>
          <w:color w:val="auto"/>
          <w:kern w:val="0"/>
          <w:sz w:val="24"/>
          <w:szCs w:val="22"/>
        </w:rPr>
      </w:pPr>
      <w:r>
        <w:rPr>
          <w:rFonts w:hint="eastAsia" w:ascii="宋体" w:hAnsi="宋体"/>
          <w:color w:val="auto"/>
          <w:kern w:val="0"/>
          <w:sz w:val="24"/>
          <w:szCs w:val="22"/>
        </w:rPr>
        <w:t>（10）已标价工程量清单；</w:t>
      </w:r>
    </w:p>
    <w:p w14:paraId="2D28A321">
      <w:pPr>
        <w:kinsoku w:val="0"/>
        <w:overflowPunct w:val="0"/>
        <w:autoSpaceDE w:val="0"/>
        <w:autoSpaceDN w:val="0"/>
        <w:spacing w:before="26" w:line="240" w:lineRule="auto"/>
        <w:ind w:firstLine="480"/>
        <w:rPr>
          <w:rFonts w:hint="eastAsia" w:ascii="宋体" w:hAnsi="宋体"/>
          <w:color w:val="auto"/>
          <w:kern w:val="0"/>
          <w:sz w:val="24"/>
          <w:szCs w:val="22"/>
        </w:rPr>
      </w:pPr>
      <w:r>
        <w:rPr>
          <w:rFonts w:hint="eastAsia" w:ascii="宋体" w:hAnsi="宋体"/>
          <w:color w:val="auto"/>
          <w:kern w:val="0"/>
          <w:sz w:val="24"/>
          <w:szCs w:val="22"/>
        </w:rPr>
        <w:t>（11）承包人有关人员、设备投入的承诺及投标文件中的施工组织设计；</w:t>
      </w:r>
    </w:p>
    <w:p w14:paraId="01D311AC">
      <w:pPr>
        <w:kinsoku w:val="0"/>
        <w:overflowPunct w:val="0"/>
        <w:autoSpaceDE w:val="0"/>
        <w:autoSpaceDN w:val="0"/>
        <w:spacing w:before="26" w:line="240" w:lineRule="auto"/>
        <w:ind w:firstLine="480"/>
        <w:rPr>
          <w:rFonts w:hint="eastAsia" w:ascii="宋体" w:hAnsi="宋体"/>
          <w:color w:val="auto"/>
          <w:kern w:val="0"/>
          <w:sz w:val="24"/>
          <w:szCs w:val="22"/>
        </w:rPr>
      </w:pPr>
      <w:r>
        <w:rPr>
          <w:rFonts w:hint="eastAsia" w:ascii="宋体" w:hAnsi="宋体"/>
          <w:color w:val="auto"/>
          <w:kern w:val="0"/>
          <w:sz w:val="24"/>
          <w:szCs w:val="22"/>
        </w:rPr>
        <w:t>（12）其他合同文件。</w:t>
      </w:r>
    </w:p>
    <w:p w14:paraId="49A72D29">
      <w:pPr>
        <w:kinsoku w:val="0"/>
        <w:overflowPunct w:val="0"/>
        <w:autoSpaceDE w:val="0"/>
        <w:autoSpaceDN w:val="0"/>
        <w:spacing w:line="240" w:lineRule="auto"/>
        <w:ind w:left="144"/>
        <w:rPr>
          <w:rFonts w:hint="eastAsia" w:ascii="宋体" w:hAnsi="宋体"/>
          <w:color w:val="auto"/>
          <w:kern w:val="0"/>
          <w:sz w:val="24"/>
          <w:szCs w:val="22"/>
        </w:rPr>
      </w:pPr>
      <w:bookmarkStart w:id="56" w:name="bookmark162"/>
      <w:bookmarkEnd w:id="56"/>
      <w:r>
        <w:rPr>
          <w:rFonts w:hint="eastAsia" w:ascii="宋体" w:hAnsi="宋体"/>
          <w:color w:val="auto"/>
          <w:kern w:val="0"/>
          <w:sz w:val="24"/>
          <w:szCs w:val="22"/>
        </w:rPr>
        <w:t>1.5</w:t>
      </w:r>
      <w:r>
        <w:rPr>
          <w:rFonts w:hint="eastAsia" w:ascii="宋体" w:hAnsi="宋体"/>
          <w:color w:val="auto"/>
          <w:spacing w:val="59"/>
          <w:kern w:val="0"/>
          <w:sz w:val="24"/>
          <w:szCs w:val="22"/>
        </w:rPr>
        <w:t xml:space="preserve"> </w:t>
      </w:r>
      <w:r>
        <w:rPr>
          <w:rFonts w:hint="eastAsia" w:ascii="宋体" w:hAnsi="宋体"/>
          <w:color w:val="auto"/>
          <w:kern w:val="0"/>
          <w:sz w:val="24"/>
          <w:szCs w:val="22"/>
        </w:rPr>
        <w:t>合同协议书</w:t>
      </w:r>
    </w:p>
    <w:p w14:paraId="6C2638DB">
      <w:pPr>
        <w:kinsoku w:val="0"/>
        <w:overflowPunct w:val="0"/>
        <w:autoSpaceDE w:val="0"/>
        <w:autoSpaceDN w:val="0"/>
        <w:spacing w:line="240" w:lineRule="auto"/>
        <w:ind w:left="144" w:firstLine="480"/>
        <w:rPr>
          <w:rFonts w:hint="eastAsia" w:ascii="宋体" w:hAnsi="宋体"/>
          <w:color w:val="auto"/>
          <w:kern w:val="0"/>
          <w:sz w:val="24"/>
          <w:szCs w:val="22"/>
        </w:rPr>
      </w:pPr>
      <w:r>
        <w:rPr>
          <w:rFonts w:hint="eastAsia" w:ascii="宋体" w:hAnsi="宋体"/>
          <w:color w:val="auto"/>
          <w:kern w:val="0"/>
          <w:sz w:val="24"/>
          <w:szCs w:val="22"/>
        </w:rPr>
        <w:t xml:space="preserve">本款补充： </w:t>
      </w:r>
      <w:r>
        <w:rPr>
          <w:rFonts w:hint="eastAsia" w:ascii="宋体" w:hAnsi="宋体"/>
          <w:color w:val="auto"/>
          <w:spacing w:val="-4"/>
          <w:kern w:val="0"/>
          <w:sz w:val="24"/>
          <w:szCs w:val="22"/>
        </w:rPr>
        <w:t>制备本合同文件的费用由发包人承担。在合同协议书签订并生效之前，投标函和</w:t>
      </w:r>
      <w:r>
        <w:rPr>
          <w:rFonts w:hint="eastAsia" w:ascii="宋体" w:hAnsi="宋体"/>
          <w:color w:val="auto"/>
          <w:kern w:val="0"/>
          <w:sz w:val="24"/>
          <w:szCs w:val="22"/>
        </w:rPr>
        <w:t>中标通知书将对双方具有约束力。</w:t>
      </w:r>
    </w:p>
    <w:p w14:paraId="6F33CB6C">
      <w:pPr>
        <w:kinsoku w:val="0"/>
        <w:overflowPunct w:val="0"/>
        <w:autoSpaceDE w:val="0"/>
        <w:autoSpaceDN w:val="0"/>
        <w:spacing w:line="240" w:lineRule="auto"/>
        <w:ind w:left="144"/>
        <w:rPr>
          <w:rFonts w:hint="eastAsia" w:ascii="宋体" w:hAnsi="宋体"/>
          <w:color w:val="auto"/>
          <w:kern w:val="0"/>
          <w:sz w:val="24"/>
          <w:szCs w:val="22"/>
        </w:rPr>
      </w:pPr>
      <w:bookmarkStart w:id="57" w:name="bookmark163"/>
      <w:bookmarkEnd w:id="57"/>
      <w:r>
        <w:rPr>
          <w:rFonts w:hint="eastAsia" w:ascii="宋体" w:hAnsi="宋体"/>
          <w:color w:val="auto"/>
          <w:kern w:val="0"/>
          <w:sz w:val="24"/>
          <w:szCs w:val="22"/>
        </w:rPr>
        <w:t>1.6</w:t>
      </w:r>
      <w:r>
        <w:rPr>
          <w:rFonts w:hint="eastAsia" w:ascii="宋体" w:hAnsi="宋体"/>
          <w:color w:val="auto"/>
          <w:spacing w:val="59"/>
          <w:kern w:val="0"/>
          <w:sz w:val="24"/>
          <w:szCs w:val="22"/>
        </w:rPr>
        <w:t xml:space="preserve"> </w:t>
      </w:r>
      <w:r>
        <w:rPr>
          <w:rFonts w:hint="eastAsia" w:ascii="宋体" w:hAnsi="宋体"/>
          <w:color w:val="auto"/>
          <w:kern w:val="0"/>
          <w:sz w:val="24"/>
          <w:szCs w:val="22"/>
        </w:rPr>
        <w:t>图纸和承包人文件</w:t>
      </w:r>
    </w:p>
    <w:p w14:paraId="2397D1F5">
      <w:pPr>
        <w:kinsoku w:val="0"/>
        <w:overflowPunct w:val="0"/>
        <w:autoSpaceDE w:val="0"/>
        <w:autoSpaceDN w:val="0"/>
        <w:spacing w:line="240" w:lineRule="auto"/>
        <w:ind w:left="144" w:firstLine="480"/>
        <w:rPr>
          <w:rFonts w:hint="eastAsia" w:ascii="宋体" w:hAnsi="宋体"/>
          <w:color w:val="auto"/>
          <w:kern w:val="0"/>
          <w:sz w:val="24"/>
          <w:szCs w:val="22"/>
        </w:rPr>
      </w:pPr>
      <w:r>
        <w:rPr>
          <w:rFonts w:hint="eastAsia" w:ascii="宋体" w:hAnsi="宋体"/>
          <w:color w:val="auto"/>
          <w:kern w:val="0"/>
          <w:sz w:val="24"/>
          <w:szCs w:val="22"/>
        </w:rPr>
        <w:t>1.6.1  图纸的提供</w:t>
      </w:r>
    </w:p>
    <w:p w14:paraId="31D46A15">
      <w:pPr>
        <w:kinsoku w:val="0"/>
        <w:overflowPunct w:val="0"/>
        <w:autoSpaceDE w:val="0"/>
        <w:autoSpaceDN w:val="0"/>
        <w:spacing w:before="66" w:line="240" w:lineRule="auto"/>
        <w:ind w:left="535"/>
        <w:jc w:val="left"/>
        <w:rPr>
          <w:rFonts w:hint="eastAsia" w:ascii="宋体" w:hAnsi="宋体"/>
          <w:color w:val="auto"/>
          <w:kern w:val="0"/>
          <w:sz w:val="24"/>
          <w:szCs w:val="22"/>
        </w:rPr>
      </w:pPr>
      <w:r>
        <w:rPr>
          <w:rFonts w:hint="eastAsia" w:ascii="宋体" w:hAnsi="宋体"/>
          <w:color w:val="auto"/>
          <w:kern w:val="0"/>
          <w:sz w:val="24"/>
          <w:szCs w:val="22"/>
        </w:rPr>
        <w:t>本项细化为：</w:t>
      </w:r>
    </w:p>
    <w:p w14:paraId="4EB57579">
      <w:pPr>
        <w:kinsoku w:val="0"/>
        <w:overflowPunct w:val="0"/>
        <w:autoSpaceDE w:val="0"/>
        <w:autoSpaceDN w:val="0"/>
        <w:spacing w:before="86" w:line="240" w:lineRule="auto"/>
        <w:ind w:left="535"/>
        <w:jc w:val="left"/>
        <w:rPr>
          <w:rFonts w:hint="eastAsia" w:ascii="宋体" w:hAnsi="宋体"/>
          <w:color w:val="auto"/>
          <w:kern w:val="0"/>
          <w:sz w:val="24"/>
          <w:szCs w:val="22"/>
        </w:rPr>
      </w:pPr>
      <w:r>
        <w:rPr>
          <w:rFonts w:hint="eastAsia" w:ascii="宋体" w:hAnsi="宋体"/>
          <w:color w:val="auto"/>
          <w:kern w:val="0"/>
          <w:sz w:val="24"/>
          <w:szCs w:val="22"/>
          <w:lang w:val="en-US" w:eastAsia="zh-CN"/>
        </w:rPr>
        <w:t>发包</w:t>
      </w:r>
      <w:r>
        <w:rPr>
          <w:rFonts w:hint="eastAsia" w:ascii="宋体" w:hAnsi="宋体"/>
          <w:color w:val="auto"/>
          <w:kern w:val="0"/>
          <w:sz w:val="24"/>
          <w:szCs w:val="22"/>
        </w:rPr>
        <w:t>人应在发出中标通知书之后</w:t>
      </w:r>
      <w:r>
        <w:rPr>
          <w:rFonts w:hint="eastAsia" w:ascii="宋体" w:hAnsi="宋体"/>
          <w:color w:val="auto"/>
          <w:spacing w:val="-57"/>
          <w:kern w:val="0"/>
          <w:sz w:val="24"/>
          <w:szCs w:val="22"/>
        </w:rPr>
        <w:t xml:space="preserve"> </w:t>
      </w:r>
      <w:r>
        <w:rPr>
          <w:rFonts w:hint="eastAsia" w:ascii="宋体" w:hAnsi="宋体"/>
          <w:color w:val="auto"/>
          <w:kern w:val="0"/>
          <w:sz w:val="24"/>
          <w:szCs w:val="22"/>
        </w:rPr>
        <w:t>42</w:t>
      </w:r>
      <w:r>
        <w:rPr>
          <w:rFonts w:hint="eastAsia" w:ascii="宋体" w:hAnsi="宋体"/>
          <w:color w:val="auto"/>
          <w:spacing w:val="2"/>
          <w:kern w:val="0"/>
          <w:sz w:val="24"/>
          <w:szCs w:val="22"/>
        </w:rPr>
        <w:t xml:space="preserve"> </w:t>
      </w:r>
      <w:r>
        <w:rPr>
          <w:rFonts w:hint="eastAsia" w:ascii="宋体" w:hAnsi="宋体"/>
          <w:color w:val="auto"/>
          <w:kern w:val="0"/>
          <w:sz w:val="24"/>
          <w:szCs w:val="22"/>
        </w:rPr>
        <w:t>天内，向承包人免费提供由发包人或其委托</w:t>
      </w:r>
    </w:p>
    <w:p w14:paraId="324330EA">
      <w:pPr>
        <w:kinsoku w:val="0"/>
        <w:overflowPunct w:val="0"/>
        <w:autoSpaceDE w:val="0"/>
        <w:autoSpaceDN w:val="0"/>
        <w:spacing w:before="68" w:line="240" w:lineRule="auto"/>
        <w:ind w:left="144" w:right="223"/>
        <w:rPr>
          <w:rFonts w:hint="eastAsia" w:ascii="宋体" w:hAnsi="宋体"/>
          <w:color w:val="auto"/>
          <w:kern w:val="0"/>
          <w:sz w:val="24"/>
          <w:szCs w:val="22"/>
        </w:rPr>
      </w:pPr>
      <w:r>
        <w:rPr>
          <w:rFonts w:hint="eastAsia" w:ascii="宋体" w:hAnsi="宋体"/>
          <w:color w:val="auto"/>
          <w:kern w:val="0"/>
          <w:sz w:val="24"/>
          <w:szCs w:val="22"/>
        </w:rPr>
        <w:t>的设计单位设计的施工图纸、技术规范和其他技术资料 2</w:t>
      </w:r>
      <w:r>
        <w:rPr>
          <w:rFonts w:hint="eastAsia" w:ascii="宋体" w:hAnsi="宋体"/>
          <w:color w:val="auto"/>
          <w:spacing w:val="-26"/>
          <w:kern w:val="0"/>
          <w:sz w:val="24"/>
          <w:szCs w:val="22"/>
        </w:rPr>
        <w:t xml:space="preserve"> </w:t>
      </w:r>
      <w:r>
        <w:rPr>
          <w:rFonts w:hint="eastAsia" w:ascii="宋体" w:hAnsi="宋体"/>
          <w:color w:val="auto"/>
          <w:kern w:val="0"/>
          <w:sz w:val="24"/>
          <w:szCs w:val="22"/>
        </w:rPr>
        <w:t>份，并向承包人进行技术 交底。承包人需要更多份数时，应自费复制。由于发包人未按时提供图纸造成工期</w:t>
      </w:r>
      <w:r>
        <w:rPr>
          <w:rFonts w:hint="eastAsia" w:ascii="宋体" w:hAnsi="宋体"/>
          <w:color w:val="auto"/>
          <w:spacing w:val="-95"/>
          <w:kern w:val="0"/>
          <w:sz w:val="24"/>
          <w:szCs w:val="22"/>
        </w:rPr>
        <w:t xml:space="preserve"> </w:t>
      </w:r>
      <w:r>
        <w:rPr>
          <w:rFonts w:hint="eastAsia" w:ascii="宋体" w:hAnsi="宋体"/>
          <w:color w:val="auto"/>
          <w:kern w:val="0"/>
          <w:sz w:val="24"/>
          <w:szCs w:val="22"/>
        </w:rPr>
        <w:t>延误的，按第</w:t>
      </w:r>
      <w:r>
        <w:rPr>
          <w:rFonts w:hint="eastAsia" w:ascii="宋体" w:hAnsi="宋体"/>
          <w:color w:val="auto"/>
          <w:spacing w:val="-60"/>
          <w:kern w:val="0"/>
          <w:sz w:val="24"/>
          <w:szCs w:val="22"/>
        </w:rPr>
        <w:t xml:space="preserve"> </w:t>
      </w:r>
      <w:r>
        <w:rPr>
          <w:rFonts w:hint="eastAsia" w:ascii="宋体" w:hAnsi="宋体"/>
          <w:color w:val="auto"/>
          <w:spacing w:val="-3"/>
          <w:kern w:val="0"/>
          <w:sz w:val="24"/>
          <w:szCs w:val="22"/>
        </w:rPr>
        <w:t>11.3</w:t>
      </w:r>
      <w:r>
        <w:rPr>
          <w:rFonts w:hint="eastAsia" w:ascii="宋体" w:hAnsi="宋体"/>
          <w:color w:val="auto"/>
          <w:spacing w:val="1"/>
          <w:kern w:val="0"/>
          <w:sz w:val="24"/>
          <w:szCs w:val="22"/>
        </w:rPr>
        <w:t xml:space="preserve"> </w:t>
      </w:r>
      <w:r>
        <w:rPr>
          <w:rFonts w:hint="eastAsia" w:ascii="宋体" w:hAnsi="宋体"/>
          <w:color w:val="auto"/>
          <w:kern w:val="0"/>
          <w:sz w:val="24"/>
          <w:szCs w:val="22"/>
        </w:rPr>
        <w:t>款的约定办理。</w:t>
      </w:r>
    </w:p>
    <w:p w14:paraId="5C752F64">
      <w:pPr>
        <w:kinsoku w:val="0"/>
        <w:overflowPunct w:val="0"/>
        <w:autoSpaceDE w:val="0"/>
        <w:autoSpaceDN w:val="0"/>
        <w:spacing w:before="4" w:line="240" w:lineRule="auto"/>
        <w:ind w:left="614"/>
        <w:jc w:val="left"/>
        <w:rPr>
          <w:rFonts w:hint="eastAsia" w:ascii="宋体" w:hAnsi="宋体"/>
          <w:color w:val="auto"/>
          <w:kern w:val="0"/>
          <w:sz w:val="24"/>
          <w:szCs w:val="22"/>
        </w:rPr>
      </w:pPr>
      <w:r>
        <w:rPr>
          <w:rFonts w:hint="eastAsia" w:ascii="宋体" w:hAnsi="宋体"/>
          <w:color w:val="auto"/>
          <w:kern w:val="0"/>
          <w:sz w:val="24"/>
          <w:szCs w:val="22"/>
        </w:rPr>
        <w:t>1.6.2  承包人提供的文件</w:t>
      </w:r>
    </w:p>
    <w:p w14:paraId="0465BDED">
      <w:pPr>
        <w:kinsoku w:val="0"/>
        <w:overflowPunct w:val="0"/>
        <w:autoSpaceDE w:val="0"/>
        <w:autoSpaceDN w:val="0"/>
        <w:spacing w:before="4"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本项细化为： 有下列情形之一的，承包人应免费向</w:t>
      </w:r>
      <w:r>
        <w:rPr>
          <w:rFonts w:hint="eastAsia" w:ascii="宋体" w:hAnsi="宋体"/>
          <w:color w:val="auto"/>
          <w:kern w:val="0"/>
          <w:sz w:val="24"/>
          <w:szCs w:val="22"/>
          <w:lang w:val="en-US" w:eastAsia="zh-CN"/>
        </w:rPr>
        <w:t>发包</w:t>
      </w:r>
      <w:r>
        <w:rPr>
          <w:rFonts w:hint="eastAsia" w:ascii="宋体" w:hAnsi="宋体"/>
          <w:color w:val="auto"/>
          <w:kern w:val="0"/>
          <w:sz w:val="24"/>
          <w:szCs w:val="22"/>
        </w:rPr>
        <w:t>人提交相关部分工程的施工图纸</w:t>
      </w:r>
      <w:r>
        <w:rPr>
          <w:rFonts w:hint="eastAsia" w:ascii="宋体" w:hAnsi="宋体"/>
          <w:color w:val="auto"/>
          <w:spacing w:val="-60"/>
          <w:kern w:val="0"/>
          <w:sz w:val="24"/>
          <w:szCs w:val="22"/>
        </w:rPr>
        <w:t xml:space="preserve"> </w:t>
      </w:r>
      <w:r>
        <w:rPr>
          <w:rFonts w:hint="eastAsia" w:ascii="宋体" w:hAnsi="宋体"/>
          <w:color w:val="auto"/>
          <w:kern w:val="0"/>
          <w:sz w:val="24"/>
          <w:szCs w:val="22"/>
        </w:rPr>
        <w:t>3 份，并附必要的计算书、技术资料，或施工工艺图、设备安装图及安装设备的使用和维</w:t>
      </w:r>
      <w:r>
        <w:rPr>
          <w:rFonts w:hint="eastAsia" w:ascii="宋体" w:hAnsi="宋体"/>
          <w:color w:val="auto"/>
          <w:spacing w:val="-94"/>
          <w:kern w:val="0"/>
          <w:sz w:val="24"/>
          <w:szCs w:val="22"/>
        </w:rPr>
        <w:t xml:space="preserve"> </w:t>
      </w:r>
      <w:r>
        <w:rPr>
          <w:rFonts w:hint="eastAsia" w:ascii="宋体" w:hAnsi="宋体"/>
          <w:color w:val="auto"/>
          <w:kern w:val="0"/>
          <w:sz w:val="24"/>
          <w:szCs w:val="22"/>
        </w:rPr>
        <w:t>护手册各</w:t>
      </w:r>
      <w:r>
        <w:rPr>
          <w:rFonts w:hint="eastAsia" w:ascii="宋体" w:hAnsi="宋体"/>
          <w:color w:val="auto"/>
          <w:spacing w:val="-61"/>
          <w:kern w:val="0"/>
          <w:sz w:val="24"/>
          <w:szCs w:val="22"/>
        </w:rPr>
        <w:t xml:space="preserve"> </w:t>
      </w:r>
      <w:r>
        <w:rPr>
          <w:rFonts w:hint="eastAsia" w:ascii="宋体" w:hAnsi="宋体"/>
          <w:color w:val="auto"/>
          <w:kern w:val="0"/>
          <w:sz w:val="24"/>
          <w:szCs w:val="22"/>
        </w:rPr>
        <w:t>2 份供</w:t>
      </w:r>
      <w:r>
        <w:rPr>
          <w:rFonts w:hint="eastAsia" w:ascii="宋体" w:hAnsi="宋体"/>
          <w:color w:val="auto"/>
          <w:kern w:val="0"/>
          <w:sz w:val="24"/>
          <w:szCs w:val="22"/>
          <w:lang w:val="en-US" w:eastAsia="zh-CN"/>
        </w:rPr>
        <w:t>发包</w:t>
      </w:r>
      <w:r>
        <w:rPr>
          <w:rFonts w:hint="eastAsia" w:ascii="宋体" w:hAnsi="宋体"/>
          <w:color w:val="auto"/>
          <w:kern w:val="0"/>
          <w:sz w:val="24"/>
          <w:szCs w:val="22"/>
        </w:rPr>
        <w:t>人批准。</w:t>
      </w:r>
    </w:p>
    <w:p w14:paraId="73A92F16">
      <w:pPr>
        <w:kinsoku w:val="0"/>
        <w:overflowPunct w:val="0"/>
        <w:autoSpaceDE w:val="0"/>
        <w:autoSpaceDN w:val="0"/>
        <w:spacing w:before="4"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（1）为使第</w:t>
      </w:r>
      <w:r>
        <w:rPr>
          <w:rFonts w:hint="eastAsia" w:ascii="宋体" w:hAnsi="宋体"/>
          <w:color w:val="auto"/>
          <w:spacing w:val="-60"/>
          <w:kern w:val="0"/>
          <w:sz w:val="24"/>
          <w:szCs w:val="22"/>
        </w:rPr>
        <w:t xml:space="preserve"> </w:t>
      </w:r>
      <w:r>
        <w:rPr>
          <w:rFonts w:hint="eastAsia" w:ascii="宋体" w:hAnsi="宋体"/>
          <w:color w:val="auto"/>
          <w:kern w:val="0"/>
          <w:sz w:val="24"/>
          <w:szCs w:val="22"/>
        </w:rPr>
        <w:t>1.6.1 项所述的施工图纸适合于经施工测量后的纵、横断面；</w:t>
      </w:r>
    </w:p>
    <w:p w14:paraId="2D3FF37F">
      <w:pPr>
        <w:kinsoku w:val="0"/>
        <w:overflowPunct w:val="0"/>
        <w:autoSpaceDE w:val="0"/>
        <w:autoSpaceDN w:val="0"/>
        <w:spacing w:before="4"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（2）为使第</w:t>
      </w:r>
      <w:r>
        <w:rPr>
          <w:rFonts w:hint="eastAsia" w:ascii="宋体" w:hAnsi="宋体"/>
          <w:color w:val="auto"/>
          <w:spacing w:val="-60"/>
          <w:kern w:val="0"/>
          <w:sz w:val="24"/>
          <w:szCs w:val="22"/>
        </w:rPr>
        <w:t xml:space="preserve"> </w:t>
      </w:r>
      <w:r>
        <w:rPr>
          <w:rFonts w:hint="eastAsia" w:ascii="宋体" w:hAnsi="宋体"/>
          <w:color w:val="auto"/>
          <w:kern w:val="0"/>
          <w:sz w:val="24"/>
          <w:szCs w:val="22"/>
        </w:rPr>
        <w:t>1.6.1 项所述的施工图纸适合于现场具体地形；</w:t>
      </w:r>
    </w:p>
    <w:p w14:paraId="52990A04">
      <w:pPr>
        <w:kinsoku w:val="0"/>
        <w:overflowPunct w:val="0"/>
        <w:autoSpaceDE w:val="0"/>
        <w:autoSpaceDN w:val="0"/>
        <w:spacing w:before="4"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（3）为使第</w:t>
      </w:r>
      <w:r>
        <w:rPr>
          <w:rFonts w:hint="eastAsia" w:ascii="宋体" w:hAnsi="宋体"/>
          <w:color w:val="auto"/>
          <w:spacing w:val="-60"/>
          <w:kern w:val="0"/>
          <w:sz w:val="24"/>
          <w:szCs w:val="22"/>
        </w:rPr>
        <w:t xml:space="preserve"> </w:t>
      </w:r>
      <w:r>
        <w:rPr>
          <w:rFonts w:hint="eastAsia" w:ascii="宋体" w:hAnsi="宋体"/>
          <w:color w:val="auto"/>
          <w:kern w:val="0"/>
          <w:sz w:val="24"/>
          <w:szCs w:val="22"/>
        </w:rPr>
        <w:t>1.6.1 项所述的施工图纸适合于因尺寸与位置变化而引起局部变更；</w:t>
      </w:r>
    </w:p>
    <w:p w14:paraId="161C8161">
      <w:pPr>
        <w:kinsoku w:val="0"/>
        <w:overflowPunct w:val="0"/>
        <w:autoSpaceDE w:val="0"/>
        <w:autoSpaceDN w:val="0"/>
        <w:spacing w:before="4"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 xml:space="preserve">（4）由于合同要求与施工需要。 </w:t>
      </w:r>
      <w:r>
        <w:rPr>
          <w:rFonts w:hint="eastAsia" w:ascii="宋体" w:hAnsi="宋体"/>
          <w:color w:val="auto"/>
          <w:spacing w:val="-4"/>
          <w:kern w:val="0"/>
          <w:sz w:val="24"/>
          <w:szCs w:val="22"/>
        </w:rPr>
        <w:t>此类图纸应按</w:t>
      </w:r>
      <w:r>
        <w:rPr>
          <w:rFonts w:hint="eastAsia" w:ascii="宋体" w:hAnsi="宋体"/>
          <w:color w:val="auto"/>
          <w:spacing w:val="-4"/>
          <w:kern w:val="0"/>
          <w:sz w:val="24"/>
          <w:szCs w:val="22"/>
          <w:lang w:val="en-US" w:eastAsia="zh-CN"/>
        </w:rPr>
        <w:t>发包</w:t>
      </w:r>
      <w:r>
        <w:rPr>
          <w:rFonts w:hint="eastAsia" w:ascii="宋体" w:hAnsi="宋体"/>
          <w:color w:val="auto"/>
          <w:spacing w:val="-4"/>
          <w:kern w:val="0"/>
          <w:sz w:val="24"/>
          <w:szCs w:val="22"/>
        </w:rPr>
        <w:t>人规定的格式和图幅绘制。</w:t>
      </w:r>
      <w:r>
        <w:rPr>
          <w:rFonts w:hint="eastAsia" w:ascii="宋体" w:hAnsi="宋体"/>
          <w:color w:val="auto"/>
          <w:spacing w:val="-4"/>
          <w:kern w:val="0"/>
          <w:sz w:val="24"/>
          <w:szCs w:val="22"/>
          <w:lang w:val="en-US" w:eastAsia="zh-CN"/>
        </w:rPr>
        <w:t>发包</w:t>
      </w:r>
      <w:r>
        <w:rPr>
          <w:rFonts w:hint="eastAsia" w:ascii="宋体" w:hAnsi="宋体"/>
          <w:color w:val="auto"/>
          <w:spacing w:val="-4"/>
          <w:kern w:val="0"/>
          <w:sz w:val="24"/>
          <w:szCs w:val="22"/>
        </w:rPr>
        <w:t>人在收到由承包人绘制的上述工程、工艺图纸、计算书和有关技术资料后</w:t>
      </w:r>
      <w:r>
        <w:rPr>
          <w:rFonts w:hint="eastAsia" w:ascii="宋体" w:hAnsi="宋体"/>
          <w:color w:val="auto"/>
          <w:spacing w:val="-66"/>
          <w:kern w:val="0"/>
          <w:sz w:val="24"/>
          <w:szCs w:val="22"/>
        </w:rPr>
        <w:t xml:space="preserve"> </w:t>
      </w:r>
      <w:r>
        <w:rPr>
          <w:rFonts w:hint="eastAsia" w:ascii="宋体" w:hAnsi="宋体"/>
          <w:color w:val="auto"/>
          <w:kern w:val="0"/>
          <w:sz w:val="24"/>
          <w:szCs w:val="22"/>
        </w:rPr>
        <w:t>14</w:t>
      </w:r>
      <w:r>
        <w:rPr>
          <w:rFonts w:hint="eastAsia" w:ascii="宋体" w:hAnsi="宋体"/>
          <w:color w:val="auto"/>
          <w:spacing w:val="-6"/>
          <w:kern w:val="0"/>
          <w:sz w:val="24"/>
          <w:szCs w:val="22"/>
        </w:rPr>
        <w:t xml:space="preserve"> </w:t>
      </w:r>
      <w:r>
        <w:rPr>
          <w:rFonts w:hint="eastAsia" w:ascii="宋体" w:hAnsi="宋体"/>
          <w:color w:val="auto"/>
          <w:kern w:val="0"/>
          <w:sz w:val="24"/>
          <w:szCs w:val="22"/>
        </w:rPr>
        <w:t>天内应予批准或提出修改要求，承包人应按</w:t>
      </w:r>
      <w:r>
        <w:rPr>
          <w:rFonts w:hint="eastAsia" w:ascii="宋体" w:hAnsi="宋体"/>
          <w:color w:val="auto"/>
          <w:kern w:val="0"/>
          <w:sz w:val="24"/>
          <w:szCs w:val="22"/>
          <w:lang w:val="en-US" w:eastAsia="zh-CN"/>
        </w:rPr>
        <w:t>发包</w:t>
      </w:r>
      <w:r>
        <w:rPr>
          <w:rFonts w:hint="eastAsia" w:ascii="宋体" w:hAnsi="宋体"/>
          <w:color w:val="auto"/>
          <w:kern w:val="0"/>
          <w:sz w:val="24"/>
          <w:szCs w:val="22"/>
        </w:rPr>
        <w:t>人提出的要求作出修改，重新向</w:t>
      </w:r>
      <w:r>
        <w:rPr>
          <w:rFonts w:hint="eastAsia" w:ascii="宋体" w:hAnsi="宋体"/>
          <w:color w:val="auto"/>
          <w:kern w:val="0"/>
          <w:sz w:val="24"/>
          <w:szCs w:val="22"/>
          <w:lang w:val="en-US" w:eastAsia="zh-CN"/>
        </w:rPr>
        <w:t>发包</w:t>
      </w:r>
      <w:r>
        <w:rPr>
          <w:rFonts w:hint="eastAsia" w:ascii="宋体" w:hAnsi="宋体"/>
          <w:color w:val="auto"/>
          <w:kern w:val="0"/>
          <w:sz w:val="24"/>
          <w:szCs w:val="22"/>
        </w:rPr>
        <w:t>人提交，</w:t>
      </w:r>
      <w:r>
        <w:rPr>
          <w:rFonts w:hint="eastAsia" w:ascii="宋体" w:hAnsi="宋体"/>
          <w:color w:val="auto"/>
          <w:kern w:val="0"/>
          <w:sz w:val="24"/>
          <w:szCs w:val="22"/>
          <w:lang w:val="en-US" w:eastAsia="zh-CN"/>
        </w:rPr>
        <w:t>发包</w:t>
      </w:r>
      <w:r>
        <w:rPr>
          <w:rFonts w:hint="eastAsia" w:ascii="宋体" w:hAnsi="宋体"/>
          <w:color w:val="auto"/>
          <w:kern w:val="0"/>
          <w:sz w:val="24"/>
          <w:szCs w:val="22"/>
        </w:rPr>
        <w:t>人应在 7</w:t>
      </w:r>
      <w:r>
        <w:rPr>
          <w:rFonts w:hint="eastAsia" w:ascii="宋体" w:hAnsi="宋体"/>
          <w:color w:val="auto"/>
          <w:spacing w:val="-27"/>
          <w:kern w:val="0"/>
          <w:sz w:val="24"/>
          <w:szCs w:val="22"/>
        </w:rPr>
        <w:t xml:space="preserve"> </w:t>
      </w:r>
      <w:r>
        <w:rPr>
          <w:rFonts w:hint="eastAsia" w:ascii="宋体" w:hAnsi="宋体"/>
          <w:color w:val="auto"/>
          <w:kern w:val="0"/>
          <w:sz w:val="24"/>
          <w:szCs w:val="22"/>
        </w:rPr>
        <w:t>天内批准或 提出进一步的修改意见。</w:t>
      </w:r>
    </w:p>
    <w:p w14:paraId="0ADA21FE">
      <w:pPr>
        <w:kinsoku w:val="0"/>
        <w:overflowPunct w:val="0"/>
        <w:autoSpaceDE w:val="0"/>
        <w:autoSpaceDN w:val="0"/>
        <w:spacing w:before="26" w:line="240" w:lineRule="auto"/>
        <w:ind w:right="29" w:firstLine="480"/>
        <w:jc w:val="left"/>
        <w:rPr>
          <w:rFonts w:hint="eastAsia" w:ascii="宋体" w:hAnsi="宋体"/>
          <w:color w:val="auto"/>
          <w:kern w:val="0"/>
          <w:sz w:val="24"/>
          <w:szCs w:val="22"/>
        </w:rPr>
      </w:pPr>
      <w:r>
        <w:rPr>
          <w:rFonts w:hint="eastAsia" w:ascii="宋体" w:hAnsi="宋体"/>
          <w:color w:val="auto"/>
          <w:kern w:val="0"/>
          <w:sz w:val="24"/>
          <w:szCs w:val="22"/>
        </w:rPr>
        <w:t>1.6.4  图纸的错误</w:t>
      </w:r>
    </w:p>
    <w:p w14:paraId="56AC5E55">
      <w:pPr>
        <w:kinsoku w:val="0"/>
        <w:overflowPunct w:val="0"/>
        <w:autoSpaceDE w:val="0"/>
        <w:autoSpaceDN w:val="0"/>
        <w:spacing w:before="4"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 xml:space="preserve">本项细化为： </w:t>
      </w:r>
      <w:r>
        <w:rPr>
          <w:rFonts w:hint="eastAsia" w:ascii="宋体" w:hAnsi="宋体"/>
          <w:color w:val="auto"/>
          <w:spacing w:val="-4"/>
          <w:kern w:val="0"/>
          <w:sz w:val="24"/>
          <w:szCs w:val="22"/>
        </w:rPr>
        <w:t>当承包人在查阅合同文件或在本合同工程实施过程中，发现有关的工程设计、技</w:t>
      </w:r>
      <w:r>
        <w:rPr>
          <w:rFonts w:hint="eastAsia" w:ascii="宋体" w:hAnsi="宋体"/>
          <w:color w:val="auto"/>
          <w:kern w:val="0"/>
          <w:sz w:val="24"/>
          <w:szCs w:val="22"/>
        </w:rPr>
        <w:t>术规范、图纸或其他资料中的任何差错、遗漏或缺陷后，应及时通知</w:t>
      </w:r>
      <w:r>
        <w:rPr>
          <w:rFonts w:hint="eastAsia" w:ascii="宋体" w:hAnsi="宋体"/>
          <w:color w:val="auto"/>
          <w:kern w:val="0"/>
          <w:sz w:val="24"/>
          <w:szCs w:val="22"/>
          <w:lang w:val="en-US" w:eastAsia="zh-CN"/>
        </w:rPr>
        <w:t>发包</w:t>
      </w:r>
      <w:r>
        <w:rPr>
          <w:rFonts w:hint="eastAsia" w:ascii="宋体" w:hAnsi="宋体"/>
          <w:color w:val="auto"/>
          <w:kern w:val="0"/>
          <w:sz w:val="24"/>
          <w:szCs w:val="22"/>
        </w:rPr>
        <w:t>人。</w:t>
      </w:r>
      <w:r>
        <w:rPr>
          <w:rFonts w:hint="eastAsia" w:ascii="宋体" w:hAnsi="宋体"/>
          <w:color w:val="auto"/>
          <w:kern w:val="0"/>
          <w:sz w:val="24"/>
          <w:szCs w:val="22"/>
          <w:lang w:val="en-US" w:eastAsia="zh-CN"/>
        </w:rPr>
        <w:t>发包</w:t>
      </w:r>
      <w:r>
        <w:rPr>
          <w:rFonts w:hint="eastAsia" w:ascii="宋体" w:hAnsi="宋体"/>
          <w:color w:val="auto"/>
          <w:spacing w:val="-94"/>
          <w:kern w:val="0"/>
          <w:sz w:val="24"/>
          <w:szCs w:val="22"/>
        </w:rPr>
        <w:t xml:space="preserve"> </w:t>
      </w:r>
      <w:r>
        <w:rPr>
          <w:rFonts w:hint="eastAsia" w:ascii="宋体" w:hAnsi="宋体"/>
          <w:color w:val="auto"/>
          <w:kern w:val="0"/>
          <w:sz w:val="24"/>
          <w:szCs w:val="22"/>
        </w:rPr>
        <w:t>人接到该通知后，应立即就此作出决定，并通知承包人和发包人。</w:t>
      </w:r>
    </w:p>
    <w:p w14:paraId="62A28524">
      <w:pPr>
        <w:kinsoku w:val="0"/>
        <w:overflowPunct w:val="0"/>
        <w:autoSpaceDE w:val="0"/>
        <w:autoSpaceDN w:val="0"/>
        <w:spacing w:line="240" w:lineRule="auto"/>
        <w:rPr>
          <w:rFonts w:hint="eastAsia" w:ascii="宋体" w:hAnsi="宋体"/>
          <w:color w:val="auto"/>
          <w:kern w:val="0"/>
          <w:sz w:val="24"/>
          <w:szCs w:val="22"/>
        </w:rPr>
      </w:pPr>
      <w:bookmarkStart w:id="58" w:name="bookmark164"/>
      <w:bookmarkEnd w:id="58"/>
      <w:r>
        <w:rPr>
          <w:rFonts w:hint="eastAsia" w:ascii="宋体" w:hAnsi="宋体"/>
          <w:color w:val="auto"/>
          <w:kern w:val="0"/>
          <w:sz w:val="24"/>
          <w:szCs w:val="22"/>
        </w:rPr>
        <w:t>1.9</w:t>
      </w:r>
      <w:r>
        <w:rPr>
          <w:rFonts w:hint="eastAsia" w:ascii="宋体" w:hAnsi="宋体"/>
          <w:color w:val="auto"/>
          <w:spacing w:val="59"/>
          <w:kern w:val="0"/>
          <w:sz w:val="24"/>
          <w:szCs w:val="22"/>
        </w:rPr>
        <w:t xml:space="preserve"> </w:t>
      </w:r>
      <w:r>
        <w:rPr>
          <w:rFonts w:hint="eastAsia" w:ascii="宋体" w:hAnsi="宋体"/>
          <w:color w:val="auto"/>
          <w:kern w:val="0"/>
          <w:sz w:val="24"/>
          <w:szCs w:val="22"/>
        </w:rPr>
        <w:t>严禁贿赂</w:t>
      </w:r>
    </w:p>
    <w:p w14:paraId="16263B4C">
      <w:pPr>
        <w:kinsoku w:val="0"/>
        <w:overflowPunct w:val="0"/>
        <w:autoSpaceDE w:val="0"/>
        <w:autoSpaceDN w:val="0"/>
        <w:spacing w:line="240" w:lineRule="auto"/>
        <w:ind w:firstLine="480"/>
        <w:rPr>
          <w:rFonts w:hint="eastAsia" w:ascii="宋体" w:hAnsi="宋体"/>
          <w:color w:val="auto"/>
          <w:kern w:val="0"/>
          <w:sz w:val="24"/>
          <w:szCs w:val="22"/>
        </w:rPr>
      </w:pPr>
      <w:r>
        <w:rPr>
          <w:rFonts w:hint="eastAsia" w:ascii="宋体" w:hAnsi="宋体"/>
          <w:color w:val="auto"/>
          <w:kern w:val="0"/>
          <w:sz w:val="24"/>
          <w:szCs w:val="22"/>
        </w:rPr>
        <w:t xml:space="preserve">本款补充： </w:t>
      </w:r>
      <w:r>
        <w:rPr>
          <w:rFonts w:hint="eastAsia" w:ascii="宋体" w:hAnsi="宋体"/>
          <w:color w:val="auto"/>
          <w:spacing w:val="-4"/>
          <w:kern w:val="0"/>
          <w:sz w:val="24"/>
          <w:szCs w:val="22"/>
        </w:rPr>
        <w:t>在合同执行过程中，发包人和承包人应严格履行《廉政合同》约定的双方在廉政</w:t>
      </w:r>
      <w:r>
        <w:rPr>
          <w:rFonts w:hint="eastAsia" w:ascii="宋体" w:hAnsi="宋体"/>
          <w:color w:val="auto"/>
          <w:kern w:val="0"/>
          <w:sz w:val="24"/>
          <w:szCs w:val="22"/>
        </w:rPr>
        <w:t>建设方面的权利和义务以及应承担的违约责任。承包人如果用行贿、送礼或其他不</w:t>
      </w:r>
      <w:r>
        <w:rPr>
          <w:rFonts w:hint="eastAsia" w:ascii="宋体" w:hAnsi="宋体"/>
          <w:color w:val="auto"/>
          <w:spacing w:val="-95"/>
          <w:kern w:val="0"/>
          <w:sz w:val="24"/>
          <w:szCs w:val="22"/>
        </w:rPr>
        <w:t xml:space="preserve"> </w:t>
      </w:r>
      <w:r>
        <w:rPr>
          <w:rFonts w:hint="eastAsia" w:ascii="宋体" w:hAnsi="宋体"/>
          <w:color w:val="auto"/>
          <w:kern w:val="0"/>
          <w:sz w:val="24"/>
          <w:szCs w:val="22"/>
        </w:rPr>
        <w:t>正当手段企图影响或已经影响了发包人的行为和（或）欲获得或已获得超</w:t>
      </w:r>
      <w:r>
        <w:rPr>
          <w:rFonts w:hint="eastAsia" w:ascii="宋体" w:hAnsi="宋体"/>
          <w:color w:val="auto"/>
          <w:spacing w:val="-93"/>
          <w:kern w:val="0"/>
          <w:sz w:val="24"/>
          <w:szCs w:val="22"/>
        </w:rPr>
        <w:t xml:space="preserve"> </w:t>
      </w:r>
      <w:r>
        <w:rPr>
          <w:rFonts w:hint="eastAsia" w:ascii="宋体" w:hAnsi="宋体"/>
          <w:color w:val="auto"/>
          <w:kern w:val="0"/>
          <w:sz w:val="24"/>
          <w:szCs w:val="22"/>
        </w:rPr>
        <w:t>出合同规定以外的额外费用，则发包人应按有关法纪严肃处理当事人，且承包人应</w:t>
      </w:r>
      <w:r>
        <w:rPr>
          <w:rFonts w:hint="eastAsia" w:ascii="宋体" w:hAnsi="宋体"/>
          <w:color w:val="auto"/>
          <w:spacing w:val="-91"/>
          <w:kern w:val="0"/>
          <w:sz w:val="24"/>
          <w:szCs w:val="22"/>
        </w:rPr>
        <w:t xml:space="preserve"> </w:t>
      </w:r>
      <w:r>
        <w:rPr>
          <w:rFonts w:hint="eastAsia" w:ascii="宋体" w:hAnsi="宋体"/>
          <w:color w:val="auto"/>
          <w:kern w:val="0"/>
          <w:sz w:val="24"/>
          <w:szCs w:val="22"/>
        </w:rPr>
        <w:t>对其上述行为造成的工程损害、发包人的经济损失等承担一切责任，并予赔偿。情</w:t>
      </w:r>
      <w:r>
        <w:rPr>
          <w:rFonts w:hint="eastAsia" w:ascii="宋体" w:hAnsi="宋体"/>
          <w:color w:val="auto"/>
          <w:spacing w:val="-93"/>
          <w:kern w:val="0"/>
          <w:sz w:val="24"/>
          <w:szCs w:val="22"/>
        </w:rPr>
        <w:t xml:space="preserve"> </w:t>
      </w:r>
      <w:r>
        <w:rPr>
          <w:rFonts w:hint="eastAsia" w:ascii="宋体" w:hAnsi="宋体"/>
          <w:color w:val="auto"/>
          <w:kern w:val="0"/>
          <w:sz w:val="24"/>
          <w:szCs w:val="22"/>
        </w:rPr>
        <w:t>节严重者，发包人有权终止承包人在本合同项下的承包。</w:t>
      </w:r>
    </w:p>
    <w:p w14:paraId="0B4CB9CF">
      <w:pPr>
        <w:kinsoku w:val="0"/>
        <w:overflowPunct w:val="0"/>
        <w:autoSpaceDE w:val="0"/>
        <w:autoSpaceDN w:val="0"/>
        <w:spacing w:line="240" w:lineRule="auto"/>
        <w:rPr>
          <w:rFonts w:hint="eastAsia" w:ascii="宋体" w:hAnsi="宋体"/>
          <w:color w:val="auto"/>
          <w:kern w:val="0"/>
          <w:sz w:val="28"/>
          <w:szCs w:val="28"/>
        </w:rPr>
      </w:pPr>
      <w:bookmarkStart w:id="59" w:name="bookmark165"/>
      <w:bookmarkEnd w:id="59"/>
      <w:r>
        <w:rPr>
          <w:rFonts w:hint="eastAsia" w:ascii="宋体" w:hAnsi="宋体"/>
          <w:color w:val="auto"/>
          <w:kern w:val="0"/>
          <w:sz w:val="28"/>
          <w:szCs w:val="28"/>
        </w:rPr>
        <w:t>2.</w:t>
      </w:r>
      <w:r>
        <w:rPr>
          <w:rFonts w:hint="eastAsia" w:ascii="宋体" w:hAnsi="宋体"/>
          <w:color w:val="auto"/>
          <w:spacing w:val="69"/>
          <w:kern w:val="0"/>
          <w:sz w:val="28"/>
          <w:szCs w:val="28"/>
        </w:rPr>
        <w:t xml:space="preserve"> </w:t>
      </w:r>
      <w:r>
        <w:rPr>
          <w:rFonts w:hint="eastAsia" w:ascii="宋体" w:hAnsi="宋体"/>
          <w:color w:val="auto"/>
          <w:kern w:val="0"/>
          <w:sz w:val="28"/>
          <w:szCs w:val="28"/>
        </w:rPr>
        <w:t>发包人义务</w:t>
      </w:r>
    </w:p>
    <w:p w14:paraId="3D3468EF">
      <w:pPr>
        <w:kinsoku w:val="0"/>
        <w:overflowPunct w:val="0"/>
        <w:autoSpaceDE w:val="0"/>
        <w:autoSpaceDN w:val="0"/>
        <w:spacing w:line="240" w:lineRule="auto"/>
        <w:rPr>
          <w:rFonts w:hint="eastAsia" w:ascii="宋体" w:hAnsi="宋体"/>
          <w:color w:val="auto"/>
          <w:kern w:val="0"/>
          <w:sz w:val="24"/>
          <w:szCs w:val="22"/>
        </w:rPr>
      </w:pPr>
      <w:bookmarkStart w:id="60" w:name="bookmark166"/>
      <w:bookmarkEnd w:id="60"/>
      <w:r>
        <w:rPr>
          <w:rFonts w:hint="eastAsia" w:ascii="宋体" w:hAnsi="宋体"/>
          <w:color w:val="auto"/>
          <w:kern w:val="0"/>
          <w:sz w:val="24"/>
          <w:szCs w:val="22"/>
        </w:rPr>
        <w:t>2.3</w:t>
      </w:r>
      <w:r>
        <w:rPr>
          <w:rFonts w:hint="eastAsia" w:ascii="宋体" w:hAnsi="宋体"/>
          <w:color w:val="auto"/>
          <w:spacing w:val="59"/>
          <w:kern w:val="0"/>
          <w:sz w:val="24"/>
          <w:szCs w:val="22"/>
        </w:rPr>
        <w:t xml:space="preserve"> </w:t>
      </w:r>
      <w:r>
        <w:rPr>
          <w:rFonts w:hint="eastAsia" w:ascii="宋体" w:hAnsi="宋体"/>
          <w:color w:val="auto"/>
          <w:kern w:val="0"/>
          <w:sz w:val="24"/>
          <w:szCs w:val="22"/>
        </w:rPr>
        <w:t>提供施工场地</w:t>
      </w:r>
    </w:p>
    <w:p w14:paraId="2ACDB3CF">
      <w:pPr>
        <w:kinsoku w:val="0"/>
        <w:overflowPunct w:val="0"/>
        <w:autoSpaceDE w:val="0"/>
        <w:autoSpaceDN w:val="0"/>
        <w:spacing w:line="240" w:lineRule="auto"/>
        <w:ind w:right="29" w:firstLine="480"/>
        <w:jc w:val="left"/>
        <w:rPr>
          <w:rFonts w:hint="eastAsia" w:ascii="宋体" w:hAnsi="宋体"/>
          <w:color w:val="auto"/>
          <w:kern w:val="0"/>
          <w:sz w:val="24"/>
          <w:szCs w:val="22"/>
        </w:rPr>
      </w:pPr>
      <w:r>
        <w:rPr>
          <w:rFonts w:hint="eastAsia" w:ascii="宋体" w:hAnsi="宋体"/>
          <w:color w:val="auto"/>
          <w:kern w:val="0"/>
          <w:sz w:val="24"/>
          <w:szCs w:val="22"/>
        </w:rPr>
        <w:t xml:space="preserve">本款补充： </w:t>
      </w:r>
      <w:r>
        <w:rPr>
          <w:rFonts w:hint="eastAsia" w:ascii="宋体" w:hAnsi="宋体"/>
          <w:color w:val="auto"/>
          <w:spacing w:val="-4"/>
          <w:kern w:val="0"/>
          <w:sz w:val="24"/>
          <w:szCs w:val="22"/>
        </w:rPr>
        <w:t>发包人负责办理永久占地的征用及与之有关的拆迁赔偿手续并承担相关费用。承</w:t>
      </w:r>
      <w:r>
        <w:rPr>
          <w:rFonts w:hint="eastAsia" w:ascii="宋体" w:hAnsi="宋体"/>
          <w:color w:val="auto"/>
          <w:kern w:val="0"/>
          <w:sz w:val="24"/>
          <w:szCs w:val="22"/>
        </w:rPr>
        <w:t>包人在按第</w:t>
      </w:r>
      <w:r>
        <w:rPr>
          <w:rFonts w:hint="eastAsia" w:ascii="宋体" w:hAnsi="宋体"/>
          <w:color w:val="auto"/>
          <w:spacing w:val="-58"/>
          <w:kern w:val="0"/>
          <w:sz w:val="24"/>
          <w:szCs w:val="22"/>
        </w:rPr>
        <w:t xml:space="preserve"> </w:t>
      </w:r>
      <w:r>
        <w:rPr>
          <w:rFonts w:hint="eastAsia" w:ascii="宋体" w:hAnsi="宋体"/>
          <w:color w:val="auto"/>
          <w:kern w:val="0"/>
          <w:sz w:val="24"/>
          <w:szCs w:val="22"/>
        </w:rPr>
        <w:t>10</w:t>
      </w:r>
      <w:r>
        <w:rPr>
          <w:rFonts w:hint="eastAsia" w:ascii="宋体" w:hAnsi="宋体"/>
          <w:color w:val="auto"/>
          <w:spacing w:val="3"/>
          <w:kern w:val="0"/>
          <w:sz w:val="24"/>
          <w:szCs w:val="22"/>
        </w:rPr>
        <w:t xml:space="preserve"> </w:t>
      </w:r>
      <w:r>
        <w:rPr>
          <w:rFonts w:hint="eastAsia" w:ascii="宋体" w:hAnsi="宋体"/>
          <w:color w:val="auto"/>
          <w:spacing w:val="-3"/>
          <w:kern w:val="0"/>
          <w:sz w:val="24"/>
          <w:szCs w:val="22"/>
        </w:rPr>
        <w:t>条规定提交施工进度计划的同时，应向</w:t>
      </w:r>
      <w:r>
        <w:rPr>
          <w:rFonts w:hint="eastAsia" w:ascii="宋体" w:hAnsi="宋体"/>
          <w:color w:val="auto"/>
          <w:spacing w:val="-3"/>
          <w:kern w:val="0"/>
          <w:sz w:val="24"/>
          <w:szCs w:val="22"/>
          <w:lang w:val="en-US" w:eastAsia="zh-CN"/>
        </w:rPr>
        <w:t>发包</w:t>
      </w:r>
      <w:r>
        <w:rPr>
          <w:rFonts w:hint="eastAsia" w:ascii="宋体" w:hAnsi="宋体"/>
          <w:color w:val="auto"/>
          <w:spacing w:val="-3"/>
          <w:kern w:val="0"/>
          <w:sz w:val="24"/>
          <w:szCs w:val="22"/>
        </w:rPr>
        <w:t>人提交一份按施工先后次</w:t>
      </w:r>
      <w:r>
        <w:rPr>
          <w:rFonts w:hint="eastAsia" w:ascii="宋体" w:hAnsi="宋体"/>
          <w:color w:val="auto"/>
          <w:kern w:val="0"/>
          <w:sz w:val="24"/>
          <w:szCs w:val="22"/>
        </w:rPr>
        <w:t>序所需的永久占地计划。</w:t>
      </w:r>
      <w:r>
        <w:rPr>
          <w:rFonts w:hint="eastAsia" w:ascii="宋体" w:hAnsi="宋体"/>
          <w:color w:val="auto"/>
          <w:kern w:val="0"/>
          <w:sz w:val="24"/>
          <w:szCs w:val="22"/>
          <w:lang w:val="en-US" w:eastAsia="zh-CN"/>
        </w:rPr>
        <w:t>发包</w:t>
      </w:r>
      <w:r>
        <w:rPr>
          <w:rFonts w:hint="eastAsia" w:ascii="宋体" w:hAnsi="宋体"/>
          <w:color w:val="auto"/>
          <w:kern w:val="0"/>
          <w:sz w:val="24"/>
          <w:szCs w:val="22"/>
        </w:rPr>
        <w:t>人应在收到此计划后的 14</w:t>
      </w:r>
      <w:r>
        <w:rPr>
          <w:rFonts w:hint="eastAsia" w:ascii="宋体" w:hAnsi="宋体"/>
          <w:color w:val="auto"/>
          <w:spacing w:val="26"/>
          <w:kern w:val="0"/>
          <w:sz w:val="24"/>
          <w:szCs w:val="22"/>
        </w:rPr>
        <w:t xml:space="preserve"> </w:t>
      </w:r>
      <w:r>
        <w:rPr>
          <w:rFonts w:hint="eastAsia" w:ascii="宋体" w:hAnsi="宋体"/>
          <w:color w:val="auto"/>
          <w:kern w:val="0"/>
          <w:sz w:val="24"/>
          <w:szCs w:val="22"/>
        </w:rPr>
        <w:t>天内审核并转报发包人核 备。发包人应在发出本工程或分部工程开工通知之前，对承包人开工所需的</w:t>
      </w:r>
      <w:r>
        <w:rPr>
          <w:rFonts w:hint="eastAsia" w:ascii="宋体" w:hAnsi="宋体"/>
          <w:color w:val="auto"/>
          <w:spacing w:val="-92"/>
          <w:kern w:val="0"/>
          <w:sz w:val="24"/>
          <w:szCs w:val="22"/>
        </w:rPr>
        <w:t xml:space="preserve"> </w:t>
      </w:r>
      <w:r>
        <w:rPr>
          <w:rFonts w:hint="eastAsia" w:ascii="宋体" w:hAnsi="宋体"/>
          <w:color w:val="auto"/>
          <w:kern w:val="0"/>
          <w:sz w:val="24"/>
          <w:szCs w:val="22"/>
        </w:rPr>
        <w:t>永久占地办妥征用手续和相关拆迁赔偿手续，通知承包人使用，以使承包人能够及</w:t>
      </w:r>
      <w:r>
        <w:rPr>
          <w:rFonts w:hint="eastAsia" w:ascii="宋体" w:hAnsi="宋体"/>
          <w:color w:val="auto"/>
          <w:spacing w:val="-94"/>
          <w:kern w:val="0"/>
          <w:sz w:val="24"/>
          <w:szCs w:val="22"/>
        </w:rPr>
        <w:t xml:space="preserve"> </w:t>
      </w:r>
      <w:r>
        <w:rPr>
          <w:rFonts w:hint="eastAsia" w:ascii="宋体" w:hAnsi="宋体"/>
          <w:color w:val="auto"/>
          <w:kern w:val="0"/>
          <w:sz w:val="24"/>
          <w:szCs w:val="22"/>
        </w:rPr>
        <w:t>时开工；此后按承包人提交并经</w:t>
      </w:r>
      <w:r>
        <w:rPr>
          <w:rFonts w:hint="eastAsia" w:ascii="宋体" w:hAnsi="宋体"/>
          <w:color w:val="auto"/>
          <w:kern w:val="0"/>
          <w:sz w:val="24"/>
          <w:szCs w:val="22"/>
          <w:lang w:val="en-US" w:eastAsia="zh-CN"/>
        </w:rPr>
        <w:t>发包</w:t>
      </w:r>
      <w:r>
        <w:rPr>
          <w:rFonts w:hint="eastAsia" w:ascii="宋体" w:hAnsi="宋体"/>
          <w:color w:val="auto"/>
          <w:kern w:val="0"/>
          <w:sz w:val="24"/>
          <w:szCs w:val="22"/>
        </w:rPr>
        <w:t>人同意的合同进度计划的安排，分期（也可以</w:t>
      </w:r>
      <w:r>
        <w:rPr>
          <w:rFonts w:hint="eastAsia" w:ascii="宋体" w:hAnsi="宋体"/>
          <w:color w:val="auto"/>
          <w:spacing w:val="-91"/>
          <w:kern w:val="0"/>
          <w:sz w:val="24"/>
          <w:szCs w:val="22"/>
        </w:rPr>
        <w:t xml:space="preserve"> </w:t>
      </w:r>
      <w:r>
        <w:rPr>
          <w:rFonts w:hint="eastAsia" w:ascii="宋体" w:hAnsi="宋体"/>
          <w:color w:val="auto"/>
          <w:kern w:val="0"/>
          <w:sz w:val="24"/>
          <w:szCs w:val="22"/>
        </w:rPr>
        <w:t>一次）将施工所需的其余永久占地办妥征用以及拆迁赔偿手续，通知承包人使用，</w:t>
      </w:r>
      <w:r>
        <w:rPr>
          <w:rFonts w:hint="eastAsia" w:ascii="宋体" w:hAnsi="宋体"/>
          <w:color w:val="auto"/>
          <w:spacing w:val="-96"/>
          <w:kern w:val="0"/>
          <w:sz w:val="24"/>
          <w:szCs w:val="22"/>
        </w:rPr>
        <w:t xml:space="preserve"> </w:t>
      </w:r>
      <w:r>
        <w:rPr>
          <w:rFonts w:hint="eastAsia" w:ascii="宋体" w:hAnsi="宋体"/>
          <w:color w:val="auto"/>
          <w:kern w:val="0"/>
          <w:sz w:val="24"/>
          <w:szCs w:val="22"/>
        </w:rPr>
        <w:t>以使承包人能够连续不间断地施工。由于承包人施工考虑不周或措施不当等原因而</w:t>
      </w:r>
      <w:r>
        <w:rPr>
          <w:rFonts w:hint="eastAsia" w:ascii="宋体" w:hAnsi="宋体"/>
          <w:color w:val="auto"/>
          <w:spacing w:val="-95"/>
          <w:kern w:val="0"/>
          <w:sz w:val="24"/>
          <w:szCs w:val="22"/>
        </w:rPr>
        <w:t xml:space="preserve"> </w:t>
      </w:r>
      <w:r>
        <w:rPr>
          <w:rFonts w:hint="eastAsia" w:ascii="宋体" w:hAnsi="宋体"/>
          <w:color w:val="auto"/>
          <w:kern w:val="0"/>
          <w:sz w:val="24"/>
          <w:szCs w:val="22"/>
        </w:rPr>
        <w:t>造成的超计划占地或拆迁等所发生的征用和赔偿费用，应由承包人承担。</w:t>
      </w:r>
    </w:p>
    <w:p w14:paraId="3D3634B4">
      <w:pPr>
        <w:kinsoku w:val="0"/>
        <w:overflowPunct w:val="0"/>
        <w:autoSpaceDE w:val="0"/>
        <w:autoSpaceDN w:val="0"/>
        <w:spacing w:before="22" w:line="240" w:lineRule="auto"/>
        <w:ind w:right="102" w:firstLine="464"/>
        <w:rPr>
          <w:rFonts w:hint="eastAsia" w:ascii="宋体" w:hAnsi="宋体"/>
          <w:color w:val="auto"/>
          <w:spacing w:val="-4"/>
          <w:kern w:val="0"/>
          <w:sz w:val="24"/>
          <w:szCs w:val="22"/>
        </w:rPr>
      </w:pPr>
      <w:r>
        <w:rPr>
          <w:rFonts w:hint="eastAsia" w:ascii="宋体" w:hAnsi="宋体"/>
          <w:color w:val="auto"/>
          <w:spacing w:val="-4"/>
          <w:kern w:val="0"/>
          <w:sz w:val="24"/>
          <w:szCs w:val="22"/>
        </w:rPr>
        <w:t>由于发包人未能按照本项规定办妥永久占地征用手续，影响承包人及时使用永久</w:t>
      </w:r>
      <w:r>
        <w:rPr>
          <w:rFonts w:hint="eastAsia" w:ascii="宋体" w:hAnsi="宋体"/>
          <w:color w:val="auto"/>
          <w:kern w:val="0"/>
          <w:sz w:val="24"/>
          <w:szCs w:val="22"/>
        </w:rPr>
        <w:t xml:space="preserve"> 占地造成的费用增加和（或）工期延误应由发包人承担。由于承包人未能按照本项</w:t>
      </w:r>
      <w:r>
        <w:rPr>
          <w:rFonts w:hint="eastAsia" w:ascii="宋体" w:hAnsi="宋体"/>
          <w:color w:val="auto"/>
          <w:spacing w:val="-93"/>
          <w:kern w:val="0"/>
          <w:sz w:val="24"/>
          <w:szCs w:val="22"/>
        </w:rPr>
        <w:t xml:space="preserve"> </w:t>
      </w:r>
      <w:r>
        <w:rPr>
          <w:rFonts w:hint="eastAsia" w:ascii="宋体" w:hAnsi="宋体"/>
          <w:color w:val="auto"/>
          <w:kern w:val="0"/>
          <w:sz w:val="24"/>
          <w:szCs w:val="22"/>
        </w:rPr>
        <w:t>规定提交占地计划，影响发包人办理永久占地征用手续造成的费用增加和（或）工</w:t>
      </w:r>
      <w:r>
        <w:rPr>
          <w:rFonts w:hint="eastAsia" w:ascii="宋体" w:hAnsi="宋体"/>
          <w:color w:val="auto"/>
          <w:spacing w:val="-91"/>
          <w:kern w:val="0"/>
          <w:sz w:val="24"/>
          <w:szCs w:val="22"/>
        </w:rPr>
        <w:t xml:space="preserve"> </w:t>
      </w:r>
      <w:r>
        <w:rPr>
          <w:rFonts w:hint="eastAsia" w:ascii="宋体" w:hAnsi="宋体"/>
          <w:color w:val="auto"/>
          <w:kern w:val="0"/>
          <w:sz w:val="24"/>
          <w:szCs w:val="22"/>
        </w:rPr>
        <w:t>期延误由承包人承担。</w:t>
      </w:r>
    </w:p>
    <w:p w14:paraId="431B43A7">
      <w:pPr>
        <w:kinsoku w:val="0"/>
        <w:overflowPunct w:val="0"/>
        <w:autoSpaceDE w:val="0"/>
        <w:autoSpaceDN w:val="0"/>
        <w:spacing w:line="240" w:lineRule="auto"/>
        <w:rPr>
          <w:rFonts w:hint="eastAsia" w:ascii="宋体" w:hAnsi="宋体"/>
          <w:color w:val="auto"/>
          <w:kern w:val="0"/>
          <w:sz w:val="24"/>
          <w:szCs w:val="22"/>
        </w:rPr>
      </w:pPr>
      <w:bookmarkStart w:id="61" w:name="bookmark167"/>
      <w:bookmarkEnd w:id="61"/>
      <w:r>
        <w:rPr>
          <w:rFonts w:hint="eastAsia" w:ascii="宋体" w:hAnsi="宋体"/>
          <w:color w:val="auto"/>
          <w:kern w:val="0"/>
          <w:sz w:val="28"/>
          <w:szCs w:val="28"/>
        </w:rPr>
        <w:t xml:space="preserve">3. </w:t>
      </w:r>
      <w:r>
        <w:rPr>
          <w:rFonts w:hint="eastAsia" w:ascii="宋体" w:hAnsi="宋体"/>
          <w:color w:val="auto"/>
          <w:spacing w:val="1"/>
          <w:kern w:val="0"/>
          <w:sz w:val="28"/>
          <w:szCs w:val="28"/>
        </w:rPr>
        <w:t xml:space="preserve"> </w:t>
      </w:r>
      <w:r>
        <w:rPr>
          <w:rFonts w:hint="eastAsia" w:ascii="宋体" w:hAnsi="宋体"/>
          <w:color w:val="auto"/>
          <w:kern w:val="0"/>
          <w:sz w:val="28"/>
          <w:szCs w:val="28"/>
        </w:rPr>
        <w:t>监理人</w:t>
      </w:r>
      <w:r>
        <w:rPr>
          <w:rFonts w:hint="eastAsia" w:ascii="宋体" w:hAnsi="宋体"/>
          <w:color w:val="auto"/>
          <w:kern w:val="0"/>
          <w:sz w:val="28"/>
          <w:szCs w:val="28"/>
          <w:lang w:eastAsia="zh-CN"/>
        </w:rPr>
        <w:t>（</w:t>
      </w:r>
      <w:r>
        <w:rPr>
          <w:rFonts w:hint="eastAsia" w:ascii="宋体" w:hAnsi="宋体"/>
          <w:color w:val="auto"/>
          <w:kern w:val="0"/>
          <w:sz w:val="28"/>
          <w:szCs w:val="28"/>
          <w:lang w:val="en-US" w:eastAsia="zh-CN"/>
        </w:rPr>
        <w:t>本项目无监理人)</w:t>
      </w:r>
      <w:r>
        <w:rPr>
          <w:rFonts w:hint="eastAsia" w:ascii="宋体" w:hAnsi="宋体"/>
          <w:color w:val="auto"/>
          <w:kern w:val="0"/>
          <w:sz w:val="24"/>
          <w:szCs w:val="22"/>
        </w:rPr>
        <w:t>。</w:t>
      </w:r>
    </w:p>
    <w:p w14:paraId="2CE5FFCE">
      <w:pPr>
        <w:kinsoku w:val="0"/>
        <w:overflowPunct w:val="0"/>
        <w:autoSpaceDE w:val="0"/>
        <w:autoSpaceDN w:val="0"/>
        <w:spacing w:before="174" w:line="240" w:lineRule="auto"/>
        <w:rPr>
          <w:rFonts w:hint="eastAsia" w:ascii="宋体" w:hAnsi="宋体"/>
          <w:color w:val="auto"/>
          <w:kern w:val="0"/>
          <w:sz w:val="28"/>
          <w:szCs w:val="28"/>
        </w:rPr>
      </w:pPr>
      <w:bookmarkStart w:id="62" w:name="bookmark170"/>
      <w:bookmarkEnd w:id="62"/>
      <w:r>
        <w:rPr>
          <w:rFonts w:hint="eastAsia" w:ascii="宋体" w:hAnsi="宋体"/>
          <w:color w:val="auto"/>
          <w:kern w:val="0"/>
          <w:sz w:val="28"/>
          <w:szCs w:val="28"/>
        </w:rPr>
        <w:t>4. 承包人</w:t>
      </w:r>
    </w:p>
    <w:p w14:paraId="7BAAD150">
      <w:pPr>
        <w:kinsoku w:val="0"/>
        <w:overflowPunct w:val="0"/>
        <w:autoSpaceDE w:val="0"/>
        <w:autoSpaceDN w:val="0"/>
        <w:spacing w:line="240" w:lineRule="auto"/>
        <w:rPr>
          <w:rFonts w:hint="eastAsia" w:ascii="宋体" w:hAnsi="宋体"/>
          <w:color w:val="auto"/>
          <w:kern w:val="0"/>
          <w:sz w:val="24"/>
          <w:szCs w:val="22"/>
        </w:rPr>
      </w:pPr>
      <w:bookmarkStart w:id="63" w:name="bookmark171"/>
      <w:bookmarkEnd w:id="63"/>
      <w:r>
        <w:rPr>
          <w:rFonts w:hint="eastAsia" w:ascii="宋体" w:hAnsi="宋体"/>
          <w:color w:val="auto"/>
          <w:kern w:val="0"/>
          <w:sz w:val="24"/>
          <w:szCs w:val="22"/>
        </w:rPr>
        <w:t>4.1承包人的一般义务</w:t>
      </w:r>
    </w:p>
    <w:p w14:paraId="08A967F7">
      <w:pPr>
        <w:kinsoku w:val="0"/>
        <w:overflowPunct w:val="0"/>
        <w:autoSpaceDE w:val="0"/>
        <w:autoSpaceDN w:val="0"/>
        <w:spacing w:line="240" w:lineRule="auto"/>
        <w:ind w:firstLine="480"/>
        <w:rPr>
          <w:rFonts w:hint="eastAsia" w:ascii="宋体" w:hAnsi="宋体"/>
          <w:color w:val="auto"/>
          <w:kern w:val="0"/>
          <w:sz w:val="24"/>
          <w:szCs w:val="22"/>
        </w:rPr>
      </w:pPr>
      <w:r>
        <w:rPr>
          <w:rFonts w:hint="eastAsia" w:ascii="宋体" w:hAnsi="宋体"/>
          <w:color w:val="auto"/>
          <w:kern w:val="0"/>
          <w:sz w:val="24"/>
          <w:szCs w:val="22"/>
        </w:rPr>
        <w:t>4.1.9  工程的维护和照管</w:t>
      </w:r>
    </w:p>
    <w:p w14:paraId="570484D1">
      <w:pPr>
        <w:kinsoku w:val="0"/>
        <w:overflowPunct w:val="0"/>
        <w:autoSpaceDE w:val="0"/>
        <w:autoSpaceDN w:val="0"/>
        <w:spacing w:line="240" w:lineRule="auto"/>
        <w:ind w:firstLine="480"/>
        <w:rPr>
          <w:rFonts w:hint="eastAsia" w:ascii="宋体" w:hAnsi="宋体"/>
          <w:color w:val="auto"/>
          <w:kern w:val="0"/>
          <w:sz w:val="24"/>
          <w:szCs w:val="22"/>
        </w:rPr>
      </w:pPr>
      <w:r>
        <w:rPr>
          <w:rFonts w:hint="eastAsia" w:ascii="宋体" w:hAnsi="宋体"/>
          <w:color w:val="auto"/>
          <w:kern w:val="0"/>
          <w:sz w:val="24"/>
          <w:szCs w:val="22"/>
        </w:rPr>
        <w:t>本项细化为：</w:t>
      </w:r>
    </w:p>
    <w:p w14:paraId="2B8061E3">
      <w:pPr>
        <w:kinsoku w:val="0"/>
        <w:overflowPunct w:val="0"/>
        <w:autoSpaceDE w:val="0"/>
        <w:autoSpaceDN w:val="0"/>
        <w:spacing w:line="240" w:lineRule="auto"/>
        <w:ind w:firstLine="480"/>
        <w:rPr>
          <w:rFonts w:hint="eastAsia" w:ascii="宋体" w:hAnsi="宋体"/>
          <w:color w:val="auto"/>
          <w:kern w:val="0"/>
          <w:sz w:val="24"/>
          <w:szCs w:val="22"/>
        </w:rPr>
      </w:pPr>
      <w:r>
        <w:rPr>
          <w:rFonts w:hint="eastAsia" w:ascii="宋体" w:hAnsi="宋体"/>
          <w:color w:val="auto"/>
          <w:kern w:val="0"/>
          <w:sz w:val="24"/>
          <w:szCs w:val="22"/>
        </w:rPr>
        <w:t>（1）交工验收证书颁发前，承包人应负责照管和维护工程及将用于或安装在本 工程中的材料、设备。交工验收证书颁发时尚有部分未交工工程的，承包人还应负</w:t>
      </w:r>
      <w:r>
        <w:rPr>
          <w:rFonts w:hint="eastAsia" w:ascii="宋体" w:hAnsi="宋体"/>
          <w:color w:val="auto"/>
          <w:spacing w:val="-93"/>
          <w:kern w:val="0"/>
          <w:sz w:val="24"/>
          <w:szCs w:val="22"/>
        </w:rPr>
        <w:t xml:space="preserve"> </w:t>
      </w:r>
      <w:r>
        <w:rPr>
          <w:rFonts w:hint="eastAsia" w:ascii="宋体" w:hAnsi="宋体"/>
          <w:color w:val="auto"/>
          <w:kern w:val="0"/>
          <w:sz w:val="24"/>
          <w:szCs w:val="22"/>
        </w:rPr>
        <w:t>责该未交工工程、材料、设备的照管和维护工作，直至交工后移交给发包人为止。</w:t>
      </w:r>
    </w:p>
    <w:p w14:paraId="328EFA3D">
      <w:pPr>
        <w:kinsoku w:val="0"/>
        <w:overflowPunct w:val="0"/>
        <w:autoSpaceDE w:val="0"/>
        <w:autoSpaceDN w:val="0"/>
        <w:spacing w:line="240" w:lineRule="auto"/>
        <w:ind w:firstLine="480"/>
        <w:rPr>
          <w:rFonts w:hint="eastAsia" w:ascii="宋体" w:hAnsi="宋体"/>
          <w:color w:val="auto"/>
          <w:kern w:val="0"/>
          <w:sz w:val="24"/>
          <w:szCs w:val="22"/>
        </w:rPr>
      </w:pPr>
      <w:r>
        <w:rPr>
          <w:rFonts w:hint="eastAsia" w:ascii="宋体" w:hAnsi="宋体"/>
          <w:color w:val="auto"/>
          <w:kern w:val="0"/>
          <w:sz w:val="24"/>
          <w:szCs w:val="22"/>
        </w:rPr>
        <w:t>（2）在承包人负责照管与维护期间，如果本工程或材料、设备等发生损失或损 害，除不可抗力原因之外，承包人均应自费弥补，并达到合同要求。承包人还应对</w:t>
      </w:r>
      <w:r>
        <w:rPr>
          <w:rFonts w:hint="eastAsia" w:ascii="宋体" w:hAnsi="宋体"/>
          <w:color w:val="auto"/>
          <w:spacing w:val="-95"/>
          <w:kern w:val="0"/>
          <w:sz w:val="24"/>
          <w:szCs w:val="22"/>
        </w:rPr>
        <w:t xml:space="preserve"> </w:t>
      </w:r>
      <w:r>
        <w:rPr>
          <w:rFonts w:hint="eastAsia" w:ascii="宋体" w:hAnsi="宋体"/>
          <w:color w:val="auto"/>
          <w:kern w:val="0"/>
          <w:sz w:val="24"/>
          <w:szCs w:val="22"/>
        </w:rPr>
        <w:t>按第</w:t>
      </w:r>
      <w:r>
        <w:rPr>
          <w:rFonts w:hint="eastAsia" w:ascii="宋体" w:hAnsi="宋体"/>
          <w:color w:val="auto"/>
          <w:spacing w:val="-61"/>
          <w:kern w:val="0"/>
          <w:sz w:val="24"/>
          <w:szCs w:val="22"/>
        </w:rPr>
        <w:t xml:space="preserve"> </w:t>
      </w:r>
      <w:r>
        <w:rPr>
          <w:rFonts w:hint="eastAsia" w:ascii="宋体" w:hAnsi="宋体"/>
          <w:color w:val="auto"/>
          <w:kern w:val="0"/>
          <w:sz w:val="24"/>
          <w:szCs w:val="22"/>
        </w:rPr>
        <w:t>19 条规定而实施作业过程中由承包人造成的对工程的任何损失或损害负责。</w:t>
      </w:r>
    </w:p>
    <w:p w14:paraId="73D8D159">
      <w:pPr>
        <w:kinsoku w:val="0"/>
        <w:overflowPunct w:val="0"/>
        <w:autoSpaceDE w:val="0"/>
        <w:autoSpaceDN w:val="0"/>
        <w:spacing w:line="240" w:lineRule="auto"/>
        <w:ind w:firstLine="480"/>
        <w:rPr>
          <w:rFonts w:hint="eastAsia" w:ascii="宋体" w:hAnsi="宋体"/>
          <w:color w:val="auto"/>
          <w:kern w:val="0"/>
          <w:sz w:val="24"/>
          <w:szCs w:val="22"/>
        </w:rPr>
      </w:pPr>
      <w:r>
        <w:rPr>
          <w:rFonts w:hint="eastAsia" w:ascii="宋体" w:hAnsi="宋体"/>
          <w:color w:val="auto"/>
          <w:kern w:val="0"/>
          <w:sz w:val="24"/>
          <w:szCs w:val="22"/>
        </w:rPr>
        <w:t>4.1.10  其他义务</w:t>
      </w:r>
    </w:p>
    <w:p w14:paraId="2446F148">
      <w:pPr>
        <w:kinsoku w:val="0"/>
        <w:overflowPunct w:val="0"/>
        <w:autoSpaceDE w:val="0"/>
        <w:autoSpaceDN w:val="0"/>
        <w:spacing w:line="240" w:lineRule="auto"/>
        <w:ind w:firstLine="480"/>
        <w:rPr>
          <w:rFonts w:hint="eastAsia" w:ascii="宋体" w:hAnsi="宋体"/>
          <w:color w:val="auto"/>
          <w:kern w:val="0"/>
          <w:sz w:val="24"/>
          <w:szCs w:val="22"/>
        </w:rPr>
      </w:pPr>
      <w:r>
        <w:rPr>
          <w:rFonts w:hint="eastAsia" w:ascii="宋体" w:hAnsi="宋体"/>
          <w:color w:val="auto"/>
          <w:kern w:val="0"/>
          <w:sz w:val="24"/>
          <w:szCs w:val="22"/>
        </w:rPr>
        <w:t>本项细化为：</w:t>
      </w:r>
    </w:p>
    <w:p w14:paraId="72ECA206">
      <w:pPr>
        <w:kinsoku w:val="0"/>
        <w:overflowPunct w:val="0"/>
        <w:autoSpaceDE w:val="0"/>
        <w:autoSpaceDN w:val="0"/>
        <w:spacing w:line="240" w:lineRule="auto"/>
        <w:ind w:firstLine="480"/>
        <w:rPr>
          <w:rFonts w:hint="eastAsia" w:ascii="宋体" w:hAnsi="宋体"/>
          <w:color w:val="auto"/>
          <w:kern w:val="0"/>
          <w:sz w:val="24"/>
          <w:szCs w:val="22"/>
        </w:rPr>
      </w:pPr>
      <w:r>
        <w:rPr>
          <w:rFonts w:hint="eastAsia" w:ascii="宋体" w:hAnsi="宋体"/>
          <w:color w:val="auto"/>
          <w:kern w:val="0"/>
          <w:sz w:val="24"/>
          <w:szCs w:val="22"/>
        </w:rPr>
        <w:t>（1）</w:t>
      </w:r>
      <w:r>
        <w:rPr>
          <w:rFonts w:hint="eastAsia" w:ascii="宋体" w:hAnsi="宋体"/>
          <w:color w:val="auto"/>
          <w:spacing w:val="-23"/>
          <w:kern w:val="0"/>
          <w:sz w:val="24"/>
          <w:szCs w:val="22"/>
        </w:rPr>
        <w:t xml:space="preserve"> </w:t>
      </w:r>
      <w:r>
        <w:rPr>
          <w:rFonts w:hint="eastAsia" w:ascii="宋体" w:hAnsi="宋体"/>
          <w:color w:val="auto"/>
          <w:spacing w:val="-3"/>
          <w:kern w:val="0"/>
          <w:sz w:val="24"/>
          <w:szCs w:val="22"/>
        </w:rPr>
        <w:t>临时占地由承包人向当地政府土地管理部门申请，并办理租用手续，承包</w:t>
      </w:r>
      <w:r>
        <w:rPr>
          <w:rFonts w:hint="eastAsia" w:ascii="宋体" w:hAnsi="宋体"/>
          <w:color w:val="auto"/>
          <w:kern w:val="0"/>
          <w:sz w:val="24"/>
          <w:szCs w:val="22"/>
        </w:rPr>
        <w:t xml:space="preserve"> 人按有关规定直接支付其费用，发包人对此将予以协调。</w:t>
      </w:r>
    </w:p>
    <w:p w14:paraId="42627294">
      <w:pPr>
        <w:kinsoku w:val="0"/>
        <w:overflowPunct w:val="0"/>
        <w:autoSpaceDE w:val="0"/>
        <w:autoSpaceDN w:val="0"/>
        <w:spacing w:before="34"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临时占地范围包括承包人驻地的办公室、食堂、宿舍、道路和机械设备停放场、 材料堆放场地、弃土场、预制场、拌和场、仓库、进场临时道路、临时便道、便桥</w:t>
      </w:r>
      <w:r>
        <w:rPr>
          <w:rFonts w:hint="eastAsia" w:ascii="宋体" w:hAnsi="宋体"/>
          <w:color w:val="auto"/>
          <w:spacing w:val="-95"/>
          <w:kern w:val="0"/>
          <w:sz w:val="24"/>
          <w:szCs w:val="22"/>
        </w:rPr>
        <w:t xml:space="preserve"> </w:t>
      </w:r>
      <w:r>
        <w:rPr>
          <w:rFonts w:hint="eastAsia" w:ascii="宋体" w:hAnsi="宋体"/>
          <w:color w:val="auto"/>
          <w:kern w:val="0"/>
          <w:sz w:val="24"/>
          <w:szCs w:val="22"/>
        </w:rPr>
        <w:t>等。承包人应在“临时占地计划表”范围内按实际需要与先后次序，提出具体计划</w:t>
      </w:r>
      <w:r>
        <w:rPr>
          <w:rFonts w:hint="eastAsia" w:ascii="宋体" w:hAnsi="宋体"/>
          <w:color w:val="auto"/>
          <w:spacing w:val="-94"/>
          <w:kern w:val="0"/>
          <w:sz w:val="24"/>
          <w:szCs w:val="22"/>
        </w:rPr>
        <w:t xml:space="preserve"> </w:t>
      </w:r>
      <w:r>
        <w:rPr>
          <w:rFonts w:hint="eastAsia" w:ascii="宋体" w:hAnsi="宋体"/>
          <w:color w:val="auto"/>
          <w:kern w:val="0"/>
          <w:sz w:val="24"/>
          <w:szCs w:val="22"/>
        </w:rPr>
        <w:t>，并报发包人。临时占地的面积和使用期应满足工程需要，费用包括</w:t>
      </w:r>
      <w:r>
        <w:rPr>
          <w:rFonts w:hint="eastAsia" w:ascii="宋体" w:hAnsi="宋体"/>
          <w:color w:val="auto"/>
          <w:spacing w:val="-92"/>
          <w:kern w:val="0"/>
          <w:sz w:val="24"/>
          <w:szCs w:val="22"/>
        </w:rPr>
        <w:t xml:space="preserve"> </w:t>
      </w:r>
      <w:r>
        <w:rPr>
          <w:rFonts w:hint="eastAsia" w:ascii="宋体" w:hAnsi="宋体"/>
          <w:color w:val="auto"/>
          <w:spacing w:val="-3"/>
          <w:kern w:val="0"/>
          <w:sz w:val="24"/>
          <w:szCs w:val="22"/>
        </w:rPr>
        <w:t>临时占地数量、时间及因此而发生的协调、租用、复耕、地面附着物（电力、电信、</w:t>
      </w:r>
      <w:r>
        <w:rPr>
          <w:rFonts w:hint="eastAsia" w:ascii="宋体" w:hAnsi="宋体"/>
          <w:color w:val="auto"/>
          <w:spacing w:val="-99"/>
          <w:kern w:val="0"/>
          <w:sz w:val="24"/>
          <w:szCs w:val="22"/>
        </w:rPr>
        <w:t xml:space="preserve"> </w:t>
      </w:r>
      <w:r>
        <w:rPr>
          <w:rFonts w:hint="eastAsia" w:ascii="宋体" w:hAnsi="宋体"/>
          <w:color w:val="auto"/>
          <w:kern w:val="0"/>
          <w:sz w:val="24"/>
          <w:szCs w:val="22"/>
        </w:rPr>
        <w:t>房屋、坟墓除外）的拆迁补偿等相关费用。除项目专用合同条款另有约定外，临时</w:t>
      </w:r>
      <w:r>
        <w:rPr>
          <w:rFonts w:hint="eastAsia" w:ascii="宋体" w:hAnsi="宋体"/>
          <w:color w:val="auto"/>
          <w:spacing w:val="-95"/>
          <w:kern w:val="0"/>
          <w:sz w:val="24"/>
          <w:szCs w:val="22"/>
        </w:rPr>
        <w:t xml:space="preserve"> </w:t>
      </w:r>
      <w:r>
        <w:rPr>
          <w:rFonts w:hint="eastAsia" w:ascii="宋体" w:hAnsi="宋体"/>
          <w:color w:val="auto"/>
          <w:kern w:val="0"/>
          <w:sz w:val="24"/>
          <w:szCs w:val="22"/>
        </w:rPr>
        <w:t>占地的租地费用实行总额包干，列入工程量清单第</w:t>
      </w:r>
      <w:r>
        <w:rPr>
          <w:rFonts w:hint="eastAsia" w:ascii="宋体" w:hAnsi="宋体"/>
          <w:color w:val="auto"/>
          <w:spacing w:val="-61"/>
          <w:kern w:val="0"/>
          <w:sz w:val="24"/>
          <w:szCs w:val="22"/>
        </w:rPr>
        <w:t xml:space="preserve"> </w:t>
      </w:r>
      <w:r>
        <w:rPr>
          <w:rFonts w:hint="eastAsia" w:ascii="宋体" w:hAnsi="宋体"/>
          <w:color w:val="auto"/>
          <w:kern w:val="0"/>
          <w:sz w:val="24"/>
          <w:szCs w:val="22"/>
        </w:rPr>
        <w:t>100</w:t>
      </w:r>
      <w:r>
        <w:rPr>
          <w:rFonts w:hint="eastAsia" w:ascii="宋体" w:hAnsi="宋体"/>
          <w:color w:val="auto"/>
          <w:spacing w:val="-1"/>
          <w:kern w:val="0"/>
          <w:sz w:val="24"/>
          <w:szCs w:val="22"/>
        </w:rPr>
        <w:t xml:space="preserve"> </w:t>
      </w:r>
      <w:r>
        <w:rPr>
          <w:rFonts w:hint="eastAsia" w:ascii="宋体" w:hAnsi="宋体"/>
          <w:color w:val="auto"/>
          <w:kern w:val="0"/>
          <w:sz w:val="24"/>
          <w:szCs w:val="22"/>
        </w:rPr>
        <w:t>章中由承包人按总额报价。</w:t>
      </w:r>
    </w:p>
    <w:p w14:paraId="735709EC">
      <w:pPr>
        <w:kinsoku w:val="0"/>
        <w:overflowPunct w:val="0"/>
        <w:autoSpaceDE w:val="0"/>
        <w:autoSpaceDN w:val="0"/>
        <w:spacing w:line="240" w:lineRule="auto"/>
        <w:ind w:right="224" w:firstLine="464"/>
        <w:rPr>
          <w:rFonts w:hint="eastAsia" w:ascii="宋体" w:hAnsi="宋体"/>
          <w:color w:val="auto"/>
          <w:spacing w:val="-4"/>
          <w:kern w:val="0"/>
          <w:sz w:val="24"/>
          <w:szCs w:val="22"/>
        </w:rPr>
      </w:pPr>
      <w:r>
        <w:rPr>
          <w:rFonts w:hint="eastAsia" w:ascii="宋体" w:hAnsi="宋体"/>
          <w:color w:val="auto"/>
          <w:spacing w:val="-4"/>
          <w:kern w:val="0"/>
          <w:sz w:val="24"/>
          <w:szCs w:val="22"/>
        </w:rPr>
        <w:t>临时占地退还前，承包人应自费恢复到临时占地使用前的状况。如因承包人撤离</w:t>
      </w:r>
      <w:r>
        <w:rPr>
          <w:rFonts w:hint="eastAsia" w:ascii="宋体" w:hAnsi="宋体"/>
          <w:color w:val="auto"/>
          <w:kern w:val="0"/>
          <w:sz w:val="24"/>
          <w:szCs w:val="22"/>
        </w:rPr>
        <w:t xml:space="preserve"> 后未按要求对临时占地进行恢复或虽进行了恢复但未达到使用标准的，将由发包人</w:t>
      </w:r>
      <w:r>
        <w:rPr>
          <w:rFonts w:hint="eastAsia" w:ascii="宋体" w:hAnsi="宋体"/>
          <w:color w:val="auto"/>
          <w:spacing w:val="-94"/>
          <w:kern w:val="0"/>
          <w:sz w:val="24"/>
          <w:szCs w:val="22"/>
        </w:rPr>
        <w:t xml:space="preserve"> </w:t>
      </w:r>
      <w:r>
        <w:rPr>
          <w:rFonts w:hint="eastAsia" w:ascii="宋体" w:hAnsi="宋体"/>
          <w:color w:val="auto"/>
          <w:kern w:val="0"/>
          <w:sz w:val="24"/>
          <w:szCs w:val="22"/>
        </w:rPr>
        <w:t>委托第三方对其恢复，所发生的费用将从应付给承包人的任何款项内扣除。</w:t>
      </w:r>
    </w:p>
    <w:p w14:paraId="4D9260DF">
      <w:pPr>
        <w:kinsoku w:val="0"/>
        <w:overflowPunct w:val="0"/>
        <w:autoSpaceDE w:val="0"/>
        <w:autoSpaceDN w:val="0"/>
        <w:spacing w:line="240" w:lineRule="auto"/>
        <w:ind w:right="-1" w:firstLine="480"/>
        <w:rPr>
          <w:rFonts w:hint="eastAsia" w:ascii="宋体" w:hAnsi="宋体"/>
          <w:color w:val="auto"/>
          <w:kern w:val="0"/>
          <w:sz w:val="24"/>
          <w:szCs w:val="22"/>
        </w:rPr>
      </w:pPr>
      <w:r>
        <w:rPr>
          <w:rFonts w:hint="eastAsia" w:ascii="宋体" w:hAnsi="宋体"/>
          <w:color w:val="auto"/>
          <w:kern w:val="0"/>
          <w:sz w:val="24"/>
          <w:szCs w:val="22"/>
        </w:rPr>
        <w:t>（2）除项目专用合同条款另有约定外，承包人应承担并支付为获得本合同工程 所需的石料、砂、砾石、黏土或其他当地材料等所发生的料场使用费及其他开支或</w:t>
      </w:r>
      <w:r>
        <w:rPr>
          <w:rFonts w:hint="eastAsia" w:ascii="宋体" w:hAnsi="宋体"/>
          <w:color w:val="auto"/>
          <w:spacing w:val="-92"/>
          <w:kern w:val="0"/>
          <w:sz w:val="24"/>
          <w:szCs w:val="22"/>
        </w:rPr>
        <w:t xml:space="preserve"> </w:t>
      </w:r>
      <w:r>
        <w:rPr>
          <w:rFonts w:hint="eastAsia" w:ascii="宋体" w:hAnsi="宋体"/>
          <w:color w:val="auto"/>
          <w:kern w:val="0"/>
          <w:sz w:val="24"/>
          <w:szCs w:val="22"/>
        </w:rPr>
        <w:t>补偿费。发包人应尽可能协助承包人办理料场租用手续及解决使用过程中的有关问</w:t>
      </w:r>
      <w:r>
        <w:rPr>
          <w:rFonts w:hint="eastAsia" w:ascii="宋体" w:hAnsi="宋体"/>
          <w:color w:val="auto"/>
          <w:spacing w:val="-95"/>
          <w:kern w:val="0"/>
          <w:sz w:val="24"/>
          <w:szCs w:val="22"/>
        </w:rPr>
        <w:t xml:space="preserve"> </w:t>
      </w:r>
      <w:r>
        <w:rPr>
          <w:rFonts w:hint="eastAsia" w:ascii="宋体" w:hAnsi="宋体"/>
          <w:color w:val="auto"/>
          <w:kern w:val="0"/>
          <w:sz w:val="24"/>
          <w:szCs w:val="22"/>
        </w:rPr>
        <w:t>题。</w:t>
      </w:r>
    </w:p>
    <w:p w14:paraId="5F2770EF">
      <w:pPr>
        <w:kinsoku w:val="0"/>
        <w:overflowPunct w:val="0"/>
        <w:autoSpaceDE w:val="0"/>
        <w:autoSpaceDN w:val="0"/>
        <w:spacing w:before="26" w:line="240" w:lineRule="auto"/>
        <w:ind w:right="119" w:firstLine="480"/>
        <w:rPr>
          <w:rFonts w:hint="eastAsia" w:ascii="宋体" w:hAnsi="宋体"/>
          <w:color w:val="auto"/>
          <w:kern w:val="0"/>
          <w:sz w:val="24"/>
          <w:szCs w:val="22"/>
        </w:rPr>
      </w:pPr>
      <w:r>
        <w:rPr>
          <w:rFonts w:hint="eastAsia" w:ascii="宋体" w:hAnsi="宋体"/>
          <w:color w:val="auto"/>
          <w:kern w:val="0"/>
          <w:sz w:val="24"/>
          <w:szCs w:val="22"/>
        </w:rPr>
        <w:t>（3）承包人应严格遵守国家有关解决拖欠工程款和民工工资的法律、法规，及 时支付工程中的材料、设备货款及民工工资等费用。承包人不得以任何借口拖欠材</w:t>
      </w:r>
      <w:r>
        <w:rPr>
          <w:rFonts w:hint="eastAsia" w:ascii="宋体" w:hAnsi="宋体"/>
          <w:color w:val="auto"/>
          <w:spacing w:val="-114"/>
          <w:kern w:val="0"/>
          <w:sz w:val="24"/>
          <w:szCs w:val="22"/>
        </w:rPr>
        <w:t xml:space="preserve"> </w:t>
      </w:r>
      <w:r>
        <w:rPr>
          <w:rFonts w:hint="eastAsia" w:ascii="宋体" w:hAnsi="宋体"/>
          <w:color w:val="auto"/>
          <w:kern w:val="0"/>
          <w:sz w:val="24"/>
          <w:szCs w:val="22"/>
        </w:rPr>
        <w:t>料、设备货款及民工工资等费用，如果出现此种现象，发包人有权代为支付其拖欠</w:t>
      </w:r>
      <w:r>
        <w:rPr>
          <w:rFonts w:hint="eastAsia" w:ascii="宋体" w:hAnsi="宋体"/>
          <w:color w:val="auto"/>
          <w:spacing w:val="-114"/>
          <w:kern w:val="0"/>
          <w:sz w:val="24"/>
          <w:szCs w:val="22"/>
        </w:rPr>
        <w:t xml:space="preserve"> </w:t>
      </w:r>
      <w:r>
        <w:rPr>
          <w:rFonts w:hint="eastAsia" w:ascii="宋体" w:hAnsi="宋体"/>
          <w:color w:val="auto"/>
          <w:kern w:val="0"/>
          <w:sz w:val="24"/>
          <w:szCs w:val="22"/>
        </w:rPr>
        <w:t>的材料、设备货款及民工工资，并从应付给承包人的工程款中扣除相应款项。对恶</w:t>
      </w:r>
      <w:r>
        <w:rPr>
          <w:rFonts w:hint="eastAsia" w:ascii="宋体" w:hAnsi="宋体"/>
          <w:color w:val="auto"/>
          <w:spacing w:val="-108"/>
          <w:kern w:val="0"/>
          <w:sz w:val="24"/>
          <w:szCs w:val="22"/>
        </w:rPr>
        <w:t xml:space="preserve"> </w:t>
      </w:r>
      <w:r>
        <w:rPr>
          <w:rFonts w:hint="eastAsia" w:ascii="宋体" w:hAnsi="宋体"/>
          <w:color w:val="auto"/>
          <w:kern w:val="0"/>
          <w:sz w:val="24"/>
          <w:szCs w:val="22"/>
        </w:rPr>
        <w:t>意拖欠和拒不按计划支付的，作为不良记录纳入公路建设市场信用信息管理系统。</w:t>
      </w:r>
      <w:r>
        <w:rPr>
          <w:rFonts w:hint="eastAsia" w:ascii="宋体" w:hAnsi="宋体"/>
          <w:color w:val="auto"/>
          <w:spacing w:val="-4"/>
          <w:kern w:val="0"/>
          <w:sz w:val="24"/>
          <w:szCs w:val="22"/>
        </w:rPr>
        <w:t>承包人的项目经理部是民工工资支付行为的主体，承包人的项目经理是民工工资</w:t>
      </w:r>
      <w:r>
        <w:rPr>
          <w:rFonts w:hint="eastAsia" w:ascii="宋体" w:hAnsi="宋体"/>
          <w:color w:val="auto"/>
          <w:kern w:val="0"/>
          <w:sz w:val="24"/>
          <w:szCs w:val="22"/>
        </w:rPr>
        <w:t xml:space="preserve"> 支付的责任人。项目经理部要建立全体民工花名册和工资支付表，确保将工资直接</w:t>
      </w:r>
      <w:r>
        <w:rPr>
          <w:rFonts w:hint="eastAsia" w:ascii="宋体" w:hAnsi="宋体"/>
          <w:color w:val="auto"/>
          <w:spacing w:val="-114"/>
          <w:kern w:val="0"/>
          <w:sz w:val="24"/>
          <w:szCs w:val="22"/>
        </w:rPr>
        <w:t xml:space="preserve"> </w:t>
      </w:r>
      <w:r>
        <w:rPr>
          <w:rFonts w:hint="eastAsia" w:ascii="宋体" w:hAnsi="宋体"/>
          <w:color w:val="auto"/>
          <w:kern w:val="0"/>
          <w:sz w:val="24"/>
          <w:szCs w:val="22"/>
        </w:rPr>
        <w:t>发放给民工本人，或委托银行发放民工工资，严禁发放给“包工头”或其他不具备用工主体资格的组织和个人。</w:t>
      </w:r>
      <w:r>
        <w:rPr>
          <w:rFonts w:hint="eastAsia" w:ascii="宋体" w:hAnsi="宋体"/>
          <w:color w:val="auto"/>
          <w:spacing w:val="-4"/>
          <w:kern w:val="0"/>
          <w:sz w:val="24"/>
          <w:szCs w:val="22"/>
        </w:rPr>
        <w:t>工资支付表应如实记录支付单位、支付时间、支付对象、支付数额、支付对象的</w:t>
      </w:r>
      <w:r>
        <w:rPr>
          <w:rFonts w:hint="eastAsia" w:ascii="宋体" w:hAnsi="宋体"/>
          <w:color w:val="auto"/>
          <w:kern w:val="0"/>
          <w:sz w:val="24"/>
          <w:szCs w:val="22"/>
        </w:rPr>
        <w:t>身份证号和签字等信息。民工花名册和工资支付表应报监理人备查。</w:t>
      </w:r>
    </w:p>
    <w:p w14:paraId="4B8E68F9">
      <w:pPr>
        <w:kinsoku w:val="0"/>
        <w:overflowPunct w:val="0"/>
        <w:autoSpaceDE w:val="0"/>
        <w:autoSpaceDN w:val="0"/>
        <w:spacing w:before="84" w:line="240" w:lineRule="auto"/>
        <w:ind w:right="102" w:firstLine="480"/>
        <w:rPr>
          <w:rFonts w:hint="eastAsia" w:ascii="宋体" w:hAnsi="宋体"/>
          <w:color w:val="auto"/>
          <w:kern w:val="0"/>
          <w:sz w:val="24"/>
          <w:szCs w:val="22"/>
        </w:rPr>
      </w:pPr>
      <w:r>
        <w:rPr>
          <w:rFonts w:hint="eastAsia" w:ascii="宋体" w:hAnsi="宋体"/>
          <w:color w:val="auto"/>
          <w:kern w:val="0"/>
          <w:sz w:val="24"/>
          <w:szCs w:val="22"/>
        </w:rPr>
        <w:t>（4）承包人应分解工程价款中的人工费用，在工程项目所在地银行开设民工工 资（劳务费）专用账户，专项用于支付民工工资。发包人应按照本合同约定的比例</w:t>
      </w:r>
      <w:r>
        <w:rPr>
          <w:rFonts w:hint="eastAsia" w:ascii="宋体" w:hAnsi="宋体"/>
          <w:color w:val="auto"/>
          <w:spacing w:val="-93"/>
          <w:kern w:val="0"/>
          <w:sz w:val="24"/>
          <w:szCs w:val="22"/>
        </w:rPr>
        <w:t xml:space="preserve"> </w:t>
      </w:r>
      <w:r>
        <w:rPr>
          <w:rFonts w:hint="eastAsia" w:ascii="宋体" w:hAnsi="宋体"/>
          <w:color w:val="auto"/>
          <w:kern w:val="0"/>
          <w:sz w:val="24"/>
          <w:szCs w:val="22"/>
        </w:rPr>
        <w:t>或承包人提供的人工费用数额，将应付工程款中的人工费单独拨付到承包人开设的</w:t>
      </w:r>
      <w:r>
        <w:rPr>
          <w:rFonts w:hint="eastAsia" w:ascii="宋体" w:hAnsi="宋体"/>
          <w:color w:val="auto"/>
          <w:spacing w:val="-91"/>
          <w:kern w:val="0"/>
          <w:sz w:val="24"/>
          <w:szCs w:val="22"/>
        </w:rPr>
        <w:t xml:space="preserve"> </w:t>
      </w:r>
      <w:r>
        <w:rPr>
          <w:rFonts w:hint="eastAsia" w:ascii="宋体" w:hAnsi="宋体"/>
          <w:color w:val="auto"/>
          <w:kern w:val="0"/>
          <w:sz w:val="24"/>
          <w:szCs w:val="22"/>
        </w:rPr>
        <w:t>民工工资（劳务费）专用账户。民工工资（劳务费）专用账户应向人力资源社会保</w:t>
      </w:r>
      <w:r>
        <w:rPr>
          <w:rFonts w:hint="eastAsia" w:ascii="宋体" w:hAnsi="宋体"/>
          <w:color w:val="auto"/>
          <w:spacing w:val="-95"/>
          <w:kern w:val="0"/>
          <w:sz w:val="24"/>
          <w:szCs w:val="22"/>
        </w:rPr>
        <w:t xml:space="preserve"> </w:t>
      </w:r>
      <w:r>
        <w:rPr>
          <w:rFonts w:hint="eastAsia" w:ascii="宋体" w:hAnsi="宋体"/>
          <w:color w:val="auto"/>
          <w:kern w:val="0"/>
          <w:sz w:val="24"/>
          <w:szCs w:val="22"/>
        </w:rPr>
        <w:t>障部门和交通运输主管部门备案，并委托开户银行负责日常监管，确保专款专用。</w:t>
      </w:r>
      <w:r>
        <w:rPr>
          <w:rFonts w:hint="eastAsia" w:ascii="宋体" w:hAnsi="宋体"/>
          <w:color w:val="auto"/>
          <w:spacing w:val="-95"/>
          <w:kern w:val="0"/>
          <w:sz w:val="24"/>
          <w:szCs w:val="22"/>
        </w:rPr>
        <w:t xml:space="preserve"> </w:t>
      </w:r>
      <w:r>
        <w:rPr>
          <w:rFonts w:hint="eastAsia" w:ascii="宋体" w:hAnsi="宋体"/>
          <w:color w:val="auto"/>
          <w:kern w:val="0"/>
          <w:sz w:val="24"/>
          <w:szCs w:val="22"/>
        </w:rPr>
        <w:t>开户银行发现账户资金不足、被挪用等情况，应及时向人力资源社会保障部门和交</w:t>
      </w:r>
      <w:r>
        <w:rPr>
          <w:rFonts w:hint="eastAsia" w:ascii="宋体" w:hAnsi="宋体"/>
          <w:color w:val="auto"/>
          <w:spacing w:val="-95"/>
          <w:kern w:val="0"/>
          <w:sz w:val="24"/>
          <w:szCs w:val="22"/>
        </w:rPr>
        <w:t xml:space="preserve"> </w:t>
      </w:r>
      <w:r>
        <w:rPr>
          <w:rFonts w:hint="eastAsia" w:ascii="宋体" w:hAnsi="宋体"/>
          <w:color w:val="auto"/>
          <w:kern w:val="0"/>
          <w:sz w:val="24"/>
          <w:szCs w:val="22"/>
        </w:rPr>
        <w:t>通运输主管部门报告。</w:t>
      </w:r>
    </w:p>
    <w:p w14:paraId="5526970C">
      <w:pPr>
        <w:kinsoku w:val="0"/>
        <w:overflowPunct w:val="0"/>
        <w:autoSpaceDE w:val="0"/>
        <w:autoSpaceDN w:val="0"/>
        <w:spacing w:before="24" w:line="240" w:lineRule="auto"/>
        <w:ind w:right="102" w:firstLine="480"/>
        <w:rPr>
          <w:rFonts w:hint="eastAsia" w:ascii="宋体" w:hAnsi="宋体"/>
          <w:color w:val="auto"/>
          <w:kern w:val="0"/>
          <w:sz w:val="24"/>
          <w:szCs w:val="22"/>
        </w:rPr>
      </w:pPr>
      <w:r>
        <w:rPr>
          <w:rFonts w:hint="eastAsia" w:ascii="宋体" w:hAnsi="宋体"/>
          <w:color w:val="auto"/>
          <w:kern w:val="0"/>
          <w:sz w:val="24"/>
          <w:szCs w:val="22"/>
        </w:rPr>
        <w:t>（5）承包人应严格执行招标文件技术规范对施工标准化提出的具体要求，结合 本单位施工能力和技术优势，积极采取有利于标准化施工的组织方式和工艺流程，</w:t>
      </w:r>
      <w:r>
        <w:rPr>
          <w:rFonts w:hint="eastAsia" w:ascii="宋体" w:hAnsi="宋体"/>
          <w:color w:val="auto"/>
          <w:spacing w:val="-95"/>
          <w:kern w:val="0"/>
          <w:sz w:val="24"/>
          <w:szCs w:val="22"/>
        </w:rPr>
        <w:t xml:space="preserve"> </w:t>
      </w:r>
      <w:r>
        <w:rPr>
          <w:rFonts w:hint="eastAsia" w:ascii="宋体" w:hAnsi="宋体"/>
          <w:color w:val="auto"/>
          <w:kern w:val="0"/>
          <w:sz w:val="24"/>
          <w:szCs w:val="22"/>
        </w:rPr>
        <w:t>加强工地建设、工艺控制、人员管理和内业资料管理，强化对施工一线操作人员的</w:t>
      </w:r>
      <w:r>
        <w:rPr>
          <w:rFonts w:hint="eastAsia" w:ascii="宋体" w:hAnsi="宋体"/>
          <w:color w:val="auto"/>
          <w:spacing w:val="-95"/>
          <w:kern w:val="0"/>
          <w:sz w:val="24"/>
          <w:szCs w:val="22"/>
        </w:rPr>
        <w:t xml:space="preserve"> </w:t>
      </w:r>
      <w:r>
        <w:rPr>
          <w:rFonts w:hint="eastAsia" w:ascii="宋体" w:hAnsi="宋体"/>
          <w:color w:val="auto"/>
          <w:kern w:val="0"/>
          <w:sz w:val="24"/>
          <w:szCs w:val="22"/>
        </w:rPr>
        <w:t>培训，改善职工生产生活条件，与此相关的费用承包人应列入工程量清单第100章中。</w:t>
      </w:r>
    </w:p>
    <w:p w14:paraId="20E62A84">
      <w:pPr>
        <w:kinsoku w:val="0"/>
        <w:overflowPunct w:val="0"/>
        <w:autoSpaceDE w:val="0"/>
        <w:autoSpaceDN w:val="0"/>
        <w:spacing w:before="24" w:line="240" w:lineRule="auto"/>
        <w:ind w:right="102" w:firstLine="480"/>
        <w:rPr>
          <w:rFonts w:hint="eastAsia" w:ascii="宋体" w:hAnsi="宋体"/>
          <w:color w:val="auto"/>
          <w:kern w:val="0"/>
          <w:sz w:val="24"/>
          <w:szCs w:val="22"/>
        </w:rPr>
      </w:pPr>
      <w:r>
        <w:rPr>
          <w:rFonts w:hint="eastAsia" w:ascii="宋体" w:hAnsi="宋体"/>
          <w:color w:val="auto"/>
          <w:kern w:val="0"/>
          <w:sz w:val="24"/>
          <w:szCs w:val="22"/>
        </w:rPr>
        <w:t>（6）承包人应履行项目专用合同条款约定的其他义务。</w:t>
      </w:r>
    </w:p>
    <w:p w14:paraId="55509205">
      <w:pPr>
        <w:kinsoku w:val="0"/>
        <w:overflowPunct w:val="0"/>
        <w:autoSpaceDE w:val="0"/>
        <w:autoSpaceDN w:val="0"/>
        <w:spacing w:line="240" w:lineRule="auto"/>
        <w:ind w:left="144" w:right="29"/>
        <w:jc w:val="left"/>
        <w:rPr>
          <w:rFonts w:hint="eastAsia" w:ascii="宋体" w:hAnsi="宋体"/>
          <w:color w:val="auto"/>
          <w:kern w:val="0"/>
          <w:sz w:val="24"/>
          <w:szCs w:val="22"/>
        </w:rPr>
      </w:pPr>
      <w:bookmarkStart w:id="64" w:name="bookmark172"/>
      <w:bookmarkEnd w:id="64"/>
      <w:r>
        <w:rPr>
          <w:rFonts w:hint="eastAsia" w:ascii="宋体" w:hAnsi="宋体"/>
          <w:color w:val="auto"/>
          <w:kern w:val="0"/>
          <w:sz w:val="24"/>
          <w:szCs w:val="22"/>
        </w:rPr>
        <w:t>4.2</w:t>
      </w:r>
      <w:r>
        <w:rPr>
          <w:rFonts w:hint="eastAsia" w:ascii="宋体" w:hAnsi="宋体"/>
          <w:color w:val="auto"/>
          <w:spacing w:val="59"/>
          <w:kern w:val="0"/>
          <w:sz w:val="24"/>
          <w:szCs w:val="22"/>
        </w:rPr>
        <w:t xml:space="preserve"> </w:t>
      </w:r>
      <w:r>
        <w:rPr>
          <w:rFonts w:hint="eastAsia" w:ascii="宋体" w:hAnsi="宋体"/>
          <w:color w:val="auto"/>
          <w:kern w:val="0"/>
          <w:sz w:val="24"/>
          <w:szCs w:val="22"/>
        </w:rPr>
        <w:t>履约保证金</w:t>
      </w:r>
    </w:p>
    <w:p w14:paraId="0B4008C7">
      <w:pPr>
        <w:kinsoku w:val="0"/>
        <w:overflowPunct w:val="0"/>
        <w:autoSpaceDE w:val="0"/>
        <w:autoSpaceDN w:val="0"/>
        <w:spacing w:line="240" w:lineRule="auto"/>
        <w:ind w:left="144" w:right="29" w:firstLine="480"/>
        <w:jc w:val="left"/>
        <w:rPr>
          <w:rFonts w:hint="eastAsia" w:ascii="宋体" w:hAnsi="宋体"/>
          <w:color w:val="auto"/>
          <w:kern w:val="0"/>
          <w:sz w:val="24"/>
          <w:szCs w:val="22"/>
        </w:rPr>
      </w:pPr>
      <w:r>
        <w:rPr>
          <w:rFonts w:hint="eastAsia" w:ascii="宋体" w:hAnsi="宋体"/>
          <w:color w:val="auto"/>
          <w:kern w:val="0"/>
          <w:sz w:val="24"/>
          <w:szCs w:val="22"/>
        </w:rPr>
        <w:t>本款细化为： 承包人应保证其履约保证金在发包人签发交工验收证书且承包人按照合同约定</w:t>
      </w:r>
      <w:r>
        <w:rPr>
          <w:rFonts w:hint="eastAsia" w:ascii="宋体" w:hAnsi="宋体"/>
          <w:color w:val="auto"/>
          <w:spacing w:val="-3"/>
          <w:kern w:val="0"/>
          <w:sz w:val="24"/>
          <w:szCs w:val="22"/>
        </w:rPr>
        <w:t>缴纳质量保证金前一直有效。发包人应在收到承包人缴纳的质量保证金后</w:t>
      </w:r>
      <w:r>
        <w:rPr>
          <w:rFonts w:hint="eastAsia" w:ascii="宋体" w:hAnsi="宋体"/>
          <w:color w:val="auto"/>
          <w:spacing w:val="-55"/>
          <w:kern w:val="0"/>
          <w:sz w:val="24"/>
          <w:szCs w:val="22"/>
        </w:rPr>
        <w:t xml:space="preserve"> </w:t>
      </w:r>
      <w:r>
        <w:rPr>
          <w:rFonts w:hint="eastAsia" w:ascii="宋体" w:hAnsi="宋体"/>
          <w:color w:val="auto"/>
          <w:kern w:val="0"/>
          <w:sz w:val="24"/>
          <w:szCs w:val="22"/>
        </w:rPr>
        <w:t>28</w:t>
      </w:r>
      <w:r>
        <w:rPr>
          <w:rFonts w:hint="eastAsia" w:ascii="宋体" w:hAnsi="宋体"/>
          <w:color w:val="auto"/>
          <w:spacing w:val="5"/>
          <w:kern w:val="0"/>
          <w:sz w:val="24"/>
          <w:szCs w:val="22"/>
        </w:rPr>
        <w:t xml:space="preserve"> </w:t>
      </w:r>
      <w:r>
        <w:rPr>
          <w:rFonts w:hint="eastAsia" w:ascii="宋体" w:hAnsi="宋体"/>
          <w:color w:val="auto"/>
          <w:kern w:val="0"/>
          <w:sz w:val="24"/>
          <w:szCs w:val="22"/>
        </w:rPr>
        <w:t>天内将 履约保证金退还给承包人。</w:t>
      </w:r>
    </w:p>
    <w:p w14:paraId="285482DD">
      <w:pPr>
        <w:kinsoku w:val="0"/>
        <w:overflowPunct w:val="0"/>
        <w:autoSpaceDE w:val="0"/>
        <w:autoSpaceDN w:val="0"/>
        <w:spacing w:before="38" w:line="240" w:lineRule="auto"/>
        <w:ind w:left="144" w:right="107" w:firstLine="479"/>
        <w:rPr>
          <w:rFonts w:hint="eastAsia" w:ascii="宋体" w:hAnsi="宋体"/>
          <w:color w:val="auto"/>
          <w:kern w:val="0"/>
          <w:sz w:val="24"/>
          <w:szCs w:val="22"/>
        </w:rPr>
      </w:pPr>
      <w:r>
        <w:rPr>
          <w:rFonts w:hint="eastAsia" w:ascii="宋体" w:hAnsi="宋体"/>
          <w:color w:val="auto"/>
          <w:kern w:val="0"/>
          <w:sz w:val="24"/>
          <w:szCs w:val="22"/>
        </w:rPr>
        <w:t>承包人拒绝按照本合同约定缴纳质量保证金的，发包人有权从交工付款证书中 扣留相应金额作为质量保证金，或者直接将履约保证金金额用于保证承包人在缺陷</w:t>
      </w:r>
      <w:r>
        <w:rPr>
          <w:rFonts w:hint="eastAsia" w:ascii="宋体" w:hAnsi="宋体"/>
          <w:color w:val="auto"/>
          <w:spacing w:val="-92"/>
          <w:kern w:val="0"/>
          <w:sz w:val="24"/>
          <w:szCs w:val="22"/>
        </w:rPr>
        <w:t xml:space="preserve"> </w:t>
      </w:r>
      <w:r>
        <w:rPr>
          <w:rFonts w:hint="eastAsia" w:ascii="宋体" w:hAnsi="宋体"/>
          <w:color w:val="auto"/>
          <w:kern w:val="0"/>
          <w:sz w:val="24"/>
          <w:szCs w:val="22"/>
        </w:rPr>
        <w:t>责任期内履行缺陷修复义务。</w:t>
      </w:r>
    </w:p>
    <w:p w14:paraId="10396E42">
      <w:pPr>
        <w:kinsoku w:val="0"/>
        <w:overflowPunct w:val="0"/>
        <w:autoSpaceDE w:val="0"/>
        <w:autoSpaceDN w:val="0"/>
        <w:spacing w:line="240" w:lineRule="auto"/>
        <w:ind w:left="144" w:right="29"/>
        <w:jc w:val="left"/>
        <w:rPr>
          <w:rFonts w:hint="eastAsia" w:ascii="宋体" w:hAnsi="宋体"/>
          <w:color w:val="auto"/>
          <w:kern w:val="0"/>
          <w:sz w:val="24"/>
          <w:szCs w:val="22"/>
        </w:rPr>
      </w:pPr>
      <w:bookmarkStart w:id="65" w:name="bookmark173"/>
      <w:bookmarkEnd w:id="65"/>
      <w:r>
        <w:rPr>
          <w:rFonts w:hint="eastAsia" w:ascii="宋体" w:hAnsi="宋体"/>
          <w:color w:val="auto"/>
          <w:kern w:val="0"/>
          <w:sz w:val="24"/>
          <w:szCs w:val="22"/>
        </w:rPr>
        <w:t>4.3</w:t>
      </w:r>
      <w:r>
        <w:rPr>
          <w:rFonts w:hint="eastAsia" w:ascii="宋体" w:hAnsi="宋体"/>
          <w:color w:val="auto"/>
          <w:spacing w:val="59"/>
          <w:kern w:val="0"/>
          <w:sz w:val="24"/>
          <w:szCs w:val="22"/>
        </w:rPr>
        <w:t xml:space="preserve"> </w:t>
      </w:r>
      <w:r>
        <w:rPr>
          <w:rFonts w:hint="eastAsia" w:ascii="宋体" w:hAnsi="宋体"/>
          <w:color w:val="auto"/>
          <w:kern w:val="0"/>
          <w:sz w:val="24"/>
          <w:szCs w:val="22"/>
        </w:rPr>
        <w:t>分包</w:t>
      </w:r>
    </w:p>
    <w:p w14:paraId="2D0C0729">
      <w:pPr>
        <w:kinsoku w:val="0"/>
        <w:overflowPunct w:val="0"/>
        <w:autoSpaceDE w:val="0"/>
        <w:autoSpaceDN w:val="0"/>
        <w:spacing w:line="240" w:lineRule="auto"/>
        <w:ind w:right="29" w:firstLine="480"/>
        <w:jc w:val="left"/>
        <w:rPr>
          <w:rFonts w:hint="eastAsia" w:ascii="宋体" w:hAnsi="宋体"/>
          <w:color w:val="auto"/>
          <w:kern w:val="0"/>
          <w:sz w:val="24"/>
          <w:szCs w:val="22"/>
        </w:rPr>
      </w:pPr>
      <w:r>
        <w:rPr>
          <w:rFonts w:hint="eastAsia" w:ascii="宋体" w:hAnsi="宋体"/>
          <w:color w:val="auto"/>
          <w:kern w:val="0"/>
          <w:sz w:val="24"/>
          <w:szCs w:val="22"/>
        </w:rPr>
        <w:t>第</w:t>
      </w:r>
      <w:r>
        <w:rPr>
          <w:rFonts w:hint="eastAsia" w:ascii="宋体" w:hAnsi="宋体"/>
          <w:color w:val="auto"/>
          <w:spacing w:val="-60"/>
          <w:kern w:val="0"/>
          <w:sz w:val="24"/>
          <w:szCs w:val="22"/>
        </w:rPr>
        <w:t xml:space="preserve"> </w:t>
      </w:r>
      <w:r>
        <w:rPr>
          <w:rFonts w:hint="eastAsia" w:ascii="宋体" w:hAnsi="宋体"/>
          <w:color w:val="auto"/>
          <w:kern w:val="0"/>
          <w:sz w:val="24"/>
          <w:szCs w:val="22"/>
        </w:rPr>
        <w:t>4.3.2 项～第</w:t>
      </w:r>
      <w:r>
        <w:rPr>
          <w:rFonts w:hint="eastAsia" w:ascii="宋体" w:hAnsi="宋体"/>
          <w:color w:val="auto"/>
          <w:spacing w:val="-60"/>
          <w:kern w:val="0"/>
          <w:sz w:val="24"/>
          <w:szCs w:val="22"/>
        </w:rPr>
        <w:t xml:space="preserve"> </w:t>
      </w:r>
      <w:r>
        <w:rPr>
          <w:rFonts w:hint="eastAsia" w:ascii="宋体" w:hAnsi="宋体"/>
          <w:color w:val="auto"/>
          <w:kern w:val="0"/>
          <w:sz w:val="24"/>
          <w:szCs w:val="22"/>
        </w:rPr>
        <w:t>4.3.4 项细化为：</w:t>
      </w:r>
    </w:p>
    <w:p w14:paraId="09AEC52C">
      <w:pPr>
        <w:kinsoku w:val="0"/>
        <w:overflowPunct w:val="0"/>
        <w:autoSpaceDE w:val="0"/>
        <w:autoSpaceDN w:val="0"/>
        <w:spacing w:before="68" w:line="240" w:lineRule="auto"/>
        <w:ind w:right="105" w:firstLine="480"/>
        <w:rPr>
          <w:rFonts w:hint="eastAsia" w:ascii="宋体" w:hAnsi="宋体"/>
          <w:color w:val="auto"/>
          <w:kern w:val="0"/>
          <w:sz w:val="24"/>
          <w:szCs w:val="22"/>
        </w:rPr>
      </w:pPr>
      <w:r>
        <w:rPr>
          <w:rFonts w:hint="eastAsia" w:ascii="宋体" w:hAnsi="宋体"/>
          <w:color w:val="auto"/>
          <w:kern w:val="0"/>
          <w:sz w:val="24"/>
          <w:szCs w:val="22"/>
        </w:rPr>
        <w:t>4.3.2</w:t>
      </w:r>
      <w:r>
        <w:rPr>
          <w:rFonts w:hint="eastAsia" w:ascii="宋体" w:hAnsi="宋体"/>
          <w:color w:val="auto"/>
          <w:spacing w:val="10"/>
          <w:kern w:val="0"/>
          <w:sz w:val="24"/>
          <w:szCs w:val="22"/>
        </w:rPr>
        <w:t xml:space="preserve"> </w:t>
      </w:r>
      <w:r>
        <w:rPr>
          <w:rFonts w:hint="eastAsia" w:ascii="宋体" w:hAnsi="宋体"/>
          <w:color w:val="auto"/>
          <w:spacing w:val="-3"/>
          <w:kern w:val="0"/>
          <w:sz w:val="24"/>
          <w:szCs w:val="22"/>
        </w:rPr>
        <w:t>承包人不得将工程关键性工作分包给第三人。经发包人同意，承包人可将</w:t>
      </w:r>
      <w:r>
        <w:rPr>
          <w:rFonts w:hint="eastAsia" w:ascii="宋体" w:hAnsi="宋体"/>
          <w:color w:val="auto"/>
          <w:kern w:val="0"/>
          <w:sz w:val="24"/>
          <w:szCs w:val="22"/>
        </w:rPr>
        <w:t xml:space="preserve"> 工程的其他部分或工作分包给第三人。分包包括专业分包和劳务分包。</w:t>
      </w:r>
    </w:p>
    <w:p w14:paraId="2A3CD6D9">
      <w:pPr>
        <w:kinsoku w:val="0"/>
        <w:overflowPunct w:val="0"/>
        <w:autoSpaceDE w:val="0"/>
        <w:autoSpaceDN w:val="0"/>
        <w:spacing w:before="68" w:line="240" w:lineRule="auto"/>
        <w:ind w:right="105" w:firstLine="432" w:firstLineChars="180"/>
        <w:rPr>
          <w:rFonts w:hint="eastAsia" w:ascii="宋体" w:hAnsi="宋体"/>
          <w:color w:val="auto"/>
          <w:kern w:val="0"/>
          <w:sz w:val="24"/>
          <w:szCs w:val="22"/>
        </w:rPr>
      </w:pPr>
      <w:r>
        <w:rPr>
          <w:rFonts w:hint="eastAsia" w:ascii="宋体" w:hAnsi="宋体"/>
          <w:color w:val="auto"/>
          <w:kern w:val="0"/>
          <w:sz w:val="24"/>
          <w:szCs w:val="22"/>
        </w:rPr>
        <w:t>4.3.3 专业分包 在工程施工过程中，承包人进行专业分包必须遵守以下规定：</w:t>
      </w:r>
    </w:p>
    <w:p w14:paraId="6273FE77">
      <w:pPr>
        <w:kinsoku w:val="0"/>
        <w:overflowPunct w:val="0"/>
        <w:autoSpaceDE w:val="0"/>
        <w:autoSpaceDN w:val="0"/>
        <w:spacing w:before="68" w:line="240" w:lineRule="auto"/>
        <w:ind w:right="105" w:firstLine="421" w:firstLineChars="180"/>
        <w:rPr>
          <w:rFonts w:hint="eastAsia" w:ascii="宋体" w:hAnsi="宋体"/>
          <w:color w:val="auto"/>
          <w:spacing w:val="-3"/>
          <w:kern w:val="0"/>
          <w:sz w:val="24"/>
          <w:szCs w:val="22"/>
        </w:rPr>
      </w:pPr>
      <w:r>
        <w:rPr>
          <w:rFonts w:hint="eastAsia" w:ascii="宋体" w:hAnsi="宋体"/>
          <w:color w:val="auto"/>
          <w:spacing w:val="-3"/>
          <w:kern w:val="0"/>
          <w:sz w:val="24"/>
          <w:szCs w:val="22"/>
        </w:rPr>
        <w:t>（1）允许专业分包的工程范围仅限于非关键性工程或者适合专业化队伍施工的</w:t>
      </w:r>
      <w:r>
        <w:rPr>
          <w:rFonts w:hint="eastAsia" w:ascii="宋体" w:hAnsi="宋体"/>
          <w:color w:val="auto"/>
          <w:kern w:val="0"/>
          <w:sz w:val="24"/>
          <w:szCs w:val="22"/>
        </w:rPr>
        <w:t xml:space="preserve"> 专项工程。未列入投标文件的专项工程，承包人不得分包。但因工程变更增加了有</w:t>
      </w:r>
      <w:r>
        <w:rPr>
          <w:rFonts w:hint="eastAsia" w:ascii="宋体" w:hAnsi="宋体"/>
          <w:color w:val="auto"/>
          <w:spacing w:val="-95"/>
          <w:kern w:val="0"/>
          <w:sz w:val="24"/>
          <w:szCs w:val="22"/>
        </w:rPr>
        <w:t xml:space="preserve"> </w:t>
      </w:r>
      <w:r>
        <w:rPr>
          <w:rFonts w:hint="eastAsia" w:ascii="宋体" w:hAnsi="宋体"/>
          <w:color w:val="auto"/>
          <w:kern w:val="0"/>
          <w:sz w:val="24"/>
          <w:szCs w:val="22"/>
        </w:rPr>
        <w:t>特殊性技术要求、特殊工艺或者涉及专利保护等的专项工程，且按规定无须再进行</w:t>
      </w:r>
      <w:r>
        <w:rPr>
          <w:rFonts w:hint="eastAsia" w:ascii="宋体" w:hAnsi="宋体"/>
          <w:color w:val="auto"/>
          <w:spacing w:val="-95"/>
          <w:kern w:val="0"/>
          <w:sz w:val="24"/>
          <w:szCs w:val="22"/>
        </w:rPr>
        <w:t xml:space="preserve"> </w:t>
      </w:r>
      <w:r>
        <w:rPr>
          <w:rFonts w:hint="eastAsia" w:ascii="宋体" w:hAnsi="宋体"/>
          <w:color w:val="auto"/>
          <w:kern w:val="0"/>
          <w:sz w:val="24"/>
          <w:szCs w:val="22"/>
        </w:rPr>
        <w:t>招标的，由承包人提出书面申请，经发包人书面同意，可以分包。</w:t>
      </w:r>
    </w:p>
    <w:p w14:paraId="12A075DD">
      <w:pPr>
        <w:kinsoku w:val="0"/>
        <w:overflowPunct w:val="0"/>
        <w:autoSpaceDE w:val="0"/>
        <w:autoSpaceDN w:val="0"/>
        <w:spacing w:before="68" w:line="240" w:lineRule="auto"/>
        <w:ind w:right="105" w:firstLine="421" w:firstLineChars="180"/>
        <w:rPr>
          <w:rFonts w:hint="eastAsia" w:ascii="宋体" w:hAnsi="宋体"/>
          <w:color w:val="auto"/>
          <w:spacing w:val="-3"/>
          <w:kern w:val="0"/>
          <w:sz w:val="24"/>
          <w:szCs w:val="22"/>
        </w:rPr>
      </w:pPr>
      <w:r>
        <w:rPr>
          <w:rFonts w:hint="eastAsia" w:ascii="宋体" w:hAnsi="宋体"/>
          <w:color w:val="auto"/>
          <w:spacing w:val="-3"/>
          <w:kern w:val="0"/>
          <w:sz w:val="24"/>
          <w:szCs w:val="22"/>
        </w:rPr>
        <w:t>（2）专业分包人的资格能力（含安全生产能力）应与其分包工程的标准和规模</w:t>
      </w:r>
      <w:r>
        <w:rPr>
          <w:rFonts w:hint="eastAsia" w:ascii="宋体" w:hAnsi="宋体"/>
          <w:color w:val="auto"/>
          <w:kern w:val="0"/>
          <w:sz w:val="24"/>
          <w:szCs w:val="22"/>
        </w:rPr>
        <w:t xml:space="preserve"> 相适应，且应当具备如下条件：</w:t>
      </w:r>
    </w:p>
    <w:p w14:paraId="21BFC55D">
      <w:pPr>
        <w:kinsoku w:val="0"/>
        <w:overflowPunct w:val="0"/>
        <w:autoSpaceDE w:val="0"/>
        <w:autoSpaceDN w:val="0"/>
        <w:spacing w:before="38" w:line="240" w:lineRule="auto"/>
        <w:ind w:left="624"/>
        <w:jc w:val="left"/>
        <w:rPr>
          <w:rFonts w:hint="eastAsia" w:ascii="宋体" w:hAnsi="宋体"/>
          <w:color w:val="auto"/>
          <w:kern w:val="0"/>
          <w:sz w:val="24"/>
          <w:szCs w:val="22"/>
        </w:rPr>
      </w:pPr>
      <w:r>
        <w:rPr>
          <w:rFonts w:hint="eastAsia" w:ascii="宋体" w:hAnsi="宋体"/>
          <w:color w:val="auto"/>
          <w:kern w:val="0"/>
          <w:sz w:val="24"/>
          <w:szCs w:val="22"/>
        </w:rPr>
        <w:t>a.</w:t>
      </w:r>
      <w:r>
        <w:rPr>
          <w:rFonts w:hint="eastAsia" w:ascii="宋体" w:hAnsi="宋体"/>
          <w:color w:val="auto"/>
          <w:spacing w:val="59"/>
          <w:kern w:val="0"/>
          <w:sz w:val="24"/>
          <w:szCs w:val="22"/>
        </w:rPr>
        <w:t xml:space="preserve"> </w:t>
      </w:r>
      <w:r>
        <w:rPr>
          <w:rFonts w:hint="eastAsia" w:ascii="宋体" w:hAnsi="宋体"/>
          <w:color w:val="auto"/>
          <w:kern w:val="0"/>
          <w:sz w:val="24"/>
          <w:szCs w:val="22"/>
        </w:rPr>
        <w:t>具有经工商登记的法人资格；</w:t>
      </w:r>
    </w:p>
    <w:p w14:paraId="58764A5C">
      <w:pPr>
        <w:kinsoku w:val="0"/>
        <w:overflowPunct w:val="0"/>
        <w:autoSpaceDE w:val="0"/>
        <w:autoSpaceDN w:val="0"/>
        <w:spacing w:before="68" w:line="240" w:lineRule="auto"/>
        <w:ind w:left="624"/>
        <w:jc w:val="left"/>
        <w:rPr>
          <w:rFonts w:hint="eastAsia" w:ascii="宋体" w:hAnsi="宋体"/>
          <w:color w:val="auto"/>
          <w:kern w:val="0"/>
          <w:sz w:val="24"/>
          <w:szCs w:val="22"/>
        </w:rPr>
      </w:pPr>
      <w:r>
        <w:rPr>
          <w:rFonts w:hint="eastAsia" w:ascii="宋体" w:hAnsi="宋体"/>
          <w:color w:val="auto"/>
          <w:kern w:val="0"/>
          <w:sz w:val="24"/>
          <w:szCs w:val="22"/>
        </w:rPr>
        <w:t>b.  具有从事类似工程经验的管理与技术人员；</w:t>
      </w:r>
    </w:p>
    <w:p w14:paraId="763C9B56">
      <w:pPr>
        <w:kinsoku w:val="0"/>
        <w:overflowPunct w:val="0"/>
        <w:autoSpaceDE w:val="0"/>
        <w:autoSpaceDN w:val="0"/>
        <w:spacing w:before="66" w:line="240" w:lineRule="auto"/>
        <w:ind w:left="624"/>
        <w:jc w:val="left"/>
        <w:rPr>
          <w:rFonts w:hint="eastAsia" w:ascii="宋体" w:hAnsi="宋体"/>
          <w:color w:val="auto"/>
          <w:kern w:val="0"/>
          <w:sz w:val="24"/>
          <w:szCs w:val="22"/>
        </w:rPr>
      </w:pPr>
      <w:r>
        <w:rPr>
          <w:rFonts w:hint="eastAsia" w:ascii="宋体" w:hAnsi="宋体"/>
          <w:color w:val="auto"/>
          <w:kern w:val="0"/>
          <w:sz w:val="24"/>
          <w:szCs w:val="22"/>
        </w:rPr>
        <w:t>c.</w:t>
      </w:r>
      <w:r>
        <w:rPr>
          <w:rFonts w:hint="eastAsia" w:ascii="宋体" w:hAnsi="宋体"/>
          <w:color w:val="auto"/>
          <w:spacing w:val="59"/>
          <w:kern w:val="0"/>
          <w:sz w:val="24"/>
          <w:szCs w:val="22"/>
        </w:rPr>
        <w:t xml:space="preserve"> </w:t>
      </w:r>
      <w:r>
        <w:rPr>
          <w:rFonts w:hint="eastAsia" w:ascii="宋体" w:hAnsi="宋体"/>
          <w:color w:val="auto"/>
          <w:kern w:val="0"/>
          <w:sz w:val="24"/>
          <w:szCs w:val="22"/>
        </w:rPr>
        <w:t>具有（自有或租赁）分包工程所需的施工设备。 承包人应向</w:t>
      </w:r>
      <w:r>
        <w:rPr>
          <w:rFonts w:hint="eastAsia" w:ascii="宋体" w:hAnsi="宋体"/>
          <w:color w:val="auto"/>
          <w:kern w:val="0"/>
          <w:sz w:val="24"/>
          <w:szCs w:val="22"/>
          <w:lang w:val="en-US" w:eastAsia="zh-CN"/>
        </w:rPr>
        <w:t>发包</w:t>
      </w:r>
      <w:r>
        <w:rPr>
          <w:rFonts w:hint="eastAsia" w:ascii="宋体" w:hAnsi="宋体"/>
          <w:color w:val="auto"/>
          <w:kern w:val="0"/>
          <w:sz w:val="24"/>
          <w:szCs w:val="22"/>
        </w:rPr>
        <w:t>人提交专业分包人的资格能力证明材料，经</w:t>
      </w:r>
      <w:r>
        <w:rPr>
          <w:rFonts w:hint="eastAsia" w:ascii="宋体" w:hAnsi="宋体"/>
          <w:color w:val="auto"/>
          <w:kern w:val="0"/>
          <w:sz w:val="24"/>
          <w:szCs w:val="22"/>
          <w:lang w:val="en-US" w:eastAsia="zh-CN"/>
        </w:rPr>
        <w:t>发包</w:t>
      </w:r>
      <w:r>
        <w:rPr>
          <w:rFonts w:hint="eastAsia" w:ascii="宋体" w:hAnsi="宋体"/>
          <w:color w:val="auto"/>
          <w:kern w:val="0"/>
          <w:sz w:val="24"/>
          <w:szCs w:val="22"/>
        </w:rPr>
        <w:t>人审查并报发</w:t>
      </w:r>
    </w:p>
    <w:p w14:paraId="174CE12F">
      <w:pPr>
        <w:kinsoku w:val="0"/>
        <w:overflowPunct w:val="0"/>
        <w:autoSpaceDE w:val="0"/>
        <w:autoSpaceDN w:val="0"/>
        <w:spacing w:before="36" w:line="240" w:lineRule="auto"/>
        <w:ind w:right="2755"/>
        <w:jc w:val="center"/>
        <w:rPr>
          <w:rFonts w:hint="eastAsia" w:ascii="宋体" w:hAnsi="宋体"/>
          <w:color w:val="auto"/>
          <w:kern w:val="0"/>
          <w:sz w:val="24"/>
          <w:szCs w:val="22"/>
        </w:rPr>
      </w:pPr>
      <w:r>
        <w:rPr>
          <w:rFonts w:hint="eastAsia" w:ascii="宋体" w:hAnsi="宋体"/>
          <w:color w:val="auto"/>
          <w:kern w:val="0"/>
          <w:sz w:val="24"/>
          <w:szCs w:val="22"/>
        </w:rPr>
        <w:t>包人批准后，可以将相应专业工程分包给该专业分包人。</w:t>
      </w:r>
    </w:p>
    <w:p w14:paraId="789657D0">
      <w:pPr>
        <w:kinsoku w:val="0"/>
        <w:overflowPunct w:val="0"/>
        <w:autoSpaceDE w:val="0"/>
        <w:autoSpaceDN w:val="0"/>
        <w:spacing w:before="36" w:line="240" w:lineRule="auto"/>
        <w:ind w:right="2755" w:firstLine="480"/>
        <w:rPr>
          <w:rFonts w:hint="eastAsia" w:ascii="宋体" w:hAnsi="宋体"/>
          <w:color w:val="auto"/>
          <w:kern w:val="0"/>
          <w:sz w:val="24"/>
          <w:szCs w:val="22"/>
        </w:rPr>
      </w:pPr>
      <w:r>
        <w:rPr>
          <w:rFonts w:hint="eastAsia" w:ascii="宋体" w:hAnsi="宋体"/>
          <w:color w:val="auto"/>
          <w:kern w:val="0"/>
          <w:sz w:val="24"/>
          <w:szCs w:val="22"/>
        </w:rPr>
        <w:t>（3）专业分包工程不得再次分包。</w:t>
      </w:r>
    </w:p>
    <w:p w14:paraId="29D9EFF4">
      <w:pPr>
        <w:kinsoku w:val="0"/>
        <w:overflowPunct w:val="0"/>
        <w:autoSpaceDE w:val="0"/>
        <w:autoSpaceDN w:val="0"/>
        <w:spacing w:before="68" w:line="240" w:lineRule="auto"/>
        <w:ind w:right="101" w:firstLine="468"/>
        <w:rPr>
          <w:rFonts w:hint="eastAsia" w:ascii="宋体" w:hAnsi="宋体"/>
          <w:color w:val="auto"/>
          <w:spacing w:val="-3"/>
          <w:kern w:val="0"/>
          <w:sz w:val="24"/>
          <w:szCs w:val="22"/>
        </w:rPr>
      </w:pPr>
      <w:r>
        <w:rPr>
          <w:rFonts w:hint="eastAsia" w:ascii="宋体" w:hAnsi="宋体"/>
          <w:color w:val="auto"/>
          <w:spacing w:val="-3"/>
          <w:kern w:val="0"/>
          <w:sz w:val="24"/>
          <w:szCs w:val="22"/>
        </w:rPr>
        <w:t>（4）承包人和专业分包人应当按照交通运输主管部门制定的统一格式依法签订</w:t>
      </w:r>
      <w:r>
        <w:rPr>
          <w:rFonts w:hint="eastAsia" w:ascii="宋体" w:hAnsi="宋体"/>
          <w:color w:val="auto"/>
          <w:kern w:val="0"/>
          <w:sz w:val="24"/>
          <w:szCs w:val="22"/>
        </w:rPr>
        <w:t>专业分包合同，并履行合同约定的义务。专业分包合同必须遵循承包合同的各项原</w:t>
      </w:r>
      <w:r>
        <w:rPr>
          <w:rFonts w:hint="eastAsia" w:ascii="宋体" w:hAnsi="宋体"/>
          <w:color w:val="auto"/>
          <w:spacing w:val="-95"/>
          <w:kern w:val="0"/>
          <w:sz w:val="24"/>
          <w:szCs w:val="22"/>
        </w:rPr>
        <w:t xml:space="preserve"> </w:t>
      </w:r>
      <w:r>
        <w:rPr>
          <w:rFonts w:hint="eastAsia" w:ascii="宋体" w:hAnsi="宋体"/>
          <w:color w:val="auto"/>
          <w:kern w:val="0"/>
          <w:sz w:val="24"/>
          <w:szCs w:val="22"/>
        </w:rPr>
        <w:t>则，满足承包合同中的质量、安全、进度、环保以及其他技术、经济等要求。专业</w:t>
      </w:r>
      <w:r>
        <w:rPr>
          <w:rFonts w:hint="eastAsia" w:ascii="宋体" w:hAnsi="宋体"/>
          <w:color w:val="auto"/>
          <w:spacing w:val="-95"/>
          <w:kern w:val="0"/>
          <w:sz w:val="24"/>
          <w:szCs w:val="22"/>
        </w:rPr>
        <w:t xml:space="preserve"> </w:t>
      </w:r>
      <w:r>
        <w:rPr>
          <w:rFonts w:hint="eastAsia" w:ascii="宋体" w:hAnsi="宋体"/>
          <w:color w:val="auto"/>
          <w:kern w:val="0"/>
          <w:sz w:val="24"/>
          <w:szCs w:val="22"/>
        </w:rPr>
        <w:t>分包合同必须明确约定工程款支付条款、结算方式以及保证按期支付的相应措施，</w:t>
      </w:r>
      <w:r>
        <w:rPr>
          <w:rFonts w:hint="eastAsia" w:ascii="宋体" w:hAnsi="宋体"/>
          <w:color w:val="auto"/>
          <w:spacing w:val="-95"/>
          <w:kern w:val="0"/>
          <w:sz w:val="24"/>
          <w:szCs w:val="22"/>
        </w:rPr>
        <w:t xml:space="preserve"> </w:t>
      </w:r>
      <w:r>
        <w:rPr>
          <w:rFonts w:hint="eastAsia" w:ascii="宋体" w:hAnsi="宋体"/>
          <w:color w:val="auto"/>
          <w:kern w:val="0"/>
          <w:sz w:val="24"/>
          <w:szCs w:val="22"/>
        </w:rPr>
        <w:t>确保工程款的支付。承包人应在工程实施前，将经</w:t>
      </w:r>
      <w:r>
        <w:rPr>
          <w:rFonts w:hint="eastAsia" w:ascii="宋体" w:hAnsi="宋体"/>
          <w:color w:val="auto"/>
          <w:kern w:val="0"/>
          <w:sz w:val="24"/>
          <w:szCs w:val="22"/>
          <w:lang w:val="en-US" w:eastAsia="zh-CN"/>
        </w:rPr>
        <w:t>发包</w:t>
      </w:r>
      <w:r>
        <w:rPr>
          <w:rFonts w:hint="eastAsia" w:ascii="宋体" w:hAnsi="宋体"/>
          <w:color w:val="auto"/>
          <w:kern w:val="0"/>
          <w:sz w:val="24"/>
          <w:szCs w:val="22"/>
        </w:rPr>
        <w:t>人审查同意后的分包合同报</w:t>
      </w:r>
      <w:r>
        <w:rPr>
          <w:rFonts w:hint="eastAsia" w:ascii="宋体" w:hAnsi="宋体"/>
          <w:color w:val="auto"/>
          <w:spacing w:val="-95"/>
          <w:kern w:val="0"/>
          <w:sz w:val="24"/>
          <w:szCs w:val="22"/>
        </w:rPr>
        <w:t xml:space="preserve"> </w:t>
      </w:r>
      <w:r>
        <w:rPr>
          <w:rFonts w:hint="eastAsia" w:ascii="宋体" w:hAnsi="宋体"/>
          <w:color w:val="auto"/>
          <w:kern w:val="0"/>
          <w:sz w:val="24"/>
          <w:szCs w:val="22"/>
        </w:rPr>
        <w:t>发包人备案。</w:t>
      </w:r>
    </w:p>
    <w:p w14:paraId="26A340EE">
      <w:pPr>
        <w:kinsoku w:val="0"/>
        <w:overflowPunct w:val="0"/>
        <w:autoSpaceDE w:val="0"/>
        <w:autoSpaceDN w:val="0"/>
        <w:spacing w:before="24"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（5）专业分包人应当设立项目管理机构，对所分包工程的施工活动实施管理。 项目管理机构应当具有与分包工程的规模、技术复杂程度相适应的技术、经济管理</w:t>
      </w:r>
      <w:r>
        <w:rPr>
          <w:rFonts w:hint="eastAsia" w:ascii="宋体" w:hAnsi="宋体"/>
          <w:color w:val="auto"/>
          <w:spacing w:val="-95"/>
          <w:kern w:val="0"/>
          <w:sz w:val="24"/>
          <w:szCs w:val="22"/>
        </w:rPr>
        <w:t xml:space="preserve"> </w:t>
      </w:r>
      <w:r>
        <w:rPr>
          <w:rFonts w:hint="eastAsia" w:ascii="宋体" w:hAnsi="宋体"/>
          <w:color w:val="auto"/>
          <w:kern w:val="0"/>
          <w:sz w:val="24"/>
          <w:szCs w:val="22"/>
        </w:rPr>
        <w:t>人员，其中项目负责人和技术、财务、计量、质量、安全等主要管理人员必须是专</w:t>
      </w:r>
      <w:r>
        <w:rPr>
          <w:rFonts w:hint="eastAsia" w:ascii="宋体" w:hAnsi="宋体"/>
          <w:color w:val="auto"/>
          <w:spacing w:val="-95"/>
          <w:kern w:val="0"/>
          <w:sz w:val="24"/>
          <w:szCs w:val="22"/>
        </w:rPr>
        <w:t xml:space="preserve"> </w:t>
      </w:r>
      <w:r>
        <w:rPr>
          <w:rFonts w:hint="eastAsia" w:ascii="宋体" w:hAnsi="宋体"/>
          <w:color w:val="auto"/>
          <w:kern w:val="0"/>
          <w:sz w:val="24"/>
          <w:szCs w:val="22"/>
        </w:rPr>
        <w:t>业分包人本单位人员。</w:t>
      </w:r>
    </w:p>
    <w:p w14:paraId="759B9391">
      <w:pPr>
        <w:kinsoku w:val="0"/>
        <w:overflowPunct w:val="0"/>
        <w:autoSpaceDE w:val="0"/>
        <w:autoSpaceDN w:val="0"/>
        <w:spacing w:before="26"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（6）承包人应当建立健全相关分包管理制度和台账，对专业分包工程的质量、 安全、进度和专业分包人的行为等实施全过程管理，按照合同约定对专业分包工程</w:t>
      </w:r>
      <w:r>
        <w:rPr>
          <w:rFonts w:hint="eastAsia" w:ascii="宋体" w:hAnsi="宋体"/>
          <w:color w:val="auto"/>
          <w:spacing w:val="-95"/>
          <w:kern w:val="0"/>
          <w:sz w:val="24"/>
          <w:szCs w:val="22"/>
        </w:rPr>
        <w:t xml:space="preserve"> </w:t>
      </w:r>
      <w:r>
        <w:rPr>
          <w:rFonts w:hint="eastAsia" w:ascii="宋体" w:hAnsi="宋体"/>
          <w:color w:val="auto"/>
          <w:kern w:val="0"/>
          <w:sz w:val="24"/>
          <w:szCs w:val="22"/>
        </w:rPr>
        <w:t>的实施向发包人负责，并承担赔偿责任。专业分包合同不免除承包合同中规定的承</w:t>
      </w:r>
      <w:r>
        <w:rPr>
          <w:rFonts w:hint="eastAsia" w:ascii="宋体" w:hAnsi="宋体"/>
          <w:color w:val="auto"/>
          <w:spacing w:val="-95"/>
          <w:kern w:val="0"/>
          <w:sz w:val="24"/>
          <w:szCs w:val="22"/>
        </w:rPr>
        <w:t xml:space="preserve"> </w:t>
      </w:r>
      <w:r>
        <w:rPr>
          <w:rFonts w:hint="eastAsia" w:ascii="宋体" w:hAnsi="宋体"/>
          <w:color w:val="auto"/>
          <w:kern w:val="0"/>
          <w:sz w:val="24"/>
          <w:szCs w:val="22"/>
        </w:rPr>
        <w:t>包人的责任或者义务。</w:t>
      </w:r>
    </w:p>
    <w:p w14:paraId="5A940740">
      <w:pPr>
        <w:kinsoku w:val="0"/>
        <w:overflowPunct w:val="0"/>
        <w:autoSpaceDE w:val="0"/>
        <w:autoSpaceDN w:val="0"/>
        <w:spacing w:before="24" w:line="240" w:lineRule="auto"/>
        <w:ind w:right="226" w:firstLine="468"/>
        <w:rPr>
          <w:rFonts w:hint="eastAsia" w:ascii="宋体" w:hAnsi="宋体"/>
          <w:color w:val="auto"/>
          <w:spacing w:val="-3"/>
          <w:kern w:val="0"/>
          <w:sz w:val="24"/>
          <w:szCs w:val="22"/>
        </w:rPr>
      </w:pPr>
      <w:r>
        <w:rPr>
          <w:rFonts w:hint="eastAsia" w:ascii="宋体" w:hAnsi="宋体"/>
          <w:color w:val="auto"/>
          <w:spacing w:val="-3"/>
          <w:kern w:val="0"/>
          <w:sz w:val="24"/>
          <w:szCs w:val="22"/>
        </w:rPr>
        <w:t>（7）专业分包人应当依据专业分包合同的约定，组织分包工程的施工，并对分</w:t>
      </w:r>
      <w:r>
        <w:rPr>
          <w:rFonts w:hint="eastAsia" w:ascii="宋体" w:hAnsi="宋体"/>
          <w:color w:val="auto"/>
          <w:kern w:val="0"/>
          <w:sz w:val="24"/>
          <w:szCs w:val="22"/>
        </w:rPr>
        <w:t>包工程的质量、安全和进度等实施有效控制。专业分包人对其分包的工程向承包人</w:t>
      </w:r>
      <w:r>
        <w:rPr>
          <w:rFonts w:hint="eastAsia" w:ascii="宋体" w:hAnsi="宋体"/>
          <w:color w:val="auto"/>
          <w:spacing w:val="-95"/>
          <w:kern w:val="0"/>
          <w:sz w:val="24"/>
          <w:szCs w:val="22"/>
        </w:rPr>
        <w:t xml:space="preserve"> </w:t>
      </w:r>
      <w:r>
        <w:rPr>
          <w:rFonts w:hint="eastAsia" w:ascii="宋体" w:hAnsi="宋体"/>
          <w:color w:val="auto"/>
          <w:kern w:val="0"/>
          <w:sz w:val="24"/>
          <w:szCs w:val="22"/>
        </w:rPr>
        <w:t>负责，并就所分包的工程向发包人承担连带责任。</w:t>
      </w:r>
    </w:p>
    <w:p w14:paraId="3BC7CD70">
      <w:pPr>
        <w:kinsoku w:val="0"/>
        <w:overflowPunct w:val="0"/>
        <w:autoSpaceDE w:val="0"/>
        <w:autoSpaceDN w:val="0"/>
        <w:spacing w:before="26" w:line="240" w:lineRule="auto"/>
        <w:ind w:firstLine="468"/>
        <w:jc w:val="left"/>
        <w:rPr>
          <w:rFonts w:hint="eastAsia" w:ascii="宋体" w:hAnsi="宋体"/>
          <w:color w:val="auto"/>
          <w:spacing w:val="-3"/>
          <w:kern w:val="0"/>
          <w:sz w:val="24"/>
          <w:szCs w:val="22"/>
        </w:rPr>
      </w:pPr>
      <w:r>
        <w:rPr>
          <w:rFonts w:hint="eastAsia" w:ascii="宋体" w:hAnsi="宋体"/>
          <w:color w:val="auto"/>
          <w:spacing w:val="-3"/>
          <w:kern w:val="0"/>
          <w:sz w:val="24"/>
          <w:szCs w:val="22"/>
        </w:rPr>
        <w:t>（8）承包人对施工现场安全负总责，并对专业分包人的安全生产进行培训和管理。专业分包人应将其专业分包工程的施工组织设计和施工安全方案报承包人备案。</w:t>
      </w:r>
      <w:r>
        <w:rPr>
          <w:rFonts w:hint="eastAsia" w:ascii="宋体" w:hAnsi="宋体"/>
          <w:color w:val="auto"/>
          <w:spacing w:val="-92"/>
          <w:kern w:val="0"/>
          <w:sz w:val="24"/>
          <w:szCs w:val="22"/>
        </w:rPr>
        <w:t xml:space="preserve"> </w:t>
      </w:r>
      <w:r>
        <w:rPr>
          <w:rFonts w:hint="eastAsia" w:ascii="宋体" w:hAnsi="宋体"/>
          <w:color w:val="auto"/>
          <w:kern w:val="0"/>
          <w:sz w:val="24"/>
          <w:szCs w:val="22"/>
        </w:rPr>
        <w:t>专业分包人对分包施工现场安全负责，发现事故隐患，应及时处理。</w:t>
      </w:r>
    </w:p>
    <w:p w14:paraId="2171DBE6">
      <w:pPr>
        <w:kinsoku w:val="0"/>
        <w:overflowPunct w:val="0"/>
        <w:autoSpaceDE w:val="0"/>
        <w:autoSpaceDN w:val="0"/>
        <w:spacing w:before="26"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违反上述规定之一者属违规分包。</w:t>
      </w:r>
    </w:p>
    <w:p w14:paraId="3FDDC1E3">
      <w:pPr>
        <w:kinsoku w:val="0"/>
        <w:overflowPunct w:val="0"/>
        <w:autoSpaceDE w:val="0"/>
        <w:autoSpaceDN w:val="0"/>
        <w:spacing w:before="86" w:line="240" w:lineRule="auto"/>
        <w:ind w:right="1855" w:firstLine="480"/>
        <w:jc w:val="left"/>
        <w:rPr>
          <w:rFonts w:hint="eastAsia" w:ascii="宋体" w:hAnsi="宋体"/>
          <w:color w:val="auto"/>
          <w:kern w:val="0"/>
          <w:sz w:val="24"/>
          <w:szCs w:val="22"/>
        </w:rPr>
      </w:pPr>
      <w:r>
        <w:rPr>
          <w:rFonts w:hint="eastAsia" w:ascii="宋体" w:hAnsi="宋体"/>
          <w:color w:val="auto"/>
          <w:kern w:val="0"/>
          <w:sz w:val="24"/>
          <w:szCs w:val="22"/>
        </w:rPr>
        <w:t>4.3.4 劳务分包 在工程施工过程中，承包人进行劳务分包必须遵守以下规定：</w:t>
      </w:r>
    </w:p>
    <w:p w14:paraId="4F804755">
      <w:pPr>
        <w:kinsoku w:val="0"/>
        <w:overflowPunct w:val="0"/>
        <w:autoSpaceDE w:val="0"/>
        <w:autoSpaceDN w:val="0"/>
        <w:spacing w:before="86" w:line="240" w:lineRule="auto"/>
        <w:ind w:right="1855" w:firstLine="480"/>
        <w:jc w:val="left"/>
        <w:rPr>
          <w:rFonts w:hint="eastAsia" w:ascii="宋体" w:hAnsi="宋体"/>
          <w:color w:val="auto"/>
          <w:kern w:val="0"/>
          <w:sz w:val="24"/>
          <w:szCs w:val="22"/>
        </w:rPr>
      </w:pPr>
      <w:r>
        <w:rPr>
          <w:rFonts w:hint="eastAsia" w:ascii="宋体" w:hAnsi="宋体"/>
          <w:color w:val="auto"/>
          <w:kern w:val="0"/>
          <w:sz w:val="24"/>
          <w:szCs w:val="22"/>
        </w:rPr>
        <w:t>（1）劳务分包人应具有施工劳务资质。</w:t>
      </w:r>
    </w:p>
    <w:p w14:paraId="1601A445">
      <w:pPr>
        <w:kinsoku w:val="0"/>
        <w:overflowPunct w:val="0"/>
        <w:autoSpaceDE w:val="0"/>
        <w:autoSpaceDN w:val="0"/>
        <w:spacing w:before="86" w:line="240" w:lineRule="auto"/>
        <w:ind w:right="-22" w:firstLine="468"/>
        <w:jc w:val="left"/>
        <w:rPr>
          <w:rFonts w:hint="eastAsia" w:ascii="宋体" w:hAnsi="宋体"/>
          <w:color w:val="auto"/>
          <w:spacing w:val="-3"/>
          <w:kern w:val="0"/>
          <w:sz w:val="24"/>
          <w:szCs w:val="22"/>
        </w:rPr>
      </w:pPr>
      <w:r>
        <w:rPr>
          <w:rFonts w:hint="eastAsia" w:ascii="宋体" w:hAnsi="宋体"/>
          <w:color w:val="auto"/>
          <w:spacing w:val="-3"/>
          <w:kern w:val="0"/>
          <w:sz w:val="24"/>
          <w:szCs w:val="22"/>
        </w:rPr>
        <w:t>（2）劳务分包应当依法签订劳务分包合同，劳务分包合同必须由承包人的法定</w:t>
      </w:r>
      <w:r>
        <w:rPr>
          <w:rFonts w:hint="eastAsia" w:ascii="宋体" w:hAnsi="宋体"/>
          <w:color w:val="auto"/>
          <w:kern w:val="0"/>
          <w:sz w:val="24"/>
          <w:szCs w:val="22"/>
        </w:rPr>
        <w:t xml:space="preserve"> 代表人或其委托代理人与劳务分包人直接签订，不得由他人代签。承包人的项目经理部、项目经理、施工班组等不具备用工主体资格，不能与劳务分包人签订劳务分</w:t>
      </w:r>
      <w:r>
        <w:rPr>
          <w:rFonts w:hint="eastAsia" w:ascii="宋体" w:hAnsi="宋体"/>
          <w:color w:val="auto"/>
          <w:spacing w:val="-92"/>
          <w:kern w:val="0"/>
          <w:sz w:val="24"/>
          <w:szCs w:val="22"/>
        </w:rPr>
        <w:t xml:space="preserve"> </w:t>
      </w:r>
      <w:r>
        <w:rPr>
          <w:rFonts w:hint="eastAsia" w:ascii="宋体" w:hAnsi="宋体"/>
          <w:color w:val="auto"/>
          <w:kern w:val="0"/>
          <w:sz w:val="24"/>
          <w:szCs w:val="22"/>
        </w:rPr>
        <w:t>包合同。承包人应向发包人和监理人提交劳务分包合同副本并报项目所在地劳动保</w:t>
      </w:r>
      <w:r>
        <w:rPr>
          <w:rFonts w:hint="eastAsia" w:ascii="宋体" w:hAnsi="宋体"/>
          <w:color w:val="auto"/>
          <w:spacing w:val="-93"/>
          <w:kern w:val="0"/>
          <w:sz w:val="24"/>
          <w:szCs w:val="22"/>
        </w:rPr>
        <w:t xml:space="preserve"> </w:t>
      </w:r>
      <w:r>
        <w:rPr>
          <w:rFonts w:hint="eastAsia" w:ascii="宋体" w:hAnsi="宋体"/>
          <w:color w:val="auto"/>
          <w:kern w:val="0"/>
          <w:sz w:val="24"/>
          <w:szCs w:val="22"/>
        </w:rPr>
        <w:t>障部门备案。</w:t>
      </w:r>
    </w:p>
    <w:p w14:paraId="40CEA19B">
      <w:pPr>
        <w:kinsoku w:val="0"/>
        <w:overflowPunct w:val="0"/>
        <w:autoSpaceDE w:val="0"/>
        <w:autoSpaceDN w:val="0"/>
        <w:spacing w:before="22" w:line="240" w:lineRule="auto"/>
        <w:ind w:right="186" w:firstLine="623"/>
        <w:rPr>
          <w:rFonts w:hint="eastAsia" w:ascii="宋体" w:hAnsi="宋体"/>
          <w:color w:val="auto"/>
          <w:spacing w:val="-3"/>
          <w:kern w:val="0"/>
          <w:sz w:val="24"/>
          <w:szCs w:val="22"/>
        </w:rPr>
      </w:pPr>
      <w:r>
        <w:rPr>
          <w:rFonts w:hint="eastAsia" w:ascii="宋体" w:hAnsi="宋体"/>
          <w:color w:val="auto"/>
          <w:spacing w:val="-3"/>
          <w:kern w:val="0"/>
          <w:sz w:val="24"/>
          <w:szCs w:val="22"/>
        </w:rPr>
        <w:t>（3）承包人雇用的劳务作业应加入到承包人的施工班组统一管理。有关施工质</w:t>
      </w:r>
      <w:r>
        <w:rPr>
          <w:rFonts w:hint="eastAsia" w:ascii="宋体" w:hAnsi="宋体"/>
          <w:color w:val="auto"/>
          <w:kern w:val="0"/>
          <w:sz w:val="24"/>
          <w:szCs w:val="22"/>
        </w:rPr>
        <w:t xml:space="preserve"> 量、施工安全、施工进度、环境保护、技术方案、试验检测、材料保管与供应、机</w:t>
      </w:r>
      <w:r>
        <w:rPr>
          <w:rFonts w:hint="eastAsia" w:ascii="宋体" w:hAnsi="宋体"/>
          <w:color w:val="auto"/>
          <w:spacing w:val="-95"/>
          <w:kern w:val="0"/>
          <w:sz w:val="24"/>
          <w:szCs w:val="22"/>
        </w:rPr>
        <w:t xml:space="preserve"> </w:t>
      </w:r>
      <w:r>
        <w:rPr>
          <w:rFonts w:hint="eastAsia" w:ascii="宋体" w:hAnsi="宋体"/>
          <w:color w:val="auto"/>
          <w:kern w:val="0"/>
          <w:sz w:val="24"/>
          <w:szCs w:val="22"/>
        </w:rPr>
        <w:t>械设备等都必须由承包人管理与调配，不得以包代管。</w:t>
      </w:r>
    </w:p>
    <w:p w14:paraId="4DFEDE4C">
      <w:pPr>
        <w:kinsoku w:val="0"/>
        <w:overflowPunct w:val="0"/>
        <w:autoSpaceDE w:val="0"/>
        <w:autoSpaceDN w:val="0"/>
        <w:spacing w:before="22" w:line="240" w:lineRule="auto"/>
        <w:ind w:right="186" w:firstLine="623"/>
        <w:rPr>
          <w:rFonts w:hint="eastAsia" w:ascii="宋体" w:hAnsi="宋体"/>
          <w:color w:val="auto"/>
          <w:spacing w:val="-3"/>
          <w:kern w:val="0"/>
          <w:sz w:val="24"/>
          <w:szCs w:val="22"/>
        </w:rPr>
      </w:pPr>
      <w:r>
        <w:rPr>
          <w:rFonts w:hint="eastAsia" w:ascii="宋体" w:hAnsi="宋体"/>
          <w:color w:val="auto"/>
          <w:spacing w:val="-3"/>
          <w:kern w:val="0"/>
          <w:sz w:val="24"/>
          <w:szCs w:val="22"/>
        </w:rPr>
        <w:t>（4）承包人应当对劳务分包人员进行安全培训和管理，劳务分包人不得将其分</w:t>
      </w:r>
      <w:r>
        <w:rPr>
          <w:rFonts w:hint="eastAsia" w:ascii="宋体" w:hAnsi="宋体"/>
          <w:color w:val="auto"/>
          <w:kern w:val="0"/>
          <w:sz w:val="24"/>
          <w:szCs w:val="22"/>
        </w:rPr>
        <w:t>包的劳务作业再次分包。</w:t>
      </w:r>
    </w:p>
    <w:p w14:paraId="43EAFB69">
      <w:pPr>
        <w:kinsoku w:val="0"/>
        <w:overflowPunct w:val="0"/>
        <w:autoSpaceDE w:val="0"/>
        <w:autoSpaceDN w:val="0"/>
        <w:spacing w:before="38" w:line="240" w:lineRule="auto"/>
        <w:ind w:right="3602" w:firstLine="480"/>
        <w:jc w:val="left"/>
        <w:rPr>
          <w:rFonts w:hint="eastAsia" w:ascii="宋体" w:hAnsi="宋体"/>
          <w:color w:val="auto"/>
          <w:kern w:val="0"/>
          <w:sz w:val="24"/>
          <w:szCs w:val="22"/>
        </w:rPr>
      </w:pPr>
      <w:r>
        <w:rPr>
          <w:rFonts w:hint="eastAsia" w:ascii="宋体" w:hAnsi="宋体"/>
          <w:color w:val="auto"/>
          <w:kern w:val="0"/>
          <w:sz w:val="24"/>
          <w:szCs w:val="22"/>
        </w:rPr>
        <w:t>违反上述规定之一者属违规分包。 本款补充</w:t>
      </w:r>
    </w:p>
    <w:p w14:paraId="4371E528">
      <w:pPr>
        <w:kinsoku w:val="0"/>
        <w:overflowPunct w:val="0"/>
        <w:autoSpaceDE w:val="0"/>
        <w:autoSpaceDN w:val="0"/>
        <w:spacing w:before="38" w:line="240" w:lineRule="auto"/>
        <w:ind w:right="3602" w:firstLine="480"/>
        <w:jc w:val="left"/>
        <w:rPr>
          <w:rFonts w:hint="eastAsia" w:ascii="宋体" w:hAnsi="宋体"/>
          <w:color w:val="auto"/>
          <w:kern w:val="0"/>
          <w:sz w:val="24"/>
          <w:szCs w:val="22"/>
        </w:rPr>
      </w:pPr>
      <w:r>
        <w:rPr>
          <w:rFonts w:hint="eastAsia" w:ascii="宋体" w:hAnsi="宋体"/>
          <w:color w:val="auto"/>
          <w:kern w:val="0"/>
          <w:sz w:val="24"/>
          <w:szCs w:val="22"/>
        </w:rPr>
        <w:t>第</w:t>
      </w:r>
      <w:r>
        <w:rPr>
          <w:rFonts w:hint="eastAsia" w:ascii="宋体" w:hAnsi="宋体"/>
          <w:color w:val="auto"/>
          <w:spacing w:val="-60"/>
          <w:kern w:val="0"/>
          <w:sz w:val="24"/>
          <w:szCs w:val="22"/>
        </w:rPr>
        <w:t xml:space="preserve"> </w:t>
      </w:r>
      <w:r>
        <w:rPr>
          <w:rFonts w:hint="eastAsia" w:ascii="宋体" w:hAnsi="宋体"/>
          <w:color w:val="auto"/>
          <w:kern w:val="0"/>
          <w:sz w:val="24"/>
          <w:szCs w:val="22"/>
        </w:rPr>
        <w:t>4.3.6 项、第</w:t>
      </w:r>
      <w:r>
        <w:rPr>
          <w:rFonts w:hint="eastAsia" w:ascii="宋体" w:hAnsi="宋体"/>
          <w:color w:val="auto"/>
          <w:spacing w:val="-60"/>
          <w:kern w:val="0"/>
          <w:sz w:val="24"/>
          <w:szCs w:val="22"/>
        </w:rPr>
        <w:t xml:space="preserve"> </w:t>
      </w:r>
      <w:r>
        <w:rPr>
          <w:rFonts w:hint="eastAsia" w:ascii="宋体" w:hAnsi="宋体"/>
          <w:color w:val="auto"/>
          <w:kern w:val="0"/>
          <w:sz w:val="24"/>
          <w:szCs w:val="22"/>
        </w:rPr>
        <w:t>4.3.7 项：</w:t>
      </w:r>
    </w:p>
    <w:p w14:paraId="3030DB4B">
      <w:pPr>
        <w:kinsoku w:val="0"/>
        <w:overflowPunct w:val="0"/>
        <w:autoSpaceDE w:val="0"/>
        <w:autoSpaceDN w:val="0"/>
        <w:spacing w:before="38" w:line="240" w:lineRule="auto"/>
        <w:ind w:right="79" w:firstLine="480"/>
        <w:jc w:val="left"/>
        <w:rPr>
          <w:rFonts w:hint="eastAsia" w:ascii="宋体" w:hAnsi="宋体"/>
          <w:color w:val="auto"/>
          <w:kern w:val="0"/>
          <w:sz w:val="24"/>
          <w:szCs w:val="22"/>
        </w:rPr>
      </w:pPr>
      <w:r>
        <w:rPr>
          <w:rFonts w:hint="eastAsia" w:ascii="宋体" w:hAnsi="宋体"/>
          <w:color w:val="auto"/>
          <w:kern w:val="0"/>
          <w:sz w:val="24"/>
          <w:szCs w:val="22"/>
        </w:rPr>
        <w:t>4.3.6  发包人对承包人与分包人之间的法律与经济纠纷不承担任何责任和义务。</w:t>
      </w:r>
    </w:p>
    <w:p w14:paraId="36AAF20C">
      <w:pPr>
        <w:kinsoku w:val="0"/>
        <w:overflowPunct w:val="0"/>
        <w:autoSpaceDE w:val="0"/>
        <w:autoSpaceDN w:val="0"/>
        <w:spacing w:before="68" w:line="240" w:lineRule="auto"/>
        <w:ind w:right="-40" w:firstLine="480"/>
        <w:rPr>
          <w:rFonts w:hint="eastAsia" w:ascii="宋体" w:hAnsi="宋体"/>
          <w:color w:val="auto"/>
          <w:kern w:val="0"/>
          <w:sz w:val="24"/>
          <w:szCs w:val="22"/>
        </w:rPr>
      </w:pPr>
      <w:r>
        <w:rPr>
          <w:rFonts w:hint="eastAsia" w:ascii="宋体" w:hAnsi="宋体"/>
          <w:color w:val="auto"/>
          <w:kern w:val="0"/>
          <w:sz w:val="24"/>
          <w:szCs w:val="22"/>
        </w:rPr>
        <w:t>4.3.7</w:t>
      </w:r>
      <w:r>
        <w:rPr>
          <w:rFonts w:hint="eastAsia" w:ascii="宋体" w:hAnsi="宋体"/>
          <w:color w:val="auto"/>
          <w:spacing w:val="9"/>
          <w:kern w:val="0"/>
          <w:sz w:val="24"/>
          <w:szCs w:val="22"/>
        </w:rPr>
        <w:t xml:space="preserve"> </w:t>
      </w:r>
      <w:r>
        <w:rPr>
          <w:rFonts w:hint="eastAsia" w:ascii="宋体" w:hAnsi="宋体"/>
          <w:color w:val="auto"/>
          <w:spacing w:val="-3"/>
          <w:kern w:val="0"/>
          <w:sz w:val="24"/>
          <w:szCs w:val="22"/>
        </w:rPr>
        <w:t>本项目的各项分包工作均应遵守《公路工程施工分包管理办法》的有关规</w:t>
      </w:r>
      <w:r>
        <w:rPr>
          <w:rFonts w:hint="eastAsia" w:ascii="宋体" w:hAnsi="宋体"/>
          <w:color w:val="auto"/>
          <w:kern w:val="0"/>
          <w:sz w:val="24"/>
          <w:szCs w:val="22"/>
        </w:rPr>
        <w:t>定。</w:t>
      </w:r>
    </w:p>
    <w:p w14:paraId="0F0FFA0B">
      <w:pPr>
        <w:kinsoku w:val="0"/>
        <w:overflowPunct w:val="0"/>
        <w:autoSpaceDE w:val="0"/>
        <w:autoSpaceDN w:val="0"/>
        <w:spacing w:line="240" w:lineRule="auto"/>
        <w:rPr>
          <w:rFonts w:hint="eastAsia" w:ascii="宋体" w:hAnsi="宋体"/>
          <w:color w:val="auto"/>
          <w:kern w:val="0"/>
          <w:sz w:val="24"/>
          <w:szCs w:val="22"/>
        </w:rPr>
      </w:pPr>
      <w:bookmarkStart w:id="66" w:name="bookmark174"/>
      <w:bookmarkEnd w:id="66"/>
      <w:r>
        <w:rPr>
          <w:rFonts w:hint="eastAsia" w:ascii="宋体" w:hAnsi="宋体"/>
          <w:color w:val="auto"/>
          <w:kern w:val="0"/>
          <w:sz w:val="24"/>
          <w:szCs w:val="22"/>
        </w:rPr>
        <w:t>4.4</w:t>
      </w:r>
      <w:r>
        <w:rPr>
          <w:rFonts w:hint="eastAsia" w:ascii="宋体" w:hAnsi="宋体"/>
          <w:color w:val="auto"/>
          <w:spacing w:val="59"/>
          <w:kern w:val="0"/>
          <w:sz w:val="24"/>
          <w:szCs w:val="22"/>
        </w:rPr>
        <w:t xml:space="preserve"> </w:t>
      </w:r>
      <w:r>
        <w:rPr>
          <w:rFonts w:hint="eastAsia" w:ascii="宋体" w:hAnsi="宋体"/>
          <w:color w:val="auto"/>
          <w:kern w:val="0"/>
          <w:sz w:val="24"/>
          <w:szCs w:val="22"/>
        </w:rPr>
        <w:t>联合体</w:t>
      </w:r>
    </w:p>
    <w:p w14:paraId="6BB07682">
      <w:pPr>
        <w:kinsoku w:val="0"/>
        <w:overflowPunct w:val="0"/>
        <w:autoSpaceDE w:val="0"/>
        <w:autoSpaceDN w:val="0"/>
        <w:spacing w:line="240" w:lineRule="auto"/>
        <w:ind w:left="142" w:firstLine="480"/>
        <w:rPr>
          <w:rFonts w:hint="eastAsia" w:ascii="宋体" w:hAnsi="宋体"/>
          <w:color w:val="auto"/>
          <w:kern w:val="0"/>
          <w:sz w:val="24"/>
          <w:szCs w:val="22"/>
        </w:rPr>
      </w:pPr>
      <w:r>
        <w:rPr>
          <w:rFonts w:hint="eastAsia" w:ascii="宋体" w:hAnsi="宋体"/>
          <w:color w:val="auto"/>
          <w:kern w:val="0"/>
          <w:sz w:val="24"/>
          <w:szCs w:val="22"/>
        </w:rPr>
        <w:t>本款补充第</w:t>
      </w:r>
      <w:r>
        <w:rPr>
          <w:rFonts w:hint="eastAsia" w:ascii="宋体" w:hAnsi="宋体"/>
          <w:color w:val="auto"/>
          <w:spacing w:val="-60"/>
          <w:kern w:val="0"/>
          <w:sz w:val="24"/>
          <w:szCs w:val="22"/>
        </w:rPr>
        <w:t xml:space="preserve"> </w:t>
      </w:r>
      <w:r>
        <w:rPr>
          <w:rFonts w:hint="eastAsia" w:ascii="宋体" w:hAnsi="宋体"/>
          <w:color w:val="auto"/>
          <w:kern w:val="0"/>
          <w:sz w:val="24"/>
          <w:szCs w:val="22"/>
        </w:rPr>
        <w:t>4.4.4 项：</w:t>
      </w:r>
    </w:p>
    <w:p w14:paraId="653895C6">
      <w:pPr>
        <w:kinsoku w:val="0"/>
        <w:overflowPunct w:val="0"/>
        <w:autoSpaceDE w:val="0"/>
        <w:autoSpaceDN w:val="0"/>
        <w:spacing w:before="66" w:line="240" w:lineRule="auto"/>
        <w:ind w:left="624"/>
        <w:jc w:val="left"/>
        <w:rPr>
          <w:rFonts w:hint="eastAsia" w:ascii="宋体" w:hAnsi="宋体"/>
          <w:color w:val="auto"/>
          <w:kern w:val="0"/>
          <w:sz w:val="24"/>
          <w:szCs w:val="22"/>
        </w:rPr>
      </w:pPr>
      <w:r>
        <w:rPr>
          <w:rFonts w:hint="eastAsia" w:ascii="宋体" w:hAnsi="宋体"/>
          <w:color w:val="auto"/>
          <w:kern w:val="0"/>
          <w:sz w:val="24"/>
          <w:szCs w:val="22"/>
        </w:rPr>
        <w:t>4.4.4 未经发包人事先同意，联合体的组成与结构不得变动。</w:t>
      </w:r>
    </w:p>
    <w:p w14:paraId="445A366D">
      <w:pPr>
        <w:kinsoku w:val="0"/>
        <w:overflowPunct w:val="0"/>
        <w:autoSpaceDE w:val="0"/>
        <w:autoSpaceDN w:val="0"/>
        <w:spacing w:line="240" w:lineRule="auto"/>
        <w:rPr>
          <w:rFonts w:hint="eastAsia" w:ascii="宋体" w:hAnsi="宋体"/>
          <w:color w:val="auto"/>
          <w:kern w:val="0"/>
          <w:sz w:val="24"/>
          <w:szCs w:val="22"/>
        </w:rPr>
      </w:pPr>
      <w:bookmarkStart w:id="67" w:name="bookmark175"/>
      <w:bookmarkEnd w:id="67"/>
      <w:r>
        <w:rPr>
          <w:rFonts w:hint="eastAsia" w:ascii="宋体" w:hAnsi="宋体"/>
          <w:color w:val="auto"/>
          <w:kern w:val="0"/>
          <w:sz w:val="24"/>
          <w:szCs w:val="22"/>
        </w:rPr>
        <w:t>4.6</w:t>
      </w:r>
      <w:r>
        <w:rPr>
          <w:rFonts w:hint="eastAsia" w:ascii="宋体" w:hAnsi="宋体"/>
          <w:color w:val="auto"/>
          <w:spacing w:val="59"/>
          <w:kern w:val="0"/>
          <w:sz w:val="24"/>
          <w:szCs w:val="22"/>
        </w:rPr>
        <w:t xml:space="preserve"> </w:t>
      </w:r>
      <w:r>
        <w:rPr>
          <w:rFonts w:hint="eastAsia" w:ascii="宋体" w:hAnsi="宋体"/>
          <w:color w:val="auto"/>
          <w:kern w:val="0"/>
          <w:sz w:val="24"/>
          <w:szCs w:val="22"/>
        </w:rPr>
        <w:t>承包人人员的管理</w:t>
      </w:r>
    </w:p>
    <w:p w14:paraId="14785DD5">
      <w:pPr>
        <w:kinsoku w:val="0"/>
        <w:overflowPunct w:val="0"/>
        <w:autoSpaceDE w:val="0"/>
        <w:autoSpaceDN w:val="0"/>
        <w:spacing w:before="5" w:line="240" w:lineRule="auto"/>
        <w:jc w:val="left"/>
        <w:rPr>
          <w:rFonts w:hint="eastAsia" w:ascii="宋体" w:hAnsi="宋体"/>
          <w:color w:val="auto"/>
          <w:kern w:val="0"/>
          <w:sz w:val="23"/>
          <w:szCs w:val="23"/>
        </w:rPr>
      </w:pPr>
    </w:p>
    <w:p w14:paraId="3A89146B">
      <w:pPr>
        <w:kinsoku w:val="0"/>
        <w:overflowPunct w:val="0"/>
        <w:autoSpaceDE w:val="0"/>
        <w:autoSpaceDN w:val="0"/>
        <w:spacing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第</w:t>
      </w:r>
      <w:r>
        <w:rPr>
          <w:rFonts w:hint="eastAsia" w:ascii="宋体" w:hAnsi="宋体"/>
          <w:color w:val="auto"/>
          <w:spacing w:val="-60"/>
          <w:kern w:val="0"/>
          <w:sz w:val="24"/>
          <w:szCs w:val="22"/>
        </w:rPr>
        <w:t xml:space="preserve"> </w:t>
      </w:r>
      <w:r>
        <w:rPr>
          <w:rFonts w:hint="eastAsia" w:ascii="宋体" w:hAnsi="宋体"/>
          <w:color w:val="auto"/>
          <w:kern w:val="0"/>
          <w:sz w:val="24"/>
          <w:szCs w:val="22"/>
        </w:rPr>
        <w:t xml:space="preserve">4.6.3 项细化为： </w:t>
      </w:r>
      <w:r>
        <w:rPr>
          <w:rFonts w:hint="eastAsia" w:ascii="宋体" w:hAnsi="宋体"/>
          <w:color w:val="auto"/>
          <w:spacing w:val="7"/>
          <w:kern w:val="0"/>
          <w:sz w:val="24"/>
          <w:szCs w:val="22"/>
        </w:rPr>
        <w:t>承包人安排在施工场地的主要管理人员和技术骨干应与承包人承诺的名单一</w:t>
      </w:r>
      <w:r>
        <w:rPr>
          <w:rFonts w:hint="eastAsia" w:ascii="宋体" w:hAnsi="宋体"/>
          <w:color w:val="auto"/>
          <w:kern w:val="0"/>
          <w:sz w:val="24"/>
          <w:szCs w:val="22"/>
        </w:rPr>
        <w:t>致，并保持相对稳定。未经</w:t>
      </w:r>
      <w:r>
        <w:rPr>
          <w:rFonts w:hint="eastAsia" w:ascii="宋体" w:hAnsi="宋体"/>
          <w:color w:val="auto"/>
          <w:kern w:val="0"/>
          <w:sz w:val="24"/>
          <w:szCs w:val="22"/>
          <w:lang w:val="en-US" w:eastAsia="zh-CN"/>
        </w:rPr>
        <w:t>发包</w:t>
      </w:r>
      <w:r>
        <w:rPr>
          <w:rFonts w:hint="eastAsia" w:ascii="宋体" w:hAnsi="宋体"/>
          <w:color w:val="auto"/>
          <w:kern w:val="0"/>
          <w:sz w:val="24"/>
          <w:szCs w:val="22"/>
        </w:rPr>
        <w:t>人批准，上述人员不应无故不到位或被替换；若确</w:t>
      </w:r>
      <w:r>
        <w:rPr>
          <w:rFonts w:hint="eastAsia" w:ascii="宋体" w:hAnsi="宋体"/>
          <w:color w:val="auto"/>
          <w:spacing w:val="-93"/>
          <w:kern w:val="0"/>
          <w:sz w:val="24"/>
          <w:szCs w:val="22"/>
        </w:rPr>
        <w:t xml:space="preserve"> </w:t>
      </w:r>
      <w:r>
        <w:rPr>
          <w:rFonts w:hint="eastAsia" w:ascii="宋体" w:hAnsi="宋体"/>
          <w:color w:val="auto"/>
          <w:kern w:val="0"/>
          <w:sz w:val="24"/>
          <w:szCs w:val="22"/>
        </w:rPr>
        <w:t>实无法到位或需替换，需经发包人批准后，用同等资质和经历的人</w:t>
      </w:r>
      <w:r>
        <w:rPr>
          <w:rFonts w:hint="eastAsia" w:ascii="宋体" w:hAnsi="宋体"/>
          <w:color w:val="auto"/>
          <w:spacing w:val="-92"/>
          <w:kern w:val="0"/>
          <w:sz w:val="24"/>
          <w:szCs w:val="22"/>
        </w:rPr>
        <w:t xml:space="preserve"> </w:t>
      </w:r>
      <w:r>
        <w:rPr>
          <w:rFonts w:hint="eastAsia" w:ascii="宋体" w:hAnsi="宋体"/>
          <w:color w:val="auto"/>
          <w:kern w:val="0"/>
          <w:sz w:val="24"/>
          <w:szCs w:val="22"/>
        </w:rPr>
        <w:t>员替换。</w:t>
      </w:r>
    </w:p>
    <w:p w14:paraId="1AF406FE">
      <w:pPr>
        <w:kinsoku w:val="0"/>
        <w:overflowPunct w:val="0"/>
        <w:autoSpaceDE w:val="0"/>
        <w:autoSpaceDN w:val="0"/>
        <w:spacing w:before="22"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本款补充第</w:t>
      </w:r>
      <w:r>
        <w:rPr>
          <w:rFonts w:hint="eastAsia" w:ascii="宋体" w:hAnsi="宋体"/>
          <w:color w:val="auto"/>
          <w:spacing w:val="-60"/>
          <w:kern w:val="0"/>
          <w:sz w:val="24"/>
          <w:szCs w:val="22"/>
        </w:rPr>
        <w:t xml:space="preserve"> </w:t>
      </w:r>
      <w:r>
        <w:rPr>
          <w:rFonts w:hint="eastAsia" w:ascii="宋体" w:hAnsi="宋体"/>
          <w:color w:val="auto"/>
          <w:kern w:val="0"/>
          <w:sz w:val="24"/>
          <w:szCs w:val="22"/>
        </w:rPr>
        <w:t>4.6.5 项：</w:t>
      </w:r>
    </w:p>
    <w:p w14:paraId="6E4AE2C1">
      <w:pPr>
        <w:kinsoku w:val="0"/>
        <w:overflowPunct w:val="0"/>
        <w:autoSpaceDE w:val="0"/>
        <w:autoSpaceDN w:val="0"/>
        <w:spacing w:before="66" w:line="240" w:lineRule="auto"/>
        <w:ind w:right="182" w:firstLine="480"/>
        <w:rPr>
          <w:rFonts w:hint="eastAsia" w:ascii="宋体" w:hAnsi="宋体"/>
          <w:color w:val="auto"/>
          <w:kern w:val="0"/>
          <w:sz w:val="24"/>
          <w:szCs w:val="22"/>
        </w:rPr>
      </w:pPr>
      <w:r>
        <w:rPr>
          <w:rFonts w:hint="eastAsia" w:ascii="宋体" w:hAnsi="宋体"/>
          <w:color w:val="auto"/>
          <w:kern w:val="0"/>
          <w:sz w:val="24"/>
          <w:szCs w:val="22"/>
        </w:rPr>
        <w:t>4.6.5</w:t>
      </w:r>
      <w:r>
        <w:rPr>
          <w:rFonts w:hint="eastAsia" w:ascii="宋体" w:hAnsi="宋体"/>
          <w:color w:val="auto"/>
          <w:spacing w:val="12"/>
          <w:kern w:val="0"/>
          <w:sz w:val="24"/>
          <w:szCs w:val="22"/>
        </w:rPr>
        <w:t xml:space="preserve"> </w:t>
      </w:r>
      <w:r>
        <w:rPr>
          <w:rFonts w:hint="eastAsia" w:ascii="宋体" w:hAnsi="宋体"/>
          <w:color w:val="auto"/>
          <w:spacing w:val="-3"/>
          <w:kern w:val="0"/>
          <w:sz w:val="24"/>
          <w:szCs w:val="22"/>
        </w:rPr>
        <w:t>尽管承包人已按承诺派遣了上述各类人员，但若这些人员仍不能满足合同</w:t>
      </w:r>
      <w:r>
        <w:rPr>
          <w:rFonts w:hint="eastAsia" w:ascii="宋体" w:hAnsi="宋体"/>
          <w:color w:val="auto"/>
          <w:kern w:val="0"/>
          <w:sz w:val="24"/>
          <w:szCs w:val="22"/>
        </w:rPr>
        <w:t xml:space="preserve"> 进度计划和（或）质量要求时，</w:t>
      </w:r>
      <w:r>
        <w:rPr>
          <w:rFonts w:hint="eastAsia" w:ascii="宋体" w:hAnsi="宋体"/>
          <w:color w:val="auto"/>
          <w:kern w:val="0"/>
          <w:sz w:val="24"/>
          <w:szCs w:val="22"/>
          <w:lang w:val="en-US" w:eastAsia="zh-CN"/>
        </w:rPr>
        <w:t>发包</w:t>
      </w:r>
      <w:r>
        <w:rPr>
          <w:rFonts w:hint="eastAsia" w:ascii="宋体" w:hAnsi="宋体"/>
          <w:color w:val="auto"/>
          <w:kern w:val="0"/>
          <w:sz w:val="24"/>
          <w:szCs w:val="22"/>
        </w:rPr>
        <w:t>人有权要求承包人继续增派或雇用这类人员，</w:t>
      </w:r>
      <w:r>
        <w:rPr>
          <w:rFonts w:hint="eastAsia" w:ascii="宋体" w:hAnsi="宋体"/>
          <w:color w:val="auto"/>
          <w:spacing w:val="-95"/>
          <w:kern w:val="0"/>
          <w:sz w:val="24"/>
          <w:szCs w:val="22"/>
        </w:rPr>
        <w:t xml:space="preserve"> </w:t>
      </w:r>
      <w:r>
        <w:rPr>
          <w:rFonts w:hint="eastAsia" w:ascii="宋体" w:hAnsi="宋体"/>
          <w:color w:val="auto"/>
          <w:kern w:val="0"/>
          <w:sz w:val="24"/>
          <w:szCs w:val="22"/>
        </w:rPr>
        <w:t>并书面通知承包人和抄送发包人。承包人在接到上述通知后应立即执行</w:t>
      </w:r>
      <w:r>
        <w:rPr>
          <w:rFonts w:hint="eastAsia" w:ascii="宋体" w:hAnsi="宋体"/>
          <w:color w:val="auto"/>
          <w:kern w:val="0"/>
          <w:sz w:val="24"/>
          <w:szCs w:val="22"/>
          <w:lang w:val="en-US" w:eastAsia="zh-CN"/>
        </w:rPr>
        <w:t>发包</w:t>
      </w:r>
      <w:r>
        <w:rPr>
          <w:rFonts w:hint="eastAsia" w:ascii="宋体" w:hAnsi="宋体"/>
          <w:color w:val="auto"/>
          <w:kern w:val="0"/>
          <w:sz w:val="24"/>
          <w:szCs w:val="22"/>
        </w:rPr>
        <w:t>人的上</w:t>
      </w:r>
      <w:r>
        <w:rPr>
          <w:rFonts w:hint="eastAsia" w:ascii="宋体" w:hAnsi="宋体"/>
          <w:color w:val="auto"/>
          <w:spacing w:val="-93"/>
          <w:kern w:val="0"/>
          <w:sz w:val="24"/>
          <w:szCs w:val="22"/>
        </w:rPr>
        <w:t xml:space="preserve"> </w:t>
      </w:r>
      <w:r>
        <w:rPr>
          <w:rFonts w:hint="eastAsia" w:ascii="宋体" w:hAnsi="宋体"/>
          <w:color w:val="auto"/>
          <w:kern w:val="0"/>
          <w:sz w:val="24"/>
          <w:szCs w:val="22"/>
        </w:rPr>
        <w:t>述指示，不得无故拖延，由此增加的费用和（或）工期延误由承包人承担。</w:t>
      </w:r>
    </w:p>
    <w:p w14:paraId="48BB8598">
      <w:pPr>
        <w:kinsoku w:val="0"/>
        <w:overflowPunct w:val="0"/>
        <w:autoSpaceDE w:val="0"/>
        <w:autoSpaceDN w:val="0"/>
        <w:spacing w:line="240" w:lineRule="auto"/>
        <w:ind w:left="144"/>
        <w:rPr>
          <w:rFonts w:hint="eastAsia" w:ascii="宋体" w:hAnsi="宋体"/>
          <w:color w:val="auto"/>
          <w:kern w:val="0"/>
          <w:sz w:val="24"/>
          <w:szCs w:val="22"/>
        </w:rPr>
      </w:pPr>
      <w:bookmarkStart w:id="68" w:name="bookmark176"/>
      <w:bookmarkEnd w:id="68"/>
      <w:r>
        <w:rPr>
          <w:rFonts w:hint="eastAsia" w:ascii="宋体" w:hAnsi="宋体"/>
          <w:color w:val="auto"/>
          <w:kern w:val="0"/>
          <w:sz w:val="24"/>
          <w:szCs w:val="22"/>
        </w:rPr>
        <w:t>4.7</w:t>
      </w:r>
      <w:r>
        <w:rPr>
          <w:rFonts w:hint="eastAsia" w:ascii="宋体" w:hAnsi="宋体"/>
          <w:color w:val="auto"/>
          <w:spacing w:val="59"/>
          <w:kern w:val="0"/>
          <w:sz w:val="24"/>
          <w:szCs w:val="22"/>
        </w:rPr>
        <w:t xml:space="preserve"> </w:t>
      </w:r>
      <w:r>
        <w:rPr>
          <w:rFonts w:hint="eastAsia" w:ascii="宋体" w:hAnsi="宋体"/>
          <w:color w:val="auto"/>
          <w:kern w:val="0"/>
          <w:sz w:val="24"/>
          <w:szCs w:val="22"/>
        </w:rPr>
        <w:t>撤换承包人项目经理和其他人员</w:t>
      </w:r>
    </w:p>
    <w:p w14:paraId="7BD4F276">
      <w:pPr>
        <w:kinsoku w:val="0"/>
        <w:overflowPunct w:val="0"/>
        <w:autoSpaceDE w:val="0"/>
        <w:autoSpaceDN w:val="0"/>
        <w:spacing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本款细化为： 承包人应对其项目经理和其他人员进行有效管理。</w:t>
      </w:r>
      <w:r>
        <w:rPr>
          <w:rFonts w:hint="eastAsia" w:ascii="宋体" w:hAnsi="宋体"/>
          <w:color w:val="auto"/>
          <w:kern w:val="0"/>
          <w:sz w:val="24"/>
          <w:szCs w:val="22"/>
          <w:lang w:val="en-US" w:eastAsia="zh-CN"/>
        </w:rPr>
        <w:t>发包</w:t>
      </w:r>
      <w:r>
        <w:rPr>
          <w:rFonts w:hint="eastAsia" w:ascii="宋体" w:hAnsi="宋体"/>
          <w:color w:val="auto"/>
          <w:kern w:val="0"/>
          <w:sz w:val="24"/>
          <w:szCs w:val="22"/>
        </w:rPr>
        <w:t>人要求撤换不能胜任本</w:t>
      </w:r>
      <w:r>
        <w:rPr>
          <w:rFonts w:hint="eastAsia" w:ascii="宋体" w:hAnsi="宋体"/>
          <w:color w:val="auto"/>
          <w:spacing w:val="-3"/>
          <w:kern w:val="0"/>
          <w:sz w:val="24"/>
          <w:szCs w:val="22"/>
        </w:rPr>
        <w:t>职工作、行为不端或玩忽职守的承包人项目经理和其他人员的，承包人应予以撤换，</w:t>
      </w:r>
      <w:r>
        <w:rPr>
          <w:rFonts w:hint="eastAsia" w:ascii="宋体" w:hAnsi="宋体"/>
          <w:color w:val="auto"/>
          <w:spacing w:val="-96"/>
          <w:kern w:val="0"/>
          <w:sz w:val="24"/>
          <w:szCs w:val="22"/>
        </w:rPr>
        <w:t xml:space="preserve"> </w:t>
      </w:r>
      <w:r>
        <w:rPr>
          <w:rFonts w:hint="eastAsia" w:ascii="宋体" w:hAnsi="宋体"/>
          <w:color w:val="auto"/>
          <w:kern w:val="0"/>
          <w:sz w:val="24"/>
          <w:szCs w:val="22"/>
        </w:rPr>
        <w:t>同时委派经发包人同意的新的项目经理和其他人员。</w:t>
      </w:r>
    </w:p>
    <w:p w14:paraId="6C2C1150">
      <w:pPr>
        <w:kinsoku w:val="0"/>
        <w:overflowPunct w:val="0"/>
        <w:autoSpaceDE w:val="0"/>
        <w:autoSpaceDN w:val="0"/>
        <w:spacing w:line="240" w:lineRule="auto"/>
        <w:rPr>
          <w:rFonts w:hint="eastAsia" w:ascii="宋体" w:hAnsi="宋体"/>
          <w:color w:val="auto"/>
          <w:kern w:val="0"/>
          <w:sz w:val="24"/>
          <w:szCs w:val="22"/>
        </w:rPr>
      </w:pPr>
      <w:bookmarkStart w:id="69" w:name="bookmark177"/>
      <w:bookmarkEnd w:id="69"/>
      <w:r>
        <w:rPr>
          <w:rFonts w:hint="eastAsia" w:ascii="宋体" w:hAnsi="宋体"/>
          <w:color w:val="auto"/>
          <w:kern w:val="0"/>
          <w:sz w:val="24"/>
          <w:szCs w:val="22"/>
        </w:rPr>
        <w:t>4.9</w:t>
      </w:r>
      <w:r>
        <w:rPr>
          <w:rFonts w:hint="eastAsia" w:ascii="宋体" w:hAnsi="宋体"/>
          <w:color w:val="auto"/>
          <w:spacing w:val="59"/>
          <w:kern w:val="0"/>
          <w:sz w:val="24"/>
          <w:szCs w:val="22"/>
        </w:rPr>
        <w:t xml:space="preserve"> </w:t>
      </w:r>
      <w:r>
        <w:rPr>
          <w:rFonts w:hint="eastAsia" w:ascii="宋体" w:hAnsi="宋体"/>
          <w:color w:val="auto"/>
          <w:kern w:val="0"/>
          <w:sz w:val="24"/>
          <w:szCs w:val="22"/>
        </w:rPr>
        <w:t>工程价款应专款专用</w:t>
      </w:r>
    </w:p>
    <w:p w14:paraId="4917BD1E">
      <w:pPr>
        <w:kinsoku w:val="0"/>
        <w:overflowPunct w:val="0"/>
        <w:autoSpaceDE w:val="0"/>
        <w:autoSpaceDN w:val="0"/>
        <w:spacing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本款细化为： 发包人按合同约定支付给承包人的各项价款应专用于合同工程。承包人必须在</w:t>
      </w:r>
      <w:r>
        <w:rPr>
          <w:rFonts w:hint="eastAsia" w:ascii="宋体" w:hAnsi="宋体"/>
          <w:color w:val="auto"/>
          <w:spacing w:val="-6"/>
          <w:kern w:val="0"/>
          <w:sz w:val="24"/>
          <w:szCs w:val="22"/>
        </w:rPr>
        <w:t>发包人指定的银行开户，并与发包人、银行共同签订《工程资金监管协议》，接受发</w:t>
      </w:r>
      <w:r>
        <w:rPr>
          <w:rFonts w:hint="eastAsia" w:ascii="宋体" w:hAnsi="宋体"/>
          <w:color w:val="auto"/>
          <w:spacing w:val="-106"/>
          <w:kern w:val="0"/>
          <w:sz w:val="24"/>
          <w:szCs w:val="22"/>
        </w:rPr>
        <w:t xml:space="preserve"> </w:t>
      </w:r>
      <w:r>
        <w:rPr>
          <w:rFonts w:hint="eastAsia" w:ascii="宋体" w:hAnsi="宋体"/>
          <w:color w:val="auto"/>
          <w:kern w:val="0"/>
          <w:sz w:val="24"/>
          <w:szCs w:val="22"/>
        </w:rPr>
        <w:t>包人和银行对资金的监管。承包人应向发包人授权进行本合同工程开户银行工程资</w:t>
      </w:r>
      <w:r>
        <w:rPr>
          <w:rFonts w:hint="eastAsia" w:ascii="宋体" w:hAnsi="宋体"/>
          <w:color w:val="auto"/>
          <w:spacing w:val="-95"/>
          <w:kern w:val="0"/>
          <w:sz w:val="24"/>
          <w:szCs w:val="22"/>
        </w:rPr>
        <w:t xml:space="preserve"> </w:t>
      </w:r>
      <w:r>
        <w:rPr>
          <w:rFonts w:hint="eastAsia" w:ascii="宋体" w:hAnsi="宋体"/>
          <w:color w:val="auto"/>
          <w:kern w:val="0"/>
          <w:sz w:val="24"/>
          <w:szCs w:val="22"/>
        </w:rPr>
        <w:t>金的查询。发包人支付的工程进度款应为本工程的专款专用资金，不得转移或用于</w:t>
      </w:r>
      <w:r>
        <w:rPr>
          <w:rFonts w:hint="eastAsia" w:ascii="宋体" w:hAnsi="宋体"/>
          <w:color w:val="auto"/>
          <w:spacing w:val="-95"/>
          <w:kern w:val="0"/>
          <w:sz w:val="24"/>
          <w:szCs w:val="22"/>
        </w:rPr>
        <w:t xml:space="preserve"> </w:t>
      </w:r>
      <w:r>
        <w:rPr>
          <w:rFonts w:hint="eastAsia" w:ascii="宋体" w:hAnsi="宋体"/>
          <w:color w:val="auto"/>
          <w:kern w:val="0"/>
          <w:sz w:val="24"/>
          <w:szCs w:val="22"/>
        </w:rPr>
        <w:t>其他工程。发包人的期中支付款将转入该银行所设的专门账户，发包人及其派出机</w:t>
      </w:r>
      <w:r>
        <w:rPr>
          <w:rFonts w:hint="eastAsia" w:ascii="宋体" w:hAnsi="宋体"/>
          <w:color w:val="auto"/>
          <w:spacing w:val="-96"/>
          <w:kern w:val="0"/>
          <w:sz w:val="24"/>
          <w:szCs w:val="22"/>
        </w:rPr>
        <w:t xml:space="preserve"> </w:t>
      </w:r>
      <w:r>
        <w:rPr>
          <w:rFonts w:hint="eastAsia" w:ascii="宋体" w:hAnsi="宋体"/>
          <w:color w:val="auto"/>
          <w:kern w:val="0"/>
          <w:sz w:val="24"/>
          <w:szCs w:val="22"/>
        </w:rPr>
        <w:t>构有权不定期对承包人工程资金使用情况进行检查，发现问题及时责令承包人限期</w:t>
      </w:r>
      <w:r>
        <w:rPr>
          <w:rFonts w:hint="eastAsia" w:ascii="宋体" w:hAnsi="宋体"/>
          <w:color w:val="auto"/>
          <w:spacing w:val="-95"/>
          <w:kern w:val="0"/>
          <w:sz w:val="24"/>
          <w:szCs w:val="22"/>
        </w:rPr>
        <w:t xml:space="preserve"> </w:t>
      </w:r>
      <w:r>
        <w:rPr>
          <w:rFonts w:hint="eastAsia" w:ascii="宋体" w:hAnsi="宋体"/>
          <w:color w:val="auto"/>
          <w:kern w:val="0"/>
          <w:sz w:val="24"/>
          <w:szCs w:val="22"/>
        </w:rPr>
        <w:t>改正，否则，将终止月支付，直至承包人改正为止。</w:t>
      </w:r>
    </w:p>
    <w:p w14:paraId="714B462F">
      <w:pPr>
        <w:kinsoku w:val="0"/>
        <w:overflowPunct w:val="0"/>
        <w:autoSpaceDE w:val="0"/>
        <w:autoSpaceDN w:val="0"/>
        <w:spacing w:line="240" w:lineRule="auto"/>
        <w:rPr>
          <w:rFonts w:hint="eastAsia" w:ascii="宋体" w:hAnsi="宋体"/>
          <w:color w:val="auto"/>
          <w:kern w:val="0"/>
          <w:sz w:val="24"/>
          <w:szCs w:val="22"/>
        </w:rPr>
      </w:pPr>
      <w:bookmarkStart w:id="70" w:name="bookmark178"/>
      <w:bookmarkEnd w:id="70"/>
      <w:r>
        <w:rPr>
          <w:rFonts w:hint="eastAsia" w:ascii="宋体" w:hAnsi="宋体"/>
          <w:color w:val="auto"/>
          <w:kern w:val="0"/>
          <w:sz w:val="24"/>
          <w:szCs w:val="22"/>
        </w:rPr>
        <w:t>4.10</w:t>
      </w:r>
      <w:r>
        <w:rPr>
          <w:rFonts w:hint="eastAsia" w:ascii="宋体" w:hAnsi="宋体"/>
          <w:color w:val="auto"/>
          <w:spacing w:val="59"/>
          <w:kern w:val="0"/>
          <w:sz w:val="24"/>
          <w:szCs w:val="22"/>
        </w:rPr>
        <w:t xml:space="preserve"> </w:t>
      </w:r>
      <w:r>
        <w:rPr>
          <w:rFonts w:hint="eastAsia" w:ascii="宋体" w:hAnsi="宋体"/>
          <w:color w:val="auto"/>
          <w:kern w:val="0"/>
          <w:sz w:val="24"/>
          <w:szCs w:val="22"/>
        </w:rPr>
        <w:t>承包人现场查勘</w:t>
      </w:r>
    </w:p>
    <w:p w14:paraId="3904756B">
      <w:pPr>
        <w:kinsoku w:val="0"/>
        <w:overflowPunct w:val="0"/>
        <w:autoSpaceDE w:val="0"/>
        <w:autoSpaceDN w:val="0"/>
        <w:spacing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第</w:t>
      </w:r>
      <w:r>
        <w:rPr>
          <w:rFonts w:hint="eastAsia" w:ascii="宋体" w:hAnsi="宋体"/>
          <w:color w:val="auto"/>
          <w:spacing w:val="-60"/>
          <w:kern w:val="0"/>
          <w:sz w:val="24"/>
          <w:szCs w:val="22"/>
        </w:rPr>
        <w:t xml:space="preserve"> </w:t>
      </w:r>
      <w:r>
        <w:rPr>
          <w:rFonts w:hint="eastAsia" w:ascii="宋体" w:hAnsi="宋体"/>
          <w:color w:val="auto"/>
          <w:kern w:val="0"/>
          <w:sz w:val="24"/>
          <w:szCs w:val="22"/>
        </w:rPr>
        <w:t>4.10.1 项细化为：</w:t>
      </w:r>
      <w:r>
        <w:rPr>
          <w:rFonts w:hint="eastAsia" w:ascii="宋体" w:hAnsi="宋体"/>
          <w:color w:val="auto"/>
          <w:kern w:val="0"/>
          <w:position w:val="11"/>
          <w:sz w:val="12"/>
          <w:szCs w:val="12"/>
        </w:rPr>
        <w:t xml:space="preserve">① </w:t>
      </w:r>
      <w:r>
        <w:rPr>
          <w:rFonts w:hint="eastAsia" w:ascii="宋体" w:hAnsi="宋体"/>
          <w:color w:val="auto"/>
          <w:kern w:val="0"/>
          <w:sz w:val="24"/>
          <w:szCs w:val="22"/>
        </w:rPr>
        <w:t>发包人提供的本合同工程的水文、地质、气象和料场分布、取土场、弃土场位置等资料均属于参考资料，并不构成合同文件的组成部分，承包人应对自己就上述</w:t>
      </w:r>
      <w:r>
        <w:rPr>
          <w:rFonts w:hint="eastAsia" w:ascii="宋体" w:hAnsi="宋体"/>
          <w:color w:val="auto"/>
          <w:spacing w:val="-95"/>
          <w:kern w:val="0"/>
          <w:sz w:val="24"/>
          <w:szCs w:val="22"/>
        </w:rPr>
        <w:t xml:space="preserve"> </w:t>
      </w:r>
      <w:r>
        <w:rPr>
          <w:rFonts w:hint="eastAsia" w:ascii="宋体" w:hAnsi="宋体"/>
          <w:color w:val="auto"/>
          <w:kern w:val="0"/>
          <w:sz w:val="24"/>
          <w:szCs w:val="22"/>
        </w:rPr>
        <w:t>资料的解释、推论和应用负责，发包人不对承包人据此作出的判断和决策承担任何</w:t>
      </w:r>
      <w:r>
        <w:rPr>
          <w:rFonts w:hint="eastAsia" w:ascii="宋体" w:hAnsi="宋体"/>
          <w:color w:val="auto"/>
          <w:spacing w:val="-92"/>
          <w:kern w:val="0"/>
          <w:sz w:val="24"/>
          <w:szCs w:val="22"/>
        </w:rPr>
        <w:t xml:space="preserve"> </w:t>
      </w:r>
      <w:r>
        <w:rPr>
          <w:rFonts w:hint="eastAsia" w:ascii="宋体" w:hAnsi="宋体"/>
          <w:color w:val="auto"/>
          <w:kern w:val="0"/>
          <w:sz w:val="24"/>
          <w:szCs w:val="22"/>
        </w:rPr>
        <w:t>责任。</w:t>
      </w:r>
    </w:p>
    <w:p w14:paraId="67D9EB6F">
      <w:pPr>
        <w:kinsoku w:val="0"/>
        <w:overflowPunct w:val="0"/>
        <w:autoSpaceDE w:val="0"/>
        <w:autoSpaceDN w:val="0"/>
        <w:spacing w:line="240" w:lineRule="auto"/>
        <w:rPr>
          <w:rFonts w:hint="eastAsia" w:ascii="宋体" w:hAnsi="宋体"/>
          <w:color w:val="auto"/>
          <w:kern w:val="0"/>
          <w:sz w:val="24"/>
          <w:szCs w:val="22"/>
        </w:rPr>
      </w:pPr>
      <w:bookmarkStart w:id="71" w:name="bookmark179"/>
      <w:bookmarkEnd w:id="71"/>
      <w:r>
        <w:rPr>
          <w:rFonts w:hint="eastAsia" w:ascii="宋体" w:hAnsi="宋体"/>
          <w:color w:val="auto"/>
          <w:kern w:val="0"/>
          <w:sz w:val="24"/>
          <w:szCs w:val="22"/>
        </w:rPr>
        <w:t>4.11</w:t>
      </w:r>
      <w:r>
        <w:rPr>
          <w:rFonts w:hint="eastAsia" w:ascii="宋体" w:hAnsi="宋体"/>
          <w:color w:val="auto"/>
          <w:spacing w:val="59"/>
          <w:kern w:val="0"/>
          <w:sz w:val="24"/>
          <w:szCs w:val="22"/>
        </w:rPr>
        <w:t xml:space="preserve"> </w:t>
      </w:r>
      <w:r>
        <w:rPr>
          <w:rFonts w:hint="eastAsia" w:ascii="宋体" w:hAnsi="宋体"/>
          <w:color w:val="auto"/>
          <w:kern w:val="0"/>
          <w:sz w:val="24"/>
          <w:szCs w:val="22"/>
        </w:rPr>
        <w:t>不利物质条件</w:t>
      </w:r>
    </w:p>
    <w:p w14:paraId="7A282A92">
      <w:pPr>
        <w:kinsoku w:val="0"/>
        <w:overflowPunct w:val="0"/>
        <w:autoSpaceDE w:val="0"/>
        <w:autoSpaceDN w:val="0"/>
        <w:spacing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第</w:t>
      </w:r>
      <w:r>
        <w:rPr>
          <w:rFonts w:hint="eastAsia" w:ascii="宋体" w:hAnsi="宋体"/>
          <w:color w:val="auto"/>
          <w:spacing w:val="-65"/>
          <w:kern w:val="0"/>
          <w:sz w:val="24"/>
          <w:szCs w:val="22"/>
        </w:rPr>
        <w:t xml:space="preserve"> </w:t>
      </w:r>
      <w:r>
        <w:rPr>
          <w:rFonts w:hint="eastAsia" w:ascii="宋体" w:hAnsi="宋体"/>
          <w:color w:val="auto"/>
          <w:kern w:val="0"/>
          <w:sz w:val="24"/>
          <w:szCs w:val="22"/>
        </w:rPr>
        <w:t>4.11.2</w:t>
      </w:r>
      <w:r>
        <w:rPr>
          <w:rFonts w:hint="eastAsia" w:ascii="宋体" w:hAnsi="宋体"/>
          <w:color w:val="auto"/>
          <w:spacing w:val="-5"/>
          <w:kern w:val="0"/>
          <w:sz w:val="24"/>
          <w:szCs w:val="22"/>
        </w:rPr>
        <w:t xml:space="preserve"> </w:t>
      </w:r>
      <w:r>
        <w:rPr>
          <w:rFonts w:hint="eastAsia" w:ascii="宋体" w:hAnsi="宋体"/>
          <w:color w:val="auto"/>
          <w:kern w:val="0"/>
          <w:sz w:val="24"/>
          <w:szCs w:val="22"/>
        </w:rPr>
        <w:t>项细化为：</w:t>
      </w:r>
    </w:p>
    <w:p w14:paraId="4D7C0545">
      <w:pPr>
        <w:kinsoku w:val="0"/>
        <w:overflowPunct w:val="0"/>
        <w:autoSpaceDE w:val="0"/>
        <w:autoSpaceDN w:val="0"/>
        <w:spacing w:before="66"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4.11.2</w:t>
      </w:r>
      <w:r>
        <w:rPr>
          <w:rFonts w:hint="eastAsia" w:ascii="宋体" w:hAnsi="宋体"/>
          <w:color w:val="auto"/>
          <w:spacing w:val="7"/>
          <w:kern w:val="0"/>
          <w:sz w:val="24"/>
          <w:szCs w:val="22"/>
        </w:rPr>
        <w:t xml:space="preserve"> </w:t>
      </w:r>
      <w:r>
        <w:rPr>
          <w:rFonts w:hint="eastAsia" w:ascii="宋体" w:hAnsi="宋体"/>
          <w:color w:val="auto"/>
          <w:spacing w:val="2"/>
          <w:kern w:val="0"/>
          <w:sz w:val="24"/>
          <w:szCs w:val="22"/>
        </w:rPr>
        <w:t>承包人遇到不可预见的不利物质条件时，应采取适应不利物质条件的合</w:t>
      </w:r>
      <w:r>
        <w:rPr>
          <w:rFonts w:hint="eastAsia" w:ascii="宋体" w:hAnsi="宋体"/>
          <w:color w:val="auto"/>
          <w:kern w:val="0"/>
          <w:sz w:val="24"/>
          <w:szCs w:val="22"/>
        </w:rPr>
        <w:t xml:space="preserve"> </w:t>
      </w:r>
      <w:r>
        <w:rPr>
          <w:rFonts w:hint="eastAsia" w:ascii="宋体" w:hAnsi="宋体"/>
          <w:color w:val="auto"/>
          <w:spacing w:val="-3"/>
          <w:kern w:val="0"/>
          <w:sz w:val="24"/>
          <w:szCs w:val="22"/>
        </w:rPr>
        <w:t>理措施继续施工，并及时通知</w:t>
      </w:r>
      <w:r>
        <w:rPr>
          <w:rFonts w:hint="eastAsia" w:ascii="宋体" w:hAnsi="宋体"/>
          <w:color w:val="auto"/>
          <w:spacing w:val="-3"/>
          <w:kern w:val="0"/>
          <w:sz w:val="24"/>
          <w:szCs w:val="22"/>
          <w:lang w:val="en-US" w:eastAsia="zh-CN"/>
        </w:rPr>
        <w:t>发包</w:t>
      </w:r>
      <w:r>
        <w:rPr>
          <w:rFonts w:hint="eastAsia" w:ascii="宋体" w:hAnsi="宋体"/>
          <w:color w:val="auto"/>
          <w:spacing w:val="-3"/>
          <w:kern w:val="0"/>
          <w:sz w:val="24"/>
          <w:szCs w:val="22"/>
        </w:rPr>
        <w:t>人。</w:t>
      </w:r>
      <w:r>
        <w:rPr>
          <w:rFonts w:hint="eastAsia" w:ascii="宋体" w:hAnsi="宋体"/>
          <w:color w:val="auto"/>
          <w:spacing w:val="-3"/>
          <w:kern w:val="0"/>
          <w:sz w:val="24"/>
          <w:szCs w:val="22"/>
          <w:lang w:val="en-US" w:eastAsia="zh-CN"/>
        </w:rPr>
        <w:t>发包</w:t>
      </w:r>
      <w:r>
        <w:rPr>
          <w:rFonts w:hint="eastAsia" w:ascii="宋体" w:hAnsi="宋体"/>
          <w:color w:val="auto"/>
          <w:spacing w:val="-3"/>
          <w:kern w:val="0"/>
          <w:sz w:val="24"/>
          <w:szCs w:val="22"/>
        </w:rPr>
        <w:t>人应当及时发出指示，指示构成变更的，</w:t>
      </w:r>
      <w:r>
        <w:rPr>
          <w:rFonts w:hint="eastAsia" w:ascii="宋体" w:hAnsi="宋体"/>
          <w:color w:val="auto"/>
          <w:spacing w:val="-96"/>
          <w:kern w:val="0"/>
          <w:sz w:val="24"/>
          <w:szCs w:val="22"/>
        </w:rPr>
        <w:t xml:space="preserve"> </w:t>
      </w:r>
      <w:r>
        <w:rPr>
          <w:rFonts w:hint="eastAsia" w:ascii="宋体" w:hAnsi="宋体"/>
          <w:color w:val="auto"/>
          <w:kern w:val="0"/>
          <w:sz w:val="24"/>
          <w:szCs w:val="22"/>
        </w:rPr>
        <w:t>按第</w:t>
      </w:r>
      <w:r>
        <w:rPr>
          <w:rFonts w:hint="eastAsia" w:ascii="宋体" w:hAnsi="宋体"/>
          <w:color w:val="auto"/>
          <w:spacing w:val="-59"/>
          <w:kern w:val="0"/>
          <w:sz w:val="24"/>
          <w:szCs w:val="22"/>
        </w:rPr>
        <w:t xml:space="preserve"> </w:t>
      </w:r>
      <w:r>
        <w:rPr>
          <w:rFonts w:hint="eastAsia" w:ascii="宋体" w:hAnsi="宋体"/>
          <w:color w:val="auto"/>
          <w:kern w:val="0"/>
          <w:sz w:val="24"/>
          <w:szCs w:val="22"/>
        </w:rPr>
        <w:t>15</w:t>
      </w:r>
      <w:r>
        <w:rPr>
          <w:rFonts w:hint="eastAsia" w:ascii="宋体" w:hAnsi="宋体"/>
          <w:color w:val="auto"/>
          <w:spacing w:val="2"/>
          <w:kern w:val="0"/>
          <w:sz w:val="24"/>
          <w:szCs w:val="22"/>
        </w:rPr>
        <w:t xml:space="preserve"> </w:t>
      </w:r>
      <w:r>
        <w:rPr>
          <w:rFonts w:hint="eastAsia" w:ascii="宋体" w:hAnsi="宋体"/>
          <w:color w:val="auto"/>
          <w:spacing w:val="-3"/>
          <w:kern w:val="0"/>
          <w:sz w:val="24"/>
          <w:szCs w:val="22"/>
        </w:rPr>
        <w:t>条约定办理。</w:t>
      </w:r>
      <w:r>
        <w:rPr>
          <w:rFonts w:hint="eastAsia" w:ascii="宋体" w:hAnsi="宋体"/>
          <w:color w:val="auto"/>
          <w:spacing w:val="-3"/>
          <w:kern w:val="0"/>
          <w:sz w:val="24"/>
          <w:szCs w:val="22"/>
          <w:lang w:val="en-US" w:eastAsia="zh-CN"/>
        </w:rPr>
        <w:t>发包</w:t>
      </w:r>
      <w:r>
        <w:rPr>
          <w:rFonts w:hint="eastAsia" w:ascii="宋体" w:hAnsi="宋体"/>
          <w:color w:val="auto"/>
          <w:spacing w:val="-3"/>
          <w:kern w:val="0"/>
          <w:sz w:val="24"/>
          <w:szCs w:val="22"/>
        </w:rPr>
        <w:t>人没有发出指示的，承包人因采取合理措施而增加的费用</w:t>
      </w:r>
      <w:r>
        <w:rPr>
          <w:rFonts w:hint="eastAsia" w:ascii="宋体" w:hAnsi="宋体"/>
          <w:color w:val="auto"/>
          <w:spacing w:val="-115"/>
          <w:kern w:val="0"/>
          <w:sz w:val="24"/>
          <w:szCs w:val="22"/>
        </w:rPr>
        <w:t xml:space="preserve"> </w:t>
      </w:r>
      <w:r>
        <w:rPr>
          <w:rFonts w:hint="eastAsia" w:ascii="宋体" w:hAnsi="宋体"/>
          <w:color w:val="auto"/>
          <w:kern w:val="0"/>
          <w:sz w:val="24"/>
          <w:szCs w:val="22"/>
        </w:rPr>
        <w:t>和（或）工期延误，由发包人承担。</w:t>
      </w:r>
    </w:p>
    <w:p w14:paraId="4B8D9858">
      <w:pPr>
        <w:kinsoku w:val="0"/>
        <w:overflowPunct w:val="0"/>
        <w:autoSpaceDE w:val="0"/>
        <w:autoSpaceDN w:val="0"/>
        <w:spacing w:before="31"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本款补充第</w:t>
      </w:r>
      <w:r>
        <w:rPr>
          <w:rFonts w:hint="eastAsia" w:ascii="宋体" w:hAnsi="宋体"/>
          <w:color w:val="auto"/>
          <w:spacing w:val="-65"/>
          <w:kern w:val="0"/>
          <w:sz w:val="24"/>
          <w:szCs w:val="22"/>
        </w:rPr>
        <w:t xml:space="preserve"> </w:t>
      </w:r>
      <w:r>
        <w:rPr>
          <w:rFonts w:hint="eastAsia" w:ascii="宋体" w:hAnsi="宋体"/>
          <w:color w:val="auto"/>
          <w:kern w:val="0"/>
          <w:sz w:val="24"/>
          <w:szCs w:val="22"/>
        </w:rPr>
        <w:t>4.11.3</w:t>
      </w:r>
      <w:r>
        <w:rPr>
          <w:rFonts w:hint="eastAsia" w:ascii="宋体" w:hAnsi="宋体"/>
          <w:color w:val="auto"/>
          <w:spacing w:val="-5"/>
          <w:kern w:val="0"/>
          <w:sz w:val="24"/>
          <w:szCs w:val="22"/>
        </w:rPr>
        <w:t xml:space="preserve"> </w:t>
      </w:r>
      <w:r>
        <w:rPr>
          <w:rFonts w:hint="eastAsia" w:ascii="宋体" w:hAnsi="宋体"/>
          <w:color w:val="auto"/>
          <w:kern w:val="0"/>
          <w:sz w:val="24"/>
          <w:szCs w:val="22"/>
        </w:rPr>
        <w:t>项：</w:t>
      </w:r>
    </w:p>
    <w:p w14:paraId="26E03AE1">
      <w:pPr>
        <w:kinsoku w:val="0"/>
        <w:overflowPunct w:val="0"/>
        <w:autoSpaceDE w:val="0"/>
        <w:autoSpaceDN w:val="0"/>
        <w:spacing w:before="68"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4.11.3</w:t>
      </w:r>
      <w:r>
        <w:rPr>
          <w:rFonts w:hint="eastAsia" w:ascii="宋体" w:hAnsi="宋体"/>
          <w:color w:val="auto"/>
          <w:spacing w:val="50"/>
          <w:kern w:val="0"/>
          <w:sz w:val="24"/>
          <w:szCs w:val="22"/>
        </w:rPr>
        <w:t xml:space="preserve"> </w:t>
      </w:r>
      <w:r>
        <w:rPr>
          <w:rFonts w:hint="eastAsia" w:ascii="宋体" w:hAnsi="宋体"/>
          <w:color w:val="auto"/>
          <w:kern w:val="0"/>
          <w:sz w:val="24"/>
          <w:szCs w:val="22"/>
        </w:rPr>
        <w:t>可预见的不利物质条件</w:t>
      </w:r>
    </w:p>
    <w:p w14:paraId="09189FD4">
      <w:pPr>
        <w:kinsoku w:val="0"/>
        <w:overflowPunct w:val="0"/>
        <w:autoSpaceDE w:val="0"/>
        <w:autoSpaceDN w:val="0"/>
        <w:spacing w:before="66" w:line="240" w:lineRule="auto"/>
        <w:ind w:right="223" w:firstLine="476"/>
        <w:rPr>
          <w:rFonts w:hint="eastAsia" w:ascii="宋体" w:hAnsi="宋体"/>
          <w:color w:val="auto"/>
          <w:spacing w:val="-1"/>
          <w:kern w:val="0"/>
          <w:sz w:val="24"/>
          <w:szCs w:val="22"/>
        </w:rPr>
      </w:pPr>
      <w:r>
        <w:rPr>
          <w:rFonts w:hint="eastAsia" w:ascii="宋体" w:hAnsi="宋体"/>
          <w:color w:val="auto"/>
          <w:spacing w:val="-1"/>
          <w:kern w:val="0"/>
          <w:sz w:val="24"/>
          <w:szCs w:val="22"/>
        </w:rPr>
        <w:t>（1）对于项目专用合同条款中已经明确指出的不利物质条件无论承包人是否有</w:t>
      </w:r>
      <w:r>
        <w:rPr>
          <w:rFonts w:hint="eastAsia" w:ascii="宋体" w:hAnsi="宋体"/>
          <w:color w:val="auto"/>
          <w:kern w:val="0"/>
          <w:sz w:val="24"/>
          <w:szCs w:val="22"/>
        </w:rPr>
        <w:t xml:space="preserve"> 其经历和经验均视为承包人在接受合同时已预见其影响，并已在签约合同价中计入</w:t>
      </w:r>
      <w:r>
        <w:rPr>
          <w:rFonts w:hint="eastAsia" w:ascii="宋体" w:hAnsi="宋体"/>
          <w:color w:val="auto"/>
          <w:spacing w:val="-91"/>
          <w:kern w:val="0"/>
          <w:sz w:val="24"/>
          <w:szCs w:val="22"/>
        </w:rPr>
        <w:t xml:space="preserve"> </w:t>
      </w:r>
      <w:r>
        <w:rPr>
          <w:rFonts w:hint="eastAsia" w:ascii="宋体" w:hAnsi="宋体"/>
          <w:color w:val="auto"/>
          <w:kern w:val="0"/>
          <w:sz w:val="24"/>
          <w:szCs w:val="22"/>
        </w:rPr>
        <w:t>因其影响而可能发生的一切费用。</w:t>
      </w:r>
    </w:p>
    <w:p w14:paraId="34140752">
      <w:pPr>
        <w:kinsoku w:val="0"/>
        <w:overflowPunct w:val="0"/>
        <w:autoSpaceDE w:val="0"/>
        <w:autoSpaceDN w:val="0"/>
        <w:spacing w:before="66" w:line="240" w:lineRule="auto"/>
        <w:ind w:right="223" w:firstLine="476"/>
        <w:rPr>
          <w:rFonts w:hint="eastAsia" w:ascii="宋体" w:hAnsi="宋体"/>
          <w:color w:val="auto"/>
          <w:spacing w:val="-1"/>
          <w:kern w:val="0"/>
          <w:sz w:val="24"/>
          <w:szCs w:val="22"/>
        </w:rPr>
      </w:pPr>
      <w:r>
        <w:rPr>
          <w:rFonts w:hint="eastAsia" w:ascii="宋体" w:hAnsi="宋体"/>
          <w:color w:val="auto"/>
          <w:spacing w:val="-1"/>
          <w:kern w:val="0"/>
          <w:sz w:val="24"/>
          <w:szCs w:val="22"/>
        </w:rPr>
        <w:t>（2）对于项目专用合同条款未明确指出，但是在不利物质条件发生之前，</w:t>
      </w:r>
      <w:r>
        <w:rPr>
          <w:rFonts w:hint="eastAsia" w:ascii="宋体" w:hAnsi="宋体"/>
          <w:color w:val="auto"/>
          <w:spacing w:val="-1"/>
          <w:kern w:val="0"/>
          <w:sz w:val="24"/>
          <w:szCs w:val="22"/>
          <w:lang w:val="en-US" w:eastAsia="zh-CN"/>
        </w:rPr>
        <w:t>发包</w:t>
      </w:r>
      <w:r>
        <w:rPr>
          <w:rFonts w:hint="eastAsia" w:ascii="宋体" w:hAnsi="宋体"/>
          <w:color w:val="auto"/>
          <w:kern w:val="0"/>
          <w:sz w:val="24"/>
          <w:szCs w:val="22"/>
        </w:rPr>
        <w:t>人已经指示承包人有可能发生，但承包人未能及时采取有效措施，而导致的损失和</w:t>
      </w:r>
      <w:r>
        <w:rPr>
          <w:rFonts w:hint="eastAsia" w:ascii="宋体" w:hAnsi="宋体"/>
          <w:color w:val="auto"/>
          <w:spacing w:val="-95"/>
          <w:kern w:val="0"/>
          <w:sz w:val="24"/>
          <w:szCs w:val="22"/>
        </w:rPr>
        <w:t xml:space="preserve"> </w:t>
      </w:r>
      <w:r>
        <w:rPr>
          <w:rFonts w:hint="eastAsia" w:ascii="宋体" w:hAnsi="宋体"/>
          <w:color w:val="auto"/>
          <w:kern w:val="0"/>
          <w:sz w:val="24"/>
          <w:szCs w:val="22"/>
        </w:rPr>
        <w:t>后果均由承包人承担。</w:t>
      </w:r>
    </w:p>
    <w:p w14:paraId="114AB2AD">
      <w:pPr>
        <w:kinsoku w:val="0"/>
        <w:overflowPunct w:val="0"/>
        <w:autoSpaceDE w:val="0"/>
        <w:autoSpaceDN w:val="0"/>
        <w:spacing w:before="66" w:line="240" w:lineRule="auto"/>
        <w:ind w:right="223" w:firstLine="480"/>
        <w:rPr>
          <w:rFonts w:hint="eastAsia" w:ascii="宋体" w:hAnsi="宋体"/>
          <w:color w:val="auto"/>
          <w:kern w:val="0"/>
          <w:sz w:val="24"/>
          <w:szCs w:val="22"/>
        </w:rPr>
      </w:pPr>
      <w:r>
        <w:rPr>
          <w:rFonts w:hint="eastAsia" w:ascii="宋体" w:hAnsi="宋体"/>
          <w:color w:val="auto"/>
          <w:kern w:val="0"/>
          <w:sz w:val="24"/>
          <w:szCs w:val="22"/>
        </w:rPr>
        <w:t>补充第</w:t>
      </w:r>
      <w:r>
        <w:rPr>
          <w:rFonts w:hint="eastAsia" w:ascii="宋体" w:hAnsi="宋体"/>
          <w:color w:val="auto"/>
          <w:spacing w:val="-61"/>
          <w:kern w:val="0"/>
          <w:sz w:val="24"/>
          <w:szCs w:val="22"/>
        </w:rPr>
        <w:t xml:space="preserve"> </w:t>
      </w:r>
      <w:r>
        <w:rPr>
          <w:rFonts w:hint="eastAsia" w:ascii="宋体" w:hAnsi="宋体"/>
          <w:color w:val="auto"/>
          <w:kern w:val="0"/>
          <w:sz w:val="24"/>
          <w:szCs w:val="22"/>
        </w:rPr>
        <w:t>4.12</w:t>
      </w:r>
      <w:r>
        <w:rPr>
          <w:rFonts w:hint="eastAsia" w:ascii="宋体" w:hAnsi="宋体"/>
          <w:color w:val="auto"/>
          <w:spacing w:val="-1"/>
          <w:kern w:val="0"/>
          <w:sz w:val="24"/>
          <w:szCs w:val="22"/>
        </w:rPr>
        <w:t xml:space="preserve"> </w:t>
      </w:r>
      <w:r>
        <w:rPr>
          <w:rFonts w:hint="eastAsia" w:ascii="宋体" w:hAnsi="宋体"/>
          <w:color w:val="auto"/>
          <w:kern w:val="0"/>
          <w:sz w:val="24"/>
          <w:szCs w:val="22"/>
        </w:rPr>
        <w:t>款、第</w:t>
      </w:r>
      <w:r>
        <w:rPr>
          <w:rFonts w:hint="eastAsia" w:ascii="宋体" w:hAnsi="宋体"/>
          <w:color w:val="auto"/>
          <w:spacing w:val="-61"/>
          <w:kern w:val="0"/>
          <w:sz w:val="24"/>
          <w:szCs w:val="22"/>
        </w:rPr>
        <w:t xml:space="preserve"> </w:t>
      </w:r>
      <w:r>
        <w:rPr>
          <w:rFonts w:hint="eastAsia" w:ascii="宋体" w:hAnsi="宋体"/>
          <w:color w:val="auto"/>
          <w:kern w:val="0"/>
          <w:sz w:val="24"/>
          <w:szCs w:val="22"/>
        </w:rPr>
        <w:t>4.13</w:t>
      </w:r>
      <w:r>
        <w:rPr>
          <w:rFonts w:hint="eastAsia" w:ascii="宋体" w:hAnsi="宋体"/>
          <w:color w:val="auto"/>
          <w:spacing w:val="-1"/>
          <w:kern w:val="0"/>
          <w:sz w:val="24"/>
          <w:szCs w:val="22"/>
        </w:rPr>
        <w:t xml:space="preserve"> </w:t>
      </w:r>
      <w:r>
        <w:rPr>
          <w:rFonts w:hint="eastAsia" w:ascii="宋体" w:hAnsi="宋体"/>
          <w:color w:val="auto"/>
          <w:kern w:val="0"/>
          <w:sz w:val="24"/>
          <w:szCs w:val="22"/>
        </w:rPr>
        <w:t>款：</w:t>
      </w:r>
    </w:p>
    <w:p w14:paraId="10EC8ECD">
      <w:pPr>
        <w:kinsoku w:val="0"/>
        <w:overflowPunct w:val="0"/>
        <w:autoSpaceDE w:val="0"/>
        <w:autoSpaceDN w:val="0"/>
        <w:spacing w:line="240" w:lineRule="auto"/>
        <w:rPr>
          <w:rFonts w:hint="eastAsia" w:ascii="宋体" w:hAnsi="宋体"/>
          <w:color w:val="auto"/>
          <w:kern w:val="0"/>
          <w:sz w:val="24"/>
          <w:szCs w:val="22"/>
        </w:rPr>
      </w:pPr>
      <w:r>
        <w:rPr>
          <w:rFonts w:hint="eastAsia" w:ascii="宋体" w:hAnsi="宋体"/>
          <w:color w:val="auto"/>
          <w:kern w:val="0"/>
          <w:sz w:val="24"/>
          <w:szCs w:val="22"/>
        </w:rPr>
        <w:t>4.12</w:t>
      </w:r>
      <w:r>
        <w:rPr>
          <w:rFonts w:hint="eastAsia" w:ascii="宋体" w:hAnsi="宋体"/>
          <w:color w:val="auto"/>
          <w:spacing w:val="59"/>
          <w:kern w:val="0"/>
          <w:sz w:val="24"/>
          <w:szCs w:val="22"/>
        </w:rPr>
        <w:t xml:space="preserve"> </w:t>
      </w:r>
      <w:r>
        <w:rPr>
          <w:rFonts w:hint="eastAsia" w:ascii="宋体" w:hAnsi="宋体"/>
          <w:color w:val="auto"/>
          <w:kern w:val="0"/>
          <w:sz w:val="24"/>
          <w:szCs w:val="22"/>
        </w:rPr>
        <w:t>投标文件的完备性</w:t>
      </w:r>
    </w:p>
    <w:p w14:paraId="55549EBD">
      <w:pPr>
        <w:kinsoku w:val="0"/>
        <w:overflowPunct w:val="0"/>
        <w:autoSpaceDE w:val="0"/>
        <w:autoSpaceDN w:val="0"/>
        <w:spacing w:line="240" w:lineRule="auto"/>
        <w:ind w:firstLine="480"/>
        <w:rPr>
          <w:rFonts w:hint="eastAsia" w:ascii="宋体" w:hAnsi="宋体"/>
          <w:color w:val="auto"/>
          <w:kern w:val="0"/>
          <w:sz w:val="24"/>
          <w:szCs w:val="22"/>
        </w:rPr>
      </w:pPr>
      <w:r>
        <w:rPr>
          <w:rFonts w:hint="eastAsia" w:ascii="宋体" w:hAnsi="宋体"/>
          <w:color w:val="auto"/>
          <w:kern w:val="0"/>
          <w:sz w:val="24"/>
          <w:szCs w:val="22"/>
        </w:rPr>
        <w:t>合同双方一致认为，承包人在递交投标文件前，对本合同工程的投标文件和已 标价工程量清单中开列的单价和总额价已查明是正确的和完备的。投标的单价和总</w:t>
      </w:r>
      <w:r>
        <w:rPr>
          <w:rFonts w:hint="eastAsia" w:ascii="宋体" w:hAnsi="宋体"/>
          <w:color w:val="auto"/>
          <w:spacing w:val="-95"/>
          <w:kern w:val="0"/>
          <w:sz w:val="24"/>
          <w:szCs w:val="22"/>
        </w:rPr>
        <w:t xml:space="preserve"> </w:t>
      </w:r>
      <w:r>
        <w:rPr>
          <w:rFonts w:hint="eastAsia" w:ascii="宋体" w:hAnsi="宋体"/>
          <w:color w:val="auto"/>
          <w:kern w:val="0"/>
          <w:sz w:val="24"/>
          <w:szCs w:val="22"/>
        </w:rPr>
        <w:t>额价应已包括了合同中规定的承包人的全部义务（包括提供货物、材料、设备、服</w:t>
      </w:r>
      <w:r>
        <w:rPr>
          <w:rFonts w:hint="eastAsia" w:ascii="宋体" w:hAnsi="宋体"/>
          <w:color w:val="auto"/>
          <w:spacing w:val="-93"/>
          <w:kern w:val="0"/>
          <w:sz w:val="24"/>
          <w:szCs w:val="22"/>
        </w:rPr>
        <w:t xml:space="preserve"> </w:t>
      </w:r>
      <w:r>
        <w:rPr>
          <w:rFonts w:hint="eastAsia" w:ascii="宋体" w:hAnsi="宋体"/>
          <w:color w:val="auto"/>
          <w:kern w:val="0"/>
          <w:sz w:val="24"/>
          <w:szCs w:val="22"/>
        </w:rPr>
        <w:t>务的义务，并包括了暂列金额和暂估价范围内的额外工作的义务）以及为实施和完</w:t>
      </w:r>
      <w:r>
        <w:rPr>
          <w:rFonts w:hint="eastAsia" w:ascii="宋体" w:hAnsi="宋体"/>
          <w:color w:val="auto"/>
          <w:spacing w:val="-92"/>
          <w:kern w:val="0"/>
          <w:sz w:val="24"/>
          <w:szCs w:val="22"/>
        </w:rPr>
        <w:t xml:space="preserve"> </w:t>
      </w:r>
      <w:r>
        <w:rPr>
          <w:rFonts w:hint="eastAsia" w:ascii="宋体" w:hAnsi="宋体"/>
          <w:color w:val="auto"/>
          <w:kern w:val="0"/>
          <w:sz w:val="24"/>
          <w:szCs w:val="22"/>
        </w:rPr>
        <w:t>成本合同工程及其缺陷修复所必需的一切工作和条件。</w:t>
      </w:r>
    </w:p>
    <w:p w14:paraId="5ED2EAA8">
      <w:pPr>
        <w:kinsoku w:val="0"/>
        <w:overflowPunct w:val="0"/>
        <w:autoSpaceDE w:val="0"/>
        <w:autoSpaceDN w:val="0"/>
        <w:spacing w:before="47" w:line="240" w:lineRule="auto"/>
        <w:ind w:left="324" w:hanging="180"/>
        <w:jc w:val="left"/>
        <w:rPr>
          <w:rFonts w:hint="eastAsia" w:ascii="宋体" w:hAnsi="宋体"/>
          <w:color w:val="auto"/>
          <w:kern w:val="0"/>
          <w:position w:val="8"/>
          <w:sz w:val="9"/>
          <w:szCs w:val="9"/>
        </w:rPr>
      </w:pPr>
      <w:r>
        <w:rPr>
          <w:rFonts w:hint="eastAsia" w:ascii="宋体" w:hAnsi="宋体"/>
          <w:color w:val="auto"/>
          <w:kern w:val="0"/>
          <w:position w:val="8"/>
          <w:sz w:val="9"/>
          <w:szCs w:val="9"/>
        </w:rPr>
        <w:t>①</w:t>
      </w:r>
      <w:r>
        <w:rPr>
          <w:rFonts w:hint="eastAsia" w:ascii="宋体" w:hAnsi="宋体"/>
          <w:color w:val="auto"/>
          <w:spacing w:val="1"/>
          <w:kern w:val="0"/>
          <w:position w:val="8"/>
          <w:sz w:val="9"/>
          <w:szCs w:val="9"/>
        </w:rPr>
        <w:t xml:space="preserve"> </w:t>
      </w:r>
      <w:r>
        <w:rPr>
          <w:rFonts w:hint="eastAsia" w:ascii="宋体" w:hAnsi="宋体"/>
          <w:color w:val="auto"/>
          <w:kern w:val="0"/>
          <w:sz w:val="18"/>
          <w:szCs w:val="18"/>
        </w:rPr>
        <w:t>如果在招标阶段，招标人在图纸中直接指定了取土场和弃土场位置，且作为投标人投标报价的依据，则招标 人应在项目专用合同条款中对本项规定进行调整。</w:t>
      </w:r>
    </w:p>
    <w:p w14:paraId="49B75D61">
      <w:pPr>
        <w:kinsoku w:val="0"/>
        <w:overflowPunct w:val="0"/>
        <w:autoSpaceDE w:val="0"/>
        <w:autoSpaceDN w:val="0"/>
        <w:spacing w:line="240" w:lineRule="auto"/>
        <w:ind w:left="144"/>
        <w:rPr>
          <w:rFonts w:hint="eastAsia" w:ascii="宋体" w:hAnsi="宋体"/>
          <w:color w:val="auto"/>
          <w:kern w:val="0"/>
          <w:sz w:val="24"/>
          <w:szCs w:val="22"/>
        </w:rPr>
      </w:pPr>
      <w:r>
        <w:rPr>
          <w:rFonts w:hint="eastAsia" w:ascii="宋体" w:hAnsi="宋体"/>
          <w:color w:val="auto"/>
          <w:kern w:val="0"/>
          <w:sz w:val="24"/>
          <w:szCs w:val="22"/>
        </w:rPr>
        <w:t>4.13</w:t>
      </w:r>
      <w:r>
        <w:rPr>
          <w:rFonts w:hint="eastAsia" w:ascii="宋体" w:hAnsi="宋体"/>
          <w:color w:val="auto"/>
          <w:spacing w:val="59"/>
          <w:kern w:val="0"/>
          <w:sz w:val="24"/>
          <w:szCs w:val="22"/>
        </w:rPr>
        <w:t xml:space="preserve"> </w:t>
      </w:r>
      <w:r>
        <w:rPr>
          <w:rFonts w:hint="eastAsia" w:ascii="宋体" w:hAnsi="宋体"/>
          <w:color w:val="auto"/>
          <w:kern w:val="0"/>
          <w:sz w:val="24"/>
          <w:szCs w:val="22"/>
        </w:rPr>
        <w:t>开展党建工作要求</w:t>
      </w:r>
    </w:p>
    <w:p w14:paraId="77BDBB11">
      <w:pPr>
        <w:kinsoku w:val="0"/>
        <w:overflowPunct w:val="0"/>
        <w:autoSpaceDE w:val="0"/>
        <w:autoSpaceDN w:val="0"/>
        <w:spacing w:line="240" w:lineRule="auto"/>
        <w:ind w:right="107" w:firstLine="480"/>
        <w:rPr>
          <w:rFonts w:hint="eastAsia" w:ascii="宋体" w:hAnsi="宋体"/>
          <w:color w:val="auto"/>
          <w:kern w:val="0"/>
          <w:sz w:val="24"/>
          <w:szCs w:val="22"/>
        </w:rPr>
      </w:pPr>
      <w:r>
        <w:rPr>
          <w:rFonts w:hint="eastAsia" w:ascii="宋体" w:hAnsi="宋体"/>
          <w:color w:val="auto"/>
          <w:kern w:val="0"/>
          <w:sz w:val="24"/>
          <w:szCs w:val="22"/>
        </w:rPr>
        <w:t>对于政府投资的国家高速公路项目，或承包人为国有控股或参股企业的，承包 人应按规定在项目现场设立基层党组织。不满足上述情形的，承包人应创造条件使</w:t>
      </w:r>
      <w:r>
        <w:rPr>
          <w:rFonts w:hint="eastAsia" w:ascii="宋体" w:hAnsi="宋体"/>
          <w:color w:val="auto"/>
          <w:spacing w:val="-93"/>
          <w:kern w:val="0"/>
          <w:sz w:val="24"/>
          <w:szCs w:val="22"/>
        </w:rPr>
        <w:t xml:space="preserve"> </w:t>
      </w:r>
      <w:r>
        <w:rPr>
          <w:rFonts w:hint="eastAsia" w:ascii="宋体" w:hAnsi="宋体"/>
          <w:color w:val="auto"/>
          <w:kern w:val="0"/>
          <w:sz w:val="24"/>
          <w:szCs w:val="22"/>
        </w:rPr>
        <w:t>党员能够参加党组织生活并接受相应管理。</w:t>
      </w:r>
    </w:p>
    <w:p w14:paraId="6646610C">
      <w:pPr>
        <w:kinsoku w:val="0"/>
        <w:overflowPunct w:val="0"/>
        <w:autoSpaceDE w:val="0"/>
        <w:autoSpaceDN w:val="0"/>
        <w:spacing w:line="240" w:lineRule="auto"/>
        <w:ind w:right="107" w:firstLine="480"/>
        <w:rPr>
          <w:rFonts w:hint="eastAsia" w:ascii="宋体" w:hAnsi="宋体"/>
          <w:color w:val="auto"/>
          <w:kern w:val="0"/>
          <w:sz w:val="24"/>
          <w:szCs w:val="22"/>
        </w:rPr>
      </w:pPr>
      <w:r>
        <w:rPr>
          <w:rFonts w:hint="eastAsia" w:ascii="宋体" w:hAnsi="宋体"/>
          <w:color w:val="auto"/>
          <w:kern w:val="0"/>
          <w:sz w:val="24"/>
          <w:szCs w:val="22"/>
        </w:rPr>
        <w:t>承包人在项目现场设立基层党组织的，应明确党组织机构设置、党组织负责人 及党务工作人员配备情况，编制党务工作开展预案，并按照预案要求在项目实施过</w:t>
      </w:r>
      <w:r>
        <w:rPr>
          <w:rFonts w:hint="eastAsia" w:ascii="宋体" w:hAnsi="宋体"/>
          <w:color w:val="auto"/>
          <w:spacing w:val="-93"/>
          <w:kern w:val="0"/>
          <w:sz w:val="24"/>
          <w:szCs w:val="22"/>
        </w:rPr>
        <w:t xml:space="preserve"> </w:t>
      </w:r>
      <w:r>
        <w:rPr>
          <w:rFonts w:hint="eastAsia" w:ascii="宋体" w:hAnsi="宋体"/>
          <w:color w:val="auto"/>
          <w:kern w:val="0"/>
          <w:sz w:val="24"/>
          <w:szCs w:val="22"/>
        </w:rPr>
        <w:t>程中同步开展党务工作，充分发挥基层党组织在项目实施中的作用。</w:t>
      </w:r>
    </w:p>
    <w:p w14:paraId="1F66E9F9">
      <w:pPr>
        <w:kinsoku w:val="0"/>
        <w:overflowPunct w:val="0"/>
        <w:autoSpaceDE w:val="0"/>
        <w:autoSpaceDN w:val="0"/>
        <w:spacing w:before="47" w:line="240" w:lineRule="auto"/>
        <w:ind w:left="324" w:hanging="180"/>
        <w:jc w:val="left"/>
        <w:rPr>
          <w:rFonts w:hint="eastAsia" w:ascii="宋体" w:hAnsi="宋体"/>
          <w:color w:val="auto"/>
          <w:kern w:val="0"/>
          <w:position w:val="8"/>
          <w:sz w:val="9"/>
          <w:szCs w:val="9"/>
        </w:rPr>
      </w:pPr>
    </w:p>
    <w:p w14:paraId="5A6A1021">
      <w:pPr>
        <w:kinsoku w:val="0"/>
        <w:overflowPunct w:val="0"/>
        <w:autoSpaceDE w:val="0"/>
        <w:autoSpaceDN w:val="0"/>
        <w:spacing w:before="5" w:line="240" w:lineRule="auto"/>
        <w:jc w:val="left"/>
        <w:rPr>
          <w:rFonts w:hint="eastAsia" w:ascii="宋体" w:hAnsi="宋体"/>
          <w:color w:val="auto"/>
          <w:kern w:val="0"/>
          <w:sz w:val="32"/>
          <w:szCs w:val="32"/>
        </w:rPr>
      </w:pPr>
    </w:p>
    <w:p w14:paraId="180B60FA">
      <w:pPr>
        <w:kinsoku w:val="0"/>
        <w:overflowPunct w:val="0"/>
        <w:autoSpaceDE w:val="0"/>
        <w:autoSpaceDN w:val="0"/>
        <w:spacing w:line="240" w:lineRule="auto"/>
        <w:rPr>
          <w:rFonts w:hint="eastAsia" w:ascii="宋体" w:hAnsi="宋体"/>
          <w:color w:val="auto"/>
          <w:kern w:val="0"/>
          <w:sz w:val="28"/>
          <w:szCs w:val="28"/>
        </w:rPr>
      </w:pPr>
      <w:bookmarkStart w:id="72" w:name="bookmark182"/>
      <w:bookmarkEnd w:id="72"/>
      <w:r>
        <w:rPr>
          <w:rFonts w:hint="eastAsia" w:ascii="宋体" w:hAnsi="宋体"/>
          <w:color w:val="auto"/>
          <w:kern w:val="0"/>
          <w:sz w:val="28"/>
          <w:szCs w:val="28"/>
        </w:rPr>
        <w:t xml:space="preserve">5. </w:t>
      </w:r>
      <w:r>
        <w:rPr>
          <w:rFonts w:hint="eastAsia" w:ascii="宋体" w:hAnsi="宋体"/>
          <w:color w:val="auto"/>
          <w:spacing w:val="1"/>
          <w:kern w:val="0"/>
          <w:sz w:val="28"/>
          <w:szCs w:val="28"/>
        </w:rPr>
        <w:t xml:space="preserve"> </w:t>
      </w:r>
      <w:r>
        <w:rPr>
          <w:rFonts w:hint="eastAsia" w:ascii="宋体" w:hAnsi="宋体"/>
          <w:color w:val="auto"/>
          <w:kern w:val="0"/>
          <w:sz w:val="28"/>
          <w:szCs w:val="28"/>
        </w:rPr>
        <w:t>材料和工程设备</w:t>
      </w:r>
    </w:p>
    <w:p w14:paraId="4AF53227">
      <w:pPr>
        <w:kinsoku w:val="0"/>
        <w:overflowPunct w:val="0"/>
        <w:autoSpaceDE w:val="0"/>
        <w:autoSpaceDN w:val="0"/>
        <w:spacing w:line="240" w:lineRule="auto"/>
        <w:rPr>
          <w:rFonts w:hint="eastAsia" w:ascii="宋体" w:hAnsi="宋体"/>
          <w:color w:val="auto"/>
          <w:kern w:val="0"/>
          <w:sz w:val="24"/>
          <w:szCs w:val="22"/>
        </w:rPr>
      </w:pPr>
      <w:bookmarkStart w:id="73" w:name="bookmark183"/>
      <w:bookmarkEnd w:id="73"/>
      <w:r>
        <w:rPr>
          <w:rFonts w:hint="eastAsia" w:ascii="宋体" w:hAnsi="宋体"/>
          <w:color w:val="auto"/>
          <w:kern w:val="0"/>
          <w:sz w:val="24"/>
          <w:szCs w:val="22"/>
        </w:rPr>
        <w:t>5.2</w:t>
      </w:r>
      <w:r>
        <w:rPr>
          <w:rFonts w:hint="eastAsia" w:ascii="宋体" w:hAnsi="宋体"/>
          <w:color w:val="auto"/>
          <w:spacing w:val="59"/>
          <w:kern w:val="0"/>
          <w:sz w:val="24"/>
          <w:szCs w:val="22"/>
        </w:rPr>
        <w:t xml:space="preserve"> </w:t>
      </w:r>
      <w:r>
        <w:rPr>
          <w:rFonts w:hint="eastAsia" w:ascii="宋体" w:hAnsi="宋体"/>
          <w:color w:val="auto"/>
          <w:kern w:val="0"/>
          <w:sz w:val="24"/>
          <w:szCs w:val="22"/>
        </w:rPr>
        <w:t>发包人提供的材料和工程设备</w:t>
      </w:r>
    </w:p>
    <w:p w14:paraId="606515B0">
      <w:pPr>
        <w:kinsoku w:val="0"/>
        <w:overflowPunct w:val="0"/>
        <w:autoSpaceDE w:val="0"/>
        <w:autoSpaceDN w:val="0"/>
        <w:spacing w:line="240" w:lineRule="auto"/>
        <w:ind w:right="29" w:firstLine="480"/>
        <w:jc w:val="left"/>
        <w:rPr>
          <w:rFonts w:hint="eastAsia" w:ascii="宋体" w:hAnsi="宋体"/>
          <w:color w:val="auto"/>
          <w:kern w:val="0"/>
          <w:sz w:val="24"/>
          <w:szCs w:val="22"/>
        </w:rPr>
      </w:pPr>
      <w:r>
        <w:rPr>
          <w:rFonts w:hint="eastAsia" w:ascii="宋体" w:hAnsi="宋体"/>
          <w:color w:val="auto"/>
          <w:kern w:val="0"/>
          <w:sz w:val="24"/>
          <w:szCs w:val="22"/>
        </w:rPr>
        <w:t>第</w:t>
      </w:r>
      <w:r>
        <w:rPr>
          <w:rFonts w:hint="eastAsia" w:ascii="宋体" w:hAnsi="宋体"/>
          <w:color w:val="auto"/>
          <w:spacing w:val="-60"/>
          <w:kern w:val="0"/>
          <w:sz w:val="24"/>
          <w:szCs w:val="22"/>
        </w:rPr>
        <w:t xml:space="preserve"> </w:t>
      </w:r>
      <w:r>
        <w:rPr>
          <w:rFonts w:hint="eastAsia" w:ascii="宋体" w:hAnsi="宋体"/>
          <w:color w:val="auto"/>
          <w:kern w:val="0"/>
          <w:sz w:val="24"/>
          <w:szCs w:val="22"/>
        </w:rPr>
        <w:t>5.2.3 项补充： 承包人负责接收并按规定对材料进行抽样检验和对工程设备进行检验测试，若发现材料和工程设备存在缺陷，发包人应及时改正通知</w:t>
      </w:r>
      <w:r>
        <w:rPr>
          <w:rFonts w:hint="eastAsia" w:ascii="宋体" w:hAnsi="宋体"/>
          <w:color w:val="auto"/>
          <w:spacing w:val="-95"/>
          <w:kern w:val="0"/>
          <w:sz w:val="24"/>
          <w:szCs w:val="22"/>
        </w:rPr>
        <w:t xml:space="preserve"> </w:t>
      </w:r>
      <w:r>
        <w:rPr>
          <w:rFonts w:hint="eastAsia" w:ascii="宋体" w:hAnsi="宋体"/>
          <w:color w:val="auto"/>
          <w:kern w:val="0"/>
          <w:sz w:val="24"/>
          <w:szCs w:val="22"/>
        </w:rPr>
        <w:t>中指出的缺陷。承包人负责接收后的运输和保管，因承包人的原因发生丢失、损坏</w:t>
      </w:r>
      <w:r>
        <w:rPr>
          <w:rFonts w:hint="eastAsia" w:ascii="宋体" w:hAnsi="宋体"/>
          <w:color w:val="auto"/>
          <w:spacing w:val="-92"/>
          <w:kern w:val="0"/>
          <w:sz w:val="24"/>
          <w:szCs w:val="22"/>
        </w:rPr>
        <w:t xml:space="preserve"> </w:t>
      </w:r>
      <w:r>
        <w:rPr>
          <w:rFonts w:hint="eastAsia" w:ascii="宋体" w:hAnsi="宋体"/>
          <w:color w:val="auto"/>
          <w:kern w:val="0"/>
          <w:sz w:val="24"/>
          <w:szCs w:val="22"/>
        </w:rPr>
        <w:t>或进度拖延，由承包人承担相应责任。</w:t>
      </w:r>
    </w:p>
    <w:p w14:paraId="2D20C414">
      <w:pPr>
        <w:kinsoku w:val="0"/>
        <w:overflowPunct w:val="0"/>
        <w:autoSpaceDE w:val="0"/>
        <w:autoSpaceDN w:val="0"/>
        <w:spacing w:before="14" w:line="240" w:lineRule="auto"/>
        <w:rPr>
          <w:rFonts w:hint="eastAsia" w:ascii="宋体" w:hAnsi="宋体"/>
          <w:color w:val="auto"/>
          <w:kern w:val="0"/>
          <w:sz w:val="28"/>
          <w:szCs w:val="28"/>
        </w:rPr>
      </w:pPr>
      <w:bookmarkStart w:id="74" w:name="bookmark184"/>
      <w:bookmarkEnd w:id="74"/>
      <w:r>
        <w:rPr>
          <w:rFonts w:hint="eastAsia" w:ascii="宋体" w:hAnsi="宋体"/>
          <w:color w:val="auto"/>
          <w:kern w:val="0"/>
          <w:sz w:val="28"/>
          <w:szCs w:val="28"/>
        </w:rPr>
        <w:t>6.</w:t>
      </w:r>
      <w:r>
        <w:rPr>
          <w:rFonts w:hint="eastAsia" w:ascii="宋体" w:hAnsi="宋体"/>
          <w:color w:val="auto"/>
          <w:spacing w:val="69"/>
          <w:kern w:val="0"/>
          <w:sz w:val="28"/>
          <w:szCs w:val="28"/>
        </w:rPr>
        <w:t xml:space="preserve"> </w:t>
      </w:r>
      <w:r>
        <w:rPr>
          <w:rFonts w:hint="eastAsia" w:ascii="宋体" w:hAnsi="宋体"/>
          <w:color w:val="auto"/>
          <w:kern w:val="0"/>
          <w:sz w:val="28"/>
          <w:szCs w:val="28"/>
        </w:rPr>
        <w:t>施工设备和临时设施</w:t>
      </w:r>
    </w:p>
    <w:p w14:paraId="0BAB5662">
      <w:pPr>
        <w:kinsoku w:val="0"/>
        <w:overflowPunct w:val="0"/>
        <w:autoSpaceDE w:val="0"/>
        <w:autoSpaceDN w:val="0"/>
        <w:spacing w:line="240" w:lineRule="auto"/>
        <w:rPr>
          <w:rFonts w:hint="eastAsia" w:ascii="宋体" w:hAnsi="宋体"/>
          <w:color w:val="auto"/>
          <w:kern w:val="0"/>
          <w:sz w:val="24"/>
          <w:szCs w:val="22"/>
        </w:rPr>
      </w:pPr>
      <w:bookmarkStart w:id="75" w:name="bookmark185"/>
      <w:bookmarkEnd w:id="75"/>
      <w:r>
        <w:rPr>
          <w:rFonts w:hint="eastAsia" w:ascii="宋体" w:hAnsi="宋体"/>
          <w:color w:val="auto"/>
          <w:kern w:val="0"/>
          <w:sz w:val="24"/>
          <w:szCs w:val="22"/>
        </w:rPr>
        <w:t>6.1</w:t>
      </w:r>
      <w:r>
        <w:rPr>
          <w:rFonts w:hint="eastAsia" w:ascii="宋体" w:hAnsi="宋体"/>
          <w:color w:val="auto"/>
          <w:spacing w:val="59"/>
          <w:kern w:val="0"/>
          <w:sz w:val="24"/>
          <w:szCs w:val="22"/>
        </w:rPr>
        <w:t xml:space="preserve"> </w:t>
      </w:r>
      <w:r>
        <w:rPr>
          <w:rFonts w:hint="eastAsia" w:ascii="宋体" w:hAnsi="宋体"/>
          <w:color w:val="auto"/>
          <w:kern w:val="0"/>
          <w:sz w:val="24"/>
          <w:szCs w:val="22"/>
        </w:rPr>
        <w:t>承包人提供的施工设备和临时设施</w:t>
      </w:r>
    </w:p>
    <w:p w14:paraId="6A73E452">
      <w:pPr>
        <w:kinsoku w:val="0"/>
        <w:overflowPunct w:val="0"/>
        <w:autoSpaceDE w:val="0"/>
        <w:autoSpaceDN w:val="0"/>
        <w:spacing w:line="240" w:lineRule="auto"/>
        <w:ind w:right="29" w:firstLine="480"/>
        <w:jc w:val="left"/>
        <w:rPr>
          <w:rFonts w:hint="eastAsia" w:ascii="宋体" w:hAnsi="宋体"/>
          <w:color w:val="auto"/>
          <w:kern w:val="0"/>
          <w:sz w:val="24"/>
          <w:szCs w:val="22"/>
        </w:rPr>
      </w:pPr>
      <w:r>
        <w:rPr>
          <w:rFonts w:hint="eastAsia" w:ascii="宋体" w:hAnsi="宋体"/>
          <w:color w:val="auto"/>
          <w:kern w:val="0"/>
          <w:sz w:val="24"/>
          <w:szCs w:val="22"/>
        </w:rPr>
        <w:t>第</w:t>
      </w:r>
      <w:r>
        <w:rPr>
          <w:rFonts w:hint="eastAsia" w:ascii="宋体" w:hAnsi="宋体"/>
          <w:color w:val="auto"/>
          <w:spacing w:val="-60"/>
          <w:kern w:val="0"/>
          <w:sz w:val="24"/>
          <w:szCs w:val="22"/>
        </w:rPr>
        <w:t xml:space="preserve"> </w:t>
      </w:r>
      <w:r>
        <w:rPr>
          <w:rFonts w:hint="eastAsia" w:ascii="宋体" w:hAnsi="宋体"/>
          <w:color w:val="auto"/>
          <w:kern w:val="0"/>
          <w:sz w:val="24"/>
          <w:szCs w:val="22"/>
        </w:rPr>
        <w:t xml:space="preserve">6.1.2 项约定为： </w:t>
      </w:r>
      <w:r>
        <w:rPr>
          <w:rFonts w:hint="eastAsia" w:ascii="宋体" w:hAnsi="宋体"/>
          <w:color w:val="auto"/>
          <w:spacing w:val="7"/>
          <w:kern w:val="0"/>
          <w:sz w:val="24"/>
          <w:szCs w:val="22"/>
        </w:rPr>
        <w:t>承包人应自行承担修建临时设施的费用，需要临时占地的，应由承包人按第</w:t>
      </w:r>
      <w:r>
        <w:rPr>
          <w:rFonts w:hint="eastAsia" w:ascii="宋体" w:hAnsi="宋体"/>
          <w:color w:val="auto"/>
          <w:kern w:val="0"/>
          <w:sz w:val="24"/>
          <w:szCs w:val="22"/>
        </w:rPr>
        <w:t>4.1.10</w:t>
      </w:r>
      <w:r>
        <w:rPr>
          <w:rFonts w:hint="eastAsia" w:ascii="宋体" w:hAnsi="宋体"/>
          <w:color w:val="auto"/>
          <w:spacing w:val="-1"/>
          <w:kern w:val="0"/>
          <w:sz w:val="24"/>
          <w:szCs w:val="22"/>
        </w:rPr>
        <w:t xml:space="preserve"> </w:t>
      </w:r>
      <w:r>
        <w:rPr>
          <w:rFonts w:hint="eastAsia" w:ascii="宋体" w:hAnsi="宋体"/>
          <w:color w:val="auto"/>
          <w:kern w:val="0"/>
          <w:sz w:val="24"/>
          <w:szCs w:val="22"/>
        </w:rPr>
        <w:t>项（1）目的规定办理。</w:t>
      </w:r>
    </w:p>
    <w:p w14:paraId="08BB0481">
      <w:pPr>
        <w:kinsoku w:val="0"/>
        <w:overflowPunct w:val="0"/>
        <w:autoSpaceDE w:val="0"/>
        <w:autoSpaceDN w:val="0"/>
        <w:spacing w:line="240" w:lineRule="auto"/>
        <w:rPr>
          <w:rFonts w:hint="eastAsia" w:ascii="宋体" w:hAnsi="宋体"/>
          <w:color w:val="auto"/>
          <w:kern w:val="0"/>
          <w:sz w:val="24"/>
          <w:szCs w:val="22"/>
        </w:rPr>
      </w:pPr>
      <w:r>
        <w:rPr>
          <w:rFonts w:hint="eastAsia" w:ascii="宋体" w:hAnsi="宋体"/>
          <w:color w:val="auto"/>
          <w:kern w:val="0"/>
          <w:sz w:val="24"/>
          <w:szCs w:val="22"/>
        </w:rPr>
        <w:t>6.3</w:t>
      </w:r>
      <w:r>
        <w:rPr>
          <w:rFonts w:hint="eastAsia" w:ascii="宋体" w:hAnsi="宋体"/>
          <w:color w:val="auto"/>
          <w:spacing w:val="59"/>
          <w:kern w:val="0"/>
          <w:sz w:val="24"/>
          <w:szCs w:val="22"/>
        </w:rPr>
        <w:t xml:space="preserve"> </w:t>
      </w:r>
      <w:r>
        <w:rPr>
          <w:rFonts w:hint="eastAsia" w:ascii="宋体" w:hAnsi="宋体"/>
          <w:color w:val="auto"/>
          <w:kern w:val="0"/>
          <w:sz w:val="24"/>
          <w:szCs w:val="22"/>
        </w:rPr>
        <w:t>要求承包人增加或更换施工设备</w:t>
      </w:r>
    </w:p>
    <w:p w14:paraId="5D361EC5">
      <w:pPr>
        <w:kinsoku w:val="0"/>
        <w:overflowPunct w:val="0"/>
        <w:autoSpaceDE w:val="0"/>
        <w:autoSpaceDN w:val="0"/>
        <w:spacing w:line="240" w:lineRule="auto"/>
        <w:ind w:firstLine="480"/>
        <w:rPr>
          <w:rFonts w:hint="eastAsia" w:ascii="宋体" w:hAnsi="宋体"/>
          <w:color w:val="auto"/>
          <w:kern w:val="0"/>
          <w:sz w:val="24"/>
          <w:szCs w:val="22"/>
        </w:rPr>
      </w:pPr>
      <w:r>
        <w:rPr>
          <w:rFonts w:hint="eastAsia" w:ascii="宋体" w:hAnsi="宋体"/>
          <w:color w:val="auto"/>
          <w:kern w:val="0"/>
          <w:sz w:val="24"/>
          <w:szCs w:val="22"/>
        </w:rPr>
        <w:t>本款细化为：承包人承诺的施工设备必须按时到达现场，不得拖延、缺短或任意更换。尽管承包人已按承诺提供了上述设备，但若承包人使用的施工设备不能满足合同进度计</w:t>
      </w:r>
      <w:r>
        <w:rPr>
          <w:rFonts w:hint="eastAsia" w:ascii="宋体" w:hAnsi="宋体"/>
          <w:color w:val="auto"/>
          <w:spacing w:val="-94"/>
          <w:kern w:val="0"/>
          <w:sz w:val="24"/>
          <w:szCs w:val="22"/>
        </w:rPr>
        <w:t xml:space="preserve"> </w:t>
      </w:r>
      <w:r>
        <w:rPr>
          <w:rFonts w:hint="eastAsia" w:ascii="宋体" w:hAnsi="宋体"/>
          <w:color w:val="auto"/>
          <w:kern w:val="0"/>
          <w:sz w:val="24"/>
          <w:szCs w:val="22"/>
        </w:rPr>
        <w:t>划和（或）质量要求时，</w:t>
      </w:r>
      <w:r>
        <w:rPr>
          <w:rFonts w:hint="eastAsia" w:ascii="宋体" w:hAnsi="宋体"/>
          <w:color w:val="auto"/>
          <w:kern w:val="0"/>
          <w:sz w:val="24"/>
          <w:szCs w:val="22"/>
          <w:lang w:val="en-US" w:eastAsia="zh-CN"/>
        </w:rPr>
        <w:t>发包人</w:t>
      </w:r>
      <w:r>
        <w:rPr>
          <w:rFonts w:hint="eastAsia" w:ascii="宋体" w:hAnsi="宋体"/>
          <w:color w:val="auto"/>
          <w:kern w:val="0"/>
          <w:sz w:val="24"/>
          <w:szCs w:val="22"/>
        </w:rPr>
        <w:t>有权要求承包人增加或更换施工设备，承包人应及</w:t>
      </w:r>
      <w:r>
        <w:rPr>
          <w:rFonts w:hint="eastAsia" w:ascii="宋体" w:hAnsi="宋体"/>
          <w:color w:val="auto"/>
          <w:spacing w:val="-96"/>
          <w:kern w:val="0"/>
          <w:sz w:val="24"/>
          <w:szCs w:val="22"/>
        </w:rPr>
        <w:t xml:space="preserve"> </w:t>
      </w:r>
      <w:r>
        <w:rPr>
          <w:rFonts w:hint="eastAsia" w:ascii="宋体" w:hAnsi="宋体"/>
          <w:color w:val="auto"/>
          <w:kern w:val="0"/>
          <w:sz w:val="24"/>
          <w:szCs w:val="22"/>
        </w:rPr>
        <w:t>时增加或更换，由此增加的费用和（或）工期延误由承包人承担。</w:t>
      </w:r>
    </w:p>
    <w:p w14:paraId="4FD4EEB9">
      <w:pPr>
        <w:kinsoku w:val="0"/>
        <w:overflowPunct w:val="0"/>
        <w:autoSpaceDE w:val="0"/>
        <w:autoSpaceDN w:val="0"/>
        <w:spacing w:line="240" w:lineRule="auto"/>
        <w:rPr>
          <w:rFonts w:hint="eastAsia" w:ascii="宋体" w:hAnsi="宋体"/>
          <w:color w:val="auto"/>
          <w:kern w:val="0"/>
          <w:sz w:val="28"/>
          <w:szCs w:val="28"/>
        </w:rPr>
      </w:pPr>
      <w:bookmarkStart w:id="76" w:name="bookmark187"/>
      <w:bookmarkEnd w:id="76"/>
      <w:r>
        <w:rPr>
          <w:rFonts w:hint="eastAsia" w:ascii="宋体" w:hAnsi="宋体"/>
          <w:color w:val="auto"/>
          <w:kern w:val="0"/>
          <w:sz w:val="28"/>
          <w:szCs w:val="28"/>
        </w:rPr>
        <w:t xml:space="preserve">7. </w:t>
      </w:r>
      <w:r>
        <w:rPr>
          <w:rFonts w:hint="eastAsia" w:ascii="宋体" w:hAnsi="宋体"/>
          <w:color w:val="auto"/>
          <w:spacing w:val="1"/>
          <w:kern w:val="0"/>
          <w:sz w:val="28"/>
          <w:szCs w:val="28"/>
        </w:rPr>
        <w:t xml:space="preserve"> </w:t>
      </w:r>
      <w:r>
        <w:rPr>
          <w:rFonts w:hint="eastAsia" w:ascii="宋体" w:hAnsi="宋体"/>
          <w:color w:val="auto"/>
          <w:kern w:val="0"/>
          <w:sz w:val="28"/>
          <w:szCs w:val="28"/>
        </w:rPr>
        <w:t>交通运输</w:t>
      </w:r>
    </w:p>
    <w:p w14:paraId="30A90966">
      <w:pPr>
        <w:kinsoku w:val="0"/>
        <w:overflowPunct w:val="0"/>
        <w:autoSpaceDE w:val="0"/>
        <w:autoSpaceDN w:val="0"/>
        <w:spacing w:line="240" w:lineRule="auto"/>
        <w:rPr>
          <w:rFonts w:hint="eastAsia" w:ascii="宋体" w:hAnsi="宋体"/>
          <w:color w:val="auto"/>
          <w:kern w:val="0"/>
          <w:sz w:val="24"/>
          <w:szCs w:val="22"/>
        </w:rPr>
      </w:pPr>
      <w:r>
        <w:rPr>
          <w:rFonts w:hint="eastAsia" w:ascii="宋体" w:hAnsi="宋体"/>
          <w:color w:val="auto"/>
          <w:kern w:val="0"/>
          <w:sz w:val="24"/>
          <w:szCs w:val="22"/>
        </w:rPr>
        <w:t>7.1</w:t>
      </w:r>
      <w:r>
        <w:rPr>
          <w:rFonts w:hint="eastAsia" w:ascii="宋体" w:hAnsi="宋体"/>
          <w:color w:val="auto"/>
          <w:spacing w:val="59"/>
          <w:kern w:val="0"/>
          <w:sz w:val="24"/>
          <w:szCs w:val="22"/>
        </w:rPr>
        <w:t xml:space="preserve"> </w:t>
      </w:r>
      <w:r>
        <w:rPr>
          <w:rFonts w:hint="eastAsia" w:ascii="宋体" w:hAnsi="宋体"/>
          <w:color w:val="auto"/>
          <w:kern w:val="0"/>
          <w:sz w:val="24"/>
          <w:szCs w:val="22"/>
        </w:rPr>
        <w:t>道路通行权和场外设施</w:t>
      </w:r>
    </w:p>
    <w:p w14:paraId="7BF7E5C5">
      <w:pPr>
        <w:kinsoku w:val="0"/>
        <w:overflowPunct w:val="0"/>
        <w:autoSpaceDE w:val="0"/>
        <w:autoSpaceDN w:val="0"/>
        <w:spacing w:line="240" w:lineRule="auto"/>
        <w:ind w:right="29" w:firstLine="480"/>
        <w:jc w:val="left"/>
        <w:rPr>
          <w:rFonts w:hint="eastAsia" w:ascii="宋体" w:hAnsi="宋体"/>
          <w:color w:val="auto"/>
          <w:kern w:val="0"/>
          <w:sz w:val="24"/>
          <w:szCs w:val="22"/>
        </w:rPr>
      </w:pPr>
      <w:r>
        <w:rPr>
          <w:rFonts w:hint="eastAsia" w:ascii="宋体" w:hAnsi="宋体"/>
          <w:color w:val="auto"/>
          <w:kern w:val="0"/>
          <w:sz w:val="24"/>
          <w:szCs w:val="22"/>
        </w:rPr>
        <w:t>本款约定为： 承包人应根据合同工程的施工需要，负责办理取得出入施工场地的专用和临时道路的通行权，以及取得为工程建设所需修建场外设施的权利，并承担有关费用。</w:t>
      </w:r>
      <w:r>
        <w:rPr>
          <w:rFonts w:hint="eastAsia" w:ascii="宋体" w:hAnsi="宋体"/>
          <w:color w:val="auto"/>
          <w:spacing w:val="-95"/>
          <w:kern w:val="0"/>
          <w:sz w:val="24"/>
          <w:szCs w:val="22"/>
        </w:rPr>
        <w:t xml:space="preserve"> </w:t>
      </w:r>
      <w:r>
        <w:rPr>
          <w:rFonts w:hint="eastAsia" w:ascii="宋体" w:hAnsi="宋体"/>
          <w:color w:val="auto"/>
          <w:kern w:val="0"/>
          <w:sz w:val="24"/>
          <w:szCs w:val="22"/>
        </w:rPr>
        <w:t>需要发包人协调时，发包人应协助承包人办理相关手续。</w:t>
      </w:r>
    </w:p>
    <w:p w14:paraId="49552272">
      <w:pPr>
        <w:kinsoku w:val="0"/>
        <w:overflowPunct w:val="0"/>
        <w:autoSpaceDE w:val="0"/>
        <w:autoSpaceDN w:val="0"/>
        <w:spacing w:line="240" w:lineRule="auto"/>
        <w:rPr>
          <w:rFonts w:hint="eastAsia" w:ascii="宋体" w:hAnsi="宋体"/>
          <w:color w:val="auto"/>
          <w:kern w:val="0"/>
          <w:sz w:val="28"/>
          <w:szCs w:val="28"/>
        </w:rPr>
      </w:pPr>
      <w:r>
        <w:rPr>
          <w:rFonts w:hint="eastAsia" w:ascii="宋体" w:hAnsi="宋体"/>
          <w:color w:val="auto"/>
          <w:kern w:val="0"/>
          <w:sz w:val="28"/>
          <w:szCs w:val="28"/>
        </w:rPr>
        <w:t xml:space="preserve">8. </w:t>
      </w:r>
      <w:r>
        <w:rPr>
          <w:rFonts w:hint="eastAsia" w:ascii="宋体" w:hAnsi="宋体"/>
          <w:color w:val="auto"/>
          <w:spacing w:val="1"/>
          <w:kern w:val="0"/>
          <w:sz w:val="28"/>
          <w:szCs w:val="28"/>
        </w:rPr>
        <w:t xml:space="preserve"> </w:t>
      </w:r>
      <w:r>
        <w:rPr>
          <w:rFonts w:hint="eastAsia" w:ascii="宋体" w:hAnsi="宋体"/>
          <w:color w:val="auto"/>
          <w:kern w:val="0"/>
          <w:sz w:val="28"/>
          <w:szCs w:val="28"/>
        </w:rPr>
        <w:t>测量放线</w:t>
      </w:r>
    </w:p>
    <w:p w14:paraId="400E5877">
      <w:pPr>
        <w:kinsoku w:val="0"/>
        <w:overflowPunct w:val="0"/>
        <w:autoSpaceDE w:val="0"/>
        <w:autoSpaceDN w:val="0"/>
        <w:spacing w:line="240" w:lineRule="auto"/>
        <w:rPr>
          <w:rFonts w:hint="eastAsia" w:ascii="宋体" w:hAnsi="宋体"/>
          <w:color w:val="auto"/>
          <w:kern w:val="0"/>
          <w:sz w:val="24"/>
          <w:szCs w:val="22"/>
        </w:rPr>
      </w:pPr>
      <w:bookmarkStart w:id="77" w:name="bookmark190"/>
      <w:bookmarkEnd w:id="77"/>
      <w:r>
        <w:rPr>
          <w:rFonts w:hint="eastAsia" w:ascii="宋体" w:hAnsi="宋体"/>
          <w:color w:val="auto"/>
          <w:kern w:val="0"/>
          <w:sz w:val="24"/>
          <w:szCs w:val="22"/>
        </w:rPr>
        <w:t>8.4</w:t>
      </w:r>
      <w:r>
        <w:rPr>
          <w:rFonts w:hint="eastAsia" w:ascii="宋体" w:hAnsi="宋体"/>
          <w:color w:val="auto"/>
          <w:spacing w:val="59"/>
          <w:kern w:val="0"/>
          <w:sz w:val="24"/>
          <w:szCs w:val="22"/>
        </w:rPr>
        <w:t xml:space="preserve"> </w:t>
      </w:r>
      <w:r>
        <w:rPr>
          <w:rFonts w:hint="eastAsia" w:ascii="宋体" w:hAnsi="宋体"/>
          <w:color w:val="auto"/>
          <w:spacing w:val="59"/>
          <w:kern w:val="0"/>
          <w:sz w:val="24"/>
          <w:szCs w:val="22"/>
          <w:lang w:val="en-US" w:eastAsia="zh-CN"/>
        </w:rPr>
        <w:t>承包人</w:t>
      </w:r>
      <w:r>
        <w:rPr>
          <w:rFonts w:hint="eastAsia" w:ascii="宋体" w:hAnsi="宋体"/>
          <w:color w:val="auto"/>
          <w:kern w:val="0"/>
          <w:sz w:val="24"/>
          <w:szCs w:val="22"/>
        </w:rPr>
        <w:t>使用施工控制网</w:t>
      </w:r>
    </w:p>
    <w:p w14:paraId="5DEBA385">
      <w:pPr>
        <w:kinsoku w:val="0"/>
        <w:overflowPunct w:val="0"/>
        <w:autoSpaceDE w:val="0"/>
        <w:autoSpaceDN w:val="0"/>
        <w:spacing w:line="240" w:lineRule="auto"/>
        <w:ind w:right="425" w:firstLine="480"/>
        <w:jc w:val="left"/>
        <w:rPr>
          <w:rFonts w:hint="eastAsia" w:ascii="宋体" w:hAnsi="宋体"/>
          <w:color w:val="auto"/>
          <w:kern w:val="0"/>
          <w:sz w:val="24"/>
          <w:szCs w:val="22"/>
        </w:rPr>
      </w:pPr>
      <w:r>
        <w:rPr>
          <w:rFonts w:hint="eastAsia" w:ascii="宋体" w:hAnsi="宋体"/>
          <w:color w:val="auto"/>
          <w:kern w:val="0"/>
          <w:sz w:val="24"/>
          <w:szCs w:val="22"/>
        </w:rPr>
        <w:t>本款补充： 经</w:t>
      </w:r>
      <w:r>
        <w:rPr>
          <w:rFonts w:hint="eastAsia" w:ascii="宋体" w:hAnsi="宋体"/>
          <w:color w:val="auto"/>
          <w:kern w:val="0"/>
          <w:sz w:val="24"/>
          <w:szCs w:val="22"/>
          <w:lang w:val="en-US" w:eastAsia="zh-CN"/>
        </w:rPr>
        <w:t>发包</w:t>
      </w:r>
      <w:r>
        <w:rPr>
          <w:rFonts w:hint="eastAsia" w:ascii="宋体" w:hAnsi="宋体"/>
          <w:color w:val="auto"/>
          <w:kern w:val="0"/>
          <w:sz w:val="24"/>
          <w:szCs w:val="22"/>
        </w:rPr>
        <w:t>人批准，其他相关承包人也可免费使用施工控制网。</w:t>
      </w:r>
    </w:p>
    <w:p w14:paraId="766D2C22">
      <w:pPr>
        <w:kinsoku w:val="0"/>
        <w:overflowPunct w:val="0"/>
        <w:autoSpaceDE w:val="0"/>
        <w:autoSpaceDN w:val="0"/>
        <w:spacing w:line="240" w:lineRule="auto"/>
        <w:rPr>
          <w:rFonts w:hint="eastAsia" w:ascii="宋体" w:hAnsi="宋体"/>
          <w:color w:val="auto"/>
          <w:kern w:val="0"/>
          <w:sz w:val="28"/>
          <w:szCs w:val="28"/>
        </w:rPr>
      </w:pPr>
      <w:r>
        <w:rPr>
          <w:rFonts w:hint="eastAsia" w:ascii="宋体" w:hAnsi="宋体"/>
          <w:color w:val="auto"/>
          <w:kern w:val="0"/>
          <w:sz w:val="28"/>
          <w:szCs w:val="28"/>
        </w:rPr>
        <w:t>9.  施工安全、治安保卫和环境保护</w:t>
      </w:r>
    </w:p>
    <w:p w14:paraId="5EABE478">
      <w:pPr>
        <w:kinsoku w:val="0"/>
        <w:overflowPunct w:val="0"/>
        <w:autoSpaceDE w:val="0"/>
        <w:autoSpaceDN w:val="0"/>
        <w:spacing w:line="240" w:lineRule="auto"/>
        <w:rPr>
          <w:rFonts w:hint="eastAsia" w:ascii="宋体" w:hAnsi="宋体"/>
          <w:color w:val="auto"/>
          <w:kern w:val="0"/>
          <w:sz w:val="24"/>
          <w:szCs w:val="22"/>
        </w:rPr>
      </w:pPr>
      <w:r>
        <w:rPr>
          <w:rFonts w:hint="eastAsia" w:ascii="宋体" w:hAnsi="宋体"/>
          <w:color w:val="auto"/>
          <w:kern w:val="0"/>
          <w:sz w:val="24"/>
          <w:szCs w:val="22"/>
        </w:rPr>
        <w:t>9.2</w:t>
      </w:r>
      <w:r>
        <w:rPr>
          <w:rFonts w:hint="eastAsia" w:ascii="宋体" w:hAnsi="宋体"/>
          <w:color w:val="auto"/>
          <w:spacing w:val="59"/>
          <w:kern w:val="0"/>
          <w:sz w:val="24"/>
          <w:szCs w:val="22"/>
        </w:rPr>
        <w:t xml:space="preserve"> </w:t>
      </w:r>
      <w:r>
        <w:rPr>
          <w:rFonts w:hint="eastAsia" w:ascii="宋体" w:hAnsi="宋体"/>
          <w:color w:val="auto"/>
          <w:kern w:val="0"/>
          <w:sz w:val="24"/>
          <w:szCs w:val="22"/>
        </w:rPr>
        <w:t>承包人的施工安全责任</w:t>
      </w:r>
    </w:p>
    <w:p w14:paraId="6E2E1BD9">
      <w:pPr>
        <w:kinsoku w:val="0"/>
        <w:overflowPunct w:val="0"/>
        <w:autoSpaceDE w:val="0"/>
        <w:autoSpaceDN w:val="0"/>
        <w:spacing w:line="240" w:lineRule="auto"/>
        <w:ind w:firstLine="480"/>
        <w:rPr>
          <w:rFonts w:hint="eastAsia" w:ascii="宋体" w:hAnsi="宋体"/>
          <w:color w:val="auto"/>
          <w:kern w:val="0"/>
          <w:sz w:val="24"/>
          <w:szCs w:val="22"/>
        </w:rPr>
      </w:pPr>
      <w:r>
        <w:rPr>
          <w:rFonts w:hint="eastAsia" w:ascii="宋体" w:hAnsi="宋体"/>
          <w:color w:val="auto"/>
          <w:kern w:val="0"/>
          <w:sz w:val="24"/>
          <w:szCs w:val="22"/>
        </w:rPr>
        <w:t>第</w:t>
      </w:r>
      <w:r>
        <w:rPr>
          <w:rFonts w:hint="eastAsia" w:ascii="宋体" w:hAnsi="宋体"/>
          <w:color w:val="auto"/>
          <w:spacing w:val="-60"/>
          <w:kern w:val="0"/>
          <w:sz w:val="24"/>
          <w:szCs w:val="22"/>
        </w:rPr>
        <w:t xml:space="preserve"> </w:t>
      </w:r>
      <w:r>
        <w:rPr>
          <w:rFonts w:hint="eastAsia" w:ascii="宋体" w:hAnsi="宋体"/>
          <w:color w:val="auto"/>
          <w:kern w:val="0"/>
          <w:sz w:val="24"/>
          <w:szCs w:val="22"/>
        </w:rPr>
        <w:t>9.2.1 项细化为： 承包人应按合同约定履行安全职责，严格执行国家、地方政府有关施工安全管理方面的法律、法规及规章制度，同时严格执行发包人制订的本项目安全生产管理</w:t>
      </w:r>
      <w:r>
        <w:rPr>
          <w:rFonts w:hint="eastAsia" w:ascii="宋体" w:hAnsi="宋体"/>
          <w:color w:val="auto"/>
          <w:spacing w:val="-95"/>
          <w:kern w:val="0"/>
          <w:sz w:val="24"/>
          <w:szCs w:val="22"/>
        </w:rPr>
        <w:t xml:space="preserve"> </w:t>
      </w:r>
      <w:r>
        <w:rPr>
          <w:rFonts w:hint="eastAsia" w:ascii="宋体" w:hAnsi="宋体"/>
          <w:color w:val="auto"/>
          <w:kern w:val="0"/>
          <w:sz w:val="24"/>
          <w:szCs w:val="22"/>
        </w:rPr>
        <w:t>方面的规章制度、安全检查程序及施工安全管理要求，以及监理人有关安全工作的</w:t>
      </w:r>
      <w:r>
        <w:rPr>
          <w:rFonts w:hint="eastAsia" w:ascii="宋体" w:hAnsi="宋体"/>
          <w:color w:val="auto"/>
          <w:spacing w:val="-92"/>
          <w:kern w:val="0"/>
          <w:sz w:val="24"/>
          <w:szCs w:val="22"/>
        </w:rPr>
        <w:t xml:space="preserve"> </w:t>
      </w:r>
      <w:r>
        <w:rPr>
          <w:rFonts w:hint="eastAsia" w:ascii="宋体" w:hAnsi="宋体"/>
          <w:color w:val="auto"/>
          <w:kern w:val="0"/>
          <w:sz w:val="24"/>
          <w:szCs w:val="22"/>
        </w:rPr>
        <w:t>指示。</w:t>
      </w:r>
    </w:p>
    <w:p w14:paraId="0A35F93F">
      <w:pPr>
        <w:kinsoku w:val="0"/>
        <w:overflowPunct w:val="0"/>
        <w:autoSpaceDE w:val="0"/>
        <w:autoSpaceDN w:val="0"/>
        <w:spacing w:before="22" w:line="240" w:lineRule="auto"/>
        <w:ind w:right="104" w:firstLine="480"/>
        <w:rPr>
          <w:rFonts w:hint="eastAsia" w:ascii="宋体" w:hAnsi="宋体"/>
          <w:color w:val="auto"/>
          <w:kern w:val="0"/>
          <w:sz w:val="24"/>
          <w:szCs w:val="22"/>
        </w:rPr>
      </w:pPr>
      <w:r>
        <w:rPr>
          <w:rFonts w:hint="eastAsia" w:ascii="宋体" w:hAnsi="宋体"/>
          <w:color w:val="auto"/>
          <w:kern w:val="0"/>
          <w:sz w:val="24"/>
          <w:szCs w:val="22"/>
        </w:rPr>
        <w:t>承包人应根据本工程的实际安全施工要求，编制施工安全技术措施，并在签订 合同协议书后</w:t>
      </w:r>
      <w:r>
        <w:rPr>
          <w:rFonts w:hint="eastAsia" w:ascii="宋体" w:hAnsi="宋体"/>
          <w:color w:val="auto"/>
          <w:spacing w:val="-61"/>
          <w:kern w:val="0"/>
          <w:sz w:val="24"/>
          <w:szCs w:val="22"/>
        </w:rPr>
        <w:t xml:space="preserve"> </w:t>
      </w:r>
      <w:r>
        <w:rPr>
          <w:rFonts w:hint="eastAsia" w:ascii="宋体" w:hAnsi="宋体"/>
          <w:color w:val="auto"/>
          <w:kern w:val="0"/>
          <w:sz w:val="24"/>
          <w:szCs w:val="22"/>
        </w:rPr>
        <w:t xml:space="preserve">28 </w:t>
      </w:r>
      <w:r>
        <w:rPr>
          <w:rFonts w:hint="eastAsia" w:ascii="宋体" w:hAnsi="宋体"/>
          <w:color w:val="auto"/>
          <w:spacing w:val="-3"/>
          <w:kern w:val="0"/>
          <w:sz w:val="24"/>
          <w:szCs w:val="22"/>
        </w:rPr>
        <w:t>天内，报发包人批准。该施工安全技术措施包括（但不限</w:t>
      </w:r>
      <w:r>
        <w:rPr>
          <w:rFonts w:hint="eastAsia" w:ascii="宋体" w:hAnsi="宋体"/>
          <w:color w:val="auto"/>
          <w:kern w:val="0"/>
          <w:sz w:val="24"/>
          <w:szCs w:val="22"/>
        </w:rPr>
        <w:t xml:space="preserve"> 于）施工安全保障体系，安全生产责任制，安全生产管理规章制度，安全防护施工</w:t>
      </w:r>
      <w:r>
        <w:rPr>
          <w:rFonts w:hint="eastAsia" w:ascii="宋体" w:hAnsi="宋体"/>
          <w:color w:val="auto"/>
          <w:spacing w:val="-96"/>
          <w:kern w:val="0"/>
          <w:sz w:val="24"/>
          <w:szCs w:val="22"/>
        </w:rPr>
        <w:t xml:space="preserve"> </w:t>
      </w:r>
      <w:r>
        <w:rPr>
          <w:rFonts w:hint="eastAsia" w:ascii="宋体" w:hAnsi="宋体"/>
          <w:color w:val="auto"/>
          <w:kern w:val="0"/>
          <w:sz w:val="24"/>
          <w:szCs w:val="22"/>
        </w:rPr>
        <w:t>方案，施工现场临时用电方案，施工安全评估，安全预控及保证措施方案，紧急应</w:t>
      </w:r>
      <w:r>
        <w:rPr>
          <w:rFonts w:hint="eastAsia" w:ascii="宋体" w:hAnsi="宋体"/>
          <w:color w:val="auto"/>
          <w:spacing w:val="-95"/>
          <w:kern w:val="0"/>
          <w:sz w:val="24"/>
          <w:szCs w:val="22"/>
        </w:rPr>
        <w:t xml:space="preserve"> </w:t>
      </w:r>
      <w:r>
        <w:rPr>
          <w:rFonts w:hint="eastAsia" w:ascii="宋体" w:hAnsi="宋体"/>
          <w:color w:val="auto"/>
          <w:kern w:val="0"/>
          <w:sz w:val="24"/>
          <w:szCs w:val="22"/>
        </w:rPr>
        <w:t>变措施，安全标识、警示和围护方案等。对影响安全的重要工序和下列危险性较大</w:t>
      </w:r>
      <w:r>
        <w:rPr>
          <w:rFonts w:hint="eastAsia" w:ascii="宋体" w:hAnsi="宋体"/>
          <w:color w:val="auto"/>
          <w:spacing w:val="-93"/>
          <w:kern w:val="0"/>
          <w:sz w:val="24"/>
          <w:szCs w:val="22"/>
        </w:rPr>
        <w:t xml:space="preserve"> </w:t>
      </w:r>
      <w:r>
        <w:rPr>
          <w:rFonts w:hint="eastAsia" w:ascii="宋体" w:hAnsi="宋体"/>
          <w:color w:val="auto"/>
          <w:kern w:val="0"/>
          <w:sz w:val="24"/>
          <w:szCs w:val="22"/>
        </w:rPr>
        <w:t>的工程应编制专项施工方案，并附安全验算结果，经承包人项目总工签字并报发包人批准后实施，由专职安全生产管理人员进行现场监督。</w:t>
      </w:r>
    </w:p>
    <w:p w14:paraId="302741DF">
      <w:pPr>
        <w:kinsoku w:val="0"/>
        <w:overflowPunct w:val="0"/>
        <w:autoSpaceDE w:val="0"/>
        <w:autoSpaceDN w:val="0"/>
        <w:spacing w:before="22" w:line="240" w:lineRule="auto"/>
        <w:ind w:right="104" w:firstLine="480"/>
        <w:rPr>
          <w:rFonts w:hint="eastAsia" w:ascii="宋体" w:hAnsi="宋体"/>
          <w:color w:val="auto"/>
          <w:kern w:val="0"/>
          <w:sz w:val="24"/>
          <w:szCs w:val="22"/>
        </w:rPr>
      </w:pPr>
      <w:r>
        <w:rPr>
          <w:rFonts w:hint="eastAsia" w:ascii="宋体" w:hAnsi="宋体"/>
          <w:color w:val="auto"/>
          <w:kern w:val="0"/>
          <w:sz w:val="24"/>
          <w:szCs w:val="22"/>
        </w:rPr>
        <w:t>本项目需要编制专项施工方案的工程包括但不限于以下内容：</w:t>
      </w:r>
    </w:p>
    <w:p w14:paraId="71B18688">
      <w:pPr>
        <w:kinsoku w:val="0"/>
        <w:overflowPunct w:val="0"/>
        <w:autoSpaceDE w:val="0"/>
        <w:autoSpaceDN w:val="0"/>
        <w:spacing w:before="22" w:line="240" w:lineRule="auto"/>
        <w:ind w:right="104" w:firstLine="480"/>
        <w:rPr>
          <w:rFonts w:hint="eastAsia" w:ascii="宋体" w:hAnsi="宋体"/>
          <w:color w:val="auto"/>
          <w:kern w:val="0"/>
          <w:sz w:val="24"/>
          <w:szCs w:val="22"/>
        </w:rPr>
      </w:pPr>
      <w:r>
        <w:rPr>
          <w:rFonts w:hint="eastAsia" w:ascii="宋体" w:hAnsi="宋体"/>
          <w:color w:val="auto"/>
          <w:kern w:val="0"/>
          <w:sz w:val="24"/>
          <w:szCs w:val="22"/>
        </w:rPr>
        <w:t>（1）不良地质条件下有潜在危险性的土方、石方开挖；</w:t>
      </w:r>
    </w:p>
    <w:p w14:paraId="0D654ADF">
      <w:pPr>
        <w:kinsoku w:val="0"/>
        <w:overflowPunct w:val="0"/>
        <w:autoSpaceDE w:val="0"/>
        <w:autoSpaceDN w:val="0"/>
        <w:spacing w:before="22" w:line="240" w:lineRule="auto"/>
        <w:ind w:right="104" w:firstLine="480"/>
        <w:rPr>
          <w:rFonts w:hint="eastAsia" w:ascii="宋体" w:hAnsi="宋体"/>
          <w:color w:val="auto"/>
          <w:kern w:val="0"/>
          <w:sz w:val="24"/>
          <w:szCs w:val="22"/>
        </w:rPr>
      </w:pPr>
      <w:r>
        <w:rPr>
          <w:rFonts w:hint="eastAsia" w:ascii="宋体" w:hAnsi="宋体"/>
          <w:color w:val="auto"/>
          <w:kern w:val="0"/>
          <w:sz w:val="24"/>
          <w:szCs w:val="22"/>
        </w:rPr>
        <w:t>（2）滑坡和高边坡处理；</w:t>
      </w:r>
    </w:p>
    <w:p w14:paraId="7CF28C0D">
      <w:pPr>
        <w:kinsoku w:val="0"/>
        <w:overflowPunct w:val="0"/>
        <w:autoSpaceDE w:val="0"/>
        <w:autoSpaceDN w:val="0"/>
        <w:spacing w:before="22" w:line="240" w:lineRule="auto"/>
        <w:ind w:right="104" w:firstLine="480"/>
        <w:rPr>
          <w:rFonts w:hint="eastAsia" w:ascii="宋体" w:hAnsi="宋体"/>
          <w:color w:val="auto"/>
          <w:kern w:val="0"/>
          <w:sz w:val="24"/>
          <w:szCs w:val="22"/>
        </w:rPr>
      </w:pPr>
      <w:r>
        <w:rPr>
          <w:rFonts w:hint="eastAsia" w:ascii="宋体" w:hAnsi="宋体"/>
          <w:color w:val="auto"/>
          <w:kern w:val="0"/>
          <w:sz w:val="24"/>
          <w:szCs w:val="22"/>
        </w:rPr>
        <w:t>（3）桩基础、挡墙基础、深水基础及围堰工程；</w:t>
      </w:r>
    </w:p>
    <w:p w14:paraId="33A1D667">
      <w:pPr>
        <w:kinsoku w:val="0"/>
        <w:overflowPunct w:val="0"/>
        <w:autoSpaceDE w:val="0"/>
        <w:autoSpaceDN w:val="0"/>
        <w:spacing w:before="22" w:line="240" w:lineRule="auto"/>
        <w:ind w:right="104" w:firstLine="480"/>
        <w:rPr>
          <w:rFonts w:hint="eastAsia" w:ascii="宋体" w:hAnsi="宋体"/>
          <w:color w:val="auto"/>
          <w:kern w:val="0"/>
          <w:sz w:val="24"/>
          <w:szCs w:val="22"/>
        </w:rPr>
      </w:pPr>
      <w:r>
        <w:rPr>
          <w:rFonts w:hint="eastAsia" w:ascii="宋体" w:hAnsi="宋体"/>
          <w:color w:val="auto"/>
          <w:kern w:val="0"/>
          <w:sz w:val="24"/>
          <w:szCs w:val="22"/>
        </w:rPr>
        <w:t>（4）桥梁工程中的梁、拱、柱等构件施工等；</w:t>
      </w:r>
    </w:p>
    <w:p w14:paraId="42D5F8DF">
      <w:pPr>
        <w:kinsoku w:val="0"/>
        <w:overflowPunct w:val="0"/>
        <w:autoSpaceDE w:val="0"/>
        <w:autoSpaceDN w:val="0"/>
        <w:spacing w:before="22" w:line="240" w:lineRule="auto"/>
        <w:ind w:right="104" w:firstLine="480"/>
        <w:rPr>
          <w:rFonts w:hint="eastAsia" w:ascii="宋体" w:hAnsi="宋体"/>
          <w:color w:val="auto"/>
          <w:kern w:val="0"/>
          <w:sz w:val="24"/>
          <w:szCs w:val="22"/>
        </w:rPr>
      </w:pPr>
      <w:r>
        <w:rPr>
          <w:rFonts w:hint="eastAsia" w:ascii="宋体" w:hAnsi="宋体"/>
          <w:color w:val="auto"/>
          <w:kern w:val="0"/>
          <w:sz w:val="24"/>
          <w:szCs w:val="22"/>
        </w:rPr>
        <w:t>（5）隧道工程中的不良地质隧道、高瓦斯隧道等；</w:t>
      </w:r>
    </w:p>
    <w:p w14:paraId="7BC10768">
      <w:pPr>
        <w:kinsoku w:val="0"/>
        <w:overflowPunct w:val="0"/>
        <w:autoSpaceDE w:val="0"/>
        <w:autoSpaceDN w:val="0"/>
        <w:spacing w:before="22" w:line="240" w:lineRule="auto"/>
        <w:ind w:right="104" w:firstLine="468"/>
        <w:rPr>
          <w:rFonts w:hint="eastAsia" w:ascii="宋体" w:hAnsi="宋体"/>
          <w:color w:val="auto"/>
          <w:spacing w:val="-3"/>
          <w:kern w:val="0"/>
          <w:sz w:val="24"/>
          <w:szCs w:val="22"/>
        </w:rPr>
      </w:pPr>
      <w:r>
        <w:rPr>
          <w:rFonts w:hint="eastAsia" w:ascii="宋体" w:hAnsi="宋体"/>
          <w:color w:val="auto"/>
          <w:spacing w:val="-3"/>
          <w:kern w:val="0"/>
          <w:sz w:val="24"/>
          <w:szCs w:val="22"/>
        </w:rPr>
        <w:t>（6）水上工程中的打桩船作业、施工船作业、外海孤岛作业、边通航边施工作</w:t>
      </w:r>
      <w:r>
        <w:rPr>
          <w:rFonts w:hint="eastAsia" w:ascii="宋体" w:hAnsi="宋体"/>
          <w:color w:val="auto"/>
          <w:kern w:val="0"/>
          <w:sz w:val="24"/>
          <w:szCs w:val="22"/>
        </w:rPr>
        <w:t xml:space="preserve"> 业等；</w:t>
      </w:r>
    </w:p>
    <w:p w14:paraId="4B271BD8">
      <w:pPr>
        <w:kinsoku w:val="0"/>
        <w:overflowPunct w:val="0"/>
        <w:autoSpaceDE w:val="0"/>
        <w:autoSpaceDN w:val="0"/>
        <w:spacing w:before="22" w:line="240" w:lineRule="auto"/>
        <w:ind w:right="104" w:firstLine="480"/>
        <w:rPr>
          <w:rFonts w:hint="eastAsia" w:ascii="宋体" w:hAnsi="宋体"/>
          <w:color w:val="auto"/>
          <w:kern w:val="0"/>
          <w:sz w:val="24"/>
          <w:szCs w:val="22"/>
        </w:rPr>
      </w:pPr>
      <w:r>
        <w:rPr>
          <w:rFonts w:hint="eastAsia" w:ascii="宋体" w:hAnsi="宋体"/>
          <w:color w:val="auto"/>
          <w:kern w:val="0"/>
          <w:sz w:val="24"/>
          <w:szCs w:val="22"/>
        </w:rPr>
        <w:t>（7）水下工程中的水下焊接、混凝土浇筑、爆破工程等；</w:t>
      </w:r>
    </w:p>
    <w:p w14:paraId="21E81BD1">
      <w:pPr>
        <w:kinsoku w:val="0"/>
        <w:overflowPunct w:val="0"/>
        <w:autoSpaceDE w:val="0"/>
        <w:autoSpaceDN w:val="0"/>
        <w:spacing w:before="22" w:line="240" w:lineRule="auto"/>
        <w:ind w:right="104" w:firstLine="480"/>
        <w:rPr>
          <w:rFonts w:hint="eastAsia" w:ascii="宋体" w:hAnsi="宋体"/>
          <w:color w:val="auto"/>
          <w:kern w:val="0"/>
          <w:sz w:val="24"/>
          <w:szCs w:val="22"/>
        </w:rPr>
      </w:pPr>
      <w:r>
        <w:rPr>
          <w:rFonts w:hint="eastAsia" w:ascii="宋体" w:hAnsi="宋体"/>
          <w:color w:val="auto"/>
          <w:kern w:val="0"/>
          <w:sz w:val="24"/>
          <w:szCs w:val="22"/>
        </w:rPr>
        <w:t>（8）爆破工程；</w:t>
      </w:r>
    </w:p>
    <w:p w14:paraId="2C3BF89D">
      <w:pPr>
        <w:kinsoku w:val="0"/>
        <w:overflowPunct w:val="0"/>
        <w:autoSpaceDE w:val="0"/>
        <w:autoSpaceDN w:val="0"/>
        <w:spacing w:before="22" w:line="240" w:lineRule="auto"/>
        <w:ind w:right="104" w:firstLine="468"/>
        <w:rPr>
          <w:rFonts w:hint="eastAsia" w:ascii="宋体" w:hAnsi="宋体"/>
          <w:color w:val="auto"/>
          <w:spacing w:val="-3"/>
          <w:kern w:val="0"/>
          <w:sz w:val="24"/>
          <w:szCs w:val="22"/>
        </w:rPr>
      </w:pPr>
      <w:r>
        <w:rPr>
          <w:rFonts w:hint="eastAsia" w:ascii="宋体" w:hAnsi="宋体"/>
          <w:color w:val="auto"/>
          <w:spacing w:val="-3"/>
          <w:kern w:val="0"/>
          <w:sz w:val="24"/>
          <w:szCs w:val="22"/>
        </w:rPr>
        <w:t>（9）大型临时工程中的大型支架、模板、便桥的架设与拆除；桥梁、码头的加</w:t>
      </w:r>
      <w:r>
        <w:rPr>
          <w:rFonts w:hint="eastAsia" w:ascii="宋体" w:hAnsi="宋体"/>
          <w:color w:val="auto"/>
          <w:kern w:val="0"/>
          <w:sz w:val="24"/>
          <w:szCs w:val="22"/>
        </w:rPr>
        <w:t>固与拆除；</w:t>
      </w:r>
    </w:p>
    <w:p w14:paraId="496BCBE6">
      <w:pPr>
        <w:kinsoku w:val="0"/>
        <w:overflowPunct w:val="0"/>
        <w:autoSpaceDE w:val="0"/>
        <w:autoSpaceDN w:val="0"/>
        <w:spacing w:before="22" w:line="240" w:lineRule="auto"/>
        <w:ind w:right="104" w:firstLine="480"/>
        <w:rPr>
          <w:rFonts w:hint="eastAsia" w:ascii="宋体" w:hAnsi="宋体"/>
          <w:color w:val="auto"/>
          <w:kern w:val="0"/>
          <w:sz w:val="24"/>
          <w:szCs w:val="22"/>
        </w:rPr>
      </w:pPr>
      <w:r>
        <w:rPr>
          <w:rFonts w:hint="eastAsia" w:ascii="宋体" w:hAnsi="宋体"/>
          <w:color w:val="auto"/>
          <w:kern w:val="0"/>
          <w:sz w:val="24"/>
          <w:szCs w:val="22"/>
        </w:rPr>
        <w:t>（10）其他危险性较大的工程。</w:t>
      </w:r>
      <w:r>
        <w:rPr>
          <w:rFonts w:hint="eastAsia" w:ascii="宋体" w:hAnsi="宋体"/>
          <w:color w:val="auto"/>
          <w:spacing w:val="7"/>
          <w:kern w:val="0"/>
          <w:sz w:val="24"/>
          <w:szCs w:val="22"/>
        </w:rPr>
        <w:t>发包人在检查中发现有安全问题或有违反安全管理规章制度的情况</w:t>
      </w:r>
      <w:r>
        <w:rPr>
          <w:rFonts w:hint="eastAsia" w:ascii="宋体" w:hAnsi="宋体"/>
          <w:color w:val="auto"/>
          <w:kern w:val="0"/>
          <w:sz w:val="24"/>
          <w:szCs w:val="22"/>
        </w:rPr>
        <w:t>时，可视为承包人违约，应按第</w:t>
      </w:r>
      <w:r>
        <w:rPr>
          <w:rFonts w:hint="eastAsia" w:ascii="宋体" w:hAnsi="宋体"/>
          <w:color w:val="auto"/>
          <w:spacing w:val="-61"/>
          <w:kern w:val="0"/>
          <w:sz w:val="24"/>
          <w:szCs w:val="22"/>
        </w:rPr>
        <w:t xml:space="preserve"> </w:t>
      </w:r>
      <w:r>
        <w:rPr>
          <w:rFonts w:hint="eastAsia" w:ascii="宋体" w:hAnsi="宋体"/>
          <w:color w:val="auto"/>
          <w:kern w:val="0"/>
          <w:sz w:val="24"/>
          <w:szCs w:val="22"/>
        </w:rPr>
        <w:t>22.1</w:t>
      </w:r>
      <w:r>
        <w:rPr>
          <w:rFonts w:hint="eastAsia" w:ascii="宋体" w:hAnsi="宋体"/>
          <w:color w:val="auto"/>
          <w:spacing w:val="-1"/>
          <w:kern w:val="0"/>
          <w:sz w:val="24"/>
          <w:szCs w:val="22"/>
        </w:rPr>
        <w:t xml:space="preserve"> </w:t>
      </w:r>
      <w:r>
        <w:rPr>
          <w:rFonts w:hint="eastAsia" w:ascii="宋体" w:hAnsi="宋体"/>
          <w:color w:val="auto"/>
          <w:kern w:val="0"/>
          <w:sz w:val="24"/>
          <w:szCs w:val="22"/>
        </w:rPr>
        <w:t>款的规定办理。</w:t>
      </w:r>
    </w:p>
    <w:p w14:paraId="1856A419">
      <w:pPr>
        <w:kinsoku w:val="0"/>
        <w:overflowPunct w:val="0"/>
        <w:autoSpaceDE w:val="0"/>
        <w:autoSpaceDN w:val="0"/>
        <w:spacing w:before="90" w:line="240" w:lineRule="auto"/>
        <w:ind w:right="29" w:firstLine="480"/>
        <w:jc w:val="left"/>
        <w:rPr>
          <w:rFonts w:hint="eastAsia" w:ascii="宋体" w:hAnsi="宋体"/>
          <w:color w:val="auto"/>
          <w:kern w:val="0"/>
          <w:sz w:val="24"/>
          <w:szCs w:val="22"/>
        </w:rPr>
      </w:pPr>
      <w:r>
        <w:rPr>
          <w:rFonts w:hint="eastAsia" w:ascii="宋体" w:hAnsi="宋体"/>
          <w:color w:val="auto"/>
          <w:kern w:val="0"/>
          <w:sz w:val="24"/>
          <w:szCs w:val="22"/>
        </w:rPr>
        <w:t>第</w:t>
      </w:r>
      <w:r>
        <w:rPr>
          <w:rFonts w:hint="eastAsia" w:ascii="宋体" w:hAnsi="宋体"/>
          <w:color w:val="auto"/>
          <w:spacing w:val="-60"/>
          <w:kern w:val="0"/>
          <w:sz w:val="24"/>
          <w:szCs w:val="22"/>
        </w:rPr>
        <w:t xml:space="preserve"> </w:t>
      </w:r>
      <w:r>
        <w:rPr>
          <w:rFonts w:hint="eastAsia" w:ascii="宋体" w:hAnsi="宋体"/>
          <w:color w:val="auto"/>
          <w:kern w:val="0"/>
          <w:sz w:val="24"/>
          <w:szCs w:val="22"/>
        </w:rPr>
        <w:t>9.2.5 项细化为：除项目专用合同条款另有约定外，安全生产费用应为投标价（不含安全生产费及建筑工程一切险及第三者责任险的保险费）的1.5%</w:t>
      </w:r>
      <w:r>
        <w:rPr>
          <w:rFonts w:hint="eastAsia" w:ascii="宋体" w:hAnsi="宋体"/>
          <w:color w:val="auto"/>
          <w:spacing w:val="-5"/>
          <w:kern w:val="0"/>
          <w:sz w:val="24"/>
          <w:szCs w:val="22"/>
        </w:rPr>
        <w:t>。安全生产费用应用于施工安全防护用具及设施</w:t>
      </w:r>
      <w:r>
        <w:rPr>
          <w:rFonts w:hint="eastAsia" w:ascii="宋体" w:hAnsi="宋体"/>
          <w:color w:val="auto"/>
          <w:spacing w:val="-118"/>
          <w:kern w:val="0"/>
          <w:sz w:val="24"/>
          <w:szCs w:val="22"/>
        </w:rPr>
        <w:t xml:space="preserve"> </w:t>
      </w:r>
      <w:r>
        <w:rPr>
          <w:rFonts w:hint="eastAsia" w:ascii="宋体" w:hAnsi="宋体"/>
          <w:color w:val="auto"/>
          <w:kern w:val="0"/>
          <w:sz w:val="24"/>
          <w:szCs w:val="22"/>
        </w:rPr>
        <w:t>的采购和更新、安全施工措施的落实、安全生产条件的改善，不得挪作他用。如承</w:t>
      </w:r>
      <w:r>
        <w:rPr>
          <w:rFonts w:hint="eastAsia" w:ascii="宋体" w:hAnsi="宋体"/>
          <w:color w:val="auto"/>
          <w:spacing w:val="-91"/>
          <w:kern w:val="0"/>
          <w:sz w:val="24"/>
          <w:szCs w:val="22"/>
        </w:rPr>
        <w:t xml:space="preserve"> </w:t>
      </w:r>
      <w:r>
        <w:rPr>
          <w:rFonts w:hint="eastAsia" w:ascii="宋体" w:hAnsi="宋体"/>
          <w:color w:val="auto"/>
          <w:kern w:val="0"/>
          <w:sz w:val="24"/>
          <w:szCs w:val="22"/>
        </w:rPr>
        <w:t>包人在此基础上增加安全生产费用以满足项目施工需要，则承包人应在本项目工程</w:t>
      </w:r>
      <w:r>
        <w:rPr>
          <w:rFonts w:hint="eastAsia" w:ascii="宋体" w:hAnsi="宋体"/>
          <w:color w:val="auto"/>
          <w:spacing w:val="-93"/>
          <w:kern w:val="0"/>
          <w:sz w:val="24"/>
          <w:szCs w:val="22"/>
        </w:rPr>
        <w:t xml:space="preserve"> </w:t>
      </w:r>
      <w:r>
        <w:rPr>
          <w:rFonts w:hint="eastAsia" w:ascii="宋体" w:hAnsi="宋体"/>
          <w:color w:val="auto"/>
          <w:kern w:val="0"/>
          <w:sz w:val="24"/>
          <w:szCs w:val="22"/>
        </w:rPr>
        <w:t>量清单其他相关子目的单价或总额价中予以考虑，发包人不再另行支付。</w:t>
      </w:r>
    </w:p>
    <w:p w14:paraId="14AAD135">
      <w:pPr>
        <w:kinsoku w:val="0"/>
        <w:overflowPunct w:val="0"/>
        <w:autoSpaceDE w:val="0"/>
        <w:autoSpaceDN w:val="0"/>
        <w:spacing w:before="26"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本款补充第</w:t>
      </w:r>
      <w:r>
        <w:rPr>
          <w:rFonts w:hint="eastAsia" w:ascii="宋体" w:hAnsi="宋体"/>
          <w:color w:val="auto"/>
          <w:spacing w:val="-63"/>
          <w:kern w:val="0"/>
          <w:sz w:val="24"/>
          <w:szCs w:val="22"/>
        </w:rPr>
        <w:t xml:space="preserve"> </w:t>
      </w:r>
      <w:r>
        <w:rPr>
          <w:rFonts w:hint="eastAsia" w:ascii="宋体" w:hAnsi="宋体"/>
          <w:color w:val="auto"/>
          <w:kern w:val="0"/>
          <w:sz w:val="24"/>
          <w:szCs w:val="22"/>
        </w:rPr>
        <w:t>9.2.8</w:t>
      </w:r>
      <w:r>
        <w:rPr>
          <w:rFonts w:hint="eastAsia" w:ascii="宋体" w:hAnsi="宋体"/>
          <w:color w:val="auto"/>
          <w:spacing w:val="-3"/>
          <w:kern w:val="0"/>
          <w:sz w:val="24"/>
          <w:szCs w:val="22"/>
        </w:rPr>
        <w:t xml:space="preserve"> </w:t>
      </w:r>
      <w:r>
        <w:rPr>
          <w:rFonts w:hint="eastAsia" w:ascii="宋体" w:hAnsi="宋体"/>
          <w:color w:val="auto"/>
          <w:kern w:val="0"/>
          <w:sz w:val="24"/>
          <w:szCs w:val="22"/>
        </w:rPr>
        <w:t>项~第</w:t>
      </w:r>
      <w:r>
        <w:rPr>
          <w:rFonts w:hint="eastAsia" w:ascii="宋体" w:hAnsi="宋体"/>
          <w:color w:val="auto"/>
          <w:spacing w:val="-63"/>
          <w:kern w:val="0"/>
          <w:sz w:val="24"/>
          <w:szCs w:val="22"/>
        </w:rPr>
        <w:t xml:space="preserve"> </w:t>
      </w:r>
      <w:r>
        <w:rPr>
          <w:rFonts w:hint="eastAsia" w:ascii="宋体" w:hAnsi="宋体"/>
          <w:color w:val="auto"/>
          <w:kern w:val="0"/>
          <w:sz w:val="24"/>
          <w:szCs w:val="22"/>
        </w:rPr>
        <w:t>9.2.11</w:t>
      </w:r>
      <w:r>
        <w:rPr>
          <w:rFonts w:hint="eastAsia" w:ascii="宋体" w:hAnsi="宋体"/>
          <w:color w:val="auto"/>
          <w:spacing w:val="-3"/>
          <w:kern w:val="0"/>
          <w:sz w:val="24"/>
          <w:szCs w:val="22"/>
        </w:rPr>
        <w:t xml:space="preserve"> </w:t>
      </w:r>
      <w:r>
        <w:rPr>
          <w:rFonts w:hint="eastAsia" w:ascii="宋体" w:hAnsi="宋体"/>
          <w:color w:val="auto"/>
          <w:kern w:val="0"/>
          <w:sz w:val="24"/>
          <w:szCs w:val="22"/>
        </w:rPr>
        <w:t>项：</w:t>
      </w:r>
    </w:p>
    <w:p w14:paraId="5CB22C68">
      <w:pPr>
        <w:kinsoku w:val="0"/>
        <w:overflowPunct w:val="0"/>
        <w:autoSpaceDE w:val="0"/>
        <w:autoSpaceDN w:val="0"/>
        <w:spacing w:before="66" w:line="240" w:lineRule="auto"/>
        <w:ind w:right="222" w:firstLine="480"/>
        <w:rPr>
          <w:rFonts w:hint="eastAsia" w:ascii="宋体" w:hAnsi="宋体"/>
          <w:color w:val="auto"/>
          <w:kern w:val="0"/>
          <w:sz w:val="24"/>
          <w:szCs w:val="22"/>
        </w:rPr>
      </w:pPr>
      <w:r>
        <w:rPr>
          <w:rFonts w:hint="eastAsia" w:ascii="宋体" w:hAnsi="宋体"/>
          <w:color w:val="auto"/>
          <w:kern w:val="0"/>
          <w:sz w:val="24"/>
          <w:szCs w:val="22"/>
        </w:rPr>
        <w:t>9.2.8</w:t>
      </w:r>
      <w:r>
        <w:rPr>
          <w:rFonts w:hint="eastAsia" w:ascii="宋体" w:hAnsi="宋体"/>
          <w:color w:val="auto"/>
          <w:spacing w:val="12"/>
          <w:kern w:val="0"/>
          <w:sz w:val="24"/>
          <w:szCs w:val="22"/>
        </w:rPr>
        <w:t xml:space="preserve"> </w:t>
      </w:r>
      <w:r>
        <w:rPr>
          <w:rFonts w:hint="eastAsia" w:ascii="宋体" w:hAnsi="宋体"/>
          <w:color w:val="auto"/>
          <w:spacing w:val="-3"/>
          <w:kern w:val="0"/>
          <w:sz w:val="24"/>
          <w:szCs w:val="22"/>
        </w:rPr>
        <w:t>承包人应充分关注和保障所有在现场工作的人员的安全，采取以下有效措</w:t>
      </w:r>
      <w:r>
        <w:rPr>
          <w:rFonts w:hint="eastAsia" w:ascii="宋体" w:hAnsi="宋体"/>
          <w:color w:val="auto"/>
          <w:kern w:val="0"/>
          <w:sz w:val="24"/>
          <w:szCs w:val="22"/>
        </w:rPr>
        <w:t>施，使现场和本合同工程的实施保持有条不紊，以免使上述人员的安全受到威胁。</w:t>
      </w:r>
    </w:p>
    <w:p w14:paraId="2CE6C6DB">
      <w:pPr>
        <w:kinsoku w:val="0"/>
        <w:overflowPunct w:val="0"/>
        <w:autoSpaceDE w:val="0"/>
        <w:autoSpaceDN w:val="0"/>
        <w:spacing w:before="36" w:line="240" w:lineRule="auto"/>
        <w:ind w:right="226" w:firstLine="468"/>
        <w:rPr>
          <w:rFonts w:hint="eastAsia" w:ascii="宋体" w:hAnsi="宋体"/>
          <w:color w:val="auto"/>
          <w:spacing w:val="-3"/>
          <w:kern w:val="0"/>
          <w:sz w:val="24"/>
          <w:szCs w:val="22"/>
        </w:rPr>
      </w:pPr>
      <w:r>
        <w:rPr>
          <w:rFonts w:hint="eastAsia" w:ascii="宋体" w:hAnsi="宋体"/>
          <w:color w:val="auto"/>
          <w:spacing w:val="-3"/>
          <w:kern w:val="0"/>
          <w:sz w:val="24"/>
          <w:szCs w:val="22"/>
        </w:rPr>
        <w:t>（1）按《公路水运工程安全生产监督管理办法》规定的最低数量和资质条件配</w:t>
      </w:r>
      <w:r>
        <w:rPr>
          <w:rFonts w:hint="eastAsia" w:ascii="宋体" w:hAnsi="宋体"/>
          <w:color w:val="auto"/>
          <w:kern w:val="0"/>
          <w:sz w:val="24"/>
          <w:szCs w:val="22"/>
        </w:rPr>
        <w:t>备专职安全生产管理人员；</w:t>
      </w:r>
    </w:p>
    <w:p w14:paraId="605CD284">
      <w:pPr>
        <w:kinsoku w:val="0"/>
        <w:overflowPunct w:val="0"/>
        <w:autoSpaceDE w:val="0"/>
        <w:autoSpaceDN w:val="0"/>
        <w:spacing w:before="38" w:line="240" w:lineRule="auto"/>
        <w:ind w:right="226" w:firstLine="468"/>
        <w:rPr>
          <w:rFonts w:hint="eastAsia" w:ascii="宋体" w:hAnsi="宋体"/>
          <w:color w:val="auto"/>
          <w:spacing w:val="-3"/>
          <w:kern w:val="0"/>
          <w:sz w:val="24"/>
          <w:szCs w:val="22"/>
        </w:rPr>
      </w:pPr>
      <w:r>
        <w:rPr>
          <w:rFonts w:hint="eastAsia" w:ascii="宋体" w:hAnsi="宋体"/>
          <w:color w:val="auto"/>
          <w:spacing w:val="-3"/>
          <w:kern w:val="0"/>
          <w:sz w:val="24"/>
          <w:szCs w:val="22"/>
        </w:rPr>
        <w:t>（2）承包人的垂直运输机械作业人员、施工船舶作业人员、爆破作业人员、安</w:t>
      </w:r>
      <w:r>
        <w:rPr>
          <w:rFonts w:hint="eastAsia" w:ascii="宋体" w:hAnsi="宋体"/>
          <w:color w:val="auto"/>
          <w:kern w:val="0"/>
          <w:sz w:val="24"/>
          <w:szCs w:val="22"/>
        </w:rPr>
        <w:t xml:space="preserve"> 装拆卸工、起重信号工、电工、焊工等国家规定的特种作业人员，必须按照国家规</w:t>
      </w:r>
      <w:r>
        <w:rPr>
          <w:rFonts w:hint="eastAsia" w:ascii="宋体" w:hAnsi="宋体"/>
          <w:color w:val="auto"/>
          <w:spacing w:val="-95"/>
          <w:kern w:val="0"/>
          <w:sz w:val="24"/>
          <w:szCs w:val="22"/>
        </w:rPr>
        <w:t xml:space="preserve"> </w:t>
      </w:r>
      <w:r>
        <w:rPr>
          <w:rFonts w:hint="eastAsia" w:ascii="宋体" w:hAnsi="宋体"/>
          <w:color w:val="auto"/>
          <w:kern w:val="0"/>
          <w:sz w:val="24"/>
          <w:szCs w:val="22"/>
        </w:rPr>
        <w:t>定经过专门的安全作业培训，并取得特种作业操作资格证书后，方可上岗作业；</w:t>
      </w:r>
    </w:p>
    <w:p w14:paraId="15D46D50">
      <w:pPr>
        <w:kinsoku w:val="0"/>
        <w:overflowPunct w:val="0"/>
        <w:autoSpaceDE w:val="0"/>
        <w:autoSpaceDN w:val="0"/>
        <w:spacing w:before="38" w:line="240" w:lineRule="auto"/>
        <w:ind w:right="226" w:firstLine="456"/>
        <w:rPr>
          <w:rFonts w:hint="eastAsia" w:ascii="宋体" w:hAnsi="宋体"/>
          <w:color w:val="auto"/>
          <w:spacing w:val="-6"/>
          <w:kern w:val="0"/>
          <w:sz w:val="24"/>
          <w:szCs w:val="22"/>
        </w:rPr>
      </w:pPr>
      <w:r>
        <w:rPr>
          <w:rFonts w:hint="eastAsia" w:ascii="宋体" w:hAnsi="宋体"/>
          <w:color w:val="auto"/>
          <w:spacing w:val="-6"/>
          <w:kern w:val="0"/>
          <w:sz w:val="24"/>
          <w:szCs w:val="22"/>
        </w:rPr>
        <w:t>（3）所有施工机具设备和高空作业设备均应定期检查，并有安全员的签字记录；</w:t>
      </w:r>
    </w:p>
    <w:p w14:paraId="28ABC8EA">
      <w:pPr>
        <w:kinsoku w:val="0"/>
        <w:overflowPunct w:val="0"/>
        <w:autoSpaceDE w:val="0"/>
        <w:autoSpaceDN w:val="0"/>
        <w:spacing w:before="38" w:line="240" w:lineRule="auto"/>
        <w:ind w:right="226" w:firstLine="468"/>
        <w:rPr>
          <w:rFonts w:hint="eastAsia" w:ascii="宋体" w:hAnsi="宋体"/>
          <w:color w:val="auto"/>
          <w:spacing w:val="-3"/>
          <w:kern w:val="0"/>
          <w:sz w:val="24"/>
          <w:szCs w:val="22"/>
        </w:rPr>
      </w:pPr>
      <w:r>
        <w:rPr>
          <w:rFonts w:hint="eastAsia" w:ascii="宋体" w:hAnsi="宋体"/>
          <w:color w:val="auto"/>
          <w:spacing w:val="-3"/>
          <w:kern w:val="0"/>
          <w:sz w:val="24"/>
          <w:szCs w:val="22"/>
        </w:rPr>
        <w:t>（4）根据本合同各单位工程的施工特点，严格执行《公路水运工程安全生产监</w:t>
      </w:r>
      <w:r>
        <w:rPr>
          <w:rFonts w:hint="eastAsia" w:ascii="宋体" w:hAnsi="宋体"/>
          <w:color w:val="auto"/>
          <w:kern w:val="0"/>
          <w:sz w:val="24"/>
          <w:szCs w:val="22"/>
        </w:rPr>
        <w:t xml:space="preserve"> </w:t>
      </w:r>
      <w:r>
        <w:rPr>
          <w:rFonts w:hint="eastAsia" w:ascii="宋体" w:hAnsi="宋体"/>
          <w:color w:val="auto"/>
          <w:spacing w:val="-5"/>
          <w:kern w:val="0"/>
          <w:sz w:val="24"/>
          <w:szCs w:val="22"/>
        </w:rPr>
        <w:t>督管理办法》《公路工程施工安全技术规范》等有关规定。</w:t>
      </w:r>
    </w:p>
    <w:p w14:paraId="6A4A232F">
      <w:pPr>
        <w:kinsoku w:val="0"/>
        <w:overflowPunct w:val="0"/>
        <w:autoSpaceDE w:val="0"/>
        <w:autoSpaceDN w:val="0"/>
        <w:spacing w:before="38" w:line="240" w:lineRule="auto"/>
        <w:ind w:right="231" w:firstLine="480"/>
        <w:rPr>
          <w:rFonts w:hint="eastAsia" w:ascii="宋体" w:hAnsi="宋体"/>
          <w:color w:val="auto"/>
          <w:kern w:val="0"/>
          <w:sz w:val="24"/>
          <w:szCs w:val="22"/>
        </w:rPr>
      </w:pPr>
      <w:r>
        <w:rPr>
          <w:rFonts w:hint="eastAsia" w:ascii="宋体" w:hAnsi="宋体"/>
          <w:color w:val="auto"/>
          <w:kern w:val="0"/>
          <w:sz w:val="24"/>
          <w:szCs w:val="22"/>
        </w:rPr>
        <w:t>9.2.9</w:t>
      </w:r>
      <w:r>
        <w:rPr>
          <w:rFonts w:hint="eastAsia" w:ascii="宋体" w:hAnsi="宋体"/>
          <w:color w:val="auto"/>
          <w:spacing w:val="5"/>
          <w:kern w:val="0"/>
          <w:sz w:val="24"/>
          <w:szCs w:val="22"/>
        </w:rPr>
        <w:t xml:space="preserve"> </w:t>
      </w:r>
      <w:r>
        <w:rPr>
          <w:rFonts w:hint="eastAsia" w:ascii="宋体" w:hAnsi="宋体"/>
          <w:color w:val="auto"/>
          <w:spacing w:val="4"/>
          <w:kern w:val="0"/>
          <w:sz w:val="24"/>
          <w:szCs w:val="22"/>
        </w:rPr>
        <w:t>为了保护本合同工程免遭损坏，或为了现场附近和过往群众的安全与方</w:t>
      </w:r>
      <w:r>
        <w:rPr>
          <w:rFonts w:hint="eastAsia" w:ascii="宋体" w:hAnsi="宋体"/>
          <w:color w:val="auto"/>
          <w:kern w:val="0"/>
          <w:sz w:val="24"/>
          <w:szCs w:val="22"/>
        </w:rPr>
        <w:t xml:space="preserve"> 便，在确有必要的时候和地方，或当</w:t>
      </w:r>
      <w:r>
        <w:rPr>
          <w:rFonts w:hint="eastAsia" w:ascii="宋体" w:hAnsi="宋体"/>
          <w:color w:val="auto"/>
          <w:kern w:val="0"/>
          <w:sz w:val="24"/>
          <w:szCs w:val="22"/>
          <w:lang w:val="en-US" w:eastAsia="zh-CN"/>
        </w:rPr>
        <w:t>发包</w:t>
      </w:r>
      <w:r>
        <w:rPr>
          <w:rFonts w:hint="eastAsia" w:ascii="宋体" w:hAnsi="宋体"/>
          <w:color w:val="auto"/>
          <w:kern w:val="0"/>
          <w:sz w:val="24"/>
          <w:szCs w:val="22"/>
        </w:rPr>
        <w:t>人或有关主管部门要求时，承包人应自费</w:t>
      </w:r>
      <w:r>
        <w:rPr>
          <w:rFonts w:hint="eastAsia" w:ascii="宋体" w:hAnsi="宋体"/>
          <w:color w:val="auto"/>
          <w:spacing w:val="-95"/>
          <w:kern w:val="0"/>
          <w:sz w:val="24"/>
          <w:szCs w:val="22"/>
        </w:rPr>
        <w:t xml:space="preserve"> </w:t>
      </w:r>
      <w:r>
        <w:rPr>
          <w:rFonts w:hint="eastAsia" w:ascii="宋体" w:hAnsi="宋体"/>
          <w:color w:val="auto"/>
          <w:kern w:val="0"/>
          <w:sz w:val="24"/>
          <w:szCs w:val="22"/>
        </w:rPr>
        <w:t>提供照明、警卫、护栅、警告标志等安全防护设施。</w:t>
      </w:r>
    </w:p>
    <w:p w14:paraId="6AD7C083">
      <w:pPr>
        <w:kinsoku w:val="0"/>
        <w:overflowPunct w:val="0"/>
        <w:autoSpaceDE w:val="0"/>
        <w:autoSpaceDN w:val="0"/>
        <w:spacing w:before="29" w:line="240" w:lineRule="auto"/>
        <w:ind w:right="226" w:firstLine="480"/>
        <w:rPr>
          <w:rFonts w:hint="eastAsia" w:ascii="宋体" w:hAnsi="宋体"/>
          <w:color w:val="auto"/>
          <w:kern w:val="0"/>
          <w:sz w:val="24"/>
          <w:szCs w:val="22"/>
        </w:rPr>
      </w:pPr>
      <w:r>
        <w:rPr>
          <w:rFonts w:hint="eastAsia" w:ascii="宋体" w:hAnsi="宋体"/>
          <w:color w:val="auto"/>
          <w:kern w:val="0"/>
          <w:sz w:val="24"/>
          <w:szCs w:val="22"/>
        </w:rPr>
        <w:t>9.2.10在整个施工过程中对承包人采取的施工安全措施，发包人有权 监督，并向承包人提出整改要求。如果由于承包人未能对其负责的上述事项采取各</w:t>
      </w:r>
      <w:r>
        <w:rPr>
          <w:rFonts w:hint="eastAsia" w:ascii="宋体" w:hAnsi="宋体"/>
          <w:color w:val="auto"/>
          <w:spacing w:val="-95"/>
          <w:kern w:val="0"/>
          <w:sz w:val="24"/>
          <w:szCs w:val="22"/>
        </w:rPr>
        <w:t xml:space="preserve"> </w:t>
      </w:r>
      <w:r>
        <w:rPr>
          <w:rFonts w:hint="eastAsia" w:ascii="宋体" w:hAnsi="宋体"/>
          <w:color w:val="auto"/>
          <w:kern w:val="0"/>
          <w:sz w:val="24"/>
          <w:szCs w:val="22"/>
        </w:rPr>
        <w:t>种必要的措施而导致或发生与此有关的人身伤亡、罚款、索赔、损失补偿、诉讼费</w:t>
      </w:r>
      <w:r>
        <w:rPr>
          <w:rFonts w:hint="eastAsia" w:ascii="宋体" w:hAnsi="宋体"/>
          <w:color w:val="auto"/>
          <w:spacing w:val="-92"/>
          <w:kern w:val="0"/>
          <w:sz w:val="24"/>
          <w:szCs w:val="22"/>
        </w:rPr>
        <w:t xml:space="preserve"> </w:t>
      </w:r>
      <w:r>
        <w:rPr>
          <w:rFonts w:hint="eastAsia" w:ascii="宋体" w:hAnsi="宋体"/>
          <w:color w:val="auto"/>
          <w:kern w:val="0"/>
          <w:sz w:val="24"/>
          <w:szCs w:val="22"/>
        </w:rPr>
        <w:t>用及其他一切责任应由承包人负责。</w:t>
      </w:r>
    </w:p>
    <w:p w14:paraId="56288F09">
      <w:pPr>
        <w:kinsoku w:val="0"/>
        <w:overflowPunct w:val="0"/>
        <w:autoSpaceDE w:val="0"/>
        <w:autoSpaceDN w:val="0"/>
        <w:spacing w:line="240" w:lineRule="auto"/>
        <w:ind w:left="144"/>
        <w:jc w:val="left"/>
        <w:rPr>
          <w:rFonts w:hint="eastAsia" w:ascii="宋体" w:hAnsi="宋体"/>
          <w:color w:val="auto"/>
          <w:kern w:val="0"/>
          <w:sz w:val="24"/>
          <w:szCs w:val="22"/>
        </w:rPr>
      </w:pPr>
      <w:r>
        <w:rPr>
          <w:rFonts w:hint="eastAsia" w:ascii="宋体" w:hAnsi="宋体"/>
          <w:color w:val="auto"/>
          <w:kern w:val="0"/>
          <w:sz w:val="24"/>
          <w:szCs w:val="22"/>
        </w:rPr>
        <w:t>9.4</w:t>
      </w:r>
      <w:r>
        <w:rPr>
          <w:rFonts w:hint="eastAsia" w:ascii="宋体" w:hAnsi="宋体"/>
          <w:color w:val="auto"/>
          <w:spacing w:val="59"/>
          <w:kern w:val="0"/>
          <w:sz w:val="24"/>
          <w:szCs w:val="22"/>
        </w:rPr>
        <w:t xml:space="preserve"> </w:t>
      </w:r>
      <w:r>
        <w:rPr>
          <w:rFonts w:hint="eastAsia" w:ascii="宋体" w:hAnsi="宋体"/>
          <w:color w:val="auto"/>
          <w:kern w:val="0"/>
          <w:sz w:val="24"/>
          <w:szCs w:val="22"/>
        </w:rPr>
        <w:t>环境保护</w:t>
      </w:r>
    </w:p>
    <w:p w14:paraId="46592FA2">
      <w:pPr>
        <w:kinsoku w:val="0"/>
        <w:overflowPunct w:val="0"/>
        <w:autoSpaceDE w:val="0"/>
        <w:autoSpaceDN w:val="0"/>
        <w:spacing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本款补充第</w:t>
      </w:r>
      <w:r>
        <w:rPr>
          <w:rFonts w:hint="eastAsia" w:ascii="宋体" w:hAnsi="宋体"/>
          <w:color w:val="auto"/>
          <w:spacing w:val="-63"/>
          <w:kern w:val="0"/>
          <w:sz w:val="24"/>
          <w:szCs w:val="22"/>
        </w:rPr>
        <w:t xml:space="preserve"> </w:t>
      </w:r>
      <w:r>
        <w:rPr>
          <w:rFonts w:hint="eastAsia" w:ascii="宋体" w:hAnsi="宋体"/>
          <w:color w:val="auto"/>
          <w:kern w:val="0"/>
          <w:sz w:val="24"/>
          <w:szCs w:val="22"/>
        </w:rPr>
        <w:t>9.4.7</w:t>
      </w:r>
      <w:r>
        <w:rPr>
          <w:rFonts w:hint="eastAsia" w:ascii="宋体" w:hAnsi="宋体"/>
          <w:color w:val="auto"/>
          <w:spacing w:val="-3"/>
          <w:kern w:val="0"/>
          <w:sz w:val="24"/>
          <w:szCs w:val="22"/>
        </w:rPr>
        <w:t xml:space="preserve"> </w:t>
      </w:r>
      <w:r>
        <w:rPr>
          <w:rFonts w:hint="eastAsia" w:ascii="宋体" w:hAnsi="宋体"/>
          <w:color w:val="auto"/>
          <w:kern w:val="0"/>
          <w:sz w:val="24"/>
          <w:szCs w:val="22"/>
        </w:rPr>
        <w:t>项~第</w:t>
      </w:r>
      <w:r>
        <w:rPr>
          <w:rFonts w:hint="eastAsia" w:ascii="宋体" w:hAnsi="宋体"/>
          <w:color w:val="auto"/>
          <w:spacing w:val="-63"/>
          <w:kern w:val="0"/>
          <w:sz w:val="24"/>
          <w:szCs w:val="22"/>
        </w:rPr>
        <w:t xml:space="preserve"> </w:t>
      </w:r>
      <w:r>
        <w:rPr>
          <w:rFonts w:hint="eastAsia" w:ascii="宋体" w:hAnsi="宋体"/>
          <w:color w:val="auto"/>
          <w:kern w:val="0"/>
          <w:sz w:val="24"/>
          <w:szCs w:val="22"/>
        </w:rPr>
        <w:t>9.4.11</w:t>
      </w:r>
      <w:r>
        <w:rPr>
          <w:rFonts w:hint="eastAsia" w:ascii="宋体" w:hAnsi="宋体"/>
          <w:color w:val="auto"/>
          <w:spacing w:val="-3"/>
          <w:kern w:val="0"/>
          <w:sz w:val="24"/>
          <w:szCs w:val="22"/>
        </w:rPr>
        <w:t xml:space="preserve"> </w:t>
      </w:r>
      <w:r>
        <w:rPr>
          <w:rFonts w:hint="eastAsia" w:ascii="宋体" w:hAnsi="宋体"/>
          <w:color w:val="auto"/>
          <w:kern w:val="0"/>
          <w:sz w:val="24"/>
          <w:szCs w:val="22"/>
        </w:rPr>
        <w:t>项：</w:t>
      </w:r>
    </w:p>
    <w:p w14:paraId="5CC2C549">
      <w:pPr>
        <w:kinsoku w:val="0"/>
        <w:overflowPunct w:val="0"/>
        <w:autoSpaceDE w:val="0"/>
        <w:autoSpaceDN w:val="0"/>
        <w:spacing w:before="69"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9.4.7 承包人应切实执行技术规范中有关环境保护方面的条款和规定。</w:t>
      </w:r>
    </w:p>
    <w:p w14:paraId="49811C37">
      <w:pPr>
        <w:kinsoku w:val="0"/>
        <w:overflowPunct w:val="0"/>
        <w:autoSpaceDE w:val="0"/>
        <w:autoSpaceDN w:val="0"/>
        <w:spacing w:before="69" w:line="240" w:lineRule="auto"/>
        <w:ind w:firstLine="468"/>
        <w:jc w:val="left"/>
        <w:rPr>
          <w:rFonts w:hint="eastAsia" w:ascii="宋体" w:hAnsi="宋体"/>
          <w:color w:val="auto"/>
          <w:spacing w:val="-3"/>
          <w:kern w:val="0"/>
          <w:sz w:val="24"/>
          <w:szCs w:val="22"/>
        </w:rPr>
      </w:pPr>
      <w:r>
        <w:rPr>
          <w:rFonts w:hint="eastAsia" w:ascii="宋体" w:hAnsi="宋体"/>
          <w:color w:val="auto"/>
          <w:spacing w:val="-3"/>
          <w:kern w:val="0"/>
          <w:sz w:val="24"/>
          <w:szCs w:val="22"/>
        </w:rPr>
        <w:t>（1）对于来自施工机械和运输车辆的施工噪声，为保护施工人员的健康，应遵</w:t>
      </w:r>
      <w:r>
        <w:rPr>
          <w:rFonts w:hint="eastAsia" w:ascii="宋体" w:hAnsi="宋体"/>
          <w:color w:val="auto"/>
          <w:kern w:val="0"/>
          <w:sz w:val="24"/>
          <w:szCs w:val="22"/>
        </w:rPr>
        <w:t xml:space="preserve"> 守《中华人民共和国环境噪声污染防治法》并依据《工业企业噪声卫生标准》合理</w:t>
      </w:r>
      <w:r>
        <w:rPr>
          <w:rFonts w:hint="eastAsia" w:ascii="宋体" w:hAnsi="宋体"/>
          <w:color w:val="auto"/>
          <w:spacing w:val="-95"/>
          <w:kern w:val="0"/>
          <w:sz w:val="24"/>
          <w:szCs w:val="22"/>
        </w:rPr>
        <w:t xml:space="preserve"> </w:t>
      </w:r>
      <w:r>
        <w:rPr>
          <w:rFonts w:hint="eastAsia" w:ascii="宋体" w:hAnsi="宋体"/>
          <w:color w:val="auto"/>
          <w:kern w:val="0"/>
          <w:sz w:val="24"/>
          <w:szCs w:val="22"/>
        </w:rPr>
        <w:t>安排工作人员轮流操作筑路机械，减少接触高噪声的时间，或间歇安排高噪声的工</w:t>
      </w:r>
      <w:r>
        <w:rPr>
          <w:rFonts w:hint="eastAsia" w:ascii="宋体" w:hAnsi="宋体"/>
          <w:color w:val="auto"/>
          <w:spacing w:val="-95"/>
          <w:kern w:val="0"/>
          <w:sz w:val="24"/>
          <w:szCs w:val="22"/>
        </w:rPr>
        <w:t xml:space="preserve"> </w:t>
      </w:r>
      <w:r>
        <w:rPr>
          <w:rFonts w:hint="eastAsia" w:ascii="宋体" w:hAnsi="宋体"/>
          <w:color w:val="auto"/>
          <w:kern w:val="0"/>
          <w:sz w:val="24"/>
          <w:szCs w:val="22"/>
        </w:rPr>
        <w:t>作。对距噪声源较近的施工人员，除采取使用防护耳塞或头盔等有效措施外，还应</w:t>
      </w:r>
      <w:r>
        <w:rPr>
          <w:rFonts w:hint="eastAsia" w:ascii="宋体" w:hAnsi="宋体"/>
          <w:color w:val="auto"/>
          <w:spacing w:val="-95"/>
          <w:kern w:val="0"/>
          <w:sz w:val="24"/>
          <w:szCs w:val="22"/>
        </w:rPr>
        <w:t xml:space="preserve"> </w:t>
      </w:r>
      <w:r>
        <w:rPr>
          <w:rFonts w:hint="eastAsia" w:ascii="宋体" w:hAnsi="宋体"/>
          <w:color w:val="auto"/>
          <w:kern w:val="0"/>
          <w:sz w:val="24"/>
          <w:szCs w:val="22"/>
        </w:rPr>
        <w:t>当缩短其劳动时间。同时，要注意对机械的经常性保养，尽量使其噪声降低到最低</w:t>
      </w:r>
      <w:r>
        <w:rPr>
          <w:rFonts w:hint="eastAsia" w:ascii="宋体" w:hAnsi="宋体"/>
          <w:color w:val="auto"/>
          <w:spacing w:val="-93"/>
          <w:kern w:val="0"/>
          <w:sz w:val="24"/>
          <w:szCs w:val="22"/>
        </w:rPr>
        <w:t xml:space="preserve"> </w:t>
      </w:r>
      <w:r>
        <w:rPr>
          <w:rFonts w:hint="eastAsia" w:ascii="宋体" w:hAnsi="宋体"/>
          <w:color w:val="auto"/>
          <w:kern w:val="0"/>
          <w:sz w:val="24"/>
          <w:szCs w:val="22"/>
        </w:rPr>
        <w:t>水平。为保护施工现场附近居民的夜间休息，对居民区 150m</w:t>
      </w:r>
      <w:r>
        <w:rPr>
          <w:rFonts w:hint="eastAsia" w:ascii="宋体" w:hAnsi="宋体"/>
          <w:color w:val="auto"/>
          <w:spacing w:val="28"/>
          <w:kern w:val="0"/>
          <w:sz w:val="24"/>
          <w:szCs w:val="22"/>
        </w:rPr>
        <w:t xml:space="preserve"> </w:t>
      </w:r>
      <w:r>
        <w:rPr>
          <w:rFonts w:hint="eastAsia" w:ascii="宋体" w:hAnsi="宋体"/>
          <w:color w:val="auto"/>
          <w:kern w:val="0"/>
          <w:sz w:val="24"/>
          <w:szCs w:val="22"/>
        </w:rPr>
        <w:t>以内的施工现场，施 工时间应加以控制。</w:t>
      </w:r>
    </w:p>
    <w:p w14:paraId="7D61036A">
      <w:pPr>
        <w:kinsoku w:val="0"/>
        <w:overflowPunct w:val="0"/>
        <w:autoSpaceDE w:val="0"/>
        <w:autoSpaceDN w:val="0"/>
        <w:spacing w:before="69" w:line="240" w:lineRule="auto"/>
        <w:ind w:firstLine="468"/>
        <w:jc w:val="left"/>
        <w:rPr>
          <w:rFonts w:hint="eastAsia" w:ascii="宋体" w:hAnsi="宋体"/>
          <w:color w:val="auto"/>
          <w:spacing w:val="-3"/>
          <w:kern w:val="0"/>
          <w:sz w:val="24"/>
          <w:szCs w:val="22"/>
        </w:rPr>
      </w:pPr>
      <w:r>
        <w:rPr>
          <w:rFonts w:hint="eastAsia" w:ascii="宋体" w:hAnsi="宋体"/>
          <w:color w:val="auto"/>
          <w:spacing w:val="-3"/>
          <w:kern w:val="0"/>
          <w:sz w:val="24"/>
          <w:szCs w:val="22"/>
        </w:rPr>
        <w:t>（2）对于公路施工中粉尘污染的主要污染源――灰土拌和、施工车辆和筑路机</w:t>
      </w:r>
      <w:r>
        <w:rPr>
          <w:rFonts w:hint="eastAsia" w:ascii="宋体" w:hAnsi="宋体"/>
          <w:color w:val="auto"/>
          <w:kern w:val="0"/>
          <w:sz w:val="24"/>
          <w:szCs w:val="22"/>
        </w:rPr>
        <w:t xml:space="preserve"> 械运行及运输产生的扬尘，应采取有效措施减轻其对施工现场的大气污染，保护人</w:t>
      </w:r>
      <w:r>
        <w:rPr>
          <w:rFonts w:hint="eastAsia" w:ascii="宋体" w:hAnsi="宋体"/>
          <w:color w:val="auto"/>
          <w:spacing w:val="-93"/>
          <w:kern w:val="0"/>
          <w:sz w:val="24"/>
          <w:szCs w:val="22"/>
        </w:rPr>
        <w:t xml:space="preserve"> </w:t>
      </w:r>
      <w:r>
        <w:rPr>
          <w:rFonts w:hint="eastAsia" w:ascii="宋体" w:hAnsi="宋体"/>
          <w:color w:val="auto"/>
          <w:kern w:val="0"/>
          <w:sz w:val="24"/>
          <w:szCs w:val="22"/>
        </w:rPr>
        <w:t>民健康，如：</w:t>
      </w:r>
    </w:p>
    <w:p w14:paraId="5CDCB60E">
      <w:pPr>
        <w:kinsoku w:val="0"/>
        <w:overflowPunct w:val="0"/>
        <w:autoSpaceDE w:val="0"/>
        <w:autoSpaceDN w:val="0"/>
        <w:spacing w:before="26"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a. 拌和设备应有较好的密封，或有防尘设备。</w:t>
      </w:r>
    </w:p>
    <w:p w14:paraId="12BADD0A">
      <w:pPr>
        <w:kinsoku w:val="0"/>
        <w:overflowPunct w:val="0"/>
        <w:autoSpaceDE w:val="0"/>
        <w:autoSpaceDN w:val="0"/>
        <w:spacing w:before="66"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b. 施工通道、沥青混凝土拌和站及灰土拌和站应经常进行洒水降尘。</w:t>
      </w:r>
    </w:p>
    <w:p w14:paraId="0ED4D65F">
      <w:pPr>
        <w:kinsoku w:val="0"/>
        <w:overflowPunct w:val="0"/>
        <w:autoSpaceDE w:val="0"/>
        <w:autoSpaceDN w:val="0"/>
        <w:spacing w:before="68"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c. 路面施工应注意保持水分，以免扬尘。</w:t>
      </w:r>
    </w:p>
    <w:p w14:paraId="5C60030E">
      <w:pPr>
        <w:kinsoku w:val="0"/>
        <w:overflowPunct w:val="0"/>
        <w:autoSpaceDE w:val="0"/>
        <w:autoSpaceDN w:val="0"/>
        <w:spacing w:before="68" w:line="240" w:lineRule="auto"/>
        <w:ind w:right="224" w:firstLine="480"/>
        <w:rPr>
          <w:rFonts w:hint="eastAsia" w:ascii="宋体" w:hAnsi="宋体"/>
          <w:color w:val="auto"/>
          <w:kern w:val="0"/>
          <w:sz w:val="24"/>
          <w:szCs w:val="22"/>
        </w:rPr>
      </w:pPr>
      <w:r>
        <w:rPr>
          <w:rFonts w:hint="eastAsia" w:ascii="宋体" w:hAnsi="宋体"/>
          <w:color w:val="auto"/>
          <w:kern w:val="0"/>
          <w:sz w:val="24"/>
          <w:szCs w:val="22"/>
        </w:rPr>
        <w:t>d. 隧道出渣和桥梁钻孔灌注桩施工时排出的泥浆要进行妥善处理，严禁向河流 或农田排放。</w:t>
      </w:r>
    </w:p>
    <w:p w14:paraId="1F583213">
      <w:pPr>
        <w:kinsoku w:val="0"/>
        <w:overflowPunct w:val="0"/>
        <w:autoSpaceDE w:val="0"/>
        <w:autoSpaceDN w:val="0"/>
        <w:spacing w:before="38" w:line="240" w:lineRule="auto"/>
        <w:ind w:right="226" w:firstLine="468"/>
        <w:rPr>
          <w:rFonts w:hint="eastAsia" w:ascii="宋体" w:hAnsi="宋体"/>
          <w:color w:val="auto"/>
          <w:spacing w:val="-3"/>
          <w:kern w:val="0"/>
          <w:sz w:val="24"/>
          <w:szCs w:val="22"/>
        </w:rPr>
      </w:pPr>
      <w:r>
        <w:rPr>
          <w:rFonts w:hint="eastAsia" w:ascii="宋体" w:hAnsi="宋体"/>
          <w:color w:val="auto"/>
          <w:spacing w:val="-3"/>
          <w:kern w:val="0"/>
          <w:sz w:val="24"/>
          <w:szCs w:val="22"/>
        </w:rPr>
        <w:t>（3）采取可靠措施保证原有交通的正常通行，维持沿线村镇的居民饮水、农田</w:t>
      </w:r>
      <w:r>
        <w:rPr>
          <w:rFonts w:hint="eastAsia" w:ascii="宋体" w:hAnsi="宋体"/>
          <w:color w:val="auto"/>
          <w:kern w:val="0"/>
          <w:sz w:val="24"/>
          <w:szCs w:val="22"/>
        </w:rPr>
        <w:t xml:space="preserve"> 灌溉、生产生活用电及通信等管线的正常使用。</w:t>
      </w:r>
    </w:p>
    <w:p w14:paraId="27CBEA4C">
      <w:pPr>
        <w:kinsoku w:val="0"/>
        <w:overflowPunct w:val="0"/>
        <w:autoSpaceDE w:val="0"/>
        <w:autoSpaceDN w:val="0"/>
        <w:spacing w:before="34" w:line="240" w:lineRule="auto"/>
        <w:ind w:right="225" w:firstLine="480"/>
        <w:rPr>
          <w:rFonts w:hint="eastAsia" w:ascii="宋体" w:hAnsi="宋体"/>
          <w:color w:val="auto"/>
          <w:kern w:val="0"/>
          <w:sz w:val="24"/>
          <w:szCs w:val="22"/>
        </w:rPr>
      </w:pPr>
      <w:r>
        <w:rPr>
          <w:rFonts w:hint="eastAsia" w:ascii="宋体" w:hAnsi="宋体"/>
          <w:color w:val="auto"/>
          <w:kern w:val="0"/>
          <w:sz w:val="24"/>
          <w:szCs w:val="22"/>
        </w:rPr>
        <w:t>9.4.8</w:t>
      </w:r>
      <w:r>
        <w:rPr>
          <w:rFonts w:hint="eastAsia" w:ascii="宋体" w:hAnsi="宋体"/>
          <w:color w:val="auto"/>
          <w:spacing w:val="11"/>
          <w:kern w:val="0"/>
          <w:sz w:val="24"/>
          <w:szCs w:val="22"/>
        </w:rPr>
        <w:t xml:space="preserve"> </w:t>
      </w:r>
      <w:r>
        <w:rPr>
          <w:rFonts w:hint="eastAsia" w:ascii="宋体" w:hAnsi="宋体"/>
          <w:color w:val="auto"/>
          <w:spacing w:val="-3"/>
          <w:kern w:val="0"/>
          <w:sz w:val="24"/>
          <w:szCs w:val="22"/>
        </w:rPr>
        <w:t>在整个施工过程中对承包人采取的环境保护措施，发包人有权监</w:t>
      </w:r>
      <w:r>
        <w:rPr>
          <w:rFonts w:hint="eastAsia" w:ascii="宋体" w:hAnsi="宋体"/>
          <w:color w:val="auto"/>
          <w:kern w:val="0"/>
          <w:sz w:val="24"/>
          <w:szCs w:val="22"/>
        </w:rPr>
        <w:t xml:space="preserve"> 督，并向承包人提出整改要求。如果由于承包人未能对其负责的上述事项采取各种</w:t>
      </w:r>
      <w:r>
        <w:rPr>
          <w:rFonts w:hint="eastAsia" w:ascii="宋体" w:hAnsi="宋体"/>
          <w:color w:val="auto"/>
          <w:spacing w:val="-95"/>
          <w:kern w:val="0"/>
          <w:sz w:val="24"/>
          <w:szCs w:val="22"/>
        </w:rPr>
        <w:t xml:space="preserve"> </w:t>
      </w:r>
      <w:r>
        <w:rPr>
          <w:rFonts w:hint="eastAsia" w:ascii="宋体" w:hAnsi="宋体"/>
          <w:color w:val="auto"/>
          <w:kern w:val="0"/>
          <w:sz w:val="24"/>
          <w:szCs w:val="22"/>
        </w:rPr>
        <w:t>必要的措施而导致或发生与此有关的人身伤亡、罚款、索赔、损失补偿、诉讼费用</w:t>
      </w:r>
      <w:r>
        <w:rPr>
          <w:rFonts w:hint="eastAsia" w:ascii="宋体" w:hAnsi="宋体"/>
          <w:color w:val="auto"/>
          <w:spacing w:val="-95"/>
          <w:kern w:val="0"/>
          <w:sz w:val="24"/>
          <w:szCs w:val="22"/>
        </w:rPr>
        <w:t xml:space="preserve"> </w:t>
      </w:r>
      <w:r>
        <w:rPr>
          <w:rFonts w:hint="eastAsia" w:ascii="宋体" w:hAnsi="宋体"/>
          <w:color w:val="auto"/>
          <w:kern w:val="0"/>
          <w:sz w:val="24"/>
          <w:szCs w:val="22"/>
        </w:rPr>
        <w:t>及其他一切责任应由承包人负责。</w:t>
      </w:r>
    </w:p>
    <w:p w14:paraId="585ECF74">
      <w:pPr>
        <w:kinsoku w:val="0"/>
        <w:overflowPunct w:val="0"/>
        <w:autoSpaceDE w:val="0"/>
        <w:autoSpaceDN w:val="0"/>
        <w:spacing w:before="26" w:line="240" w:lineRule="auto"/>
        <w:ind w:right="222" w:firstLine="480"/>
        <w:rPr>
          <w:rFonts w:hint="eastAsia" w:ascii="宋体" w:hAnsi="宋体"/>
          <w:color w:val="auto"/>
          <w:kern w:val="0"/>
          <w:sz w:val="24"/>
          <w:szCs w:val="22"/>
        </w:rPr>
      </w:pPr>
      <w:r>
        <w:rPr>
          <w:rFonts w:hint="eastAsia" w:ascii="宋体" w:hAnsi="宋体"/>
          <w:color w:val="auto"/>
          <w:kern w:val="0"/>
          <w:sz w:val="24"/>
          <w:szCs w:val="22"/>
        </w:rPr>
        <w:t>9.4.9</w:t>
      </w:r>
      <w:r>
        <w:rPr>
          <w:rFonts w:hint="eastAsia" w:ascii="宋体" w:hAnsi="宋体"/>
          <w:color w:val="auto"/>
          <w:spacing w:val="-22"/>
          <w:kern w:val="0"/>
          <w:sz w:val="24"/>
          <w:szCs w:val="22"/>
        </w:rPr>
        <w:t xml:space="preserve"> </w:t>
      </w:r>
      <w:r>
        <w:rPr>
          <w:rFonts w:hint="eastAsia" w:ascii="宋体" w:hAnsi="宋体"/>
          <w:color w:val="auto"/>
          <w:kern w:val="0"/>
          <w:sz w:val="24"/>
          <w:szCs w:val="22"/>
        </w:rPr>
        <w:t>在施工期间，承包人应随时保持现场整洁，施工设备和材料、工程设备应 整齐妥善存放和储存，废料与垃圾及不再需要的临时设施应及时从现场清除、拆除</w:t>
      </w:r>
      <w:r>
        <w:rPr>
          <w:rFonts w:hint="eastAsia" w:ascii="宋体" w:hAnsi="宋体"/>
          <w:color w:val="auto"/>
          <w:spacing w:val="-92"/>
          <w:kern w:val="0"/>
          <w:sz w:val="24"/>
          <w:szCs w:val="22"/>
        </w:rPr>
        <w:t xml:space="preserve"> </w:t>
      </w:r>
      <w:r>
        <w:rPr>
          <w:rFonts w:hint="eastAsia" w:ascii="宋体" w:hAnsi="宋体"/>
          <w:color w:val="auto"/>
          <w:kern w:val="0"/>
          <w:sz w:val="24"/>
          <w:szCs w:val="22"/>
        </w:rPr>
        <w:t>并运走。</w:t>
      </w:r>
    </w:p>
    <w:p w14:paraId="7D28411E">
      <w:pPr>
        <w:kinsoku w:val="0"/>
        <w:overflowPunct w:val="0"/>
        <w:autoSpaceDE w:val="0"/>
        <w:autoSpaceDN w:val="0"/>
        <w:spacing w:before="29" w:line="240" w:lineRule="auto"/>
        <w:ind w:right="227" w:firstLine="480"/>
        <w:rPr>
          <w:rFonts w:hint="eastAsia" w:ascii="宋体" w:hAnsi="宋体"/>
          <w:color w:val="auto"/>
          <w:kern w:val="0"/>
          <w:sz w:val="24"/>
          <w:szCs w:val="22"/>
        </w:rPr>
      </w:pPr>
      <w:r>
        <w:rPr>
          <w:rFonts w:hint="eastAsia" w:ascii="宋体" w:hAnsi="宋体"/>
          <w:color w:val="auto"/>
          <w:kern w:val="0"/>
          <w:sz w:val="24"/>
          <w:szCs w:val="22"/>
        </w:rPr>
        <w:t>9.4.10</w:t>
      </w:r>
      <w:r>
        <w:rPr>
          <w:rFonts w:hint="eastAsia" w:ascii="宋体" w:hAnsi="宋体"/>
          <w:color w:val="auto"/>
          <w:spacing w:val="25"/>
          <w:kern w:val="0"/>
          <w:sz w:val="24"/>
          <w:szCs w:val="22"/>
        </w:rPr>
        <w:t xml:space="preserve"> </w:t>
      </w:r>
      <w:r>
        <w:rPr>
          <w:rFonts w:hint="eastAsia" w:ascii="宋体" w:hAnsi="宋体"/>
          <w:color w:val="auto"/>
          <w:kern w:val="0"/>
          <w:sz w:val="24"/>
          <w:szCs w:val="22"/>
        </w:rPr>
        <w:t>在施工期间，承包人应严格遵守《关于在公路建设中实行最严格的耕地 保护制度的若干意见》的相关规定，规范用地、科学用地、合理用地和节约用地。</w:t>
      </w:r>
      <w:r>
        <w:rPr>
          <w:rFonts w:hint="eastAsia" w:ascii="宋体" w:hAnsi="宋体"/>
          <w:color w:val="auto"/>
          <w:spacing w:val="-94"/>
          <w:kern w:val="0"/>
          <w:sz w:val="24"/>
          <w:szCs w:val="22"/>
        </w:rPr>
        <w:t xml:space="preserve"> </w:t>
      </w:r>
      <w:r>
        <w:rPr>
          <w:rFonts w:hint="eastAsia" w:ascii="宋体" w:hAnsi="宋体"/>
          <w:color w:val="auto"/>
          <w:kern w:val="0"/>
          <w:sz w:val="24"/>
          <w:szCs w:val="22"/>
        </w:rPr>
        <w:t>承包人应合理利用所占耕地地表的耕作层，用于重新造地；合理设置取土坑和弃土</w:t>
      </w:r>
      <w:r>
        <w:rPr>
          <w:rFonts w:hint="eastAsia" w:ascii="宋体" w:hAnsi="宋体"/>
          <w:color w:val="auto"/>
          <w:spacing w:val="-95"/>
          <w:kern w:val="0"/>
          <w:sz w:val="24"/>
          <w:szCs w:val="22"/>
        </w:rPr>
        <w:t xml:space="preserve"> </w:t>
      </w:r>
      <w:r>
        <w:rPr>
          <w:rFonts w:hint="eastAsia" w:ascii="宋体" w:hAnsi="宋体"/>
          <w:color w:val="auto"/>
          <w:kern w:val="0"/>
          <w:sz w:val="24"/>
          <w:szCs w:val="22"/>
        </w:rPr>
        <w:t>场，取土坑和弃土场的施工防护要符合要求，防止水土流失。承包人应严格控制临</w:t>
      </w:r>
      <w:r>
        <w:rPr>
          <w:rFonts w:hint="eastAsia" w:ascii="宋体" w:hAnsi="宋体"/>
          <w:color w:val="auto"/>
          <w:spacing w:val="-91"/>
          <w:kern w:val="0"/>
          <w:sz w:val="24"/>
          <w:szCs w:val="22"/>
        </w:rPr>
        <w:t xml:space="preserve"> </w:t>
      </w:r>
      <w:r>
        <w:rPr>
          <w:rFonts w:hint="eastAsia" w:ascii="宋体" w:hAnsi="宋体"/>
          <w:color w:val="auto"/>
          <w:kern w:val="0"/>
          <w:sz w:val="24"/>
          <w:szCs w:val="22"/>
        </w:rPr>
        <w:t>时占地数量，施工便道、各种料场、预制场要根据工程进度统筹考虑，尽可能设置</w:t>
      </w:r>
      <w:r>
        <w:rPr>
          <w:rFonts w:hint="eastAsia" w:ascii="宋体" w:hAnsi="宋体"/>
          <w:color w:val="auto"/>
          <w:spacing w:val="-95"/>
          <w:kern w:val="0"/>
          <w:sz w:val="24"/>
          <w:szCs w:val="22"/>
        </w:rPr>
        <w:t xml:space="preserve"> </w:t>
      </w:r>
      <w:r>
        <w:rPr>
          <w:rFonts w:hint="eastAsia" w:ascii="宋体" w:hAnsi="宋体"/>
          <w:color w:val="auto"/>
          <w:kern w:val="0"/>
          <w:sz w:val="24"/>
          <w:szCs w:val="22"/>
        </w:rPr>
        <w:t>在公路用地范围内或利用荒坡、废弃地解决，不得占用农田。施工过程中要采取有</w:t>
      </w:r>
      <w:r>
        <w:rPr>
          <w:rFonts w:hint="eastAsia" w:ascii="宋体" w:hAnsi="宋体"/>
          <w:color w:val="auto"/>
          <w:spacing w:val="-95"/>
          <w:kern w:val="0"/>
          <w:sz w:val="24"/>
          <w:szCs w:val="22"/>
        </w:rPr>
        <w:t xml:space="preserve"> </w:t>
      </w:r>
      <w:r>
        <w:rPr>
          <w:rFonts w:hint="eastAsia" w:ascii="宋体" w:hAnsi="宋体"/>
          <w:color w:val="auto"/>
          <w:kern w:val="0"/>
          <w:sz w:val="24"/>
          <w:szCs w:val="22"/>
        </w:rPr>
        <w:t>效措施防止污染农田，项目完工后承包人应将临时占地自费恢复到临时占地使用前</w:t>
      </w:r>
      <w:r>
        <w:rPr>
          <w:rFonts w:hint="eastAsia" w:ascii="宋体" w:hAnsi="宋体"/>
          <w:color w:val="auto"/>
          <w:spacing w:val="-91"/>
          <w:kern w:val="0"/>
          <w:sz w:val="24"/>
          <w:szCs w:val="22"/>
        </w:rPr>
        <w:t xml:space="preserve"> </w:t>
      </w:r>
      <w:r>
        <w:rPr>
          <w:rFonts w:hint="eastAsia" w:ascii="宋体" w:hAnsi="宋体"/>
          <w:color w:val="auto"/>
          <w:kern w:val="0"/>
          <w:sz w:val="24"/>
          <w:szCs w:val="22"/>
        </w:rPr>
        <w:t>的状况。</w:t>
      </w:r>
    </w:p>
    <w:p w14:paraId="783A8177">
      <w:pPr>
        <w:kinsoku w:val="0"/>
        <w:overflowPunct w:val="0"/>
        <w:autoSpaceDE w:val="0"/>
        <w:autoSpaceDN w:val="0"/>
        <w:spacing w:before="22"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9.4.11</w:t>
      </w:r>
      <w:r>
        <w:rPr>
          <w:rFonts w:hint="eastAsia" w:ascii="宋体" w:hAnsi="宋体"/>
          <w:color w:val="auto"/>
          <w:spacing w:val="16"/>
          <w:kern w:val="0"/>
          <w:sz w:val="24"/>
          <w:szCs w:val="22"/>
        </w:rPr>
        <w:t xml:space="preserve"> </w:t>
      </w:r>
      <w:r>
        <w:rPr>
          <w:rFonts w:hint="eastAsia" w:ascii="宋体" w:hAnsi="宋体"/>
          <w:color w:val="auto"/>
          <w:kern w:val="0"/>
          <w:sz w:val="24"/>
          <w:szCs w:val="22"/>
        </w:rPr>
        <w:t>承包人应严格按照国家有关法规要求，做好施工过程中的生态保护和水 土保持工作。施工中要尽可能减少对原地面的扰动，减少对地面草木的破坏，需要</w:t>
      </w:r>
      <w:r>
        <w:rPr>
          <w:rFonts w:hint="eastAsia" w:ascii="宋体" w:hAnsi="宋体"/>
          <w:color w:val="auto"/>
          <w:spacing w:val="-95"/>
          <w:kern w:val="0"/>
          <w:sz w:val="24"/>
          <w:szCs w:val="22"/>
        </w:rPr>
        <w:t xml:space="preserve"> </w:t>
      </w:r>
      <w:r>
        <w:rPr>
          <w:rFonts w:hint="eastAsia" w:ascii="宋体" w:hAnsi="宋体"/>
          <w:color w:val="auto"/>
          <w:kern w:val="0"/>
          <w:sz w:val="24"/>
          <w:szCs w:val="22"/>
        </w:rPr>
        <w:t>爆破作业的，应按规定进行控爆设计。雨季填筑路基应随挖、随运、随填、随压，</w:t>
      </w:r>
      <w:r>
        <w:rPr>
          <w:rFonts w:hint="eastAsia" w:ascii="宋体" w:hAnsi="宋体"/>
          <w:color w:val="auto"/>
          <w:spacing w:val="-95"/>
          <w:kern w:val="0"/>
          <w:sz w:val="24"/>
          <w:szCs w:val="22"/>
        </w:rPr>
        <w:t xml:space="preserve"> </w:t>
      </w:r>
      <w:r>
        <w:rPr>
          <w:rFonts w:hint="eastAsia" w:ascii="宋体" w:hAnsi="宋体"/>
          <w:color w:val="auto"/>
          <w:spacing w:val="-3"/>
          <w:kern w:val="0"/>
          <w:sz w:val="24"/>
          <w:szCs w:val="22"/>
        </w:rPr>
        <w:t>要完善施工中的临时排水系统，加强施工便道的管理。取（弃）土场必须先挡后弃，</w:t>
      </w:r>
      <w:r>
        <w:rPr>
          <w:rFonts w:hint="eastAsia" w:ascii="宋体" w:hAnsi="宋体"/>
          <w:color w:val="auto"/>
          <w:spacing w:val="-95"/>
          <w:kern w:val="0"/>
          <w:sz w:val="24"/>
          <w:szCs w:val="22"/>
        </w:rPr>
        <w:t xml:space="preserve"> </w:t>
      </w:r>
      <w:r>
        <w:rPr>
          <w:rFonts w:hint="eastAsia" w:ascii="宋体" w:hAnsi="宋体"/>
          <w:color w:val="auto"/>
          <w:kern w:val="0"/>
          <w:sz w:val="24"/>
          <w:szCs w:val="22"/>
        </w:rPr>
        <w:t>严禁在指定的取（弃）土场以外的地方乱挖乱弃。</w:t>
      </w:r>
    </w:p>
    <w:p w14:paraId="17D37D38">
      <w:pPr>
        <w:kinsoku w:val="0"/>
        <w:overflowPunct w:val="0"/>
        <w:autoSpaceDE w:val="0"/>
        <w:autoSpaceDN w:val="0"/>
        <w:spacing w:line="240" w:lineRule="auto"/>
        <w:ind w:left="144"/>
        <w:jc w:val="left"/>
        <w:rPr>
          <w:rFonts w:hint="eastAsia" w:ascii="宋体" w:hAnsi="宋体"/>
          <w:color w:val="auto"/>
          <w:kern w:val="0"/>
          <w:sz w:val="28"/>
          <w:szCs w:val="28"/>
        </w:rPr>
      </w:pPr>
      <w:bookmarkStart w:id="78" w:name="bookmark194"/>
      <w:bookmarkEnd w:id="78"/>
      <w:r>
        <w:rPr>
          <w:rFonts w:hint="eastAsia" w:ascii="宋体" w:hAnsi="宋体"/>
          <w:color w:val="auto"/>
          <w:kern w:val="0"/>
          <w:sz w:val="28"/>
          <w:szCs w:val="28"/>
        </w:rPr>
        <w:t>10.  进度计划</w:t>
      </w:r>
    </w:p>
    <w:p w14:paraId="6A6FAB4C">
      <w:pPr>
        <w:kinsoku w:val="0"/>
        <w:overflowPunct w:val="0"/>
        <w:autoSpaceDE w:val="0"/>
        <w:autoSpaceDN w:val="0"/>
        <w:spacing w:line="240" w:lineRule="auto"/>
        <w:ind w:left="144"/>
        <w:jc w:val="left"/>
        <w:rPr>
          <w:rFonts w:hint="eastAsia" w:ascii="宋体" w:hAnsi="宋体"/>
          <w:color w:val="auto"/>
          <w:kern w:val="0"/>
          <w:sz w:val="24"/>
          <w:szCs w:val="22"/>
        </w:rPr>
      </w:pPr>
      <w:bookmarkStart w:id="79" w:name="bookmark195"/>
      <w:bookmarkEnd w:id="79"/>
      <w:r>
        <w:rPr>
          <w:rFonts w:hint="eastAsia" w:ascii="宋体" w:hAnsi="宋体"/>
          <w:color w:val="auto"/>
          <w:kern w:val="0"/>
          <w:sz w:val="24"/>
          <w:szCs w:val="22"/>
        </w:rPr>
        <w:t>10.1</w:t>
      </w:r>
      <w:r>
        <w:rPr>
          <w:rFonts w:hint="eastAsia" w:ascii="宋体" w:hAnsi="宋体"/>
          <w:color w:val="auto"/>
          <w:spacing w:val="59"/>
          <w:kern w:val="0"/>
          <w:sz w:val="24"/>
          <w:szCs w:val="22"/>
        </w:rPr>
        <w:t xml:space="preserve"> </w:t>
      </w:r>
      <w:r>
        <w:rPr>
          <w:rFonts w:hint="eastAsia" w:ascii="宋体" w:hAnsi="宋体"/>
          <w:color w:val="auto"/>
          <w:kern w:val="0"/>
          <w:sz w:val="24"/>
          <w:szCs w:val="22"/>
        </w:rPr>
        <w:t>合同进度计划</w:t>
      </w:r>
    </w:p>
    <w:p w14:paraId="6789717C">
      <w:pPr>
        <w:kinsoku w:val="0"/>
        <w:overflowPunct w:val="0"/>
        <w:autoSpaceDE w:val="0"/>
        <w:autoSpaceDN w:val="0"/>
        <w:spacing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本款补充：承包人编制施工方案说明的内容见项目专用合同条款。</w:t>
      </w:r>
    </w:p>
    <w:p w14:paraId="0EF52DFD">
      <w:pPr>
        <w:kinsoku w:val="0"/>
        <w:overflowPunct w:val="0"/>
        <w:autoSpaceDE w:val="0"/>
        <w:autoSpaceDN w:val="0"/>
        <w:spacing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承包人向</w:t>
      </w:r>
      <w:r>
        <w:rPr>
          <w:rFonts w:hint="eastAsia" w:ascii="宋体" w:hAnsi="宋体"/>
          <w:color w:val="auto"/>
          <w:kern w:val="0"/>
          <w:sz w:val="24"/>
          <w:szCs w:val="22"/>
          <w:lang w:val="en-US" w:eastAsia="zh-CN"/>
        </w:rPr>
        <w:t>发包</w:t>
      </w:r>
      <w:r>
        <w:rPr>
          <w:rFonts w:hint="eastAsia" w:ascii="宋体" w:hAnsi="宋体"/>
          <w:color w:val="auto"/>
          <w:kern w:val="0"/>
          <w:sz w:val="24"/>
          <w:szCs w:val="22"/>
        </w:rPr>
        <w:t>人报送施工进度计划和施工方案说明的期限：签订合同协议书后28 天之内。</w:t>
      </w:r>
    </w:p>
    <w:p w14:paraId="096C06BD">
      <w:pPr>
        <w:kinsoku w:val="0"/>
        <w:overflowPunct w:val="0"/>
        <w:autoSpaceDE w:val="0"/>
        <w:autoSpaceDN w:val="0"/>
        <w:spacing w:before="66" w:line="240" w:lineRule="auto"/>
        <w:ind w:right="29" w:firstLine="480"/>
        <w:jc w:val="left"/>
        <w:rPr>
          <w:rFonts w:hint="eastAsia" w:ascii="宋体" w:hAnsi="宋体"/>
          <w:color w:val="auto"/>
          <w:kern w:val="0"/>
          <w:sz w:val="24"/>
          <w:szCs w:val="22"/>
        </w:rPr>
      </w:pPr>
      <w:r>
        <w:rPr>
          <w:rFonts w:hint="eastAsia" w:ascii="宋体" w:hAnsi="宋体"/>
          <w:color w:val="auto"/>
          <w:kern w:val="0"/>
          <w:sz w:val="24"/>
          <w:szCs w:val="22"/>
          <w:lang w:val="en-US" w:eastAsia="zh-CN"/>
        </w:rPr>
        <w:t>发包</w:t>
      </w:r>
      <w:r>
        <w:rPr>
          <w:rFonts w:hint="eastAsia" w:ascii="宋体" w:hAnsi="宋体"/>
          <w:color w:val="auto"/>
          <w:kern w:val="0"/>
          <w:sz w:val="24"/>
          <w:szCs w:val="22"/>
        </w:rPr>
        <w:t>人应在 14</w:t>
      </w:r>
      <w:r>
        <w:rPr>
          <w:rFonts w:hint="eastAsia" w:ascii="宋体" w:hAnsi="宋体"/>
          <w:color w:val="auto"/>
          <w:spacing w:val="29"/>
          <w:kern w:val="0"/>
          <w:sz w:val="24"/>
          <w:szCs w:val="22"/>
        </w:rPr>
        <w:t xml:space="preserve"> </w:t>
      </w:r>
      <w:r>
        <w:rPr>
          <w:rFonts w:hint="eastAsia" w:ascii="宋体" w:hAnsi="宋体"/>
          <w:color w:val="auto"/>
          <w:kern w:val="0"/>
          <w:sz w:val="24"/>
          <w:szCs w:val="22"/>
        </w:rPr>
        <w:t>天内对承包人施工进度计划和施工方案说明予以批复或提出修 改意见。</w:t>
      </w:r>
    </w:p>
    <w:p w14:paraId="42C1C2B0">
      <w:pPr>
        <w:kinsoku w:val="0"/>
        <w:overflowPunct w:val="0"/>
        <w:autoSpaceDE w:val="0"/>
        <w:autoSpaceDN w:val="0"/>
        <w:spacing w:before="36" w:line="240" w:lineRule="auto"/>
        <w:ind w:right="29" w:firstLine="480"/>
        <w:jc w:val="left"/>
        <w:rPr>
          <w:rFonts w:hint="eastAsia" w:ascii="宋体" w:hAnsi="宋体"/>
          <w:color w:val="auto"/>
          <w:kern w:val="0"/>
          <w:sz w:val="24"/>
          <w:szCs w:val="22"/>
        </w:rPr>
      </w:pPr>
      <w:r>
        <w:rPr>
          <w:rFonts w:hint="eastAsia" w:ascii="宋体" w:hAnsi="宋体"/>
          <w:color w:val="auto"/>
          <w:kern w:val="0"/>
          <w:sz w:val="24"/>
          <w:szCs w:val="22"/>
        </w:rPr>
        <w:t>合同进度计划应按照关键线路网络图和主要工作横道图两种形式分别编绘，并 应包括每月预计完成的工作量和形象进度。</w:t>
      </w:r>
    </w:p>
    <w:p w14:paraId="11B8A4E2">
      <w:pPr>
        <w:kinsoku w:val="0"/>
        <w:overflowPunct w:val="0"/>
        <w:autoSpaceDE w:val="0"/>
        <w:autoSpaceDN w:val="0"/>
        <w:spacing w:line="240" w:lineRule="auto"/>
        <w:rPr>
          <w:rFonts w:hint="eastAsia" w:ascii="宋体" w:hAnsi="宋体"/>
          <w:color w:val="auto"/>
          <w:kern w:val="0"/>
          <w:sz w:val="24"/>
          <w:szCs w:val="22"/>
        </w:rPr>
      </w:pPr>
      <w:bookmarkStart w:id="80" w:name="bookmark196"/>
      <w:bookmarkEnd w:id="80"/>
      <w:r>
        <w:rPr>
          <w:rFonts w:hint="eastAsia" w:ascii="宋体" w:hAnsi="宋体"/>
          <w:color w:val="auto"/>
          <w:kern w:val="0"/>
          <w:sz w:val="24"/>
          <w:szCs w:val="22"/>
        </w:rPr>
        <w:t>10.2</w:t>
      </w:r>
      <w:r>
        <w:rPr>
          <w:rFonts w:hint="eastAsia" w:ascii="宋体" w:hAnsi="宋体"/>
          <w:color w:val="auto"/>
          <w:spacing w:val="59"/>
          <w:kern w:val="0"/>
          <w:sz w:val="24"/>
          <w:szCs w:val="22"/>
        </w:rPr>
        <w:t xml:space="preserve"> </w:t>
      </w:r>
      <w:r>
        <w:rPr>
          <w:rFonts w:hint="eastAsia" w:ascii="宋体" w:hAnsi="宋体"/>
          <w:color w:val="auto"/>
          <w:kern w:val="0"/>
          <w:sz w:val="24"/>
          <w:szCs w:val="22"/>
        </w:rPr>
        <w:t>合同进度计划的修订</w:t>
      </w:r>
    </w:p>
    <w:p w14:paraId="622276D5">
      <w:pPr>
        <w:kinsoku w:val="0"/>
        <w:overflowPunct w:val="0"/>
        <w:autoSpaceDE w:val="0"/>
        <w:autoSpaceDN w:val="0"/>
        <w:spacing w:line="240" w:lineRule="auto"/>
        <w:ind w:right="29" w:firstLine="480"/>
        <w:jc w:val="left"/>
        <w:rPr>
          <w:rFonts w:hint="eastAsia" w:ascii="宋体" w:hAnsi="宋体"/>
          <w:color w:val="auto"/>
          <w:kern w:val="0"/>
          <w:sz w:val="24"/>
          <w:szCs w:val="22"/>
        </w:rPr>
      </w:pPr>
      <w:r>
        <w:rPr>
          <w:rFonts w:hint="eastAsia" w:ascii="宋体" w:hAnsi="宋体"/>
          <w:color w:val="auto"/>
          <w:kern w:val="0"/>
          <w:sz w:val="24"/>
          <w:szCs w:val="22"/>
        </w:rPr>
        <w:t xml:space="preserve">本款补充： </w:t>
      </w:r>
      <w:r>
        <w:rPr>
          <w:rFonts w:hint="eastAsia" w:ascii="宋体" w:hAnsi="宋体"/>
          <w:color w:val="auto"/>
          <w:spacing w:val="-4"/>
          <w:kern w:val="0"/>
          <w:sz w:val="24"/>
          <w:szCs w:val="22"/>
        </w:rPr>
        <w:t>承包人提交合同进度计划修订申请报告，并附有关措施和相关资料的期限：实际</w:t>
      </w:r>
      <w:r>
        <w:rPr>
          <w:rFonts w:hint="eastAsia" w:ascii="宋体" w:hAnsi="宋体"/>
          <w:color w:val="auto"/>
          <w:kern w:val="0"/>
          <w:sz w:val="24"/>
          <w:szCs w:val="22"/>
        </w:rPr>
        <w:t>进度发生滞后的当月</w:t>
      </w:r>
      <w:r>
        <w:rPr>
          <w:rFonts w:hint="eastAsia" w:ascii="宋体" w:hAnsi="宋体"/>
          <w:color w:val="auto"/>
          <w:spacing w:val="-60"/>
          <w:kern w:val="0"/>
          <w:sz w:val="24"/>
          <w:szCs w:val="22"/>
        </w:rPr>
        <w:t xml:space="preserve"> </w:t>
      </w:r>
      <w:r>
        <w:rPr>
          <w:rFonts w:hint="eastAsia" w:ascii="宋体" w:hAnsi="宋体"/>
          <w:color w:val="auto"/>
          <w:kern w:val="0"/>
          <w:sz w:val="24"/>
          <w:szCs w:val="22"/>
        </w:rPr>
        <w:t>25 日前。</w:t>
      </w:r>
    </w:p>
    <w:p w14:paraId="008C0B1C">
      <w:pPr>
        <w:kinsoku w:val="0"/>
        <w:overflowPunct w:val="0"/>
        <w:autoSpaceDE w:val="0"/>
        <w:autoSpaceDN w:val="0"/>
        <w:spacing w:line="240" w:lineRule="auto"/>
        <w:ind w:right="29" w:firstLine="480"/>
        <w:jc w:val="left"/>
        <w:rPr>
          <w:rFonts w:hint="eastAsia" w:ascii="宋体" w:hAnsi="宋体"/>
          <w:color w:val="auto"/>
          <w:kern w:val="0"/>
          <w:sz w:val="24"/>
          <w:szCs w:val="22"/>
        </w:rPr>
      </w:pPr>
      <w:r>
        <w:rPr>
          <w:rFonts w:hint="eastAsia" w:ascii="宋体" w:hAnsi="宋体"/>
          <w:color w:val="auto"/>
          <w:kern w:val="0"/>
          <w:sz w:val="24"/>
          <w:szCs w:val="22"/>
          <w:lang w:val="en-US" w:eastAsia="zh-CN"/>
        </w:rPr>
        <w:t>发包人</w:t>
      </w:r>
      <w:r>
        <w:rPr>
          <w:rFonts w:hint="eastAsia" w:ascii="宋体" w:hAnsi="宋体"/>
          <w:color w:val="auto"/>
          <w:kern w:val="0"/>
          <w:sz w:val="24"/>
          <w:szCs w:val="22"/>
        </w:rPr>
        <w:t>批复修订合同进度计划的期限：收到修订合同进度计划后</w:t>
      </w:r>
      <w:r>
        <w:rPr>
          <w:rFonts w:hint="eastAsia" w:ascii="宋体" w:hAnsi="宋体"/>
          <w:color w:val="auto"/>
          <w:spacing w:val="-59"/>
          <w:kern w:val="0"/>
          <w:sz w:val="24"/>
          <w:szCs w:val="22"/>
        </w:rPr>
        <w:t xml:space="preserve"> </w:t>
      </w:r>
      <w:r>
        <w:rPr>
          <w:rFonts w:hint="eastAsia" w:ascii="宋体" w:hAnsi="宋体"/>
          <w:color w:val="auto"/>
          <w:kern w:val="0"/>
          <w:sz w:val="24"/>
          <w:szCs w:val="22"/>
        </w:rPr>
        <w:t>14 天内。</w:t>
      </w:r>
    </w:p>
    <w:p w14:paraId="0363BF0B">
      <w:pPr>
        <w:kinsoku w:val="0"/>
        <w:overflowPunct w:val="0"/>
        <w:autoSpaceDE w:val="0"/>
        <w:autoSpaceDN w:val="0"/>
        <w:spacing w:line="240" w:lineRule="auto"/>
        <w:ind w:right="29" w:firstLine="480"/>
        <w:jc w:val="left"/>
        <w:rPr>
          <w:rFonts w:hint="eastAsia" w:ascii="宋体" w:hAnsi="宋体"/>
          <w:color w:val="auto"/>
          <w:kern w:val="0"/>
          <w:sz w:val="24"/>
          <w:szCs w:val="22"/>
        </w:rPr>
      </w:pPr>
      <w:r>
        <w:rPr>
          <w:rFonts w:hint="eastAsia" w:ascii="宋体" w:hAnsi="宋体"/>
          <w:color w:val="auto"/>
          <w:kern w:val="0"/>
          <w:sz w:val="24"/>
          <w:szCs w:val="22"/>
        </w:rPr>
        <w:t>本条补充第</w:t>
      </w:r>
      <w:r>
        <w:rPr>
          <w:rFonts w:hint="eastAsia" w:ascii="宋体" w:hAnsi="宋体"/>
          <w:color w:val="auto"/>
          <w:spacing w:val="-61"/>
          <w:kern w:val="0"/>
          <w:sz w:val="24"/>
          <w:szCs w:val="22"/>
        </w:rPr>
        <w:t xml:space="preserve"> </w:t>
      </w:r>
      <w:r>
        <w:rPr>
          <w:rFonts w:hint="eastAsia" w:ascii="宋体" w:hAnsi="宋体"/>
          <w:color w:val="auto"/>
          <w:kern w:val="0"/>
          <w:sz w:val="24"/>
          <w:szCs w:val="22"/>
        </w:rPr>
        <w:t>10.3</w:t>
      </w:r>
      <w:r>
        <w:rPr>
          <w:rFonts w:hint="eastAsia" w:ascii="宋体" w:hAnsi="宋体"/>
          <w:color w:val="auto"/>
          <w:spacing w:val="-1"/>
          <w:kern w:val="0"/>
          <w:sz w:val="24"/>
          <w:szCs w:val="22"/>
        </w:rPr>
        <w:t xml:space="preserve"> </w:t>
      </w:r>
      <w:r>
        <w:rPr>
          <w:rFonts w:hint="eastAsia" w:ascii="宋体" w:hAnsi="宋体"/>
          <w:color w:val="auto"/>
          <w:kern w:val="0"/>
          <w:sz w:val="24"/>
          <w:szCs w:val="22"/>
        </w:rPr>
        <w:t>款、第</w:t>
      </w:r>
      <w:r>
        <w:rPr>
          <w:rFonts w:hint="eastAsia" w:ascii="宋体" w:hAnsi="宋体"/>
          <w:color w:val="auto"/>
          <w:spacing w:val="-61"/>
          <w:kern w:val="0"/>
          <w:sz w:val="24"/>
          <w:szCs w:val="22"/>
        </w:rPr>
        <w:t xml:space="preserve"> </w:t>
      </w:r>
      <w:r>
        <w:rPr>
          <w:rFonts w:hint="eastAsia" w:ascii="宋体" w:hAnsi="宋体"/>
          <w:color w:val="auto"/>
          <w:kern w:val="0"/>
          <w:sz w:val="24"/>
          <w:szCs w:val="22"/>
        </w:rPr>
        <w:t>10.4</w:t>
      </w:r>
      <w:r>
        <w:rPr>
          <w:rFonts w:hint="eastAsia" w:ascii="宋体" w:hAnsi="宋体"/>
          <w:color w:val="auto"/>
          <w:spacing w:val="-1"/>
          <w:kern w:val="0"/>
          <w:sz w:val="24"/>
          <w:szCs w:val="22"/>
        </w:rPr>
        <w:t xml:space="preserve"> </w:t>
      </w:r>
      <w:r>
        <w:rPr>
          <w:rFonts w:hint="eastAsia" w:ascii="宋体" w:hAnsi="宋体"/>
          <w:color w:val="auto"/>
          <w:kern w:val="0"/>
          <w:sz w:val="24"/>
          <w:szCs w:val="22"/>
        </w:rPr>
        <w:t>款：</w:t>
      </w:r>
    </w:p>
    <w:p w14:paraId="031871FB">
      <w:pPr>
        <w:kinsoku w:val="0"/>
        <w:overflowPunct w:val="0"/>
        <w:autoSpaceDE w:val="0"/>
        <w:autoSpaceDN w:val="0"/>
        <w:spacing w:line="240" w:lineRule="auto"/>
        <w:rPr>
          <w:rFonts w:hint="eastAsia" w:ascii="宋体" w:hAnsi="宋体"/>
          <w:color w:val="auto"/>
          <w:kern w:val="0"/>
          <w:sz w:val="24"/>
          <w:szCs w:val="22"/>
        </w:rPr>
      </w:pPr>
      <w:r>
        <w:rPr>
          <w:rFonts w:hint="eastAsia" w:ascii="宋体" w:hAnsi="宋体"/>
          <w:color w:val="auto"/>
          <w:kern w:val="0"/>
          <w:sz w:val="24"/>
          <w:szCs w:val="22"/>
        </w:rPr>
        <w:t>10.3</w:t>
      </w:r>
      <w:r>
        <w:rPr>
          <w:rFonts w:hint="eastAsia" w:ascii="宋体" w:hAnsi="宋体"/>
          <w:color w:val="auto"/>
          <w:spacing w:val="59"/>
          <w:kern w:val="0"/>
          <w:sz w:val="24"/>
          <w:szCs w:val="22"/>
        </w:rPr>
        <w:t xml:space="preserve"> </w:t>
      </w:r>
      <w:r>
        <w:rPr>
          <w:rFonts w:hint="eastAsia" w:ascii="宋体" w:hAnsi="宋体"/>
          <w:color w:val="auto"/>
          <w:kern w:val="0"/>
          <w:sz w:val="24"/>
          <w:szCs w:val="22"/>
        </w:rPr>
        <w:t>合同用款计划</w:t>
      </w:r>
    </w:p>
    <w:p w14:paraId="2992857F">
      <w:pPr>
        <w:kinsoku w:val="0"/>
        <w:overflowPunct w:val="0"/>
        <w:autoSpaceDE w:val="0"/>
        <w:autoSpaceDN w:val="0"/>
        <w:spacing w:line="240" w:lineRule="auto"/>
        <w:ind w:firstLine="480"/>
        <w:rPr>
          <w:rFonts w:hint="eastAsia" w:ascii="宋体" w:hAnsi="宋体"/>
          <w:color w:val="auto"/>
          <w:kern w:val="0"/>
          <w:sz w:val="24"/>
          <w:szCs w:val="22"/>
        </w:rPr>
      </w:pPr>
      <w:r>
        <w:rPr>
          <w:rFonts w:hint="eastAsia" w:ascii="宋体" w:hAnsi="宋体"/>
          <w:color w:val="auto"/>
          <w:kern w:val="0"/>
          <w:sz w:val="24"/>
          <w:szCs w:val="22"/>
        </w:rPr>
        <w:t>承包人应在签订本合同协议书后</w:t>
      </w:r>
      <w:r>
        <w:rPr>
          <w:rFonts w:hint="eastAsia" w:ascii="宋体" w:hAnsi="宋体"/>
          <w:color w:val="auto"/>
          <w:spacing w:val="-57"/>
          <w:kern w:val="0"/>
          <w:sz w:val="24"/>
          <w:szCs w:val="22"/>
        </w:rPr>
        <w:t xml:space="preserve"> </w:t>
      </w:r>
      <w:r>
        <w:rPr>
          <w:rFonts w:hint="eastAsia" w:ascii="宋体" w:hAnsi="宋体"/>
          <w:color w:val="auto"/>
          <w:kern w:val="0"/>
          <w:sz w:val="24"/>
          <w:szCs w:val="22"/>
        </w:rPr>
        <w:t>28</w:t>
      </w:r>
      <w:r>
        <w:rPr>
          <w:rFonts w:hint="eastAsia" w:ascii="宋体" w:hAnsi="宋体"/>
          <w:color w:val="auto"/>
          <w:spacing w:val="2"/>
          <w:kern w:val="0"/>
          <w:sz w:val="24"/>
          <w:szCs w:val="22"/>
        </w:rPr>
        <w:t xml:space="preserve"> </w:t>
      </w:r>
      <w:r>
        <w:rPr>
          <w:rFonts w:hint="eastAsia" w:ascii="宋体" w:hAnsi="宋体"/>
          <w:color w:val="auto"/>
          <w:kern w:val="0"/>
          <w:sz w:val="24"/>
          <w:szCs w:val="22"/>
        </w:rPr>
        <w:t>天之内，按招标文件中规定的格式，向</w:t>
      </w:r>
      <w:r>
        <w:rPr>
          <w:rFonts w:hint="eastAsia" w:ascii="宋体" w:hAnsi="宋体"/>
          <w:color w:val="auto"/>
          <w:kern w:val="0"/>
          <w:sz w:val="24"/>
          <w:szCs w:val="22"/>
          <w:lang w:val="en-US" w:eastAsia="zh-CN"/>
        </w:rPr>
        <w:t>发包人</w:t>
      </w:r>
      <w:r>
        <w:rPr>
          <w:rFonts w:hint="eastAsia" w:ascii="宋体" w:hAnsi="宋体"/>
          <w:color w:val="auto"/>
          <w:kern w:val="0"/>
          <w:sz w:val="24"/>
          <w:szCs w:val="22"/>
        </w:rPr>
        <w:t>提交 2</w:t>
      </w:r>
      <w:r>
        <w:rPr>
          <w:rFonts w:hint="eastAsia" w:ascii="宋体" w:hAnsi="宋体"/>
          <w:color w:val="auto"/>
          <w:spacing w:val="-27"/>
          <w:kern w:val="0"/>
          <w:sz w:val="24"/>
          <w:szCs w:val="22"/>
        </w:rPr>
        <w:t xml:space="preserve"> </w:t>
      </w:r>
      <w:r>
        <w:rPr>
          <w:rFonts w:hint="eastAsia" w:ascii="宋体" w:hAnsi="宋体"/>
          <w:color w:val="auto"/>
          <w:kern w:val="0"/>
          <w:sz w:val="24"/>
          <w:szCs w:val="22"/>
        </w:rPr>
        <w:t>份按合同规定承包人有权得到支付的详细的季度合同用款计划，以备</w:t>
      </w:r>
      <w:r>
        <w:rPr>
          <w:rFonts w:hint="eastAsia" w:ascii="宋体" w:hAnsi="宋体"/>
          <w:color w:val="auto"/>
          <w:kern w:val="0"/>
          <w:sz w:val="24"/>
          <w:szCs w:val="22"/>
          <w:lang w:val="en-US" w:eastAsia="zh-CN"/>
        </w:rPr>
        <w:t>发包人</w:t>
      </w:r>
      <w:r>
        <w:rPr>
          <w:rFonts w:hint="eastAsia" w:ascii="宋体" w:hAnsi="宋体"/>
          <w:color w:val="auto"/>
          <w:kern w:val="0"/>
          <w:sz w:val="24"/>
          <w:szCs w:val="22"/>
        </w:rPr>
        <w:t>查阅。如果发包人提出要求，承包人还应按季度提交修订的合同用款计划。</w:t>
      </w:r>
    </w:p>
    <w:p w14:paraId="74EE6D07">
      <w:pPr>
        <w:kinsoku w:val="0"/>
        <w:overflowPunct w:val="0"/>
        <w:autoSpaceDE w:val="0"/>
        <w:autoSpaceDN w:val="0"/>
        <w:spacing w:line="240" w:lineRule="auto"/>
        <w:rPr>
          <w:rFonts w:hint="eastAsia" w:ascii="宋体" w:hAnsi="宋体"/>
          <w:color w:val="auto"/>
          <w:kern w:val="0"/>
          <w:sz w:val="28"/>
          <w:szCs w:val="28"/>
        </w:rPr>
      </w:pPr>
      <w:bookmarkStart w:id="81" w:name="bookmark199"/>
      <w:bookmarkEnd w:id="81"/>
      <w:r>
        <w:rPr>
          <w:rFonts w:hint="eastAsia" w:ascii="宋体" w:hAnsi="宋体"/>
          <w:color w:val="auto"/>
          <w:kern w:val="0"/>
          <w:sz w:val="28"/>
          <w:szCs w:val="28"/>
        </w:rPr>
        <w:t xml:space="preserve">11. </w:t>
      </w:r>
      <w:r>
        <w:rPr>
          <w:rFonts w:hint="eastAsia" w:ascii="宋体" w:hAnsi="宋体"/>
          <w:color w:val="auto"/>
          <w:spacing w:val="1"/>
          <w:kern w:val="0"/>
          <w:sz w:val="28"/>
          <w:szCs w:val="28"/>
        </w:rPr>
        <w:t xml:space="preserve"> </w:t>
      </w:r>
      <w:r>
        <w:rPr>
          <w:rFonts w:hint="eastAsia" w:ascii="宋体" w:hAnsi="宋体"/>
          <w:color w:val="auto"/>
          <w:kern w:val="0"/>
          <w:sz w:val="28"/>
          <w:szCs w:val="28"/>
        </w:rPr>
        <w:t>开工和交工</w:t>
      </w:r>
    </w:p>
    <w:p w14:paraId="054FB981">
      <w:pPr>
        <w:kinsoku w:val="0"/>
        <w:overflowPunct w:val="0"/>
        <w:autoSpaceDE w:val="0"/>
        <w:autoSpaceDN w:val="0"/>
        <w:spacing w:line="240" w:lineRule="auto"/>
        <w:rPr>
          <w:rFonts w:hint="eastAsia" w:ascii="宋体" w:hAnsi="宋体"/>
          <w:color w:val="auto"/>
          <w:kern w:val="0"/>
          <w:sz w:val="24"/>
          <w:szCs w:val="22"/>
        </w:rPr>
      </w:pPr>
      <w:r>
        <w:rPr>
          <w:rFonts w:hint="eastAsia" w:ascii="宋体" w:hAnsi="宋体"/>
          <w:color w:val="auto"/>
          <w:kern w:val="0"/>
          <w:sz w:val="24"/>
          <w:szCs w:val="22"/>
        </w:rPr>
        <w:t>11.1</w:t>
      </w:r>
      <w:r>
        <w:rPr>
          <w:rFonts w:hint="eastAsia" w:ascii="宋体" w:hAnsi="宋体"/>
          <w:color w:val="auto"/>
          <w:spacing w:val="59"/>
          <w:kern w:val="0"/>
          <w:sz w:val="24"/>
          <w:szCs w:val="22"/>
        </w:rPr>
        <w:t xml:space="preserve"> </w:t>
      </w:r>
      <w:r>
        <w:rPr>
          <w:rFonts w:hint="eastAsia" w:ascii="宋体" w:hAnsi="宋体"/>
          <w:color w:val="auto"/>
          <w:kern w:val="0"/>
          <w:sz w:val="24"/>
          <w:szCs w:val="22"/>
        </w:rPr>
        <w:t>开工</w:t>
      </w:r>
    </w:p>
    <w:p w14:paraId="065B6C07">
      <w:pPr>
        <w:kinsoku w:val="0"/>
        <w:overflowPunct w:val="0"/>
        <w:autoSpaceDE w:val="0"/>
        <w:autoSpaceDN w:val="0"/>
        <w:spacing w:before="8" w:line="240" w:lineRule="auto"/>
        <w:jc w:val="left"/>
        <w:rPr>
          <w:rFonts w:hint="eastAsia" w:ascii="宋体" w:hAnsi="宋体"/>
          <w:color w:val="auto"/>
          <w:kern w:val="0"/>
          <w:sz w:val="23"/>
          <w:szCs w:val="23"/>
        </w:rPr>
      </w:pPr>
    </w:p>
    <w:p w14:paraId="563BC760">
      <w:pPr>
        <w:kinsoku w:val="0"/>
        <w:overflowPunct w:val="0"/>
        <w:autoSpaceDE w:val="0"/>
        <w:autoSpaceDN w:val="0"/>
        <w:spacing w:line="240" w:lineRule="auto"/>
        <w:ind w:right="29" w:firstLine="480"/>
        <w:jc w:val="left"/>
        <w:rPr>
          <w:rFonts w:hint="eastAsia" w:ascii="宋体" w:hAnsi="宋体"/>
          <w:color w:val="auto"/>
          <w:kern w:val="0"/>
          <w:sz w:val="24"/>
          <w:szCs w:val="22"/>
        </w:rPr>
      </w:pPr>
      <w:r>
        <w:rPr>
          <w:rFonts w:hint="eastAsia" w:ascii="宋体" w:hAnsi="宋体"/>
          <w:color w:val="auto"/>
          <w:kern w:val="0"/>
          <w:sz w:val="24"/>
          <w:szCs w:val="22"/>
        </w:rPr>
        <w:t>第</w:t>
      </w:r>
      <w:r>
        <w:rPr>
          <w:rFonts w:hint="eastAsia" w:ascii="宋体" w:hAnsi="宋体"/>
          <w:color w:val="auto"/>
          <w:spacing w:val="-65"/>
          <w:kern w:val="0"/>
          <w:sz w:val="24"/>
          <w:szCs w:val="22"/>
        </w:rPr>
        <w:t xml:space="preserve"> </w:t>
      </w:r>
      <w:r>
        <w:rPr>
          <w:rFonts w:hint="eastAsia" w:ascii="宋体" w:hAnsi="宋体"/>
          <w:color w:val="auto"/>
          <w:kern w:val="0"/>
          <w:sz w:val="24"/>
          <w:szCs w:val="22"/>
        </w:rPr>
        <w:t>11.1.2</w:t>
      </w:r>
      <w:r>
        <w:rPr>
          <w:rFonts w:hint="eastAsia" w:ascii="宋体" w:hAnsi="宋体"/>
          <w:color w:val="auto"/>
          <w:spacing w:val="-5"/>
          <w:kern w:val="0"/>
          <w:sz w:val="24"/>
          <w:szCs w:val="22"/>
        </w:rPr>
        <w:t xml:space="preserve"> </w:t>
      </w:r>
      <w:r>
        <w:rPr>
          <w:rFonts w:hint="eastAsia" w:ascii="宋体" w:hAnsi="宋体"/>
          <w:color w:val="auto"/>
          <w:kern w:val="0"/>
          <w:sz w:val="24"/>
          <w:szCs w:val="22"/>
        </w:rPr>
        <w:t>项补充：</w:t>
      </w:r>
    </w:p>
    <w:p w14:paraId="7FEBB08F">
      <w:pPr>
        <w:kinsoku w:val="0"/>
        <w:overflowPunct w:val="0"/>
        <w:autoSpaceDE w:val="0"/>
        <w:autoSpaceDN w:val="0"/>
        <w:spacing w:before="66" w:line="240" w:lineRule="auto"/>
        <w:ind w:right="102" w:firstLine="480"/>
        <w:rPr>
          <w:rFonts w:hint="eastAsia" w:ascii="宋体" w:hAnsi="宋体"/>
          <w:color w:val="auto"/>
          <w:kern w:val="0"/>
          <w:sz w:val="24"/>
          <w:szCs w:val="22"/>
        </w:rPr>
      </w:pPr>
      <w:r>
        <w:rPr>
          <w:rFonts w:hint="eastAsia" w:ascii="宋体" w:hAnsi="宋体"/>
          <w:color w:val="auto"/>
          <w:kern w:val="0"/>
          <w:sz w:val="24"/>
          <w:szCs w:val="22"/>
        </w:rPr>
        <w:t>承包人应在分部工程开工前</w:t>
      </w:r>
      <w:r>
        <w:rPr>
          <w:rFonts w:hint="eastAsia" w:ascii="宋体" w:hAnsi="宋体"/>
          <w:color w:val="auto"/>
          <w:spacing w:val="-60"/>
          <w:kern w:val="0"/>
          <w:sz w:val="24"/>
          <w:szCs w:val="22"/>
        </w:rPr>
        <w:t xml:space="preserve"> </w:t>
      </w:r>
      <w:r>
        <w:rPr>
          <w:rFonts w:hint="eastAsia" w:ascii="宋体" w:hAnsi="宋体"/>
          <w:color w:val="auto"/>
          <w:kern w:val="0"/>
          <w:sz w:val="24"/>
          <w:szCs w:val="22"/>
        </w:rPr>
        <w:t xml:space="preserve">14 </w:t>
      </w:r>
      <w:r>
        <w:rPr>
          <w:rFonts w:hint="eastAsia" w:ascii="宋体" w:hAnsi="宋体"/>
          <w:color w:val="auto"/>
          <w:spacing w:val="-4"/>
          <w:kern w:val="0"/>
          <w:sz w:val="24"/>
          <w:szCs w:val="22"/>
        </w:rPr>
        <w:t>天向</w:t>
      </w:r>
      <w:r>
        <w:rPr>
          <w:rFonts w:hint="eastAsia" w:ascii="宋体" w:hAnsi="宋体"/>
          <w:color w:val="auto"/>
          <w:spacing w:val="-4"/>
          <w:kern w:val="0"/>
          <w:sz w:val="24"/>
          <w:szCs w:val="22"/>
          <w:lang w:val="en-US" w:eastAsia="zh-CN"/>
        </w:rPr>
        <w:t>发包人</w:t>
      </w:r>
      <w:r>
        <w:rPr>
          <w:rFonts w:hint="eastAsia" w:ascii="宋体" w:hAnsi="宋体"/>
          <w:color w:val="auto"/>
          <w:spacing w:val="-4"/>
          <w:kern w:val="0"/>
          <w:sz w:val="24"/>
          <w:szCs w:val="22"/>
        </w:rPr>
        <w:t>提交分部工程开工报审表，若承包人</w:t>
      </w:r>
      <w:r>
        <w:rPr>
          <w:rFonts w:hint="eastAsia" w:ascii="宋体" w:hAnsi="宋体"/>
          <w:color w:val="auto"/>
          <w:kern w:val="0"/>
          <w:sz w:val="24"/>
          <w:szCs w:val="22"/>
        </w:rPr>
        <w:t xml:space="preserve"> 的开工准备、工作计划和质量控制方法是可接受的且已获得批准，则经</w:t>
      </w:r>
      <w:r>
        <w:rPr>
          <w:rFonts w:hint="eastAsia" w:ascii="宋体" w:hAnsi="宋体"/>
          <w:color w:val="auto"/>
          <w:kern w:val="0"/>
          <w:sz w:val="24"/>
          <w:szCs w:val="22"/>
          <w:lang w:val="en-US" w:eastAsia="zh-CN"/>
        </w:rPr>
        <w:t>发包人</w:t>
      </w:r>
      <w:r>
        <w:rPr>
          <w:rFonts w:hint="eastAsia" w:ascii="宋体" w:hAnsi="宋体"/>
          <w:color w:val="auto"/>
          <w:kern w:val="0"/>
          <w:sz w:val="24"/>
          <w:szCs w:val="22"/>
        </w:rPr>
        <w:t>书面</w:t>
      </w:r>
      <w:r>
        <w:rPr>
          <w:rFonts w:hint="eastAsia" w:ascii="宋体" w:hAnsi="宋体"/>
          <w:color w:val="auto"/>
          <w:spacing w:val="-95"/>
          <w:kern w:val="0"/>
          <w:sz w:val="24"/>
          <w:szCs w:val="22"/>
        </w:rPr>
        <w:t xml:space="preserve"> </w:t>
      </w:r>
      <w:r>
        <w:rPr>
          <w:rFonts w:hint="eastAsia" w:ascii="宋体" w:hAnsi="宋体"/>
          <w:color w:val="auto"/>
          <w:kern w:val="0"/>
          <w:sz w:val="24"/>
          <w:szCs w:val="22"/>
        </w:rPr>
        <w:t>同意，分部工程才能开工。</w:t>
      </w:r>
    </w:p>
    <w:p w14:paraId="636A4994">
      <w:pPr>
        <w:kinsoku w:val="0"/>
        <w:overflowPunct w:val="0"/>
        <w:autoSpaceDE w:val="0"/>
        <w:autoSpaceDN w:val="0"/>
        <w:spacing w:before="190" w:line="240" w:lineRule="auto"/>
        <w:jc w:val="left"/>
        <w:rPr>
          <w:rFonts w:hint="eastAsia" w:ascii="宋体" w:hAnsi="宋体"/>
          <w:color w:val="auto"/>
          <w:kern w:val="0"/>
          <w:sz w:val="24"/>
          <w:szCs w:val="22"/>
        </w:rPr>
      </w:pPr>
      <w:bookmarkStart w:id="82" w:name="bookmark201"/>
      <w:bookmarkEnd w:id="82"/>
      <w:r>
        <w:rPr>
          <w:rFonts w:hint="eastAsia" w:ascii="宋体" w:hAnsi="宋体"/>
          <w:color w:val="auto"/>
          <w:kern w:val="0"/>
          <w:sz w:val="24"/>
          <w:szCs w:val="22"/>
        </w:rPr>
        <w:t>11.3 发包人的工期延误</w:t>
      </w:r>
    </w:p>
    <w:p w14:paraId="6F5AC9D0">
      <w:pPr>
        <w:kinsoku w:val="0"/>
        <w:overflowPunct w:val="0"/>
        <w:autoSpaceDE w:val="0"/>
        <w:autoSpaceDN w:val="0"/>
        <w:spacing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本款补充：即使由于上述原因造成工期延误，如果受影响的工程并非处在工程施工进度网络计划的关键线路上，则承包人无权要求延长总工期。</w:t>
      </w:r>
    </w:p>
    <w:p w14:paraId="525F6153">
      <w:pPr>
        <w:kinsoku w:val="0"/>
        <w:overflowPunct w:val="0"/>
        <w:autoSpaceDE w:val="0"/>
        <w:autoSpaceDN w:val="0"/>
        <w:spacing w:line="240" w:lineRule="auto"/>
        <w:rPr>
          <w:rFonts w:hint="eastAsia" w:ascii="宋体" w:hAnsi="宋体"/>
          <w:color w:val="auto"/>
          <w:kern w:val="0"/>
          <w:sz w:val="24"/>
          <w:szCs w:val="22"/>
        </w:rPr>
      </w:pPr>
      <w:r>
        <w:rPr>
          <w:rFonts w:hint="eastAsia" w:ascii="宋体" w:hAnsi="宋体"/>
          <w:color w:val="auto"/>
          <w:kern w:val="0"/>
          <w:sz w:val="24"/>
          <w:szCs w:val="22"/>
        </w:rPr>
        <w:t>11.4</w:t>
      </w:r>
      <w:r>
        <w:rPr>
          <w:rFonts w:hint="eastAsia" w:ascii="宋体" w:hAnsi="宋体"/>
          <w:color w:val="auto"/>
          <w:spacing w:val="-1"/>
          <w:kern w:val="0"/>
          <w:sz w:val="24"/>
          <w:szCs w:val="22"/>
        </w:rPr>
        <w:t xml:space="preserve"> </w:t>
      </w:r>
      <w:r>
        <w:rPr>
          <w:rFonts w:hint="eastAsia" w:ascii="宋体" w:hAnsi="宋体"/>
          <w:color w:val="auto"/>
          <w:kern w:val="0"/>
          <w:sz w:val="24"/>
          <w:szCs w:val="22"/>
        </w:rPr>
        <w:t>异常恶劣的气候条件</w:t>
      </w:r>
    </w:p>
    <w:p w14:paraId="60D9FDA8">
      <w:pPr>
        <w:kinsoku w:val="0"/>
        <w:overflowPunct w:val="0"/>
        <w:autoSpaceDE w:val="0"/>
        <w:autoSpaceDN w:val="0"/>
        <w:spacing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本款补充：</w:t>
      </w:r>
    </w:p>
    <w:p w14:paraId="3F7F80D0">
      <w:pPr>
        <w:kinsoku w:val="0"/>
        <w:overflowPunct w:val="0"/>
        <w:autoSpaceDE w:val="0"/>
        <w:autoSpaceDN w:val="0"/>
        <w:spacing w:before="87" w:line="240" w:lineRule="auto"/>
        <w:ind w:right="224" w:firstLine="480"/>
        <w:rPr>
          <w:rFonts w:hint="eastAsia" w:ascii="宋体" w:hAnsi="宋体"/>
          <w:color w:val="auto"/>
          <w:kern w:val="0"/>
          <w:sz w:val="24"/>
          <w:szCs w:val="22"/>
        </w:rPr>
      </w:pPr>
      <w:r>
        <w:rPr>
          <w:rFonts w:hint="eastAsia" w:ascii="宋体" w:hAnsi="宋体"/>
          <w:color w:val="auto"/>
          <w:kern w:val="0"/>
          <w:sz w:val="24"/>
          <w:szCs w:val="22"/>
        </w:rPr>
        <w:t>异常气候是指项目所在地</w:t>
      </w:r>
      <w:r>
        <w:rPr>
          <w:rFonts w:hint="eastAsia" w:ascii="宋体" w:hAnsi="宋体"/>
          <w:color w:val="auto"/>
          <w:spacing w:val="-60"/>
          <w:kern w:val="0"/>
          <w:sz w:val="24"/>
          <w:szCs w:val="22"/>
        </w:rPr>
        <w:t xml:space="preserve"> </w:t>
      </w:r>
      <w:r>
        <w:rPr>
          <w:rFonts w:hint="eastAsia" w:ascii="宋体" w:hAnsi="宋体"/>
          <w:color w:val="auto"/>
          <w:kern w:val="0"/>
          <w:sz w:val="24"/>
          <w:szCs w:val="22"/>
        </w:rPr>
        <w:t xml:space="preserve">30 </w:t>
      </w:r>
      <w:r>
        <w:rPr>
          <w:rFonts w:hint="eastAsia" w:ascii="宋体" w:hAnsi="宋体"/>
          <w:color w:val="auto"/>
          <w:spacing w:val="-4"/>
          <w:kern w:val="0"/>
          <w:sz w:val="24"/>
          <w:szCs w:val="22"/>
        </w:rPr>
        <w:t>年以上一遇的罕见气候现象</w:t>
      </w:r>
      <w:r>
        <w:rPr>
          <w:rFonts w:hint="eastAsia" w:ascii="宋体" w:hAnsi="宋体"/>
          <w:color w:val="auto"/>
          <w:spacing w:val="-4"/>
          <w:kern w:val="0"/>
          <w:sz w:val="24"/>
          <w:szCs w:val="22"/>
        </w:rPr>
        <w:fldChar w:fldCharType="begin"/>
      </w:r>
      <w:r>
        <w:rPr>
          <w:rFonts w:hint="eastAsia" w:ascii="宋体" w:hAnsi="宋体"/>
          <w:color w:val="auto"/>
          <w:spacing w:val="-4"/>
          <w:kern w:val="0"/>
          <w:sz w:val="24"/>
          <w:szCs w:val="22"/>
        </w:rPr>
        <w:instrText xml:space="preserve"> HYPERLINK "http://baike.baidu.com/view/8193.htm" </w:instrText>
      </w:r>
      <w:r>
        <w:rPr>
          <w:rFonts w:hint="eastAsia" w:ascii="宋体" w:hAnsi="宋体"/>
          <w:color w:val="auto"/>
          <w:spacing w:val="-4"/>
          <w:kern w:val="0"/>
          <w:sz w:val="24"/>
          <w:szCs w:val="22"/>
        </w:rPr>
        <w:fldChar w:fldCharType="separate"/>
      </w:r>
      <w:r>
        <w:rPr>
          <w:rFonts w:hint="eastAsia" w:ascii="宋体" w:hAnsi="宋体"/>
          <w:color w:val="auto"/>
          <w:spacing w:val="-4"/>
          <w:kern w:val="0"/>
          <w:sz w:val="24"/>
          <w:szCs w:val="22"/>
        </w:rPr>
        <w:t>（包括温度</w:t>
      </w:r>
      <w:r>
        <w:rPr>
          <w:rFonts w:hint="eastAsia" w:ascii="宋体" w:hAnsi="宋体"/>
          <w:color w:val="auto"/>
          <w:spacing w:val="-4"/>
          <w:kern w:val="0"/>
          <w:sz w:val="24"/>
          <w:szCs w:val="22"/>
        </w:rPr>
        <w:fldChar w:fldCharType="end"/>
      </w:r>
      <w:r>
        <w:rPr>
          <w:rFonts w:hint="eastAsia" w:ascii="宋体" w:hAnsi="宋体"/>
          <w:color w:val="auto"/>
          <w:spacing w:val="-4"/>
          <w:kern w:val="0"/>
          <w:sz w:val="24"/>
          <w:szCs w:val="22"/>
        </w:rPr>
        <w:t>、降水、降</w:t>
      </w:r>
      <w:r>
        <w:rPr>
          <w:rFonts w:hint="eastAsia" w:ascii="宋体" w:hAnsi="宋体"/>
          <w:color w:val="auto"/>
          <w:kern w:val="0"/>
          <w:sz w:val="24"/>
          <w:szCs w:val="22"/>
        </w:rPr>
        <w:t xml:space="preserve"> </w:t>
      </w:r>
      <w:r>
        <w:rPr>
          <w:rFonts w:hint="eastAsia" w:ascii="宋体" w:hAnsi="宋体"/>
          <w:color w:val="auto"/>
          <w:spacing w:val="-4"/>
          <w:kern w:val="0"/>
          <w:sz w:val="24"/>
          <w:szCs w:val="22"/>
        </w:rPr>
        <w:t>雪、风等）。异常恶劣的气候条件在项目专用合同条款中作具体约定。</w:t>
      </w:r>
    </w:p>
    <w:p w14:paraId="37726641">
      <w:pPr>
        <w:kinsoku w:val="0"/>
        <w:overflowPunct w:val="0"/>
        <w:autoSpaceDE w:val="0"/>
        <w:autoSpaceDN w:val="0"/>
        <w:spacing w:line="240" w:lineRule="auto"/>
        <w:rPr>
          <w:rFonts w:hint="eastAsia" w:ascii="宋体" w:hAnsi="宋体"/>
          <w:color w:val="auto"/>
          <w:kern w:val="0"/>
          <w:sz w:val="24"/>
          <w:szCs w:val="22"/>
        </w:rPr>
      </w:pPr>
      <w:bookmarkStart w:id="83" w:name="bookmark203"/>
      <w:bookmarkEnd w:id="83"/>
      <w:r>
        <w:rPr>
          <w:rFonts w:hint="eastAsia" w:ascii="宋体" w:hAnsi="宋体"/>
          <w:color w:val="auto"/>
          <w:kern w:val="0"/>
          <w:sz w:val="24"/>
          <w:szCs w:val="22"/>
        </w:rPr>
        <w:t>11.5</w:t>
      </w:r>
      <w:r>
        <w:rPr>
          <w:rFonts w:hint="eastAsia" w:ascii="宋体" w:hAnsi="宋体"/>
          <w:color w:val="auto"/>
          <w:spacing w:val="59"/>
          <w:kern w:val="0"/>
          <w:sz w:val="24"/>
          <w:szCs w:val="22"/>
        </w:rPr>
        <w:t xml:space="preserve"> </w:t>
      </w:r>
      <w:r>
        <w:rPr>
          <w:rFonts w:hint="eastAsia" w:ascii="宋体" w:hAnsi="宋体"/>
          <w:color w:val="auto"/>
          <w:kern w:val="0"/>
          <w:sz w:val="24"/>
          <w:szCs w:val="22"/>
        </w:rPr>
        <w:t>承包人的工期延误</w:t>
      </w:r>
    </w:p>
    <w:p w14:paraId="51E4FA0C">
      <w:pPr>
        <w:kinsoku w:val="0"/>
        <w:overflowPunct w:val="0"/>
        <w:autoSpaceDE w:val="0"/>
        <w:autoSpaceDN w:val="0"/>
        <w:spacing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本款细化为：</w:t>
      </w:r>
    </w:p>
    <w:p w14:paraId="2B4EED6B">
      <w:pPr>
        <w:kinsoku w:val="0"/>
        <w:overflowPunct w:val="0"/>
        <w:autoSpaceDE w:val="0"/>
        <w:autoSpaceDN w:val="0"/>
        <w:spacing w:before="84" w:line="240" w:lineRule="auto"/>
        <w:ind w:right="223" w:firstLine="468"/>
        <w:rPr>
          <w:rFonts w:hint="eastAsia" w:ascii="宋体" w:hAnsi="宋体"/>
          <w:color w:val="auto"/>
          <w:spacing w:val="-3"/>
          <w:kern w:val="0"/>
          <w:sz w:val="24"/>
          <w:szCs w:val="22"/>
        </w:rPr>
      </w:pPr>
      <w:r>
        <w:rPr>
          <w:rFonts w:hint="eastAsia" w:ascii="宋体" w:hAnsi="宋体"/>
          <w:color w:val="auto"/>
          <w:spacing w:val="-3"/>
          <w:kern w:val="0"/>
          <w:sz w:val="24"/>
          <w:szCs w:val="22"/>
        </w:rPr>
        <w:t>（1）承包人应严格执行发包人批准的合同进度计划，对工作量计划和形象进度</w:t>
      </w:r>
      <w:r>
        <w:rPr>
          <w:rFonts w:hint="eastAsia" w:ascii="宋体" w:hAnsi="宋体"/>
          <w:color w:val="auto"/>
          <w:kern w:val="0"/>
          <w:sz w:val="24"/>
          <w:szCs w:val="22"/>
        </w:rPr>
        <w:t xml:space="preserve"> 计划分别控制。除第</w:t>
      </w:r>
      <w:r>
        <w:rPr>
          <w:rFonts w:hint="eastAsia" w:ascii="宋体" w:hAnsi="宋体"/>
          <w:color w:val="auto"/>
          <w:spacing w:val="-67"/>
          <w:kern w:val="0"/>
          <w:sz w:val="24"/>
          <w:szCs w:val="22"/>
        </w:rPr>
        <w:t xml:space="preserve"> </w:t>
      </w:r>
      <w:r>
        <w:rPr>
          <w:rFonts w:hint="eastAsia" w:ascii="宋体" w:hAnsi="宋体"/>
          <w:color w:val="auto"/>
          <w:spacing w:val="-3"/>
          <w:kern w:val="0"/>
          <w:sz w:val="24"/>
          <w:szCs w:val="22"/>
        </w:rPr>
        <w:t>11.3</w:t>
      </w:r>
      <w:r>
        <w:rPr>
          <w:rFonts w:hint="eastAsia" w:ascii="宋体" w:hAnsi="宋体"/>
          <w:color w:val="auto"/>
          <w:spacing w:val="-7"/>
          <w:kern w:val="0"/>
          <w:sz w:val="24"/>
          <w:szCs w:val="22"/>
        </w:rPr>
        <w:t xml:space="preserve"> </w:t>
      </w:r>
      <w:r>
        <w:rPr>
          <w:rFonts w:hint="eastAsia" w:ascii="宋体" w:hAnsi="宋体"/>
          <w:color w:val="auto"/>
          <w:kern w:val="0"/>
          <w:sz w:val="24"/>
          <w:szCs w:val="22"/>
        </w:rPr>
        <w:t>款规定外，承包人的实际工程进度曲线应在合同进度管理 曲线规定的安全区域之内。若承包人的实际工程进度曲线处在合同进度管理曲线规</w:t>
      </w:r>
      <w:r>
        <w:rPr>
          <w:rFonts w:hint="eastAsia" w:ascii="宋体" w:hAnsi="宋体"/>
          <w:color w:val="auto"/>
          <w:spacing w:val="-95"/>
          <w:kern w:val="0"/>
          <w:sz w:val="24"/>
          <w:szCs w:val="22"/>
        </w:rPr>
        <w:t xml:space="preserve"> </w:t>
      </w:r>
      <w:r>
        <w:rPr>
          <w:rFonts w:hint="eastAsia" w:ascii="宋体" w:hAnsi="宋体"/>
          <w:color w:val="auto"/>
          <w:kern w:val="0"/>
          <w:sz w:val="24"/>
          <w:szCs w:val="22"/>
        </w:rPr>
        <w:t>定的安全区域的下限之外时，则发包人有权认为本合同工程的进度过慢，并通知承</w:t>
      </w:r>
      <w:r>
        <w:rPr>
          <w:rFonts w:hint="eastAsia" w:ascii="宋体" w:hAnsi="宋体"/>
          <w:color w:val="auto"/>
          <w:spacing w:val="-95"/>
          <w:kern w:val="0"/>
          <w:sz w:val="24"/>
          <w:szCs w:val="22"/>
        </w:rPr>
        <w:t xml:space="preserve"> </w:t>
      </w:r>
      <w:r>
        <w:rPr>
          <w:rFonts w:hint="eastAsia" w:ascii="宋体" w:hAnsi="宋体"/>
          <w:color w:val="auto"/>
          <w:kern w:val="0"/>
          <w:sz w:val="24"/>
          <w:szCs w:val="22"/>
        </w:rPr>
        <w:t>包人应采取必要措施，以便加快工程进度，确保工程能在预定的工期内交工。承包</w:t>
      </w:r>
      <w:r>
        <w:rPr>
          <w:rFonts w:hint="eastAsia" w:ascii="宋体" w:hAnsi="宋体"/>
          <w:color w:val="auto"/>
          <w:spacing w:val="-91"/>
          <w:kern w:val="0"/>
          <w:sz w:val="24"/>
          <w:szCs w:val="22"/>
        </w:rPr>
        <w:t xml:space="preserve"> </w:t>
      </w:r>
      <w:r>
        <w:rPr>
          <w:rFonts w:hint="eastAsia" w:ascii="宋体" w:hAnsi="宋体"/>
          <w:color w:val="auto"/>
          <w:kern w:val="0"/>
          <w:sz w:val="24"/>
          <w:szCs w:val="22"/>
        </w:rPr>
        <w:t>人应采取措施加快进度，并承担加快进度所增加的费用。</w:t>
      </w:r>
    </w:p>
    <w:p w14:paraId="6EEFD150">
      <w:pPr>
        <w:kinsoku w:val="0"/>
        <w:overflowPunct w:val="0"/>
        <w:autoSpaceDE w:val="0"/>
        <w:autoSpaceDN w:val="0"/>
        <w:spacing w:before="24" w:line="240" w:lineRule="auto"/>
        <w:ind w:right="104" w:firstLine="480"/>
        <w:rPr>
          <w:rFonts w:hint="eastAsia" w:ascii="宋体" w:hAnsi="宋体"/>
          <w:color w:val="auto"/>
          <w:kern w:val="0"/>
          <w:sz w:val="24"/>
          <w:szCs w:val="22"/>
        </w:rPr>
      </w:pPr>
      <w:r>
        <w:rPr>
          <w:rFonts w:hint="eastAsia" w:ascii="宋体" w:hAnsi="宋体"/>
          <w:color w:val="auto"/>
          <w:kern w:val="0"/>
          <w:sz w:val="24"/>
          <w:szCs w:val="22"/>
        </w:rPr>
        <w:t>（2）如果承包人在接到发包人通知后的 14</w:t>
      </w:r>
      <w:r>
        <w:rPr>
          <w:rFonts w:hint="eastAsia" w:ascii="宋体" w:hAnsi="宋体"/>
          <w:color w:val="auto"/>
          <w:spacing w:val="-24"/>
          <w:kern w:val="0"/>
          <w:sz w:val="24"/>
          <w:szCs w:val="22"/>
        </w:rPr>
        <w:t xml:space="preserve"> </w:t>
      </w:r>
      <w:r>
        <w:rPr>
          <w:rFonts w:hint="eastAsia" w:ascii="宋体" w:hAnsi="宋体"/>
          <w:color w:val="auto"/>
          <w:kern w:val="0"/>
          <w:sz w:val="24"/>
          <w:szCs w:val="22"/>
        </w:rPr>
        <w:t>天内，未能采取加快工程进度的措 施，致使实际工程进度进一步滞后，或承包人虽采取了一些措施，仍无法按预计工</w:t>
      </w:r>
      <w:r>
        <w:rPr>
          <w:rFonts w:hint="eastAsia" w:ascii="宋体" w:hAnsi="宋体"/>
          <w:color w:val="auto"/>
          <w:spacing w:val="-95"/>
          <w:kern w:val="0"/>
          <w:sz w:val="24"/>
          <w:szCs w:val="22"/>
        </w:rPr>
        <w:t xml:space="preserve"> </w:t>
      </w:r>
      <w:r>
        <w:rPr>
          <w:rFonts w:hint="eastAsia" w:ascii="宋体" w:hAnsi="宋体"/>
          <w:color w:val="auto"/>
          <w:spacing w:val="-7"/>
          <w:kern w:val="0"/>
          <w:sz w:val="24"/>
          <w:szCs w:val="22"/>
        </w:rPr>
        <w:t xml:space="preserve">期交工时，发包人应立即通知发包人。发包人在向承包人发出书面警告通知 </w:t>
      </w:r>
      <w:r>
        <w:rPr>
          <w:rFonts w:hint="eastAsia" w:ascii="宋体" w:hAnsi="宋体"/>
          <w:color w:val="auto"/>
          <w:kern w:val="0"/>
          <w:sz w:val="24"/>
          <w:szCs w:val="22"/>
        </w:rPr>
        <w:t>14</w:t>
      </w:r>
      <w:r>
        <w:rPr>
          <w:rFonts w:hint="eastAsia" w:ascii="宋体" w:hAnsi="宋体"/>
          <w:color w:val="auto"/>
          <w:spacing w:val="-30"/>
          <w:kern w:val="0"/>
          <w:sz w:val="24"/>
          <w:szCs w:val="22"/>
        </w:rPr>
        <w:t xml:space="preserve"> </w:t>
      </w:r>
      <w:r>
        <w:rPr>
          <w:rFonts w:hint="eastAsia" w:ascii="宋体" w:hAnsi="宋体"/>
          <w:color w:val="auto"/>
          <w:kern w:val="0"/>
          <w:sz w:val="24"/>
          <w:szCs w:val="22"/>
        </w:rPr>
        <w:t>天后，发包人可按第</w:t>
      </w:r>
      <w:r>
        <w:rPr>
          <w:rFonts w:hint="eastAsia" w:ascii="宋体" w:hAnsi="宋体"/>
          <w:color w:val="auto"/>
          <w:spacing w:val="-72"/>
          <w:kern w:val="0"/>
          <w:sz w:val="24"/>
          <w:szCs w:val="22"/>
        </w:rPr>
        <w:t xml:space="preserve"> </w:t>
      </w:r>
      <w:r>
        <w:rPr>
          <w:rFonts w:hint="eastAsia" w:ascii="宋体" w:hAnsi="宋体"/>
          <w:color w:val="auto"/>
          <w:kern w:val="0"/>
          <w:sz w:val="24"/>
          <w:szCs w:val="22"/>
        </w:rPr>
        <w:t>22.1</w:t>
      </w:r>
      <w:r>
        <w:rPr>
          <w:rFonts w:hint="eastAsia" w:ascii="宋体" w:hAnsi="宋体"/>
          <w:color w:val="auto"/>
          <w:spacing w:val="-12"/>
          <w:kern w:val="0"/>
          <w:sz w:val="24"/>
          <w:szCs w:val="22"/>
        </w:rPr>
        <w:t xml:space="preserve"> </w:t>
      </w:r>
      <w:r>
        <w:rPr>
          <w:rFonts w:hint="eastAsia" w:ascii="宋体" w:hAnsi="宋体"/>
          <w:color w:val="auto"/>
          <w:kern w:val="0"/>
          <w:sz w:val="24"/>
          <w:szCs w:val="22"/>
        </w:rPr>
        <w:t>款终止对承包人的雇用，也可将本合同工程中的一部分工作交由 其他承包人或其他分包人完成。在不解除本合同规定的承包人责任和义务的同时，</w:t>
      </w:r>
      <w:r>
        <w:rPr>
          <w:rFonts w:hint="eastAsia" w:ascii="宋体" w:hAnsi="宋体"/>
          <w:color w:val="auto"/>
          <w:spacing w:val="-95"/>
          <w:kern w:val="0"/>
          <w:sz w:val="24"/>
          <w:szCs w:val="22"/>
        </w:rPr>
        <w:t xml:space="preserve"> </w:t>
      </w:r>
      <w:r>
        <w:rPr>
          <w:rFonts w:hint="eastAsia" w:ascii="宋体" w:hAnsi="宋体"/>
          <w:color w:val="auto"/>
          <w:kern w:val="0"/>
          <w:sz w:val="24"/>
          <w:szCs w:val="22"/>
        </w:rPr>
        <w:t>承包人应承担因此所增加的一切费用。</w:t>
      </w:r>
    </w:p>
    <w:p w14:paraId="71A739E4">
      <w:pPr>
        <w:kinsoku w:val="0"/>
        <w:overflowPunct w:val="0"/>
        <w:autoSpaceDE w:val="0"/>
        <w:autoSpaceDN w:val="0"/>
        <w:spacing w:before="26" w:line="240" w:lineRule="auto"/>
        <w:ind w:right="224" w:firstLine="468"/>
        <w:rPr>
          <w:rFonts w:hint="eastAsia" w:ascii="宋体" w:hAnsi="宋体"/>
          <w:color w:val="auto"/>
          <w:spacing w:val="-3"/>
          <w:kern w:val="0"/>
          <w:sz w:val="24"/>
          <w:szCs w:val="22"/>
        </w:rPr>
      </w:pPr>
      <w:r>
        <w:rPr>
          <w:rFonts w:hint="eastAsia" w:ascii="宋体" w:hAnsi="宋体"/>
          <w:color w:val="auto"/>
          <w:spacing w:val="-3"/>
          <w:kern w:val="0"/>
          <w:sz w:val="24"/>
          <w:szCs w:val="22"/>
        </w:rPr>
        <w:t>（3）由于承包人原因造成工期延误，承包人应支付逾期交工违约金。逾期交工</w:t>
      </w:r>
      <w:r>
        <w:rPr>
          <w:rFonts w:hint="eastAsia" w:ascii="宋体" w:hAnsi="宋体"/>
          <w:color w:val="auto"/>
          <w:kern w:val="0"/>
          <w:sz w:val="24"/>
          <w:szCs w:val="22"/>
        </w:rPr>
        <w:t xml:space="preserve"> 违约金的计算方法在项目专用合同条款数据表中约定，时间自预定的交工日期起到</w:t>
      </w:r>
      <w:r>
        <w:rPr>
          <w:rFonts w:hint="eastAsia" w:ascii="宋体" w:hAnsi="宋体"/>
          <w:color w:val="auto"/>
          <w:spacing w:val="-92"/>
          <w:kern w:val="0"/>
          <w:sz w:val="24"/>
          <w:szCs w:val="22"/>
        </w:rPr>
        <w:t xml:space="preserve"> </w:t>
      </w:r>
      <w:r>
        <w:rPr>
          <w:rFonts w:hint="eastAsia" w:ascii="宋体" w:hAnsi="宋体"/>
          <w:color w:val="auto"/>
          <w:spacing w:val="-6"/>
          <w:kern w:val="0"/>
          <w:sz w:val="24"/>
          <w:szCs w:val="22"/>
        </w:rPr>
        <w:t>交工验收证书中写明的实际交工日期止（扣除已批准的延长工期），按天计算。逾期</w:t>
      </w:r>
      <w:r>
        <w:rPr>
          <w:rFonts w:hint="eastAsia" w:ascii="宋体" w:hAnsi="宋体"/>
          <w:color w:val="auto"/>
          <w:spacing w:val="-106"/>
          <w:kern w:val="0"/>
          <w:sz w:val="24"/>
          <w:szCs w:val="22"/>
        </w:rPr>
        <w:t xml:space="preserve"> </w:t>
      </w:r>
      <w:r>
        <w:rPr>
          <w:rFonts w:hint="eastAsia" w:ascii="宋体" w:hAnsi="宋体"/>
          <w:color w:val="auto"/>
          <w:kern w:val="0"/>
          <w:sz w:val="24"/>
          <w:szCs w:val="22"/>
        </w:rPr>
        <w:t>交工违约金累计金额最高不超过项目专用合同条款数据表中写明的限额。发包人可</w:t>
      </w:r>
      <w:r>
        <w:rPr>
          <w:rFonts w:hint="eastAsia" w:ascii="宋体" w:hAnsi="宋体"/>
          <w:color w:val="auto"/>
          <w:spacing w:val="-93"/>
          <w:kern w:val="0"/>
          <w:sz w:val="24"/>
          <w:szCs w:val="22"/>
        </w:rPr>
        <w:t xml:space="preserve"> </w:t>
      </w:r>
      <w:r>
        <w:rPr>
          <w:rFonts w:hint="eastAsia" w:ascii="宋体" w:hAnsi="宋体"/>
          <w:color w:val="auto"/>
          <w:kern w:val="0"/>
          <w:sz w:val="24"/>
          <w:szCs w:val="22"/>
        </w:rPr>
        <w:t>以从应付或到期应付给承包人的任何款项中或采用其他方法扣除此违约金。</w:t>
      </w:r>
    </w:p>
    <w:p w14:paraId="5DF2F286">
      <w:pPr>
        <w:kinsoku w:val="0"/>
        <w:overflowPunct w:val="0"/>
        <w:autoSpaceDE w:val="0"/>
        <w:autoSpaceDN w:val="0"/>
        <w:spacing w:before="24"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（4）承包人支付逾期交工违约金，不免除承包人完成工程及修补缺陷的义务。</w:t>
      </w:r>
    </w:p>
    <w:p w14:paraId="74E572FB">
      <w:pPr>
        <w:kinsoku w:val="0"/>
        <w:overflowPunct w:val="0"/>
        <w:autoSpaceDE w:val="0"/>
        <w:autoSpaceDN w:val="0"/>
        <w:spacing w:before="66" w:line="240" w:lineRule="auto"/>
        <w:ind w:right="224" w:firstLine="468"/>
        <w:rPr>
          <w:rFonts w:hint="eastAsia" w:ascii="宋体" w:hAnsi="宋体"/>
          <w:color w:val="auto"/>
          <w:spacing w:val="-3"/>
          <w:kern w:val="0"/>
          <w:sz w:val="24"/>
          <w:szCs w:val="22"/>
        </w:rPr>
      </w:pPr>
      <w:r>
        <w:rPr>
          <w:rFonts w:hint="eastAsia" w:ascii="宋体" w:hAnsi="宋体"/>
          <w:color w:val="auto"/>
          <w:spacing w:val="-3"/>
          <w:kern w:val="0"/>
          <w:sz w:val="24"/>
          <w:szCs w:val="22"/>
        </w:rPr>
        <w:t>（5）如果在合同工程完工之前，已对合同工程内按时完工的单位工程签发了交</w:t>
      </w:r>
      <w:r>
        <w:rPr>
          <w:rFonts w:hint="eastAsia" w:ascii="宋体" w:hAnsi="宋体"/>
          <w:color w:val="auto"/>
          <w:kern w:val="0"/>
          <w:sz w:val="24"/>
          <w:szCs w:val="22"/>
        </w:rPr>
        <w:t xml:space="preserve"> 工验收证书，则合同工程的逾期交工违约金，应按已签发交工验收证书的单位工程</w:t>
      </w:r>
      <w:r>
        <w:rPr>
          <w:rFonts w:hint="eastAsia" w:ascii="宋体" w:hAnsi="宋体"/>
          <w:color w:val="auto"/>
          <w:spacing w:val="-92"/>
          <w:kern w:val="0"/>
          <w:sz w:val="24"/>
          <w:szCs w:val="22"/>
        </w:rPr>
        <w:t xml:space="preserve"> </w:t>
      </w:r>
      <w:r>
        <w:rPr>
          <w:rFonts w:hint="eastAsia" w:ascii="宋体" w:hAnsi="宋体"/>
          <w:color w:val="auto"/>
          <w:kern w:val="0"/>
          <w:sz w:val="24"/>
          <w:szCs w:val="22"/>
        </w:rPr>
        <w:t>的价值占合同工程价值的比例予以减少，但本规定不应影响逾期交工违约金的规定限额。</w:t>
      </w:r>
    </w:p>
    <w:p w14:paraId="3A1EEC28">
      <w:pPr>
        <w:kinsoku w:val="0"/>
        <w:overflowPunct w:val="0"/>
        <w:autoSpaceDE w:val="0"/>
        <w:autoSpaceDN w:val="0"/>
        <w:spacing w:line="240" w:lineRule="auto"/>
        <w:jc w:val="left"/>
        <w:rPr>
          <w:rFonts w:hint="eastAsia" w:ascii="宋体" w:hAnsi="宋体"/>
          <w:color w:val="auto"/>
          <w:kern w:val="0"/>
          <w:sz w:val="24"/>
          <w:szCs w:val="22"/>
        </w:rPr>
      </w:pPr>
      <w:bookmarkStart w:id="84" w:name="bookmark204"/>
      <w:bookmarkEnd w:id="84"/>
      <w:r>
        <w:rPr>
          <w:rFonts w:hint="eastAsia" w:ascii="宋体" w:hAnsi="宋体"/>
          <w:color w:val="auto"/>
          <w:kern w:val="0"/>
          <w:sz w:val="24"/>
          <w:szCs w:val="22"/>
        </w:rPr>
        <w:t>11.6</w:t>
      </w:r>
      <w:r>
        <w:rPr>
          <w:rFonts w:hint="eastAsia" w:ascii="宋体" w:hAnsi="宋体"/>
          <w:color w:val="auto"/>
          <w:spacing w:val="59"/>
          <w:kern w:val="0"/>
          <w:sz w:val="24"/>
          <w:szCs w:val="22"/>
        </w:rPr>
        <w:t xml:space="preserve"> </w:t>
      </w:r>
      <w:r>
        <w:rPr>
          <w:rFonts w:hint="eastAsia" w:ascii="宋体" w:hAnsi="宋体"/>
          <w:color w:val="auto"/>
          <w:kern w:val="0"/>
          <w:sz w:val="24"/>
          <w:szCs w:val="22"/>
        </w:rPr>
        <w:t>工期提前</w:t>
      </w:r>
    </w:p>
    <w:p w14:paraId="24C9E525">
      <w:pPr>
        <w:kinsoku w:val="0"/>
        <w:overflowPunct w:val="0"/>
        <w:autoSpaceDE w:val="0"/>
        <w:autoSpaceDN w:val="0"/>
        <w:spacing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 xml:space="preserve">本款补充： </w:t>
      </w:r>
      <w:r>
        <w:rPr>
          <w:rFonts w:hint="eastAsia" w:ascii="宋体" w:hAnsi="宋体"/>
          <w:color w:val="auto"/>
          <w:spacing w:val="-3"/>
          <w:kern w:val="0"/>
          <w:sz w:val="24"/>
          <w:szCs w:val="22"/>
        </w:rPr>
        <w:t>发包人不得随意要求承包人提前交工，承包人也不得随意提出提前交工的建议。</w:t>
      </w:r>
    </w:p>
    <w:p w14:paraId="2C9B51DB">
      <w:pPr>
        <w:kinsoku w:val="0"/>
        <w:overflowPunct w:val="0"/>
        <w:autoSpaceDE w:val="0"/>
        <w:autoSpaceDN w:val="0"/>
        <w:spacing w:before="22"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如遇特殊情况，确需将工期提前的，发包人和承包人必须采取有效措施，确保工程</w:t>
      </w:r>
      <w:r>
        <w:rPr>
          <w:rFonts w:hint="eastAsia" w:ascii="宋体" w:hAnsi="宋体"/>
          <w:color w:val="auto"/>
          <w:spacing w:val="-95"/>
          <w:kern w:val="0"/>
          <w:sz w:val="24"/>
          <w:szCs w:val="22"/>
        </w:rPr>
        <w:t xml:space="preserve"> </w:t>
      </w:r>
      <w:r>
        <w:rPr>
          <w:rFonts w:hint="eastAsia" w:ascii="宋体" w:hAnsi="宋体"/>
          <w:color w:val="auto"/>
          <w:kern w:val="0"/>
          <w:sz w:val="24"/>
          <w:szCs w:val="22"/>
        </w:rPr>
        <w:t>质量。</w:t>
      </w:r>
    </w:p>
    <w:p w14:paraId="173A0778">
      <w:pPr>
        <w:kinsoku w:val="0"/>
        <w:overflowPunct w:val="0"/>
        <w:autoSpaceDE w:val="0"/>
        <w:autoSpaceDN w:val="0"/>
        <w:spacing w:before="17" w:line="240" w:lineRule="auto"/>
        <w:ind w:right="227" w:firstLine="480"/>
        <w:rPr>
          <w:rFonts w:hint="eastAsia" w:ascii="宋体" w:hAnsi="宋体"/>
          <w:color w:val="auto"/>
          <w:kern w:val="0"/>
          <w:sz w:val="24"/>
          <w:szCs w:val="22"/>
        </w:rPr>
      </w:pPr>
      <w:r>
        <w:rPr>
          <w:rFonts w:hint="eastAsia" w:ascii="宋体" w:hAnsi="宋体"/>
          <w:color w:val="auto"/>
          <w:kern w:val="0"/>
          <w:sz w:val="24"/>
          <w:szCs w:val="22"/>
        </w:rPr>
        <w:t>如果承包人提前交工，发包人支付奖金的计算方法在项目专用合同条款数据表 中约定，时间自交工验收证书中写明的实际交工日期起至预定的交工日期止，按天</w:t>
      </w:r>
      <w:r>
        <w:rPr>
          <w:rFonts w:hint="eastAsia" w:ascii="宋体" w:hAnsi="宋体"/>
          <w:color w:val="auto"/>
          <w:spacing w:val="-93"/>
          <w:kern w:val="0"/>
          <w:sz w:val="24"/>
          <w:szCs w:val="22"/>
        </w:rPr>
        <w:t xml:space="preserve"> </w:t>
      </w:r>
      <w:r>
        <w:rPr>
          <w:rFonts w:hint="eastAsia" w:ascii="宋体" w:hAnsi="宋体"/>
          <w:color w:val="auto"/>
          <w:kern w:val="0"/>
          <w:sz w:val="24"/>
          <w:szCs w:val="22"/>
        </w:rPr>
        <w:t>计算。但奖金最高限额不超过项目专用合同条款数据表中写明的限额。</w:t>
      </w:r>
    </w:p>
    <w:p w14:paraId="45CACD32">
      <w:pPr>
        <w:kinsoku w:val="0"/>
        <w:overflowPunct w:val="0"/>
        <w:autoSpaceDE w:val="0"/>
        <w:autoSpaceDN w:val="0"/>
        <w:spacing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本条补充第</w:t>
      </w:r>
      <w:r>
        <w:rPr>
          <w:rFonts w:hint="eastAsia" w:ascii="宋体" w:hAnsi="宋体"/>
          <w:color w:val="auto"/>
          <w:spacing w:val="-60"/>
          <w:kern w:val="0"/>
          <w:sz w:val="24"/>
          <w:szCs w:val="22"/>
        </w:rPr>
        <w:t xml:space="preserve"> </w:t>
      </w:r>
      <w:r>
        <w:rPr>
          <w:rFonts w:hint="eastAsia" w:ascii="宋体" w:hAnsi="宋体"/>
          <w:color w:val="auto"/>
          <w:spacing w:val="-3"/>
          <w:kern w:val="0"/>
          <w:sz w:val="24"/>
          <w:szCs w:val="22"/>
        </w:rPr>
        <w:t>11.7</w:t>
      </w:r>
      <w:r>
        <w:rPr>
          <w:rFonts w:hint="eastAsia" w:ascii="宋体" w:hAnsi="宋体"/>
          <w:color w:val="auto"/>
          <w:kern w:val="0"/>
          <w:sz w:val="24"/>
          <w:szCs w:val="22"/>
        </w:rPr>
        <w:t xml:space="preserve"> 款：</w:t>
      </w:r>
    </w:p>
    <w:p w14:paraId="311C4467">
      <w:pPr>
        <w:kinsoku w:val="0"/>
        <w:overflowPunct w:val="0"/>
        <w:autoSpaceDE w:val="0"/>
        <w:autoSpaceDN w:val="0"/>
        <w:spacing w:line="240" w:lineRule="auto"/>
        <w:ind w:firstLine="480"/>
        <w:jc w:val="left"/>
        <w:rPr>
          <w:rFonts w:hint="eastAsia" w:ascii="宋体" w:hAnsi="宋体"/>
          <w:color w:val="auto"/>
          <w:kern w:val="0"/>
          <w:sz w:val="24"/>
          <w:szCs w:val="22"/>
        </w:rPr>
      </w:pPr>
      <w:bookmarkStart w:id="85" w:name="bookmark205"/>
      <w:bookmarkEnd w:id="85"/>
      <w:r>
        <w:rPr>
          <w:rFonts w:hint="eastAsia" w:ascii="宋体" w:hAnsi="宋体"/>
          <w:color w:val="auto"/>
          <w:kern w:val="0"/>
          <w:sz w:val="24"/>
          <w:szCs w:val="22"/>
        </w:rPr>
        <w:t>11.7</w:t>
      </w:r>
      <w:r>
        <w:rPr>
          <w:rFonts w:hint="eastAsia" w:ascii="宋体" w:hAnsi="宋体"/>
          <w:color w:val="auto"/>
          <w:spacing w:val="59"/>
          <w:kern w:val="0"/>
          <w:sz w:val="24"/>
          <w:szCs w:val="22"/>
        </w:rPr>
        <w:t xml:space="preserve"> </w:t>
      </w:r>
      <w:r>
        <w:rPr>
          <w:rFonts w:hint="eastAsia" w:ascii="宋体" w:hAnsi="宋体"/>
          <w:color w:val="auto"/>
          <w:kern w:val="0"/>
          <w:sz w:val="24"/>
          <w:szCs w:val="22"/>
        </w:rPr>
        <w:t>工作时间的限制</w:t>
      </w:r>
    </w:p>
    <w:p w14:paraId="7050D5B1">
      <w:pPr>
        <w:kinsoku w:val="0"/>
        <w:overflowPunct w:val="0"/>
        <w:autoSpaceDE w:val="0"/>
        <w:autoSpaceDN w:val="0"/>
        <w:spacing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承包人在夜间或国家规定的节假日进行永久工程的施工，应向发包人报告，以 便发包人履行职责和义务。</w:t>
      </w:r>
    </w:p>
    <w:p w14:paraId="2097234E">
      <w:pPr>
        <w:kinsoku w:val="0"/>
        <w:overflowPunct w:val="0"/>
        <w:autoSpaceDE w:val="0"/>
        <w:autoSpaceDN w:val="0"/>
        <w:spacing w:before="17"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但是，为了抢救生命或保护财产，或为了工程的安全、质量而不可避免地短暂 作业，则不必事先向发包人报告。但承包人应在事后立即向发包人报告。</w:t>
      </w:r>
    </w:p>
    <w:p w14:paraId="37EE09CA">
      <w:pPr>
        <w:kinsoku w:val="0"/>
        <w:overflowPunct w:val="0"/>
        <w:autoSpaceDE w:val="0"/>
        <w:autoSpaceDN w:val="0"/>
        <w:spacing w:before="17"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本款规定不适用于习惯上或施工本身要求实行连续生产的作业。</w:t>
      </w:r>
    </w:p>
    <w:p w14:paraId="7CF49424">
      <w:pPr>
        <w:kinsoku w:val="0"/>
        <w:overflowPunct w:val="0"/>
        <w:autoSpaceDE w:val="0"/>
        <w:autoSpaceDN w:val="0"/>
        <w:spacing w:before="172" w:line="240" w:lineRule="auto"/>
        <w:jc w:val="left"/>
        <w:rPr>
          <w:rFonts w:hint="eastAsia" w:ascii="宋体" w:hAnsi="宋体"/>
          <w:color w:val="auto"/>
          <w:kern w:val="0"/>
          <w:sz w:val="28"/>
          <w:szCs w:val="28"/>
        </w:rPr>
      </w:pPr>
      <w:bookmarkStart w:id="86" w:name="bookmark206"/>
      <w:bookmarkEnd w:id="86"/>
      <w:bookmarkStart w:id="87" w:name="bookmark207"/>
      <w:bookmarkEnd w:id="87"/>
      <w:r>
        <w:rPr>
          <w:rFonts w:hint="eastAsia" w:ascii="宋体" w:hAnsi="宋体"/>
          <w:color w:val="auto"/>
          <w:kern w:val="0"/>
          <w:sz w:val="28"/>
          <w:szCs w:val="28"/>
        </w:rPr>
        <w:t>12.  暂停施工</w:t>
      </w:r>
    </w:p>
    <w:p w14:paraId="7AAB6C56">
      <w:pPr>
        <w:kinsoku w:val="0"/>
        <w:overflowPunct w:val="0"/>
        <w:autoSpaceDE w:val="0"/>
        <w:autoSpaceDN w:val="0"/>
        <w:spacing w:before="172" w:line="240" w:lineRule="auto"/>
        <w:jc w:val="left"/>
        <w:rPr>
          <w:rFonts w:hint="eastAsia" w:ascii="宋体" w:hAnsi="宋体"/>
          <w:color w:val="auto"/>
          <w:kern w:val="0"/>
          <w:sz w:val="24"/>
          <w:szCs w:val="22"/>
        </w:rPr>
      </w:pPr>
      <w:r>
        <w:rPr>
          <w:rFonts w:hint="eastAsia" w:ascii="宋体" w:hAnsi="宋体"/>
          <w:color w:val="auto"/>
          <w:kern w:val="0"/>
          <w:sz w:val="24"/>
          <w:szCs w:val="22"/>
        </w:rPr>
        <w:t>12.1</w:t>
      </w:r>
      <w:r>
        <w:rPr>
          <w:rFonts w:hint="eastAsia" w:ascii="宋体" w:hAnsi="宋体"/>
          <w:color w:val="auto"/>
          <w:spacing w:val="59"/>
          <w:kern w:val="0"/>
          <w:sz w:val="24"/>
          <w:szCs w:val="22"/>
        </w:rPr>
        <w:t xml:space="preserve"> </w:t>
      </w:r>
      <w:r>
        <w:rPr>
          <w:rFonts w:hint="eastAsia" w:ascii="宋体" w:hAnsi="宋体"/>
          <w:color w:val="auto"/>
          <w:kern w:val="0"/>
          <w:sz w:val="24"/>
          <w:szCs w:val="22"/>
        </w:rPr>
        <w:t>承包人暂停施工的责任</w:t>
      </w:r>
    </w:p>
    <w:p w14:paraId="7BEAA274">
      <w:pPr>
        <w:kinsoku w:val="0"/>
        <w:overflowPunct w:val="0"/>
        <w:autoSpaceDE w:val="0"/>
        <w:autoSpaceDN w:val="0"/>
        <w:spacing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本款第（5）项细化为：</w:t>
      </w:r>
    </w:p>
    <w:p w14:paraId="4028B55C">
      <w:pPr>
        <w:kinsoku w:val="0"/>
        <w:overflowPunct w:val="0"/>
        <w:autoSpaceDE w:val="0"/>
        <w:autoSpaceDN w:val="0"/>
        <w:spacing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（5）现场气候条件导致的必要停工（第</w:t>
      </w:r>
      <w:r>
        <w:rPr>
          <w:rFonts w:hint="eastAsia" w:ascii="宋体" w:hAnsi="宋体"/>
          <w:color w:val="auto"/>
          <w:spacing w:val="-3"/>
          <w:kern w:val="0"/>
          <w:sz w:val="24"/>
          <w:szCs w:val="22"/>
        </w:rPr>
        <w:t>11.4</w:t>
      </w:r>
      <w:r>
        <w:rPr>
          <w:rFonts w:hint="eastAsia" w:ascii="宋体" w:hAnsi="宋体"/>
          <w:color w:val="auto"/>
          <w:kern w:val="0"/>
          <w:sz w:val="24"/>
          <w:szCs w:val="22"/>
        </w:rPr>
        <w:t>款约定的异常恶劣的气候条件除</w:t>
      </w:r>
      <w:r>
        <w:rPr>
          <w:rFonts w:hint="eastAsia" w:ascii="宋体" w:hAnsi="宋体"/>
          <w:color w:val="auto"/>
          <w:spacing w:val="-41"/>
          <w:kern w:val="0"/>
          <w:sz w:val="24"/>
          <w:szCs w:val="22"/>
        </w:rPr>
        <w:t>外）；</w:t>
      </w:r>
    </w:p>
    <w:p w14:paraId="4A8F1F45">
      <w:pPr>
        <w:kinsoku w:val="0"/>
        <w:overflowPunct w:val="0"/>
        <w:autoSpaceDE w:val="0"/>
        <w:autoSpaceDN w:val="0"/>
        <w:spacing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（6）项目专用合同条款可能约定的由承包人承担的其他暂停施工。</w:t>
      </w:r>
    </w:p>
    <w:p w14:paraId="31985768">
      <w:pPr>
        <w:kinsoku w:val="0"/>
        <w:overflowPunct w:val="0"/>
        <w:autoSpaceDE w:val="0"/>
        <w:autoSpaceDN w:val="0"/>
        <w:spacing w:line="240" w:lineRule="auto"/>
        <w:jc w:val="left"/>
        <w:rPr>
          <w:rFonts w:hint="eastAsia" w:ascii="宋体" w:hAnsi="宋体"/>
          <w:color w:val="auto"/>
          <w:kern w:val="0"/>
          <w:sz w:val="28"/>
          <w:szCs w:val="28"/>
        </w:rPr>
      </w:pPr>
      <w:bookmarkStart w:id="88" w:name="bookmark208"/>
      <w:bookmarkEnd w:id="88"/>
      <w:r>
        <w:rPr>
          <w:rFonts w:hint="eastAsia" w:ascii="宋体" w:hAnsi="宋体"/>
          <w:color w:val="auto"/>
          <w:kern w:val="0"/>
          <w:sz w:val="28"/>
          <w:szCs w:val="28"/>
        </w:rPr>
        <w:t>13.  工程质量</w:t>
      </w:r>
    </w:p>
    <w:p w14:paraId="28F9B8F2">
      <w:pPr>
        <w:kinsoku w:val="0"/>
        <w:overflowPunct w:val="0"/>
        <w:autoSpaceDE w:val="0"/>
        <w:autoSpaceDN w:val="0"/>
        <w:spacing w:line="240" w:lineRule="auto"/>
        <w:jc w:val="left"/>
        <w:rPr>
          <w:rFonts w:hint="eastAsia" w:ascii="宋体" w:hAnsi="宋体"/>
          <w:color w:val="auto"/>
          <w:kern w:val="0"/>
          <w:sz w:val="24"/>
          <w:szCs w:val="22"/>
        </w:rPr>
      </w:pPr>
      <w:bookmarkStart w:id="89" w:name="bookmark209"/>
      <w:bookmarkEnd w:id="89"/>
      <w:r>
        <w:rPr>
          <w:rFonts w:hint="eastAsia" w:ascii="宋体" w:hAnsi="宋体"/>
          <w:color w:val="auto"/>
          <w:kern w:val="0"/>
          <w:sz w:val="24"/>
          <w:szCs w:val="22"/>
        </w:rPr>
        <w:t>13.1</w:t>
      </w:r>
      <w:r>
        <w:rPr>
          <w:rFonts w:hint="eastAsia" w:ascii="宋体" w:hAnsi="宋体"/>
          <w:color w:val="auto"/>
          <w:spacing w:val="59"/>
          <w:kern w:val="0"/>
          <w:sz w:val="24"/>
          <w:szCs w:val="22"/>
        </w:rPr>
        <w:t xml:space="preserve"> </w:t>
      </w:r>
      <w:r>
        <w:rPr>
          <w:rFonts w:hint="eastAsia" w:ascii="宋体" w:hAnsi="宋体"/>
          <w:color w:val="auto"/>
          <w:kern w:val="0"/>
          <w:sz w:val="24"/>
          <w:szCs w:val="22"/>
        </w:rPr>
        <w:t>工程质量要求</w:t>
      </w:r>
    </w:p>
    <w:p w14:paraId="59633B26">
      <w:pPr>
        <w:kinsoku w:val="0"/>
        <w:overflowPunct w:val="0"/>
        <w:autoSpaceDE w:val="0"/>
        <w:autoSpaceDN w:val="0"/>
        <w:spacing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第</w:t>
      </w:r>
      <w:r>
        <w:rPr>
          <w:rFonts w:hint="eastAsia" w:ascii="宋体" w:hAnsi="宋体"/>
          <w:color w:val="auto"/>
          <w:spacing w:val="-60"/>
          <w:kern w:val="0"/>
          <w:sz w:val="24"/>
          <w:szCs w:val="22"/>
        </w:rPr>
        <w:t xml:space="preserve"> </w:t>
      </w:r>
      <w:r>
        <w:rPr>
          <w:rFonts w:hint="eastAsia" w:ascii="宋体" w:hAnsi="宋体"/>
          <w:color w:val="auto"/>
          <w:kern w:val="0"/>
          <w:sz w:val="24"/>
          <w:szCs w:val="22"/>
        </w:rPr>
        <w:t>13.1.1 项约定为：工程质量验收按技术规范及《公路工程质量检验评定标准》执行。</w:t>
      </w:r>
    </w:p>
    <w:p w14:paraId="3925820E">
      <w:pPr>
        <w:kinsoku w:val="0"/>
        <w:overflowPunct w:val="0"/>
        <w:autoSpaceDE w:val="0"/>
        <w:autoSpaceDN w:val="0"/>
        <w:spacing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本款补充第</w:t>
      </w:r>
      <w:r>
        <w:rPr>
          <w:rFonts w:hint="eastAsia" w:ascii="宋体" w:hAnsi="宋体"/>
          <w:color w:val="auto"/>
          <w:spacing w:val="-60"/>
          <w:kern w:val="0"/>
          <w:sz w:val="24"/>
          <w:szCs w:val="22"/>
        </w:rPr>
        <w:t xml:space="preserve"> </w:t>
      </w:r>
      <w:r>
        <w:rPr>
          <w:rFonts w:hint="eastAsia" w:ascii="宋体" w:hAnsi="宋体"/>
          <w:color w:val="auto"/>
          <w:kern w:val="0"/>
          <w:sz w:val="24"/>
          <w:szCs w:val="22"/>
        </w:rPr>
        <w:t>13.1.4 项、第</w:t>
      </w:r>
      <w:r>
        <w:rPr>
          <w:rFonts w:hint="eastAsia" w:ascii="宋体" w:hAnsi="宋体"/>
          <w:color w:val="auto"/>
          <w:spacing w:val="-60"/>
          <w:kern w:val="0"/>
          <w:sz w:val="24"/>
          <w:szCs w:val="22"/>
        </w:rPr>
        <w:t xml:space="preserve"> </w:t>
      </w:r>
      <w:r>
        <w:rPr>
          <w:rFonts w:hint="eastAsia" w:ascii="宋体" w:hAnsi="宋体"/>
          <w:color w:val="auto"/>
          <w:kern w:val="0"/>
          <w:sz w:val="24"/>
          <w:szCs w:val="22"/>
        </w:rPr>
        <w:t>13.1.5 项：</w:t>
      </w:r>
    </w:p>
    <w:p w14:paraId="164C899E">
      <w:pPr>
        <w:kinsoku w:val="0"/>
        <w:overflowPunct w:val="0"/>
        <w:autoSpaceDE w:val="0"/>
        <w:autoSpaceDN w:val="0"/>
        <w:spacing w:before="66" w:line="240" w:lineRule="auto"/>
        <w:ind w:right="228" w:firstLine="480"/>
        <w:rPr>
          <w:rFonts w:hint="eastAsia" w:ascii="宋体" w:hAnsi="宋体"/>
          <w:color w:val="auto"/>
          <w:kern w:val="0"/>
          <w:sz w:val="24"/>
          <w:szCs w:val="22"/>
        </w:rPr>
      </w:pPr>
      <w:r>
        <w:rPr>
          <w:rFonts w:hint="eastAsia" w:ascii="宋体" w:hAnsi="宋体"/>
          <w:color w:val="auto"/>
          <w:kern w:val="0"/>
          <w:sz w:val="24"/>
          <w:szCs w:val="22"/>
        </w:rPr>
        <w:t>13.1.4</w:t>
      </w:r>
      <w:r>
        <w:rPr>
          <w:rFonts w:hint="eastAsia" w:ascii="宋体" w:hAnsi="宋体"/>
          <w:color w:val="auto"/>
          <w:spacing w:val="26"/>
          <w:kern w:val="0"/>
          <w:sz w:val="24"/>
          <w:szCs w:val="22"/>
        </w:rPr>
        <w:t xml:space="preserve"> </w:t>
      </w:r>
      <w:r>
        <w:rPr>
          <w:rFonts w:hint="eastAsia" w:ascii="宋体" w:hAnsi="宋体"/>
          <w:color w:val="auto"/>
          <w:kern w:val="0"/>
          <w:sz w:val="24"/>
          <w:szCs w:val="22"/>
        </w:rPr>
        <w:t>发包人和承包人应严格遵守《关于严格落实公路工程质量责任制的若干 意见》的相关规定，认真执行工程质量责任登记制度并按要求填写工程质量责任登</w:t>
      </w:r>
      <w:r>
        <w:rPr>
          <w:rFonts w:hint="eastAsia" w:ascii="宋体" w:hAnsi="宋体"/>
          <w:color w:val="auto"/>
          <w:spacing w:val="-92"/>
          <w:kern w:val="0"/>
          <w:sz w:val="24"/>
          <w:szCs w:val="22"/>
        </w:rPr>
        <w:t xml:space="preserve"> </w:t>
      </w:r>
      <w:r>
        <w:rPr>
          <w:rFonts w:hint="eastAsia" w:ascii="宋体" w:hAnsi="宋体"/>
          <w:color w:val="auto"/>
          <w:kern w:val="0"/>
          <w:sz w:val="24"/>
          <w:szCs w:val="22"/>
        </w:rPr>
        <w:t>记表。</w:t>
      </w:r>
    </w:p>
    <w:p w14:paraId="3D4A3A49">
      <w:pPr>
        <w:kinsoku w:val="0"/>
        <w:overflowPunct w:val="0"/>
        <w:autoSpaceDE w:val="0"/>
        <w:autoSpaceDN w:val="0"/>
        <w:spacing w:before="26" w:line="240" w:lineRule="auto"/>
        <w:ind w:right="104" w:firstLine="480"/>
        <w:rPr>
          <w:rFonts w:hint="eastAsia" w:ascii="宋体" w:hAnsi="宋体"/>
          <w:color w:val="auto"/>
          <w:kern w:val="0"/>
          <w:sz w:val="24"/>
          <w:szCs w:val="22"/>
        </w:rPr>
      </w:pPr>
      <w:bookmarkStart w:id="90" w:name="bookmark210"/>
      <w:bookmarkEnd w:id="90"/>
      <w:r>
        <w:rPr>
          <w:rFonts w:hint="eastAsia" w:ascii="宋体" w:hAnsi="宋体"/>
          <w:color w:val="auto"/>
          <w:kern w:val="0"/>
          <w:sz w:val="24"/>
          <w:szCs w:val="22"/>
        </w:rPr>
        <w:t>13.1.5</w:t>
      </w:r>
      <w:r>
        <w:rPr>
          <w:rFonts w:hint="eastAsia" w:ascii="宋体" w:hAnsi="宋体"/>
          <w:color w:val="auto"/>
          <w:spacing w:val="5"/>
          <w:kern w:val="0"/>
          <w:sz w:val="24"/>
          <w:szCs w:val="22"/>
        </w:rPr>
        <w:t xml:space="preserve"> </w:t>
      </w:r>
      <w:r>
        <w:rPr>
          <w:rFonts w:hint="eastAsia" w:ascii="宋体" w:hAnsi="宋体"/>
          <w:color w:val="auto"/>
          <w:kern w:val="0"/>
          <w:sz w:val="24"/>
          <w:szCs w:val="22"/>
        </w:rPr>
        <w:t xml:space="preserve">本项目严格执行质量责任追究制度。质量事故处理实行“四不放过”原则： </w:t>
      </w:r>
      <w:r>
        <w:rPr>
          <w:rFonts w:hint="eastAsia" w:ascii="宋体" w:hAnsi="宋体"/>
          <w:color w:val="auto"/>
          <w:spacing w:val="-3"/>
          <w:kern w:val="0"/>
          <w:sz w:val="24"/>
          <w:szCs w:val="22"/>
        </w:rPr>
        <w:t>事故原因调查不清不放过；事故责任者没有受到教育不放过；没有防范措施不放过；</w:t>
      </w:r>
      <w:r>
        <w:rPr>
          <w:rFonts w:hint="eastAsia" w:ascii="宋体" w:hAnsi="宋体"/>
          <w:color w:val="auto"/>
          <w:spacing w:val="-97"/>
          <w:kern w:val="0"/>
          <w:sz w:val="24"/>
          <w:szCs w:val="22"/>
        </w:rPr>
        <w:t xml:space="preserve"> </w:t>
      </w:r>
      <w:r>
        <w:rPr>
          <w:rFonts w:hint="eastAsia" w:ascii="宋体" w:hAnsi="宋体"/>
          <w:color w:val="auto"/>
          <w:kern w:val="0"/>
          <w:sz w:val="24"/>
          <w:szCs w:val="22"/>
        </w:rPr>
        <w:t>相关责任人没受到处理不放过。</w:t>
      </w:r>
    </w:p>
    <w:p w14:paraId="0034D74A">
      <w:pPr>
        <w:kinsoku w:val="0"/>
        <w:overflowPunct w:val="0"/>
        <w:autoSpaceDE w:val="0"/>
        <w:autoSpaceDN w:val="0"/>
        <w:spacing w:before="26" w:line="240" w:lineRule="auto"/>
        <w:ind w:right="104"/>
        <w:rPr>
          <w:rFonts w:hint="eastAsia" w:ascii="宋体" w:hAnsi="宋体"/>
          <w:color w:val="auto"/>
          <w:kern w:val="0"/>
          <w:sz w:val="24"/>
          <w:szCs w:val="22"/>
        </w:rPr>
      </w:pPr>
      <w:r>
        <w:rPr>
          <w:rFonts w:hint="eastAsia" w:ascii="宋体" w:hAnsi="宋体"/>
          <w:color w:val="auto"/>
          <w:kern w:val="0"/>
          <w:sz w:val="24"/>
          <w:szCs w:val="22"/>
        </w:rPr>
        <w:t>13.2承包人的质量管理</w:t>
      </w:r>
    </w:p>
    <w:p w14:paraId="03183F1C">
      <w:pPr>
        <w:kinsoku w:val="0"/>
        <w:overflowPunct w:val="0"/>
        <w:autoSpaceDE w:val="0"/>
        <w:autoSpaceDN w:val="0"/>
        <w:spacing w:before="26" w:line="240" w:lineRule="auto"/>
        <w:ind w:right="104" w:firstLine="480"/>
        <w:rPr>
          <w:rFonts w:hint="eastAsia" w:ascii="宋体" w:hAnsi="宋体"/>
          <w:color w:val="auto"/>
          <w:kern w:val="0"/>
          <w:sz w:val="24"/>
          <w:szCs w:val="22"/>
        </w:rPr>
      </w:pPr>
      <w:r>
        <w:rPr>
          <w:rFonts w:hint="eastAsia" w:ascii="宋体" w:hAnsi="宋体"/>
          <w:color w:val="auto"/>
          <w:kern w:val="0"/>
          <w:sz w:val="24"/>
          <w:szCs w:val="22"/>
        </w:rPr>
        <w:t>第</w:t>
      </w:r>
      <w:r>
        <w:rPr>
          <w:rFonts w:hint="eastAsia" w:ascii="宋体" w:hAnsi="宋体"/>
          <w:color w:val="auto"/>
          <w:spacing w:val="-60"/>
          <w:kern w:val="0"/>
          <w:sz w:val="24"/>
          <w:szCs w:val="22"/>
        </w:rPr>
        <w:t xml:space="preserve"> </w:t>
      </w:r>
      <w:r>
        <w:rPr>
          <w:rFonts w:hint="eastAsia" w:ascii="宋体" w:hAnsi="宋体"/>
          <w:color w:val="auto"/>
          <w:kern w:val="0"/>
          <w:sz w:val="24"/>
          <w:szCs w:val="22"/>
        </w:rPr>
        <w:t>13.2.1 项补充：</w:t>
      </w:r>
    </w:p>
    <w:p w14:paraId="5AF0BB6B">
      <w:pPr>
        <w:kinsoku w:val="0"/>
        <w:overflowPunct w:val="0"/>
        <w:autoSpaceDE w:val="0"/>
        <w:autoSpaceDN w:val="0"/>
        <w:spacing w:before="26" w:line="240" w:lineRule="auto"/>
        <w:ind w:right="104" w:firstLine="480"/>
        <w:rPr>
          <w:rFonts w:hint="eastAsia" w:ascii="宋体" w:hAnsi="宋体"/>
          <w:color w:val="auto"/>
          <w:kern w:val="0"/>
          <w:sz w:val="24"/>
          <w:szCs w:val="22"/>
        </w:rPr>
      </w:pPr>
      <w:r>
        <w:rPr>
          <w:rFonts w:hint="eastAsia" w:ascii="宋体" w:hAnsi="宋体"/>
          <w:color w:val="auto"/>
          <w:kern w:val="0"/>
          <w:sz w:val="24"/>
          <w:szCs w:val="22"/>
        </w:rPr>
        <w:t>承包人提交工程质量保证措施文件的期限：签订合同协议书后</w:t>
      </w:r>
      <w:r>
        <w:rPr>
          <w:rFonts w:hint="eastAsia" w:ascii="宋体" w:hAnsi="宋体"/>
          <w:color w:val="auto"/>
          <w:spacing w:val="-60"/>
          <w:kern w:val="0"/>
          <w:sz w:val="24"/>
          <w:szCs w:val="22"/>
        </w:rPr>
        <w:t xml:space="preserve"> </w:t>
      </w:r>
      <w:r>
        <w:rPr>
          <w:rFonts w:hint="eastAsia" w:ascii="宋体" w:hAnsi="宋体"/>
          <w:color w:val="auto"/>
          <w:kern w:val="0"/>
          <w:sz w:val="24"/>
          <w:szCs w:val="22"/>
        </w:rPr>
        <w:t>28 天之内。</w:t>
      </w:r>
    </w:p>
    <w:p w14:paraId="73FE87F4">
      <w:pPr>
        <w:kinsoku w:val="0"/>
        <w:overflowPunct w:val="0"/>
        <w:autoSpaceDE w:val="0"/>
        <w:autoSpaceDN w:val="0"/>
        <w:spacing w:before="26" w:line="240" w:lineRule="auto"/>
        <w:ind w:right="104" w:firstLine="480"/>
        <w:rPr>
          <w:rFonts w:hint="eastAsia" w:ascii="宋体" w:hAnsi="宋体"/>
          <w:color w:val="auto"/>
          <w:kern w:val="0"/>
          <w:sz w:val="24"/>
          <w:szCs w:val="22"/>
        </w:rPr>
      </w:pPr>
      <w:r>
        <w:rPr>
          <w:rFonts w:hint="eastAsia" w:ascii="宋体" w:hAnsi="宋体"/>
          <w:color w:val="auto"/>
          <w:kern w:val="0"/>
          <w:sz w:val="24"/>
          <w:szCs w:val="22"/>
        </w:rPr>
        <w:t>本款补充第</w:t>
      </w:r>
      <w:r>
        <w:rPr>
          <w:rFonts w:hint="eastAsia" w:ascii="宋体" w:hAnsi="宋体"/>
          <w:color w:val="auto"/>
          <w:spacing w:val="-61"/>
          <w:kern w:val="0"/>
          <w:sz w:val="24"/>
          <w:szCs w:val="22"/>
        </w:rPr>
        <w:t xml:space="preserve"> </w:t>
      </w:r>
      <w:r>
        <w:rPr>
          <w:rFonts w:hint="eastAsia" w:ascii="宋体" w:hAnsi="宋体"/>
          <w:color w:val="auto"/>
          <w:kern w:val="0"/>
          <w:sz w:val="24"/>
          <w:szCs w:val="22"/>
        </w:rPr>
        <w:t>13.2.3</w:t>
      </w:r>
      <w:r>
        <w:rPr>
          <w:rFonts w:hint="eastAsia" w:ascii="宋体" w:hAnsi="宋体"/>
          <w:color w:val="auto"/>
          <w:spacing w:val="-1"/>
          <w:kern w:val="0"/>
          <w:sz w:val="24"/>
          <w:szCs w:val="22"/>
        </w:rPr>
        <w:t xml:space="preserve"> </w:t>
      </w:r>
      <w:r>
        <w:rPr>
          <w:rFonts w:hint="eastAsia" w:ascii="宋体" w:hAnsi="宋体"/>
          <w:color w:val="auto"/>
          <w:kern w:val="0"/>
          <w:sz w:val="24"/>
          <w:szCs w:val="22"/>
        </w:rPr>
        <w:t>项~第</w:t>
      </w:r>
      <w:r>
        <w:rPr>
          <w:rFonts w:hint="eastAsia" w:ascii="宋体" w:hAnsi="宋体"/>
          <w:color w:val="auto"/>
          <w:spacing w:val="-61"/>
          <w:kern w:val="0"/>
          <w:sz w:val="24"/>
          <w:szCs w:val="22"/>
        </w:rPr>
        <w:t xml:space="preserve"> </w:t>
      </w:r>
      <w:r>
        <w:rPr>
          <w:rFonts w:hint="eastAsia" w:ascii="宋体" w:hAnsi="宋体"/>
          <w:color w:val="auto"/>
          <w:kern w:val="0"/>
          <w:sz w:val="24"/>
          <w:szCs w:val="22"/>
        </w:rPr>
        <w:t>13.2.10</w:t>
      </w:r>
      <w:r>
        <w:rPr>
          <w:rFonts w:hint="eastAsia" w:ascii="宋体" w:hAnsi="宋体"/>
          <w:color w:val="auto"/>
          <w:spacing w:val="-1"/>
          <w:kern w:val="0"/>
          <w:sz w:val="24"/>
          <w:szCs w:val="22"/>
        </w:rPr>
        <w:t xml:space="preserve"> </w:t>
      </w:r>
      <w:r>
        <w:rPr>
          <w:rFonts w:hint="eastAsia" w:ascii="宋体" w:hAnsi="宋体"/>
          <w:color w:val="auto"/>
          <w:kern w:val="0"/>
          <w:sz w:val="24"/>
          <w:szCs w:val="22"/>
        </w:rPr>
        <w:t>项：</w:t>
      </w:r>
    </w:p>
    <w:p w14:paraId="7965C773">
      <w:pPr>
        <w:kinsoku w:val="0"/>
        <w:overflowPunct w:val="0"/>
        <w:autoSpaceDE w:val="0"/>
        <w:autoSpaceDN w:val="0"/>
        <w:spacing w:before="26" w:line="240" w:lineRule="auto"/>
        <w:ind w:right="104" w:firstLine="480"/>
        <w:rPr>
          <w:rFonts w:hint="eastAsia" w:ascii="宋体" w:hAnsi="宋体"/>
          <w:color w:val="auto"/>
          <w:kern w:val="0"/>
          <w:sz w:val="24"/>
          <w:szCs w:val="22"/>
        </w:rPr>
      </w:pPr>
      <w:r>
        <w:rPr>
          <w:rFonts w:hint="eastAsia" w:ascii="宋体" w:hAnsi="宋体"/>
          <w:color w:val="auto"/>
          <w:kern w:val="0"/>
          <w:sz w:val="24"/>
          <w:szCs w:val="22"/>
        </w:rPr>
        <w:t>13.2.3</w:t>
      </w:r>
      <w:r>
        <w:rPr>
          <w:rFonts w:hint="eastAsia" w:ascii="宋体" w:hAnsi="宋体"/>
          <w:color w:val="auto"/>
          <w:spacing w:val="25"/>
          <w:kern w:val="0"/>
          <w:sz w:val="24"/>
          <w:szCs w:val="22"/>
        </w:rPr>
        <w:t xml:space="preserve"> </w:t>
      </w:r>
      <w:r>
        <w:rPr>
          <w:rFonts w:hint="eastAsia" w:ascii="宋体" w:hAnsi="宋体"/>
          <w:color w:val="auto"/>
          <w:kern w:val="0"/>
          <w:sz w:val="24"/>
          <w:szCs w:val="22"/>
        </w:rPr>
        <w:t>公路工程施行质量责任终身制。承包人应当书面明确相应的项目负责人 和质量负责人。承包人的相关人员按照国家法律法规和有关规定在工程合理使用年</w:t>
      </w:r>
      <w:r>
        <w:rPr>
          <w:rFonts w:hint="eastAsia" w:ascii="宋体" w:hAnsi="宋体"/>
          <w:color w:val="auto"/>
          <w:spacing w:val="-95"/>
          <w:kern w:val="0"/>
          <w:sz w:val="24"/>
          <w:szCs w:val="22"/>
        </w:rPr>
        <w:t xml:space="preserve"> </w:t>
      </w:r>
      <w:r>
        <w:rPr>
          <w:rFonts w:hint="eastAsia" w:ascii="宋体" w:hAnsi="宋体"/>
          <w:color w:val="auto"/>
          <w:kern w:val="0"/>
          <w:sz w:val="24"/>
          <w:szCs w:val="22"/>
        </w:rPr>
        <w:t>限内承担相应的质量责任。</w:t>
      </w:r>
    </w:p>
    <w:p w14:paraId="7BCA9A48">
      <w:pPr>
        <w:kinsoku w:val="0"/>
        <w:overflowPunct w:val="0"/>
        <w:autoSpaceDE w:val="0"/>
        <w:autoSpaceDN w:val="0"/>
        <w:spacing w:before="26" w:line="240" w:lineRule="auto"/>
        <w:ind w:right="104" w:firstLine="480"/>
        <w:rPr>
          <w:rFonts w:hint="eastAsia" w:ascii="宋体" w:hAnsi="宋体"/>
          <w:color w:val="auto"/>
          <w:kern w:val="0"/>
          <w:sz w:val="24"/>
          <w:szCs w:val="22"/>
        </w:rPr>
      </w:pPr>
      <w:r>
        <w:rPr>
          <w:rFonts w:hint="eastAsia" w:ascii="宋体" w:hAnsi="宋体"/>
          <w:color w:val="auto"/>
          <w:kern w:val="0"/>
          <w:sz w:val="24"/>
          <w:szCs w:val="22"/>
        </w:rPr>
        <w:t>13.2.4</w:t>
      </w:r>
      <w:r>
        <w:rPr>
          <w:rFonts w:hint="eastAsia" w:ascii="宋体" w:hAnsi="宋体"/>
          <w:color w:val="auto"/>
          <w:spacing w:val="13"/>
          <w:kern w:val="0"/>
          <w:sz w:val="24"/>
          <w:szCs w:val="22"/>
        </w:rPr>
        <w:t xml:space="preserve"> </w:t>
      </w:r>
      <w:r>
        <w:rPr>
          <w:rFonts w:hint="eastAsia" w:ascii="宋体" w:hAnsi="宋体"/>
          <w:color w:val="auto"/>
          <w:kern w:val="0"/>
          <w:sz w:val="24"/>
          <w:szCs w:val="22"/>
        </w:rPr>
        <w:t xml:space="preserve">承包人应当建立健全工程质量保证体系，制定质量管理制度，强化工程 </w:t>
      </w:r>
      <w:r>
        <w:rPr>
          <w:rFonts w:hint="eastAsia" w:ascii="宋体" w:hAnsi="宋体"/>
          <w:color w:val="auto"/>
          <w:spacing w:val="-3"/>
          <w:kern w:val="0"/>
          <w:sz w:val="24"/>
          <w:szCs w:val="22"/>
        </w:rPr>
        <w:t>质量管理措施，完善工程质量目标保障机制；严格遵守国家有关法律、法规和规章，</w:t>
      </w:r>
      <w:r>
        <w:rPr>
          <w:rFonts w:hint="eastAsia" w:ascii="宋体" w:hAnsi="宋体"/>
          <w:color w:val="auto"/>
          <w:spacing w:val="-96"/>
          <w:kern w:val="0"/>
          <w:sz w:val="24"/>
          <w:szCs w:val="22"/>
        </w:rPr>
        <w:t xml:space="preserve"> </w:t>
      </w:r>
      <w:r>
        <w:rPr>
          <w:rFonts w:hint="eastAsia" w:ascii="宋体" w:hAnsi="宋体"/>
          <w:color w:val="auto"/>
          <w:spacing w:val="-3"/>
          <w:kern w:val="0"/>
          <w:sz w:val="24"/>
          <w:szCs w:val="22"/>
        </w:rPr>
        <w:t>严格执行公路工程强制性技术标准、各类技术规范及规程，全面履行工程合同义务。</w:t>
      </w:r>
    </w:p>
    <w:p w14:paraId="0BCDA88C">
      <w:pPr>
        <w:kinsoku w:val="0"/>
        <w:overflowPunct w:val="0"/>
        <w:autoSpaceDE w:val="0"/>
        <w:autoSpaceDN w:val="0"/>
        <w:spacing w:before="26" w:line="240" w:lineRule="auto"/>
        <w:ind w:right="104" w:firstLine="480"/>
        <w:rPr>
          <w:rFonts w:hint="eastAsia" w:ascii="宋体" w:hAnsi="宋体"/>
          <w:color w:val="auto"/>
          <w:kern w:val="0"/>
          <w:sz w:val="24"/>
          <w:szCs w:val="22"/>
        </w:rPr>
      </w:pPr>
      <w:r>
        <w:rPr>
          <w:rFonts w:hint="eastAsia" w:ascii="宋体" w:hAnsi="宋体"/>
          <w:color w:val="auto"/>
          <w:kern w:val="0"/>
          <w:sz w:val="24"/>
          <w:szCs w:val="22"/>
        </w:rPr>
        <w:t>13.2.5</w:t>
      </w:r>
      <w:r>
        <w:rPr>
          <w:rFonts w:hint="eastAsia" w:ascii="宋体" w:hAnsi="宋体"/>
          <w:color w:val="auto"/>
          <w:spacing w:val="25"/>
          <w:kern w:val="0"/>
          <w:sz w:val="24"/>
          <w:szCs w:val="22"/>
        </w:rPr>
        <w:t xml:space="preserve"> </w:t>
      </w:r>
      <w:r>
        <w:rPr>
          <w:rFonts w:hint="eastAsia" w:ascii="宋体" w:hAnsi="宋体"/>
          <w:color w:val="auto"/>
          <w:kern w:val="0"/>
          <w:sz w:val="24"/>
          <w:szCs w:val="22"/>
        </w:rPr>
        <w:t>承包人对工程施工质量负责，应当按合同约定设立现场质量管理机构、 配备工程技术人员和质量管理人员，落实工程施工质量责任制。</w:t>
      </w:r>
    </w:p>
    <w:p w14:paraId="7E0F8D8B">
      <w:pPr>
        <w:kinsoku w:val="0"/>
        <w:overflowPunct w:val="0"/>
        <w:autoSpaceDE w:val="0"/>
        <w:autoSpaceDN w:val="0"/>
        <w:spacing w:before="26" w:line="240" w:lineRule="auto"/>
        <w:ind w:right="104" w:firstLine="480"/>
        <w:rPr>
          <w:rFonts w:hint="eastAsia" w:ascii="宋体" w:hAnsi="宋体"/>
          <w:color w:val="auto"/>
          <w:kern w:val="0"/>
          <w:sz w:val="24"/>
          <w:szCs w:val="22"/>
        </w:rPr>
      </w:pPr>
      <w:r>
        <w:rPr>
          <w:rFonts w:hint="eastAsia" w:ascii="宋体" w:hAnsi="宋体"/>
          <w:color w:val="auto"/>
          <w:kern w:val="0"/>
          <w:sz w:val="24"/>
          <w:szCs w:val="22"/>
        </w:rPr>
        <w:t>13.2.6</w:t>
      </w:r>
      <w:r>
        <w:rPr>
          <w:rFonts w:hint="eastAsia" w:ascii="宋体" w:hAnsi="宋体"/>
          <w:color w:val="auto"/>
          <w:spacing w:val="13"/>
          <w:kern w:val="0"/>
          <w:sz w:val="24"/>
          <w:szCs w:val="22"/>
        </w:rPr>
        <w:t xml:space="preserve"> </w:t>
      </w:r>
      <w:r>
        <w:rPr>
          <w:rFonts w:hint="eastAsia" w:ascii="宋体" w:hAnsi="宋体"/>
          <w:color w:val="auto"/>
          <w:kern w:val="0"/>
          <w:sz w:val="24"/>
          <w:szCs w:val="22"/>
        </w:rPr>
        <w:t xml:space="preserve">承包人应当严格按照工程设计图纸、施工技术标准和合同约定施工，对 </w:t>
      </w:r>
      <w:r>
        <w:rPr>
          <w:rFonts w:hint="eastAsia" w:ascii="宋体" w:hAnsi="宋体"/>
          <w:color w:val="auto"/>
          <w:spacing w:val="-3"/>
          <w:kern w:val="0"/>
          <w:sz w:val="24"/>
          <w:szCs w:val="22"/>
        </w:rPr>
        <w:t>原材料、混合料、构配件、工程实体、机电设备等进行检验；按规定施行班组自检、</w:t>
      </w:r>
      <w:r>
        <w:rPr>
          <w:rFonts w:hint="eastAsia" w:ascii="宋体" w:hAnsi="宋体"/>
          <w:color w:val="auto"/>
          <w:spacing w:val="-94"/>
          <w:kern w:val="0"/>
          <w:sz w:val="24"/>
          <w:szCs w:val="22"/>
        </w:rPr>
        <w:t xml:space="preserve"> </w:t>
      </w:r>
      <w:r>
        <w:rPr>
          <w:rFonts w:hint="eastAsia" w:ascii="宋体" w:hAnsi="宋体"/>
          <w:color w:val="auto"/>
          <w:kern w:val="0"/>
          <w:sz w:val="24"/>
          <w:szCs w:val="22"/>
        </w:rPr>
        <w:t>工序交接检、专职质检员检验的质量控制程序；对分项工程、分部工程和单位工程</w:t>
      </w:r>
      <w:r>
        <w:rPr>
          <w:rFonts w:hint="eastAsia" w:ascii="宋体" w:hAnsi="宋体"/>
          <w:color w:val="auto"/>
          <w:spacing w:val="-95"/>
          <w:kern w:val="0"/>
          <w:sz w:val="24"/>
          <w:szCs w:val="22"/>
        </w:rPr>
        <w:t xml:space="preserve"> </w:t>
      </w:r>
      <w:r>
        <w:rPr>
          <w:rFonts w:hint="eastAsia" w:ascii="宋体" w:hAnsi="宋体"/>
          <w:color w:val="auto"/>
          <w:kern w:val="0"/>
          <w:sz w:val="24"/>
          <w:szCs w:val="22"/>
        </w:rPr>
        <w:t>进行质量自评。检验或者自评不合格的，不得进入下道工序或者投入使用。</w:t>
      </w:r>
    </w:p>
    <w:p w14:paraId="24466174">
      <w:pPr>
        <w:kinsoku w:val="0"/>
        <w:overflowPunct w:val="0"/>
        <w:autoSpaceDE w:val="0"/>
        <w:autoSpaceDN w:val="0"/>
        <w:spacing w:before="26" w:line="240" w:lineRule="auto"/>
        <w:ind w:right="104" w:firstLine="480"/>
        <w:rPr>
          <w:rFonts w:hint="eastAsia" w:ascii="宋体" w:hAnsi="宋体"/>
          <w:color w:val="auto"/>
          <w:kern w:val="0"/>
          <w:sz w:val="24"/>
          <w:szCs w:val="22"/>
        </w:rPr>
      </w:pPr>
      <w:r>
        <w:rPr>
          <w:rFonts w:hint="eastAsia" w:ascii="宋体" w:hAnsi="宋体"/>
          <w:color w:val="auto"/>
          <w:kern w:val="0"/>
          <w:sz w:val="24"/>
          <w:szCs w:val="22"/>
        </w:rPr>
        <w:t>13.2.7</w:t>
      </w:r>
      <w:r>
        <w:rPr>
          <w:rFonts w:hint="eastAsia" w:ascii="宋体" w:hAnsi="宋体"/>
          <w:color w:val="auto"/>
          <w:spacing w:val="25"/>
          <w:kern w:val="0"/>
          <w:sz w:val="24"/>
          <w:szCs w:val="22"/>
        </w:rPr>
        <w:t xml:space="preserve"> </w:t>
      </w:r>
      <w:r>
        <w:rPr>
          <w:rFonts w:hint="eastAsia" w:ascii="宋体" w:hAnsi="宋体"/>
          <w:color w:val="auto"/>
          <w:kern w:val="0"/>
          <w:sz w:val="24"/>
          <w:szCs w:val="22"/>
        </w:rPr>
        <w:t>承包人应当加强施工过程质量控制，并形成完整、可追溯的施工质量管 理资料，主体工程的隐蔽部位施工还应当保留影像资料。对施工中出现的质量问题</w:t>
      </w:r>
      <w:r>
        <w:rPr>
          <w:rFonts w:hint="eastAsia" w:ascii="宋体" w:hAnsi="宋体"/>
          <w:color w:val="auto"/>
          <w:spacing w:val="-95"/>
          <w:kern w:val="0"/>
          <w:sz w:val="24"/>
          <w:szCs w:val="22"/>
        </w:rPr>
        <w:t xml:space="preserve"> </w:t>
      </w:r>
      <w:r>
        <w:rPr>
          <w:rFonts w:hint="eastAsia" w:ascii="宋体" w:hAnsi="宋体"/>
          <w:color w:val="auto"/>
          <w:kern w:val="0"/>
          <w:sz w:val="24"/>
          <w:szCs w:val="22"/>
        </w:rPr>
        <w:t>或者验收不合格的工程，应当负责返工处理。</w:t>
      </w:r>
    </w:p>
    <w:p w14:paraId="6017BD7C">
      <w:pPr>
        <w:kinsoku w:val="0"/>
        <w:overflowPunct w:val="0"/>
        <w:autoSpaceDE w:val="0"/>
        <w:autoSpaceDN w:val="0"/>
        <w:spacing w:before="26" w:line="240" w:lineRule="auto"/>
        <w:ind w:right="104" w:firstLine="480"/>
        <w:rPr>
          <w:rFonts w:hint="eastAsia" w:ascii="宋体" w:hAnsi="宋体"/>
          <w:color w:val="auto"/>
          <w:kern w:val="0"/>
          <w:sz w:val="24"/>
          <w:szCs w:val="22"/>
        </w:rPr>
      </w:pPr>
      <w:r>
        <w:rPr>
          <w:rFonts w:hint="eastAsia" w:ascii="宋体" w:hAnsi="宋体"/>
          <w:color w:val="auto"/>
          <w:kern w:val="0"/>
          <w:sz w:val="24"/>
          <w:szCs w:val="22"/>
        </w:rPr>
        <w:t>13.2.8</w:t>
      </w:r>
      <w:r>
        <w:rPr>
          <w:rFonts w:hint="eastAsia" w:ascii="宋体" w:hAnsi="宋体"/>
          <w:color w:val="auto"/>
          <w:spacing w:val="14"/>
          <w:kern w:val="0"/>
          <w:sz w:val="24"/>
          <w:szCs w:val="22"/>
        </w:rPr>
        <w:t xml:space="preserve"> </w:t>
      </w:r>
      <w:r>
        <w:rPr>
          <w:rFonts w:hint="eastAsia" w:ascii="宋体" w:hAnsi="宋体"/>
          <w:color w:val="auto"/>
          <w:kern w:val="0"/>
          <w:sz w:val="24"/>
          <w:szCs w:val="22"/>
        </w:rPr>
        <w:t>承包人应当按照合同约定设立工地临时试验室，配齐检测和试验仪器、 仪表，及时校正确保其精度；严格按照工程技术标准、检测规范和规程，在核定的</w:t>
      </w:r>
      <w:r>
        <w:rPr>
          <w:rFonts w:hint="eastAsia" w:ascii="宋体" w:hAnsi="宋体"/>
          <w:color w:val="auto"/>
          <w:spacing w:val="-94"/>
          <w:kern w:val="0"/>
          <w:sz w:val="24"/>
          <w:szCs w:val="22"/>
        </w:rPr>
        <w:t xml:space="preserve"> </w:t>
      </w:r>
      <w:r>
        <w:rPr>
          <w:rFonts w:hint="eastAsia" w:ascii="宋体" w:hAnsi="宋体"/>
          <w:color w:val="auto"/>
          <w:kern w:val="0"/>
          <w:sz w:val="24"/>
          <w:szCs w:val="22"/>
        </w:rPr>
        <w:t>试验检测参数范围内开展试验检测活动，并确保规范规定的检验、抽检频率。承包</w:t>
      </w:r>
      <w:r>
        <w:rPr>
          <w:rFonts w:hint="eastAsia" w:ascii="宋体" w:hAnsi="宋体"/>
          <w:color w:val="auto"/>
          <w:spacing w:val="-92"/>
          <w:kern w:val="0"/>
          <w:sz w:val="24"/>
          <w:szCs w:val="22"/>
        </w:rPr>
        <w:t xml:space="preserve"> </w:t>
      </w:r>
      <w:r>
        <w:rPr>
          <w:rFonts w:hint="eastAsia" w:ascii="宋体" w:hAnsi="宋体"/>
          <w:color w:val="auto"/>
          <w:spacing w:val="-3"/>
          <w:kern w:val="0"/>
          <w:sz w:val="24"/>
          <w:szCs w:val="22"/>
        </w:rPr>
        <w:t>人应当对其设立的工地临时试验室所出具的试验检测数据和报告的真实性、客观性、</w:t>
      </w:r>
      <w:r>
        <w:rPr>
          <w:rFonts w:hint="eastAsia" w:ascii="宋体" w:hAnsi="宋体"/>
          <w:color w:val="auto"/>
          <w:spacing w:val="-93"/>
          <w:kern w:val="0"/>
          <w:sz w:val="24"/>
          <w:szCs w:val="22"/>
        </w:rPr>
        <w:t xml:space="preserve"> </w:t>
      </w:r>
      <w:r>
        <w:rPr>
          <w:rFonts w:hint="eastAsia" w:ascii="宋体" w:hAnsi="宋体"/>
          <w:color w:val="auto"/>
          <w:kern w:val="0"/>
          <w:sz w:val="24"/>
          <w:szCs w:val="22"/>
        </w:rPr>
        <w:t>准确性负责。</w:t>
      </w:r>
    </w:p>
    <w:p w14:paraId="13BD65F4">
      <w:pPr>
        <w:kinsoku w:val="0"/>
        <w:overflowPunct w:val="0"/>
        <w:autoSpaceDE w:val="0"/>
        <w:autoSpaceDN w:val="0"/>
        <w:spacing w:before="26" w:line="240" w:lineRule="auto"/>
        <w:ind w:right="104" w:firstLine="480"/>
        <w:rPr>
          <w:rFonts w:hint="eastAsia" w:ascii="宋体" w:hAnsi="宋体"/>
          <w:color w:val="auto"/>
          <w:kern w:val="0"/>
          <w:sz w:val="24"/>
          <w:szCs w:val="22"/>
        </w:rPr>
      </w:pPr>
      <w:r>
        <w:rPr>
          <w:rFonts w:hint="eastAsia" w:ascii="宋体" w:hAnsi="宋体"/>
          <w:color w:val="auto"/>
          <w:kern w:val="0"/>
          <w:sz w:val="24"/>
          <w:szCs w:val="22"/>
        </w:rPr>
        <w:t>13.2.9 承包人应当依法规范分包行为，并对承担的工程质量负总责，分包单位对分包合同范围内的工程质量负责。</w:t>
      </w:r>
    </w:p>
    <w:p w14:paraId="568AD8F7">
      <w:pPr>
        <w:kinsoku w:val="0"/>
        <w:overflowPunct w:val="0"/>
        <w:autoSpaceDE w:val="0"/>
        <w:autoSpaceDN w:val="0"/>
        <w:spacing w:before="84" w:line="240" w:lineRule="auto"/>
        <w:ind w:right="225" w:firstLine="480"/>
        <w:rPr>
          <w:rFonts w:hint="eastAsia" w:ascii="宋体" w:hAnsi="宋体"/>
          <w:color w:val="auto"/>
          <w:kern w:val="0"/>
          <w:sz w:val="24"/>
          <w:szCs w:val="22"/>
        </w:rPr>
      </w:pPr>
      <w:r>
        <w:rPr>
          <w:rFonts w:hint="eastAsia" w:ascii="宋体" w:hAnsi="宋体"/>
          <w:color w:val="auto"/>
          <w:kern w:val="0"/>
          <w:sz w:val="24"/>
          <w:szCs w:val="22"/>
        </w:rPr>
        <w:t>13.2.10</w:t>
      </w:r>
      <w:r>
        <w:rPr>
          <w:rFonts w:hint="eastAsia" w:ascii="宋体" w:hAnsi="宋体"/>
          <w:color w:val="auto"/>
          <w:spacing w:val="8"/>
          <w:kern w:val="0"/>
          <w:sz w:val="24"/>
          <w:szCs w:val="22"/>
        </w:rPr>
        <w:t xml:space="preserve"> </w:t>
      </w:r>
      <w:r>
        <w:rPr>
          <w:rFonts w:hint="eastAsia" w:ascii="宋体" w:hAnsi="宋体"/>
          <w:color w:val="auto"/>
          <w:spacing w:val="-3"/>
          <w:kern w:val="0"/>
          <w:sz w:val="24"/>
          <w:szCs w:val="22"/>
        </w:rPr>
        <w:t>承包人驻工程现场机构应在现场驻地和重要的分部、分项工程施工现场</w:t>
      </w:r>
      <w:r>
        <w:rPr>
          <w:rFonts w:hint="eastAsia" w:ascii="宋体" w:hAnsi="宋体"/>
          <w:color w:val="auto"/>
          <w:kern w:val="0"/>
          <w:sz w:val="24"/>
          <w:szCs w:val="22"/>
        </w:rPr>
        <w:t xml:space="preserve"> 设置明显的工程质量责任登记表公示牌。</w:t>
      </w:r>
    </w:p>
    <w:p w14:paraId="5B558C7C">
      <w:pPr>
        <w:kinsoku w:val="0"/>
        <w:overflowPunct w:val="0"/>
        <w:autoSpaceDE w:val="0"/>
        <w:autoSpaceDN w:val="0"/>
        <w:spacing w:line="240" w:lineRule="auto"/>
        <w:jc w:val="left"/>
        <w:rPr>
          <w:rFonts w:hint="default" w:ascii="宋体" w:hAnsi="宋体" w:eastAsia="宋体"/>
          <w:color w:val="auto"/>
          <w:kern w:val="0"/>
          <w:sz w:val="24"/>
          <w:szCs w:val="22"/>
          <w:lang w:val="en-US" w:eastAsia="zh-CN"/>
        </w:rPr>
      </w:pPr>
      <w:bookmarkStart w:id="91" w:name="bookmark211"/>
      <w:bookmarkEnd w:id="91"/>
      <w:r>
        <w:rPr>
          <w:rFonts w:hint="eastAsia" w:ascii="宋体" w:hAnsi="宋体"/>
          <w:color w:val="auto"/>
          <w:kern w:val="0"/>
          <w:sz w:val="24"/>
          <w:szCs w:val="22"/>
        </w:rPr>
        <w:t>13.4</w:t>
      </w:r>
      <w:r>
        <w:rPr>
          <w:rFonts w:hint="eastAsia" w:ascii="宋体" w:hAnsi="宋体"/>
          <w:color w:val="auto"/>
          <w:spacing w:val="59"/>
          <w:kern w:val="0"/>
          <w:sz w:val="24"/>
          <w:szCs w:val="22"/>
        </w:rPr>
        <w:t xml:space="preserve"> </w:t>
      </w:r>
      <w:r>
        <w:rPr>
          <w:rFonts w:hint="eastAsia" w:ascii="宋体" w:hAnsi="宋体"/>
          <w:color w:val="auto"/>
          <w:kern w:val="0"/>
          <w:sz w:val="24"/>
          <w:szCs w:val="22"/>
        </w:rPr>
        <w:t>监理人的质量检查</w:t>
      </w:r>
      <w:r>
        <w:rPr>
          <w:rFonts w:hint="eastAsia" w:ascii="宋体" w:hAnsi="宋体"/>
          <w:color w:val="auto"/>
          <w:kern w:val="0"/>
          <w:sz w:val="24"/>
          <w:szCs w:val="22"/>
          <w:lang w:eastAsia="zh-CN"/>
        </w:rPr>
        <w:t>：</w:t>
      </w:r>
      <w:r>
        <w:rPr>
          <w:rFonts w:hint="eastAsia" w:ascii="宋体" w:hAnsi="宋体"/>
          <w:color w:val="auto"/>
          <w:kern w:val="0"/>
          <w:sz w:val="24"/>
          <w:szCs w:val="22"/>
          <w:lang w:val="en-US" w:eastAsia="zh-CN"/>
        </w:rPr>
        <w:t>本项目无监理人</w:t>
      </w:r>
    </w:p>
    <w:p w14:paraId="0D223646">
      <w:pPr>
        <w:kinsoku w:val="0"/>
        <w:overflowPunct w:val="0"/>
        <w:autoSpaceDE w:val="0"/>
        <w:autoSpaceDN w:val="0"/>
        <w:spacing w:line="240" w:lineRule="auto"/>
        <w:jc w:val="left"/>
        <w:rPr>
          <w:rFonts w:hint="eastAsia" w:ascii="宋体" w:hAnsi="宋体"/>
          <w:color w:val="auto"/>
          <w:kern w:val="0"/>
          <w:sz w:val="24"/>
          <w:szCs w:val="22"/>
        </w:rPr>
      </w:pPr>
      <w:bookmarkStart w:id="92" w:name="bookmark213"/>
      <w:bookmarkEnd w:id="92"/>
      <w:r>
        <w:rPr>
          <w:rFonts w:hint="eastAsia" w:ascii="宋体" w:hAnsi="宋体"/>
          <w:color w:val="auto"/>
          <w:kern w:val="0"/>
          <w:sz w:val="24"/>
          <w:szCs w:val="22"/>
        </w:rPr>
        <w:t>13.6</w:t>
      </w:r>
      <w:r>
        <w:rPr>
          <w:rFonts w:hint="eastAsia" w:ascii="宋体" w:hAnsi="宋体"/>
          <w:color w:val="auto"/>
          <w:spacing w:val="59"/>
          <w:kern w:val="0"/>
          <w:sz w:val="24"/>
          <w:szCs w:val="22"/>
        </w:rPr>
        <w:t xml:space="preserve"> </w:t>
      </w:r>
      <w:r>
        <w:rPr>
          <w:rFonts w:hint="eastAsia" w:ascii="宋体" w:hAnsi="宋体"/>
          <w:color w:val="auto"/>
          <w:kern w:val="0"/>
          <w:sz w:val="24"/>
          <w:szCs w:val="22"/>
        </w:rPr>
        <w:t>清除不合格工程</w:t>
      </w:r>
    </w:p>
    <w:p w14:paraId="39F4BE43">
      <w:pPr>
        <w:kinsoku w:val="0"/>
        <w:overflowPunct w:val="0"/>
        <w:autoSpaceDE w:val="0"/>
        <w:autoSpaceDN w:val="0"/>
        <w:spacing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第</w:t>
      </w:r>
      <w:r>
        <w:rPr>
          <w:rFonts w:hint="eastAsia" w:ascii="宋体" w:hAnsi="宋体"/>
          <w:color w:val="auto"/>
          <w:spacing w:val="-60"/>
          <w:kern w:val="0"/>
          <w:sz w:val="24"/>
          <w:szCs w:val="22"/>
        </w:rPr>
        <w:t xml:space="preserve"> </w:t>
      </w:r>
      <w:r>
        <w:rPr>
          <w:rFonts w:hint="eastAsia" w:ascii="宋体" w:hAnsi="宋体"/>
          <w:color w:val="auto"/>
          <w:kern w:val="0"/>
          <w:sz w:val="24"/>
          <w:szCs w:val="22"/>
        </w:rPr>
        <w:t>13.6.1 项细化为：</w:t>
      </w:r>
    </w:p>
    <w:p w14:paraId="4779E70B">
      <w:pPr>
        <w:kinsoku w:val="0"/>
        <w:overflowPunct w:val="0"/>
        <w:autoSpaceDE w:val="0"/>
        <w:autoSpaceDN w:val="0"/>
        <w:spacing w:line="240" w:lineRule="auto"/>
        <w:ind w:firstLine="468"/>
        <w:jc w:val="left"/>
        <w:rPr>
          <w:rFonts w:hint="eastAsia" w:ascii="宋体" w:hAnsi="宋体"/>
          <w:color w:val="auto"/>
          <w:spacing w:val="-3"/>
          <w:kern w:val="0"/>
          <w:sz w:val="24"/>
          <w:szCs w:val="22"/>
        </w:rPr>
      </w:pPr>
      <w:r>
        <w:rPr>
          <w:rFonts w:hint="eastAsia" w:ascii="宋体" w:hAnsi="宋体"/>
          <w:color w:val="auto"/>
          <w:spacing w:val="-3"/>
          <w:kern w:val="0"/>
          <w:sz w:val="24"/>
          <w:szCs w:val="22"/>
        </w:rPr>
        <w:t>（1）承包人使用不合格材料、工程设备，或采用不适当的施工工艺，或施工不</w:t>
      </w:r>
      <w:r>
        <w:rPr>
          <w:rFonts w:hint="eastAsia" w:ascii="宋体" w:hAnsi="宋体"/>
          <w:color w:val="auto"/>
          <w:kern w:val="0"/>
          <w:sz w:val="24"/>
          <w:szCs w:val="22"/>
        </w:rPr>
        <w:t xml:space="preserve"> 当，造成工程不合格的，发包人可以随时发出指示，要求承包人立即采取措施进行</w:t>
      </w:r>
      <w:r>
        <w:rPr>
          <w:rFonts w:hint="eastAsia" w:ascii="宋体" w:hAnsi="宋体"/>
          <w:color w:val="auto"/>
          <w:spacing w:val="-95"/>
          <w:kern w:val="0"/>
          <w:sz w:val="24"/>
          <w:szCs w:val="22"/>
        </w:rPr>
        <w:t xml:space="preserve"> </w:t>
      </w:r>
      <w:r>
        <w:rPr>
          <w:rFonts w:hint="eastAsia" w:ascii="宋体" w:hAnsi="宋体"/>
          <w:color w:val="auto"/>
          <w:kern w:val="0"/>
          <w:sz w:val="24"/>
          <w:szCs w:val="22"/>
        </w:rPr>
        <w:t>替换、补救或拆除重建，直至达到合同要求的质量标准，由此增加的费用和（或）</w:t>
      </w:r>
      <w:r>
        <w:rPr>
          <w:rFonts w:hint="eastAsia" w:ascii="宋体" w:hAnsi="宋体"/>
          <w:color w:val="auto"/>
          <w:spacing w:val="-91"/>
          <w:kern w:val="0"/>
          <w:sz w:val="24"/>
          <w:szCs w:val="22"/>
        </w:rPr>
        <w:t xml:space="preserve"> </w:t>
      </w:r>
      <w:r>
        <w:rPr>
          <w:rFonts w:hint="eastAsia" w:ascii="宋体" w:hAnsi="宋体"/>
          <w:color w:val="auto"/>
          <w:kern w:val="0"/>
          <w:sz w:val="24"/>
          <w:szCs w:val="22"/>
        </w:rPr>
        <w:t>工期延误由承包人承担。</w:t>
      </w:r>
    </w:p>
    <w:p w14:paraId="22C2C310">
      <w:pPr>
        <w:kinsoku w:val="0"/>
        <w:overflowPunct w:val="0"/>
        <w:autoSpaceDE w:val="0"/>
        <w:autoSpaceDN w:val="0"/>
        <w:spacing w:before="24" w:line="240" w:lineRule="auto"/>
        <w:ind w:left="144" w:firstLine="479"/>
        <w:jc w:val="left"/>
        <w:rPr>
          <w:rFonts w:hint="eastAsia" w:ascii="宋体" w:hAnsi="宋体"/>
          <w:color w:val="auto"/>
          <w:spacing w:val="-6"/>
          <w:kern w:val="0"/>
          <w:sz w:val="24"/>
          <w:szCs w:val="22"/>
        </w:rPr>
      </w:pPr>
      <w:bookmarkStart w:id="93" w:name="bookmark214"/>
      <w:bookmarkEnd w:id="93"/>
      <w:r>
        <w:rPr>
          <w:rFonts w:hint="eastAsia" w:ascii="宋体" w:hAnsi="宋体"/>
          <w:color w:val="auto"/>
          <w:spacing w:val="-6"/>
          <w:kern w:val="0"/>
          <w:sz w:val="24"/>
          <w:szCs w:val="22"/>
        </w:rPr>
        <w:t>（2）如果承包人未在规定时间内执行发包人的指示，发包人有权雇用他人执行，</w:t>
      </w:r>
      <w:r>
        <w:rPr>
          <w:rFonts w:hint="eastAsia" w:ascii="宋体" w:hAnsi="宋体"/>
          <w:color w:val="auto"/>
          <w:kern w:val="0"/>
          <w:sz w:val="24"/>
          <w:szCs w:val="22"/>
        </w:rPr>
        <w:t xml:space="preserve"> 由此增加的费用和（或）工期延误由承包人承担。</w:t>
      </w:r>
    </w:p>
    <w:p w14:paraId="2DF54373">
      <w:pPr>
        <w:kinsoku w:val="0"/>
        <w:overflowPunct w:val="0"/>
        <w:autoSpaceDE w:val="0"/>
        <w:autoSpaceDN w:val="0"/>
        <w:spacing w:before="24" w:line="240" w:lineRule="auto"/>
        <w:jc w:val="left"/>
        <w:rPr>
          <w:rFonts w:hint="eastAsia" w:ascii="宋体" w:hAnsi="宋体"/>
          <w:color w:val="auto"/>
          <w:kern w:val="0"/>
          <w:sz w:val="28"/>
          <w:szCs w:val="28"/>
        </w:rPr>
      </w:pPr>
      <w:r>
        <w:rPr>
          <w:rFonts w:hint="eastAsia" w:ascii="宋体" w:hAnsi="宋体"/>
          <w:color w:val="auto"/>
          <w:kern w:val="0"/>
          <w:sz w:val="28"/>
          <w:szCs w:val="28"/>
        </w:rPr>
        <w:t xml:space="preserve">14. </w:t>
      </w:r>
      <w:r>
        <w:rPr>
          <w:rFonts w:hint="eastAsia" w:ascii="宋体" w:hAnsi="宋体"/>
          <w:color w:val="auto"/>
          <w:spacing w:val="1"/>
          <w:kern w:val="0"/>
          <w:sz w:val="28"/>
          <w:szCs w:val="28"/>
        </w:rPr>
        <w:t xml:space="preserve"> </w:t>
      </w:r>
      <w:r>
        <w:rPr>
          <w:rFonts w:hint="eastAsia" w:ascii="宋体" w:hAnsi="宋体"/>
          <w:color w:val="auto"/>
          <w:kern w:val="0"/>
          <w:sz w:val="28"/>
          <w:szCs w:val="28"/>
        </w:rPr>
        <w:t>试验和检验</w:t>
      </w:r>
    </w:p>
    <w:p w14:paraId="1EEB483F">
      <w:pPr>
        <w:kinsoku w:val="0"/>
        <w:overflowPunct w:val="0"/>
        <w:autoSpaceDE w:val="0"/>
        <w:autoSpaceDN w:val="0"/>
        <w:spacing w:before="24" w:line="240" w:lineRule="auto"/>
        <w:jc w:val="left"/>
        <w:rPr>
          <w:rFonts w:hint="eastAsia" w:ascii="宋体" w:hAnsi="宋体"/>
          <w:color w:val="auto"/>
          <w:kern w:val="0"/>
          <w:sz w:val="24"/>
          <w:szCs w:val="22"/>
        </w:rPr>
      </w:pPr>
      <w:r>
        <w:rPr>
          <w:rFonts w:hint="eastAsia" w:ascii="宋体" w:hAnsi="宋体"/>
          <w:color w:val="auto"/>
          <w:kern w:val="0"/>
          <w:sz w:val="24"/>
          <w:szCs w:val="22"/>
        </w:rPr>
        <w:t>本条补充第</w:t>
      </w:r>
      <w:r>
        <w:rPr>
          <w:rFonts w:hint="eastAsia" w:ascii="宋体" w:hAnsi="宋体"/>
          <w:color w:val="auto"/>
          <w:spacing w:val="-61"/>
          <w:kern w:val="0"/>
          <w:sz w:val="24"/>
          <w:szCs w:val="22"/>
        </w:rPr>
        <w:t xml:space="preserve"> </w:t>
      </w:r>
      <w:r>
        <w:rPr>
          <w:rFonts w:hint="eastAsia" w:ascii="宋体" w:hAnsi="宋体"/>
          <w:color w:val="auto"/>
          <w:kern w:val="0"/>
          <w:sz w:val="24"/>
          <w:szCs w:val="22"/>
        </w:rPr>
        <w:t>14.4</w:t>
      </w:r>
      <w:r>
        <w:rPr>
          <w:rFonts w:hint="eastAsia" w:ascii="宋体" w:hAnsi="宋体"/>
          <w:color w:val="auto"/>
          <w:spacing w:val="-1"/>
          <w:kern w:val="0"/>
          <w:sz w:val="24"/>
          <w:szCs w:val="22"/>
        </w:rPr>
        <w:t xml:space="preserve"> </w:t>
      </w:r>
      <w:r>
        <w:rPr>
          <w:rFonts w:hint="eastAsia" w:ascii="宋体" w:hAnsi="宋体"/>
          <w:color w:val="auto"/>
          <w:kern w:val="0"/>
          <w:sz w:val="24"/>
          <w:szCs w:val="22"/>
        </w:rPr>
        <w:t>款：</w:t>
      </w:r>
    </w:p>
    <w:p w14:paraId="11871570">
      <w:pPr>
        <w:kinsoku w:val="0"/>
        <w:overflowPunct w:val="0"/>
        <w:autoSpaceDE w:val="0"/>
        <w:autoSpaceDN w:val="0"/>
        <w:spacing w:line="240" w:lineRule="auto"/>
        <w:jc w:val="left"/>
        <w:rPr>
          <w:rFonts w:hint="eastAsia" w:ascii="宋体" w:hAnsi="宋体"/>
          <w:color w:val="auto"/>
          <w:kern w:val="0"/>
          <w:sz w:val="24"/>
          <w:szCs w:val="22"/>
        </w:rPr>
      </w:pPr>
      <w:bookmarkStart w:id="94" w:name="bookmark215"/>
      <w:bookmarkEnd w:id="94"/>
      <w:r>
        <w:rPr>
          <w:rFonts w:hint="eastAsia" w:ascii="宋体" w:hAnsi="宋体"/>
          <w:color w:val="auto"/>
          <w:kern w:val="0"/>
          <w:sz w:val="24"/>
          <w:szCs w:val="22"/>
        </w:rPr>
        <w:t>14.4</w:t>
      </w:r>
      <w:r>
        <w:rPr>
          <w:rFonts w:hint="eastAsia" w:ascii="宋体" w:hAnsi="宋体"/>
          <w:color w:val="auto"/>
          <w:spacing w:val="59"/>
          <w:kern w:val="0"/>
          <w:sz w:val="24"/>
          <w:szCs w:val="22"/>
        </w:rPr>
        <w:t xml:space="preserve"> </w:t>
      </w:r>
      <w:r>
        <w:rPr>
          <w:rFonts w:hint="eastAsia" w:ascii="宋体" w:hAnsi="宋体"/>
          <w:color w:val="auto"/>
          <w:kern w:val="0"/>
          <w:sz w:val="24"/>
          <w:szCs w:val="22"/>
        </w:rPr>
        <w:t>试验和检验费用</w:t>
      </w:r>
    </w:p>
    <w:p w14:paraId="5E876937">
      <w:pPr>
        <w:kinsoku w:val="0"/>
        <w:overflowPunct w:val="0"/>
        <w:autoSpaceDE w:val="0"/>
        <w:autoSpaceDN w:val="0"/>
        <w:spacing w:line="240" w:lineRule="auto"/>
        <w:ind w:firstLine="468"/>
        <w:jc w:val="left"/>
        <w:rPr>
          <w:rFonts w:hint="eastAsia" w:ascii="宋体" w:hAnsi="宋体"/>
          <w:color w:val="auto"/>
          <w:spacing w:val="-3"/>
          <w:kern w:val="0"/>
          <w:sz w:val="24"/>
          <w:szCs w:val="22"/>
        </w:rPr>
      </w:pPr>
      <w:r>
        <w:rPr>
          <w:rFonts w:hint="eastAsia" w:ascii="宋体" w:hAnsi="宋体"/>
          <w:color w:val="auto"/>
          <w:spacing w:val="-3"/>
          <w:kern w:val="0"/>
          <w:sz w:val="24"/>
          <w:szCs w:val="22"/>
        </w:rPr>
        <w:t>（1）承包人应负责提供合同和技术规范规定的试验和检验所需的全部样品，并</w:t>
      </w:r>
      <w:r>
        <w:rPr>
          <w:rFonts w:hint="eastAsia" w:ascii="宋体" w:hAnsi="宋体"/>
          <w:color w:val="auto"/>
          <w:kern w:val="0"/>
          <w:sz w:val="24"/>
          <w:szCs w:val="22"/>
        </w:rPr>
        <w:t>承担其费用。</w:t>
      </w:r>
    </w:p>
    <w:p w14:paraId="46999949">
      <w:pPr>
        <w:kinsoku w:val="0"/>
        <w:overflowPunct w:val="0"/>
        <w:autoSpaceDE w:val="0"/>
        <w:autoSpaceDN w:val="0"/>
        <w:spacing w:before="84" w:line="240" w:lineRule="auto"/>
        <w:ind w:firstLine="468"/>
        <w:jc w:val="left"/>
        <w:rPr>
          <w:rFonts w:hint="eastAsia" w:ascii="宋体" w:hAnsi="宋体"/>
          <w:color w:val="auto"/>
          <w:spacing w:val="-3"/>
          <w:kern w:val="0"/>
          <w:sz w:val="24"/>
          <w:szCs w:val="22"/>
        </w:rPr>
      </w:pPr>
      <w:r>
        <w:rPr>
          <w:rFonts w:hint="eastAsia" w:ascii="宋体" w:hAnsi="宋体"/>
          <w:color w:val="auto"/>
          <w:spacing w:val="-3"/>
          <w:kern w:val="0"/>
          <w:sz w:val="24"/>
          <w:szCs w:val="22"/>
        </w:rPr>
        <w:t>（2）在合同中明确规定的试验和检验，包括无须在工程量清单中单独列项和已</w:t>
      </w:r>
      <w:r>
        <w:rPr>
          <w:rFonts w:hint="eastAsia" w:ascii="宋体" w:hAnsi="宋体"/>
          <w:color w:val="auto"/>
          <w:kern w:val="0"/>
          <w:sz w:val="24"/>
          <w:szCs w:val="22"/>
        </w:rPr>
        <w:t xml:space="preserve"> 在工程量清单中单独列项的试验和检验，其试验和检验的费用由承包人承担。</w:t>
      </w:r>
    </w:p>
    <w:p w14:paraId="7AC87AA8">
      <w:pPr>
        <w:kinsoku w:val="0"/>
        <w:overflowPunct w:val="0"/>
        <w:autoSpaceDE w:val="0"/>
        <w:autoSpaceDN w:val="0"/>
        <w:spacing w:before="36" w:line="240" w:lineRule="auto"/>
        <w:ind w:right="222" w:firstLine="468"/>
        <w:rPr>
          <w:rFonts w:hint="eastAsia" w:ascii="宋体" w:hAnsi="宋体"/>
          <w:color w:val="auto"/>
          <w:spacing w:val="-3"/>
          <w:kern w:val="0"/>
          <w:sz w:val="24"/>
          <w:szCs w:val="22"/>
        </w:rPr>
      </w:pPr>
      <w:r>
        <w:rPr>
          <w:rFonts w:hint="eastAsia" w:ascii="宋体" w:hAnsi="宋体"/>
          <w:color w:val="auto"/>
          <w:spacing w:val="-3"/>
          <w:kern w:val="0"/>
          <w:sz w:val="24"/>
          <w:szCs w:val="22"/>
        </w:rPr>
        <w:t>（3）如果发包人所要求做的试验和检验为合同未规定的或是在该材料或工程设</w:t>
      </w:r>
      <w:r>
        <w:rPr>
          <w:rFonts w:hint="eastAsia" w:ascii="宋体" w:hAnsi="宋体"/>
          <w:color w:val="auto"/>
          <w:kern w:val="0"/>
          <w:sz w:val="24"/>
          <w:szCs w:val="22"/>
        </w:rPr>
        <w:t xml:space="preserve"> 备的制造、加工、制配场地以外的场所进行的，则检验结束后，如表明操作工艺或</w:t>
      </w:r>
      <w:r>
        <w:rPr>
          <w:rFonts w:hint="eastAsia" w:ascii="宋体" w:hAnsi="宋体"/>
          <w:color w:val="auto"/>
          <w:spacing w:val="-95"/>
          <w:kern w:val="0"/>
          <w:sz w:val="24"/>
          <w:szCs w:val="22"/>
        </w:rPr>
        <w:t xml:space="preserve"> </w:t>
      </w:r>
      <w:r>
        <w:rPr>
          <w:rFonts w:hint="eastAsia" w:ascii="宋体" w:hAnsi="宋体"/>
          <w:color w:val="auto"/>
          <w:kern w:val="0"/>
          <w:sz w:val="24"/>
          <w:szCs w:val="22"/>
        </w:rPr>
        <w:t>材料、工程设备未能符合合同规定，其费用应由承包人承担，否则，其费用应由发</w:t>
      </w:r>
      <w:r>
        <w:rPr>
          <w:rFonts w:hint="eastAsia" w:ascii="宋体" w:hAnsi="宋体"/>
          <w:color w:val="auto"/>
          <w:spacing w:val="-92"/>
          <w:kern w:val="0"/>
          <w:sz w:val="24"/>
          <w:szCs w:val="22"/>
        </w:rPr>
        <w:t xml:space="preserve"> </w:t>
      </w:r>
      <w:r>
        <w:rPr>
          <w:rFonts w:hint="eastAsia" w:ascii="宋体" w:hAnsi="宋体"/>
          <w:color w:val="auto"/>
          <w:kern w:val="0"/>
          <w:sz w:val="24"/>
          <w:szCs w:val="22"/>
        </w:rPr>
        <w:t>包人承担。</w:t>
      </w:r>
    </w:p>
    <w:p w14:paraId="4F4B9FD0">
      <w:pPr>
        <w:kinsoku w:val="0"/>
        <w:overflowPunct w:val="0"/>
        <w:autoSpaceDE w:val="0"/>
        <w:autoSpaceDN w:val="0"/>
        <w:spacing w:line="240" w:lineRule="auto"/>
        <w:jc w:val="left"/>
        <w:rPr>
          <w:rFonts w:hint="eastAsia" w:ascii="宋体" w:hAnsi="宋体"/>
          <w:color w:val="auto"/>
          <w:kern w:val="0"/>
          <w:sz w:val="28"/>
          <w:szCs w:val="28"/>
        </w:rPr>
      </w:pPr>
      <w:bookmarkStart w:id="95" w:name="bookmark216"/>
      <w:bookmarkEnd w:id="95"/>
      <w:r>
        <w:rPr>
          <w:rFonts w:hint="eastAsia" w:ascii="宋体" w:hAnsi="宋体"/>
          <w:color w:val="auto"/>
          <w:kern w:val="0"/>
          <w:sz w:val="28"/>
          <w:szCs w:val="28"/>
        </w:rPr>
        <w:t>15.</w:t>
      </w:r>
      <w:r>
        <w:rPr>
          <w:rFonts w:hint="eastAsia" w:ascii="宋体" w:hAnsi="宋体"/>
          <w:color w:val="auto"/>
          <w:spacing w:val="68"/>
          <w:kern w:val="0"/>
          <w:sz w:val="28"/>
          <w:szCs w:val="28"/>
        </w:rPr>
        <w:t xml:space="preserve"> </w:t>
      </w:r>
      <w:r>
        <w:rPr>
          <w:rFonts w:hint="eastAsia" w:ascii="宋体" w:hAnsi="宋体"/>
          <w:color w:val="auto"/>
          <w:kern w:val="0"/>
          <w:sz w:val="28"/>
          <w:szCs w:val="28"/>
        </w:rPr>
        <w:t>变更</w:t>
      </w:r>
    </w:p>
    <w:p w14:paraId="5CE1196D">
      <w:pPr>
        <w:kinsoku w:val="0"/>
        <w:overflowPunct w:val="0"/>
        <w:autoSpaceDE w:val="0"/>
        <w:autoSpaceDN w:val="0"/>
        <w:spacing w:line="240" w:lineRule="auto"/>
        <w:jc w:val="left"/>
        <w:rPr>
          <w:rFonts w:hint="eastAsia" w:ascii="宋体" w:hAnsi="宋体"/>
          <w:color w:val="auto"/>
          <w:kern w:val="0"/>
          <w:sz w:val="24"/>
          <w:szCs w:val="22"/>
        </w:rPr>
      </w:pPr>
      <w:bookmarkStart w:id="96" w:name="bookmark217"/>
      <w:bookmarkEnd w:id="96"/>
      <w:r>
        <w:rPr>
          <w:rFonts w:hint="eastAsia" w:ascii="宋体" w:hAnsi="宋体"/>
          <w:color w:val="auto"/>
          <w:kern w:val="0"/>
          <w:sz w:val="24"/>
          <w:szCs w:val="22"/>
        </w:rPr>
        <w:t>15.1</w:t>
      </w:r>
      <w:r>
        <w:rPr>
          <w:rFonts w:hint="eastAsia" w:ascii="宋体" w:hAnsi="宋体"/>
          <w:color w:val="auto"/>
          <w:spacing w:val="59"/>
          <w:kern w:val="0"/>
          <w:sz w:val="24"/>
          <w:szCs w:val="22"/>
        </w:rPr>
        <w:t xml:space="preserve"> </w:t>
      </w:r>
      <w:r>
        <w:rPr>
          <w:rFonts w:hint="eastAsia" w:ascii="宋体" w:hAnsi="宋体"/>
          <w:color w:val="auto"/>
          <w:kern w:val="0"/>
          <w:sz w:val="24"/>
          <w:szCs w:val="22"/>
        </w:rPr>
        <w:t>变更的范围和内容</w:t>
      </w:r>
    </w:p>
    <w:p w14:paraId="4FC6D706">
      <w:pPr>
        <w:kinsoku w:val="0"/>
        <w:overflowPunct w:val="0"/>
        <w:autoSpaceDE w:val="0"/>
        <w:autoSpaceDN w:val="0"/>
        <w:spacing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本款第（1）项细化为：</w:t>
      </w:r>
    </w:p>
    <w:p w14:paraId="04A3DF16">
      <w:pPr>
        <w:kinsoku w:val="0"/>
        <w:overflowPunct w:val="0"/>
        <w:autoSpaceDE w:val="0"/>
        <w:autoSpaceDN w:val="0"/>
        <w:spacing w:line="240" w:lineRule="auto"/>
        <w:ind w:firstLine="456"/>
        <w:jc w:val="left"/>
        <w:rPr>
          <w:rFonts w:hint="eastAsia" w:ascii="宋体" w:hAnsi="宋体"/>
          <w:color w:val="auto"/>
          <w:spacing w:val="-6"/>
          <w:kern w:val="0"/>
          <w:sz w:val="24"/>
          <w:szCs w:val="22"/>
        </w:rPr>
      </w:pPr>
      <w:r>
        <w:rPr>
          <w:rFonts w:hint="eastAsia" w:ascii="宋体" w:hAnsi="宋体"/>
          <w:color w:val="auto"/>
          <w:spacing w:val="-6"/>
          <w:kern w:val="0"/>
          <w:sz w:val="24"/>
          <w:szCs w:val="22"/>
        </w:rPr>
        <w:t>（1）取消合同中任何一项工作，但被取消的工作不能转由发包人或其他人实施，</w:t>
      </w:r>
      <w:r>
        <w:rPr>
          <w:rFonts w:hint="eastAsia" w:ascii="宋体" w:hAnsi="宋体"/>
          <w:color w:val="auto"/>
          <w:kern w:val="0"/>
          <w:sz w:val="24"/>
          <w:szCs w:val="22"/>
        </w:rPr>
        <w:t xml:space="preserve"> 由于承包人违约造成的情况除外；</w:t>
      </w:r>
    </w:p>
    <w:p w14:paraId="5DC05CEE">
      <w:pPr>
        <w:kinsoku w:val="0"/>
        <w:overflowPunct w:val="0"/>
        <w:autoSpaceDE w:val="0"/>
        <w:autoSpaceDN w:val="0"/>
        <w:spacing w:line="240" w:lineRule="auto"/>
        <w:jc w:val="left"/>
        <w:rPr>
          <w:rFonts w:hint="eastAsia" w:ascii="宋体" w:hAnsi="宋体"/>
          <w:color w:val="auto"/>
          <w:kern w:val="0"/>
          <w:sz w:val="24"/>
          <w:szCs w:val="22"/>
        </w:rPr>
      </w:pPr>
      <w:bookmarkStart w:id="97" w:name="bookmark218"/>
      <w:bookmarkEnd w:id="97"/>
      <w:r>
        <w:rPr>
          <w:rFonts w:hint="eastAsia" w:ascii="宋体" w:hAnsi="宋体"/>
          <w:color w:val="auto"/>
          <w:kern w:val="0"/>
          <w:sz w:val="24"/>
          <w:szCs w:val="22"/>
        </w:rPr>
        <w:t>15.3</w:t>
      </w:r>
      <w:r>
        <w:rPr>
          <w:rFonts w:hint="eastAsia" w:ascii="宋体" w:hAnsi="宋体"/>
          <w:color w:val="auto"/>
          <w:spacing w:val="59"/>
          <w:kern w:val="0"/>
          <w:sz w:val="24"/>
          <w:szCs w:val="22"/>
        </w:rPr>
        <w:t xml:space="preserve"> </w:t>
      </w:r>
      <w:r>
        <w:rPr>
          <w:rFonts w:hint="eastAsia" w:ascii="宋体" w:hAnsi="宋体"/>
          <w:color w:val="auto"/>
          <w:kern w:val="0"/>
          <w:sz w:val="24"/>
          <w:szCs w:val="22"/>
        </w:rPr>
        <w:t>变更程序</w:t>
      </w:r>
    </w:p>
    <w:p w14:paraId="0DD617EC">
      <w:pPr>
        <w:kinsoku w:val="0"/>
        <w:overflowPunct w:val="0"/>
        <w:autoSpaceDE w:val="0"/>
        <w:autoSpaceDN w:val="0"/>
        <w:spacing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本款补充第</w:t>
      </w:r>
      <w:r>
        <w:rPr>
          <w:rFonts w:hint="eastAsia" w:ascii="宋体" w:hAnsi="宋体"/>
          <w:color w:val="auto"/>
          <w:spacing w:val="-60"/>
          <w:kern w:val="0"/>
          <w:sz w:val="24"/>
          <w:szCs w:val="22"/>
        </w:rPr>
        <w:t xml:space="preserve"> </w:t>
      </w:r>
      <w:r>
        <w:rPr>
          <w:rFonts w:hint="eastAsia" w:ascii="宋体" w:hAnsi="宋体"/>
          <w:color w:val="auto"/>
          <w:kern w:val="0"/>
          <w:sz w:val="24"/>
          <w:szCs w:val="22"/>
        </w:rPr>
        <w:t>15.3.4 项：</w:t>
      </w:r>
    </w:p>
    <w:p w14:paraId="691BD49A">
      <w:pPr>
        <w:kinsoku w:val="0"/>
        <w:overflowPunct w:val="0"/>
        <w:autoSpaceDE w:val="0"/>
        <w:autoSpaceDN w:val="0"/>
        <w:spacing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15.3.4  设计变更程序应执行《公路工程设计变更管理办法》的相关规定。</w:t>
      </w:r>
    </w:p>
    <w:p w14:paraId="7E35AD67">
      <w:pPr>
        <w:kinsoku w:val="0"/>
        <w:overflowPunct w:val="0"/>
        <w:autoSpaceDE w:val="0"/>
        <w:autoSpaceDN w:val="0"/>
        <w:spacing w:line="240" w:lineRule="auto"/>
        <w:jc w:val="left"/>
        <w:rPr>
          <w:rFonts w:hint="eastAsia" w:ascii="宋体" w:hAnsi="宋体"/>
          <w:color w:val="auto"/>
          <w:kern w:val="0"/>
          <w:sz w:val="24"/>
          <w:szCs w:val="22"/>
        </w:rPr>
      </w:pPr>
      <w:bookmarkStart w:id="98" w:name="bookmark219"/>
      <w:bookmarkEnd w:id="98"/>
      <w:r>
        <w:rPr>
          <w:rFonts w:hint="eastAsia" w:ascii="宋体" w:hAnsi="宋体"/>
          <w:color w:val="auto"/>
          <w:kern w:val="0"/>
          <w:sz w:val="24"/>
          <w:szCs w:val="22"/>
        </w:rPr>
        <w:t>15.4</w:t>
      </w:r>
      <w:r>
        <w:rPr>
          <w:rFonts w:hint="eastAsia" w:ascii="宋体" w:hAnsi="宋体"/>
          <w:color w:val="auto"/>
          <w:spacing w:val="59"/>
          <w:kern w:val="0"/>
          <w:sz w:val="24"/>
          <w:szCs w:val="22"/>
        </w:rPr>
        <w:t xml:space="preserve"> </w:t>
      </w:r>
      <w:r>
        <w:rPr>
          <w:rFonts w:hint="eastAsia" w:ascii="宋体" w:hAnsi="宋体"/>
          <w:color w:val="auto"/>
          <w:kern w:val="0"/>
          <w:sz w:val="24"/>
          <w:szCs w:val="22"/>
        </w:rPr>
        <w:t>变更的估价原则</w:t>
      </w:r>
    </w:p>
    <w:p w14:paraId="468ACBF5">
      <w:pPr>
        <w:kinsoku w:val="0"/>
        <w:overflowPunct w:val="0"/>
        <w:autoSpaceDE w:val="0"/>
        <w:autoSpaceDN w:val="0"/>
        <w:spacing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本款细化为：除项目专用合同条款另有约定外，因变更引起的价格调整按照本款约定处理。15.4.1如果取消某项工作，则该项工作的总额价不予支付。</w:t>
      </w:r>
    </w:p>
    <w:p w14:paraId="3AC36024">
      <w:pPr>
        <w:kinsoku w:val="0"/>
        <w:overflowPunct w:val="0"/>
        <w:autoSpaceDE w:val="0"/>
        <w:autoSpaceDN w:val="0"/>
        <w:spacing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15.4.2  已标价工程量清单中有适用于变更工作的子目的，采用该子目的单价。</w:t>
      </w:r>
    </w:p>
    <w:p w14:paraId="6ED68CEB">
      <w:pPr>
        <w:kinsoku w:val="0"/>
        <w:overflowPunct w:val="0"/>
        <w:autoSpaceDE w:val="0"/>
        <w:autoSpaceDN w:val="0"/>
        <w:spacing w:before="68"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15.4.3 已标价工程量清单中无适用于变更工作的子目，但有类似子目的，可在合理范围内参照类似子目的单价，由发包人按第</w:t>
      </w:r>
      <w:r>
        <w:rPr>
          <w:rFonts w:hint="eastAsia" w:ascii="宋体" w:hAnsi="宋体"/>
          <w:color w:val="auto"/>
          <w:spacing w:val="-72"/>
          <w:kern w:val="0"/>
          <w:sz w:val="24"/>
          <w:szCs w:val="22"/>
        </w:rPr>
        <w:t xml:space="preserve"> </w:t>
      </w:r>
      <w:r>
        <w:rPr>
          <w:rFonts w:hint="eastAsia" w:ascii="宋体" w:hAnsi="宋体"/>
          <w:color w:val="auto"/>
          <w:kern w:val="0"/>
          <w:sz w:val="24"/>
          <w:szCs w:val="22"/>
        </w:rPr>
        <w:t>3.5</w:t>
      </w:r>
      <w:r>
        <w:rPr>
          <w:rFonts w:hint="eastAsia" w:ascii="宋体" w:hAnsi="宋体"/>
          <w:color w:val="auto"/>
          <w:spacing w:val="-12"/>
          <w:kern w:val="0"/>
          <w:sz w:val="24"/>
          <w:szCs w:val="22"/>
        </w:rPr>
        <w:t xml:space="preserve"> </w:t>
      </w:r>
      <w:r>
        <w:rPr>
          <w:rFonts w:hint="eastAsia" w:ascii="宋体" w:hAnsi="宋体"/>
          <w:color w:val="auto"/>
          <w:kern w:val="0"/>
          <w:sz w:val="24"/>
          <w:szCs w:val="22"/>
        </w:rPr>
        <w:t>款商定或确定变更工作的单价。</w:t>
      </w:r>
    </w:p>
    <w:p w14:paraId="150BA395">
      <w:pPr>
        <w:kinsoku w:val="0"/>
        <w:overflowPunct w:val="0"/>
        <w:autoSpaceDE w:val="0"/>
        <w:autoSpaceDN w:val="0"/>
        <w:spacing w:before="68"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 xml:space="preserve">15.4.4 </w:t>
      </w:r>
      <w:r>
        <w:rPr>
          <w:rFonts w:hint="eastAsia" w:ascii="宋体" w:hAnsi="宋体"/>
          <w:color w:val="auto"/>
          <w:spacing w:val="31"/>
          <w:kern w:val="0"/>
          <w:sz w:val="24"/>
          <w:szCs w:val="22"/>
        </w:rPr>
        <w:t xml:space="preserve"> </w:t>
      </w:r>
      <w:r>
        <w:rPr>
          <w:rFonts w:hint="eastAsia" w:ascii="宋体" w:hAnsi="宋体"/>
          <w:color w:val="auto"/>
          <w:kern w:val="0"/>
          <w:sz w:val="24"/>
          <w:szCs w:val="22"/>
        </w:rPr>
        <w:t>已标价工程量清单中无适用或类似子目的单价，可在综合考虑承包人在投标时所提供的单价分析表的基础上，由发包人按第3.5款商定或确定变更工作的单价。</w:t>
      </w:r>
    </w:p>
    <w:p w14:paraId="03918520">
      <w:pPr>
        <w:kinsoku w:val="0"/>
        <w:overflowPunct w:val="0"/>
        <w:autoSpaceDE w:val="0"/>
        <w:autoSpaceDN w:val="0"/>
        <w:spacing w:before="38"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15.4.5</w:t>
      </w:r>
      <w:r>
        <w:rPr>
          <w:rFonts w:hint="eastAsia" w:ascii="宋体" w:hAnsi="宋体"/>
          <w:color w:val="auto"/>
          <w:spacing w:val="26"/>
          <w:kern w:val="0"/>
          <w:sz w:val="24"/>
          <w:szCs w:val="22"/>
        </w:rPr>
        <w:t xml:space="preserve"> </w:t>
      </w:r>
      <w:r>
        <w:rPr>
          <w:rFonts w:hint="eastAsia" w:ascii="宋体" w:hAnsi="宋体"/>
          <w:color w:val="auto"/>
          <w:kern w:val="0"/>
          <w:sz w:val="24"/>
          <w:szCs w:val="22"/>
        </w:rPr>
        <w:t>如果本工程的变更指示是因承包人过错、承包人违反合同或承包人责任 造成的，则这种违约引起的任何额外费用应由承包人承担。</w:t>
      </w:r>
    </w:p>
    <w:p w14:paraId="6CDACFF4">
      <w:pPr>
        <w:kinsoku w:val="0"/>
        <w:overflowPunct w:val="0"/>
        <w:autoSpaceDE w:val="0"/>
        <w:autoSpaceDN w:val="0"/>
        <w:spacing w:before="190" w:line="240" w:lineRule="auto"/>
        <w:jc w:val="left"/>
        <w:rPr>
          <w:rFonts w:hint="eastAsia" w:ascii="宋体" w:hAnsi="宋体"/>
          <w:color w:val="auto"/>
          <w:kern w:val="0"/>
          <w:sz w:val="24"/>
          <w:szCs w:val="22"/>
        </w:rPr>
      </w:pPr>
      <w:bookmarkStart w:id="99" w:name="bookmark220"/>
      <w:bookmarkEnd w:id="99"/>
      <w:r>
        <w:rPr>
          <w:rFonts w:hint="eastAsia" w:ascii="宋体" w:hAnsi="宋体"/>
          <w:color w:val="auto"/>
          <w:kern w:val="0"/>
          <w:sz w:val="24"/>
          <w:szCs w:val="22"/>
        </w:rPr>
        <w:t>15.5</w:t>
      </w:r>
      <w:r>
        <w:rPr>
          <w:rFonts w:hint="eastAsia" w:ascii="宋体" w:hAnsi="宋体"/>
          <w:color w:val="auto"/>
          <w:spacing w:val="59"/>
          <w:kern w:val="0"/>
          <w:sz w:val="24"/>
          <w:szCs w:val="22"/>
        </w:rPr>
        <w:t xml:space="preserve"> </w:t>
      </w:r>
      <w:r>
        <w:rPr>
          <w:rFonts w:hint="eastAsia" w:ascii="宋体" w:hAnsi="宋体"/>
          <w:color w:val="auto"/>
          <w:kern w:val="0"/>
          <w:sz w:val="24"/>
          <w:szCs w:val="22"/>
        </w:rPr>
        <w:t>承包人的合理化建议</w:t>
      </w:r>
    </w:p>
    <w:p w14:paraId="1597CD45">
      <w:pPr>
        <w:kinsoku w:val="0"/>
        <w:overflowPunct w:val="0"/>
        <w:autoSpaceDE w:val="0"/>
        <w:autoSpaceDN w:val="0"/>
        <w:spacing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第</w:t>
      </w:r>
      <w:r>
        <w:rPr>
          <w:rFonts w:hint="eastAsia" w:ascii="宋体" w:hAnsi="宋体"/>
          <w:color w:val="auto"/>
          <w:spacing w:val="-60"/>
          <w:kern w:val="0"/>
          <w:sz w:val="24"/>
          <w:szCs w:val="22"/>
        </w:rPr>
        <w:t xml:space="preserve"> </w:t>
      </w:r>
      <w:r>
        <w:rPr>
          <w:rFonts w:hint="eastAsia" w:ascii="宋体" w:hAnsi="宋体"/>
          <w:color w:val="auto"/>
          <w:kern w:val="0"/>
          <w:sz w:val="24"/>
          <w:szCs w:val="22"/>
        </w:rPr>
        <w:t>15.5.2 项约定为：</w:t>
      </w:r>
    </w:p>
    <w:p w14:paraId="56D264B8">
      <w:pPr>
        <w:kinsoku w:val="0"/>
        <w:overflowPunct w:val="0"/>
        <w:autoSpaceDE w:val="0"/>
        <w:autoSpaceDN w:val="0"/>
        <w:spacing w:before="68"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承包人提出的合理化建议缩短了工期，发包人按第</w:t>
      </w:r>
      <w:r>
        <w:rPr>
          <w:rFonts w:hint="eastAsia" w:ascii="宋体" w:hAnsi="宋体"/>
          <w:color w:val="auto"/>
          <w:spacing w:val="-60"/>
          <w:kern w:val="0"/>
          <w:sz w:val="24"/>
          <w:szCs w:val="22"/>
        </w:rPr>
        <w:t xml:space="preserve"> </w:t>
      </w:r>
      <w:r>
        <w:rPr>
          <w:rFonts w:hint="eastAsia" w:ascii="宋体" w:hAnsi="宋体"/>
          <w:color w:val="auto"/>
          <w:spacing w:val="-3"/>
          <w:kern w:val="0"/>
          <w:sz w:val="24"/>
          <w:szCs w:val="22"/>
        </w:rPr>
        <w:t>11.6</w:t>
      </w:r>
      <w:r>
        <w:rPr>
          <w:rFonts w:hint="eastAsia" w:ascii="宋体" w:hAnsi="宋体"/>
          <w:color w:val="auto"/>
          <w:kern w:val="0"/>
          <w:sz w:val="24"/>
          <w:szCs w:val="22"/>
        </w:rPr>
        <w:t xml:space="preserve"> 款的规定给予奖励。 </w:t>
      </w:r>
      <w:r>
        <w:rPr>
          <w:rFonts w:hint="eastAsia" w:ascii="宋体" w:hAnsi="宋体"/>
          <w:color w:val="auto"/>
          <w:spacing w:val="-4"/>
          <w:kern w:val="0"/>
          <w:sz w:val="24"/>
          <w:szCs w:val="22"/>
        </w:rPr>
        <w:t>承包人提出的合理化建议降低了合同价格或者提高了工程经济效益的，发包人按</w:t>
      </w:r>
      <w:r>
        <w:rPr>
          <w:rFonts w:hint="eastAsia" w:ascii="宋体" w:hAnsi="宋体"/>
          <w:color w:val="auto"/>
          <w:kern w:val="0"/>
          <w:sz w:val="24"/>
          <w:szCs w:val="22"/>
        </w:rPr>
        <w:t>项目专用合同条款数据表中规定的金额给予奖励。</w:t>
      </w:r>
    </w:p>
    <w:p w14:paraId="7273FC63">
      <w:pPr>
        <w:kinsoku w:val="0"/>
        <w:overflowPunct w:val="0"/>
        <w:autoSpaceDE w:val="0"/>
        <w:autoSpaceDN w:val="0"/>
        <w:spacing w:line="240" w:lineRule="auto"/>
        <w:ind w:firstLine="480"/>
        <w:jc w:val="left"/>
        <w:rPr>
          <w:rFonts w:hint="eastAsia" w:ascii="宋体" w:hAnsi="宋体"/>
          <w:color w:val="auto"/>
          <w:kern w:val="0"/>
          <w:sz w:val="24"/>
          <w:szCs w:val="22"/>
        </w:rPr>
      </w:pPr>
      <w:bookmarkStart w:id="100" w:name="bookmark221"/>
      <w:bookmarkEnd w:id="100"/>
      <w:r>
        <w:rPr>
          <w:rFonts w:hint="eastAsia" w:ascii="宋体" w:hAnsi="宋体"/>
          <w:color w:val="auto"/>
          <w:kern w:val="0"/>
          <w:sz w:val="24"/>
          <w:szCs w:val="22"/>
        </w:rPr>
        <w:t>15.6</w:t>
      </w:r>
      <w:r>
        <w:rPr>
          <w:rFonts w:hint="eastAsia" w:ascii="宋体" w:hAnsi="宋体"/>
          <w:color w:val="auto"/>
          <w:spacing w:val="-1"/>
          <w:kern w:val="0"/>
          <w:sz w:val="24"/>
          <w:szCs w:val="22"/>
        </w:rPr>
        <w:t xml:space="preserve"> </w:t>
      </w:r>
      <w:r>
        <w:rPr>
          <w:rFonts w:hint="eastAsia" w:ascii="宋体" w:hAnsi="宋体"/>
          <w:color w:val="auto"/>
          <w:kern w:val="0"/>
          <w:sz w:val="24"/>
          <w:szCs w:val="22"/>
        </w:rPr>
        <w:t>暂列金额</w:t>
      </w:r>
    </w:p>
    <w:p w14:paraId="0FE16B30">
      <w:pPr>
        <w:kinsoku w:val="0"/>
        <w:overflowPunct w:val="0"/>
        <w:autoSpaceDE w:val="0"/>
        <w:autoSpaceDN w:val="0"/>
        <w:spacing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本款细化为：</w:t>
      </w:r>
    </w:p>
    <w:p w14:paraId="6B7AE69E">
      <w:pPr>
        <w:kinsoku w:val="0"/>
        <w:overflowPunct w:val="0"/>
        <w:autoSpaceDE w:val="0"/>
        <w:autoSpaceDN w:val="0"/>
        <w:spacing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15.6.1</w:t>
      </w:r>
      <w:r>
        <w:rPr>
          <w:rFonts w:hint="eastAsia" w:ascii="宋体" w:hAnsi="宋体"/>
          <w:color w:val="auto"/>
          <w:spacing w:val="11"/>
          <w:kern w:val="0"/>
          <w:sz w:val="24"/>
          <w:szCs w:val="22"/>
        </w:rPr>
        <w:t xml:space="preserve"> </w:t>
      </w:r>
      <w:r>
        <w:rPr>
          <w:rFonts w:hint="eastAsia" w:ascii="宋体" w:hAnsi="宋体"/>
          <w:color w:val="auto"/>
          <w:spacing w:val="-4"/>
          <w:kern w:val="0"/>
          <w:sz w:val="24"/>
          <w:szCs w:val="22"/>
        </w:rPr>
        <w:t>暂列金额应由发包人报发包人批准后指令全部或部分地使用，或者根本不</w:t>
      </w:r>
      <w:r>
        <w:rPr>
          <w:rFonts w:hint="eastAsia" w:ascii="宋体" w:hAnsi="宋体"/>
          <w:color w:val="auto"/>
          <w:kern w:val="0"/>
          <w:sz w:val="24"/>
          <w:szCs w:val="22"/>
        </w:rPr>
        <w:t>予动用。</w:t>
      </w:r>
    </w:p>
    <w:p w14:paraId="43E3CCEC">
      <w:pPr>
        <w:kinsoku w:val="0"/>
        <w:overflowPunct w:val="0"/>
        <w:autoSpaceDE w:val="0"/>
        <w:autoSpaceDN w:val="0"/>
        <w:spacing w:before="38" w:line="240" w:lineRule="auto"/>
        <w:ind w:right="225" w:firstLine="480"/>
        <w:rPr>
          <w:rFonts w:hint="eastAsia" w:ascii="宋体" w:hAnsi="宋体"/>
          <w:color w:val="auto"/>
          <w:kern w:val="0"/>
          <w:sz w:val="24"/>
          <w:szCs w:val="22"/>
        </w:rPr>
      </w:pPr>
      <w:r>
        <w:rPr>
          <w:rFonts w:hint="eastAsia" w:ascii="宋体" w:hAnsi="宋体"/>
          <w:color w:val="auto"/>
          <w:kern w:val="0"/>
          <w:sz w:val="24"/>
          <w:szCs w:val="22"/>
        </w:rPr>
        <w:t>15.6.2</w:t>
      </w:r>
      <w:r>
        <w:rPr>
          <w:rFonts w:hint="eastAsia" w:ascii="宋体" w:hAnsi="宋体"/>
          <w:color w:val="auto"/>
          <w:spacing w:val="11"/>
          <w:kern w:val="0"/>
          <w:sz w:val="24"/>
          <w:szCs w:val="22"/>
        </w:rPr>
        <w:t xml:space="preserve"> </w:t>
      </w:r>
      <w:r>
        <w:rPr>
          <w:rFonts w:hint="eastAsia" w:ascii="宋体" w:hAnsi="宋体"/>
          <w:color w:val="auto"/>
          <w:spacing w:val="-4"/>
          <w:kern w:val="0"/>
          <w:sz w:val="24"/>
          <w:szCs w:val="22"/>
        </w:rPr>
        <w:t>对于经发包人批准的每一笔暂列金额，发包人有权向承包人发出实施工程</w:t>
      </w:r>
      <w:r>
        <w:rPr>
          <w:rFonts w:hint="eastAsia" w:ascii="宋体" w:hAnsi="宋体"/>
          <w:color w:val="auto"/>
          <w:kern w:val="0"/>
          <w:sz w:val="24"/>
          <w:szCs w:val="22"/>
        </w:rPr>
        <w:t xml:space="preserve"> 或提供材料、工程设备或服务的指令。这些指令应由承包人完成，发包人应根据第</w:t>
      </w:r>
      <w:r>
        <w:rPr>
          <w:rFonts w:hint="eastAsia" w:ascii="宋体" w:hAnsi="宋体"/>
          <w:color w:val="auto"/>
          <w:spacing w:val="-93"/>
          <w:kern w:val="0"/>
          <w:sz w:val="24"/>
          <w:szCs w:val="22"/>
        </w:rPr>
        <w:t xml:space="preserve"> </w:t>
      </w:r>
      <w:r>
        <w:rPr>
          <w:rFonts w:hint="eastAsia" w:ascii="宋体" w:hAnsi="宋体"/>
          <w:color w:val="auto"/>
          <w:kern w:val="0"/>
          <w:sz w:val="24"/>
          <w:szCs w:val="22"/>
        </w:rPr>
        <w:t>15.4</w:t>
      </w:r>
      <w:r>
        <w:rPr>
          <w:rFonts w:hint="eastAsia" w:ascii="宋体" w:hAnsi="宋体"/>
          <w:color w:val="auto"/>
          <w:spacing w:val="-1"/>
          <w:kern w:val="0"/>
          <w:sz w:val="24"/>
          <w:szCs w:val="22"/>
        </w:rPr>
        <w:t xml:space="preserve"> </w:t>
      </w:r>
      <w:r>
        <w:rPr>
          <w:rFonts w:hint="eastAsia" w:ascii="宋体" w:hAnsi="宋体"/>
          <w:color w:val="auto"/>
          <w:kern w:val="0"/>
          <w:sz w:val="24"/>
          <w:szCs w:val="22"/>
        </w:rPr>
        <w:t>款约定的变更估价原则和第</w:t>
      </w:r>
      <w:r>
        <w:rPr>
          <w:rFonts w:hint="eastAsia" w:ascii="宋体" w:hAnsi="宋体"/>
          <w:color w:val="auto"/>
          <w:spacing w:val="-60"/>
          <w:kern w:val="0"/>
          <w:sz w:val="24"/>
          <w:szCs w:val="22"/>
        </w:rPr>
        <w:t xml:space="preserve"> </w:t>
      </w:r>
      <w:r>
        <w:rPr>
          <w:rFonts w:hint="eastAsia" w:ascii="宋体" w:hAnsi="宋体"/>
          <w:color w:val="auto"/>
          <w:kern w:val="0"/>
          <w:sz w:val="24"/>
          <w:szCs w:val="22"/>
        </w:rPr>
        <w:t>15.7 款的规定，对合同价格进行相应调整。</w:t>
      </w:r>
    </w:p>
    <w:p w14:paraId="7BD3D4EB">
      <w:pPr>
        <w:kinsoku w:val="0"/>
        <w:overflowPunct w:val="0"/>
        <w:autoSpaceDE w:val="0"/>
        <w:autoSpaceDN w:val="0"/>
        <w:spacing w:before="4" w:line="240" w:lineRule="auto"/>
        <w:ind w:right="224" w:firstLine="480"/>
        <w:rPr>
          <w:rFonts w:hint="eastAsia" w:ascii="宋体" w:hAnsi="宋体"/>
          <w:color w:val="auto"/>
          <w:kern w:val="0"/>
          <w:sz w:val="24"/>
          <w:szCs w:val="22"/>
        </w:rPr>
      </w:pPr>
      <w:r>
        <w:rPr>
          <w:rFonts w:hint="eastAsia" w:ascii="宋体" w:hAnsi="宋体"/>
          <w:color w:val="auto"/>
          <w:kern w:val="0"/>
          <w:sz w:val="24"/>
          <w:szCs w:val="22"/>
        </w:rPr>
        <w:t>15.6.3</w:t>
      </w:r>
      <w:r>
        <w:rPr>
          <w:rFonts w:hint="eastAsia" w:ascii="宋体" w:hAnsi="宋体"/>
          <w:color w:val="auto"/>
          <w:spacing w:val="11"/>
          <w:kern w:val="0"/>
          <w:sz w:val="24"/>
          <w:szCs w:val="22"/>
        </w:rPr>
        <w:t xml:space="preserve"> </w:t>
      </w:r>
      <w:r>
        <w:rPr>
          <w:rFonts w:hint="eastAsia" w:ascii="宋体" w:hAnsi="宋体"/>
          <w:color w:val="auto"/>
          <w:spacing w:val="-4"/>
          <w:kern w:val="0"/>
          <w:sz w:val="24"/>
          <w:szCs w:val="22"/>
        </w:rPr>
        <w:t>当发包人提出要求时，承包人应提供有关暂列金额支出的所有报价单、发</w:t>
      </w:r>
      <w:r>
        <w:rPr>
          <w:rFonts w:hint="eastAsia" w:ascii="宋体" w:hAnsi="宋体"/>
          <w:color w:val="auto"/>
          <w:kern w:val="0"/>
          <w:sz w:val="24"/>
          <w:szCs w:val="22"/>
        </w:rPr>
        <w:t xml:space="preserve"> 票、凭证和账单或收据，除非该工作是根据已标价工程量清单列明的单价或总额价</w:t>
      </w:r>
      <w:r>
        <w:rPr>
          <w:rFonts w:hint="eastAsia" w:ascii="宋体" w:hAnsi="宋体"/>
          <w:color w:val="auto"/>
          <w:spacing w:val="-93"/>
          <w:kern w:val="0"/>
          <w:sz w:val="24"/>
          <w:szCs w:val="22"/>
        </w:rPr>
        <w:t xml:space="preserve"> </w:t>
      </w:r>
      <w:r>
        <w:rPr>
          <w:rFonts w:hint="eastAsia" w:ascii="宋体" w:hAnsi="宋体"/>
          <w:color w:val="auto"/>
          <w:kern w:val="0"/>
          <w:sz w:val="24"/>
          <w:szCs w:val="22"/>
        </w:rPr>
        <w:t>进行的估价。</w:t>
      </w:r>
    </w:p>
    <w:p w14:paraId="2A09070D">
      <w:pPr>
        <w:kinsoku w:val="0"/>
        <w:overflowPunct w:val="0"/>
        <w:autoSpaceDE w:val="0"/>
        <w:autoSpaceDN w:val="0"/>
        <w:spacing w:line="240" w:lineRule="auto"/>
        <w:jc w:val="left"/>
        <w:rPr>
          <w:rFonts w:hint="eastAsia" w:ascii="宋体" w:hAnsi="宋体"/>
          <w:color w:val="auto"/>
          <w:kern w:val="0"/>
          <w:sz w:val="28"/>
          <w:szCs w:val="28"/>
        </w:rPr>
      </w:pPr>
      <w:bookmarkStart w:id="101" w:name="bookmark222"/>
      <w:bookmarkEnd w:id="101"/>
      <w:r>
        <w:rPr>
          <w:rFonts w:hint="eastAsia" w:ascii="宋体" w:hAnsi="宋体"/>
          <w:color w:val="auto"/>
          <w:kern w:val="0"/>
          <w:sz w:val="28"/>
          <w:szCs w:val="28"/>
        </w:rPr>
        <w:t>16.  价格调整</w:t>
      </w:r>
    </w:p>
    <w:p w14:paraId="29D94465">
      <w:pPr>
        <w:kinsoku w:val="0"/>
        <w:overflowPunct w:val="0"/>
        <w:autoSpaceDE w:val="0"/>
        <w:autoSpaceDN w:val="0"/>
        <w:spacing w:line="240" w:lineRule="auto"/>
        <w:jc w:val="left"/>
        <w:rPr>
          <w:rFonts w:hint="eastAsia" w:ascii="宋体" w:hAnsi="宋体"/>
          <w:color w:val="auto"/>
          <w:kern w:val="0"/>
          <w:sz w:val="24"/>
          <w:szCs w:val="22"/>
        </w:rPr>
      </w:pPr>
      <w:r>
        <w:rPr>
          <w:rFonts w:hint="eastAsia" w:ascii="宋体" w:hAnsi="宋体"/>
          <w:color w:val="auto"/>
          <w:kern w:val="0"/>
          <w:sz w:val="24"/>
          <w:szCs w:val="22"/>
        </w:rPr>
        <w:t>16.1</w:t>
      </w:r>
      <w:r>
        <w:rPr>
          <w:rFonts w:hint="eastAsia" w:ascii="宋体" w:hAnsi="宋体"/>
          <w:color w:val="auto"/>
          <w:spacing w:val="59"/>
          <w:kern w:val="0"/>
          <w:sz w:val="24"/>
          <w:szCs w:val="22"/>
        </w:rPr>
        <w:t xml:space="preserve"> </w:t>
      </w:r>
      <w:r>
        <w:rPr>
          <w:rFonts w:hint="eastAsia" w:ascii="宋体" w:hAnsi="宋体"/>
          <w:color w:val="auto"/>
          <w:kern w:val="0"/>
          <w:sz w:val="24"/>
          <w:szCs w:val="22"/>
        </w:rPr>
        <w:t>物价波动引起的价格调整</w:t>
      </w:r>
    </w:p>
    <w:p w14:paraId="2D8EC487">
      <w:pPr>
        <w:kinsoku w:val="0"/>
        <w:overflowPunct w:val="0"/>
        <w:autoSpaceDE w:val="0"/>
        <w:autoSpaceDN w:val="0"/>
        <w:spacing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本款约定为：本项目价格不调整</w:t>
      </w:r>
    </w:p>
    <w:p w14:paraId="054AAE62">
      <w:pPr>
        <w:kinsoku w:val="0"/>
        <w:overflowPunct w:val="0"/>
        <w:autoSpaceDE w:val="0"/>
        <w:autoSpaceDN w:val="0"/>
        <w:spacing w:line="240" w:lineRule="auto"/>
        <w:jc w:val="left"/>
        <w:rPr>
          <w:rFonts w:hint="eastAsia" w:ascii="宋体" w:hAnsi="宋体"/>
          <w:color w:val="auto"/>
          <w:kern w:val="0"/>
          <w:sz w:val="28"/>
          <w:szCs w:val="28"/>
        </w:rPr>
      </w:pPr>
      <w:bookmarkStart w:id="102" w:name="bookmark224"/>
      <w:bookmarkEnd w:id="102"/>
      <w:r>
        <w:rPr>
          <w:rFonts w:hint="eastAsia" w:ascii="宋体" w:hAnsi="宋体"/>
          <w:color w:val="auto"/>
          <w:kern w:val="0"/>
          <w:sz w:val="28"/>
          <w:szCs w:val="28"/>
        </w:rPr>
        <w:t xml:space="preserve">17. </w:t>
      </w:r>
      <w:r>
        <w:rPr>
          <w:rFonts w:hint="eastAsia" w:ascii="宋体" w:hAnsi="宋体"/>
          <w:color w:val="auto"/>
          <w:spacing w:val="1"/>
          <w:kern w:val="0"/>
          <w:sz w:val="28"/>
          <w:szCs w:val="28"/>
        </w:rPr>
        <w:t xml:space="preserve"> </w:t>
      </w:r>
      <w:r>
        <w:rPr>
          <w:rFonts w:hint="eastAsia" w:ascii="宋体" w:hAnsi="宋体"/>
          <w:color w:val="auto"/>
          <w:kern w:val="0"/>
          <w:sz w:val="28"/>
          <w:szCs w:val="28"/>
        </w:rPr>
        <w:t>计量与支付</w:t>
      </w:r>
    </w:p>
    <w:p w14:paraId="14416895">
      <w:pPr>
        <w:kinsoku w:val="0"/>
        <w:overflowPunct w:val="0"/>
        <w:autoSpaceDE w:val="0"/>
        <w:autoSpaceDN w:val="0"/>
        <w:spacing w:line="240" w:lineRule="auto"/>
        <w:jc w:val="left"/>
        <w:rPr>
          <w:rFonts w:hint="eastAsia" w:ascii="宋体" w:hAnsi="宋体"/>
          <w:color w:val="auto"/>
          <w:kern w:val="0"/>
          <w:sz w:val="24"/>
          <w:szCs w:val="22"/>
        </w:rPr>
      </w:pPr>
      <w:bookmarkStart w:id="103" w:name="bookmark225"/>
      <w:bookmarkEnd w:id="103"/>
      <w:r>
        <w:rPr>
          <w:rFonts w:hint="eastAsia" w:ascii="宋体" w:hAnsi="宋体"/>
          <w:color w:val="auto"/>
          <w:kern w:val="0"/>
          <w:sz w:val="24"/>
          <w:szCs w:val="22"/>
        </w:rPr>
        <w:t>17.1</w:t>
      </w:r>
      <w:r>
        <w:rPr>
          <w:rFonts w:hint="eastAsia" w:ascii="宋体" w:hAnsi="宋体"/>
          <w:color w:val="auto"/>
          <w:spacing w:val="59"/>
          <w:kern w:val="0"/>
          <w:sz w:val="24"/>
          <w:szCs w:val="22"/>
        </w:rPr>
        <w:t xml:space="preserve"> </w:t>
      </w:r>
      <w:r>
        <w:rPr>
          <w:rFonts w:hint="eastAsia" w:ascii="宋体" w:hAnsi="宋体"/>
          <w:color w:val="auto"/>
          <w:kern w:val="0"/>
          <w:sz w:val="24"/>
          <w:szCs w:val="22"/>
        </w:rPr>
        <w:t>计量</w:t>
      </w:r>
    </w:p>
    <w:p w14:paraId="2AE2123D">
      <w:pPr>
        <w:kinsoku w:val="0"/>
        <w:overflowPunct w:val="0"/>
        <w:autoSpaceDE w:val="0"/>
        <w:autoSpaceDN w:val="0"/>
        <w:spacing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17.1.2  计量方法</w:t>
      </w:r>
    </w:p>
    <w:p w14:paraId="036E27BA">
      <w:pPr>
        <w:kinsoku w:val="0"/>
        <w:overflowPunct w:val="0"/>
        <w:autoSpaceDE w:val="0"/>
        <w:autoSpaceDN w:val="0"/>
        <w:spacing w:before="66"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本项约定为： 工程的计量应以净值为准，除非项目专用合同条款另有约定。工程量清单中各个子目的具体计量方法按本合同文件工程量清单计量规则中的规定执行。</w:t>
      </w:r>
    </w:p>
    <w:p w14:paraId="6E6BB204">
      <w:pPr>
        <w:kinsoku w:val="0"/>
        <w:overflowPunct w:val="0"/>
        <w:autoSpaceDE w:val="0"/>
        <w:autoSpaceDN w:val="0"/>
        <w:spacing w:before="84"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17.1.4  单价子目的计量</w:t>
      </w:r>
    </w:p>
    <w:p w14:paraId="2452A4E8">
      <w:pPr>
        <w:kinsoku w:val="0"/>
        <w:overflowPunct w:val="0"/>
        <w:autoSpaceDE w:val="0"/>
        <w:autoSpaceDN w:val="0"/>
        <w:spacing w:before="68"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本项补充：</w:t>
      </w:r>
    </w:p>
    <w:p w14:paraId="0C3E1956">
      <w:pPr>
        <w:kinsoku w:val="0"/>
        <w:overflowPunct w:val="0"/>
        <w:autoSpaceDE w:val="0"/>
        <w:autoSpaceDN w:val="0"/>
        <w:spacing w:before="87" w:line="240" w:lineRule="auto"/>
        <w:ind w:firstLine="468"/>
        <w:jc w:val="left"/>
        <w:rPr>
          <w:rFonts w:hint="eastAsia" w:ascii="宋体" w:hAnsi="宋体"/>
          <w:color w:val="auto"/>
          <w:spacing w:val="-3"/>
          <w:kern w:val="0"/>
          <w:sz w:val="24"/>
          <w:szCs w:val="22"/>
        </w:rPr>
      </w:pPr>
      <w:r>
        <w:rPr>
          <w:rFonts w:hint="eastAsia" w:ascii="宋体" w:hAnsi="宋体"/>
          <w:color w:val="auto"/>
          <w:spacing w:val="-3"/>
          <w:kern w:val="0"/>
          <w:sz w:val="24"/>
          <w:szCs w:val="22"/>
        </w:rPr>
        <w:t>（7）承包人未在已标价工程量清单中填入单价或总额价的工程子目，将被认为</w:t>
      </w:r>
      <w:r>
        <w:rPr>
          <w:rFonts w:hint="eastAsia" w:ascii="宋体" w:hAnsi="宋体"/>
          <w:color w:val="auto"/>
          <w:kern w:val="0"/>
          <w:sz w:val="24"/>
          <w:szCs w:val="22"/>
        </w:rPr>
        <w:t xml:space="preserve"> 其已包含在本合同的其他子目的单价和总额价中，发包人将不另行支付。</w:t>
      </w:r>
    </w:p>
    <w:p w14:paraId="76C8D538">
      <w:pPr>
        <w:kinsoku w:val="0"/>
        <w:overflowPunct w:val="0"/>
        <w:autoSpaceDE w:val="0"/>
        <w:autoSpaceDN w:val="0"/>
        <w:spacing w:before="38"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17.1.5  总价子目的计量</w:t>
      </w:r>
    </w:p>
    <w:p w14:paraId="613F35D7">
      <w:pPr>
        <w:kinsoku w:val="0"/>
        <w:overflowPunct w:val="0"/>
        <w:autoSpaceDE w:val="0"/>
        <w:autoSpaceDN w:val="0"/>
        <w:spacing w:before="68"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本项补充： 本项目工程量清单中要求承包人以“总额”方式报价的子目，各子目的支付原则和支付进度按项目专用合同条款的规定执行。</w:t>
      </w:r>
    </w:p>
    <w:p w14:paraId="37E32F94">
      <w:pPr>
        <w:kinsoku w:val="0"/>
        <w:overflowPunct w:val="0"/>
        <w:autoSpaceDE w:val="0"/>
        <w:autoSpaceDN w:val="0"/>
        <w:spacing w:line="240" w:lineRule="auto"/>
        <w:jc w:val="left"/>
        <w:rPr>
          <w:rFonts w:hint="eastAsia" w:ascii="宋体" w:hAnsi="宋体"/>
          <w:color w:val="auto"/>
          <w:kern w:val="0"/>
          <w:sz w:val="24"/>
          <w:szCs w:val="22"/>
        </w:rPr>
      </w:pPr>
      <w:bookmarkStart w:id="104" w:name="bookmark226"/>
      <w:bookmarkEnd w:id="104"/>
      <w:r>
        <w:rPr>
          <w:rFonts w:hint="eastAsia" w:ascii="宋体" w:hAnsi="宋体"/>
          <w:color w:val="auto"/>
          <w:kern w:val="0"/>
          <w:sz w:val="24"/>
          <w:szCs w:val="22"/>
        </w:rPr>
        <w:t>17.2</w:t>
      </w:r>
      <w:r>
        <w:rPr>
          <w:rFonts w:hint="eastAsia" w:ascii="宋体" w:hAnsi="宋体"/>
          <w:color w:val="auto"/>
          <w:spacing w:val="59"/>
          <w:kern w:val="0"/>
          <w:sz w:val="24"/>
          <w:szCs w:val="22"/>
        </w:rPr>
        <w:t xml:space="preserve"> </w:t>
      </w:r>
      <w:r>
        <w:rPr>
          <w:rFonts w:hint="eastAsia" w:ascii="宋体" w:hAnsi="宋体"/>
          <w:color w:val="auto"/>
          <w:kern w:val="0"/>
          <w:sz w:val="24"/>
          <w:szCs w:val="22"/>
        </w:rPr>
        <w:t>预付款</w:t>
      </w:r>
    </w:p>
    <w:p w14:paraId="5473E332">
      <w:pPr>
        <w:kinsoku w:val="0"/>
        <w:overflowPunct w:val="0"/>
        <w:autoSpaceDE w:val="0"/>
        <w:autoSpaceDN w:val="0"/>
        <w:spacing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17.2.1 预付款</w:t>
      </w:r>
    </w:p>
    <w:p w14:paraId="08FFF1E0">
      <w:pPr>
        <w:kinsoku w:val="0"/>
        <w:overflowPunct w:val="0"/>
        <w:autoSpaceDE w:val="0"/>
        <w:autoSpaceDN w:val="0"/>
        <w:spacing w:before="68" w:line="240" w:lineRule="auto"/>
        <w:ind w:firstLine="480"/>
        <w:jc w:val="left"/>
        <w:rPr>
          <w:rFonts w:hint="eastAsia" w:ascii="宋体" w:hAnsi="宋体"/>
          <w:color w:val="auto"/>
          <w:kern w:val="0"/>
          <w:sz w:val="24"/>
          <w:szCs w:val="22"/>
        </w:rPr>
      </w:pPr>
      <w:r>
        <w:rPr>
          <w:rFonts w:hint="eastAsia" w:ascii="宋体" w:hAnsi="宋体"/>
          <w:color w:val="auto"/>
          <w:sz w:val="24"/>
        </w:rPr>
        <w:t>本项目不设预付款</w:t>
      </w:r>
    </w:p>
    <w:p w14:paraId="0ED1A8A0">
      <w:pPr>
        <w:kinsoku w:val="0"/>
        <w:overflowPunct w:val="0"/>
        <w:autoSpaceDE w:val="0"/>
        <w:autoSpaceDN w:val="0"/>
        <w:spacing w:line="240" w:lineRule="auto"/>
        <w:rPr>
          <w:rFonts w:hint="eastAsia" w:ascii="宋体" w:hAnsi="宋体"/>
          <w:color w:val="auto"/>
          <w:kern w:val="0"/>
          <w:sz w:val="24"/>
          <w:szCs w:val="22"/>
        </w:rPr>
      </w:pPr>
      <w:bookmarkStart w:id="105" w:name="bookmark227"/>
      <w:bookmarkEnd w:id="105"/>
      <w:r>
        <w:rPr>
          <w:rFonts w:hint="eastAsia" w:ascii="宋体" w:hAnsi="宋体"/>
          <w:color w:val="auto"/>
          <w:kern w:val="0"/>
          <w:sz w:val="24"/>
          <w:szCs w:val="22"/>
        </w:rPr>
        <w:t>17.3</w:t>
      </w:r>
      <w:r>
        <w:rPr>
          <w:rFonts w:hint="eastAsia" w:ascii="宋体" w:hAnsi="宋体"/>
          <w:color w:val="auto"/>
          <w:spacing w:val="59"/>
          <w:kern w:val="0"/>
          <w:sz w:val="24"/>
          <w:szCs w:val="22"/>
        </w:rPr>
        <w:t xml:space="preserve"> </w:t>
      </w:r>
      <w:r>
        <w:rPr>
          <w:rFonts w:hint="eastAsia" w:ascii="宋体" w:hAnsi="宋体"/>
          <w:color w:val="auto"/>
          <w:kern w:val="0"/>
          <w:sz w:val="24"/>
          <w:szCs w:val="22"/>
        </w:rPr>
        <w:t>工程进度付款</w:t>
      </w:r>
    </w:p>
    <w:p w14:paraId="4CD184CA">
      <w:pPr>
        <w:tabs>
          <w:tab w:val="left" w:pos="1080"/>
        </w:tabs>
        <w:spacing w:line="240" w:lineRule="auto"/>
        <w:ind w:firstLine="480"/>
        <w:rPr>
          <w:rFonts w:hint="eastAsia" w:ascii="宋体" w:hAnsi="宋体"/>
          <w:color w:val="auto"/>
          <w:kern w:val="0"/>
          <w:sz w:val="24"/>
          <w:szCs w:val="22"/>
        </w:rPr>
      </w:pPr>
      <w:r>
        <w:rPr>
          <w:rFonts w:hint="eastAsia" w:ascii="宋体" w:hAnsi="宋体"/>
          <w:color w:val="auto"/>
          <w:kern w:val="0"/>
          <w:sz w:val="24"/>
          <w:szCs w:val="22"/>
        </w:rPr>
        <w:t>①开工预付款金额：</w:t>
      </w:r>
      <w:r>
        <w:rPr>
          <w:rFonts w:hint="eastAsia" w:ascii="宋体" w:hAnsi="宋体"/>
          <w:color w:val="auto"/>
          <w:kern w:val="0"/>
          <w:sz w:val="24"/>
          <w:szCs w:val="22"/>
          <w:lang w:val="en-US" w:eastAsia="zh-CN"/>
        </w:rPr>
        <w:t>本项目无预付款</w:t>
      </w:r>
      <w:r>
        <w:rPr>
          <w:rFonts w:hint="eastAsia" w:ascii="宋体" w:hAnsi="宋体"/>
          <w:color w:val="auto"/>
          <w:kern w:val="0"/>
          <w:sz w:val="24"/>
          <w:szCs w:val="22"/>
        </w:rPr>
        <w:t>。工程款按文件政策和工程实际进度情况支付；②付款方式按工程进度计量，待工程验收合格后，工程款支付至结算总价的100%（含已支付的）；③</w:t>
      </w:r>
      <w:r>
        <w:rPr>
          <w:rFonts w:hint="eastAsia" w:ascii="宋体" w:hAnsi="宋体"/>
          <w:color w:val="auto"/>
          <w:szCs w:val="21"/>
        </w:rPr>
        <w:t>质量保证金</w:t>
      </w:r>
      <w:r>
        <w:rPr>
          <w:color w:val="auto"/>
        </w:rPr>
        <w:t>承包人</w:t>
      </w:r>
      <w:r>
        <w:rPr>
          <w:rFonts w:hint="eastAsia"/>
          <w:color w:val="auto"/>
        </w:rPr>
        <w:t>按</w:t>
      </w:r>
      <w:r>
        <w:rPr>
          <w:color w:val="auto"/>
        </w:rPr>
        <w:t>每次计量</w:t>
      </w:r>
      <w:r>
        <w:rPr>
          <w:rFonts w:hint="eastAsia"/>
          <w:color w:val="auto"/>
        </w:rPr>
        <w:t>款</w:t>
      </w:r>
      <w:r>
        <w:rPr>
          <w:color w:val="auto"/>
        </w:rPr>
        <w:t>总额的3%</w:t>
      </w:r>
      <w:r>
        <w:rPr>
          <w:rFonts w:hint="eastAsia"/>
          <w:color w:val="auto"/>
        </w:rPr>
        <w:t>以转账的方式</w:t>
      </w:r>
      <w:r>
        <w:rPr>
          <w:color w:val="auto"/>
        </w:rPr>
        <w:t>汇到业主指定的账户</w:t>
      </w:r>
      <w:r>
        <w:rPr>
          <w:rFonts w:hint="eastAsia" w:ascii="宋体" w:hAnsi="宋体"/>
          <w:color w:val="auto"/>
          <w:kern w:val="0"/>
          <w:sz w:val="24"/>
          <w:szCs w:val="22"/>
        </w:rPr>
        <w:t>，金额应符合项目专用合同条款数据表的规定。质量保证金不计付利息以及利息，在约定的缺陷责任期满，按规定对工程质量检测鉴定合格，承包人向发包人申请到期应返还承包人剩余的质量保证金金额，发包人应在14天内会同承包人按照合同约定的内容核实承包人是否完成缺陷责任。如无异议，发包人应当在核实后将剩余保证金返还承包人。（注：工程款项支付时，需按规定在项目所在地缴纳相关税费。）</w:t>
      </w:r>
    </w:p>
    <w:p w14:paraId="65FF9770">
      <w:pPr>
        <w:kinsoku w:val="0"/>
        <w:overflowPunct w:val="0"/>
        <w:autoSpaceDE w:val="0"/>
        <w:autoSpaceDN w:val="0"/>
        <w:spacing w:line="240" w:lineRule="auto"/>
        <w:ind w:right="29" w:firstLine="480"/>
        <w:jc w:val="left"/>
        <w:rPr>
          <w:rFonts w:hint="eastAsia" w:ascii="宋体" w:hAnsi="宋体"/>
          <w:color w:val="auto"/>
          <w:kern w:val="0"/>
          <w:sz w:val="24"/>
          <w:szCs w:val="22"/>
        </w:rPr>
      </w:pPr>
      <w:r>
        <w:rPr>
          <w:rFonts w:hint="eastAsia" w:ascii="宋体" w:hAnsi="宋体"/>
          <w:color w:val="auto"/>
          <w:kern w:val="0"/>
          <w:sz w:val="24"/>
          <w:szCs w:val="22"/>
        </w:rPr>
        <w:t>17.3.3  进度付款证书和支付时间</w:t>
      </w:r>
    </w:p>
    <w:p w14:paraId="376D5217">
      <w:pPr>
        <w:kinsoku w:val="0"/>
        <w:overflowPunct w:val="0"/>
        <w:autoSpaceDE w:val="0"/>
        <w:autoSpaceDN w:val="0"/>
        <w:spacing w:before="66" w:line="240" w:lineRule="auto"/>
        <w:ind w:right="29" w:firstLine="480"/>
        <w:jc w:val="left"/>
        <w:rPr>
          <w:rFonts w:hint="eastAsia" w:ascii="宋体" w:hAnsi="宋体"/>
          <w:color w:val="auto"/>
          <w:kern w:val="0"/>
          <w:sz w:val="24"/>
          <w:szCs w:val="22"/>
        </w:rPr>
      </w:pPr>
      <w:r>
        <w:rPr>
          <w:rFonts w:hint="eastAsia" w:ascii="宋体" w:hAnsi="宋体"/>
          <w:color w:val="auto"/>
          <w:kern w:val="0"/>
          <w:sz w:val="24"/>
          <w:szCs w:val="22"/>
        </w:rPr>
        <w:t>本项（1）目补充： 如果该付款周期应结算的价款经扣留和扣回后的款额少于项目专用合同条款数据表中列明的进度付款证书的最低金额，则该付款周期发包人可不核证支付，上述</w:t>
      </w:r>
      <w:r>
        <w:rPr>
          <w:rFonts w:hint="eastAsia" w:ascii="宋体" w:hAnsi="宋体"/>
          <w:color w:val="auto"/>
          <w:spacing w:val="-95"/>
          <w:kern w:val="0"/>
          <w:sz w:val="24"/>
          <w:szCs w:val="22"/>
        </w:rPr>
        <w:t xml:space="preserve"> </w:t>
      </w:r>
      <w:r>
        <w:rPr>
          <w:rFonts w:hint="eastAsia" w:ascii="宋体" w:hAnsi="宋体"/>
          <w:color w:val="auto"/>
          <w:kern w:val="0"/>
          <w:sz w:val="24"/>
          <w:szCs w:val="22"/>
        </w:rPr>
        <w:t>款额将按付款周期结转，直至累计应支付的款额达到项目专用合同条款数据表中列</w:t>
      </w:r>
      <w:r>
        <w:rPr>
          <w:rFonts w:hint="eastAsia" w:ascii="宋体" w:hAnsi="宋体"/>
          <w:color w:val="auto"/>
          <w:spacing w:val="-92"/>
          <w:kern w:val="0"/>
          <w:sz w:val="24"/>
          <w:szCs w:val="22"/>
        </w:rPr>
        <w:t xml:space="preserve"> </w:t>
      </w:r>
      <w:r>
        <w:rPr>
          <w:rFonts w:hint="eastAsia" w:ascii="宋体" w:hAnsi="宋体"/>
          <w:color w:val="auto"/>
          <w:kern w:val="0"/>
          <w:sz w:val="24"/>
          <w:szCs w:val="22"/>
        </w:rPr>
        <w:t>明的进度付款证书的最低金额为止。</w:t>
      </w:r>
    </w:p>
    <w:p w14:paraId="4B26D541">
      <w:pPr>
        <w:kinsoku w:val="0"/>
        <w:overflowPunct w:val="0"/>
        <w:autoSpaceDE w:val="0"/>
        <w:autoSpaceDN w:val="0"/>
        <w:spacing w:before="22" w:line="240" w:lineRule="auto"/>
        <w:ind w:right="29" w:firstLine="480"/>
        <w:jc w:val="left"/>
        <w:rPr>
          <w:rFonts w:hint="eastAsia" w:ascii="宋体" w:hAnsi="宋体"/>
          <w:color w:val="auto"/>
          <w:kern w:val="0"/>
          <w:sz w:val="24"/>
          <w:szCs w:val="22"/>
        </w:rPr>
      </w:pPr>
      <w:r>
        <w:rPr>
          <w:rFonts w:hint="eastAsia" w:ascii="宋体" w:hAnsi="宋体"/>
          <w:color w:val="auto"/>
          <w:kern w:val="0"/>
          <w:sz w:val="24"/>
          <w:szCs w:val="22"/>
        </w:rPr>
        <w:t>本项（2）目细化为： 发包人应在发包人收到进度付款申请单且承包人提交了合格的增值税专用发票后的28 天内，将进度应付款支付给承包人。 发包人不按期支付的，按项目专用合同条款数据表中约定的利率向承包人支付逾期付款违约金。违约金计算基数为发包人的全部未付款额，时间从应付而未付该</w:t>
      </w:r>
      <w:r>
        <w:rPr>
          <w:rFonts w:hint="eastAsia" w:ascii="宋体" w:hAnsi="宋体"/>
          <w:color w:val="auto"/>
          <w:spacing w:val="-94"/>
          <w:kern w:val="0"/>
          <w:sz w:val="24"/>
          <w:szCs w:val="22"/>
        </w:rPr>
        <w:t xml:space="preserve"> </w:t>
      </w:r>
      <w:r>
        <w:rPr>
          <w:rFonts w:hint="eastAsia" w:ascii="宋体" w:hAnsi="宋体"/>
          <w:color w:val="auto"/>
          <w:spacing w:val="-10"/>
          <w:kern w:val="0"/>
          <w:sz w:val="24"/>
          <w:szCs w:val="22"/>
        </w:rPr>
        <w:t>款额之日算起（不计复利）。</w:t>
      </w:r>
    </w:p>
    <w:p w14:paraId="0E1C629B">
      <w:pPr>
        <w:kinsoku w:val="0"/>
        <w:overflowPunct w:val="0"/>
        <w:autoSpaceDE w:val="0"/>
        <w:autoSpaceDN w:val="0"/>
        <w:spacing w:before="43"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本款补充第</w:t>
      </w:r>
      <w:r>
        <w:rPr>
          <w:rFonts w:hint="eastAsia" w:ascii="宋体" w:hAnsi="宋体"/>
          <w:color w:val="auto"/>
          <w:spacing w:val="-60"/>
          <w:kern w:val="0"/>
          <w:sz w:val="24"/>
          <w:szCs w:val="22"/>
        </w:rPr>
        <w:t xml:space="preserve"> </w:t>
      </w:r>
      <w:r>
        <w:rPr>
          <w:rFonts w:hint="eastAsia" w:ascii="宋体" w:hAnsi="宋体"/>
          <w:color w:val="auto"/>
          <w:kern w:val="0"/>
          <w:sz w:val="24"/>
          <w:szCs w:val="22"/>
        </w:rPr>
        <w:t>17.3.5 项：</w:t>
      </w:r>
    </w:p>
    <w:p w14:paraId="77E291B7">
      <w:pPr>
        <w:kinsoku w:val="0"/>
        <w:overflowPunct w:val="0"/>
        <w:autoSpaceDE w:val="0"/>
        <w:autoSpaceDN w:val="0"/>
        <w:spacing w:before="87"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17.3.5  农民工工资保证金</w:t>
      </w:r>
    </w:p>
    <w:p w14:paraId="694EC82A">
      <w:pPr>
        <w:tabs>
          <w:tab w:val="left" w:pos="1080"/>
        </w:tabs>
        <w:spacing w:line="240" w:lineRule="auto"/>
        <w:ind w:firstLine="468" w:firstLineChars="200"/>
        <w:rPr>
          <w:rFonts w:hint="eastAsia" w:ascii="宋体" w:hAnsi="宋体"/>
          <w:color w:val="auto"/>
          <w:spacing w:val="-3"/>
          <w:kern w:val="0"/>
          <w:sz w:val="24"/>
          <w:szCs w:val="22"/>
          <w:u w:val="none"/>
        </w:rPr>
      </w:pPr>
      <w:r>
        <w:rPr>
          <w:rFonts w:hint="eastAsia" w:ascii="宋体" w:hAnsi="宋体"/>
          <w:color w:val="auto"/>
          <w:spacing w:val="-3"/>
          <w:kern w:val="0"/>
          <w:sz w:val="24"/>
          <w:szCs w:val="22"/>
        </w:rPr>
        <w:t>（1）为确保施工过程中农民工工资实时、足额发放到位，承包人应按照项目专</w:t>
      </w:r>
      <w:r>
        <w:rPr>
          <w:rFonts w:hint="eastAsia" w:ascii="宋体" w:hAnsi="宋体"/>
          <w:color w:val="auto"/>
          <w:kern w:val="0"/>
          <w:sz w:val="24"/>
          <w:szCs w:val="22"/>
        </w:rPr>
        <w:t xml:space="preserve"> 用合同条款约定的时间和金额缴存农民工工资保证金。</w:t>
      </w:r>
      <w:r>
        <w:rPr>
          <w:rFonts w:hint="eastAsia" w:ascii="宋体" w:hAnsi="宋体"/>
          <w:color w:val="auto"/>
          <w:sz w:val="24"/>
        </w:rPr>
        <w:t>农民</w:t>
      </w:r>
      <w:r>
        <w:rPr>
          <w:rFonts w:ascii="宋体" w:hAnsi="宋体"/>
          <w:color w:val="auto"/>
          <w:sz w:val="24"/>
        </w:rPr>
        <w:t>工工资保</w:t>
      </w:r>
      <w:r>
        <w:rPr>
          <w:rFonts w:hint="eastAsia" w:ascii="宋体" w:hAnsi="宋体"/>
          <w:color w:val="auto"/>
          <w:sz w:val="24"/>
        </w:rPr>
        <w:t>证金</w:t>
      </w:r>
      <w:r>
        <w:rPr>
          <w:rFonts w:ascii="宋体" w:hAnsi="宋体"/>
          <w:color w:val="auto"/>
          <w:sz w:val="24"/>
        </w:rPr>
        <w:t>的缴存时间</w:t>
      </w:r>
      <w:r>
        <w:rPr>
          <w:rFonts w:ascii="宋体" w:hAnsi="宋体"/>
          <w:color w:val="auto"/>
          <w:sz w:val="24"/>
          <w:u w:val="none"/>
        </w:rPr>
        <w:t>：</w:t>
      </w:r>
      <w:r>
        <w:rPr>
          <w:rFonts w:hint="eastAsia" w:ascii="宋体" w:hAnsi="宋体"/>
          <w:color w:val="auto"/>
          <w:sz w:val="24"/>
          <w:u w:val="none"/>
        </w:rPr>
        <w:t>签订合同30日内</w:t>
      </w:r>
      <w:r>
        <w:rPr>
          <w:rFonts w:hint="eastAsia" w:ascii="宋体" w:hAnsi="宋体"/>
          <w:color w:val="auto"/>
          <w:sz w:val="24"/>
          <w:u w:val="none"/>
          <w:lang w:eastAsia="zh-CN"/>
        </w:rPr>
        <w:t>，</w:t>
      </w:r>
      <w:r>
        <w:rPr>
          <w:rFonts w:hint="eastAsia" w:ascii="宋体" w:hAnsi="宋体"/>
          <w:color w:val="auto"/>
          <w:sz w:val="24"/>
          <w:u w:val="none"/>
        </w:rPr>
        <w:t>农民</w:t>
      </w:r>
      <w:r>
        <w:rPr>
          <w:rFonts w:ascii="宋体" w:hAnsi="宋体"/>
          <w:color w:val="auto"/>
          <w:sz w:val="24"/>
          <w:u w:val="none"/>
        </w:rPr>
        <w:t>工工资保证金的缴存金额：</w:t>
      </w:r>
      <w:r>
        <w:rPr>
          <w:rFonts w:hint="eastAsia" w:ascii="宋体" w:hAnsi="宋体"/>
          <w:color w:val="auto"/>
          <w:sz w:val="24"/>
          <w:u w:val="none"/>
        </w:rPr>
        <w:t>2%签约合同价</w:t>
      </w:r>
    </w:p>
    <w:p w14:paraId="11276304">
      <w:pPr>
        <w:kinsoku w:val="0"/>
        <w:overflowPunct w:val="0"/>
        <w:autoSpaceDE w:val="0"/>
        <w:autoSpaceDN w:val="0"/>
        <w:spacing w:before="43"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（2）农民工工资保证金可采用银行保函或现金、支票形式。采用银行保函时， 出具保函的银行须具有相应担保能力，且按照发包人批准的格式出具，所需费用由</w:t>
      </w:r>
      <w:r>
        <w:rPr>
          <w:rFonts w:hint="eastAsia" w:ascii="宋体" w:hAnsi="宋体"/>
          <w:color w:val="auto"/>
          <w:spacing w:val="-92"/>
          <w:kern w:val="0"/>
          <w:sz w:val="24"/>
          <w:szCs w:val="22"/>
        </w:rPr>
        <w:t xml:space="preserve"> </w:t>
      </w:r>
      <w:r>
        <w:rPr>
          <w:rFonts w:hint="eastAsia" w:ascii="宋体" w:hAnsi="宋体"/>
          <w:color w:val="auto"/>
          <w:kern w:val="0"/>
          <w:sz w:val="24"/>
          <w:szCs w:val="22"/>
        </w:rPr>
        <w:t>承包人承担。</w:t>
      </w:r>
    </w:p>
    <w:p w14:paraId="1C3AB46B">
      <w:pPr>
        <w:kinsoku w:val="0"/>
        <w:overflowPunct w:val="0"/>
        <w:autoSpaceDE w:val="0"/>
        <w:autoSpaceDN w:val="0"/>
        <w:spacing w:before="34" w:line="240" w:lineRule="auto"/>
        <w:ind w:firstLine="468"/>
        <w:jc w:val="left"/>
        <w:rPr>
          <w:rFonts w:hint="eastAsia" w:ascii="宋体" w:hAnsi="宋体"/>
          <w:color w:val="auto"/>
          <w:spacing w:val="-3"/>
          <w:kern w:val="0"/>
          <w:sz w:val="24"/>
          <w:szCs w:val="22"/>
        </w:rPr>
      </w:pPr>
      <w:r>
        <w:rPr>
          <w:rFonts w:hint="eastAsia" w:ascii="宋体" w:hAnsi="宋体"/>
          <w:color w:val="auto"/>
          <w:spacing w:val="-3"/>
          <w:kern w:val="0"/>
          <w:sz w:val="24"/>
          <w:szCs w:val="22"/>
        </w:rPr>
        <w:t>（3）农民工工资保证金的扣留条件、返还时间按照项目专用合同条款的约定执</w:t>
      </w:r>
      <w:r>
        <w:rPr>
          <w:rFonts w:hint="eastAsia" w:ascii="宋体" w:hAnsi="宋体"/>
          <w:color w:val="auto"/>
          <w:kern w:val="0"/>
          <w:sz w:val="24"/>
          <w:szCs w:val="22"/>
        </w:rPr>
        <w:t>行。</w:t>
      </w:r>
    </w:p>
    <w:p w14:paraId="7DADAF20">
      <w:pPr>
        <w:kinsoku w:val="0"/>
        <w:overflowPunct w:val="0"/>
        <w:autoSpaceDE w:val="0"/>
        <w:autoSpaceDN w:val="0"/>
        <w:spacing w:line="240" w:lineRule="auto"/>
        <w:ind w:left="144"/>
        <w:jc w:val="left"/>
        <w:rPr>
          <w:rFonts w:hint="eastAsia" w:ascii="宋体" w:hAnsi="宋体"/>
          <w:color w:val="auto"/>
          <w:kern w:val="0"/>
          <w:sz w:val="24"/>
          <w:szCs w:val="22"/>
        </w:rPr>
      </w:pPr>
      <w:bookmarkStart w:id="106" w:name="bookmark228"/>
      <w:bookmarkEnd w:id="106"/>
      <w:r>
        <w:rPr>
          <w:rFonts w:hint="eastAsia" w:ascii="宋体" w:hAnsi="宋体"/>
          <w:color w:val="auto"/>
          <w:kern w:val="0"/>
          <w:sz w:val="24"/>
          <w:szCs w:val="22"/>
        </w:rPr>
        <w:t>17.4</w:t>
      </w:r>
      <w:r>
        <w:rPr>
          <w:rFonts w:hint="eastAsia" w:ascii="宋体" w:hAnsi="宋体"/>
          <w:color w:val="auto"/>
          <w:spacing w:val="59"/>
          <w:kern w:val="0"/>
          <w:sz w:val="24"/>
          <w:szCs w:val="22"/>
        </w:rPr>
        <w:t xml:space="preserve"> </w:t>
      </w:r>
      <w:r>
        <w:rPr>
          <w:rFonts w:hint="eastAsia" w:ascii="宋体" w:hAnsi="宋体"/>
          <w:color w:val="auto"/>
          <w:kern w:val="0"/>
          <w:sz w:val="24"/>
          <w:szCs w:val="22"/>
        </w:rPr>
        <w:t>质量保证金</w:t>
      </w:r>
    </w:p>
    <w:p w14:paraId="60F899EE">
      <w:pPr>
        <w:kinsoku w:val="0"/>
        <w:overflowPunct w:val="0"/>
        <w:autoSpaceDE w:val="0"/>
        <w:autoSpaceDN w:val="0"/>
        <w:spacing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第</w:t>
      </w:r>
      <w:r>
        <w:rPr>
          <w:rFonts w:hint="eastAsia" w:ascii="宋体" w:hAnsi="宋体"/>
          <w:color w:val="auto"/>
          <w:spacing w:val="-60"/>
          <w:kern w:val="0"/>
          <w:sz w:val="24"/>
          <w:szCs w:val="22"/>
        </w:rPr>
        <w:t xml:space="preserve"> </w:t>
      </w:r>
      <w:r>
        <w:rPr>
          <w:rFonts w:hint="eastAsia" w:ascii="宋体" w:hAnsi="宋体"/>
          <w:color w:val="auto"/>
          <w:kern w:val="0"/>
          <w:sz w:val="24"/>
          <w:szCs w:val="22"/>
        </w:rPr>
        <w:t>17.4.1 项、第</w:t>
      </w:r>
      <w:r>
        <w:rPr>
          <w:rFonts w:hint="eastAsia" w:ascii="宋体" w:hAnsi="宋体"/>
          <w:color w:val="auto"/>
          <w:spacing w:val="-60"/>
          <w:kern w:val="0"/>
          <w:sz w:val="24"/>
          <w:szCs w:val="22"/>
        </w:rPr>
        <w:t xml:space="preserve"> </w:t>
      </w:r>
      <w:r>
        <w:rPr>
          <w:rFonts w:hint="eastAsia" w:ascii="宋体" w:hAnsi="宋体"/>
          <w:color w:val="auto"/>
          <w:kern w:val="0"/>
          <w:sz w:val="24"/>
          <w:szCs w:val="22"/>
        </w:rPr>
        <w:t>17.4.2 项细化为：</w:t>
      </w:r>
    </w:p>
    <w:p w14:paraId="508E9A44">
      <w:pPr>
        <w:kinsoku w:val="0"/>
        <w:overflowPunct w:val="0"/>
        <w:autoSpaceDE w:val="0"/>
        <w:autoSpaceDN w:val="0"/>
        <w:spacing w:before="26"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17.4.1</w:t>
      </w:r>
      <w:r>
        <w:rPr>
          <w:rFonts w:hint="eastAsia" w:ascii="宋体" w:hAnsi="宋体"/>
          <w:color w:val="auto"/>
          <w:spacing w:val="8"/>
          <w:kern w:val="0"/>
          <w:sz w:val="24"/>
          <w:szCs w:val="22"/>
        </w:rPr>
        <w:t xml:space="preserve"> </w:t>
      </w:r>
      <w:r>
        <w:rPr>
          <w:rFonts w:hint="eastAsia" w:ascii="宋体" w:hAnsi="宋体"/>
          <w:color w:val="auto"/>
          <w:szCs w:val="21"/>
        </w:rPr>
        <w:t>质量保证金</w:t>
      </w:r>
      <w:r>
        <w:rPr>
          <w:color w:val="auto"/>
        </w:rPr>
        <w:t>承包人</w:t>
      </w:r>
      <w:r>
        <w:rPr>
          <w:rFonts w:hint="eastAsia"/>
          <w:color w:val="auto"/>
        </w:rPr>
        <w:t>按</w:t>
      </w:r>
      <w:r>
        <w:rPr>
          <w:color w:val="auto"/>
        </w:rPr>
        <w:t>每次计量</w:t>
      </w:r>
      <w:r>
        <w:rPr>
          <w:rFonts w:hint="eastAsia"/>
          <w:color w:val="auto"/>
        </w:rPr>
        <w:t>款</w:t>
      </w:r>
      <w:r>
        <w:rPr>
          <w:color w:val="auto"/>
        </w:rPr>
        <w:t>总额的3%</w:t>
      </w:r>
      <w:r>
        <w:rPr>
          <w:rFonts w:hint="eastAsia"/>
          <w:color w:val="auto"/>
        </w:rPr>
        <w:t>以转账的方式</w:t>
      </w:r>
      <w:r>
        <w:rPr>
          <w:color w:val="auto"/>
        </w:rPr>
        <w:t>汇到业主指定的账户</w:t>
      </w:r>
      <w:r>
        <w:rPr>
          <w:rFonts w:hint="eastAsia" w:ascii="宋体" w:hAnsi="宋体"/>
          <w:color w:val="auto"/>
          <w:kern w:val="0"/>
          <w:sz w:val="24"/>
          <w:szCs w:val="22"/>
        </w:rPr>
        <w:t xml:space="preserve">，金额应符合项目专用合同条款数据表的规定。质量保证金不计付利息以及利息。 </w:t>
      </w:r>
    </w:p>
    <w:p w14:paraId="031861DF">
      <w:pPr>
        <w:kinsoku w:val="0"/>
        <w:overflowPunct w:val="0"/>
        <w:autoSpaceDE w:val="0"/>
        <w:autoSpaceDN w:val="0"/>
        <w:spacing w:before="22"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17.4.2 在约定的缺陷责任期满，按规定对工程质量检测鉴定合格，承包人向发包人申请到期应返还承包人剩余的质量保证金金额，发包人应在14天内会同承包人按照合同约定的内容核实承包人是否完成缺陷责任。如无异议，发包人应当在核实后将剩余保证金返还承包人。</w:t>
      </w:r>
    </w:p>
    <w:p w14:paraId="09080E95">
      <w:pPr>
        <w:kinsoku w:val="0"/>
        <w:overflowPunct w:val="0"/>
        <w:autoSpaceDE w:val="0"/>
        <w:autoSpaceDN w:val="0"/>
        <w:spacing w:line="240" w:lineRule="auto"/>
        <w:jc w:val="left"/>
        <w:rPr>
          <w:rFonts w:hint="eastAsia" w:ascii="宋体" w:hAnsi="宋体"/>
          <w:color w:val="auto"/>
          <w:kern w:val="0"/>
          <w:sz w:val="24"/>
          <w:szCs w:val="22"/>
        </w:rPr>
      </w:pPr>
      <w:bookmarkStart w:id="107" w:name="bookmark229"/>
      <w:bookmarkEnd w:id="107"/>
      <w:r>
        <w:rPr>
          <w:rFonts w:hint="eastAsia" w:ascii="宋体" w:hAnsi="宋体"/>
          <w:color w:val="auto"/>
          <w:kern w:val="0"/>
          <w:sz w:val="24"/>
          <w:szCs w:val="22"/>
        </w:rPr>
        <w:t>17.5</w:t>
      </w:r>
      <w:r>
        <w:rPr>
          <w:rFonts w:hint="eastAsia" w:ascii="宋体" w:hAnsi="宋体"/>
          <w:color w:val="auto"/>
          <w:spacing w:val="59"/>
          <w:kern w:val="0"/>
          <w:sz w:val="24"/>
          <w:szCs w:val="22"/>
        </w:rPr>
        <w:t xml:space="preserve"> </w:t>
      </w:r>
      <w:r>
        <w:rPr>
          <w:rFonts w:hint="eastAsia" w:ascii="宋体" w:hAnsi="宋体"/>
          <w:color w:val="auto"/>
          <w:kern w:val="0"/>
          <w:sz w:val="24"/>
          <w:szCs w:val="22"/>
        </w:rPr>
        <w:t>交工结算</w:t>
      </w:r>
    </w:p>
    <w:p w14:paraId="7F4970E2">
      <w:pPr>
        <w:kinsoku w:val="0"/>
        <w:overflowPunct w:val="0"/>
        <w:autoSpaceDE w:val="0"/>
        <w:autoSpaceDN w:val="0"/>
        <w:spacing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17.5.1  交工付款申请单</w:t>
      </w:r>
    </w:p>
    <w:p w14:paraId="0FD4104B">
      <w:pPr>
        <w:kinsoku w:val="0"/>
        <w:overflowPunct w:val="0"/>
        <w:autoSpaceDE w:val="0"/>
        <w:autoSpaceDN w:val="0"/>
        <w:spacing w:before="68"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本项（1）目约定为： 承包人向</w:t>
      </w:r>
      <w:r>
        <w:rPr>
          <w:rFonts w:hint="eastAsia" w:ascii="宋体" w:hAnsi="宋体"/>
          <w:color w:val="auto"/>
          <w:kern w:val="0"/>
          <w:sz w:val="24"/>
          <w:szCs w:val="22"/>
          <w:lang w:val="en-US" w:eastAsia="zh-CN"/>
        </w:rPr>
        <w:t>发包</w:t>
      </w:r>
      <w:r>
        <w:rPr>
          <w:rFonts w:hint="eastAsia" w:ascii="宋体" w:hAnsi="宋体"/>
          <w:color w:val="auto"/>
          <w:kern w:val="0"/>
          <w:sz w:val="24"/>
          <w:szCs w:val="22"/>
        </w:rPr>
        <w:t>人提交交工付款申请单（包括相关证明材料）的份数在项目专用合同条款数据表中约定；期限：交工验收证书签发后</w:t>
      </w:r>
      <w:r>
        <w:rPr>
          <w:rFonts w:hint="eastAsia" w:ascii="宋体" w:hAnsi="宋体"/>
          <w:color w:val="auto"/>
          <w:spacing w:val="-61"/>
          <w:kern w:val="0"/>
          <w:sz w:val="24"/>
          <w:szCs w:val="22"/>
        </w:rPr>
        <w:t xml:space="preserve"> </w:t>
      </w:r>
      <w:r>
        <w:rPr>
          <w:rFonts w:hint="eastAsia" w:ascii="宋体" w:hAnsi="宋体"/>
          <w:color w:val="auto"/>
          <w:kern w:val="0"/>
          <w:sz w:val="24"/>
          <w:szCs w:val="22"/>
        </w:rPr>
        <w:t>42</w:t>
      </w:r>
      <w:r>
        <w:rPr>
          <w:rFonts w:hint="eastAsia" w:ascii="宋体" w:hAnsi="宋体"/>
          <w:color w:val="auto"/>
          <w:spacing w:val="-1"/>
          <w:kern w:val="0"/>
          <w:sz w:val="24"/>
          <w:szCs w:val="22"/>
        </w:rPr>
        <w:t xml:space="preserve"> </w:t>
      </w:r>
      <w:r>
        <w:rPr>
          <w:rFonts w:hint="eastAsia" w:ascii="宋体" w:hAnsi="宋体"/>
          <w:color w:val="auto"/>
          <w:kern w:val="0"/>
          <w:sz w:val="24"/>
          <w:szCs w:val="22"/>
        </w:rPr>
        <w:t>天内。</w:t>
      </w:r>
    </w:p>
    <w:p w14:paraId="1A1467D2">
      <w:pPr>
        <w:kinsoku w:val="0"/>
        <w:overflowPunct w:val="0"/>
        <w:autoSpaceDE w:val="0"/>
        <w:autoSpaceDN w:val="0"/>
        <w:spacing w:before="69"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17.5.2  交工付款证书及支付时间</w:t>
      </w:r>
    </w:p>
    <w:p w14:paraId="3AA58CDF">
      <w:pPr>
        <w:kinsoku w:val="0"/>
        <w:overflowPunct w:val="0"/>
        <w:autoSpaceDE w:val="0"/>
        <w:autoSpaceDN w:val="0"/>
        <w:spacing w:before="66"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本项（2）目细化为：发包人应在</w:t>
      </w:r>
      <w:r>
        <w:rPr>
          <w:rFonts w:hint="eastAsia" w:ascii="宋体" w:hAnsi="宋体"/>
          <w:color w:val="auto"/>
          <w:kern w:val="0"/>
          <w:sz w:val="24"/>
          <w:szCs w:val="22"/>
          <w:lang w:val="en-US" w:eastAsia="zh-CN"/>
        </w:rPr>
        <w:t>发包</w:t>
      </w:r>
      <w:r>
        <w:rPr>
          <w:rFonts w:hint="eastAsia" w:ascii="宋体" w:hAnsi="宋体"/>
          <w:color w:val="auto"/>
          <w:kern w:val="0"/>
          <w:sz w:val="24"/>
          <w:szCs w:val="22"/>
        </w:rPr>
        <w:t>人出具交工付款证书且承包人提交了合格的增值税专用发票后的 14 天内，将应支付款支付给承包人。发包人不按期支付的，</w:t>
      </w:r>
    </w:p>
    <w:p w14:paraId="0B96D64F">
      <w:pPr>
        <w:kinsoku w:val="0"/>
        <w:overflowPunct w:val="0"/>
        <w:autoSpaceDE w:val="0"/>
        <w:autoSpaceDN w:val="0"/>
        <w:spacing w:before="66"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17.3.3（2）目的约定，将逾期付款违约金支付给承包人。</w:t>
      </w:r>
    </w:p>
    <w:p w14:paraId="4F04E201">
      <w:pPr>
        <w:kinsoku w:val="0"/>
        <w:overflowPunct w:val="0"/>
        <w:autoSpaceDE w:val="0"/>
        <w:autoSpaceDN w:val="0"/>
        <w:spacing w:line="240" w:lineRule="auto"/>
        <w:jc w:val="left"/>
        <w:rPr>
          <w:rFonts w:hint="eastAsia" w:ascii="宋体" w:hAnsi="宋体"/>
          <w:color w:val="auto"/>
          <w:kern w:val="0"/>
          <w:sz w:val="24"/>
          <w:szCs w:val="22"/>
        </w:rPr>
      </w:pPr>
      <w:bookmarkStart w:id="108" w:name="bookmark230"/>
      <w:bookmarkEnd w:id="108"/>
      <w:r>
        <w:rPr>
          <w:rFonts w:hint="eastAsia" w:ascii="宋体" w:hAnsi="宋体"/>
          <w:color w:val="auto"/>
          <w:kern w:val="0"/>
          <w:sz w:val="24"/>
          <w:szCs w:val="22"/>
        </w:rPr>
        <w:t>17.6</w:t>
      </w:r>
      <w:r>
        <w:rPr>
          <w:rFonts w:hint="eastAsia" w:ascii="宋体" w:hAnsi="宋体"/>
          <w:color w:val="auto"/>
          <w:spacing w:val="59"/>
          <w:kern w:val="0"/>
          <w:sz w:val="24"/>
          <w:szCs w:val="22"/>
        </w:rPr>
        <w:t xml:space="preserve"> </w:t>
      </w:r>
      <w:r>
        <w:rPr>
          <w:rFonts w:hint="eastAsia" w:ascii="宋体" w:hAnsi="宋体"/>
          <w:color w:val="auto"/>
          <w:kern w:val="0"/>
          <w:sz w:val="24"/>
          <w:szCs w:val="22"/>
        </w:rPr>
        <w:t>最终结清</w:t>
      </w:r>
    </w:p>
    <w:p w14:paraId="548CDDAD">
      <w:pPr>
        <w:kinsoku w:val="0"/>
        <w:overflowPunct w:val="0"/>
        <w:autoSpaceDE w:val="0"/>
        <w:autoSpaceDN w:val="0"/>
        <w:spacing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17.6.1  最终结清申请单</w:t>
      </w:r>
    </w:p>
    <w:p w14:paraId="44021FC6">
      <w:pPr>
        <w:kinsoku w:val="0"/>
        <w:overflowPunct w:val="0"/>
        <w:autoSpaceDE w:val="0"/>
        <w:autoSpaceDN w:val="0"/>
        <w:spacing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本项（1）目约定为： 承包人向</w:t>
      </w:r>
      <w:r>
        <w:rPr>
          <w:rFonts w:hint="eastAsia" w:ascii="宋体" w:hAnsi="宋体"/>
          <w:color w:val="auto"/>
          <w:kern w:val="0"/>
          <w:sz w:val="24"/>
          <w:szCs w:val="22"/>
          <w:lang w:val="en-US" w:eastAsia="zh-CN"/>
        </w:rPr>
        <w:t>发包</w:t>
      </w:r>
      <w:r>
        <w:rPr>
          <w:rFonts w:hint="eastAsia" w:ascii="宋体" w:hAnsi="宋体"/>
          <w:color w:val="auto"/>
          <w:kern w:val="0"/>
          <w:sz w:val="24"/>
          <w:szCs w:val="22"/>
        </w:rPr>
        <w:t>人提交最终结清申请单（包括相关证明材料）的份数在项目专用合同条款数据表中约定；期限：缺陷责任期终止证书签发后</w:t>
      </w:r>
      <w:r>
        <w:rPr>
          <w:rFonts w:hint="eastAsia" w:ascii="宋体" w:hAnsi="宋体"/>
          <w:color w:val="auto"/>
          <w:spacing w:val="-61"/>
          <w:kern w:val="0"/>
          <w:sz w:val="24"/>
          <w:szCs w:val="22"/>
        </w:rPr>
        <w:t xml:space="preserve"> </w:t>
      </w:r>
      <w:r>
        <w:rPr>
          <w:rFonts w:hint="eastAsia" w:ascii="宋体" w:hAnsi="宋体"/>
          <w:color w:val="auto"/>
          <w:kern w:val="0"/>
          <w:sz w:val="24"/>
          <w:szCs w:val="22"/>
        </w:rPr>
        <w:t>28天内。 最终结清申请单中的总金额应认为是代表了根据合同规定应付给承包人的全部款项的最后结算。</w:t>
      </w:r>
    </w:p>
    <w:p w14:paraId="2D5AD0E1">
      <w:pPr>
        <w:kinsoku w:val="0"/>
        <w:overflowPunct w:val="0"/>
        <w:autoSpaceDE w:val="0"/>
        <w:autoSpaceDN w:val="0"/>
        <w:spacing w:before="84"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17.6.2  最终结清证书和支付时间</w:t>
      </w:r>
    </w:p>
    <w:p w14:paraId="619DE29A">
      <w:pPr>
        <w:kinsoku w:val="0"/>
        <w:overflowPunct w:val="0"/>
        <w:autoSpaceDE w:val="0"/>
        <w:autoSpaceDN w:val="0"/>
        <w:spacing w:before="68"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本项（2）目细化为：</w:t>
      </w:r>
    </w:p>
    <w:p w14:paraId="09865119">
      <w:pPr>
        <w:kinsoku w:val="0"/>
        <w:overflowPunct w:val="0"/>
        <w:autoSpaceDE w:val="0"/>
        <w:autoSpaceDN w:val="0"/>
        <w:spacing w:before="68" w:line="240" w:lineRule="auto"/>
        <w:ind w:firstLine="468"/>
        <w:jc w:val="left"/>
        <w:rPr>
          <w:rFonts w:hint="eastAsia" w:ascii="宋体" w:hAnsi="宋体"/>
          <w:color w:val="auto"/>
          <w:spacing w:val="-3"/>
          <w:kern w:val="0"/>
          <w:sz w:val="24"/>
          <w:szCs w:val="22"/>
        </w:rPr>
      </w:pPr>
      <w:r>
        <w:rPr>
          <w:rFonts w:hint="eastAsia" w:ascii="宋体" w:hAnsi="宋体"/>
          <w:color w:val="auto"/>
          <w:spacing w:val="-3"/>
          <w:kern w:val="0"/>
          <w:sz w:val="24"/>
          <w:szCs w:val="22"/>
        </w:rPr>
        <w:t>（2）发包人应在</w:t>
      </w:r>
      <w:r>
        <w:rPr>
          <w:rFonts w:hint="eastAsia" w:ascii="宋体" w:hAnsi="宋体"/>
          <w:color w:val="auto"/>
          <w:spacing w:val="-3"/>
          <w:kern w:val="0"/>
          <w:sz w:val="24"/>
          <w:szCs w:val="22"/>
          <w:lang w:val="en-US" w:eastAsia="zh-CN"/>
        </w:rPr>
        <w:t>发包</w:t>
      </w:r>
      <w:r>
        <w:rPr>
          <w:rFonts w:hint="eastAsia" w:ascii="宋体" w:hAnsi="宋体"/>
          <w:color w:val="auto"/>
          <w:spacing w:val="-3"/>
          <w:kern w:val="0"/>
          <w:sz w:val="24"/>
          <w:szCs w:val="22"/>
        </w:rPr>
        <w:t>人出具最终结清证书且承包人提交了合格的增值税专用发</w:t>
      </w:r>
      <w:r>
        <w:rPr>
          <w:rFonts w:hint="eastAsia" w:ascii="宋体" w:hAnsi="宋体"/>
          <w:color w:val="auto"/>
          <w:kern w:val="0"/>
          <w:sz w:val="24"/>
          <w:szCs w:val="22"/>
        </w:rPr>
        <w:t xml:space="preserve"> 票后的</w:t>
      </w:r>
      <w:r>
        <w:rPr>
          <w:rFonts w:hint="eastAsia" w:ascii="宋体" w:hAnsi="宋体"/>
          <w:color w:val="auto"/>
          <w:spacing w:val="-71"/>
          <w:kern w:val="0"/>
          <w:sz w:val="24"/>
          <w:szCs w:val="22"/>
        </w:rPr>
        <w:t xml:space="preserve"> </w:t>
      </w:r>
      <w:r>
        <w:rPr>
          <w:rFonts w:hint="eastAsia" w:ascii="宋体" w:hAnsi="宋体"/>
          <w:color w:val="auto"/>
          <w:kern w:val="0"/>
          <w:sz w:val="24"/>
          <w:szCs w:val="22"/>
        </w:rPr>
        <w:t>14</w:t>
      </w:r>
      <w:r>
        <w:rPr>
          <w:rFonts w:hint="eastAsia" w:ascii="宋体" w:hAnsi="宋体"/>
          <w:color w:val="auto"/>
          <w:spacing w:val="-10"/>
          <w:kern w:val="0"/>
          <w:sz w:val="24"/>
          <w:szCs w:val="22"/>
        </w:rPr>
        <w:t xml:space="preserve"> </w:t>
      </w:r>
      <w:r>
        <w:rPr>
          <w:rFonts w:hint="eastAsia" w:ascii="宋体" w:hAnsi="宋体"/>
          <w:color w:val="auto"/>
          <w:kern w:val="0"/>
          <w:sz w:val="24"/>
          <w:szCs w:val="22"/>
        </w:rPr>
        <w:t>天内，将应支付款支付给承包人。发包人不按期支付的，按第</w:t>
      </w:r>
      <w:r>
        <w:rPr>
          <w:rFonts w:hint="eastAsia" w:ascii="宋体" w:hAnsi="宋体"/>
          <w:color w:val="auto"/>
          <w:spacing w:val="-69"/>
          <w:kern w:val="0"/>
          <w:sz w:val="24"/>
          <w:szCs w:val="22"/>
        </w:rPr>
        <w:t xml:space="preserve"> </w:t>
      </w:r>
      <w:r>
        <w:rPr>
          <w:rFonts w:hint="eastAsia" w:ascii="宋体" w:hAnsi="宋体"/>
          <w:color w:val="auto"/>
          <w:kern w:val="0"/>
          <w:sz w:val="24"/>
          <w:szCs w:val="22"/>
        </w:rPr>
        <w:t>17.3.3（2） 目的约定，将逾期付款违约金支付给承包人。</w:t>
      </w:r>
    </w:p>
    <w:p w14:paraId="6ADE91B4">
      <w:pPr>
        <w:kinsoku w:val="0"/>
        <w:overflowPunct w:val="0"/>
        <w:autoSpaceDE w:val="0"/>
        <w:autoSpaceDN w:val="0"/>
        <w:spacing w:line="240" w:lineRule="auto"/>
        <w:jc w:val="left"/>
        <w:rPr>
          <w:rFonts w:hint="eastAsia" w:ascii="宋体" w:hAnsi="宋体"/>
          <w:color w:val="auto"/>
          <w:kern w:val="0"/>
          <w:sz w:val="28"/>
          <w:szCs w:val="28"/>
        </w:rPr>
      </w:pPr>
      <w:bookmarkStart w:id="109" w:name="bookmark231"/>
      <w:bookmarkEnd w:id="109"/>
      <w:r>
        <w:rPr>
          <w:rFonts w:hint="eastAsia" w:ascii="宋体" w:hAnsi="宋体"/>
          <w:color w:val="auto"/>
          <w:kern w:val="0"/>
          <w:sz w:val="28"/>
          <w:szCs w:val="28"/>
        </w:rPr>
        <w:t>18.  交工验收</w:t>
      </w:r>
    </w:p>
    <w:p w14:paraId="56395758">
      <w:pPr>
        <w:kinsoku w:val="0"/>
        <w:overflowPunct w:val="0"/>
        <w:autoSpaceDE w:val="0"/>
        <w:autoSpaceDN w:val="0"/>
        <w:spacing w:line="240" w:lineRule="auto"/>
        <w:jc w:val="left"/>
        <w:rPr>
          <w:rFonts w:hint="eastAsia" w:ascii="宋体" w:hAnsi="宋体"/>
          <w:color w:val="auto"/>
          <w:kern w:val="0"/>
          <w:sz w:val="24"/>
          <w:szCs w:val="22"/>
        </w:rPr>
      </w:pPr>
      <w:bookmarkStart w:id="110" w:name="bookmark232"/>
      <w:bookmarkEnd w:id="110"/>
      <w:r>
        <w:rPr>
          <w:rFonts w:hint="eastAsia" w:ascii="宋体" w:hAnsi="宋体"/>
          <w:color w:val="auto"/>
          <w:kern w:val="0"/>
          <w:sz w:val="24"/>
          <w:szCs w:val="22"/>
        </w:rPr>
        <w:t>18.2</w:t>
      </w:r>
      <w:r>
        <w:rPr>
          <w:rFonts w:hint="eastAsia" w:ascii="宋体" w:hAnsi="宋体"/>
          <w:color w:val="auto"/>
          <w:spacing w:val="59"/>
          <w:kern w:val="0"/>
          <w:sz w:val="24"/>
          <w:szCs w:val="22"/>
        </w:rPr>
        <w:t xml:space="preserve"> </w:t>
      </w:r>
      <w:r>
        <w:rPr>
          <w:rFonts w:hint="eastAsia" w:ascii="宋体" w:hAnsi="宋体"/>
          <w:color w:val="auto"/>
          <w:kern w:val="0"/>
          <w:sz w:val="24"/>
          <w:szCs w:val="22"/>
        </w:rPr>
        <w:t>交工验收申请报告</w:t>
      </w:r>
    </w:p>
    <w:p w14:paraId="6D732C3E">
      <w:pPr>
        <w:kinsoku w:val="0"/>
        <w:overflowPunct w:val="0"/>
        <w:autoSpaceDE w:val="0"/>
        <w:autoSpaceDN w:val="0"/>
        <w:spacing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本款第（2）项约定为： 竣工资料的内容：承包人应按照《公路工程竣（交）工验收办法》和相关规定编制竣工资料。 竣工资料的份数在项目专用合同条款数据表中约定。</w:t>
      </w:r>
    </w:p>
    <w:p w14:paraId="2C4D74B3">
      <w:pPr>
        <w:kinsoku w:val="0"/>
        <w:overflowPunct w:val="0"/>
        <w:autoSpaceDE w:val="0"/>
        <w:autoSpaceDN w:val="0"/>
        <w:spacing w:line="240" w:lineRule="auto"/>
        <w:jc w:val="left"/>
        <w:rPr>
          <w:rFonts w:hint="eastAsia" w:ascii="宋体" w:hAnsi="宋体"/>
          <w:color w:val="auto"/>
          <w:kern w:val="0"/>
          <w:sz w:val="24"/>
          <w:szCs w:val="22"/>
        </w:rPr>
      </w:pPr>
      <w:bookmarkStart w:id="111" w:name="bookmark233"/>
      <w:bookmarkEnd w:id="111"/>
      <w:r>
        <w:rPr>
          <w:rFonts w:hint="eastAsia" w:ascii="宋体" w:hAnsi="宋体"/>
          <w:color w:val="auto"/>
          <w:kern w:val="0"/>
          <w:sz w:val="24"/>
          <w:szCs w:val="22"/>
        </w:rPr>
        <w:t>18.3</w:t>
      </w:r>
      <w:r>
        <w:rPr>
          <w:rFonts w:hint="eastAsia" w:ascii="宋体" w:hAnsi="宋体"/>
          <w:color w:val="auto"/>
          <w:spacing w:val="59"/>
          <w:kern w:val="0"/>
          <w:sz w:val="24"/>
          <w:szCs w:val="22"/>
        </w:rPr>
        <w:t xml:space="preserve"> </w:t>
      </w:r>
      <w:r>
        <w:rPr>
          <w:rFonts w:hint="eastAsia" w:ascii="宋体" w:hAnsi="宋体"/>
          <w:color w:val="auto"/>
          <w:kern w:val="0"/>
          <w:sz w:val="24"/>
          <w:szCs w:val="22"/>
        </w:rPr>
        <w:t>验收</w:t>
      </w:r>
    </w:p>
    <w:p w14:paraId="619E432B">
      <w:pPr>
        <w:kinsoku w:val="0"/>
        <w:overflowPunct w:val="0"/>
        <w:autoSpaceDE w:val="0"/>
        <w:autoSpaceDN w:val="0"/>
        <w:spacing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第</w:t>
      </w:r>
      <w:r>
        <w:rPr>
          <w:rFonts w:hint="eastAsia" w:ascii="宋体" w:hAnsi="宋体"/>
          <w:color w:val="auto"/>
          <w:spacing w:val="-60"/>
          <w:kern w:val="0"/>
          <w:sz w:val="24"/>
          <w:szCs w:val="22"/>
        </w:rPr>
        <w:t xml:space="preserve"> </w:t>
      </w:r>
      <w:r>
        <w:rPr>
          <w:rFonts w:hint="eastAsia" w:ascii="宋体" w:hAnsi="宋体"/>
          <w:color w:val="auto"/>
          <w:kern w:val="0"/>
          <w:sz w:val="24"/>
          <w:szCs w:val="22"/>
        </w:rPr>
        <w:t>18.3.2 项补充： 交工验收由发包人主持，由发包人、质监、设计、施工、运营、管理养护等有关部门代表组成交工验收小组，对本项目的工程质量进行评定，并写出交</w:t>
      </w:r>
      <w:r>
        <w:rPr>
          <w:rFonts w:hint="eastAsia" w:ascii="宋体" w:hAnsi="宋体"/>
          <w:color w:val="auto"/>
          <w:spacing w:val="-94"/>
          <w:kern w:val="0"/>
          <w:sz w:val="24"/>
          <w:szCs w:val="22"/>
        </w:rPr>
        <w:t xml:space="preserve"> </w:t>
      </w:r>
      <w:r>
        <w:rPr>
          <w:rFonts w:hint="eastAsia" w:ascii="宋体" w:hAnsi="宋体"/>
          <w:color w:val="auto"/>
          <w:kern w:val="0"/>
          <w:sz w:val="24"/>
          <w:szCs w:val="22"/>
        </w:rPr>
        <w:t>工验收报告报交通运输主管部门备案。承包人应按发包人的要求提交竣工资料，完</w:t>
      </w:r>
      <w:r>
        <w:rPr>
          <w:rFonts w:hint="eastAsia" w:ascii="宋体" w:hAnsi="宋体"/>
          <w:color w:val="auto"/>
          <w:spacing w:val="-94"/>
          <w:kern w:val="0"/>
          <w:sz w:val="24"/>
          <w:szCs w:val="22"/>
        </w:rPr>
        <w:t xml:space="preserve"> </w:t>
      </w:r>
      <w:r>
        <w:rPr>
          <w:rFonts w:hint="eastAsia" w:ascii="宋体" w:hAnsi="宋体"/>
          <w:color w:val="auto"/>
          <w:kern w:val="0"/>
          <w:sz w:val="24"/>
          <w:szCs w:val="22"/>
        </w:rPr>
        <w:t>成交工验收准备工作。</w:t>
      </w:r>
    </w:p>
    <w:p w14:paraId="004C5DDA">
      <w:pPr>
        <w:kinsoku w:val="0"/>
        <w:overflowPunct w:val="0"/>
        <w:autoSpaceDE w:val="0"/>
        <w:autoSpaceDN w:val="0"/>
        <w:spacing w:before="22"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第</w:t>
      </w:r>
      <w:r>
        <w:rPr>
          <w:rFonts w:hint="eastAsia" w:ascii="宋体" w:hAnsi="宋体"/>
          <w:color w:val="auto"/>
          <w:spacing w:val="-60"/>
          <w:kern w:val="0"/>
          <w:sz w:val="24"/>
          <w:szCs w:val="22"/>
        </w:rPr>
        <w:t xml:space="preserve"> </w:t>
      </w:r>
      <w:r>
        <w:rPr>
          <w:rFonts w:hint="eastAsia" w:ascii="宋体" w:hAnsi="宋体"/>
          <w:color w:val="auto"/>
          <w:kern w:val="0"/>
          <w:sz w:val="24"/>
          <w:szCs w:val="22"/>
        </w:rPr>
        <w:t>18.3.5 项约定为： 经验收合格工程的实际交工日期，以最终提交交工验收申请报告的日期为准，并在交工验收证书中写明。</w:t>
      </w:r>
    </w:p>
    <w:p w14:paraId="6C5F92D3">
      <w:pPr>
        <w:kinsoku w:val="0"/>
        <w:overflowPunct w:val="0"/>
        <w:autoSpaceDE w:val="0"/>
        <w:autoSpaceDN w:val="0"/>
        <w:spacing w:before="26" w:line="240" w:lineRule="auto"/>
        <w:ind w:right="29" w:firstLine="480"/>
        <w:jc w:val="left"/>
        <w:rPr>
          <w:rFonts w:hint="eastAsia" w:ascii="宋体" w:hAnsi="宋体"/>
          <w:color w:val="auto"/>
          <w:kern w:val="0"/>
          <w:sz w:val="24"/>
          <w:szCs w:val="22"/>
        </w:rPr>
      </w:pPr>
      <w:r>
        <w:rPr>
          <w:rFonts w:hint="eastAsia" w:ascii="宋体" w:hAnsi="宋体"/>
          <w:color w:val="auto"/>
          <w:kern w:val="0"/>
          <w:sz w:val="24"/>
          <w:szCs w:val="22"/>
        </w:rPr>
        <w:t>本款补充第</w:t>
      </w:r>
      <w:r>
        <w:rPr>
          <w:rFonts w:hint="eastAsia" w:ascii="宋体" w:hAnsi="宋体"/>
          <w:color w:val="auto"/>
          <w:spacing w:val="-60"/>
          <w:kern w:val="0"/>
          <w:sz w:val="24"/>
          <w:szCs w:val="22"/>
        </w:rPr>
        <w:t xml:space="preserve"> </w:t>
      </w:r>
      <w:r>
        <w:rPr>
          <w:rFonts w:hint="eastAsia" w:ascii="宋体" w:hAnsi="宋体"/>
          <w:color w:val="auto"/>
          <w:kern w:val="0"/>
          <w:sz w:val="24"/>
          <w:szCs w:val="22"/>
        </w:rPr>
        <w:t>18.3.7 项：</w:t>
      </w:r>
    </w:p>
    <w:p w14:paraId="06FF762E">
      <w:pPr>
        <w:kinsoku w:val="0"/>
        <w:overflowPunct w:val="0"/>
        <w:autoSpaceDE w:val="0"/>
        <w:autoSpaceDN w:val="0"/>
        <w:spacing w:before="66" w:line="240" w:lineRule="auto"/>
        <w:ind w:right="29" w:firstLine="480"/>
        <w:jc w:val="left"/>
        <w:rPr>
          <w:rFonts w:hint="eastAsia" w:ascii="宋体" w:hAnsi="宋体"/>
          <w:color w:val="auto"/>
          <w:kern w:val="0"/>
          <w:sz w:val="24"/>
          <w:szCs w:val="22"/>
        </w:rPr>
      </w:pPr>
      <w:r>
        <w:rPr>
          <w:rFonts w:hint="eastAsia" w:ascii="宋体" w:hAnsi="宋体"/>
          <w:color w:val="auto"/>
          <w:kern w:val="0"/>
          <w:sz w:val="24"/>
          <w:szCs w:val="22"/>
        </w:rPr>
        <w:t>组织办理交工验收和签发交工验收证书的费用由发包人承担。但按照第18.3.4项规定达不到合格标准的交工验收费用由承包人承担。</w:t>
      </w:r>
    </w:p>
    <w:p w14:paraId="54FE3A8B">
      <w:pPr>
        <w:kinsoku w:val="0"/>
        <w:overflowPunct w:val="0"/>
        <w:autoSpaceDE w:val="0"/>
        <w:autoSpaceDN w:val="0"/>
        <w:spacing w:line="240" w:lineRule="auto"/>
        <w:ind w:right="29"/>
        <w:jc w:val="left"/>
        <w:rPr>
          <w:rFonts w:hint="eastAsia" w:ascii="宋体" w:hAnsi="宋体"/>
          <w:color w:val="auto"/>
          <w:kern w:val="0"/>
          <w:sz w:val="24"/>
          <w:szCs w:val="22"/>
        </w:rPr>
      </w:pPr>
      <w:r>
        <w:rPr>
          <w:rFonts w:hint="eastAsia" w:ascii="宋体" w:hAnsi="宋体"/>
          <w:color w:val="auto"/>
          <w:kern w:val="0"/>
          <w:sz w:val="24"/>
          <w:szCs w:val="22"/>
        </w:rPr>
        <w:t>本条补充第</w:t>
      </w:r>
      <w:r>
        <w:rPr>
          <w:rFonts w:hint="eastAsia" w:ascii="宋体" w:hAnsi="宋体"/>
          <w:color w:val="auto"/>
          <w:spacing w:val="-61"/>
          <w:kern w:val="0"/>
          <w:sz w:val="24"/>
          <w:szCs w:val="22"/>
        </w:rPr>
        <w:t xml:space="preserve"> </w:t>
      </w:r>
      <w:r>
        <w:rPr>
          <w:rFonts w:hint="eastAsia" w:ascii="宋体" w:hAnsi="宋体"/>
          <w:color w:val="auto"/>
          <w:kern w:val="0"/>
          <w:sz w:val="24"/>
          <w:szCs w:val="22"/>
        </w:rPr>
        <w:t>18.9</w:t>
      </w:r>
      <w:r>
        <w:rPr>
          <w:rFonts w:hint="eastAsia" w:ascii="宋体" w:hAnsi="宋体"/>
          <w:color w:val="auto"/>
          <w:spacing w:val="-1"/>
          <w:kern w:val="0"/>
          <w:sz w:val="24"/>
          <w:szCs w:val="22"/>
        </w:rPr>
        <w:t xml:space="preserve"> </w:t>
      </w:r>
      <w:r>
        <w:rPr>
          <w:rFonts w:hint="eastAsia" w:ascii="宋体" w:hAnsi="宋体"/>
          <w:color w:val="auto"/>
          <w:kern w:val="0"/>
          <w:sz w:val="24"/>
          <w:szCs w:val="22"/>
        </w:rPr>
        <w:t>款：</w:t>
      </w:r>
    </w:p>
    <w:p w14:paraId="3811F529">
      <w:pPr>
        <w:kinsoku w:val="0"/>
        <w:overflowPunct w:val="0"/>
        <w:autoSpaceDE w:val="0"/>
        <w:autoSpaceDN w:val="0"/>
        <w:spacing w:line="240" w:lineRule="auto"/>
        <w:ind w:right="29"/>
        <w:jc w:val="left"/>
        <w:rPr>
          <w:rFonts w:hint="eastAsia" w:ascii="宋体" w:hAnsi="宋体"/>
          <w:color w:val="auto"/>
          <w:kern w:val="0"/>
          <w:sz w:val="24"/>
          <w:szCs w:val="22"/>
        </w:rPr>
      </w:pPr>
      <w:bookmarkStart w:id="112" w:name="bookmark234"/>
      <w:bookmarkEnd w:id="112"/>
      <w:r>
        <w:rPr>
          <w:rFonts w:hint="eastAsia" w:ascii="宋体" w:hAnsi="宋体"/>
          <w:color w:val="auto"/>
          <w:kern w:val="0"/>
          <w:sz w:val="24"/>
          <w:szCs w:val="22"/>
        </w:rPr>
        <w:t>18.9</w:t>
      </w:r>
      <w:r>
        <w:rPr>
          <w:rFonts w:hint="eastAsia" w:ascii="宋体" w:hAnsi="宋体"/>
          <w:color w:val="auto"/>
          <w:spacing w:val="59"/>
          <w:kern w:val="0"/>
          <w:sz w:val="24"/>
          <w:szCs w:val="22"/>
        </w:rPr>
        <w:t xml:space="preserve"> </w:t>
      </w:r>
      <w:r>
        <w:rPr>
          <w:rFonts w:hint="eastAsia" w:ascii="宋体" w:hAnsi="宋体"/>
          <w:color w:val="auto"/>
          <w:kern w:val="0"/>
          <w:sz w:val="24"/>
          <w:szCs w:val="22"/>
        </w:rPr>
        <w:t>竣工文件</w:t>
      </w:r>
    </w:p>
    <w:p w14:paraId="253D9299">
      <w:pPr>
        <w:kinsoku w:val="0"/>
        <w:overflowPunct w:val="0"/>
        <w:autoSpaceDE w:val="0"/>
        <w:autoSpaceDN w:val="0"/>
        <w:spacing w:line="240" w:lineRule="auto"/>
        <w:ind w:right="29" w:firstLine="480"/>
        <w:jc w:val="left"/>
        <w:rPr>
          <w:rFonts w:hint="eastAsia" w:ascii="宋体" w:hAnsi="宋体"/>
          <w:color w:val="auto"/>
          <w:kern w:val="0"/>
          <w:sz w:val="24"/>
          <w:szCs w:val="22"/>
        </w:rPr>
      </w:pPr>
      <w:r>
        <w:rPr>
          <w:rFonts w:hint="eastAsia" w:ascii="宋体" w:hAnsi="宋体"/>
          <w:color w:val="auto"/>
          <w:kern w:val="0"/>
          <w:sz w:val="24"/>
          <w:szCs w:val="22"/>
        </w:rPr>
        <w:t>承包人应按照《公路工程竣（交）工验收办法》的相关规定，在缺陷责任期内为竣工验收补充竣工资料，并在签发缺陷责任期终止证书之前提交。</w:t>
      </w:r>
    </w:p>
    <w:p w14:paraId="6F1B614F">
      <w:pPr>
        <w:kinsoku w:val="0"/>
        <w:overflowPunct w:val="0"/>
        <w:autoSpaceDE w:val="0"/>
        <w:autoSpaceDN w:val="0"/>
        <w:spacing w:line="240" w:lineRule="auto"/>
        <w:ind w:right="29"/>
        <w:jc w:val="left"/>
        <w:rPr>
          <w:rFonts w:hint="eastAsia" w:ascii="宋体" w:hAnsi="宋体"/>
          <w:color w:val="auto"/>
          <w:kern w:val="0"/>
          <w:sz w:val="28"/>
          <w:szCs w:val="28"/>
        </w:rPr>
      </w:pPr>
      <w:bookmarkStart w:id="113" w:name="bookmark235"/>
      <w:bookmarkEnd w:id="113"/>
      <w:r>
        <w:rPr>
          <w:rFonts w:hint="eastAsia" w:ascii="宋体" w:hAnsi="宋体"/>
          <w:color w:val="auto"/>
          <w:kern w:val="0"/>
          <w:sz w:val="28"/>
          <w:szCs w:val="28"/>
        </w:rPr>
        <w:t>19.</w:t>
      </w:r>
      <w:r>
        <w:rPr>
          <w:rFonts w:hint="eastAsia" w:ascii="宋体" w:hAnsi="宋体"/>
          <w:color w:val="auto"/>
          <w:spacing w:val="68"/>
          <w:kern w:val="0"/>
          <w:sz w:val="28"/>
          <w:szCs w:val="28"/>
        </w:rPr>
        <w:t xml:space="preserve"> </w:t>
      </w:r>
      <w:r>
        <w:rPr>
          <w:rFonts w:hint="eastAsia" w:ascii="宋体" w:hAnsi="宋体"/>
          <w:color w:val="auto"/>
          <w:kern w:val="0"/>
          <w:sz w:val="28"/>
          <w:szCs w:val="28"/>
        </w:rPr>
        <w:t>缺陷责任与保修责任</w:t>
      </w:r>
    </w:p>
    <w:p w14:paraId="23EABFB7">
      <w:pPr>
        <w:kinsoku w:val="0"/>
        <w:overflowPunct w:val="0"/>
        <w:autoSpaceDE w:val="0"/>
        <w:autoSpaceDN w:val="0"/>
        <w:spacing w:line="240" w:lineRule="auto"/>
        <w:ind w:right="29"/>
        <w:jc w:val="left"/>
        <w:rPr>
          <w:rFonts w:hint="eastAsia" w:ascii="宋体" w:hAnsi="宋体"/>
          <w:color w:val="auto"/>
          <w:kern w:val="0"/>
          <w:sz w:val="24"/>
          <w:szCs w:val="22"/>
        </w:rPr>
      </w:pPr>
      <w:bookmarkStart w:id="114" w:name="bookmark236"/>
      <w:bookmarkEnd w:id="114"/>
      <w:r>
        <w:rPr>
          <w:rFonts w:hint="eastAsia" w:ascii="宋体" w:hAnsi="宋体"/>
          <w:color w:val="auto"/>
          <w:kern w:val="0"/>
          <w:sz w:val="24"/>
          <w:szCs w:val="22"/>
        </w:rPr>
        <w:t>19.2</w:t>
      </w:r>
      <w:r>
        <w:rPr>
          <w:rFonts w:hint="eastAsia" w:ascii="宋体" w:hAnsi="宋体"/>
          <w:color w:val="auto"/>
          <w:spacing w:val="59"/>
          <w:kern w:val="0"/>
          <w:sz w:val="24"/>
          <w:szCs w:val="22"/>
        </w:rPr>
        <w:t xml:space="preserve"> </w:t>
      </w:r>
      <w:r>
        <w:rPr>
          <w:rFonts w:hint="eastAsia" w:ascii="宋体" w:hAnsi="宋体"/>
          <w:color w:val="auto"/>
          <w:kern w:val="0"/>
          <w:sz w:val="24"/>
          <w:szCs w:val="22"/>
        </w:rPr>
        <w:t>缺陷责任</w:t>
      </w:r>
    </w:p>
    <w:p w14:paraId="4AA93B94">
      <w:pPr>
        <w:kinsoku w:val="0"/>
        <w:overflowPunct w:val="0"/>
        <w:autoSpaceDE w:val="0"/>
        <w:autoSpaceDN w:val="0"/>
        <w:spacing w:line="240" w:lineRule="auto"/>
        <w:ind w:right="29" w:firstLine="480"/>
        <w:jc w:val="left"/>
        <w:rPr>
          <w:rFonts w:hint="eastAsia" w:ascii="宋体" w:hAnsi="宋体"/>
          <w:color w:val="auto"/>
          <w:kern w:val="0"/>
          <w:sz w:val="24"/>
          <w:szCs w:val="22"/>
        </w:rPr>
      </w:pPr>
      <w:r>
        <w:rPr>
          <w:rFonts w:hint="eastAsia" w:ascii="宋体" w:hAnsi="宋体"/>
          <w:color w:val="auto"/>
          <w:kern w:val="0"/>
          <w:sz w:val="24"/>
          <w:szCs w:val="22"/>
        </w:rPr>
        <w:t>第</w:t>
      </w:r>
      <w:r>
        <w:rPr>
          <w:rFonts w:hint="eastAsia" w:ascii="宋体" w:hAnsi="宋体"/>
          <w:color w:val="auto"/>
          <w:spacing w:val="-60"/>
          <w:kern w:val="0"/>
          <w:sz w:val="24"/>
          <w:szCs w:val="22"/>
        </w:rPr>
        <w:t xml:space="preserve"> </w:t>
      </w:r>
      <w:r>
        <w:rPr>
          <w:rFonts w:hint="eastAsia" w:ascii="宋体" w:hAnsi="宋体"/>
          <w:color w:val="auto"/>
          <w:kern w:val="0"/>
          <w:sz w:val="24"/>
          <w:szCs w:val="22"/>
        </w:rPr>
        <w:t>19.2.2 项补充： 在缺陷责任期内，承包人应尽快完成在交工验收证书中写明的未完成工作，并完成对本工程缺陷的修复或</w:t>
      </w:r>
      <w:r>
        <w:rPr>
          <w:rFonts w:hint="eastAsia" w:ascii="宋体" w:hAnsi="宋体"/>
          <w:color w:val="auto"/>
          <w:kern w:val="0"/>
          <w:sz w:val="24"/>
          <w:szCs w:val="22"/>
          <w:lang w:val="en-US" w:eastAsia="zh-CN"/>
        </w:rPr>
        <w:t>发包</w:t>
      </w:r>
      <w:r>
        <w:rPr>
          <w:rFonts w:hint="eastAsia" w:ascii="宋体" w:hAnsi="宋体"/>
          <w:color w:val="auto"/>
          <w:kern w:val="0"/>
          <w:sz w:val="24"/>
          <w:szCs w:val="22"/>
        </w:rPr>
        <w:t>人指令的修补工作。</w:t>
      </w:r>
    </w:p>
    <w:p w14:paraId="61B024A9">
      <w:pPr>
        <w:kinsoku w:val="0"/>
        <w:overflowPunct w:val="0"/>
        <w:autoSpaceDE w:val="0"/>
        <w:autoSpaceDN w:val="0"/>
        <w:spacing w:line="240" w:lineRule="auto"/>
        <w:ind w:right="29"/>
        <w:jc w:val="left"/>
        <w:rPr>
          <w:rFonts w:hint="eastAsia" w:ascii="宋体" w:hAnsi="宋体"/>
          <w:color w:val="auto"/>
          <w:kern w:val="0"/>
          <w:sz w:val="24"/>
          <w:szCs w:val="22"/>
        </w:rPr>
      </w:pPr>
      <w:bookmarkStart w:id="115" w:name="bookmark237"/>
      <w:bookmarkEnd w:id="115"/>
      <w:r>
        <w:rPr>
          <w:rFonts w:hint="eastAsia" w:ascii="宋体" w:hAnsi="宋体"/>
          <w:color w:val="auto"/>
          <w:kern w:val="0"/>
          <w:sz w:val="24"/>
          <w:szCs w:val="22"/>
        </w:rPr>
        <w:t>19.5</w:t>
      </w:r>
      <w:r>
        <w:rPr>
          <w:rFonts w:hint="eastAsia" w:ascii="宋体" w:hAnsi="宋体"/>
          <w:color w:val="auto"/>
          <w:spacing w:val="59"/>
          <w:kern w:val="0"/>
          <w:sz w:val="24"/>
          <w:szCs w:val="22"/>
        </w:rPr>
        <w:t xml:space="preserve"> </w:t>
      </w:r>
      <w:r>
        <w:rPr>
          <w:rFonts w:hint="eastAsia" w:ascii="宋体" w:hAnsi="宋体"/>
          <w:color w:val="auto"/>
          <w:kern w:val="0"/>
          <w:sz w:val="24"/>
          <w:szCs w:val="22"/>
        </w:rPr>
        <w:t>承包人的进入权</w:t>
      </w:r>
    </w:p>
    <w:p w14:paraId="20319D24">
      <w:pPr>
        <w:kinsoku w:val="0"/>
        <w:overflowPunct w:val="0"/>
        <w:autoSpaceDE w:val="0"/>
        <w:autoSpaceDN w:val="0"/>
        <w:spacing w:line="240" w:lineRule="auto"/>
        <w:ind w:right="29" w:firstLine="480"/>
        <w:jc w:val="left"/>
        <w:rPr>
          <w:rFonts w:hint="eastAsia" w:ascii="宋体" w:hAnsi="宋体"/>
          <w:color w:val="auto"/>
          <w:kern w:val="0"/>
          <w:sz w:val="24"/>
          <w:szCs w:val="22"/>
        </w:rPr>
      </w:pPr>
      <w:r>
        <w:rPr>
          <w:rFonts w:hint="eastAsia" w:ascii="宋体" w:hAnsi="宋体"/>
          <w:color w:val="auto"/>
          <w:kern w:val="0"/>
          <w:sz w:val="24"/>
          <w:szCs w:val="22"/>
        </w:rPr>
        <w:t>本款补充： 承包人在缺陷修复施工过程中，应服从管养单位的有关安全管理规定，由于承包人自身原因造成的人员伤亡、设备和材料的损毁及罚款等责任由承包人自负。</w:t>
      </w:r>
    </w:p>
    <w:p w14:paraId="51D52945">
      <w:pPr>
        <w:kinsoku w:val="0"/>
        <w:overflowPunct w:val="0"/>
        <w:autoSpaceDE w:val="0"/>
        <w:autoSpaceDN w:val="0"/>
        <w:spacing w:before="172" w:line="240" w:lineRule="auto"/>
        <w:jc w:val="left"/>
        <w:rPr>
          <w:rFonts w:hint="eastAsia" w:ascii="宋体" w:hAnsi="宋体"/>
          <w:color w:val="auto"/>
          <w:kern w:val="0"/>
          <w:sz w:val="28"/>
          <w:szCs w:val="28"/>
        </w:rPr>
      </w:pPr>
      <w:bookmarkStart w:id="116" w:name="bookmark239"/>
      <w:bookmarkEnd w:id="116"/>
      <w:bookmarkStart w:id="117" w:name="bookmark238"/>
      <w:bookmarkEnd w:id="117"/>
      <w:r>
        <w:rPr>
          <w:rFonts w:hint="eastAsia" w:ascii="宋体" w:hAnsi="宋体"/>
          <w:color w:val="auto"/>
          <w:kern w:val="0"/>
          <w:sz w:val="28"/>
          <w:szCs w:val="28"/>
        </w:rPr>
        <w:t>20.</w:t>
      </w:r>
      <w:r>
        <w:rPr>
          <w:rFonts w:hint="eastAsia" w:ascii="宋体" w:hAnsi="宋体"/>
          <w:color w:val="auto"/>
          <w:spacing w:val="68"/>
          <w:kern w:val="0"/>
          <w:sz w:val="28"/>
          <w:szCs w:val="28"/>
        </w:rPr>
        <w:t xml:space="preserve"> </w:t>
      </w:r>
      <w:r>
        <w:rPr>
          <w:rFonts w:hint="eastAsia" w:ascii="宋体" w:hAnsi="宋体"/>
          <w:color w:val="auto"/>
          <w:kern w:val="0"/>
          <w:sz w:val="28"/>
          <w:szCs w:val="28"/>
        </w:rPr>
        <w:t>保险</w:t>
      </w:r>
    </w:p>
    <w:p w14:paraId="32AF4C4E">
      <w:pPr>
        <w:kinsoku w:val="0"/>
        <w:overflowPunct w:val="0"/>
        <w:autoSpaceDE w:val="0"/>
        <w:autoSpaceDN w:val="0"/>
        <w:spacing w:line="240" w:lineRule="auto"/>
        <w:jc w:val="left"/>
        <w:rPr>
          <w:rFonts w:hint="eastAsia" w:ascii="宋体" w:hAnsi="宋体"/>
          <w:color w:val="auto"/>
          <w:kern w:val="0"/>
          <w:sz w:val="24"/>
          <w:szCs w:val="22"/>
        </w:rPr>
      </w:pPr>
      <w:bookmarkStart w:id="118" w:name="bookmark240"/>
      <w:bookmarkEnd w:id="118"/>
      <w:r>
        <w:rPr>
          <w:rFonts w:hint="eastAsia" w:ascii="宋体" w:hAnsi="宋体"/>
          <w:color w:val="auto"/>
          <w:kern w:val="0"/>
          <w:sz w:val="24"/>
          <w:szCs w:val="22"/>
        </w:rPr>
        <w:t>20.1</w:t>
      </w:r>
      <w:r>
        <w:rPr>
          <w:rFonts w:hint="eastAsia" w:ascii="宋体" w:hAnsi="宋体"/>
          <w:color w:val="auto"/>
          <w:spacing w:val="-1"/>
          <w:kern w:val="0"/>
          <w:sz w:val="24"/>
          <w:szCs w:val="22"/>
        </w:rPr>
        <w:t xml:space="preserve"> </w:t>
      </w:r>
      <w:r>
        <w:rPr>
          <w:rFonts w:hint="eastAsia" w:ascii="宋体" w:hAnsi="宋体"/>
          <w:color w:val="auto"/>
          <w:kern w:val="0"/>
          <w:sz w:val="24"/>
          <w:szCs w:val="22"/>
        </w:rPr>
        <w:t>工程保险</w:t>
      </w:r>
    </w:p>
    <w:p w14:paraId="29ADDC24">
      <w:pPr>
        <w:kinsoku w:val="0"/>
        <w:overflowPunct w:val="0"/>
        <w:autoSpaceDE w:val="0"/>
        <w:autoSpaceDN w:val="0"/>
        <w:spacing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本款约定为： 建筑工程一切险的投保内容：为本合同工程的永久工程、临时工程和设备及已运至施工工地用于永久工程的材料和设备所投的保险。</w:t>
      </w:r>
    </w:p>
    <w:p w14:paraId="4E951898">
      <w:pPr>
        <w:kinsoku w:val="0"/>
        <w:overflowPunct w:val="0"/>
        <w:autoSpaceDE w:val="0"/>
        <w:autoSpaceDN w:val="0"/>
        <w:spacing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保险金额：工程量清单第 100</w:t>
      </w:r>
      <w:r>
        <w:rPr>
          <w:rFonts w:hint="eastAsia" w:ascii="宋体" w:hAnsi="宋体"/>
          <w:color w:val="auto"/>
          <w:spacing w:val="-25"/>
          <w:kern w:val="0"/>
          <w:sz w:val="24"/>
          <w:szCs w:val="22"/>
        </w:rPr>
        <w:t xml:space="preserve"> </w:t>
      </w:r>
      <w:r>
        <w:rPr>
          <w:rFonts w:hint="eastAsia" w:ascii="宋体" w:hAnsi="宋体"/>
          <w:color w:val="auto"/>
          <w:kern w:val="0"/>
          <w:sz w:val="24"/>
          <w:szCs w:val="22"/>
        </w:rPr>
        <w:t>章（不含建筑工程一切险及第三者责任险的保险费）至第</w:t>
      </w:r>
      <w:r>
        <w:rPr>
          <w:rFonts w:hint="eastAsia" w:ascii="宋体" w:hAnsi="宋体"/>
          <w:color w:val="auto"/>
          <w:spacing w:val="-61"/>
          <w:kern w:val="0"/>
          <w:sz w:val="24"/>
          <w:szCs w:val="22"/>
        </w:rPr>
        <w:t xml:space="preserve"> </w:t>
      </w:r>
      <w:r>
        <w:rPr>
          <w:rFonts w:hint="eastAsia" w:ascii="宋体" w:hAnsi="宋体"/>
          <w:color w:val="auto"/>
          <w:kern w:val="0"/>
          <w:sz w:val="24"/>
          <w:szCs w:val="22"/>
        </w:rPr>
        <w:t>700</w:t>
      </w:r>
      <w:r>
        <w:rPr>
          <w:rFonts w:hint="eastAsia" w:ascii="宋体" w:hAnsi="宋体"/>
          <w:color w:val="auto"/>
          <w:spacing w:val="-1"/>
          <w:kern w:val="0"/>
          <w:sz w:val="24"/>
          <w:szCs w:val="22"/>
        </w:rPr>
        <w:t xml:space="preserve"> </w:t>
      </w:r>
      <w:r>
        <w:rPr>
          <w:rFonts w:hint="eastAsia" w:ascii="宋体" w:hAnsi="宋体"/>
          <w:color w:val="auto"/>
          <w:kern w:val="0"/>
          <w:sz w:val="24"/>
          <w:szCs w:val="22"/>
        </w:rPr>
        <w:t>章的合计金额。 保险费率：在项目专用合同条款数据表中约定。</w:t>
      </w:r>
    </w:p>
    <w:p w14:paraId="5B9592AF">
      <w:pPr>
        <w:kinsoku w:val="0"/>
        <w:overflowPunct w:val="0"/>
        <w:autoSpaceDE w:val="0"/>
        <w:autoSpaceDN w:val="0"/>
        <w:spacing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保险期限：开工日起直至本合同工程签发缺陷责任期终止证书止（即合同工期</w:t>
      </w:r>
      <w:r>
        <w:rPr>
          <w:rFonts w:hint="eastAsia" w:ascii="宋体" w:hAnsi="宋体"/>
          <w:color w:val="auto"/>
          <w:spacing w:val="-16"/>
          <w:kern w:val="0"/>
          <w:sz w:val="24"/>
          <w:szCs w:val="22"/>
        </w:rPr>
        <w:t>＋缺陷责任期）。</w:t>
      </w:r>
      <w:r>
        <w:rPr>
          <w:rFonts w:hint="eastAsia" w:ascii="宋体" w:hAnsi="宋体"/>
          <w:color w:val="auto"/>
          <w:spacing w:val="-113"/>
          <w:kern w:val="0"/>
          <w:sz w:val="24"/>
          <w:szCs w:val="22"/>
        </w:rPr>
        <w:t xml:space="preserve"> </w:t>
      </w:r>
      <w:r>
        <w:rPr>
          <w:rFonts w:hint="eastAsia" w:ascii="宋体" w:hAnsi="宋体"/>
          <w:color w:val="auto"/>
          <w:kern w:val="0"/>
          <w:sz w:val="24"/>
          <w:szCs w:val="22"/>
        </w:rPr>
        <w:t>承包人应以发包人和承包人的共同名义投保建筑工程一切险。建筑工程一切险的保险费由承包人报价时列入工程量清单第 100</w:t>
      </w:r>
      <w:r>
        <w:rPr>
          <w:rFonts w:hint="eastAsia" w:ascii="宋体" w:hAnsi="宋体"/>
          <w:color w:val="auto"/>
          <w:spacing w:val="-27"/>
          <w:kern w:val="0"/>
          <w:sz w:val="24"/>
          <w:szCs w:val="22"/>
        </w:rPr>
        <w:t xml:space="preserve"> </w:t>
      </w:r>
      <w:r>
        <w:rPr>
          <w:rFonts w:hint="eastAsia" w:ascii="宋体" w:hAnsi="宋体"/>
          <w:color w:val="auto"/>
          <w:kern w:val="0"/>
          <w:sz w:val="24"/>
          <w:szCs w:val="22"/>
        </w:rPr>
        <w:t>章内。发包人在接到保险单后，将 按照保险单的费用直接向承包人支付。</w:t>
      </w:r>
    </w:p>
    <w:p w14:paraId="36265F21">
      <w:pPr>
        <w:kinsoku w:val="0"/>
        <w:overflowPunct w:val="0"/>
        <w:autoSpaceDE w:val="0"/>
        <w:autoSpaceDN w:val="0"/>
        <w:spacing w:line="240" w:lineRule="auto"/>
        <w:jc w:val="left"/>
        <w:rPr>
          <w:rFonts w:hint="eastAsia" w:ascii="宋体" w:hAnsi="宋体"/>
          <w:color w:val="auto"/>
          <w:kern w:val="0"/>
          <w:sz w:val="24"/>
          <w:szCs w:val="22"/>
        </w:rPr>
      </w:pPr>
      <w:r>
        <w:rPr>
          <w:rFonts w:hint="eastAsia" w:ascii="宋体" w:hAnsi="宋体"/>
          <w:color w:val="auto"/>
          <w:kern w:val="0"/>
          <w:sz w:val="24"/>
          <w:szCs w:val="22"/>
        </w:rPr>
        <w:t>20.4</w:t>
      </w:r>
      <w:r>
        <w:rPr>
          <w:rFonts w:hint="eastAsia" w:ascii="宋体" w:hAnsi="宋体"/>
          <w:color w:val="auto"/>
          <w:spacing w:val="59"/>
          <w:kern w:val="0"/>
          <w:sz w:val="24"/>
          <w:szCs w:val="22"/>
        </w:rPr>
        <w:t xml:space="preserve"> </w:t>
      </w:r>
      <w:r>
        <w:rPr>
          <w:rFonts w:hint="eastAsia" w:ascii="宋体" w:hAnsi="宋体"/>
          <w:color w:val="auto"/>
          <w:kern w:val="0"/>
          <w:sz w:val="24"/>
          <w:szCs w:val="22"/>
        </w:rPr>
        <w:t>第三者责任险</w:t>
      </w:r>
    </w:p>
    <w:p w14:paraId="3AEB46B2">
      <w:pPr>
        <w:kinsoku w:val="0"/>
        <w:overflowPunct w:val="0"/>
        <w:autoSpaceDE w:val="0"/>
        <w:autoSpaceDN w:val="0"/>
        <w:spacing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第</w:t>
      </w:r>
      <w:r>
        <w:rPr>
          <w:rFonts w:hint="eastAsia" w:ascii="宋体" w:hAnsi="宋体"/>
          <w:color w:val="auto"/>
          <w:spacing w:val="-60"/>
          <w:kern w:val="0"/>
          <w:sz w:val="24"/>
          <w:szCs w:val="22"/>
        </w:rPr>
        <w:t xml:space="preserve"> </w:t>
      </w:r>
      <w:r>
        <w:rPr>
          <w:rFonts w:hint="eastAsia" w:ascii="宋体" w:hAnsi="宋体"/>
          <w:color w:val="auto"/>
          <w:kern w:val="0"/>
          <w:sz w:val="24"/>
          <w:szCs w:val="22"/>
        </w:rPr>
        <w:t>20.4.2 项补充：</w:t>
      </w:r>
    </w:p>
    <w:p w14:paraId="2CBA3FDD">
      <w:pPr>
        <w:kinsoku w:val="0"/>
        <w:overflowPunct w:val="0"/>
        <w:autoSpaceDE w:val="0"/>
        <w:autoSpaceDN w:val="0"/>
        <w:spacing w:before="66"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第三者责任险的保险费由承包人报价时列入工程量清单第 100</w:t>
      </w:r>
      <w:r>
        <w:rPr>
          <w:rFonts w:hint="eastAsia" w:ascii="宋体" w:hAnsi="宋体"/>
          <w:color w:val="auto"/>
          <w:spacing w:val="-26"/>
          <w:kern w:val="0"/>
          <w:sz w:val="24"/>
          <w:szCs w:val="22"/>
        </w:rPr>
        <w:t xml:space="preserve"> </w:t>
      </w:r>
      <w:r>
        <w:rPr>
          <w:rFonts w:hint="eastAsia" w:ascii="宋体" w:hAnsi="宋体"/>
          <w:color w:val="auto"/>
          <w:kern w:val="0"/>
          <w:sz w:val="24"/>
          <w:szCs w:val="22"/>
        </w:rPr>
        <w:t>章内。发包人在 接到保险单后，将按照保险单的费用直接向承包人支付。</w:t>
      </w:r>
    </w:p>
    <w:p w14:paraId="7C4B7F23">
      <w:pPr>
        <w:kinsoku w:val="0"/>
        <w:overflowPunct w:val="0"/>
        <w:autoSpaceDE w:val="0"/>
        <w:autoSpaceDN w:val="0"/>
        <w:spacing w:line="240" w:lineRule="auto"/>
        <w:jc w:val="left"/>
        <w:rPr>
          <w:rFonts w:hint="eastAsia" w:ascii="宋体" w:hAnsi="宋体"/>
          <w:color w:val="auto"/>
          <w:kern w:val="0"/>
          <w:sz w:val="24"/>
          <w:szCs w:val="22"/>
        </w:rPr>
      </w:pPr>
      <w:bookmarkStart w:id="119" w:name="bookmark242"/>
      <w:bookmarkEnd w:id="119"/>
      <w:r>
        <w:rPr>
          <w:rFonts w:hint="eastAsia" w:ascii="宋体" w:hAnsi="宋体"/>
          <w:color w:val="auto"/>
          <w:kern w:val="0"/>
          <w:sz w:val="24"/>
          <w:szCs w:val="22"/>
        </w:rPr>
        <w:t>20.5</w:t>
      </w:r>
      <w:r>
        <w:rPr>
          <w:rFonts w:hint="eastAsia" w:ascii="宋体" w:hAnsi="宋体"/>
          <w:color w:val="auto"/>
          <w:spacing w:val="59"/>
          <w:kern w:val="0"/>
          <w:sz w:val="24"/>
          <w:szCs w:val="22"/>
        </w:rPr>
        <w:t xml:space="preserve"> </w:t>
      </w:r>
      <w:r>
        <w:rPr>
          <w:rFonts w:hint="eastAsia" w:ascii="宋体" w:hAnsi="宋体"/>
          <w:color w:val="auto"/>
          <w:kern w:val="0"/>
          <w:sz w:val="24"/>
          <w:szCs w:val="22"/>
        </w:rPr>
        <w:t>其他保险</w:t>
      </w:r>
    </w:p>
    <w:p w14:paraId="30027F83">
      <w:pPr>
        <w:kinsoku w:val="0"/>
        <w:overflowPunct w:val="0"/>
        <w:autoSpaceDE w:val="0"/>
        <w:autoSpaceDN w:val="0"/>
        <w:spacing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 xml:space="preserve">本款约定为： </w:t>
      </w:r>
      <w:r>
        <w:rPr>
          <w:rFonts w:hint="eastAsia" w:ascii="宋体" w:hAnsi="宋体"/>
          <w:color w:val="auto"/>
          <w:spacing w:val="2"/>
          <w:kern w:val="0"/>
          <w:sz w:val="24"/>
          <w:szCs w:val="22"/>
        </w:rPr>
        <w:t>承包人应为其施工设备等办理保险，其投保金额应足以现场重置。办理本款保</w:t>
      </w:r>
      <w:r>
        <w:rPr>
          <w:rFonts w:hint="eastAsia" w:ascii="宋体" w:hAnsi="宋体"/>
          <w:color w:val="auto"/>
          <w:kern w:val="0"/>
          <w:sz w:val="24"/>
          <w:szCs w:val="22"/>
        </w:rPr>
        <w:t>险的一切费用均由承包人承担，并包括在工程量清单的单价及总额价中，发包人不</w:t>
      </w:r>
      <w:r>
        <w:rPr>
          <w:rFonts w:hint="eastAsia" w:ascii="宋体" w:hAnsi="宋体"/>
          <w:color w:val="auto"/>
          <w:spacing w:val="-93"/>
          <w:kern w:val="0"/>
          <w:sz w:val="24"/>
          <w:szCs w:val="22"/>
        </w:rPr>
        <w:t xml:space="preserve"> </w:t>
      </w:r>
      <w:r>
        <w:rPr>
          <w:rFonts w:hint="eastAsia" w:ascii="宋体" w:hAnsi="宋体"/>
          <w:color w:val="auto"/>
          <w:kern w:val="0"/>
          <w:sz w:val="24"/>
          <w:szCs w:val="22"/>
        </w:rPr>
        <w:t>单独支付。</w:t>
      </w:r>
    </w:p>
    <w:p w14:paraId="48A1D282">
      <w:pPr>
        <w:kinsoku w:val="0"/>
        <w:overflowPunct w:val="0"/>
        <w:autoSpaceDE w:val="0"/>
        <w:autoSpaceDN w:val="0"/>
        <w:spacing w:line="240" w:lineRule="auto"/>
        <w:jc w:val="left"/>
        <w:rPr>
          <w:rFonts w:hint="eastAsia" w:ascii="宋体" w:hAnsi="宋体"/>
          <w:color w:val="auto"/>
          <w:kern w:val="0"/>
          <w:sz w:val="24"/>
          <w:szCs w:val="22"/>
        </w:rPr>
      </w:pPr>
      <w:bookmarkStart w:id="120" w:name="bookmark243"/>
      <w:bookmarkEnd w:id="120"/>
      <w:r>
        <w:rPr>
          <w:rFonts w:hint="eastAsia" w:ascii="宋体" w:hAnsi="宋体"/>
          <w:color w:val="auto"/>
          <w:kern w:val="0"/>
          <w:sz w:val="24"/>
          <w:szCs w:val="22"/>
        </w:rPr>
        <w:t>20.6</w:t>
      </w:r>
      <w:r>
        <w:rPr>
          <w:rFonts w:hint="eastAsia" w:ascii="宋体" w:hAnsi="宋体"/>
          <w:color w:val="auto"/>
          <w:spacing w:val="59"/>
          <w:kern w:val="0"/>
          <w:sz w:val="24"/>
          <w:szCs w:val="22"/>
        </w:rPr>
        <w:t xml:space="preserve"> </w:t>
      </w:r>
      <w:r>
        <w:rPr>
          <w:rFonts w:hint="eastAsia" w:ascii="宋体" w:hAnsi="宋体"/>
          <w:color w:val="auto"/>
          <w:kern w:val="0"/>
          <w:sz w:val="24"/>
          <w:szCs w:val="22"/>
        </w:rPr>
        <w:t>对各项保险的一般要求</w:t>
      </w:r>
    </w:p>
    <w:p w14:paraId="30EA1EF7">
      <w:pPr>
        <w:kinsoku w:val="0"/>
        <w:overflowPunct w:val="0"/>
        <w:autoSpaceDE w:val="0"/>
        <w:autoSpaceDN w:val="0"/>
        <w:spacing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20.6.1  保险凭证</w:t>
      </w:r>
    </w:p>
    <w:p w14:paraId="028DDABD">
      <w:pPr>
        <w:kinsoku w:val="0"/>
        <w:overflowPunct w:val="0"/>
        <w:autoSpaceDE w:val="0"/>
        <w:autoSpaceDN w:val="0"/>
        <w:spacing w:before="69"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本项约定为：</w:t>
      </w:r>
      <w:r>
        <w:rPr>
          <w:rFonts w:hint="eastAsia" w:ascii="宋体" w:hAnsi="宋体"/>
          <w:color w:val="auto"/>
          <w:spacing w:val="-4"/>
          <w:kern w:val="0"/>
          <w:sz w:val="24"/>
          <w:szCs w:val="22"/>
        </w:rPr>
        <w:t>承包人向发包人提交各项保险生效的证据和保险单副本的期限：开工后</w:t>
      </w:r>
      <w:r>
        <w:rPr>
          <w:rFonts w:hint="eastAsia" w:ascii="宋体" w:hAnsi="宋体"/>
          <w:color w:val="auto"/>
          <w:spacing w:val="-55"/>
          <w:kern w:val="0"/>
          <w:sz w:val="24"/>
          <w:szCs w:val="22"/>
        </w:rPr>
        <w:t xml:space="preserve"> </w:t>
      </w:r>
      <w:r>
        <w:rPr>
          <w:rFonts w:hint="eastAsia" w:ascii="宋体" w:hAnsi="宋体"/>
          <w:color w:val="auto"/>
          <w:kern w:val="0"/>
          <w:sz w:val="24"/>
          <w:szCs w:val="22"/>
        </w:rPr>
        <w:t>56</w:t>
      </w:r>
      <w:r>
        <w:rPr>
          <w:rFonts w:hint="eastAsia" w:ascii="宋体" w:hAnsi="宋体"/>
          <w:color w:val="auto"/>
          <w:spacing w:val="3"/>
          <w:kern w:val="0"/>
          <w:sz w:val="24"/>
          <w:szCs w:val="22"/>
        </w:rPr>
        <w:t xml:space="preserve"> </w:t>
      </w:r>
      <w:r>
        <w:rPr>
          <w:rFonts w:hint="eastAsia" w:ascii="宋体" w:hAnsi="宋体"/>
          <w:color w:val="auto"/>
          <w:kern w:val="0"/>
          <w:sz w:val="24"/>
          <w:szCs w:val="22"/>
        </w:rPr>
        <w:t>天内。</w:t>
      </w:r>
    </w:p>
    <w:p w14:paraId="6E346C65">
      <w:pPr>
        <w:kinsoku w:val="0"/>
        <w:overflowPunct w:val="0"/>
        <w:autoSpaceDE w:val="0"/>
        <w:autoSpaceDN w:val="0"/>
        <w:spacing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20.6.3  持续保险</w:t>
      </w:r>
    </w:p>
    <w:p w14:paraId="6C8C63C0">
      <w:pPr>
        <w:kinsoku w:val="0"/>
        <w:overflowPunct w:val="0"/>
        <w:autoSpaceDE w:val="0"/>
        <w:autoSpaceDN w:val="0"/>
        <w:spacing w:before="26" w:line="240" w:lineRule="auto"/>
        <w:ind w:right="119" w:firstLine="480"/>
        <w:jc w:val="left"/>
        <w:rPr>
          <w:rFonts w:hint="eastAsia" w:ascii="宋体" w:hAnsi="宋体"/>
          <w:color w:val="auto"/>
          <w:kern w:val="0"/>
          <w:sz w:val="24"/>
          <w:szCs w:val="22"/>
        </w:rPr>
      </w:pPr>
      <w:r>
        <w:rPr>
          <w:rFonts w:hint="eastAsia" w:ascii="宋体" w:hAnsi="宋体"/>
          <w:color w:val="auto"/>
          <w:kern w:val="0"/>
          <w:sz w:val="24"/>
          <w:szCs w:val="22"/>
        </w:rPr>
        <w:t>本项补充： 在整个合同期内，承包人应按合同条款规定保证足够的保险额。 20.6.4  保险金不足的补偿</w:t>
      </w:r>
    </w:p>
    <w:p w14:paraId="08D0EDE9">
      <w:pPr>
        <w:kinsoku w:val="0"/>
        <w:overflowPunct w:val="0"/>
        <w:autoSpaceDE w:val="0"/>
        <w:autoSpaceDN w:val="0"/>
        <w:spacing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 xml:space="preserve">本项细化为： </w:t>
      </w:r>
      <w:r>
        <w:rPr>
          <w:rFonts w:hint="eastAsia" w:ascii="宋体" w:hAnsi="宋体"/>
          <w:color w:val="auto"/>
          <w:spacing w:val="-6"/>
          <w:kern w:val="0"/>
          <w:sz w:val="24"/>
          <w:szCs w:val="22"/>
        </w:rPr>
        <w:t>保险金不足以补偿损失的（包括免赔额和超过赔偿限额的部分），应由承包人和</w:t>
      </w:r>
      <w:r>
        <w:rPr>
          <w:rFonts w:hint="eastAsia" w:ascii="宋体" w:hAnsi="宋体"/>
          <w:color w:val="auto"/>
          <w:kern w:val="0"/>
          <w:sz w:val="24"/>
          <w:szCs w:val="22"/>
        </w:rPr>
        <w:t>（或）发包人按合同约定负责补偿。 20.6.5 未按约定投保的补救 本项（2）目细化为：</w:t>
      </w:r>
    </w:p>
    <w:p w14:paraId="7D80D40B">
      <w:pPr>
        <w:kinsoku w:val="0"/>
        <w:overflowPunct w:val="0"/>
        <w:autoSpaceDE w:val="0"/>
        <w:autoSpaceDN w:val="0"/>
        <w:spacing w:before="4"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 xml:space="preserve">（2）由于负有投保义务的一方当事人未按合同约定办理某项保险，或未按保险 </w:t>
      </w:r>
      <w:r>
        <w:rPr>
          <w:rFonts w:hint="eastAsia" w:ascii="宋体" w:hAnsi="宋体"/>
          <w:color w:val="auto"/>
          <w:spacing w:val="-3"/>
          <w:kern w:val="0"/>
          <w:sz w:val="24"/>
          <w:szCs w:val="22"/>
        </w:rPr>
        <w:t>单规定的条件和期限及时向保险人报告事故情况，或未按要求的保险期限进行投保，</w:t>
      </w:r>
      <w:r>
        <w:rPr>
          <w:rFonts w:hint="eastAsia" w:ascii="宋体" w:hAnsi="宋体"/>
          <w:color w:val="auto"/>
          <w:spacing w:val="-93"/>
          <w:kern w:val="0"/>
          <w:sz w:val="24"/>
          <w:szCs w:val="22"/>
        </w:rPr>
        <w:t xml:space="preserve"> </w:t>
      </w:r>
      <w:r>
        <w:rPr>
          <w:rFonts w:hint="eastAsia" w:ascii="宋体" w:hAnsi="宋体"/>
          <w:color w:val="auto"/>
          <w:kern w:val="0"/>
          <w:sz w:val="24"/>
          <w:szCs w:val="22"/>
        </w:rPr>
        <w:t>或未按要求投保足够的保险金额，导致受益人未能或未能全部得到保险人的赔偿，</w:t>
      </w:r>
      <w:r>
        <w:rPr>
          <w:rFonts w:hint="eastAsia" w:ascii="宋体" w:hAnsi="宋体"/>
          <w:color w:val="auto"/>
          <w:spacing w:val="-93"/>
          <w:kern w:val="0"/>
          <w:sz w:val="24"/>
          <w:szCs w:val="22"/>
        </w:rPr>
        <w:t xml:space="preserve"> </w:t>
      </w:r>
      <w:r>
        <w:rPr>
          <w:rFonts w:hint="eastAsia" w:ascii="宋体" w:hAnsi="宋体"/>
          <w:color w:val="auto"/>
          <w:kern w:val="0"/>
          <w:sz w:val="24"/>
          <w:szCs w:val="22"/>
        </w:rPr>
        <w:t>原应从该项保险得到的保险金应由负有投保义务的一方当事人支付。</w:t>
      </w:r>
    </w:p>
    <w:p w14:paraId="241D0DEB">
      <w:pPr>
        <w:kinsoku w:val="0"/>
        <w:overflowPunct w:val="0"/>
        <w:autoSpaceDE w:val="0"/>
        <w:autoSpaceDN w:val="0"/>
        <w:spacing w:line="240" w:lineRule="auto"/>
        <w:jc w:val="left"/>
        <w:rPr>
          <w:rFonts w:hint="eastAsia" w:ascii="宋体" w:hAnsi="宋体"/>
          <w:color w:val="auto"/>
          <w:kern w:val="0"/>
          <w:sz w:val="28"/>
          <w:szCs w:val="28"/>
        </w:rPr>
      </w:pPr>
      <w:bookmarkStart w:id="121" w:name="bookmark244"/>
      <w:bookmarkEnd w:id="121"/>
      <w:r>
        <w:rPr>
          <w:rFonts w:hint="eastAsia" w:ascii="宋体" w:hAnsi="宋体"/>
          <w:color w:val="auto"/>
          <w:kern w:val="0"/>
          <w:sz w:val="28"/>
          <w:szCs w:val="28"/>
        </w:rPr>
        <w:t>21.  不可抗力</w:t>
      </w:r>
    </w:p>
    <w:p w14:paraId="719F26F1">
      <w:pPr>
        <w:kinsoku w:val="0"/>
        <w:overflowPunct w:val="0"/>
        <w:autoSpaceDE w:val="0"/>
        <w:autoSpaceDN w:val="0"/>
        <w:spacing w:line="240" w:lineRule="auto"/>
        <w:jc w:val="left"/>
        <w:rPr>
          <w:rFonts w:hint="eastAsia" w:ascii="宋体" w:hAnsi="宋体"/>
          <w:color w:val="auto"/>
          <w:kern w:val="0"/>
          <w:sz w:val="24"/>
          <w:szCs w:val="22"/>
        </w:rPr>
      </w:pPr>
      <w:r>
        <w:rPr>
          <w:rFonts w:hint="eastAsia" w:ascii="宋体" w:hAnsi="宋体"/>
          <w:color w:val="auto"/>
          <w:kern w:val="0"/>
          <w:sz w:val="24"/>
          <w:szCs w:val="22"/>
        </w:rPr>
        <w:t>21.1</w:t>
      </w:r>
      <w:r>
        <w:rPr>
          <w:rFonts w:hint="eastAsia" w:ascii="宋体" w:hAnsi="宋体"/>
          <w:color w:val="auto"/>
          <w:spacing w:val="59"/>
          <w:kern w:val="0"/>
          <w:sz w:val="24"/>
          <w:szCs w:val="22"/>
        </w:rPr>
        <w:t xml:space="preserve"> </w:t>
      </w:r>
      <w:r>
        <w:rPr>
          <w:rFonts w:hint="eastAsia" w:ascii="宋体" w:hAnsi="宋体"/>
          <w:color w:val="auto"/>
          <w:kern w:val="0"/>
          <w:sz w:val="24"/>
          <w:szCs w:val="22"/>
        </w:rPr>
        <w:t>不可抗力的确认</w:t>
      </w:r>
    </w:p>
    <w:p w14:paraId="735EAC67">
      <w:pPr>
        <w:kinsoku w:val="0"/>
        <w:overflowPunct w:val="0"/>
        <w:autoSpaceDE w:val="0"/>
        <w:autoSpaceDN w:val="0"/>
        <w:spacing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第</w:t>
      </w:r>
      <w:r>
        <w:rPr>
          <w:rFonts w:hint="eastAsia" w:ascii="宋体" w:hAnsi="宋体"/>
          <w:color w:val="auto"/>
          <w:spacing w:val="-60"/>
          <w:kern w:val="0"/>
          <w:sz w:val="24"/>
          <w:szCs w:val="22"/>
        </w:rPr>
        <w:t xml:space="preserve"> </w:t>
      </w:r>
      <w:r>
        <w:rPr>
          <w:rFonts w:hint="eastAsia" w:ascii="宋体" w:hAnsi="宋体"/>
          <w:color w:val="auto"/>
          <w:kern w:val="0"/>
          <w:sz w:val="24"/>
          <w:szCs w:val="22"/>
        </w:rPr>
        <w:t>21.1.1 项细化为： 不可抗力是指承包人和发包人在订立合同时不可预见，在工程施工过程中不可避免发生并不能克服的自然灾害和社会性突发事件。包括但不限于：</w:t>
      </w:r>
    </w:p>
    <w:p w14:paraId="0CA60F19">
      <w:pPr>
        <w:kinsoku w:val="0"/>
        <w:overflowPunct w:val="0"/>
        <w:autoSpaceDE w:val="0"/>
        <w:autoSpaceDN w:val="0"/>
        <w:spacing w:before="84" w:line="240" w:lineRule="auto"/>
        <w:ind w:firstLine="468"/>
        <w:jc w:val="left"/>
        <w:rPr>
          <w:rFonts w:hint="eastAsia" w:ascii="宋体" w:hAnsi="宋体"/>
          <w:color w:val="auto"/>
          <w:spacing w:val="-3"/>
          <w:kern w:val="0"/>
          <w:sz w:val="24"/>
          <w:szCs w:val="22"/>
        </w:rPr>
      </w:pPr>
      <w:r>
        <w:rPr>
          <w:rFonts w:hint="eastAsia" w:ascii="宋体" w:hAnsi="宋体"/>
          <w:color w:val="auto"/>
          <w:spacing w:val="-3"/>
          <w:kern w:val="0"/>
          <w:sz w:val="24"/>
          <w:szCs w:val="22"/>
        </w:rPr>
        <w:t>（1）地震、海啸、火山爆发、泥石流、暴雨（雪）、台风、龙卷风、水灾等自</w:t>
      </w:r>
      <w:r>
        <w:rPr>
          <w:rFonts w:hint="eastAsia" w:ascii="宋体" w:hAnsi="宋体"/>
          <w:color w:val="auto"/>
          <w:kern w:val="0"/>
          <w:sz w:val="24"/>
          <w:szCs w:val="22"/>
        </w:rPr>
        <w:t xml:space="preserve"> 然灾害；</w:t>
      </w:r>
    </w:p>
    <w:p w14:paraId="26B5764C">
      <w:pPr>
        <w:kinsoku w:val="0"/>
        <w:overflowPunct w:val="0"/>
        <w:autoSpaceDE w:val="0"/>
        <w:autoSpaceDN w:val="0"/>
        <w:spacing w:before="36" w:line="240" w:lineRule="auto"/>
        <w:ind w:firstLine="468"/>
        <w:jc w:val="left"/>
        <w:rPr>
          <w:rFonts w:hint="eastAsia" w:ascii="宋体" w:hAnsi="宋体"/>
          <w:color w:val="auto"/>
          <w:spacing w:val="-3"/>
          <w:kern w:val="0"/>
          <w:sz w:val="24"/>
          <w:szCs w:val="22"/>
        </w:rPr>
      </w:pPr>
      <w:r>
        <w:rPr>
          <w:rFonts w:hint="eastAsia" w:ascii="宋体" w:hAnsi="宋体"/>
          <w:color w:val="auto"/>
          <w:spacing w:val="-3"/>
          <w:kern w:val="0"/>
          <w:sz w:val="24"/>
          <w:szCs w:val="22"/>
        </w:rPr>
        <w:t>（2）战争、骚乱、暴动，但纯属承包人或其分包人派遣与雇用的人员由于本合</w:t>
      </w:r>
      <w:r>
        <w:rPr>
          <w:rFonts w:hint="eastAsia" w:ascii="宋体" w:hAnsi="宋体"/>
          <w:color w:val="auto"/>
          <w:kern w:val="0"/>
          <w:sz w:val="24"/>
          <w:szCs w:val="22"/>
        </w:rPr>
        <w:t xml:space="preserve"> 同工程施工原因引起者除外；</w:t>
      </w:r>
    </w:p>
    <w:p w14:paraId="25FF7CA0">
      <w:pPr>
        <w:kinsoku w:val="0"/>
        <w:overflowPunct w:val="0"/>
        <w:autoSpaceDE w:val="0"/>
        <w:autoSpaceDN w:val="0"/>
        <w:spacing w:before="36"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（3）核反应、辐射或放射性污染；</w:t>
      </w:r>
    </w:p>
    <w:p w14:paraId="4AEF18E7">
      <w:pPr>
        <w:kinsoku w:val="0"/>
        <w:overflowPunct w:val="0"/>
        <w:autoSpaceDE w:val="0"/>
        <w:autoSpaceDN w:val="0"/>
        <w:spacing w:before="36"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（4）空中飞行物体坠落或非发包人或承包人责任造成的爆炸、火灾；</w:t>
      </w:r>
    </w:p>
    <w:p w14:paraId="3A52C33C">
      <w:pPr>
        <w:kinsoku w:val="0"/>
        <w:overflowPunct w:val="0"/>
        <w:autoSpaceDE w:val="0"/>
        <w:autoSpaceDN w:val="0"/>
        <w:spacing w:before="36"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（5）瘟疫；</w:t>
      </w:r>
    </w:p>
    <w:p w14:paraId="4B923721">
      <w:pPr>
        <w:kinsoku w:val="0"/>
        <w:overflowPunct w:val="0"/>
        <w:autoSpaceDE w:val="0"/>
        <w:autoSpaceDN w:val="0"/>
        <w:spacing w:before="36"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（6）项目专用合同条款约定的其他情形。</w:t>
      </w:r>
    </w:p>
    <w:p w14:paraId="741FC640">
      <w:pPr>
        <w:kinsoku w:val="0"/>
        <w:overflowPunct w:val="0"/>
        <w:autoSpaceDE w:val="0"/>
        <w:autoSpaceDN w:val="0"/>
        <w:spacing w:line="240" w:lineRule="auto"/>
        <w:jc w:val="left"/>
        <w:rPr>
          <w:rFonts w:hint="eastAsia" w:ascii="宋体" w:hAnsi="宋体"/>
          <w:color w:val="auto"/>
          <w:kern w:val="0"/>
          <w:sz w:val="24"/>
          <w:szCs w:val="22"/>
        </w:rPr>
      </w:pPr>
      <w:bookmarkStart w:id="122" w:name="bookmark246"/>
      <w:bookmarkEnd w:id="122"/>
      <w:r>
        <w:rPr>
          <w:rFonts w:hint="eastAsia" w:ascii="宋体" w:hAnsi="宋体"/>
          <w:color w:val="auto"/>
          <w:kern w:val="0"/>
          <w:sz w:val="24"/>
          <w:szCs w:val="22"/>
        </w:rPr>
        <w:t>21.3</w:t>
      </w:r>
      <w:r>
        <w:rPr>
          <w:rFonts w:hint="eastAsia" w:ascii="宋体" w:hAnsi="宋体"/>
          <w:color w:val="auto"/>
          <w:spacing w:val="59"/>
          <w:kern w:val="0"/>
          <w:sz w:val="24"/>
          <w:szCs w:val="22"/>
        </w:rPr>
        <w:t xml:space="preserve"> </w:t>
      </w:r>
      <w:r>
        <w:rPr>
          <w:rFonts w:hint="eastAsia" w:ascii="宋体" w:hAnsi="宋体"/>
          <w:color w:val="auto"/>
          <w:kern w:val="0"/>
          <w:sz w:val="24"/>
          <w:szCs w:val="22"/>
        </w:rPr>
        <w:t>不可抗力后果及其处理</w:t>
      </w:r>
    </w:p>
    <w:p w14:paraId="656FF2E2">
      <w:pPr>
        <w:kinsoku w:val="0"/>
        <w:overflowPunct w:val="0"/>
        <w:autoSpaceDE w:val="0"/>
        <w:autoSpaceDN w:val="0"/>
        <w:spacing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21.3.4  因不可抗力解除合同</w:t>
      </w:r>
    </w:p>
    <w:p w14:paraId="18329107">
      <w:pPr>
        <w:kinsoku w:val="0"/>
        <w:overflowPunct w:val="0"/>
        <w:autoSpaceDE w:val="0"/>
        <w:autoSpaceDN w:val="0"/>
        <w:spacing w:before="69"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本项细化为： 合同一方当事人因不可抗力不能履行合同的，应当及时通知对方解除合同。合同解除后，承包人应按照第 22.2.5</w:t>
      </w:r>
      <w:r>
        <w:rPr>
          <w:rFonts w:hint="eastAsia" w:ascii="宋体" w:hAnsi="宋体"/>
          <w:color w:val="auto"/>
          <w:spacing w:val="-25"/>
          <w:kern w:val="0"/>
          <w:sz w:val="24"/>
          <w:szCs w:val="22"/>
        </w:rPr>
        <w:t xml:space="preserve"> </w:t>
      </w:r>
      <w:r>
        <w:rPr>
          <w:rFonts w:hint="eastAsia" w:ascii="宋体" w:hAnsi="宋体"/>
          <w:color w:val="auto"/>
          <w:kern w:val="0"/>
          <w:sz w:val="24"/>
          <w:szCs w:val="22"/>
        </w:rPr>
        <w:t>项约定撤离施工场地。已经订货的材料、设备由订货方负责退货或解除订货合同，不能退还的货款和因退货、解除订货合同发生的</w:t>
      </w:r>
      <w:r>
        <w:rPr>
          <w:rFonts w:hint="eastAsia" w:ascii="宋体" w:hAnsi="宋体"/>
          <w:color w:val="auto"/>
          <w:spacing w:val="-96"/>
          <w:kern w:val="0"/>
          <w:sz w:val="24"/>
          <w:szCs w:val="22"/>
        </w:rPr>
        <w:t xml:space="preserve"> </w:t>
      </w:r>
      <w:r>
        <w:rPr>
          <w:rFonts w:hint="eastAsia" w:ascii="宋体" w:hAnsi="宋体"/>
          <w:color w:val="auto"/>
          <w:spacing w:val="-3"/>
          <w:kern w:val="0"/>
          <w:sz w:val="24"/>
          <w:szCs w:val="22"/>
        </w:rPr>
        <w:t>费用，由发包人承担，因未及时退货造成的损失由责任方承担。合同解除后的付款，</w:t>
      </w:r>
      <w:r>
        <w:rPr>
          <w:rFonts w:hint="eastAsia" w:ascii="宋体" w:hAnsi="宋体"/>
          <w:color w:val="auto"/>
          <w:spacing w:val="-96"/>
          <w:kern w:val="0"/>
          <w:sz w:val="24"/>
          <w:szCs w:val="22"/>
        </w:rPr>
        <w:t xml:space="preserve"> </w:t>
      </w:r>
      <w:r>
        <w:rPr>
          <w:rFonts w:hint="eastAsia" w:ascii="宋体" w:hAnsi="宋体"/>
          <w:color w:val="auto"/>
          <w:kern w:val="0"/>
          <w:sz w:val="24"/>
          <w:szCs w:val="22"/>
        </w:rPr>
        <w:t>参照第 22.2.4 项约定，由监理人按第 3.5</w:t>
      </w:r>
      <w:r>
        <w:rPr>
          <w:rFonts w:hint="eastAsia" w:ascii="宋体" w:hAnsi="宋体"/>
          <w:color w:val="auto"/>
          <w:spacing w:val="-25"/>
          <w:kern w:val="0"/>
          <w:sz w:val="24"/>
          <w:szCs w:val="22"/>
        </w:rPr>
        <w:t xml:space="preserve"> </w:t>
      </w:r>
      <w:r>
        <w:rPr>
          <w:rFonts w:hint="eastAsia" w:ascii="宋体" w:hAnsi="宋体"/>
          <w:color w:val="auto"/>
          <w:kern w:val="0"/>
          <w:sz w:val="24"/>
          <w:szCs w:val="22"/>
        </w:rPr>
        <w:t>款商定或确定，但由于解除合同应赔偿的 承包人损失不予考虑。</w:t>
      </w:r>
    </w:p>
    <w:p w14:paraId="3B806593">
      <w:pPr>
        <w:kinsoku w:val="0"/>
        <w:overflowPunct w:val="0"/>
        <w:autoSpaceDE w:val="0"/>
        <w:autoSpaceDN w:val="0"/>
        <w:spacing w:line="240" w:lineRule="auto"/>
        <w:jc w:val="left"/>
        <w:rPr>
          <w:rFonts w:hint="eastAsia" w:ascii="宋体" w:hAnsi="宋体"/>
          <w:color w:val="auto"/>
          <w:kern w:val="0"/>
          <w:sz w:val="28"/>
          <w:szCs w:val="28"/>
        </w:rPr>
      </w:pPr>
      <w:bookmarkStart w:id="123" w:name="bookmark247"/>
      <w:bookmarkEnd w:id="123"/>
      <w:r>
        <w:rPr>
          <w:rFonts w:hint="eastAsia" w:ascii="宋体" w:hAnsi="宋体"/>
          <w:color w:val="auto"/>
          <w:kern w:val="0"/>
          <w:sz w:val="28"/>
          <w:szCs w:val="28"/>
        </w:rPr>
        <w:t>22.</w:t>
      </w:r>
      <w:r>
        <w:rPr>
          <w:rFonts w:hint="eastAsia" w:ascii="宋体" w:hAnsi="宋体"/>
          <w:color w:val="auto"/>
          <w:spacing w:val="68"/>
          <w:kern w:val="0"/>
          <w:sz w:val="28"/>
          <w:szCs w:val="28"/>
        </w:rPr>
        <w:t xml:space="preserve"> </w:t>
      </w:r>
      <w:r>
        <w:rPr>
          <w:rFonts w:hint="eastAsia" w:ascii="宋体" w:hAnsi="宋体"/>
          <w:color w:val="auto"/>
          <w:kern w:val="0"/>
          <w:sz w:val="28"/>
          <w:szCs w:val="28"/>
        </w:rPr>
        <w:t>违约</w:t>
      </w:r>
    </w:p>
    <w:p w14:paraId="59222ABB">
      <w:pPr>
        <w:kinsoku w:val="0"/>
        <w:overflowPunct w:val="0"/>
        <w:autoSpaceDE w:val="0"/>
        <w:autoSpaceDN w:val="0"/>
        <w:spacing w:line="240" w:lineRule="auto"/>
        <w:jc w:val="left"/>
        <w:rPr>
          <w:rFonts w:hint="eastAsia" w:ascii="宋体" w:hAnsi="宋体"/>
          <w:color w:val="auto"/>
          <w:kern w:val="0"/>
          <w:sz w:val="24"/>
          <w:szCs w:val="22"/>
        </w:rPr>
      </w:pPr>
      <w:bookmarkStart w:id="124" w:name="bookmark248"/>
      <w:bookmarkEnd w:id="124"/>
      <w:r>
        <w:rPr>
          <w:rFonts w:hint="eastAsia" w:ascii="宋体" w:hAnsi="宋体"/>
          <w:color w:val="auto"/>
          <w:kern w:val="0"/>
          <w:sz w:val="24"/>
          <w:szCs w:val="22"/>
        </w:rPr>
        <w:t>22.1</w:t>
      </w:r>
      <w:r>
        <w:rPr>
          <w:rFonts w:hint="eastAsia" w:ascii="宋体" w:hAnsi="宋体"/>
          <w:color w:val="auto"/>
          <w:spacing w:val="59"/>
          <w:kern w:val="0"/>
          <w:sz w:val="24"/>
          <w:szCs w:val="22"/>
        </w:rPr>
        <w:t xml:space="preserve"> </w:t>
      </w:r>
      <w:r>
        <w:rPr>
          <w:rFonts w:hint="eastAsia" w:ascii="宋体" w:hAnsi="宋体"/>
          <w:color w:val="auto"/>
          <w:kern w:val="0"/>
          <w:sz w:val="24"/>
          <w:szCs w:val="22"/>
        </w:rPr>
        <w:t>承包人违约</w:t>
      </w:r>
    </w:p>
    <w:p w14:paraId="4EFC053B">
      <w:pPr>
        <w:kinsoku w:val="0"/>
        <w:overflowPunct w:val="0"/>
        <w:autoSpaceDE w:val="0"/>
        <w:autoSpaceDN w:val="0"/>
        <w:spacing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22.1.1  承包人违约的情形</w:t>
      </w:r>
    </w:p>
    <w:p w14:paraId="42488CF5">
      <w:pPr>
        <w:kinsoku w:val="0"/>
        <w:overflowPunct w:val="0"/>
        <w:autoSpaceDE w:val="0"/>
        <w:autoSpaceDN w:val="0"/>
        <w:spacing w:before="68"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本项（2）目细化为：</w:t>
      </w:r>
    </w:p>
    <w:p w14:paraId="69FA68C7">
      <w:pPr>
        <w:kinsoku w:val="0"/>
        <w:overflowPunct w:val="0"/>
        <w:autoSpaceDE w:val="0"/>
        <w:autoSpaceDN w:val="0"/>
        <w:spacing w:before="66"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（2）承包人违反第</w:t>
      </w:r>
      <w:r>
        <w:rPr>
          <w:rFonts w:hint="eastAsia" w:ascii="宋体" w:hAnsi="宋体"/>
          <w:color w:val="auto"/>
          <w:spacing w:val="-51"/>
          <w:kern w:val="0"/>
          <w:sz w:val="24"/>
          <w:szCs w:val="22"/>
        </w:rPr>
        <w:t xml:space="preserve"> </w:t>
      </w:r>
      <w:r>
        <w:rPr>
          <w:rFonts w:hint="eastAsia" w:ascii="宋体" w:hAnsi="宋体"/>
          <w:color w:val="auto"/>
          <w:kern w:val="0"/>
          <w:sz w:val="24"/>
          <w:szCs w:val="22"/>
        </w:rPr>
        <w:t>5.3</w:t>
      </w:r>
      <w:r>
        <w:rPr>
          <w:rFonts w:hint="eastAsia" w:ascii="宋体" w:hAnsi="宋体"/>
          <w:color w:val="auto"/>
          <w:spacing w:val="8"/>
          <w:kern w:val="0"/>
          <w:sz w:val="24"/>
          <w:szCs w:val="22"/>
        </w:rPr>
        <w:t xml:space="preserve"> </w:t>
      </w:r>
      <w:r>
        <w:rPr>
          <w:rFonts w:hint="eastAsia" w:ascii="宋体" w:hAnsi="宋体"/>
          <w:color w:val="auto"/>
          <w:kern w:val="0"/>
          <w:sz w:val="24"/>
          <w:szCs w:val="22"/>
        </w:rPr>
        <w:t>款或第</w:t>
      </w:r>
      <w:r>
        <w:rPr>
          <w:rFonts w:hint="eastAsia" w:ascii="宋体" w:hAnsi="宋体"/>
          <w:color w:val="auto"/>
          <w:spacing w:val="-52"/>
          <w:kern w:val="0"/>
          <w:sz w:val="24"/>
          <w:szCs w:val="22"/>
        </w:rPr>
        <w:t xml:space="preserve"> </w:t>
      </w:r>
      <w:r>
        <w:rPr>
          <w:rFonts w:hint="eastAsia" w:ascii="宋体" w:hAnsi="宋体"/>
          <w:color w:val="auto"/>
          <w:kern w:val="0"/>
          <w:sz w:val="24"/>
          <w:szCs w:val="22"/>
        </w:rPr>
        <w:t>6.4</w:t>
      </w:r>
      <w:r>
        <w:rPr>
          <w:rFonts w:hint="eastAsia" w:ascii="宋体" w:hAnsi="宋体"/>
          <w:color w:val="auto"/>
          <w:spacing w:val="8"/>
          <w:kern w:val="0"/>
          <w:sz w:val="24"/>
          <w:szCs w:val="22"/>
        </w:rPr>
        <w:t xml:space="preserve"> </w:t>
      </w:r>
      <w:r>
        <w:rPr>
          <w:rFonts w:hint="eastAsia" w:ascii="宋体" w:hAnsi="宋体"/>
          <w:color w:val="auto"/>
          <w:kern w:val="0"/>
          <w:sz w:val="24"/>
          <w:szCs w:val="22"/>
        </w:rPr>
        <w:t>款的约定，未经</w:t>
      </w:r>
      <w:r>
        <w:rPr>
          <w:rFonts w:hint="eastAsia" w:ascii="宋体" w:hAnsi="宋体"/>
          <w:color w:val="auto"/>
          <w:kern w:val="0"/>
          <w:sz w:val="24"/>
          <w:szCs w:val="22"/>
          <w:lang w:val="en-US" w:eastAsia="zh-CN"/>
        </w:rPr>
        <w:t>发包</w:t>
      </w:r>
      <w:r>
        <w:rPr>
          <w:rFonts w:hint="eastAsia" w:ascii="宋体" w:hAnsi="宋体"/>
          <w:color w:val="auto"/>
          <w:kern w:val="0"/>
          <w:sz w:val="24"/>
          <w:szCs w:val="22"/>
        </w:rPr>
        <w:t>人批准，私自将已按合 同约定进入施工场地的施工设备、临时设施、材料或工程设备撤离施工场地；</w:t>
      </w:r>
    </w:p>
    <w:p w14:paraId="6D1A14F5">
      <w:pPr>
        <w:kinsoku w:val="0"/>
        <w:overflowPunct w:val="0"/>
        <w:autoSpaceDE w:val="0"/>
        <w:autoSpaceDN w:val="0"/>
        <w:spacing w:before="36"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本项（7）目细化为：</w:t>
      </w:r>
    </w:p>
    <w:p w14:paraId="155D78D0">
      <w:pPr>
        <w:kinsoku w:val="0"/>
        <w:overflowPunct w:val="0"/>
        <w:autoSpaceDE w:val="0"/>
        <w:autoSpaceDN w:val="0"/>
        <w:spacing w:before="36"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（7）承包人未能按期开工；</w:t>
      </w:r>
    </w:p>
    <w:p w14:paraId="468692E5">
      <w:pPr>
        <w:kinsoku w:val="0"/>
        <w:overflowPunct w:val="0"/>
        <w:autoSpaceDE w:val="0"/>
        <w:autoSpaceDN w:val="0"/>
        <w:spacing w:before="68"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（8）承包人违反第</w:t>
      </w:r>
      <w:r>
        <w:rPr>
          <w:rFonts w:hint="eastAsia" w:ascii="宋体" w:hAnsi="宋体"/>
          <w:color w:val="auto"/>
          <w:spacing w:val="-51"/>
          <w:kern w:val="0"/>
          <w:sz w:val="24"/>
          <w:szCs w:val="22"/>
        </w:rPr>
        <w:t xml:space="preserve"> </w:t>
      </w:r>
      <w:r>
        <w:rPr>
          <w:rFonts w:hint="eastAsia" w:ascii="宋体" w:hAnsi="宋体"/>
          <w:color w:val="auto"/>
          <w:kern w:val="0"/>
          <w:sz w:val="24"/>
          <w:szCs w:val="22"/>
        </w:rPr>
        <w:t>4.6</w:t>
      </w:r>
      <w:r>
        <w:rPr>
          <w:rFonts w:hint="eastAsia" w:ascii="宋体" w:hAnsi="宋体"/>
          <w:color w:val="auto"/>
          <w:spacing w:val="8"/>
          <w:kern w:val="0"/>
          <w:sz w:val="24"/>
          <w:szCs w:val="22"/>
        </w:rPr>
        <w:t xml:space="preserve"> </w:t>
      </w:r>
      <w:r>
        <w:rPr>
          <w:rFonts w:hint="eastAsia" w:ascii="宋体" w:hAnsi="宋体"/>
          <w:color w:val="auto"/>
          <w:kern w:val="0"/>
          <w:sz w:val="24"/>
          <w:szCs w:val="22"/>
        </w:rPr>
        <w:t>款或第</w:t>
      </w:r>
      <w:r>
        <w:rPr>
          <w:rFonts w:hint="eastAsia" w:ascii="宋体" w:hAnsi="宋体"/>
          <w:color w:val="auto"/>
          <w:spacing w:val="-52"/>
          <w:kern w:val="0"/>
          <w:sz w:val="24"/>
          <w:szCs w:val="22"/>
        </w:rPr>
        <w:t xml:space="preserve"> </w:t>
      </w:r>
      <w:r>
        <w:rPr>
          <w:rFonts w:hint="eastAsia" w:ascii="宋体" w:hAnsi="宋体"/>
          <w:color w:val="auto"/>
          <w:kern w:val="0"/>
          <w:sz w:val="24"/>
          <w:szCs w:val="22"/>
        </w:rPr>
        <w:t>6.3</w:t>
      </w:r>
      <w:r>
        <w:rPr>
          <w:rFonts w:hint="eastAsia" w:ascii="宋体" w:hAnsi="宋体"/>
          <w:color w:val="auto"/>
          <w:spacing w:val="8"/>
          <w:kern w:val="0"/>
          <w:sz w:val="24"/>
          <w:szCs w:val="22"/>
        </w:rPr>
        <w:t xml:space="preserve"> </w:t>
      </w:r>
      <w:r>
        <w:rPr>
          <w:rFonts w:hint="eastAsia" w:ascii="宋体" w:hAnsi="宋体"/>
          <w:color w:val="auto"/>
          <w:kern w:val="0"/>
          <w:sz w:val="24"/>
          <w:szCs w:val="22"/>
        </w:rPr>
        <w:t>款的规定，未按承诺或未按发包人的要求及 时配备称职的主要管理人员、技术骨干或关键施工设备；</w:t>
      </w:r>
    </w:p>
    <w:p w14:paraId="74D6A0B3">
      <w:pPr>
        <w:kinsoku w:val="0"/>
        <w:overflowPunct w:val="0"/>
        <w:autoSpaceDE w:val="0"/>
        <w:autoSpaceDN w:val="0"/>
        <w:spacing w:before="34" w:line="240" w:lineRule="auto"/>
        <w:ind w:firstLine="468"/>
        <w:jc w:val="left"/>
        <w:rPr>
          <w:rFonts w:hint="eastAsia" w:ascii="宋体" w:hAnsi="宋体"/>
          <w:color w:val="auto"/>
          <w:spacing w:val="-3"/>
          <w:kern w:val="0"/>
          <w:sz w:val="24"/>
          <w:szCs w:val="22"/>
        </w:rPr>
      </w:pPr>
      <w:r>
        <w:rPr>
          <w:rFonts w:hint="eastAsia" w:ascii="宋体" w:hAnsi="宋体"/>
          <w:color w:val="auto"/>
          <w:spacing w:val="-3"/>
          <w:kern w:val="0"/>
          <w:sz w:val="24"/>
          <w:szCs w:val="22"/>
        </w:rPr>
        <w:t>（9）发包人检查，发现承包人有安全问题或有违反安全管理规章制</w:t>
      </w:r>
      <w:r>
        <w:rPr>
          <w:rFonts w:hint="eastAsia" w:ascii="宋体" w:hAnsi="宋体"/>
          <w:color w:val="auto"/>
          <w:kern w:val="0"/>
          <w:sz w:val="24"/>
          <w:szCs w:val="22"/>
        </w:rPr>
        <w:t xml:space="preserve"> 度的情况；</w:t>
      </w:r>
    </w:p>
    <w:p w14:paraId="6218E4BD">
      <w:pPr>
        <w:kinsoku w:val="0"/>
        <w:overflowPunct w:val="0"/>
        <w:autoSpaceDE w:val="0"/>
        <w:autoSpaceDN w:val="0"/>
        <w:spacing w:before="34"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（10）承包人不按合同约定履行义务的其他情况。</w:t>
      </w:r>
    </w:p>
    <w:p w14:paraId="41FD5BC3">
      <w:pPr>
        <w:kinsoku w:val="0"/>
        <w:overflowPunct w:val="0"/>
        <w:autoSpaceDE w:val="0"/>
        <w:autoSpaceDN w:val="0"/>
        <w:spacing w:before="66" w:line="240" w:lineRule="auto"/>
        <w:ind w:left="614"/>
        <w:jc w:val="left"/>
        <w:rPr>
          <w:rFonts w:hint="eastAsia" w:ascii="宋体" w:hAnsi="宋体"/>
          <w:color w:val="auto"/>
          <w:kern w:val="0"/>
          <w:sz w:val="24"/>
          <w:szCs w:val="22"/>
        </w:rPr>
      </w:pPr>
      <w:r>
        <w:rPr>
          <w:rFonts w:hint="eastAsia" w:ascii="宋体" w:hAnsi="宋体"/>
          <w:color w:val="auto"/>
          <w:kern w:val="0"/>
          <w:sz w:val="24"/>
          <w:szCs w:val="22"/>
        </w:rPr>
        <w:t>22.1.2  对承包人违约的处理</w:t>
      </w:r>
    </w:p>
    <w:p w14:paraId="1A1A055E">
      <w:pPr>
        <w:kinsoku w:val="0"/>
        <w:overflowPunct w:val="0"/>
        <w:autoSpaceDE w:val="0"/>
        <w:autoSpaceDN w:val="0"/>
        <w:spacing w:before="66" w:line="240" w:lineRule="auto"/>
        <w:ind w:left="614"/>
        <w:jc w:val="left"/>
        <w:rPr>
          <w:rFonts w:hint="eastAsia" w:ascii="宋体" w:hAnsi="宋体"/>
          <w:color w:val="auto"/>
          <w:kern w:val="0"/>
          <w:sz w:val="24"/>
          <w:szCs w:val="22"/>
        </w:rPr>
      </w:pPr>
      <w:r>
        <w:rPr>
          <w:rFonts w:hint="eastAsia" w:ascii="宋体" w:hAnsi="宋体"/>
          <w:color w:val="auto"/>
          <w:kern w:val="0"/>
          <w:sz w:val="24"/>
          <w:szCs w:val="22"/>
        </w:rPr>
        <w:t>本项补充：</w:t>
      </w:r>
    </w:p>
    <w:p w14:paraId="3B9458B7">
      <w:pPr>
        <w:kinsoku w:val="0"/>
        <w:overflowPunct w:val="0"/>
        <w:autoSpaceDE w:val="0"/>
        <w:autoSpaceDN w:val="0"/>
        <w:spacing w:before="66" w:line="240" w:lineRule="auto"/>
        <w:ind w:firstLine="464"/>
        <w:jc w:val="left"/>
        <w:rPr>
          <w:rFonts w:hint="eastAsia" w:ascii="宋体" w:hAnsi="宋体"/>
          <w:color w:val="auto"/>
          <w:spacing w:val="-4"/>
          <w:kern w:val="0"/>
          <w:sz w:val="24"/>
          <w:szCs w:val="22"/>
        </w:rPr>
      </w:pPr>
      <w:r>
        <w:rPr>
          <w:rFonts w:hint="eastAsia" w:ascii="宋体" w:hAnsi="宋体"/>
          <w:color w:val="auto"/>
          <w:spacing w:val="-4"/>
          <w:kern w:val="0"/>
          <w:sz w:val="24"/>
          <w:szCs w:val="22"/>
        </w:rPr>
        <w:t>（4）承包人发生第</w:t>
      </w:r>
      <w:r>
        <w:rPr>
          <w:rFonts w:hint="eastAsia" w:ascii="宋体" w:hAnsi="宋体"/>
          <w:color w:val="auto"/>
          <w:spacing w:val="-52"/>
          <w:kern w:val="0"/>
          <w:sz w:val="24"/>
          <w:szCs w:val="22"/>
        </w:rPr>
        <w:t xml:space="preserve"> </w:t>
      </w:r>
      <w:r>
        <w:rPr>
          <w:rFonts w:hint="eastAsia" w:ascii="宋体" w:hAnsi="宋体"/>
          <w:color w:val="auto"/>
          <w:kern w:val="0"/>
          <w:sz w:val="24"/>
          <w:szCs w:val="22"/>
        </w:rPr>
        <w:t>22.1.1</w:t>
      </w:r>
      <w:r>
        <w:rPr>
          <w:rFonts w:hint="eastAsia" w:ascii="宋体" w:hAnsi="宋体"/>
          <w:color w:val="auto"/>
          <w:spacing w:val="8"/>
          <w:kern w:val="0"/>
          <w:sz w:val="24"/>
          <w:szCs w:val="22"/>
        </w:rPr>
        <w:t xml:space="preserve"> </w:t>
      </w:r>
      <w:r>
        <w:rPr>
          <w:rFonts w:hint="eastAsia" w:ascii="宋体" w:hAnsi="宋体"/>
          <w:color w:val="auto"/>
          <w:spacing w:val="-3"/>
          <w:kern w:val="0"/>
          <w:sz w:val="24"/>
          <w:szCs w:val="22"/>
        </w:rPr>
        <w:t>项约定的违约情况时，无论发包人是否解除合同，发</w:t>
      </w:r>
      <w:r>
        <w:rPr>
          <w:rFonts w:hint="eastAsia" w:ascii="宋体" w:hAnsi="宋体"/>
          <w:color w:val="auto"/>
          <w:kern w:val="0"/>
          <w:sz w:val="24"/>
          <w:szCs w:val="22"/>
        </w:rPr>
        <w:t xml:space="preserve"> 包人均有权向承包人课以项目专用合同条款中规定的违约金，并由发包人将其违约</w:t>
      </w:r>
      <w:r>
        <w:rPr>
          <w:rFonts w:hint="eastAsia" w:ascii="宋体" w:hAnsi="宋体"/>
          <w:color w:val="auto"/>
          <w:spacing w:val="-93"/>
          <w:kern w:val="0"/>
          <w:sz w:val="24"/>
          <w:szCs w:val="22"/>
        </w:rPr>
        <w:t xml:space="preserve"> </w:t>
      </w:r>
      <w:r>
        <w:rPr>
          <w:rFonts w:hint="eastAsia" w:ascii="宋体" w:hAnsi="宋体"/>
          <w:color w:val="auto"/>
          <w:kern w:val="0"/>
          <w:sz w:val="24"/>
          <w:szCs w:val="22"/>
        </w:rPr>
        <w:t>行为上报省级交通运输主管部门，作为不良记录纳入公路建设市场信用信息管理系</w:t>
      </w:r>
      <w:r>
        <w:rPr>
          <w:rFonts w:hint="eastAsia" w:ascii="宋体" w:hAnsi="宋体"/>
          <w:color w:val="auto"/>
          <w:spacing w:val="-93"/>
          <w:kern w:val="0"/>
          <w:sz w:val="24"/>
          <w:szCs w:val="22"/>
        </w:rPr>
        <w:t xml:space="preserve"> </w:t>
      </w:r>
      <w:r>
        <w:rPr>
          <w:rFonts w:hint="eastAsia" w:ascii="宋体" w:hAnsi="宋体"/>
          <w:color w:val="auto"/>
          <w:kern w:val="0"/>
          <w:sz w:val="24"/>
          <w:szCs w:val="22"/>
        </w:rPr>
        <w:t>统。</w:t>
      </w:r>
    </w:p>
    <w:p w14:paraId="0D6EE48F">
      <w:pPr>
        <w:kinsoku w:val="0"/>
        <w:overflowPunct w:val="0"/>
        <w:autoSpaceDE w:val="0"/>
        <w:autoSpaceDN w:val="0"/>
        <w:spacing w:line="240" w:lineRule="auto"/>
        <w:jc w:val="left"/>
        <w:rPr>
          <w:rFonts w:hint="eastAsia" w:ascii="宋体" w:hAnsi="宋体"/>
          <w:color w:val="auto"/>
          <w:kern w:val="0"/>
          <w:sz w:val="24"/>
          <w:szCs w:val="22"/>
        </w:rPr>
      </w:pPr>
      <w:bookmarkStart w:id="125" w:name="bookmark249"/>
      <w:bookmarkEnd w:id="125"/>
      <w:r>
        <w:rPr>
          <w:rFonts w:hint="eastAsia" w:ascii="宋体" w:hAnsi="宋体"/>
          <w:color w:val="auto"/>
          <w:kern w:val="0"/>
          <w:sz w:val="24"/>
          <w:szCs w:val="22"/>
        </w:rPr>
        <w:t>22.2</w:t>
      </w:r>
      <w:r>
        <w:rPr>
          <w:rFonts w:hint="eastAsia" w:ascii="宋体" w:hAnsi="宋体"/>
          <w:color w:val="auto"/>
          <w:spacing w:val="59"/>
          <w:kern w:val="0"/>
          <w:sz w:val="24"/>
          <w:szCs w:val="22"/>
        </w:rPr>
        <w:t xml:space="preserve"> </w:t>
      </w:r>
      <w:r>
        <w:rPr>
          <w:rFonts w:hint="eastAsia" w:ascii="宋体" w:hAnsi="宋体"/>
          <w:color w:val="auto"/>
          <w:kern w:val="0"/>
          <w:sz w:val="24"/>
          <w:szCs w:val="22"/>
        </w:rPr>
        <w:t>发包人违约</w:t>
      </w:r>
    </w:p>
    <w:p w14:paraId="347D0A81">
      <w:pPr>
        <w:kinsoku w:val="0"/>
        <w:overflowPunct w:val="0"/>
        <w:autoSpaceDE w:val="0"/>
        <w:autoSpaceDN w:val="0"/>
        <w:spacing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22.2.1 发包人违约的情形</w:t>
      </w:r>
    </w:p>
    <w:p w14:paraId="624D9006">
      <w:pPr>
        <w:kinsoku w:val="0"/>
        <w:overflowPunct w:val="0"/>
        <w:autoSpaceDE w:val="0"/>
        <w:autoSpaceDN w:val="0"/>
        <w:spacing w:before="66"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本项（5）目细化为：</w:t>
      </w:r>
    </w:p>
    <w:p w14:paraId="706A7E72">
      <w:pPr>
        <w:kinsoku w:val="0"/>
        <w:overflowPunct w:val="0"/>
        <w:autoSpaceDE w:val="0"/>
        <w:autoSpaceDN w:val="0"/>
        <w:spacing w:before="68" w:line="240" w:lineRule="auto"/>
        <w:ind w:right="-164" w:rightChars="-78" w:firstLine="468"/>
        <w:jc w:val="left"/>
        <w:rPr>
          <w:rFonts w:hint="eastAsia" w:ascii="宋体" w:hAnsi="宋体"/>
          <w:color w:val="auto"/>
          <w:spacing w:val="-3"/>
          <w:kern w:val="0"/>
          <w:sz w:val="24"/>
          <w:szCs w:val="22"/>
        </w:rPr>
      </w:pPr>
      <w:r>
        <w:rPr>
          <w:rFonts w:hint="eastAsia" w:ascii="宋体" w:hAnsi="宋体"/>
          <w:color w:val="auto"/>
          <w:spacing w:val="-3"/>
          <w:kern w:val="0"/>
          <w:sz w:val="24"/>
          <w:szCs w:val="22"/>
        </w:rPr>
        <w:t>（5）发包人无正当理由不按时返还履约保证金、质量保证金或农民工工资保证</w:t>
      </w:r>
      <w:r>
        <w:rPr>
          <w:rFonts w:hint="eastAsia" w:ascii="宋体" w:hAnsi="宋体"/>
          <w:color w:val="auto"/>
          <w:kern w:val="0"/>
          <w:sz w:val="24"/>
          <w:szCs w:val="22"/>
        </w:rPr>
        <w:t>金的；</w:t>
      </w:r>
    </w:p>
    <w:p w14:paraId="0BB166BD">
      <w:pPr>
        <w:kinsoku w:val="0"/>
        <w:overflowPunct w:val="0"/>
        <w:autoSpaceDE w:val="0"/>
        <w:autoSpaceDN w:val="0"/>
        <w:spacing w:before="68"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（6）发包人不履行合同约定其他义务的。</w:t>
      </w:r>
    </w:p>
    <w:p w14:paraId="23F3D855">
      <w:pPr>
        <w:kinsoku w:val="0"/>
        <w:overflowPunct w:val="0"/>
        <w:autoSpaceDE w:val="0"/>
        <w:autoSpaceDN w:val="0"/>
        <w:spacing w:before="68"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22.2.2  承包人有权暂停施工</w:t>
      </w:r>
    </w:p>
    <w:p w14:paraId="4FF6EA14">
      <w:pPr>
        <w:kinsoku w:val="0"/>
        <w:overflowPunct w:val="0"/>
        <w:autoSpaceDE w:val="0"/>
        <w:autoSpaceDN w:val="0"/>
        <w:spacing w:before="26"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本项细化为：</w:t>
      </w:r>
    </w:p>
    <w:p w14:paraId="45B341D4">
      <w:pPr>
        <w:kinsoku w:val="0"/>
        <w:overflowPunct w:val="0"/>
        <w:autoSpaceDE w:val="0"/>
        <w:autoSpaceDN w:val="0"/>
        <w:spacing w:before="84" w:line="240" w:lineRule="auto"/>
        <w:ind w:right="181" w:firstLine="480"/>
        <w:rPr>
          <w:rFonts w:hint="eastAsia" w:ascii="宋体" w:hAnsi="宋体"/>
          <w:color w:val="auto"/>
          <w:kern w:val="0"/>
          <w:sz w:val="24"/>
          <w:szCs w:val="22"/>
        </w:rPr>
      </w:pPr>
      <w:r>
        <w:rPr>
          <w:rFonts w:hint="eastAsia" w:ascii="宋体" w:hAnsi="宋体"/>
          <w:color w:val="auto"/>
          <w:kern w:val="0"/>
          <w:sz w:val="24"/>
          <w:szCs w:val="22"/>
        </w:rPr>
        <w:t>发包人发生除第</w:t>
      </w:r>
      <w:r>
        <w:rPr>
          <w:rFonts w:hint="eastAsia" w:ascii="宋体" w:hAnsi="宋体"/>
          <w:color w:val="auto"/>
          <w:spacing w:val="24"/>
          <w:kern w:val="0"/>
          <w:sz w:val="24"/>
          <w:szCs w:val="22"/>
        </w:rPr>
        <w:t xml:space="preserve"> </w:t>
      </w:r>
      <w:r>
        <w:rPr>
          <w:rFonts w:hint="eastAsia" w:ascii="宋体" w:hAnsi="宋体"/>
          <w:color w:val="auto"/>
          <w:spacing w:val="-7"/>
          <w:kern w:val="0"/>
          <w:sz w:val="24"/>
          <w:szCs w:val="22"/>
        </w:rPr>
        <w:t>22.2.1（4）、（5）目以外的违约情况时，承包人可向发包人发</w:t>
      </w:r>
      <w:r>
        <w:rPr>
          <w:rFonts w:hint="eastAsia" w:ascii="宋体" w:hAnsi="宋体"/>
          <w:color w:val="auto"/>
          <w:kern w:val="0"/>
          <w:sz w:val="24"/>
          <w:szCs w:val="22"/>
        </w:rPr>
        <w:t xml:space="preserve"> </w:t>
      </w:r>
      <w:r>
        <w:rPr>
          <w:rFonts w:hint="eastAsia" w:ascii="宋体" w:hAnsi="宋体"/>
          <w:color w:val="auto"/>
          <w:spacing w:val="-3"/>
          <w:kern w:val="0"/>
          <w:sz w:val="24"/>
          <w:szCs w:val="22"/>
        </w:rPr>
        <w:t>出通知，要求发包人采取有效措施纠正违约行为。发包人收到承包人通知后的</w:t>
      </w:r>
      <w:r>
        <w:rPr>
          <w:rFonts w:hint="eastAsia" w:ascii="宋体" w:hAnsi="宋体"/>
          <w:color w:val="auto"/>
          <w:spacing w:val="-53"/>
          <w:kern w:val="0"/>
          <w:sz w:val="24"/>
          <w:szCs w:val="22"/>
        </w:rPr>
        <w:t xml:space="preserve"> </w:t>
      </w:r>
      <w:r>
        <w:rPr>
          <w:rFonts w:hint="eastAsia" w:ascii="宋体" w:hAnsi="宋体"/>
          <w:color w:val="auto"/>
          <w:kern w:val="0"/>
          <w:sz w:val="24"/>
          <w:szCs w:val="22"/>
        </w:rPr>
        <w:t>28</w:t>
      </w:r>
      <w:r>
        <w:rPr>
          <w:rFonts w:hint="eastAsia" w:ascii="宋体" w:hAnsi="宋体"/>
          <w:color w:val="auto"/>
          <w:spacing w:val="6"/>
          <w:kern w:val="0"/>
          <w:sz w:val="24"/>
          <w:szCs w:val="22"/>
        </w:rPr>
        <w:t xml:space="preserve"> </w:t>
      </w:r>
      <w:r>
        <w:rPr>
          <w:rFonts w:hint="eastAsia" w:ascii="宋体" w:hAnsi="宋体"/>
          <w:color w:val="auto"/>
          <w:kern w:val="0"/>
          <w:sz w:val="24"/>
          <w:szCs w:val="22"/>
        </w:rPr>
        <w:t>天 内仍不履行合同义务，承包人有权暂停施工，并通知</w:t>
      </w:r>
      <w:r>
        <w:rPr>
          <w:rFonts w:hint="eastAsia" w:ascii="宋体" w:hAnsi="宋体"/>
          <w:color w:val="auto"/>
          <w:kern w:val="0"/>
          <w:sz w:val="24"/>
          <w:szCs w:val="22"/>
          <w:lang w:val="en-US" w:eastAsia="zh-CN"/>
        </w:rPr>
        <w:t>发包</w:t>
      </w:r>
      <w:r>
        <w:rPr>
          <w:rFonts w:hint="eastAsia" w:ascii="宋体" w:hAnsi="宋体"/>
          <w:color w:val="auto"/>
          <w:kern w:val="0"/>
          <w:sz w:val="24"/>
          <w:szCs w:val="22"/>
        </w:rPr>
        <w:t>人，发包人应承担由此增</w:t>
      </w:r>
      <w:r>
        <w:rPr>
          <w:rFonts w:hint="eastAsia" w:ascii="宋体" w:hAnsi="宋体"/>
          <w:color w:val="auto"/>
          <w:spacing w:val="-95"/>
          <w:kern w:val="0"/>
          <w:sz w:val="24"/>
          <w:szCs w:val="22"/>
        </w:rPr>
        <w:t xml:space="preserve"> </w:t>
      </w:r>
      <w:r>
        <w:rPr>
          <w:rFonts w:hint="eastAsia" w:ascii="宋体" w:hAnsi="宋体"/>
          <w:color w:val="auto"/>
          <w:kern w:val="0"/>
          <w:sz w:val="24"/>
          <w:szCs w:val="22"/>
        </w:rPr>
        <w:t>加的费用和（或）工期延误，并支付承包人合理利润。</w:t>
      </w:r>
    </w:p>
    <w:p w14:paraId="5B132332">
      <w:pPr>
        <w:kinsoku w:val="0"/>
        <w:overflowPunct w:val="0"/>
        <w:autoSpaceDE w:val="0"/>
        <w:autoSpaceDN w:val="0"/>
        <w:spacing w:before="31" w:line="240" w:lineRule="auto"/>
        <w:ind w:right="182" w:firstLine="480"/>
        <w:rPr>
          <w:rFonts w:hint="eastAsia" w:ascii="宋体" w:hAnsi="宋体"/>
          <w:color w:val="auto"/>
          <w:kern w:val="0"/>
          <w:sz w:val="24"/>
          <w:szCs w:val="22"/>
        </w:rPr>
      </w:pPr>
      <w:r>
        <w:rPr>
          <w:rFonts w:hint="eastAsia" w:ascii="宋体" w:hAnsi="宋体"/>
          <w:color w:val="auto"/>
          <w:kern w:val="0"/>
          <w:sz w:val="24"/>
          <w:szCs w:val="22"/>
        </w:rPr>
        <w:t>发包人发生第</w:t>
      </w:r>
      <w:r>
        <w:rPr>
          <w:rFonts w:hint="eastAsia" w:ascii="宋体" w:hAnsi="宋体"/>
          <w:color w:val="auto"/>
          <w:spacing w:val="-74"/>
          <w:kern w:val="0"/>
          <w:sz w:val="24"/>
          <w:szCs w:val="22"/>
        </w:rPr>
        <w:t xml:space="preserve"> </w:t>
      </w:r>
      <w:r>
        <w:rPr>
          <w:rFonts w:hint="eastAsia" w:ascii="宋体" w:hAnsi="宋体"/>
          <w:color w:val="auto"/>
          <w:kern w:val="0"/>
          <w:sz w:val="24"/>
          <w:szCs w:val="22"/>
        </w:rPr>
        <w:t xml:space="preserve">22.2.1（5）目的违约情况时，承包人可向发包人发出通知，要求 </w:t>
      </w:r>
      <w:r>
        <w:rPr>
          <w:rFonts w:hint="eastAsia" w:ascii="宋体" w:hAnsi="宋体"/>
          <w:color w:val="auto"/>
          <w:spacing w:val="-3"/>
          <w:kern w:val="0"/>
          <w:sz w:val="24"/>
          <w:szCs w:val="22"/>
        </w:rPr>
        <w:t>发包人采取有效措施纠正违约行为。发包人收到承包人通知后的</w:t>
      </w:r>
      <w:r>
        <w:rPr>
          <w:rFonts w:hint="eastAsia" w:ascii="宋体" w:hAnsi="宋体"/>
          <w:color w:val="auto"/>
          <w:spacing w:val="-60"/>
          <w:kern w:val="0"/>
          <w:sz w:val="24"/>
          <w:szCs w:val="22"/>
        </w:rPr>
        <w:t xml:space="preserve"> </w:t>
      </w:r>
      <w:r>
        <w:rPr>
          <w:rFonts w:hint="eastAsia" w:ascii="宋体" w:hAnsi="宋体"/>
          <w:color w:val="auto"/>
          <w:kern w:val="0"/>
          <w:sz w:val="24"/>
          <w:szCs w:val="22"/>
        </w:rPr>
        <w:t>28 天内仍不返还履 约保证金、质量保证金或农民工工资保证金的，发包人应按项目专用合同条款的约</w:t>
      </w:r>
      <w:r>
        <w:rPr>
          <w:rFonts w:hint="eastAsia" w:ascii="宋体" w:hAnsi="宋体"/>
          <w:color w:val="auto"/>
          <w:spacing w:val="-91"/>
          <w:kern w:val="0"/>
          <w:sz w:val="24"/>
          <w:szCs w:val="22"/>
        </w:rPr>
        <w:t xml:space="preserve"> </w:t>
      </w:r>
      <w:r>
        <w:rPr>
          <w:rFonts w:hint="eastAsia" w:ascii="宋体" w:hAnsi="宋体"/>
          <w:color w:val="auto"/>
          <w:kern w:val="0"/>
          <w:sz w:val="24"/>
          <w:szCs w:val="22"/>
        </w:rPr>
        <w:t>定向承包人支付逾期返还保证金的违约金。</w:t>
      </w:r>
    </w:p>
    <w:p w14:paraId="6725A1D7">
      <w:pPr>
        <w:kinsoku w:val="0"/>
        <w:overflowPunct w:val="0"/>
        <w:autoSpaceDE w:val="0"/>
        <w:autoSpaceDN w:val="0"/>
        <w:spacing w:before="31" w:line="240" w:lineRule="auto"/>
        <w:ind w:right="182" w:firstLine="480"/>
        <w:rPr>
          <w:rFonts w:hint="eastAsia" w:ascii="宋体" w:hAnsi="宋体"/>
          <w:color w:val="auto"/>
          <w:kern w:val="0"/>
          <w:sz w:val="24"/>
          <w:szCs w:val="22"/>
        </w:rPr>
      </w:pPr>
      <w:r>
        <w:rPr>
          <w:rFonts w:hint="eastAsia" w:ascii="宋体" w:hAnsi="宋体"/>
          <w:color w:val="auto"/>
          <w:kern w:val="0"/>
          <w:sz w:val="24"/>
          <w:szCs w:val="22"/>
        </w:rPr>
        <w:t>22.2.4  解除合同后的付款</w:t>
      </w:r>
    </w:p>
    <w:p w14:paraId="215C7374">
      <w:pPr>
        <w:kinsoku w:val="0"/>
        <w:overflowPunct w:val="0"/>
        <w:autoSpaceDE w:val="0"/>
        <w:autoSpaceDN w:val="0"/>
        <w:spacing w:before="31" w:line="240" w:lineRule="auto"/>
        <w:ind w:right="182" w:firstLine="480"/>
        <w:rPr>
          <w:rFonts w:hint="eastAsia" w:ascii="宋体" w:hAnsi="宋体"/>
          <w:color w:val="auto"/>
          <w:kern w:val="0"/>
          <w:sz w:val="24"/>
          <w:szCs w:val="22"/>
        </w:rPr>
      </w:pPr>
      <w:r>
        <w:rPr>
          <w:rFonts w:hint="eastAsia" w:ascii="宋体" w:hAnsi="宋体"/>
          <w:color w:val="auto"/>
          <w:kern w:val="0"/>
          <w:sz w:val="24"/>
          <w:szCs w:val="22"/>
        </w:rPr>
        <w:t>本项（2）目细化为：</w:t>
      </w:r>
    </w:p>
    <w:p w14:paraId="056E3596">
      <w:pPr>
        <w:kinsoku w:val="0"/>
        <w:overflowPunct w:val="0"/>
        <w:autoSpaceDE w:val="0"/>
        <w:autoSpaceDN w:val="0"/>
        <w:spacing w:before="68" w:line="240" w:lineRule="auto"/>
        <w:ind w:right="101" w:firstLine="480"/>
        <w:rPr>
          <w:rFonts w:hint="eastAsia" w:ascii="宋体" w:hAnsi="宋体"/>
          <w:color w:val="auto"/>
          <w:kern w:val="0"/>
          <w:sz w:val="24"/>
          <w:szCs w:val="22"/>
        </w:rPr>
      </w:pPr>
      <w:r>
        <w:rPr>
          <w:rFonts w:hint="eastAsia" w:ascii="宋体" w:hAnsi="宋体"/>
          <w:color w:val="auto"/>
          <w:kern w:val="0"/>
          <w:sz w:val="24"/>
          <w:szCs w:val="22"/>
        </w:rPr>
        <w:t>（2）承包人为该工程施工订购并已付款的材料、工程设备和其他物品的金额。 发包人付款后，该材料、工程设备和其他物品归发包人所有；</w:t>
      </w:r>
    </w:p>
    <w:p w14:paraId="49CFEEFC">
      <w:pPr>
        <w:kinsoku w:val="0"/>
        <w:overflowPunct w:val="0"/>
        <w:autoSpaceDE w:val="0"/>
        <w:autoSpaceDN w:val="0"/>
        <w:spacing w:line="240" w:lineRule="auto"/>
        <w:rPr>
          <w:rFonts w:hint="eastAsia" w:ascii="宋体" w:hAnsi="宋体"/>
          <w:color w:val="auto"/>
          <w:kern w:val="0"/>
          <w:sz w:val="28"/>
          <w:szCs w:val="28"/>
        </w:rPr>
      </w:pPr>
      <w:bookmarkStart w:id="126" w:name="bookmark250"/>
      <w:bookmarkEnd w:id="126"/>
      <w:r>
        <w:rPr>
          <w:rFonts w:hint="eastAsia" w:ascii="宋体" w:hAnsi="宋体"/>
          <w:color w:val="auto"/>
          <w:kern w:val="0"/>
          <w:sz w:val="28"/>
          <w:szCs w:val="28"/>
        </w:rPr>
        <w:t>23.</w:t>
      </w:r>
      <w:r>
        <w:rPr>
          <w:rFonts w:hint="eastAsia" w:ascii="宋体" w:hAnsi="宋体"/>
          <w:color w:val="auto"/>
          <w:spacing w:val="68"/>
          <w:kern w:val="0"/>
          <w:sz w:val="28"/>
          <w:szCs w:val="28"/>
        </w:rPr>
        <w:t xml:space="preserve"> </w:t>
      </w:r>
      <w:r>
        <w:rPr>
          <w:rFonts w:hint="eastAsia" w:ascii="宋体" w:hAnsi="宋体"/>
          <w:color w:val="auto"/>
          <w:kern w:val="0"/>
          <w:sz w:val="28"/>
          <w:szCs w:val="28"/>
        </w:rPr>
        <w:t>索赔</w:t>
      </w:r>
    </w:p>
    <w:p w14:paraId="7565181F">
      <w:pPr>
        <w:kinsoku w:val="0"/>
        <w:overflowPunct w:val="0"/>
        <w:autoSpaceDE w:val="0"/>
        <w:autoSpaceDN w:val="0"/>
        <w:spacing w:line="240" w:lineRule="auto"/>
        <w:rPr>
          <w:rFonts w:hint="eastAsia" w:ascii="宋体" w:hAnsi="宋体"/>
          <w:color w:val="auto"/>
          <w:kern w:val="0"/>
          <w:sz w:val="24"/>
          <w:szCs w:val="22"/>
        </w:rPr>
      </w:pPr>
      <w:bookmarkStart w:id="127" w:name="bookmark251"/>
      <w:bookmarkEnd w:id="127"/>
      <w:r>
        <w:rPr>
          <w:rFonts w:hint="eastAsia" w:ascii="宋体" w:hAnsi="宋体"/>
          <w:color w:val="auto"/>
          <w:kern w:val="0"/>
          <w:sz w:val="24"/>
          <w:szCs w:val="22"/>
        </w:rPr>
        <w:t>23.1</w:t>
      </w:r>
      <w:r>
        <w:rPr>
          <w:rFonts w:hint="eastAsia" w:ascii="宋体" w:hAnsi="宋体"/>
          <w:color w:val="auto"/>
          <w:spacing w:val="59"/>
          <w:kern w:val="0"/>
          <w:sz w:val="24"/>
          <w:szCs w:val="22"/>
        </w:rPr>
        <w:t xml:space="preserve"> </w:t>
      </w:r>
      <w:r>
        <w:rPr>
          <w:rFonts w:hint="eastAsia" w:ascii="宋体" w:hAnsi="宋体"/>
          <w:color w:val="auto"/>
          <w:kern w:val="0"/>
          <w:sz w:val="24"/>
          <w:szCs w:val="22"/>
        </w:rPr>
        <w:t>承包人索赔的提出</w:t>
      </w:r>
    </w:p>
    <w:p w14:paraId="107A1AE3">
      <w:pPr>
        <w:kinsoku w:val="0"/>
        <w:overflowPunct w:val="0"/>
        <w:autoSpaceDE w:val="0"/>
        <w:autoSpaceDN w:val="0"/>
        <w:spacing w:line="240" w:lineRule="auto"/>
        <w:ind w:firstLine="480"/>
        <w:rPr>
          <w:rFonts w:hint="eastAsia" w:ascii="宋体" w:hAnsi="宋体"/>
          <w:color w:val="auto"/>
          <w:kern w:val="0"/>
          <w:sz w:val="24"/>
          <w:szCs w:val="22"/>
        </w:rPr>
      </w:pPr>
      <w:r>
        <w:rPr>
          <w:rFonts w:hint="eastAsia" w:ascii="宋体" w:hAnsi="宋体"/>
          <w:color w:val="auto"/>
          <w:kern w:val="0"/>
          <w:sz w:val="24"/>
          <w:szCs w:val="22"/>
        </w:rPr>
        <w:t>本款第（4）项细化为：</w:t>
      </w:r>
    </w:p>
    <w:p w14:paraId="2D25A8B0">
      <w:pPr>
        <w:kinsoku w:val="0"/>
        <w:overflowPunct w:val="0"/>
        <w:autoSpaceDE w:val="0"/>
        <w:autoSpaceDN w:val="0"/>
        <w:spacing w:before="68" w:line="240" w:lineRule="auto"/>
        <w:ind w:right="183" w:firstLine="480"/>
        <w:rPr>
          <w:rFonts w:hint="eastAsia" w:ascii="宋体" w:hAnsi="宋体"/>
          <w:color w:val="auto"/>
          <w:kern w:val="0"/>
          <w:sz w:val="24"/>
          <w:szCs w:val="22"/>
        </w:rPr>
      </w:pPr>
      <w:r>
        <w:rPr>
          <w:rFonts w:hint="eastAsia" w:ascii="宋体" w:hAnsi="宋体"/>
          <w:color w:val="auto"/>
          <w:kern w:val="0"/>
          <w:sz w:val="24"/>
          <w:szCs w:val="22"/>
        </w:rPr>
        <w:t>（4）在索赔事件影响结束后的 28</w:t>
      </w:r>
      <w:r>
        <w:rPr>
          <w:rFonts w:hint="eastAsia" w:ascii="宋体" w:hAnsi="宋体"/>
          <w:color w:val="auto"/>
          <w:spacing w:val="-26"/>
          <w:kern w:val="0"/>
          <w:sz w:val="24"/>
          <w:szCs w:val="22"/>
        </w:rPr>
        <w:t xml:space="preserve"> </w:t>
      </w:r>
      <w:r>
        <w:rPr>
          <w:rFonts w:hint="eastAsia" w:ascii="宋体" w:hAnsi="宋体"/>
          <w:color w:val="auto"/>
          <w:kern w:val="0"/>
          <w:sz w:val="24"/>
          <w:szCs w:val="22"/>
        </w:rPr>
        <w:t>天内，承包人应向发包人递交最终索赔通知 书，说明最终要求索赔的追加付款金额和（或）延长的工期，并附必要的记录和证</w:t>
      </w:r>
      <w:r>
        <w:rPr>
          <w:rFonts w:hint="eastAsia" w:ascii="宋体" w:hAnsi="宋体"/>
          <w:color w:val="auto"/>
          <w:spacing w:val="-93"/>
          <w:kern w:val="0"/>
          <w:sz w:val="24"/>
          <w:szCs w:val="22"/>
        </w:rPr>
        <w:t xml:space="preserve"> </w:t>
      </w:r>
      <w:r>
        <w:rPr>
          <w:rFonts w:hint="eastAsia" w:ascii="宋体" w:hAnsi="宋体"/>
          <w:color w:val="auto"/>
          <w:kern w:val="0"/>
          <w:sz w:val="24"/>
          <w:szCs w:val="22"/>
        </w:rPr>
        <w:t>明材料。</w:t>
      </w:r>
    </w:p>
    <w:p w14:paraId="0CF2C069">
      <w:pPr>
        <w:kinsoku w:val="0"/>
        <w:overflowPunct w:val="0"/>
        <w:autoSpaceDE w:val="0"/>
        <w:autoSpaceDN w:val="0"/>
        <w:spacing w:line="240" w:lineRule="auto"/>
        <w:rPr>
          <w:rFonts w:hint="eastAsia" w:ascii="宋体" w:hAnsi="宋体"/>
          <w:color w:val="auto"/>
          <w:kern w:val="0"/>
          <w:sz w:val="24"/>
          <w:szCs w:val="22"/>
        </w:rPr>
      </w:pPr>
      <w:bookmarkStart w:id="128" w:name="bookmark252"/>
      <w:bookmarkEnd w:id="128"/>
      <w:r>
        <w:rPr>
          <w:rFonts w:hint="eastAsia" w:ascii="宋体" w:hAnsi="宋体"/>
          <w:color w:val="auto"/>
          <w:kern w:val="0"/>
          <w:sz w:val="24"/>
          <w:szCs w:val="22"/>
        </w:rPr>
        <w:t>23.2</w:t>
      </w:r>
      <w:r>
        <w:rPr>
          <w:rFonts w:hint="eastAsia" w:ascii="宋体" w:hAnsi="宋体"/>
          <w:color w:val="auto"/>
          <w:spacing w:val="59"/>
          <w:kern w:val="0"/>
          <w:sz w:val="24"/>
          <w:szCs w:val="22"/>
        </w:rPr>
        <w:t xml:space="preserve"> </w:t>
      </w:r>
      <w:r>
        <w:rPr>
          <w:rFonts w:hint="eastAsia" w:ascii="宋体" w:hAnsi="宋体"/>
          <w:color w:val="auto"/>
          <w:kern w:val="0"/>
          <w:sz w:val="24"/>
          <w:szCs w:val="22"/>
        </w:rPr>
        <w:t>承包人索赔处理程序</w:t>
      </w:r>
    </w:p>
    <w:p w14:paraId="6BC52FF4">
      <w:pPr>
        <w:kinsoku w:val="0"/>
        <w:overflowPunct w:val="0"/>
        <w:autoSpaceDE w:val="0"/>
        <w:autoSpaceDN w:val="0"/>
        <w:spacing w:line="240" w:lineRule="auto"/>
        <w:ind w:firstLine="480"/>
        <w:jc w:val="left"/>
        <w:rPr>
          <w:rFonts w:hint="eastAsia" w:ascii="宋体" w:hAnsi="宋体"/>
          <w:color w:val="auto"/>
          <w:kern w:val="0"/>
          <w:sz w:val="24"/>
          <w:szCs w:val="22"/>
        </w:rPr>
      </w:pPr>
      <w:r>
        <w:rPr>
          <w:rFonts w:hint="eastAsia" w:ascii="宋体" w:hAnsi="宋体"/>
          <w:color w:val="auto"/>
          <w:kern w:val="0"/>
          <w:sz w:val="24"/>
          <w:szCs w:val="22"/>
        </w:rPr>
        <w:t>本款第（2）项细化为：（2）监理人应按第</w:t>
      </w:r>
      <w:r>
        <w:rPr>
          <w:rFonts w:hint="eastAsia" w:ascii="宋体" w:hAnsi="宋体"/>
          <w:color w:val="auto"/>
          <w:spacing w:val="-75"/>
          <w:kern w:val="0"/>
          <w:sz w:val="24"/>
          <w:szCs w:val="22"/>
        </w:rPr>
        <w:t xml:space="preserve"> </w:t>
      </w:r>
      <w:r>
        <w:rPr>
          <w:rFonts w:hint="eastAsia" w:ascii="宋体" w:hAnsi="宋体"/>
          <w:color w:val="auto"/>
          <w:kern w:val="0"/>
          <w:sz w:val="24"/>
          <w:szCs w:val="22"/>
        </w:rPr>
        <w:t>3.5</w:t>
      </w:r>
      <w:r>
        <w:rPr>
          <w:rFonts w:hint="eastAsia" w:ascii="宋体" w:hAnsi="宋体"/>
          <w:color w:val="auto"/>
          <w:spacing w:val="-15"/>
          <w:kern w:val="0"/>
          <w:sz w:val="24"/>
          <w:szCs w:val="22"/>
        </w:rPr>
        <w:t xml:space="preserve"> </w:t>
      </w:r>
      <w:r>
        <w:rPr>
          <w:rFonts w:hint="eastAsia" w:ascii="宋体" w:hAnsi="宋体"/>
          <w:color w:val="auto"/>
          <w:kern w:val="0"/>
          <w:sz w:val="24"/>
          <w:szCs w:val="22"/>
        </w:rPr>
        <w:t>款商定或确定追加的付款和（或）延长的工期，并在收到上述索赔通知书或有关索赔的进一步证明材料后的</w:t>
      </w:r>
      <w:r>
        <w:rPr>
          <w:rFonts w:hint="eastAsia" w:ascii="宋体" w:hAnsi="宋体"/>
          <w:color w:val="auto"/>
          <w:spacing w:val="-60"/>
          <w:kern w:val="0"/>
          <w:sz w:val="24"/>
          <w:szCs w:val="22"/>
        </w:rPr>
        <w:t xml:space="preserve"> </w:t>
      </w:r>
      <w:r>
        <w:rPr>
          <w:rFonts w:hint="eastAsia" w:ascii="宋体" w:hAnsi="宋体"/>
          <w:color w:val="auto"/>
          <w:kern w:val="0"/>
          <w:sz w:val="24"/>
          <w:szCs w:val="22"/>
        </w:rPr>
        <w:t xml:space="preserve">42 </w:t>
      </w:r>
      <w:r>
        <w:rPr>
          <w:rFonts w:hint="eastAsia" w:ascii="宋体" w:hAnsi="宋体"/>
          <w:color w:val="auto"/>
          <w:spacing w:val="-7"/>
          <w:kern w:val="0"/>
          <w:sz w:val="24"/>
          <w:szCs w:val="22"/>
        </w:rPr>
        <w:t>天内，将索赔处理结果报发</w:t>
      </w:r>
      <w:r>
        <w:rPr>
          <w:rFonts w:hint="eastAsia" w:ascii="宋体" w:hAnsi="宋体"/>
          <w:color w:val="auto"/>
          <w:kern w:val="0"/>
          <w:sz w:val="24"/>
          <w:szCs w:val="22"/>
        </w:rPr>
        <w:t xml:space="preserve"> 包人批准后答复承包人。如果承包人提出的索赔要求未能遵守第</w:t>
      </w:r>
      <w:r>
        <w:rPr>
          <w:rFonts w:hint="eastAsia" w:ascii="宋体" w:hAnsi="宋体"/>
          <w:color w:val="auto"/>
          <w:spacing w:val="-73"/>
          <w:kern w:val="0"/>
          <w:sz w:val="24"/>
          <w:szCs w:val="22"/>
        </w:rPr>
        <w:t xml:space="preserve"> </w:t>
      </w:r>
      <w:r>
        <w:rPr>
          <w:rFonts w:hint="eastAsia" w:ascii="宋体" w:hAnsi="宋体"/>
          <w:color w:val="auto"/>
          <w:spacing w:val="-7"/>
          <w:kern w:val="0"/>
          <w:sz w:val="24"/>
          <w:szCs w:val="22"/>
        </w:rPr>
        <w:t>23.1（2）~（4）项</w:t>
      </w:r>
      <w:r>
        <w:rPr>
          <w:rFonts w:hint="eastAsia" w:ascii="宋体" w:hAnsi="宋体"/>
          <w:color w:val="auto"/>
          <w:kern w:val="0"/>
          <w:sz w:val="24"/>
          <w:szCs w:val="22"/>
        </w:rPr>
        <w:t xml:space="preserve"> 的规定，则承包人只限于索赔由发包人按当时记录予以核实的那部分款额和（或）</w:t>
      </w:r>
      <w:r>
        <w:rPr>
          <w:rFonts w:hint="eastAsia" w:ascii="宋体" w:hAnsi="宋体"/>
          <w:color w:val="auto"/>
          <w:spacing w:val="-91"/>
          <w:kern w:val="0"/>
          <w:sz w:val="24"/>
          <w:szCs w:val="22"/>
        </w:rPr>
        <w:t xml:space="preserve"> </w:t>
      </w:r>
      <w:r>
        <w:rPr>
          <w:rFonts w:hint="eastAsia" w:ascii="宋体" w:hAnsi="宋体"/>
          <w:color w:val="auto"/>
          <w:kern w:val="0"/>
          <w:sz w:val="24"/>
          <w:szCs w:val="22"/>
        </w:rPr>
        <w:t>工期延长天数。</w:t>
      </w:r>
    </w:p>
    <w:p w14:paraId="3BE3206F">
      <w:pPr>
        <w:kinsoku w:val="0"/>
        <w:overflowPunct w:val="0"/>
        <w:autoSpaceDE w:val="0"/>
        <w:autoSpaceDN w:val="0"/>
        <w:spacing w:before="14" w:line="240" w:lineRule="auto"/>
        <w:ind w:right="29"/>
        <w:jc w:val="left"/>
        <w:rPr>
          <w:rFonts w:hint="eastAsia" w:ascii="宋体" w:hAnsi="宋体"/>
          <w:color w:val="auto"/>
          <w:kern w:val="0"/>
          <w:sz w:val="28"/>
          <w:szCs w:val="28"/>
        </w:rPr>
      </w:pPr>
      <w:bookmarkStart w:id="129" w:name="bookmark253"/>
      <w:bookmarkEnd w:id="129"/>
      <w:r>
        <w:rPr>
          <w:rFonts w:hint="eastAsia" w:ascii="宋体" w:hAnsi="宋体"/>
          <w:color w:val="auto"/>
          <w:kern w:val="0"/>
          <w:sz w:val="28"/>
          <w:szCs w:val="28"/>
        </w:rPr>
        <w:t xml:space="preserve">24. </w:t>
      </w:r>
      <w:r>
        <w:rPr>
          <w:rFonts w:hint="eastAsia" w:ascii="宋体" w:hAnsi="宋体"/>
          <w:color w:val="auto"/>
          <w:spacing w:val="1"/>
          <w:kern w:val="0"/>
          <w:sz w:val="28"/>
          <w:szCs w:val="28"/>
        </w:rPr>
        <w:t xml:space="preserve"> </w:t>
      </w:r>
      <w:r>
        <w:rPr>
          <w:rFonts w:hint="eastAsia" w:ascii="宋体" w:hAnsi="宋体"/>
          <w:color w:val="auto"/>
          <w:kern w:val="0"/>
          <w:sz w:val="28"/>
          <w:szCs w:val="28"/>
        </w:rPr>
        <w:t>争议的解决</w:t>
      </w:r>
    </w:p>
    <w:p w14:paraId="69D057AA">
      <w:pPr>
        <w:kinsoku w:val="0"/>
        <w:overflowPunct w:val="0"/>
        <w:autoSpaceDE w:val="0"/>
        <w:autoSpaceDN w:val="0"/>
        <w:spacing w:line="240" w:lineRule="auto"/>
        <w:ind w:right="29"/>
        <w:jc w:val="left"/>
        <w:rPr>
          <w:rFonts w:hint="eastAsia" w:ascii="宋体" w:hAnsi="宋体"/>
          <w:color w:val="auto"/>
          <w:kern w:val="0"/>
          <w:sz w:val="24"/>
          <w:szCs w:val="22"/>
        </w:rPr>
      </w:pPr>
      <w:bookmarkStart w:id="130" w:name="bookmark254"/>
      <w:bookmarkEnd w:id="130"/>
      <w:r>
        <w:rPr>
          <w:rFonts w:hint="eastAsia" w:ascii="宋体" w:hAnsi="宋体"/>
          <w:color w:val="auto"/>
          <w:kern w:val="0"/>
          <w:sz w:val="24"/>
          <w:szCs w:val="22"/>
        </w:rPr>
        <w:t>24.3</w:t>
      </w:r>
      <w:r>
        <w:rPr>
          <w:rFonts w:hint="eastAsia" w:ascii="宋体" w:hAnsi="宋体"/>
          <w:color w:val="auto"/>
          <w:spacing w:val="59"/>
          <w:kern w:val="0"/>
          <w:sz w:val="24"/>
          <w:szCs w:val="22"/>
        </w:rPr>
        <w:t xml:space="preserve"> </w:t>
      </w:r>
      <w:r>
        <w:rPr>
          <w:rFonts w:hint="eastAsia" w:ascii="宋体" w:hAnsi="宋体"/>
          <w:color w:val="auto"/>
          <w:kern w:val="0"/>
          <w:sz w:val="24"/>
          <w:szCs w:val="22"/>
        </w:rPr>
        <w:t>争议评审</w:t>
      </w:r>
    </w:p>
    <w:p w14:paraId="799F00BB">
      <w:pPr>
        <w:kinsoku w:val="0"/>
        <w:overflowPunct w:val="0"/>
        <w:autoSpaceDE w:val="0"/>
        <w:autoSpaceDN w:val="0"/>
        <w:spacing w:line="240" w:lineRule="auto"/>
        <w:ind w:right="29" w:firstLine="480"/>
        <w:jc w:val="left"/>
        <w:rPr>
          <w:rFonts w:hint="eastAsia" w:ascii="宋体" w:hAnsi="宋体"/>
          <w:color w:val="auto"/>
          <w:kern w:val="0"/>
          <w:sz w:val="24"/>
          <w:szCs w:val="22"/>
        </w:rPr>
      </w:pPr>
      <w:r>
        <w:rPr>
          <w:rFonts w:hint="eastAsia" w:ascii="宋体" w:hAnsi="宋体"/>
          <w:color w:val="auto"/>
          <w:kern w:val="0"/>
          <w:sz w:val="24"/>
          <w:szCs w:val="22"/>
        </w:rPr>
        <w:t>第</w:t>
      </w:r>
      <w:r>
        <w:rPr>
          <w:rFonts w:hint="eastAsia" w:ascii="宋体" w:hAnsi="宋体"/>
          <w:color w:val="auto"/>
          <w:spacing w:val="-60"/>
          <w:kern w:val="0"/>
          <w:sz w:val="24"/>
          <w:szCs w:val="22"/>
        </w:rPr>
        <w:t xml:space="preserve"> </w:t>
      </w:r>
      <w:r>
        <w:rPr>
          <w:rFonts w:hint="eastAsia" w:ascii="宋体" w:hAnsi="宋体"/>
          <w:color w:val="auto"/>
          <w:kern w:val="0"/>
          <w:sz w:val="24"/>
          <w:szCs w:val="22"/>
        </w:rPr>
        <w:t>24.3.1 项补充：</w:t>
      </w:r>
    </w:p>
    <w:p w14:paraId="32FEA684">
      <w:pPr>
        <w:kinsoku w:val="0"/>
        <w:overflowPunct w:val="0"/>
        <w:autoSpaceDE w:val="0"/>
        <w:autoSpaceDN w:val="0"/>
        <w:spacing w:before="68" w:line="240" w:lineRule="auto"/>
        <w:ind w:right="103" w:firstLine="480"/>
        <w:rPr>
          <w:rFonts w:hint="eastAsia" w:ascii="宋体" w:hAnsi="宋体"/>
          <w:color w:val="auto"/>
          <w:kern w:val="0"/>
          <w:sz w:val="24"/>
          <w:szCs w:val="22"/>
        </w:rPr>
      </w:pPr>
      <w:r>
        <w:rPr>
          <w:rFonts w:hint="eastAsia" w:ascii="宋体" w:hAnsi="宋体"/>
          <w:color w:val="auto"/>
          <w:kern w:val="0"/>
          <w:sz w:val="24"/>
          <w:szCs w:val="22"/>
        </w:rPr>
        <w:t>争议评审组由</w:t>
      </w:r>
      <w:r>
        <w:rPr>
          <w:rFonts w:hint="eastAsia" w:ascii="宋体" w:hAnsi="宋体"/>
          <w:color w:val="auto"/>
          <w:spacing w:val="-51"/>
          <w:kern w:val="0"/>
          <w:sz w:val="24"/>
          <w:szCs w:val="22"/>
        </w:rPr>
        <w:t xml:space="preserve"> </w:t>
      </w:r>
      <w:r>
        <w:rPr>
          <w:rFonts w:hint="eastAsia" w:ascii="宋体" w:hAnsi="宋体"/>
          <w:color w:val="auto"/>
          <w:kern w:val="0"/>
          <w:sz w:val="24"/>
          <w:szCs w:val="22"/>
        </w:rPr>
        <w:t>3</w:t>
      </w:r>
      <w:r>
        <w:rPr>
          <w:rFonts w:hint="eastAsia" w:ascii="宋体" w:hAnsi="宋体"/>
          <w:color w:val="auto"/>
          <w:spacing w:val="10"/>
          <w:kern w:val="0"/>
          <w:sz w:val="24"/>
          <w:szCs w:val="22"/>
        </w:rPr>
        <w:t xml:space="preserve"> </w:t>
      </w:r>
      <w:r>
        <w:rPr>
          <w:rFonts w:hint="eastAsia" w:ascii="宋体" w:hAnsi="宋体"/>
          <w:color w:val="auto"/>
          <w:kern w:val="0"/>
          <w:sz w:val="24"/>
          <w:szCs w:val="22"/>
        </w:rPr>
        <w:t>人或</w:t>
      </w:r>
      <w:r>
        <w:rPr>
          <w:rFonts w:hint="eastAsia" w:ascii="宋体" w:hAnsi="宋体"/>
          <w:color w:val="auto"/>
          <w:spacing w:val="-51"/>
          <w:kern w:val="0"/>
          <w:sz w:val="24"/>
          <w:szCs w:val="22"/>
        </w:rPr>
        <w:t xml:space="preserve"> </w:t>
      </w:r>
      <w:r>
        <w:rPr>
          <w:rFonts w:hint="eastAsia" w:ascii="宋体" w:hAnsi="宋体"/>
          <w:color w:val="auto"/>
          <w:kern w:val="0"/>
          <w:sz w:val="24"/>
          <w:szCs w:val="22"/>
        </w:rPr>
        <w:t>5</w:t>
      </w:r>
      <w:r>
        <w:rPr>
          <w:rFonts w:hint="eastAsia" w:ascii="宋体" w:hAnsi="宋体"/>
          <w:color w:val="auto"/>
          <w:spacing w:val="7"/>
          <w:kern w:val="0"/>
          <w:sz w:val="24"/>
          <w:szCs w:val="22"/>
        </w:rPr>
        <w:t xml:space="preserve"> </w:t>
      </w:r>
      <w:r>
        <w:rPr>
          <w:rFonts w:hint="eastAsia" w:ascii="宋体" w:hAnsi="宋体"/>
          <w:color w:val="auto"/>
          <w:kern w:val="0"/>
          <w:sz w:val="24"/>
          <w:szCs w:val="22"/>
        </w:rPr>
        <w:t>人组成，专家的聘请方法可由发包人和承包人共同协商 确定，亦可请政府主管部门推荐或通过合同争议调解机构聘请，并经双方认同。争</w:t>
      </w:r>
      <w:r>
        <w:rPr>
          <w:rFonts w:hint="eastAsia" w:ascii="宋体" w:hAnsi="宋体"/>
          <w:color w:val="auto"/>
          <w:spacing w:val="-91"/>
          <w:kern w:val="0"/>
          <w:sz w:val="24"/>
          <w:szCs w:val="22"/>
        </w:rPr>
        <w:t xml:space="preserve"> </w:t>
      </w:r>
      <w:r>
        <w:rPr>
          <w:rFonts w:hint="eastAsia" w:ascii="宋体" w:hAnsi="宋体"/>
          <w:color w:val="auto"/>
          <w:kern w:val="0"/>
          <w:sz w:val="24"/>
          <w:szCs w:val="22"/>
        </w:rPr>
        <w:t>议评审组成员应与合同双方均无利害关系。争议评审组的各项费用由发包人和承包</w:t>
      </w:r>
      <w:r>
        <w:rPr>
          <w:rFonts w:hint="eastAsia" w:ascii="宋体" w:hAnsi="宋体"/>
          <w:color w:val="auto"/>
          <w:spacing w:val="-93"/>
          <w:kern w:val="0"/>
          <w:sz w:val="24"/>
          <w:szCs w:val="22"/>
        </w:rPr>
        <w:t xml:space="preserve"> </w:t>
      </w:r>
      <w:r>
        <w:rPr>
          <w:rFonts w:hint="eastAsia" w:ascii="宋体" w:hAnsi="宋体"/>
          <w:color w:val="auto"/>
          <w:kern w:val="0"/>
          <w:sz w:val="24"/>
          <w:szCs w:val="22"/>
        </w:rPr>
        <w:t>人平均分担。</w:t>
      </w:r>
    </w:p>
    <w:p w14:paraId="4CA29D77">
      <w:pPr>
        <w:kinsoku w:val="0"/>
        <w:overflowPunct w:val="0"/>
        <w:autoSpaceDE w:val="0"/>
        <w:autoSpaceDN w:val="0"/>
        <w:spacing w:line="240" w:lineRule="auto"/>
        <w:ind w:right="29"/>
        <w:jc w:val="left"/>
        <w:rPr>
          <w:rFonts w:hint="eastAsia" w:ascii="宋体" w:hAnsi="宋体"/>
          <w:color w:val="auto"/>
          <w:kern w:val="0"/>
          <w:sz w:val="24"/>
          <w:szCs w:val="22"/>
        </w:rPr>
      </w:pPr>
      <w:r>
        <w:rPr>
          <w:rFonts w:hint="eastAsia" w:ascii="宋体" w:hAnsi="宋体"/>
          <w:color w:val="auto"/>
          <w:kern w:val="0"/>
          <w:sz w:val="24"/>
          <w:szCs w:val="22"/>
        </w:rPr>
        <w:t>本条补充第</w:t>
      </w:r>
      <w:r>
        <w:rPr>
          <w:rFonts w:hint="eastAsia" w:ascii="宋体" w:hAnsi="宋体"/>
          <w:color w:val="auto"/>
          <w:spacing w:val="-57"/>
          <w:kern w:val="0"/>
          <w:sz w:val="24"/>
          <w:szCs w:val="22"/>
        </w:rPr>
        <w:t xml:space="preserve"> </w:t>
      </w:r>
      <w:r>
        <w:rPr>
          <w:rFonts w:hint="eastAsia" w:ascii="宋体" w:hAnsi="宋体"/>
          <w:color w:val="auto"/>
          <w:kern w:val="0"/>
          <w:sz w:val="24"/>
          <w:szCs w:val="22"/>
        </w:rPr>
        <w:t>24.4</w:t>
      </w:r>
      <w:r>
        <w:rPr>
          <w:rFonts w:hint="eastAsia" w:ascii="宋体" w:hAnsi="宋体"/>
          <w:color w:val="auto"/>
          <w:spacing w:val="3"/>
          <w:kern w:val="0"/>
          <w:sz w:val="24"/>
          <w:szCs w:val="22"/>
        </w:rPr>
        <w:t xml:space="preserve"> </w:t>
      </w:r>
      <w:r>
        <w:rPr>
          <w:rFonts w:hint="eastAsia" w:ascii="宋体" w:hAnsi="宋体"/>
          <w:color w:val="auto"/>
          <w:kern w:val="0"/>
          <w:sz w:val="24"/>
          <w:szCs w:val="22"/>
        </w:rPr>
        <w:t>款、第</w:t>
      </w:r>
      <w:r>
        <w:rPr>
          <w:rFonts w:hint="eastAsia" w:ascii="宋体" w:hAnsi="宋体"/>
          <w:color w:val="auto"/>
          <w:spacing w:val="-57"/>
          <w:kern w:val="0"/>
          <w:sz w:val="24"/>
          <w:szCs w:val="22"/>
        </w:rPr>
        <w:t xml:space="preserve"> </w:t>
      </w:r>
      <w:r>
        <w:rPr>
          <w:rFonts w:hint="eastAsia" w:ascii="宋体" w:hAnsi="宋体"/>
          <w:color w:val="auto"/>
          <w:kern w:val="0"/>
          <w:sz w:val="24"/>
          <w:szCs w:val="22"/>
        </w:rPr>
        <w:t>24.5</w:t>
      </w:r>
      <w:r>
        <w:rPr>
          <w:rFonts w:hint="eastAsia" w:ascii="宋体" w:hAnsi="宋体"/>
          <w:color w:val="auto"/>
          <w:spacing w:val="3"/>
          <w:kern w:val="0"/>
          <w:sz w:val="24"/>
          <w:szCs w:val="22"/>
        </w:rPr>
        <w:t xml:space="preserve"> </w:t>
      </w:r>
      <w:r>
        <w:rPr>
          <w:rFonts w:hint="eastAsia" w:ascii="宋体" w:hAnsi="宋体"/>
          <w:color w:val="auto"/>
          <w:spacing w:val="-6"/>
          <w:kern w:val="0"/>
          <w:sz w:val="24"/>
          <w:szCs w:val="22"/>
        </w:rPr>
        <w:t>款（适用于采用仲裁方式最终解决争议的项目）：</w:t>
      </w:r>
    </w:p>
    <w:p w14:paraId="6958D110">
      <w:pPr>
        <w:kinsoku w:val="0"/>
        <w:overflowPunct w:val="0"/>
        <w:autoSpaceDE w:val="0"/>
        <w:autoSpaceDN w:val="0"/>
        <w:spacing w:line="240" w:lineRule="auto"/>
        <w:ind w:right="29"/>
        <w:jc w:val="left"/>
        <w:rPr>
          <w:rFonts w:hint="eastAsia" w:ascii="宋体" w:hAnsi="宋体"/>
          <w:color w:val="auto"/>
          <w:kern w:val="0"/>
          <w:sz w:val="24"/>
          <w:szCs w:val="22"/>
        </w:rPr>
      </w:pPr>
      <w:bookmarkStart w:id="131" w:name="bookmark255"/>
      <w:bookmarkEnd w:id="131"/>
      <w:r>
        <w:rPr>
          <w:rFonts w:hint="eastAsia" w:ascii="宋体" w:hAnsi="宋体"/>
          <w:color w:val="auto"/>
          <w:kern w:val="0"/>
          <w:sz w:val="24"/>
          <w:szCs w:val="22"/>
        </w:rPr>
        <w:t>24.4</w:t>
      </w:r>
      <w:r>
        <w:rPr>
          <w:rFonts w:hint="eastAsia" w:ascii="宋体" w:hAnsi="宋体"/>
          <w:color w:val="auto"/>
          <w:spacing w:val="59"/>
          <w:kern w:val="0"/>
          <w:sz w:val="24"/>
          <w:szCs w:val="22"/>
        </w:rPr>
        <w:t xml:space="preserve"> </w:t>
      </w:r>
      <w:r>
        <w:rPr>
          <w:rFonts w:hint="eastAsia" w:ascii="宋体" w:hAnsi="宋体"/>
          <w:color w:val="auto"/>
          <w:kern w:val="0"/>
          <w:sz w:val="24"/>
          <w:szCs w:val="22"/>
        </w:rPr>
        <w:t>仲裁</w:t>
      </w:r>
    </w:p>
    <w:p w14:paraId="45B5A6B2">
      <w:pPr>
        <w:kinsoku w:val="0"/>
        <w:overflowPunct w:val="0"/>
        <w:autoSpaceDE w:val="0"/>
        <w:autoSpaceDN w:val="0"/>
        <w:spacing w:line="240" w:lineRule="auto"/>
        <w:ind w:right="105" w:firstLine="468"/>
        <w:rPr>
          <w:rFonts w:hint="eastAsia" w:ascii="宋体" w:hAnsi="宋体"/>
          <w:color w:val="auto"/>
          <w:spacing w:val="-3"/>
          <w:kern w:val="0"/>
          <w:sz w:val="24"/>
          <w:szCs w:val="22"/>
        </w:rPr>
      </w:pPr>
      <w:r>
        <w:rPr>
          <w:rFonts w:hint="eastAsia" w:ascii="宋体" w:hAnsi="宋体"/>
          <w:color w:val="auto"/>
          <w:spacing w:val="-3"/>
          <w:kern w:val="0"/>
          <w:sz w:val="24"/>
          <w:szCs w:val="22"/>
        </w:rPr>
        <w:t>（1）对于未能友好解决或未能通过争议评审解决的争议，发包人或承包人任一</w:t>
      </w:r>
      <w:r>
        <w:rPr>
          <w:rFonts w:hint="eastAsia" w:ascii="宋体" w:hAnsi="宋体"/>
          <w:color w:val="auto"/>
          <w:kern w:val="0"/>
          <w:sz w:val="24"/>
          <w:szCs w:val="22"/>
        </w:rPr>
        <w:t xml:space="preserve"> 方均有权提交给第</w:t>
      </w:r>
      <w:r>
        <w:rPr>
          <w:rFonts w:hint="eastAsia" w:ascii="宋体" w:hAnsi="宋体"/>
          <w:color w:val="auto"/>
          <w:spacing w:val="-61"/>
          <w:kern w:val="0"/>
          <w:sz w:val="24"/>
          <w:szCs w:val="22"/>
        </w:rPr>
        <w:t xml:space="preserve"> </w:t>
      </w:r>
      <w:r>
        <w:rPr>
          <w:rFonts w:hint="eastAsia" w:ascii="宋体" w:hAnsi="宋体"/>
          <w:color w:val="auto"/>
          <w:kern w:val="0"/>
          <w:sz w:val="24"/>
          <w:szCs w:val="22"/>
        </w:rPr>
        <w:t>24.1 款约定的仲裁委员会仲裁。</w:t>
      </w:r>
    </w:p>
    <w:p w14:paraId="66F53EF8">
      <w:pPr>
        <w:kinsoku w:val="0"/>
        <w:overflowPunct w:val="0"/>
        <w:autoSpaceDE w:val="0"/>
        <w:autoSpaceDN w:val="0"/>
        <w:spacing w:before="15" w:line="240" w:lineRule="auto"/>
        <w:ind w:right="105" w:firstLine="468"/>
        <w:rPr>
          <w:rFonts w:hint="eastAsia" w:ascii="宋体" w:hAnsi="宋体"/>
          <w:color w:val="auto"/>
          <w:spacing w:val="-3"/>
          <w:kern w:val="0"/>
          <w:sz w:val="24"/>
          <w:szCs w:val="22"/>
        </w:rPr>
      </w:pPr>
      <w:r>
        <w:rPr>
          <w:rFonts w:hint="eastAsia" w:ascii="宋体" w:hAnsi="宋体"/>
          <w:color w:val="auto"/>
          <w:spacing w:val="-3"/>
          <w:kern w:val="0"/>
          <w:sz w:val="24"/>
          <w:szCs w:val="22"/>
        </w:rPr>
        <w:t>（2）仲裁可在交工之前或之后进行，但发包人、承包人各自的义务不</w:t>
      </w:r>
      <w:r>
        <w:rPr>
          <w:rFonts w:hint="eastAsia" w:ascii="宋体" w:hAnsi="宋体"/>
          <w:color w:val="auto"/>
          <w:kern w:val="0"/>
          <w:sz w:val="24"/>
          <w:szCs w:val="22"/>
        </w:rPr>
        <w:t xml:space="preserve"> 得因在工程实施期间进行仲裁而有所改变。如果仲裁是在终止合同的情况下进行，</w:t>
      </w:r>
      <w:r>
        <w:rPr>
          <w:rFonts w:hint="eastAsia" w:ascii="宋体" w:hAnsi="宋体"/>
          <w:color w:val="auto"/>
          <w:spacing w:val="-95"/>
          <w:kern w:val="0"/>
          <w:sz w:val="24"/>
          <w:szCs w:val="22"/>
        </w:rPr>
        <w:t xml:space="preserve"> </w:t>
      </w:r>
      <w:r>
        <w:rPr>
          <w:rFonts w:hint="eastAsia" w:ascii="宋体" w:hAnsi="宋体"/>
          <w:color w:val="auto"/>
          <w:kern w:val="0"/>
          <w:sz w:val="24"/>
          <w:szCs w:val="22"/>
        </w:rPr>
        <w:t>则对合同工程应采取保护措施，措施费由败诉方承担。</w:t>
      </w:r>
    </w:p>
    <w:p w14:paraId="2346D547">
      <w:pPr>
        <w:kinsoku w:val="0"/>
        <w:overflowPunct w:val="0"/>
        <w:autoSpaceDE w:val="0"/>
        <w:autoSpaceDN w:val="0"/>
        <w:spacing w:before="15" w:line="240" w:lineRule="auto"/>
        <w:ind w:right="105" w:firstLine="480"/>
        <w:rPr>
          <w:rFonts w:hint="eastAsia" w:ascii="宋体" w:hAnsi="宋体"/>
          <w:color w:val="auto"/>
          <w:kern w:val="0"/>
          <w:sz w:val="24"/>
          <w:szCs w:val="22"/>
        </w:rPr>
      </w:pPr>
      <w:r>
        <w:rPr>
          <w:rFonts w:hint="eastAsia" w:ascii="宋体" w:hAnsi="宋体"/>
          <w:color w:val="auto"/>
          <w:kern w:val="0"/>
          <w:sz w:val="24"/>
          <w:szCs w:val="22"/>
        </w:rPr>
        <w:t>（3）仲裁裁决是终局性的并对发包人和承包人双方具有约束力。</w:t>
      </w:r>
    </w:p>
    <w:p w14:paraId="1745474C">
      <w:pPr>
        <w:kinsoku w:val="0"/>
        <w:overflowPunct w:val="0"/>
        <w:autoSpaceDE w:val="0"/>
        <w:autoSpaceDN w:val="0"/>
        <w:spacing w:before="15" w:line="240" w:lineRule="auto"/>
        <w:ind w:right="105" w:firstLine="480"/>
        <w:rPr>
          <w:rFonts w:hint="eastAsia" w:ascii="宋体" w:hAnsi="宋体"/>
          <w:color w:val="auto"/>
          <w:kern w:val="0"/>
          <w:sz w:val="24"/>
          <w:szCs w:val="22"/>
        </w:rPr>
      </w:pPr>
      <w:r>
        <w:rPr>
          <w:rFonts w:hint="eastAsia" w:ascii="宋体" w:hAnsi="宋体"/>
          <w:color w:val="auto"/>
          <w:kern w:val="0"/>
          <w:sz w:val="24"/>
          <w:szCs w:val="22"/>
        </w:rPr>
        <w:t>（4）全部仲裁费用应由败诉方承担；或按仲裁委员会裁决的比例分担。</w:t>
      </w:r>
    </w:p>
    <w:p w14:paraId="1C91C445">
      <w:pPr>
        <w:kinsoku w:val="0"/>
        <w:overflowPunct w:val="0"/>
        <w:autoSpaceDE w:val="0"/>
        <w:autoSpaceDN w:val="0"/>
        <w:spacing w:line="240" w:lineRule="auto"/>
        <w:ind w:right="29"/>
        <w:jc w:val="left"/>
        <w:rPr>
          <w:rFonts w:hint="eastAsia" w:ascii="宋体" w:hAnsi="宋体"/>
          <w:color w:val="auto"/>
          <w:kern w:val="0"/>
          <w:sz w:val="24"/>
          <w:szCs w:val="22"/>
        </w:rPr>
      </w:pPr>
      <w:bookmarkStart w:id="132" w:name="bookmark256"/>
      <w:bookmarkEnd w:id="132"/>
      <w:r>
        <w:rPr>
          <w:rFonts w:hint="eastAsia" w:ascii="宋体" w:hAnsi="宋体"/>
          <w:color w:val="auto"/>
          <w:kern w:val="0"/>
          <w:sz w:val="24"/>
          <w:szCs w:val="22"/>
        </w:rPr>
        <w:t>24.5</w:t>
      </w:r>
      <w:r>
        <w:rPr>
          <w:rFonts w:hint="eastAsia" w:ascii="宋体" w:hAnsi="宋体"/>
          <w:color w:val="auto"/>
          <w:spacing w:val="59"/>
          <w:kern w:val="0"/>
          <w:sz w:val="24"/>
          <w:szCs w:val="22"/>
        </w:rPr>
        <w:t xml:space="preserve"> </w:t>
      </w:r>
      <w:r>
        <w:rPr>
          <w:rFonts w:hint="eastAsia" w:ascii="宋体" w:hAnsi="宋体"/>
          <w:color w:val="auto"/>
          <w:kern w:val="0"/>
          <w:sz w:val="24"/>
          <w:szCs w:val="22"/>
        </w:rPr>
        <w:t>仲裁的执行</w:t>
      </w:r>
    </w:p>
    <w:p w14:paraId="4E27DE27">
      <w:pPr>
        <w:kinsoku w:val="0"/>
        <w:overflowPunct w:val="0"/>
        <w:autoSpaceDE w:val="0"/>
        <w:autoSpaceDN w:val="0"/>
        <w:spacing w:line="240" w:lineRule="auto"/>
        <w:ind w:right="29" w:firstLine="468"/>
        <w:jc w:val="left"/>
        <w:rPr>
          <w:rFonts w:hint="eastAsia" w:ascii="宋体" w:hAnsi="宋体"/>
          <w:color w:val="auto"/>
          <w:spacing w:val="-3"/>
          <w:kern w:val="0"/>
          <w:sz w:val="24"/>
          <w:szCs w:val="22"/>
        </w:rPr>
      </w:pPr>
      <w:r>
        <w:rPr>
          <w:rFonts w:hint="eastAsia" w:ascii="宋体" w:hAnsi="宋体"/>
          <w:color w:val="auto"/>
          <w:spacing w:val="-3"/>
          <w:kern w:val="0"/>
          <w:sz w:val="24"/>
          <w:szCs w:val="22"/>
        </w:rPr>
        <w:t>（1）任何一方不履行仲裁机构的裁决的，对方可以向有管辖权的人民法院申请</w:t>
      </w:r>
      <w:r>
        <w:rPr>
          <w:rFonts w:hint="eastAsia" w:ascii="宋体" w:hAnsi="宋体"/>
          <w:color w:val="auto"/>
          <w:kern w:val="0"/>
          <w:sz w:val="24"/>
          <w:szCs w:val="22"/>
        </w:rPr>
        <w:t xml:space="preserve"> 执行。</w:t>
      </w:r>
    </w:p>
    <w:p w14:paraId="527A1FFC">
      <w:pPr>
        <w:autoSpaceDE w:val="0"/>
        <w:autoSpaceDN w:val="0"/>
        <w:spacing w:line="240" w:lineRule="auto"/>
        <w:ind w:left="424" w:right="384" w:firstLine="479"/>
        <w:rPr>
          <w:rFonts w:hint="eastAsia" w:ascii="宋体" w:hAnsi="宋体"/>
          <w:color w:val="auto"/>
          <w:spacing w:val="-3"/>
          <w:kern w:val="0"/>
          <w:sz w:val="24"/>
          <w:szCs w:val="22"/>
        </w:rPr>
      </w:pPr>
      <w:r>
        <w:rPr>
          <w:rFonts w:hint="eastAsia" w:ascii="宋体" w:hAnsi="宋体"/>
          <w:color w:val="auto"/>
          <w:spacing w:val="-3"/>
          <w:kern w:val="0"/>
          <w:sz w:val="24"/>
          <w:szCs w:val="22"/>
        </w:rPr>
        <w:t>（2）任何一方提出证据证明裁决有《中华人民共和国仲裁法》第五十八条规定</w:t>
      </w:r>
      <w:r>
        <w:rPr>
          <w:rFonts w:hint="eastAsia" w:ascii="宋体" w:hAnsi="宋体"/>
          <w:color w:val="auto"/>
          <w:kern w:val="0"/>
          <w:sz w:val="24"/>
          <w:szCs w:val="22"/>
        </w:rPr>
        <w:t xml:space="preserve"> 情形之一的，可以向仲裁委员会所在地的中级人民法院申请撤销裁决。人民法院认</w:t>
      </w:r>
      <w:r>
        <w:rPr>
          <w:rFonts w:hint="eastAsia" w:ascii="宋体" w:hAnsi="宋体"/>
          <w:color w:val="auto"/>
          <w:spacing w:val="-95"/>
          <w:kern w:val="0"/>
          <w:sz w:val="24"/>
          <w:szCs w:val="22"/>
        </w:rPr>
        <w:t xml:space="preserve"> </w:t>
      </w:r>
      <w:r>
        <w:rPr>
          <w:rFonts w:hint="eastAsia" w:ascii="宋体" w:hAnsi="宋体"/>
          <w:color w:val="auto"/>
          <w:kern w:val="0"/>
          <w:sz w:val="24"/>
          <w:szCs w:val="22"/>
        </w:rPr>
        <w:t>定执行该裁决违背社会公共利益的，裁定不予执行。仲裁裁决被人民法院裁定不予</w:t>
      </w:r>
      <w:r>
        <w:rPr>
          <w:rFonts w:hint="eastAsia" w:ascii="宋体" w:hAnsi="宋体"/>
          <w:color w:val="auto"/>
          <w:spacing w:val="-95"/>
          <w:kern w:val="0"/>
          <w:sz w:val="24"/>
          <w:szCs w:val="22"/>
        </w:rPr>
        <w:t xml:space="preserve"> </w:t>
      </w:r>
      <w:r>
        <w:rPr>
          <w:rFonts w:hint="eastAsia" w:ascii="宋体" w:hAnsi="宋体"/>
          <w:color w:val="auto"/>
          <w:kern w:val="0"/>
          <w:sz w:val="24"/>
          <w:szCs w:val="22"/>
        </w:rPr>
        <w:t>执行的，当事人可以根据双方达成的书面仲裁协议重新申请仲裁，也可以向人民法</w:t>
      </w:r>
      <w:r>
        <w:rPr>
          <w:rFonts w:hint="eastAsia" w:ascii="宋体" w:hAnsi="宋体"/>
          <w:color w:val="auto"/>
          <w:spacing w:val="-95"/>
          <w:kern w:val="0"/>
          <w:sz w:val="24"/>
          <w:szCs w:val="22"/>
        </w:rPr>
        <w:t xml:space="preserve"> </w:t>
      </w:r>
      <w:r>
        <w:rPr>
          <w:rFonts w:hint="eastAsia" w:ascii="宋体" w:hAnsi="宋体"/>
          <w:color w:val="auto"/>
          <w:kern w:val="0"/>
          <w:sz w:val="24"/>
          <w:szCs w:val="22"/>
        </w:rPr>
        <w:t>院起诉。</w:t>
      </w:r>
    </w:p>
    <w:p w14:paraId="13D262D1">
      <w:pPr>
        <w:widowControl/>
        <w:spacing w:line="240" w:lineRule="auto"/>
        <w:jc w:val="left"/>
        <w:rPr>
          <w:rFonts w:ascii="黑体" w:hAnsi="黑体" w:eastAsia="黑体"/>
          <w:color w:val="auto"/>
          <w:kern w:val="0"/>
          <w:sz w:val="32"/>
          <w:szCs w:val="32"/>
          <w:lang w:val="zh-CN" w:bidi="zh-CN"/>
        </w:rPr>
      </w:pPr>
      <w:r>
        <w:rPr>
          <w:rFonts w:ascii="黑体" w:hAnsi="黑体" w:eastAsia="黑体"/>
          <w:color w:val="auto"/>
          <w:kern w:val="0"/>
          <w:sz w:val="32"/>
          <w:szCs w:val="32"/>
          <w:lang w:val="zh-CN" w:bidi="zh-CN"/>
        </w:rPr>
        <w:br w:type="page"/>
      </w:r>
    </w:p>
    <w:p w14:paraId="18FC6AB2">
      <w:pPr>
        <w:autoSpaceDE w:val="0"/>
        <w:autoSpaceDN w:val="0"/>
        <w:spacing w:line="240" w:lineRule="auto"/>
        <w:jc w:val="center"/>
        <w:outlineLvl w:val="2"/>
        <w:rPr>
          <w:rFonts w:ascii="黑体" w:hAnsi="黑体" w:eastAsia="黑体"/>
          <w:color w:val="auto"/>
          <w:kern w:val="0"/>
          <w:sz w:val="32"/>
          <w:szCs w:val="32"/>
          <w:lang w:val="zh-CN" w:bidi="zh-CN"/>
        </w:rPr>
      </w:pPr>
      <w:r>
        <w:rPr>
          <w:rFonts w:ascii="黑体" w:hAnsi="黑体" w:eastAsia="黑体"/>
          <w:color w:val="auto"/>
          <w:kern w:val="0"/>
          <w:sz w:val="32"/>
          <w:szCs w:val="32"/>
          <w:lang w:val="zh-CN" w:bidi="zh-CN"/>
        </w:rPr>
        <w:t>B.</w:t>
      </w:r>
      <w:r>
        <w:rPr>
          <w:rFonts w:ascii="黑体" w:hAnsi="黑体" w:eastAsia="黑体"/>
          <w:color w:val="auto"/>
          <w:spacing w:val="77"/>
          <w:kern w:val="0"/>
          <w:sz w:val="32"/>
          <w:szCs w:val="32"/>
          <w:lang w:val="zh-CN" w:bidi="zh-CN"/>
        </w:rPr>
        <w:t xml:space="preserve"> </w:t>
      </w:r>
      <w:r>
        <w:rPr>
          <w:rFonts w:ascii="黑体" w:hAnsi="黑体" w:eastAsia="黑体"/>
          <w:color w:val="auto"/>
          <w:kern w:val="0"/>
          <w:sz w:val="32"/>
          <w:szCs w:val="32"/>
          <w:lang w:val="zh-CN" w:bidi="zh-CN"/>
        </w:rPr>
        <w:t>项目专用合同条款</w:t>
      </w:r>
    </w:p>
    <w:p w14:paraId="52F51652">
      <w:pPr>
        <w:tabs>
          <w:tab w:val="left" w:pos="1080"/>
        </w:tabs>
        <w:spacing w:line="240" w:lineRule="auto"/>
        <w:ind w:firstLine="482"/>
        <w:rPr>
          <w:rFonts w:hint="eastAsia" w:ascii="宋体" w:hAnsi="宋体"/>
          <w:b/>
          <w:color w:val="auto"/>
          <w:sz w:val="24"/>
          <w:szCs w:val="22"/>
        </w:rPr>
      </w:pPr>
      <w:r>
        <w:rPr>
          <w:rFonts w:hint="eastAsia" w:ascii="宋体" w:hAnsi="宋体"/>
          <w:b/>
          <w:color w:val="auto"/>
          <w:sz w:val="24"/>
          <w:szCs w:val="22"/>
        </w:rPr>
        <w:t>说明：</w:t>
      </w:r>
    </w:p>
    <w:p w14:paraId="1D123889">
      <w:pPr>
        <w:tabs>
          <w:tab w:val="left" w:pos="1080"/>
        </w:tabs>
        <w:spacing w:line="240" w:lineRule="auto"/>
        <w:ind w:firstLine="420"/>
        <w:rPr>
          <w:rFonts w:hint="eastAsia" w:ascii="宋体" w:hAnsi="宋体"/>
          <w:color w:val="auto"/>
          <w:szCs w:val="21"/>
        </w:rPr>
      </w:pPr>
      <w:r>
        <w:rPr>
          <w:rFonts w:hint="eastAsia" w:ascii="宋体" w:hAnsi="宋体"/>
          <w:color w:val="auto"/>
          <w:szCs w:val="21"/>
        </w:rPr>
        <w:t>1.招标人在根据《公路工程标准施工招标文件》编制项目招标文件中的“项目专用合同条款”时，可根据招标项目的具体特点和实际需要，对“通用合同条款” 及“公路工程专用合同条款”进行补充和细化，除“通用合同条款”明确“专用合同条款”可做出不同约定以及“公路工程专用合同条款”明确“项目专用合同条款” 可做出不同约定外，补充和细化的内容不得与“通用合同条款”及“公路工程专用 合同条款”强制性规定相抵触。同时，补充、细化或约定的不同内容，不得违反法律、行政法规的强制性规定和平等、自愿、公平和诚实信用原则。</w:t>
      </w:r>
    </w:p>
    <w:p w14:paraId="069CAE71">
      <w:pPr>
        <w:tabs>
          <w:tab w:val="left" w:pos="1080"/>
        </w:tabs>
        <w:spacing w:line="240" w:lineRule="auto"/>
        <w:ind w:firstLine="420"/>
        <w:rPr>
          <w:rFonts w:hint="eastAsia" w:ascii="宋体" w:hAnsi="宋体"/>
          <w:color w:val="auto"/>
          <w:szCs w:val="21"/>
        </w:rPr>
      </w:pPr>
      <w:r>
        <w:rPr>
          <w:rFonts w:hint="eastAsia" w:ascii="宋体" w:hAnsi="宋体"/>
          <w:color w:val="auto"/>
          <w:szCs w:val="21"/>
        </w:rPr>
        <w:t>2.项目专用合同条款的编号应与通用合同条款和公路工程专用合同条款一致。</w:t>
      </w:r>
    </w:p>
    <w:p w14:paraId="09AF712A">
      <w:pPr>
        <w:tabs>
          <w:tab w:val="left" w:pos="1080"/>
        </w:tabs>
        <w:spacing w:line="240" w:lineRule="auto"/>
        <w:ind w:firstLine="420"/>
        <w:rPr>
          <w:rFonts w:hint="eastAsia" w:ascii="宋体" w:hAnsi="宋体"/>
          <w:color w:val="auto"/>
          <w:szCs w:val="21"/>
        </w:rPr>
      </w:pPr>
      <w:r>
        <w:rPr>
          <w:rFonts w:hint="eastAsia" w:ascii="宋体" w:hAnsi="宋体"/>
          <w:color w:val="auto"/>
          <w:szCs w:val="21"/>
        </w:rPr>
        <w:t>3.项目专用合同条款可对下列内容进行补充和细化：</w:t>
      </w:r>
    </w:p>
    <w:p w14:paraId="281C2C96">
      <w:pPr>
        <w:tabs>
          <w:tab w:val="left" w:pos="1080"/>
        </w:tabs>
        <w:spacing w:line="240" w:lineRule="auto"/>
        <w:ind w:firstLine="420"/>
        <w:rPr>
          <w:rFonts w:hint="eastAsia" w:ascii="宋体" w:hAnsi="宋体"/>
          <w:color w:val="auto"/>
          <w:szCs w:val="21"/>
        </w:rPr>
      </w:pPr>
      <w:r>
        <w:rPr>
          <w:rFonts w:hint="eastAsia" w:ascii="宋体" w:hAnsi="宋体"/>
          <w:color w:val="auto"/>
          <w:szCs w:val="21"/>
        </w:rPr>
        <w:t>(1)“通用合同条款”中明确指出“专用合同条款”可对“通用合同条款” 进行修改的内容（在“通用合同条款”中用“应按合同约定”、“应按专用合同条款 约定”“除合同另有约定外”、“除专用合同条款另有约定外”、“在专用合同条款中约定”等多种文字形式表达）；</w:t>
      </w:r>
    </w:p>
    <w:p w14:paraId="5040220A">
      <w:pPr>
        <w:tabs>
          <w:tab w:val="left" w:pos="1080"/>
        </w:tabs>
        <w:spacing w:line="240" w:lineRule="auto"/>
        <w:ind w:firstLine="420"/>
        <w:rPr>
          <w:rFonts w:hint="eastAsia" w:ascii="宋体" w:hAnsi="宋体"/>
          <w:color w:val="auto"/>
          <w:szCs w:val="21"/>
        </w:rPr>
      </w:pPr>
      <w:r>
        <w:rPr>
          <w:rFonts w:hint="eastAsia" w:ascii="宋体" w:hAnsi="宋体"/>
          <w:color w:val="auto"/>
          <w:szCs w:val="21"/>
        </w:rPr>
        <w:t>(2)“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14:paraId="17AC234B">
      <w:pPr>
        <w:snapToGrid w:val="0"/>
        <w:spacing w:after="120" w:line="240" w:lineRule="auto"/>
        <w:ind w:firstLine="619" w:firstLineChars="295"/>
        <w:rPr>
          <w:rFonts w:hint="eastAsia" w:ascii="宋体" w:hAnsi="宋体"/>
          <w:color w:val="auto"/>
          <w:szCs w:val="21"/>
        </w:rPr>
      </w:pPr>
      <w:r>
        <w:rPr>
          <w:rFonts w:hint="eastAsia" w:ascii="宋体" w:hAnsi="宋体"/>
          <w:color w:val="auto"/>
          <w:szCs w:val="21"/>
        </w:rPr>
        <w:t>(3)其他需要补充、细化的内容。</w:t>
      </w:r>
    </w:p>
    <w:p w14:paraId="3CDBA562">
      <w:pPr>
        <w:widowControl/>
        <w:spacing w:line="240" w:lineRule="auto"/>
        <w:jc w:val="left"/>
        <w:rPr>
          <w:rFonts w:ascii="宋体" w:hAnsi="宋体"/>
          <w:color w:val="auto"/>
          <w:kern w:val="0"/>
          <w:sz w:val="22"/>
          <w:szCs w:val="22"/>
          <w:lang w:val="zh-CN" w:bidi="zh-CN"/>
        </w:rPr>
      </w:pPr>
      <w:r>
        <w:rPr>
          <w:rFonts w:ascii="宋体" w:hAnsi="宋体"/>
          <w:color w:val="auto"/>
          <w:kern w:val="0"/>
          <w:sz w:val="22"/>
          <w:szCs w:val="22"/>
          <w:lang w:val="zh-CN" w:bidi="zh-CN"/>
        </w:rPr>
        <w:br w:type="page"/>
      </w:r>
    </w:p>
    <w:p w14:paraId="16FBDE4A">
      <w:pPr>
        <w:autoSpaceDE w:val="0"/>
        <w:autoSpaceDN w:val="0"/>
        <w:spacing w:line="240" w:lineRule="auto"/>
        <w:jc w:val="center"/>
        <w:outlineLvl w:val="2"/>
        <w:rPr>
          <w:rFonts w:ascii="黑体" w:hAnsi="黑体" w:eastAsia="黑体"/>
          <w:color w:val="auto"/>
          <w:kern w:val="0"/>
          <w:sz w:val="32"/>
          <w:szCs w:val="32"/>
          <w:lang w:val="zh-CN" w:bidi="zh-CN"/>
        </w:rPr>
      </w:pPr>
      <w:r>
        <w:rPr>
          <w:rFonts w:ascii="黑体" w:hAnsi="黑体" w:eastAsia="黑体"/>
          <w:color w:val="auto"/>
          <w:kern w:val="0"/>
          <w:sz w:val="32"/>
          <w:szCs w:val="32"/>
          <w:lang w:val="zh-CN" w:bidi="zh-CN"/>
        </w:rPr>
        <w:t>项目专用合同条款数据表</w:t>
      </w:r>
    </w:p>
    <w:p w14:paraId="48C26BE2">
      <w:pPr>
        <w:autoSpaceDE w:val="0"/>
        <w:autoSpaceDN w:val="0"/>
        <w:spacing w:before="3" w:line="240" w:lineRule="auto"/>
        <w:jc w:val="left"/>
        <w:rPr>
          <w:rFonts w:ascii="黑体" w:hAnsi="宋体"/>
          <w:color w:val="auto"/>
          <w:kern w:val="0"/>
          <w:sz w:val="24"/>
          <w:lang w:val="zh-CN" w:bidi="zh-CN"/>
        </w:rPr>
      </w:pPr>
    </w:p>
    <w:p w14:paraId="7B49175A">
      <w:pPr>
        <w:autoSpaceDE w:val="0"/>
        <w:autoSpaceDN w:val="0"/>
        <w:spacing w:line="240" w:lineRule="auto"/>
        <w:ind w:left="426" w:right="384" w:hanging="2"/>
        <w:rPr>
          <w:rFonts w:hint="eastAsia" w:ascii="宋体" w:hAnsi="宋体"/>
          <w:b/>
          <w:color w:val="auto"/>
          <w:szCs w:val="21"/>
        </w:rPr>
      </w:pPr>
      <w:r>
        <w:rPr>
          <w:rFonts w:hint="eastAsia" w:ascii="宋体" w:hAnsi="宋体"/>
          <w:b/>
          <w:color w:val="auto"/>
          <w:szCs w:val="21"/>
        </w:rPr>
        <w:t>说明：</w:t>
      </w:r>
      <w:r>
        <w:rPr>
          <w:rFonts w:hint="eastAsia" w:ascii="宋体" w:hAnsi="宋体"/>
          <w:color w:val="auto"/>
          <w:szCs w:val="21"/>
        </w:rPr>
        <w:t>本数据表是项目专用合同条款中适用于本项目的信息和数据的归纳与提示，是项目专用合同条款的组成部分。第九章“投标文件格式”的投标函附录中的数据（供投标人确认）与本表所列有重复。编写招标文件的单位应仔细校核，不使数据出现差错或不一致</w:t>
      </w:r>
      <w:r>
        <w:rPr>
          <w:rFonts w:hint="eastAsia" w:eastAsia="黑体"/>
          <w:color w:val="auto"/>
          <w:sz w:val="24"/>
        </w:rPr>
        <w:t>。</w:t>
      </w:r>
    </w:p>
    <w:p w14:paraId="32590948">
      <w:pPr>
        <w:autoSpaceDE w:val="0"/>
        <w:autoSpaceDN w:val="0"/>
        <w:spacing w:before="5" w:line="240" w:lineRule="auto"/>
        <w:jc w:val="left"/>
        <w:rPr>
          <w:rFonts w:ascii="宋体" w:hAnsi="宋体"/>
          <w:color w:val="auto"/>
          <w:kern w:val="0"/>
          <w:sz w:val="8"/>
          <w:lang w:val="zh-CN" w:bidi="zh-CN"/>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72"/>
        <w:gridCol w:w="7205"/>
      </w:tblGrid>
      <w:tr w14:paraId="5C199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18" w:type="dxa"/>
            <w:vAlign w:val="center"/>
          </w:tcPr>
          <w:p w14:paraId="674D52BD">
            <w:pPr>
              <w:tabs>
                <w:tab w:val="left" w:pos="1080"/>
              </w:tabs>
              <w:spacing w:line="240" w:lineRule="auto"/>
              <w:jc w:val="center"/>
              <w:rPr>
                <w:rFonts w:hint="eastAsia" w:ascii="宋体" w:hAnsi="宋体"/>
                <w:b/>
                <w:color w:val="auto"/>
                <w:sz w:val="24"/>
                <w:szCs w:val="22"/>
              </w:rPr>
            </w:pPr>
            <w:r>
              <w:rPr>
                <w:rFonts w:hint="eastAsia" w:ascii="宋体" w:hAnsi="宋体"/>
                <w:b/>
                <w:color w:val="auto"/>
                <w:sz w:val="24"/>
                <w:szCs w:val="22"/>
              </w:rPr>
              <w:t>序号</w:t>
            </w:r>
          </w:p>
        </w:tc>
        <w:tc>
          <w:tcPr>
            <w:tcW w:w="1272" w:type="dxa"/>
            <w:vAlign w:val="center"/>
          </w:tcPr>
          <w:p w14:paraId="274E43DD">
            <w:pPr>
              <w:tabs>
                <w:tab w:val="left" w:pos="1080"/>
              </w:tabs>
              <w:spacing w:line="240" w:lineRule="auto"/>
              <w:jc w:val="center"/>
              <w:rPr>
                <w:rFonts w:hint="eastAsia" w:ascii="宋体" w:hAnsi="宋体"/>
                <w:b/>
                <w:color w:val="auto"/>
                <w:sz w:val="24"/>
                <w:szCs w:val="22"/>
              </w:rPr>
            </w:pPr>
            <w:r>
              <w:rPr>
                <w:rFonts w:hint="eastAsia" w:ascii="宋体" w:hAnsi="宋体"/>
                <w:b/>
                <w:color w:val="auto"/>
                <w:sz w:val="24"/>
                <w:szCs w:val="22"/>
              </w:rPr>
              <w:t>条目号</w:t>
            </w:r>
          </w:p>
        </w:tc>
        <w:tc>
          <w:tcPr>
            <w:tcW w:w="7205" w:type="dxa"/>
            <w:vAlign w:val="center"/>
          </w:tcPr>
          <w:p w14:paraId="6E964694">
            <w:pPr>
              <w:tabs>
                <w:tab w:val="left" w:pos="1080"/>
              </w:tabs>
              <w:spacing w:line="240" w:lineRule="auto"/>
              <w:jc w:val="center"/>
              <w:rPr>
                <w:rFonts w:hint="eastAsia" w:ascii="宋体" w:hAnsi="宋体"/>
                <w:b/>
                <w:color w:val="auto"/>
                <w:sz w:val="24"/>
                <w:szCs w:val="22"/>
              </w:rPr>
            </w:pPr>
            <w:r>
              <w:rPr>
                <w:rFonts w:hint="eastAsia" w:ascii="宋体" w:hAnsi="宋体"/>
                <w:b/>
                <w:color w:val="auto"/>
                <w:sz w:val="24"/>
                <w:szCs w:val="22"/>
              </w:rPr>
              <w:t>信 息 或 数 据</w:t>
            </w:r>
          </w:p>
        </w:tc>
      </w:tr>
      <w:tr w14:paraId="588C0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818" w:type="dxa"/>
            <w:vAlign w:val="center"/>
          </w:tcPr>
          <w:p w14:paraId="6F2C938F">
            <w:pPr>
              <w:tabs>
                <w:tab w:val="left" w:pos="1080"/>
              </w:tabs>
              <w:spacing w:line="240" w:lineRule="auto"/>
              <w:jc w:val="center"/>
              <w:rPr>
                <w:rFonts w:hint="eastAsia" w:ascii="宋体" w:hAnsi="宋体"/>
                <w:color w:val="auto"/>
                <w:sz w:val="24"/>
                <w:szCs w:val="22"/>
              </w:rPr>
            </w:pPr>
            <w:r>
              <w:rPr>
                <w:rFonts w:hint="eastAsia" w:ascii="宋体" w:hAnsi="宋体"/>
                <w:color w:val="auto"/>
                <w:sz w:val="24"/>
                <w:szCs w:val="22"/>
              </w:rPr>
              <w:t>1</w:t>
            </w:r>
          </w:p>
        </w:tc>
        <w:tc>
          <w:tcPr>
            <w:tcW w:w="1272" w:type="dxa"/>
            <w:vAlign w:val="center"/>
          </w:tcPr>
          <w:p w14:paraId="7058E73E">
            <w:pPr>
              <w:tabs>
                <w:tab w:val="left" w:pos="1080"/>
              </w:tabs>
              <w:spacing w:line="240" w:lineRule="auto"/>
              <w:jc w:val="center"/>
              <w:rPr>
                <w:rFonts w:hint="eastAsia" w:ascii="宋体" w:hAnsi="宋体"/>
                <w:color w:val="auto"/>
                <w:sz w:val="24"/>
                <w:szCs w:val="22"/>
              </w:rPr>
            </w:pPr>
            <w:r>
              <w:rPr>
                <w:rFonts w:hint="eastAsia" w:ascii="宋体" w:hAnsi="宋体"/>
                <w:color w:val="auto"/>
                <w:sz w:val="24"/>
                <w:szCs w:val="22"/>
              </w:rPr>
              <w:t>1.1.2.2</w:t>
            </w:r>
          </w:p>
        </w:tc>
        <w:tc>
          <w:tcPr>
            <w:tcW w:w="7205" w:type="dxa"/>
            <w:vAlign w:val="center"/>
          </w:tcPr>
          <w:p w14:paraId="5E9D9671">
            <w:pPr>
              <w:topLinePunct/>
              <w:spacing w:line="240" w:lineRule="auto"/>
              <w:ind w:left="6898" w:leftChars="85" w:hanging="6720" w:hangingChars="2800"/>
              <w:jc w:val="left"/>
              <w:rPr>
                <w:rFonts w:hint="eastAsia" w:ascii="宋体" w:hAnsi="宋体"/>
                <w:color w:val="auto"/>
                <w:sz w:val="24"/>
                <w:szCs w:val="22"/>
              </w:rPr>
            </w:pPr>
            <w:r>
              <w:rPr>
                <w:rFonts w:hint="eastAsia" w:ascii="宋体" w:hAnsi="宋体"/>
                <w:color w:val="auto"/>
                <w:sz w:val="24"/>
                <w:szCs w:val="22"/>
              </w:rPr>
              <w:t xml:space="preserve">招 标 人：广西壮族自治区那坡公路养护中心        </w:t>
            </w:r>
          </w:p>
          <w:p w14:paraId="79754435">
            <w:pPr>
              <w:topLinePunct/>
              <w:spacing w:line="240" w:lineRule="auto"/>
              <w:ind w:left="6898" w:leftChars="85" w:hanging="6720" w:hangingChars="2800"/>
              <w:rPr>
                <w:rFonts w:hint="eastAsia" w:ascii="宋体" w:hAnsi="宋体"/>
                <w:color w:val="auto"/>
                <w:sz w:val="24"/>
                <w:szCs w:val="22"/>
              </w:rPr>
            </w:pPr>
            <w:r>
              <w:rPr>
                <w:rFonts w:hint="eastAsia" w:ascii="宋体" w:hAnsi="宋体"/>
                <w:color w:val="auto"/>
                <w:sz w:val="24"/>
                <w:szCs w:val="22"/>
              </w:rPr>
              <w:t>地    址：百色市那坡县那中路1号</w:t>
            </w:r>
          </w:p>
          <w:p w14:paraId="4AC7471B">
            <w:pPr>
              <w:topLinePunct/>
              <w:spacing w:line="240" w:lineRule="auto"/>
              <w:ind w:left="6898" w:leftChars="85" w:hanging="6720" w:hangingChars="2800"/>
              <w:rPr>
                <w:rFonts w:hint="eastAsia" w:ascii="宋体" w:hAnsi="宋体"/>
                <w:color w:val="auto"/>
                <w:sz w:val="24"/>
                <w:szCs w:val="22"/>
              </w:rPr>
            </w:pPr>
            <w:r>
              <w:rPr>
                <w:rFonts w:hint="eastAsia" w:ascii="宋体" w:hAnsi="宋体"/>
                <w:color w:val="auto"/>
                <w:sz w:val="24"/>
                <w:szCs w:val="22"/>
              </w:rPr>
              <w:t>邮政编码：533999</w:t>
            </w:r>
          </w:p>
        </w:tc>
      </w:tr>
      <w:tr w14:paraId="0D741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818" w:type="dxa"/>
            <w:vAlign w:val="center"/>
          </w:tcPr>
          <w:p w14:paraId="0F9C8239">
            <w:pPr>
              <w:tabs>
                <w:tab w:val="left" w:pos="1080"/>
              </w:tabs>
              <w:spacing w:line="240" w:lineRule="auto"/>
              <w:jc w:val="center"/>
              <w:rPr>
                <w:rFonts w:hint="eastAsia" w:ascii="宋体" w:hAnsi="宋体"/>
                <w:color w:val="auto"/>
                <w:sz w:val="24"/>
                <w:szCs w:val="22"/>
              </w:rPr>
            </w:pPr>
            <w:r>
              <w:rPr>
                <w:rFonts w:hint="eastAsia" w:ascii="宋体" w:hAnsi="宋体"/>
                <w:color w:val="auto"/>
                <w:sz w:val="24"/>
                <w:szCs w:val="22"/>
              </w:rPr>
              <w:t>2</w:t>
            </w:r>
          </w:p>
        </w:tc>
        <w:tc>
          <w:tcPr>
            <w:tcW w:w="1272" w:type="dxa"/>
            <w:vAlign w:val="center"/>
          </w:tcPr>
          <w:p w14:paraId="1957DF94">
            <w:pPr>
              <w:tabs>
                <w:tab w:val="left" w:pos="1080"/>
              </w:tabs>
              <w:spacing w:line="240" w:lineRule="auto"/>
              <w:jc w:val="center"/>
              <w:rPr>
                <w:rFonts w:hint="eastAsia" w:ascii="宋体" w:hAnsi="宋体"/>
                <w:color w:val="auto"/>
                <w:sz w:val="24"/>
                <w:szCs w:val="22"/>
              </w:rPr>
            </w:pPr>
            <w:r>
              <w:rPr>
                <w:rFonts w:hint="eastAsia" w:ascii="宋体" w:hAnsi="宋体"/>
                <w:color w:val="auto"/>
                <w:sz w:val="24"/>
                <w:szCs w:val="22"/>
              </w:rPr>
              <w:t>1.1.2.6</w:t>
            </w:r>
          </w:p>
        </w:tc>
        <w:tc>
          <w:tcPr>
            <w:tcW w:w="7205" w:type="dxa"/>
            <w:vAlign w:val="center"/>
          </w:tcPr>
          <w:p w14:paraId="703CD3AC">
            <w:pPr>
              <w:tabs>
                <w:tab w:val="left" w:pos="1080"/>
              </w:tabs>
              <w:spacing w:line="240" w:lineRule="auto"/>
              <w:ind w:firstLine="228" w:firstLineChars="95"/>
              <w:jc w:val="left"/>
              <w:rPr>
                <w:rFonts w:hint="eastAsia" w:ascii="宋体" w:hAnsi="宋体"/>
                <w:color w:val="auto"/>
                <w:sz w:val="24"/>
                <w:szCs w:val="22"/>
              </w:rPr>
            </w:pPr>
            <w:r>
              <w:rPr>
                <w:rFonts w:hint="eastAsia" w:ascii="宋体" w:hAnsi="宋体"/>
                <w:color w:val="auto"/>
                <w:sz w:val="24"/>
                <w:szCs w:val="22"/>
              </w:rPr>
              <w:t>监 理 人：待定</w:t>
            </w:r>
          </w:p>
          <w:p w14:paraId="41DF02F8">
            <w:pPr>
              <w:tabs>
                <w:tab w:val="left" w:pos="1080"/>
              </w:tabs>
              <w:spacing w:line="240" w:lineRule="auto"/>
              <w:ind w:firstLine="228" w:firstLineChars="95"/>
              <w:jc w:val="left"/>
              <w:rPr>
                <w:rFonts w:hint="eastAsia" w:ascii="宋体" w:hAnsi="宋体"/>
                <w:color w:val="auto"/>
                <w:sz w:val="24"/>
                <w:szCs w:val="22"/>
              </w:rPr>
            </w:pPr>
            <w:r>
              <w:rPr>
                <w:rFonts w:hint="eastAsia" w:ascii="宋体" w:hAnsi="宋体"/>
                <w:color w:val="auto"/>
                <w:sz w:val="24"/>
                <w:szCs w:val="22"/>
              </w:rPr>
              <w:t>地    址：待定                   邮政编码：待定</w:t>
            </w:r>
          </w:p>
        </w:tc>
      </w:tr>
      <w:tr w14:paraId="25C12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18" w:type="dxa"/>
            <w:vAlign w:val="center"/>
          </w:tcPr>
          <w:p w14:paraId="04D8FC1E">
            <w:pPr>
              <w:tabs>
                <w:tab w:val="left" w:pos="1080"/>
              </w:tabs>
              <w:spacing w:line="240" w:lineRule="auto"/>
              <w:jc w:val="center"/>
              <w:rPr>
                <w:rFonts w:hint="eastAsia" w:ascii="宋体" w:hAnsi="宋体"/>
                <w:color w:val="auto"/>
                <w:sz w:val="24"/>
                <w:szCs w:val="22"/>
              </w:rPr>
            </w:pPr>
            <w:r>
              <w:rPr>
                <w:rFonts w:hint="eastAsia" w:ascii="宋体" w:hAnsi="宋体"/>
                <w:color w:val="auto"/>
                <w:sz w:val="24"/>
                <w:szCs w:val="22"/>
              </w:rPr>
              <w:t>3</w:t>
            </w:r>
          </w:p>
        </w:tc>
        <w:tc>
          <w:tcPr>
            <w:tcW w:w="1272" w:type="dxa"/>
            <w:vAlign w:val="center"/>
          </w:tcPr>
          <w:p w14:paraId="01D5EAEF">
            <w:pPr>
              <w:tabs>
                <w:tab w:val="left" w:pos="1080"/>
              </w:tabs>
              <w:spacing w:line="240" w:lineRule="auto"/>
              <w:jc w:val="center"/>
              <w:rPr>
                <w:rFonts w:hint="eastAsia" w:ascii="宋体" w:hAnsi="宋体"/>
                <w:color w:val="auto"/>
                <w:sz w:val="24"/>
                <w:szCs w:val="22"/>
              </w:rPr>
            </w:pPr>
            <w:r>
              <w:rPr>
                <w:rFonts w:hint="eastAsia" w:ascii="宋体" w:hAnsi="宋体"/>
                <w:color w:val="auto"/>
                <w:sz w:val="24"/>
                <w:szCs w:val="22"/>
              </w:rPr>
              <w:t>1.1.4.5</w:t>
            </w:r>
          </w:p>
        </w:tc>
        <w:tc>
          <w:tcPr>
            <w:tcW w:w="7205" w:type="dxa"/>
            <w:vAlign w:val="center"/>
          </w:tcPr>
          <w:p w14:paraId="0958C514">
            <w:pPr>
              <w:tabs>
                <w:tab w:val="left" w:pos="1080"/>
              </w:tabs>
              <w:spacing w:line="240" w:lineRule="auto"/>
              <w:ind w:firstLine="228" w:firstLineChars="95"/>
              <w:jc w:val="left"/>
              <w:rPr>
                <w:rFonts w:hint="eastAsia" w:ascii="宋体" w:hAnsi="宋体"/>
                <w:color w:val="auto"/>
                <w:sz w:val="24"/>
                <w:szCs w:val="22"/>
              </w:rPr>
            </w:pPr>
            <w:r>
              <w:rPr>
                <w:rFonts w:hint="eastAsia" w:ascii="宋体" w:hAnsi="宋体"/>
                <w:color w:val="auto"/>
                <w:sz w:val="24"/>
                <w:szCs w:val="22"/>
              </w:rPr>
              <w:t>缺陷责任期：自实际交工日期起计算</w:t>
            </w:r>
            <w:r>
              <w:rPr>
                <w:rFonts w:hint="eastAsia" w:ascii="宋体" w:hAnsi="宋体"/>
                <w:color w:val="auto"/>
                <w:sz w:val="24"/>
                <w:szCs w:val="22"/>
                <w:lang w:val="en-US" w:eastAsia="zh-CN"/>
              </w:rPr>
              <w:t>12</w:t>
            </w:r>
            <w:r>
              <w:rPr>
                <w:rFonts w:hint="eastAsia" w:ascii="宋体" w:hAnsi="宋体"/>
                <w:color w:val="auto"/>
                <w:sz w:val="24"/>
                <w:szCs w:val="22"/>
              </w:rPr>
              <w:t>个月。</w:t>
            </w:r>
          </w:p>
        </w:tc>
      </w:tr>
      <w:tr w14:paraId="737EF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18" w:type="dxa"/>
            <w:vAlign w:val="center"/>
          </w:tcPr>
          <w:p w14:paraId="6DD529D5">
            <w:pPr>
              <w:tabs>
                <w:tab w:val="left" w:pos="1080"/>
              </w:tabs>
              <w:spacing w:line="240" w:lineRule="auto"/>
              <w:jc w:val="center"/>
              <w:rPr>
                <w:rFonts w:hint="eastAsia" w:ascii="宋体" w:hAnsi="宋体"/>
                <w:color w:val="auto"/>
                <w:sz w:val="24"/>
                <w:szCs w:val="22"/>
              </w:rPr>
            </w:pPr>
            <w:r>
              <w:rPr>
                <w:rFonts w:hint="eastAsia" w:ascii="宋体" w:hAnsi="宋体"/>
                <w:color w:val="auto"/>
                <w:sz w:val="24"/>
                <w:szCs w:val="22"/>
              </w:rPr>
              <w:t>4</w:t>
            </w:r>
          </w:p>
        </w:tc>
        <w:tc>
          <w:tcPr>
            <w:tcW w:w="1272" w:type="dxa"/>
            <w:vAlign w:val="center"/>
          </w:tcPr>
          <w:p w14:paraId="5EAEEC3E">
            <w:pPr>
              <w:tabs>
                <w:tab w:val="left" w:pos="1080"/>
              </w:tabs>
              <w:spacing w:line="240" w:lineRule="auto"/>
              <w:jc w:val="center"/>
              <w:rPr>
                <w:rFonts w:hint="eastAsia" w:ascii="宋体" w:hAnsi="宋体"/>
                <w:color w:val="auto"/>
                <w:sz w:val="24"/>
                <w:szCs w:val="22"/>
              </w:rPr>
            </w:pPr>
            <w:r>
              <w:rPr>
                <w:rFonts w:hint="eastAsia" w:ascii="宋体" w:hAnsi="宋体"/>
                <w:color w:val="auto"/>
                <w:sz w:val="24"/>
                <w:szCs w:val="22"/>
              </w:rPr>
              <w:t>1.6.3</w:t>
            </w:r>
          </w:p>
        </w:tc>
        <w:tc>
          <w:tcPr>
            <w:tcW w:w="7205" w:type="dxa"/>
            <w:vAlign w:val="center"/>
          </w:tcPr>
          <w:p w14:paraId="16CBB510">
            <w:pPr>
              <w:tabs>
                <w:tab w:val="left" w:pos="1080"/>
              </w:tabs>
              <w:spacing w:line="240" w:lineRule="auto"/>
              <w:jc w:val="left"/>
              <w:rPr>
                <w:rFonts w:hint="eastAsia" w:ascii="宋体" w:hAnsi="宋体"/>
                <w:color w:val="auto"/>
                <w:sz w:val="24"/>
                <w:szCs w:val="22"/>
              </w:rPr>
            </w:pPr>
            <w:r>
              <w:rPr>
                <w:rFonts w:hint="eastAsia" w:ascii="宋体" w:hAnsi="宋体"/>
                <w:color w:val="auto"/>
                <w:sz w:val="24"/>
                <w:szCs w:val="22"/>
              </w:rPr>
              <w:t xml:space="preserve">图纸需要修改和补充的，应由监理人取得发包人同意后，在该工程或工程相应部位施工前 </w:t>
            </w:r>
            <w:r>
              <w:rPr>
                <w:rFonts w:hint="eastAsia" w:ascii="宋体" w:hAnsi="宋体"/>
                <w:b/>
                <w:color w:val="auto"/>
                <w:sz w:val="24"/>
                <w:szCs w:val="22"/>
              </w:rPr>
              <w:t xml:space="preserve">14 </w:t>
            </w:r>
            <w:r>
              <w:rPr>
                <w:rFonts w:hint="eastAsia" w:ascii="宋体" w:hAnsi="宋体"/>
                <w:color w:val="auto"/>
                <w:sz w:val="24"/>
                <w:szCs w:val="22"/>
              </w:rPr>
              <w:t>天签发图纸修改图给承包人</w:t>
            </w:r>
          </w:p>
        </w:tc>
      </w:tr>
      <w:tr w14:paraId="529F9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818" w:type="dxa"/>
            <w:vAlign w:val="center"/>
          </w:tcPr>
          <w:p w14:paraId="50CC0889">
            <w:pPr>
              <w:tabs>
                <w:tab w:val="left" w:pos="1080"/>
              </w:tabs>
              <w:spacing w:line="240" w:lineRule="auto"/>
              <w:jc w:val="center"/>
              <w:rPr>
                <w:rFonts w:hint="eastAsia" w:ascii="宋体" w:hAnsi="宋体"/>
                <w:color w:val="auto"/>
                <w:sz w:val="24"/>
                <w:szCs w:val="22"/>
              </w:rPr>
            </w:pPr>
            <w:r>
              <w:rPr>
                <w:rFonts w:hint="eastAsia" w:ascii="宋体" w:hAnsi="宋体"/>
                <w:color w:val="auto"/>
                <w:sz w:val="24"/>
                <w:szCs w:val="22"/>
              </w:rPr>
              <w:t>5</w:t>
            </w:r>
          </w:p>
        </w:tc>
        <w:tc>
          <w:tcPr>
            <w:tcW w:w="1272" w:type="dxa"/>
            <w:vAlign w:val="center"/>
          </w:tcPr>
          <w:p w14:paraId="424205EE">
            <w:pPr>
              <w:tabs>
                <w:tab w:val="left" w:pos="1080"/>
              </w:tabs>
              <w:spacing w:line="240" w:lineRule="auto"/>
              <w:jc w:val="center"/>
              <w:rPr>
                <w:rFonts w:hint="eastAsia" w:ascii="宋体" w:hAnsi="宋体"/>
                <w:color w:val="auto"/>
                <w:sz w:val="24"/>
                <w:szCs w:val="22"/>
              </w:rPr>
            </w:pPr>
            <w:r>
              <w:rPr>
                <w:rFonts w:hint="eastAsia" w:ascii="宋体" w:hAnsi="宋体"/>
                <w:color w:val="auto"/>
                <w:sz w:val="24"/>
                <w:szCs w:val="22"/>
              </w:rPr>
              <w:t>3.1.1</w:t>
            </w:r>
          </w:p>
        </w:tc>
        <w:tc>
          <w:tcPr>
            <w:tcW w:w="7205" w:type="dxa"/>
            <w:vAlign w:val="center"/>
          </w:tcPr>
          <w:p w14:paraId="5540DB23">
            <w:pPr>
              <w:spacing w:line="240" w:lineRule="auto"/>
              <w:ind w:firstLine="480"/>
              <w:jc w:val="left"/>
              <w:rPr>
                <w:rFonts w:hint="eastAsia" w:ascii="宋体" w:hAnsi="宋体"/>
                <w:color w:val="auto"/>
                <w:sz w:val="24"/>
                <w:szCs w:val="22"/>
              </w:rPr>
            </w:pPr>
            <w:r>
              <w:rPr>
                <w:rFonts w:hint="eastAsia" w:ascii="宋体" w:hAnsi="宋体"/>
                <w:color w:val="auto"/>
                <w:sz w:val="24"/>
                <w:szCs w:val="22"/>
              </w:rPr>
              <w:t>监理人在行使下列权力前需要经发包人事先批准：</w:t>
            </w:r>
          </w:p>
          <w:p w14:paraId="184712EB">
            <w:pPr>
              <w:spacing w:line="240" w:lineRule="auto"/>
              <w:ind w:firstLine="480"/>
              <w:jc w:val="left"/>
              <w:rPr>
                <w:rFonts w:hint="eastAsia" w:ascii="宋体" w:hAnsi="宋体"/>
                <w:color w:val="auto"/>
                <w:sz w:val="24"/>
                <w:szCs w:val="22"/>
              </w:rPr>
            </w:pPr>
            <w:r>
              <w:rPr>
                <w:rFonts w:hint="eastAsia" w:ascii="宋体" w:hAnsi="宋体"/>
                <w:color w:val="auto"/>
                <w:sz w:val="24"/>
                <w:szCs w:val="22"/>
              </w:rPr>
              <w:t>（6）根据第15.3款发出的变更指示，其单项工程变更涉及的金额超过了该单项工程签约合同价的 / %或累计变更超过了签约合同价的 / %（即凡涉及费用调整的均应事先取得发包人的专门批准）</w:t>
            </w:r>
          </w:p>
        </w:tc>
      </w:tr>
      <w:tr w14:paraId="2D75F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18" w:type="dxa"/>
            <w:vAlign w:val="center"/>
          </w:tcPr>
          <w:p w14:paraId="7DFDDE9F">
            <w:pPr>
              <w:tabs>
                <w:tab w:val="left" w:pos="1080"/>
              </w:tabs>
              <w:spacing w:line="240" w:lineRule="auto"/>
              <w:jc w:val="center"/>
              <w:rPr>
                <w:rFonts w:hint="eastAsia" w:ascii="宋体" w:hAnsi="宋体"/>
                <w:color w:val="auto"/>
                <w:sz w:val="24"/>
                <w:szCs w:val="22"/>
              </w:rPr>
            </w:pPr>
            <w:r>
              <w:rPr>
                <w:rFonts w:hint="eastAsia" w:ascii="宋体" w:hAnsi="宋体"/>
                <w:color w:val="auto"/>
                <w:sz w:val="24"/>
                <w:szCs w:val="22"/>
              </w:rPr>
              <w:t>6</w:t>
            </w:r>
          </w:p>
        </w:tc>
        <w:tc>
          <w:tcPr>
            <w:tcW w:w="1272" w:type="dxa"/>
            <w:vAlign w:val="center"/>
          </w:tcPr>
          <w:p w14:paraId="1066A8D6">
            <w:pPr>
              <w:tabs>
                <w:tab w:val="left" w:pos="1080"/>
              </w:tabs>
              <w:spacing w:line="240" w:lineRule="auto"/>
              <w:jc w:val="center"/>
              <w:rPr>
                <w:rFonts w:hint="eastAsia" w:ascii="宋体" w:hAnsi="宋体"/>
                <w:color w:val="auto"/>
                <w:sz w:val="24"/>
                <w:szCs w:val="22"/>
              </w:rPr>
            </w:pPr>
            <w:r>
              <w:rPr>
                <w:rFonts w:hint="eastAsia" w:ascii="宋体" w:hAnsi="宋体"/>
                <w:color w:val="auto"/>
                <w:sz w:val="24"/>
                <w:szCs w:val="22"/>
              </w:rPr>
              <w:t>5.2.1</w:t>
            </w:r>
          </w:p>
        </w:tc>
        <w:tc>
          <w:tcPr>
            <w:tcW w:w="7205" w:type="dxa"/>
            <w:vAlign w:val="center"/>
          </w:tcPr>
          <w:p w14:paraId="35F66C70">
            <w:pPr>
              <w:tabs>
                <w:tab w:val="left" w:pos="1080"/>
              </w:tabs>
              <w:spacing w:line="240" w:lineRule="auto"/>
              <w:ind w:firstLine="480"/>
              <w:jc w:val="left"/>
              <w:rPr>
                <w:rFonts w:hint="eastAsia" w:ascii="宋体" w:hAnsi="宋体"/>
                <w:color w:val="auto"/>
                <w:sz w:val="24"/>
                <w:szCs w:val="22"/>
              </w:rPr>
            </w:pPr>
            <w:r>
              <w:rPr>
                <w:rFonts w:hint="eastAsia" w:ascii="宋体" w:hAnsi="宋体"/>
                <w:color w:val="auto"/>
                <w:sz w:val="24"/>
                <w:szCs w:val="22"/>
              </w:rPr>
              <w:t>发包人是否提供材料或施工设备：工程部分材料（道路口标柱等）</w:t>
            </w:r>
          </w:p>
        </w:tc>
      </w:tr>
      <w:tr w14:paraId="491E4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8" w:type="dxa"/>
            <w:vAlign w:val="center"/>
          </w:tcPr>
          <w:p w14:paraId="3957190E">
            <w:pPr>
              <w:tabs>
                <w:tab w:val="left" w:pos="1080"/>
              </w:tabs>
              <w:spacing w:line="240" w:lineRule="auto"/>
              <w:jc w:val="center"/>
              <w:rPr>
                <w:rFonts w:hint="eastAsia" w:ascii="宋体" w:hAnsi="宋体"/>
                <w:color w:val="auto"/>
                <w:sz w:val="24"/>
                <w:szCs w:val="22"/>
              </w:rPr>
            </w:pPr>
            <w:r>
              <w:rPr>
                <w:rFonts w:hint="eastAsia" w:ascii="宋体" w:hAnsi="宋体"/>
                <w:color w:val="auto"/>
                <w:sz w:val="24"/>
                <w:szCs w:val="22"/>
              </w:rPr>
              <w:t>7</w:t>
            </w:r>
          </w:p>
        </w:tc>
        <w:tc>
          <w:tcPr>
            <w:tcW w:w="1272" w:type="dxa"/>
            <w:vAlign w:val="center"/>
          </w:tcPr>
          <w:p w14:paraId="3646B34F">
            <w:pPr>
              <w:tabs>
                <w:tab w:val="left" w:pos="1080"/>
              </w:tabs>
              <w:spacing w:line="240" w:lineRule="auto"/>
              <w:jc w:val="center"/>
              <w:rPr>
                <w:rFonts w:hint="eastAsia" w:ascii="宋体" w:hAnsi="宋体"/>
                <w:color w:val="auto"/>
                <w:sz w:val="24"/>
                <w:szCs w:val="22"/>
              </w:rPr>
            </w:pPr>
            <w:r>
              <w:rPr>
                <w:rFonts w:hint="eastAsia" w:ascii="宋体" w:hAnsi="宋体"/>
                <w:color w:val="auto"/>
                <w:sz w:val="24"/>
                <w:szCs w:val="22"/>
              </w:rPr>
              <w:t>6.2</w:t>
            </w:r>
          </w:p>
        </w:tc>
        <w:tc>
          <w:tcPr>
            <w:tcW w:w="7205" w:type="dxa"/>
            <w:vAlign w:val="center"/>
          </w:tcPr>
          <w:p w14:paraId="6991D0C7">
            <w:pPr>
              <w:tabs>
                <w:tab w:val="left" w:pos="1080"/>
              </w:tabs>
              <w:spacing w:line="240" w:lineRule="auto"/>
              <w:ind w:firstLine="480"/>
              <w:jc w:val="left"/>
              <w:rPr>
                <w:rFonts w:hint="eastAsia" w:ascii="宋体" w:hAnsi="宋体"/>
                <w:color w:val="auto"/>
                <w:sz w:val="24"/>
                <w:szCs w:val="22"/>
              </w:rPr>
            </w:pPr>
            <w:r>
              <w:rPr>
                <w:rFonts w:hint="eastAsia" w:ascii="宋体" w:hAnsi="宋体"/>
                <w:color w:val="auto"/>
                <w:sz w:val="24"/>
                <w:szCs w:val="22"/>
              </w:rPr>
              <w:t>发包人是否提供施工设备和临时设施：否。</w:t>
            </w:r>
          </w:p>
        </w:tc>
      </w:tr>
      <w:tr w14:paraId="75DC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818" w:type="dxa"/>
            <w:vAlign w:val="center"/>
          </w:tcPr>
          <w:p w14:paraId="4B985C8D">
            <w:pPr>
              <w:tabs>
                <w:tab w:val="left" w:pos="1080"/>
              </w:tabs>
              <w:spacing w:line="240" w:lineRule="auto"/>
              <w:jc w:val="center"/>
              <w:rPr>
                <w:rFonts w:hint="eastAsia" w:ascii="宋体" w:hAnsi="宋体"/>
                <w:color w:val="auto"/>
                <w:sz w:val="24"/>
                <w:szCs w:val="22"/>
              </w:rPr>
            </w:pPr>
            <w:r>
              <w:rPr>
                <w:rFonts w:hint="eastAsia" w:ascii="宋体" w:hAnsi="宋体"/>
                <w:color w:val="auto"/>
                <w:sz w:val="24"/>
                <w:szCs w:val="22"/>
              </w:rPr>
              <w:t>8</w:t>
            </w:r>
          </w:p>
        </w:tc>
        <w:tc>
          <w:tcPr>
            <w:tcW w:w="1272" w:type="dxa"/>
            <w:vAlign w:val="center"/>
          </w:tcPr>
          <w:p w14:paraId="0863A2B5">
            <w:pPr>
              <w:tabs>
                <w:tab w:val="left" w:pos="1080"/>
              </w:tabs>
              <w:spacing w:line="240" w:lineRule="auto"/>
              <w:jc w:val="center"/>
              <w:rPr>
                <w:rFonts w:hint="eastAsia" w:ascii="宋体" w:hAnsi="宋体"/>
                <w:color w:val="auto"/>
                <w:sz w:val="24"/>
                <w:szCs w:val="22"/>
              </w:rPr>
            </w:pPr>
            <w:r>
              <w:rPr>
                <w:rFonts w:hint="eastAsia" w:ascii="宋体" w:hAnsi="宋体"/>
                <w:color w:val="auto"/>
                <w:sz w:val="24"/>
                <w:szCs w:val="22"/>
              </w:rPr>
              <w:t>8.1.1</w:t>
            </w:r>
          </w:p>
        </w:tc>
        <w:tc>
          <w:tcPr>
            <w:tcW w:w="7205" w:type="dxa"/>
            <w:vAlign w:val="center"/>
          </w:tcPr>
          <w:p w14:paraId="402EACE7">
            <w:pPr>
              <w:tabs>
                <w:tab w:val="left" w:pos="1080"/>
              </w:tabs>
              <w:spacing w:line="240" w:lineRule="auto"/>
              <w:ind w:firstLine="480"/>
              <w:jc w:val="left"/>
              <w:rPr>
                <w:rFonts w:hint="eastAsia" w:ascii="宋体" w:hAnsi="宋体"/>
                <w:color w:val="auto"/>
                <w:sz w:val="24"/>
                <w:szCs w:val="22"/>
              </w:rPr>
            </w:pPr>
            <w:r>
              <w:rPr>
                <w:rFonts w:hint="eastAsia" w:ascii="宋体" w:hAnsi="宋体"/>
                <w:color w:val="auto"/>
                <w:sz w:val="24"/>
                <w:szCs w:val="22"/>
              </w:rPr>
              <w:t>/</w:t>
            </w:r>
          </w:p>
        </w:tc>
      </w:tr>
      <w:tr w14:paraId="2891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8" w:type="dxa"/>
            <w:vAlign w:val="center"/>
          </w:tcPr>
          <w:p w14:paraId="7CA62B4F">
            <w:pPr>
              <w:tabs>
                <w:tab w:val="left" w:pos="1080"/>
              </w:tabs>
              <w:spacing w:line="240" w:lineRule="auto"/>
              <w:jc w:val="center"/>
              <w:rPr>
                <w:rFonts w:hint="eastAsia" w:ascii="宋体" w:hAnsi="宋体"/>
                <w:color w:val="auto"/>
                <w:sz w:val="24"/>
                <w:szCs w:val="22"/>
              </w:rPr>
            </w:pPr>
            <w:r>
              <w:rPr>
                <w:rFonts w:hint="eastAsia" w:ascii="宋体" w:hAnsi="宋体"/>
                <w:color w:val="auto"/>
                <w:sz w:val="24"/>
                <w:szCs w:val="22"/>
              </w:rPr>
              <w:t>9</w:t>
            </w:r>
          </w:p>
        </w:tc>
        <w:tc>
          <w:tcPr>
            <w:tcW w:w="1272" w:type="dxa"/>
            <w:vAlign w:val="center"/>
          </w:tcPr>
          <w:p w14:paraId="1B20B71F">
            <w:pPr>
              <w:tabs>
                <w:tab w:val="left" w:pos="1080"/>
              </w:tabs>
              <w:spacing w:line="240" w:lineRule="auto"/>
              <w:jc w:val="center"/>
              <w:rPr>
                <w:rFonts w:hint="eastAsia" w:ascii="宋体" w:hAnsi="宋体"/>
                <w:color w:val="auto"/>
                <w:sz w:val="24"/>
                <w:szCs w:val="22"/>
              </w:rPr>
            </w:pPr>
            <w:r>
              <w:rPr>
                <w:rFonts w:hint="eastAsia" w:ascii="宋体" w:hAnsi="宋体"/>
                <w:color w:val="auto"/>
                <w:sz w:val="24"/>
                <w:szCs w:val="22"/>
              </w:rPr>
              <w:t>11.5</w:t>
            </w:r>
          </w:p>
        </w:tc>
        <w:tc>
          <w:tcPr>
            <w:tcW w:w="7205" w:type="dxa"/>
            <w:vAlign w:val="center"/>
          </w:tcPr>
          <w:p w14:paraId="29B4D319">
            <w:pPr>
              <w:tabs>
                <w:tab w:val="left" w:pos="1080"/>
              </w:tabs>
              <w:spacing w:line="240" w:lineRule="auto"/>
              <w:ind w:firstLine="480"/>
              <w:jc w:val="left"/>
              <w:rPr>
                <w:rFonts w:hint="eastAsia" w:ascii="宋体" w:hAnsi="宋体"/>
                <w:color w:val="auto"/>
                <w:sz w:val="24"/>
                <w:szCs w:val="22"/>
              </w:rPr>
            </w:pPr>
            <w:r>
              <w:rPr>
                <w:rFonts w:hint="eastAsia" w:ascii="宋体" w:hAnsi="宋体"/>
                <w:color w:val="auto"/>
                <w:sz w:val="24"/>
                <w:szCs w:val="22"/>
              </w:rPr>
              <w:t>逾期交工违约金：5000元/天</w:t>
            </w:r>
          </w:p>
        </w:tc>
      </w:tr>
      <w:tr w14:paraId="061E6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8" w:type="dxa"/>
            <w:vMerge w:val="restart"/>
            <w:vAlign w:val="center"/>
          </w:tcPr>
          <w:p w14:paraId="47ABD2CD">
            <w:pPr>
              <w:tabs>
                <w:tab w:val="left" w:pos="1080"/>
              </w:tabs>
              <w:spacing w:line="240" w:lineRule="auto"/>
              <w:jc w:val="center"/>
              <w:rPr>
                <w:rFonts w:hint="eastAsia" w:ascii="宋体" w:hAnsi="宋体"/>
                <w:color w:val="auto"/>
                <w:sz w:val="24"/>
                <w:szCs w:val="22"/>
              </w:rPr>
            </w:pPr>
            <w:r>
              <w:rPr>
                <w:rFonts w:hint="eastAsia" w:ascii="宋体" w:hAnsi="宋体"/>
                <w:color w:val="auto"/>
                <w:sz w:val="24"/>
                <w:szCs w:val="22"/>
              </w:rPr>
              <w:t>10</w:t>
            </w:r>
          </w:p>
        </w:tc>
        <w:tc>
          <w:tcPr>
            <w:tcW w:w="1272" w:type="dxa"/>
            <w:vAlign w:val="center"/>
          </w:tcPr>
          <w:p w14:paraId="66F1B464">
            <w:pPr>
              <w:tabs>
                <w:tab w:val="left" w:pos="1080"/>
              </w:tabs>
              <w:spacing w:line="240" w:lineRule="auto"/>
              <w:jc w:val="center"/>
              <w:rPr>
                <w:rFonts w:hint="eastAsia" w:ascii="宋体" w:hAnsi="宋体"/>
                <w:color w:val="auto"/>
                <w:sz w:val="24"/>
                <w:szCs w:val="22"/>
              </w:rPr>
            </w:pPr>
            <w:r>
              <w:rPr>
                <w:rFonts w:hint="eastAsia" w:ascii="宋体" w:hAnsi="宋体"/>
                <w:color w:val="auto"/>
                <w:sz w:val="24"/>
                <w:szCs w:val="22"/>
              </w:rPr>
              <w:t>11.5</w:t>
            </w:r>
          </w:p>
        </w:tc>
        <w:tc>
          <w:tcPr>
            <w:tcW w:w="7205" w:type="dxa"/>
            <w:vAlign w:val="center"/>
          </w:tcPr>
          <w:p w14:paraId="0CC97D71">
            <w:pPr>
              <w:tabs>
                <w:tab w:val="left" w:pos="1080"/>
              </w:tabs>
              <w:spacing w:line="240" w:lineRule="auto"/>
              <w:ind w:firstLine="480"/>
              <w:jc w:val="left"/>
              <w:rPr>
                <w:rFonts w:hint="eastAsia" w:ascii="宋体" w:hAnsi="宋体"/>
                <w:color w:val="auto"/>
                <w:sz w:val="24"/>
                <w:szCs w:val="22"/>
              </w:rPr>
            </w:pPr>
            <w:r>
              <w:rPr>
                <w:rFonts w:hint="eastAsia" w:ascii="宋体" w:hAnsi="宋体"/>
                <w:color w:val="auto"/>
                <w:sz w:val="24"/>
                <w:szCs w:val="22"/>
              </w:rPr>
              <w:t>逾期交工违约金限额：10%签约合同价</w:t>
            </w:r>
          </w:p>
        </w:tc>
      </w:tr>
      <w:tr w14:paraId="499B1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exact"/>
          <w:jc w:val="center"/>
        </w:trPr>
        <w:tc>
          <w:tcPr>
            <w:tcW w:w="818" w:type="dxa"/>
            <w:vMerge w:val="continue"/>
            <w:vAlign w:val="center"/>
          </w:tcPr>
          <w:p w14:paraId="28EC9A53">
            <w:pPr>
              <w:tabs>
                <w:tab w:val="left" w:pos="1080"/>
              </w:tabs>
              <w:spacing w:line="240" w:lineRule="auto"/>
              <w:jc w:val="center"/>
              <w:rPr>
                <w:rFonts w:ascii="宋体" w:hAnsi="宋体"/>
                <w:color w:val="auto"/>
                <w:sz w:val="24"/>
                <w:szCs w:val="22"/>
              </w:rPr>
            </w:pPr>
          </w:p>
        </w:tc>
        <w:tc>
          <w:tcPr>
            <w:tcW w:w="1272" w:type="dxa"/>
            <w:vAlign w:val="center"/>
          </w:tcPr>
          <w:p w14:paraId="75F3DED3">
            <w:pPr>
              <w:tabs>
                <w:tab w:val="left" w:pos="1080"/>
              </w:tabs>
              <w:spacing w:line="240" w:lineRule="auto"/>
              <w:jc w:val="center"/>
              <w:rPr>
                <w:rFonts w:hint="eastAsia" w:ascii="宋体" w:hAnsi="宋体"/>
                <w:color w:val="auto"/>
                <w:sz w:val="24"/>
                <w:szCs w:val="22"/>
              </w:rPr>
            </w:pPr>
            <w:r>
              <w:rPr>
                <w:rFonts w:hint="eastAsia" w:ascii="宋体" w:hAnsi="宋体"/>
                <w:color w:val="auto"/>
                <w:sz w:val="24"/>
                <w:szCs w:val="22"/>
              </w:rPr>
              <w:t>11.5</w:t>
            </w:r>
          </w:p>
        </w:tc>
        <w:tc>
          <w:tcPr>
            <w:tcW w:w="7205" w:type="dxa"/>
            <w:vAlign w:val="center"/>
          </w:tcPr>
          <w:p w14:paraId="770C43CA">
            <w:pPr>
              <w:tabs>
                <w:tab w:val="left" w:pos="1080"/>
              </w:tabs>
              <w:spacing w:line="240" w:lineRule="auto"/>
              <w:ind w:firstLine="480"/>
              <w:jc w:val="left"/>
              <w:rPr>
                <w:rFonts w:hint="eastAsia" w:ascii="宋体" w:hAnsi="宋体"/>
                <w:color w:val="auto"/>
                <w:sz w:val="24"/>
                <w:szCs w:val="22"/>
              </w:rPr>
            </w:pPr>
            <w:r>
              <w:rPr>
                <w:rFonts w:hint="eastAsia" w:ascii="宋体" w:hAnsi="宋体"/>
                <w:color w:val="auto"/>
                <w:sz w:val="24"/>
                <w:szCs w:val="22"/>
              </w:rPr>
              <w:t>条款末增加：</w:t>
            </w:r>
          </w:p>
          <w:p w14:paraId="1C58B6A0">
            <w:pPr>
              <w:tabs>
                <w:tab w:val="left" w:pos="1080"/>
              </w:tabs>
              <w:spacing w:line="240" w:lineRule="auto"/>
              <w:ind w:firstLine="480"/>
              <w:jc w:val="left"/>
              <w:rPr>
                <w:rFonts w:hint="eastAsia" w:ascii="宋体" w:hAnsi="宋体"/>
                <w:color w:val="auto"/>
                <w:sz w:val="24"/>
                <w:szCs w:val="22"/>
              </w:rPr>
            </w:pPr>
            <w:r>
              <w:rPr>
                <w:rFonts w:hint="eastAsia" w:ascii="宋体" w:hAnsi="宋体"/>
                <w:color w:val="auto"/>
                <w:sz w:val="24"/>
                <w:szCs w:val="22"/>
              </w:rPr>
              <w:t>受征地拆迁等因素影响，估计局部路段不能在计划工期内施工，由此造成工期的延长或施工的二次进场，中标单位中标后不能以此理由作为费用索赔的理由，各投标人应充分考虑到存在的风险。</w:t>
            </w:r>
          </w:p>
        </w:tc>
      </w:tr>
      <w:tr w14:paraId="5A78F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8" w:type="dxa"/>
            <w:vAlign w:val="center"/>
          </w:tcPr>
          <w:p w14:paraId="32D30FD3">
            <w:pPr>
              <w:tabs>
                <w:tab w:val="left" w:pos="1080"/>
              </w:tabs>
              <w:spacing w:line="240" w:lineRule="auto"/>
              <w:jc w:val="center"/>
              <w:rPr>
                <w:rFonts w:hint="eastAsia" w:ascii="宋体" w:hAnsi="宋体"/>
                <w:color w:val="auto"/>
                <w:sz w:val="24"/>
                <w:szCs w:val="22"/>
              </w:rPr>
            </w:pPr>
            <w:r>
              <w:rPr>
                <w:rFonts w:hint="eastAsia" w:ascii="宋体" w:hAnsi="宋体"/>
                <w:color w:val="auto"/>
                <w:sz w:val="24"/>
                <w:szCs w:val="22"/>
              </w:rPr>
              <w:t>11</w:t>
            </w:r>
          </w:p>
        </w:tc>
        <w:tc>
          <w:tcPr>
            <w:tcW w:w="1272" w:type="dxa"/>
            <w:vAlign w:val="center"/>
          </w:tcPr>
          <w:p w14:paraId="1467FE78">
            <w:pPr>
              <w:tabs>
                <w:tab w:val="left" w:pos="1080"/>
              </w:tabs>
              <w:spacing w:line="240" w:lineRule="auto"/>
              <w:jc w:val="center"/>
              <w:rPr>
                <w:rFonts w:hint="eastAsia" w:ascii="宋体" w:hAnsi="宋体"/>
                <w:color w:val="auto"/>
                <w:sz w:val="24"/>
                <w:szCs w:val="22"/>
              </w:rPr>
            </w:pPr>
            <w:r>
              <w:rPr>
                <w:rFonts w:hint="eastAsia" w:ascii="宋体" w:hAnsi="宋体"/>
                <w:color w:val="auto"/>
                <w:sz w:val="24"/>
                <w:szCs w:val="22"/>
              </w:rPr>
              <w:t>11.6</w:t>
            </w:r>
          </w:p>
        </w:tc>
        <w:tc>
          <w:tcPr>
            <w:tcW w:w="7205" w:type="dxa"/>
            <w:vAlign w:val="center"/>
          </w:tcPr>
          <w:p w14:paraId="675A1839">
            <w:pPr>
              <w:tabs>
                <w:tab w:val="left" w:pos="1080"/>
              </w:tabs>
              <w:spacing w:line="240" w:lineRule="auto"/>
              <w:ind w:firstLine="480"/>
              <w:jc w:val="left"/>
              <w:rPr>
                <w:rFonts w:hint="eastAsia" w:ascii="宋体" w:hAnsi="宋体"/>
                <w:color w:val="auto"/>
                <w:sz w:val="24"/>
                <w:szCs w:val="22"/>
              </w:rPr>
            </w:pPr>
            <w:r>
              <w:rPr>
                <w:rFonts w:hint="eastAsia" w:ascii="宋体" w:hAnsi="宋体"/>
                <w:color w:val="auto"/>
                <w:sz w:val="24"/>
                <w:szCs w:val="22"/>
              </w:rPr>
              <w:t>提前交工的奖金： / 元/天</w:t>
            </w:r>
          </w:p>
        </w:tc>
      </w:tr>
      <w:tr w14:paraId="15DC3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8" w:type="dxa"/>
            <w:vAlign w:val="center"/>
          </w:tcPr>
          <w:p w14:paraId="1B6691A6">
            <w:pPr>
              <w:tabs>
                <w:tab w:val="left" w:pos="1080"/>
              </w:tabs>
              <w:spacing w:line="240" w:lineRule="auto"/>
              <w:jc w:val="center"/>
              <w:rPr>
                <w:rFonts w:hint="eastAsia" w:ascii="宋体" w:hAnsi="宋体"/>
                <w:color w:val="auto"/>
                <w:sz w:val="24"/>
                <w:szCs w:val="22"/>
              </w:rPr>
            </w:pPr>
            <w:r>
              <w:rPr>
                <w:rFonts w:hint="eastAsia" w:ascii="宋体" w:hAnsi="宋体"/>
                <w:color w:val="auto"/>
                <w:sz w:val="24"/>
                <w:szCs w:val="22"/>
              </w:rPr>
              <w:t>12</w:t>
            </w:r>
          </w:p>
        </w:tc>
        <w:tc>
          <w:tcPr>
            <w:tcW w:w="1272" w:type="dxa"/>
            <w:vAlign w:val="center"/>
          </w:tcPr>
          <w:p w14:paraId="1C38975E">
            <w:pPr>
              <w:tabs>
                <w:tab w:val="left" w:pos="1080"/>
              </w:tabs>
              <w:spacing w:line="240" w:lineRule="auto"/>
              <w:jc w:val="center"/>
              <w:rPr>
                <w:rFonts w:hint="eastAsia" w:ascii="宋体" w:hAnsi="宋体"/>
                <w:color w:val="auto"/>
                <w:sz w:val="24"/>
                <w:szCs w:val="22"/>
              </w:rPr>
            </w:pPr>
            <w:r>
              <w:rPr>
                <w:rFonts w:hint="eastAsia" w:ascii="宋体" w:hAnsi="宋体"/>
                <w:color w:val="auto"/>
                <w:sz w:val="24"/>
                <w:szCs w:val="22"/>
              </w:rPr>
              <w:t>11.6</w:t>
            </w:r>
          </w:p>
        </w:tc>
        <w:tc>
          <w:tcPr>
            <w:tcW w:w="7205" w:type="dxa"/>
            <w:vAlign w:val="center"/>
          </w:tcPr>
          <w:p w14:paraId="731EEA09">
            <w:pPr>
              <w:tabs>
                <w:tab w:val="left" w:pos="1080"/>
              </w:tabs>
              <w:spacing w:line="240" w:lineRule="auto"/>
              <w:ind w:firstLine="480"/>
              <w:jc w:val="left"/>
              <w:rPr>
                <w:rFonts w:hint="eastAsia" w:ascii="宋体" w:hAnsi="宋体"/>
                <w:color w:val="auto"/>
                <w:sz w:val="24"/>
                <w:szCs w:val="22"/>
              </w:rPr>
            </w:pPr>
            <w:r>
              <w:rPr>
                <w:rFonts w:hint="eastAsia" w:ascii="宋体" w:hAnsi="宋体"/>
                <w:color w:val="auto"/>
                <w:sz w:val="24"/>
                <w:szCs w:val="22"/>
              </w:rPr>
              <w:t>提前交工的奖金限额： / 元/天</w:t>
            </w:r>
          </w:p>
        </w:tc>
      </w:tr>
      <w:tr w14:paraId="0AD5D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818" w:type="dxa"/>
            <w:vAlign w:val="center"/>
          </w:tcPr>
          <w:p w14:paraId="53E722EA">
            <w:pPr>
              <w:tabs>
                <w:tab w:val="left" w:pos="1080"/>
              </w:tabs>
              <w:spacing w:line="240" w:lineRule="auto"/>
              <w:jc w:val="center"/>
              <w:rPr>
                <w:rFonts w:hint="eastAsia" w:ascii="宋体" w:hAnsi="宋体"/>
                <w:color w:val="auto"/>
                <w:sz w:val="24"/>
                <w:szCs w:val="22"/>
              </w:rPr>
            </w:pPr>
            <w:r>
              <w:rPr>
                <w:rFonts w:hint="eastAsia" w:ascii="宋体" w:hAnsi="宋体"/>
                <w:color w:val="auto"/>
                <w:sz w:val="24"/>
                <w:szCs w:val="22"/>
              </w:rPr>
              <w:t>13</w:t>
            </w:r>
          </w:p>
        </w:tc>
        <w:tc>
          <w:tcPr>
            <w:tcW w:w="1272" w:type="dxa"/>
            <w:vAlign w:val="center"/>
          </w:tcPr>
          <w:p w14:paraId="364C6B8C">
            <w:pPr>
              <w:tabs>
                <w:tab w:val="left" w:pos="1080"/>
              </w:tabs>
              <w:spacing w:line="240" w:lineRule="auto"/>
              <w:jc w:val="center"/>
              <w:rPr>
                <w:rFonts w:hint="eastAsia" w:ascii="宋体" w:hAnsi="宋体"/>
                <w:color w:val="auto"/>
                <w:sz w:val="24"/>
                <w:szCs w:val="22"/>
              </w:rPr>
            </w:pPr>
            <w:r>
              <w:rPr>
                <w:rFonts w:hint="eastAsia" w:ascii="宋体" w:hAnsi="宋体"/>
                <w:color w:val="auto"/>
                <w:sz w:val="24"/>
                <w:szCs w:val="22"/>
              </w:rPr>
              <w:t>16.1</w:t>
            </w:r>
          </w:p>
        </w:tc>
        <w:tc>
          <w:tcPr>
            <w:tcW w:w="7205" w:type="dxa"/>
            <w:vAlign w:val="center"/>
          </w:tcPr>
          <w:p w14:paraId="31CD1F87">
            <w:pPr>
              <w:tabs>
                <w:tab w:val="left" w:pos="1080"/>
              </w:tabs>
              <w:spacing w:line="240" w:lineRule="auto"/>
              <w:ind w:firstLine="480"/>
              <w:jc w:val="left"/>
              <w:rPr>
                <w:rFonts w:hint="eastAsia" w:ascii="宋体" w:hAnsi="宋体"/>
                <w:color w:val="auto"/>
                <w:sz w:val="24"/>
                <w:szCs w:val="22"/>
              </w:rPr>
            </w:pPr>
            <w:r>
              <w:rPr>
                <w:rFonts w:hint="eastAsia" w:ascii="宋体" w:hAnsi="宋体"/>
                <w:color w:val="auto"/>
                <w:sz w:val="24"/>
                <w:szCs w:val="22"/>
              </w:rPr>
              <w:t>价格不调整</w:t>
            </w:r>
          </w:p>
        </w:tc>
      </w:tr>
      <w:tr w14:paraId="03118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exact"/>
          <w:jc w:val="center"/>
        </w:trPr>
        <w:tc>
          <w:tcPr>
            <w:tcW w:w="818" w:type="dxa"/>
            <w:vAlign w:val="center"/>
          </w:tcPr>
          <w:p w14:paraId="6C2130C4">
            <w:pPr>
              <w:tabs>
                <w:tab w:val="left" w:pos="1080"/>
              </w:tabs>
              <w:spacing w:line="240" w:lineRule="auto"/>
              <w:jc w:val="center"/>
              <w:rPr>
                <w:rFonts w:hint="eastAsia" w:ascii="宋体" w:hAnsi="宋体"/>
                <w:color w:val="auto"/>
                <w:sz w:val="24"/>
                <w:szCs w:val="22"/>
              </w:rPr>
            </w:pPr>
            <w:r>
              <w:rPr>
                <w:rFonts w:hint="eastAsia" w:ascii="宋体" w:hAnsi="宋体"/>
                <w:color w:val="auto"/>
                <w:sz w:val="24"/>
                <w:szCs w:val="22"/>
              </w:rPr>
              <w:t>14</w:t>
            </w:r>
          </w:p>
        </w:tc>
        <w:tc>
          <w:tcPr>
            <w:tcW w:w="1272" w:type="dxa"/>
            <w:vAlign w:val="center"/>
          </w:tcPr>
          <w:p w14:paraId="2CA1FDA3">
            <w:pPr>
              <w:tabs>
                <w:tab w:val="left" w:pos="1080"/>
              </w:tabs>
              <w:spacing w:line="240" w:lineRule="auto"/>
              <w:jc w:val="center"/>
              <w:rPr>
                <w:rFonts w:hint="eastAsia" w:ascii="宋体" w:hAnsi="宋体"/>
                <w:color w:val="auto"/>
                <w:sz w:val="24"/>
                <w:szCs w:val="22"/>
              </w:rPr>
            </w:pPr>
            <w:r>
              <w:rPr>
                <w:rFonts w:hint="eastAsia" w:ascii="宋体" w:hAnsi="宋体"/>
                <w:color w:val="auto"/>
                <w:sz w:val="24"/>
                <w:szCs w:val="22"/>
              </w:rPr>
              <w:t>17.2.1</w:t>
            </w:r>
          </w:p>
        </w:tc>
        <w:tc>
          <w:tcPr>
            <w:tcW w:w="7205" w:type="dxa"/>
            <w:vAlign w:val="center"/>
          </w:tcPr>
          <w:p w14:paraId="1050A18E">
            <w:pPr>
              <w:tabs>
                <w:tab w:val="left" w:pos="1080"/>
              </w:tabs>
              <w:spacing w:line="240" w:lineRule="auto"/>
              <w:ind w:firstLine="480"/>
              <w:jc w:val="left"/>
              <w:rPr>
                <w:rFonts w:hint="eastAsia" w:ascii="宋体" w:hAnsi="宋体"/>
                <w:color w:val="auto"/>
                <w:sz w:val="24"/>
                <w:szCs w:val="22"/>
              </w:rPr>
            </w:pPr>
            <w:r>
              <w:rPr>
                <w:rFonts w:hint="eastAsia" w:ascii="宋体" w:hAnsi="宋体"/>
                <w:color w:val="auto"/>
                <w:sz w:val="24"/>
                <w:szCs w:val="22"/>
              </w:rPr>
              <w:t>开工预付款金额：</w:t>
            </w:r>
            <w:r>
              <w:rPr>
                <w:rFonts w:hint="eastAsia" w:ascii="宋体" w:hAnsi="宋体"/>
                <w:color w:val="auto"/>
                <w:sz w:val="24"/>
                <w:szCs w:val="22"/>
                <w:lang w:val="en-US" w:eastAsia="zh-CN"/>
              </w:rPr>
              <w:t>本项目无预付款</w:t>
            </w:r>
            <w:r>
              <w:rPr>
                <w:rFonts w:hint="eastAsia" w:ascii="宋体" w:hAnsi="宋体"/>
                <w:color w:val="auto"/>
                <w:sz w:val="24"/>
                <w:szCs w:val="22"/>
              </w:rPr>
              <w:t>，且应在承包人签订合同协议书及承包人承诺的主要设备进场后，开工预付款分1次支付。</w:t>
            </w:r>
          </w:p>
        </w:tc>
      </w:tr>
    </w:tbl>
    <w:p w14:paraId="08F6C42D">
      <w:pPr>
        <w:autoSpaceDE w:val="0"/>
        <w:autoSpaceDN w:val="0"/>
        <w:spacing w:before="9" w:line="240" w:lineRule="auto"/>
        <w:jc w:val="left"/>
        <w:rPr>
          <w:color w:val="auto"/>
          <w:szCs w:val="22"/>
        </w:rPr>
      </w:pPr>
      <w:r>
        <w:rPr>
          <w:color w:val="auto"/>
          <w:szCs w:val="22"/>
        </w:rPr>
        <mc:AlternateContent>
          <mc:Choice Requires="wps">
            <w:drawing>
              <wp:anchor distT="0" distB="0" distL="0" distR="0" simplePos="0" relativeHeight="251659264" behindDoc="0" locked="0" layoutInCell="1" allowOverlap="1">
                <wp:simplePos x="0" y="0"/>
                <wp:positionH relativeFrom="page">
                  <wp:posOffset>0</wp:posOffset>
                </wp:positionH>
                <wp:positionV relativeFrom="paragraph">
                  <wp:posOffset>0</wp:posOffset>
                </wp:positionV>
                <wp:extent cx="1829435" cy="12700"/>
                <wp:effectExtent l="0" t="4445" r="18415" b="11430"/>
                <wp:wrapTopAndBottom/>
                <wp:docPr id="2" name="_x0000_s1157"/>
                <wp:cNvGraphicFramePr/>
                <a:graphic xmlns:a="http://schemas.openxmlformats.org/drawingml/2006/main">
                  <a:graphicData uri="http://schemas.microsoft.com/office/word/2010/wordprocessingShape">
                    <wps:wsp>
                      <wps:cNvCnPr/>
                      <wps:spPr>
                        <a:xfrm>
                          <a:off x="1043939" y="220980"/>
                          <a:ext cx="1829436" cy="12700"/>
                        </a:xfrm>
                        <a:prstGeom prst="line">
                          <a:avLst/>
                        </a:prstGeom>
                        <a:ln w="6096">
                          <a:solidFill>
                            <a:prstClr val="white"/>
                          </a:solidFill>
                        </a:ln>
                      </wps:spPr>
                      <wps:bodyPr rot="0" vert="horz" wrap="square" lIns="91440" tIns="45720" rIns="91440" bIns="45720" anchor="t" anchorCtr="0"/>
                    </wps:wsp>
                  </a:graphicData>
                </a:graphic>
              </wp:anchor>
            </w:drawing>
          </mc:Choice>
          <mc:Fallback>
            <w:pict>
              <v:line id="_x0000_s1157" o:spid="_x0000_s1026" o:spt="20" style="position:absolute;left:0pt;margin-left:0pt;margin-top:0pt;height:1pt;width:144.05pt;mso-position-horizontal-relative:page;mso-wrap-distance-bottom:0pt;mso-wrap-distance-top:0pt;z-index:251659264;mso-width-relative:page;mso-height-relative:page;" filled="f" stroked="t" coordsize="21600,21600" o:gfxdata="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koH5rU&#10;AAAAAwEAAA8AAAAAAAAAAQAgAAAAIgAAAGRycy9kb3ducmV2LnhtbFBLAQIUABQAAAAIAIdO4kCL&#10;MF4x6wEAAM0DAAAOAAAAAAAAAAEAIAAAACMBAABkcnMvZTJvRG9jLnhtbFBLBQYAAAAABgAGAFkB&#10;AACABQAAAAA=&#10;">
                <v:fill on="f" focussize="0,0"/>
                <v:stroke weight="0.48pt" color="#FFFFFF" joinstyle="round"/>
                <v:imagedata o:title=""/>
                <o:lock v:ext="edit" aspectratio="f"/>
                <w10:wrap type="topAndBottom"/>
              </v:line>
            </w:pict>
          </mc:Fallback>
        </mc:AlternateContent>
      </w:r>
    </w:p>
    <w:p w14:paraId="0C2E1118">
      <w:pPr>
        <w:autoSpaceDE w:val="0"/>
        <w:autoSpaceDN w:val="0"/>
        <w:spacing w:before="129" w:line="240" w:lineRule="auto"/>
        <w:ind w:left="424"/>
        <w:jc w:val="left"/>
        <w:rPr>
          <w:rFonts w:ascii="宋体" w:hAnsi="宋体"/>
          <w:color w:val="auto"/>
          <w:kern w:val="0"/>
          <w:position w:val="8"/>
          <w:sz w:val="9"/>
          <w:szCs w:val="22"/>
          <w:lang w:val="zh-CN" w:bidi="zh-CN"/>
        </w:rPr>
      </w:pPr>
      <w:r>
        <w:rPr>
          <w:rFonts w:ascii="宋体" w:hAnsi="宋体"/>
          <w:color w:val="auto"/>
          <w:kern w:val="0"/>
          <w:position w:val="8"/>
          <w:sz w:val="9"/>
          <w:szCs w:val="22"/>
          <w:lang w:val="zh-CN" w:bidi="zh-CN"/>
        </w:rPr>
        <w:t xml:space="preserve">① </w:t>
      </w:r>
      <w:r>
        <w:rPr>
          <w:rFonts w:ascii="宋体" w:hAnsi="宋体"/>
          <w:color w:val="auto"/>
          <w:kern w:val="0"/>
          <w:sz w:val="18"/>
          <w:szCs w:val="22"/>
          <w:lang w:val="zh-CN" w:bidi="zh-CN"/>
        </w:rPr>
        <w:t xml:space="preserve">缺陷责任期一般为自实际交工日期起计算 </w:t>
      </w:r>
      <w:r>
        <w:rPr>
          <w:rFonts w:eastAsia="Times New Roman"/>
          <w:color w:val="auto"/>
          <w:kern w:val="0"/>
          <w:sz w:val="18"/>
          <w:szCs w:val="22"/>
          <w:lang w:val="zh-CN" w:bidi="zh-CN"/>
        </w:rPr>
        <w:t xml:space="preserve">1 </w:t>
      </w:r>
      <w:r>
        <w:rPr>
          <w:rFonts w:ascii="宋体" w:hAnsi="宋体"/>
          <w:color w:val="auto"/>
          <w:kern w:val="0"/>
          <w:sz w:val="18"/>
          <w:szCs w:val="22"/>
          <w:lang w:val="zh-CN" w:bidi="zh-CN"/>
        </w:rPr>
        <w:t xml:space="preserve">年，最长不超过 </w:t>
      </w:r>
      <w:r>
        <w:rPr>
          <w:rFonts w:eastAsia="Times New Roman"/>
          <w:color w:val="auto"/>
          <w:kern w:val="0"/>
          <w:sz w:val="18"/>
          <w:szCs w:val="22"/>
          <w:lang w:val="zh-CN" w:bidi="zh-CN"/>
        </w:rPr>
        <w:t xml:space="preserve">2 </w:t>
      </w:r>
      <w:r>
        <w:rPr>
          <w:rFonts w:ascii="宋体" w:hAnsi="宋体"/>
          <w:color w:val="auto"/>
          <w:kern w:val="0"/>
          <w:sz w:val="18"/>
          <w:szCs w:val="22"/>
          <w:lang w:val="zh-CN" w:bidi="zh-CN"/>
        </w:rPr>
        <w:t>年。</w:t>
      </w:r>
    </w:p>
    <w:p w14:paraId="0ED952B4">
      <w:pPr>
        <w:autoSpaceDE w:val="0"/>
        <w:autoSpaceDN w:val="0"/>
        <w:spacing w:before="69" w:line="240" w:lineRule="auto"/>
        <w:ind w:left="424"/>
        <w:jc w:val="left"/>
        <w:rPr>
          <w:rFonts w:ascii="宋体" w:hAnsi="宋体"/>
          <w:color w:val="auto"/>
          <w:kern w:val="0"/>
          <w:position w:val="8"/>
          <w:sz w:val="9"/>
          <w:szCs w:val="22"/>
          <w:lang w:val="zh-CN" w:bidi="zh-CN"/>
        </w:rPr>
      </w:pPr>
      <w:r>
        <w:rPr>
          <w:rFonts w:ascii="宋体" w:hAnsi="宋体"/>
          <w:color w:val="auto"/>
          <w:kern w:val="0"/>
          <w:position w:val="8"/>
          <w:sz w:val="9"/>
          <w:szCs w:val="22"/>
          <w:lang w:val="zh-CN" w:bidi="zh-CN"/>
        </w:rPr>
        <w:t xml:space="preserve">② </w:t>
      </w:r>
      <w:r>
        <w:rPr>
          <w:rFonts w:ascii="宋体" w:hAnsi="宋体"/>
          <w:color w:val="auto"/>
          <w:kern w:val="0"/>
          <w:sz w:val="18"/>
          <w:szCs w:val="22"/>
          <w:lang w:val="zh-CN" w:bidi="zh-CN"/>
        </w:rPr>
        <w:t xml:space="preserve">逾期交工违约金限额一般应为 </w:t>
      </w:r>
      <w:r>
        <w:rPr>
          <w:rFonts w:eastAsia="Times New Roman"/>
          <w:color w:val="auto"/>
          <w:kern w:val="0"/>
          <w:sz w:val="18"/>
          <w:szCs w:val="22"/>
          <w:lang w:val="zh-CN" w:bidi="zh-CN"/>
        </w:rPr>
        <w:t>10%</w:t>
      </w:r>
      <w:r>
        <w:rPr>
          <w:rFonts w:ascii="宋体" w:hAnsi="宋体"/>
          <w:color w:val="auto"/>
          <w:kern w:val="0"/>
          <w:sz w:val="18"/>
          <w:szCs w:val="22"/>
          <w:lang w:val="zh-CN" w:bidi="zh-CN"/>
        </w:rPr>
        <w:t>签约合同价。</w:t>
      </w:r>
    </w:p>
    <w:tbl>
      <w:tblPr>
        <w:tblStyle w:val="2"/>
        <w:tblpPr w:leftFromText="180" w:rightFromText="180" w:vertAnchor="text" w:horzAnchor="page" w:tblpX="1399" w:tblpY="294"/>
        <w:tblOverlap w:val="neve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7207"/>
        <w:gridCol w:w="8"/>
      </w:tblGrid>
      <w:tr w14:paraId="54B0C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28" w:type="dxa"/>
            <w:vAlign w:val="center"/>
          </w:tcPr>
          <w:p w14:paraId="71CD1512">
            <w:pPr>
              <w:tabs>
                <w:tab w:val="left" w:pos="1080"/>
              </w:tabs>
              <w:spacing w:line="240" w:lineRule="auto"/>
              <w:jc w:val="center"/>
              <w:rPr>
                <w:rFonts w:hint="eastAsia" w:ascii="宋体" w:hAnsi="宋体"/>
                <w:b/>
                <w:color w:val="auto"/>
                <w:sz w:val="24"/>
                <w:szCs w:val="22"/>
              </w:rPr>
            </w:pPr>
            <w:r>
              <w:rPr>
                <w:rFonts w:hint="eastAsia" w:ascii="宋体" w:hAnsi="宋体"/>
                <w:b/>
                <w:color w:val="auto"/>
                <w:sz w:val="24"/>
                <w:szCs w:val="22"/>
              </w:rPr>
              <w:t>序号</w:t>
            </w:r>
          </w:p>
        </w:tc>
        <w:tc>
          <w:tcPr>
            <w:tcW w:w="1260" w:type="dxa"/>
            <w:vAlign w:val="center"/>
          </w:tcPr>
          <w:p w14:paraId="5D589767">
            <w:pPr>
              <w:tabs>
                <w:tab w:val="left" w:pos="1080"/>
              </w:tabs>
              <w:spacing w:line="240" w:lineRule="auto"/>
              <w:jc w:val="center"/>
              <w:rPr>
                <w:rFonts w:hint="eastAsia" w:ascii="宋体" w:hAnsi="宋体"/>
                <w:b/>
                <w:color w:val="auto"/>
                <w:sz w:val="24"/>
                <w:szCs w:val="22"/>
              </w:rPr>
            </w:pPr>
            <w:r>
              <w:rPr>
                <w:rFonts w:hint="eastAsia" w:ascii="宋体" w:hAnsi="宋体"/>
                <w:b/>
                <w:color w:val="auto"/>
                <w:sz w:val="24"/>
                <w:szCs w:val="22"/>
              </w:rPr>
              <w:t>条目号</w:t>
            </w:r>
          </w:p>
        </w:tc>
        <w:tc>
          <w:tcPr>
            <w:tcW w:w="7215" w:type="dxa"/>
            <w:gridSpan w:val="2"/>
            <w:vAlign w:val="center"/>
          </w:tcPr>
          <w:p w14:paraId="0BC3FE66">
            <w:pPr>
              <w:tabs>
                <w:tab w:val="left" w:pos="1080"/>
              </w:tabs>
              <w:spacing w:line="240" w:lineRule="auto"/>
              <w:jc w:val="center"/>
              <w:rPr>
                <w:rFonts w:hint="eastAsia" w:ascii="宋体" w:hAnsi="宋体"/>
                <w:b/>
                <w:color w:val="auto"/>
                <w:sz w:val="24"/>
                <w:szCs w:val="22"/>
              </w:rPr>
            </w:pPr>
            <w:r>
              <w:rPr>
                <w:rFonts w:hint="eastAsia" w:ascii="宋体" w:hAnsi="宋体"/>
                <w:b/>
                <w:color w:val="auto"/>
                <w:sz w:val="24"/>
                <w:szCs w:val="22"/>
              </w:rPr>
              <w:t>信 息 或 数 据</w:t>
            </w:r>
          </w:p>
        </w:tc>
      </w:tr>
      <w:tr w14:paraId="51F0C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28" w:type="dxa"/>
            <w:vAlign w:val="center"/>
          </w:tcPr>
          <w:p w14:paraId="29EBE072">
            <w:pPr>
              <w:tabs>
                <w:tab w:val="left" w:pos="1080"/>
              </w:tabs>
              <w:spacing w:line="240" w:lineRule="auto"/>
              <w:jc w:val="center"/>
              <w:rPr>
                <w:rFonts w:hint="eastAsia" w:ascii="宋体" w:hAnsi="宋体"/>
                <w:color w:val="auto"/>
                <w:sz w:val="24"/>
                <w:szCs w:val="22"/>
              </w:rPr>
            </w:pPr>
            <w:r>
              <w:rPr>
                <w:rFonts w:hint="eastAsia" w:ascii="宋体" w:hAnsi="宋体"/>
                <w:color w:val="auto"/>
                <w:sz w:val="24"/>
                <w:szCs w:val="22"/>
              </w:rPr>
              <w:t>15</w:t>
            </w:r>
          </w:p>
        </w:tc>
        <w:tc>
          <w:tcPr>
            <w:tcW w:w="1260" w:type="dxa"/>
            <w:vAlign w:val="center"/>
          </w:tcPr>
          <w:p w14:paraId="7124BD95">
            <w:pPr>
              <w:tabs>
                <w:tab w:val="left" w:pos="1080"/>
              </w:tabs>
              <w:spacing w:line="240" w:lineRule="auto"/>
              <w:jc w:val="center"/>
              <w:rPr>
                <w:rFonts w:hint="eastAsia" w:ascii="宋体" w:hAnsi="宋体"/>
                <w:color w:val="auto"/>
                <w:sz w:val="24"/>
                <w:szCs w:val="22"/>
              </w:rPr>
            </w:pPr>
            <w:r>
              <w:rPr>
                <w:rFonts w:hint="eastAsia" w:ascii="宋体" w:hAnsi="宋体"/>
                <w:color w:val="auto"/>
                <w:sz w:val="24"/>
                <w:szCs w:val="22"/>
              </w:rPr>
              <w:t>17.2.1</w:t>
            </w:r>
          </w:p>
        </w:tc>
        <w:tc>
          <w:tcPr>
            <w:tcW w:w="7215" w:type="dxa"/>
            <w:gridSpan w:val="2"/>
            <w:vAlign w:val="center"/>
          </w:tcPr>
          <w:p w14:paraId="0098B073">
            <w:pPr>
              <w:tabs>
                <w:tab w:val="left" w:pos="1080"/>
              </w:tabs>
              <w:spacing w:line="240" w:lineRule="auto"/>
              <w:ind w:firstLine="480"/>
              <w:jc w:val="left"/>
              <w:rPr>
                <w:rFonts w:hint="eastAsia" w:ascii="宋体" w:hAnsi="宋体"/>
                <w:color w:val="auto"/>
                <w:sz w:val="24"/>
                <w:szCs w:val="22"/>
              </w:rPr>
            </w:pPr>
            <w:r>
              <w:rPr>
                <w:rFonts w:hint="eastAsia" w:ascii="宋体" w:hAnsi="宋体"/>
                <w:color w:val="auto"/>
                <w:sz w:val="24"/>
                <w:szCs w:val="22"/>
              </w:rPr>
              <w:t>材料、设备预付款比例：</w:t>
            </w:r>
            <w:r>
              <w:rPr>
                <w:rFonts w:hint="eastAsia" w:ascii="宋体" w:hAnsi="宋体"/>
                <w:color w:val="auto"/>
                <w:sz w:val="24"/>
                <w:szCs w:val="22"/>
                <w:u w:val="single"/>
              </w:rPr>
              <w:t xml:space="preserve">  钢材、水泥、砂、石 </w:t>
            </w:r>
            <w:r>
              <w:rPr>
                <w:rFonts w:hint="eastAsia" w:ascii="宋体" w:hAnsi="宋体"/>
                <w:color w:val="auto"/>
                <w:sz w:val="24"/>
                <w:szCs w:val="22"/>
              </w:rPr>
              <w:t>等主要材料、设备单据所列费用的70%</w:t>
            </w:r>
          </w:p>
        </w:tc>
      </w:tr>
      <w:tr w14:paraId="489A3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trPr>
        <w:tc>
          <w:tcPr>
            <w:tcW w:w="828" w:type="dxa"/>
            <w:vAlign w:val="center"/>
          </w:tcPr>
          <w:p w14:paraId="518BADCB">
            <w:pPr>
              <w:tabs>
                <w:tab w:val="left" w:pos="1080"/>
              </w:tabs>
              <w:spacing w:line="240" w:lineRule="auto"/>
              <w:jc w:val="center"/>
              <w:rPr>
                <w:rFonts w:hint="eastAsia" w:ascii="宋体" w:hAnsi="宋体"/>
                <w:color w:val="auto"/>
                <w:sz w:val="24"/>
                <w:szCs w:val="22"/>
              </w:rPr>
            </w:pPr>
            <w:r>
              <w:rPr>
                <w:rFonts w:hint="eastAsia" w:ascii="宋体" w:hAnsi="宋体"/>
                <w:color w:val="auto"/>
                <w:sz w:val="24"/>
                <w:szCs w:val="22"/>
              </w:rPr>
              <w:t>16</w:t>
            </w:r>
          </w:p>
        </w:tc>
        <w:tc>
          <w:tcPr>
            <w:tcW w:w="1260" w:type="dxa"/>
            <w:vAlign w:val="center"/>
          </w:tcPr>
          <w:p w14:paraId="727D54BA">
            <w:pPr>
              <w:tabs>
                <w:tab w:val="left" w:pos="1080"/>
              </w:tabs>
              <w:spacing w:line="240" w:lineRule="auto"/>
              <w:jc w:val="center"/>
              <w:rPr>
                <w:rFonts w:hint="eastAsia" w:ascii="宋体" w:hAnsi="宋体"/>
                <w:color w:val="auto"/>
                <w:sz w:val="24"/>
                <w:szCs w:val="22"/>
              </w:rPr>
            </w:pPr>
            <w:r>
              <w:rPr>
                <w:rFonts w:hint="eastAsia" w:ascii="宋体" w:hAnsi="宋体"/>
                <w:color w:val="auto"/>
                <w:sz w:val="24"/>
                <w:szCs w:val="22"/>
              </w:rPr>
              <w:t>17.3.2</w:t>
            </w:r>
          </w:p>
        </w:tc>
        <w:tc>
          <w:tcPr>
            <w:tcW w:w="7215" w:type="dxa"/>
            <w:gridSpan w:val="2"/>
            <w:vAlign w:val="center"/>
          </w:tcPr>
          <w:p w14:paraId="45414832">
            <w:pPr>
              <w:tabs>
                <w:tab w:val="left" w:pos="1080"/>
              </w:tabs>
              <w:spacing w:line="240" w:lineRule="auto"/>
              <w:ind w:left="-25" w:leftChars="-12" w:firstLine="480"/>
              <w:jc w:val="left"/>
              <w:rPr>
                <w:rFonts w:hint="eastAsia" w:ascii="宋体" w:hAnsi="宋体"/>
                <w:color w:val="auto"/>
                <w:sz w:val="24"/>
                <w:szCs w:val="22"/>
              </w:rPr>
            </w:pPr>
            <w:r>
              <w:rPr>
                <w:rFonts w:hint="eastAsia" w:ascii="宋体" w:hAnsi="宋体"/>
                <w:color w:val="auto"/>
                <w:sz w:val="24"/>
                <w:szCs w:val="22"/>
              </w:rPr>
              <w:t>承包人在每个付款周期末向监理人提交进度付款申请单的份数：5份</w:t>
            </w:r>
          </w:p>
        </w:tc>
      </w:tr>
      <w:tr w14:paraId="676AF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vAlign w:val="center"/>
          </w:tcPr>
          <w:p w14:paraId="1D68FC17">
            <w:pPr>
              <w:tabs>
                <w:tab w:val="left" w:pos="1080"/>
              </w:tabs>
              <w:spacing w:line="240" w:lineRule="auto"/>
              <w:jc w:val="center"/>
              <w:rPr>
                <w:rFonts w:hint="eastAsia" w:ascii="宋体" w:hAnsi="宋体"/>
                <w:color w:val="auto"/>
                <w:sz w:val="24"/>
                <w:szCs w:val="22"/>
              </w:rPr>
            </w:pPr>
            <w:r>
              <w:rPr>
                <w:rFonts w:hint="eastAsia" w:ascii="宋体" w:hAnsi="宋体"/>
                <w:color w:val="auto"/>
                <w:sz w:val="24"/>
                <w:szCs w:val="22"/>
              </w:rPr>
              <w:t>17</w:t>
            </w:r>
          </w:p>
        </w:tc>
        <w:tc>
          <w:tcPr>
            <w:tcW w:w="1260" w:type="dxa"/>
            <w:vAlign w:val="center"/>
          </w:tcPr>
          <w:p w14:paraId="0130CD5D">
            <w:pPr>
              <w:tabs>
                <w:tab w:val="left" w:pos="1080"/>
              </w:tabs>
              <w:spacing w:line="240" w:lineRule="auto"/>
              <w:jc w:val="center"/>
              <w:rPr>
                <w:rFonts w:hint="eastAsia" w:ascii="宋体" w:hAnsi="宋体"/>
                <w:color w:val="auto"/>
                <w:sz w:val="24"/>
                <w:szCs w:val="22"/>
              </w:rPr>
            </w:pPr>
            <w:r>
              <w:rPr>
                <w:rFonts w:hint="eastAsia" w:ascii="宋体" w:hAnsi="宋体"/>
                <w:color w:val="auto"/>
                <w:sz w:val="24"/>
                <w:szCs w:val="22"/>
              </w:rPr>
              <w:t>17.3.3(1)</w:t>
            </w:r>
          </w:p>
        </w:tc>
        <w:tc>
          <w:tcPr>
            <w:tcW w:w="7215" w:type="dxa"/>
            <w:gridSpan w:val="2"/>
            <w:vAlign w:val="center"/>
          </w:tcPr>
          <w:p w14:paraId="093C40F4">
            <w:pPr>
              <w:tabs>
                <w:tab w:val="left" w:pos="1080"/>
              </w:tabs>
              <w:spacing w:line="240" w:lineRule="auto"/>
              <w:ind w:firstLine="480"/>
              <w:jc w:val="left"/>
              <w:rPr>
                <w:rFonts w:hint="eastAsia" w:ascii="宋体" w:hAnsi="宋体"/>
                <w:color w:val="auto"/>
                <w:sz w:val="24"/>
                <w:szCs w:val="22"/>
              </w:rPr>
            </w:pPr>
            <w:r>
              <w:rPr>
                <w:rFonts w:hint="eastAsia" w:ascii="宋体" w:hAnsi="宋体"/>
                <w:color w:val="auto"/>
                <w:sz w:val="24"/>
                <w:szCs w:val="22"/>
              </w:rPr>
              <w:t>进度付款证书最低限额：25%签约合同价</w:t>
            </w:r>
          </w:p>
        </w:tc>
      </w:tr>
      <w:tr w14:paraId="647E5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vAlign w:val="center"/>
          </w:tcPr>
          <w:p w14:paraId="00DFE600">
            <w:pPr>
              <w:tabs>
                <w:tab w:val="left" w:pos="1080"/>
              </w:tabs>
              <w:spacing w:line="240" w:lineRule="auto"/>
              <w:jc w:val="center"/>
              <w:rPr>
                <w:rFonts w:hint="eastAsia" w:ascii="宋体" w:hAnsi="宋体"/>
                <w:color w:val="auto"/>
                <w:sz w:val="24"/>
                <w:szCs w:val="22"/>
              </w:rPr>
            </w:pPr>
            <w:r>
              <w:rPr>
                <w:rFonts w:hint="eastAsia" w:ascii="宋体" w:hAnsi="宋体"/>
                <w:color w:val="auto"/>
                <w:sz w:val="24"/>
                <w:szCs w:val="22"/>
              </w:rPr>
              <w:t>18</w:t>
            </w:r>
          </w:p>
        </w:tc>
        <w:tc>
          <w:tcPr>
            <w:tcW w:w="1260" w:type="dxa"/>
            <w:vAlign w:val="center"/>
          </w:tcPr>
          <w:p w14:paraId="30671363">
            <w:pPr>
              <w:tabs>
                <w:tab w:val="left" w:pos="1080"/>
              </w:tabs>
              <w:spacing w:line="240" w:lineRule="auto"/>
              <w:jc w:val="center"/>
              <w:rPr>
                <w:rFonts w:hint="eastAsia" w:ascii="宋体" w:hAnsi="宋体"/>
                <w:color w:val="auto"/>
                <w:sz w:val="24"/>
                <w:szCs w:val="22"/>
              </w:rPr>
            </w:pPr>
            <w:r>
              <w:rPr>
                <w:rFonts w:hint="eastAsia" w:ascii="宋体" w:hAnsi="宋体"/>
                <w:color w:val="auto"/>
                <w:sz w:val="24"/>
                <w:szCs w:val="22"/>
              </w:rPr>
              <w:t>17.3.3(2)</w:t>
            </w:r>
          </w:p>
        </w:tc>
        <w:tc>
          <w:tcPr>
            <w:tcW w:w="7215" w:type="dxa"/>
            <w:gridSpan w:val="2"/>
            <w:vAlign w:val="center"/>
          </w:tcPr>
          <w:p w14:paraId="485A4457">
            <w:pPr>
              <w:tabs>
                <w:tab w:val="left" w:pos="1080"/>
              </w:tabs>
              <w:spacing w:line="240" w:lineRule="auto"/>
              <w:ind w:firstLine="480"/>
              <w:jc w:val="left"/>
              <w:rPr>
                <w:rFonts w:hint="eastAsia" w:ascii="宋体" w:hAnsi="宋体"/>
                <w:color w:val="auto"/>
                <w:sz w:val="24"/>
                <w:szCs w:val="22"/>
              </w:rPr>
            </w:pPr>
            <w:r>
              <w:rPr>
                <w:rFonts w:hint="eastAsia" w:ascii="宋体" w:hAnsi="宋体"/>
                <w:color w:val="auto"/>
                <w:sz w:val="24"/>
                <w:szCs w:val="22"/>
              </w:rPr>
              <w:t>逾期付款违约金的的利率：0.15‰/天</w:t>
            </w:r>
          </w:p>
        </w:tc>
      </w:tr>
      <w:tr w14:paraId="14976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828" w:type="dxa"/>
            <w:vAlign w:val="center"/>
          </w:tcPr>
          <w:p w14:paraId="3CA1521F">
            <w:pPr>
              <w:tabs>
                <w:tab w:val="left" w:pos="1080"/>
              </w:tabs>
              <w:spacing w:line="240" w:lineRule="auto"/>
              <w:jc w:val="center"/>
              <w:rPr>
                <w:rFonts w:hint="eastAsia" w:ascii="宋体" w:hAnsi="宋体"/>
                <w:color w:val="auto"/>
                <w:sz w:val="24"/>
                <w:szCs w:val="22"/>
              </w:rPr>
            </w:pPr>
            <w:r>
              <w:rPr>
                <w:rFonts w:hint="eastAsia" w:ascii="宋体" w:hAnsi="宋体"/>
                <w:color w:val="auto"/>
                <w:sz w:val="24"/>
                <w:szCs w:val="22"/>
              </w:rPr>
              <w:t>19</w:t>
            </w:r>
          </w:p>
        </w:tc>
        <w:tc>
          <w:tcPr>
            <w:tcW w:w="1260" w:type="dxa"/>
            <w:vAlign w:val="center"/>
          </w:tcPr>
          <w:p w14:paraId="4479738E">
            <w:pPr>
              <w:tabs>
                <w:tab w:val="left" w:pos="1080"/>
              </w:tabs>
              <w:spacing w:line="240" w:lineRule="auto"/>
              <w:jc w:val="center"/>
              <w:rPr>
                <w:rFonts w:hint="eastAsia" w:ascii="宋体" w:hAnsi="宋体"/>
                <w:color w:val="auto"/>
                <w:sz w:val="24"/>
                <w:szCs w:val="22"/>
              </w:rPr>
            </w:pPr>
            <w:r>
              <w:rPr>
                <w:rFonts w:hint="eastAsia" w:ascii="宋体" w:hAnsi="宋体"/>
                <w:color w:val="auto"/>
                <w:sz w:val="24"/>
                <w:szCs w:val="22"/>
              </w:rPr>
              <w:t>17.4.1</w:t>
            </w:r>
          </w:p>
        </w:tc>
        <w:tc>
          <w:tcPr>
            <w:tcW w:w="7215" w:type="dxa"/>
            <w:gridSpan w:val="2"/>
            <w:vAlign w:val="center"/>
          </w:tcPr>
          <w:p w14:paraId="5691E2D6">
            <w:pPr>
              <w:tabs>
                <w:tab w:val="left" w:pos="1080"/>
              </w:tabs>
              <w:spacing w:line="240" w:lineRule="auto"/>
              <w:ind w:left="-25" w:leftChars="-12" w:firstLine="480"/>
              <w:jc w:val="left"/>
              <w:rPr>
                <w:rFonts w:hint="eastAsia" w:ascii="宋体" w:hAnsi="宋体"/>
                <w:color w:val="auto"/>
                <w:sz w:val="24"/>
                <w:szCs w:val="22"/>
              </w:rPr>
            </w:pPr>
            <w:r>
              <w:rPr>
                <w:rFonts w:hint="eastAsia" w:ascii="宋体" w:hAnsi="宋体"/>
                <w:color w:val="auto"/>
                <w:sz w:val="24"/>
                <w:szCs w:val="22"/>
              </w:rPr>
              <w:t>质量保证金限额：</w:t>
            </w:r>
            <w:r>
              <w:rPr>
                <w:rFonts w:hint="eastAsia"/>
                <w:color w:val="auto"/>
              </w:rPr>
              <w:t>按</w:t>
            </w:r>
            <w:r>
              <w:rPr>
                <w:color w:val="auto"/>
              </w:rPr>
              <w:t>每次计量</w:t>
            </w:r>
            <w:r>
              <w:rPr>
                <w:rFonts w:hint="eastAsia"/>
                <w:color w:val="auto"/>
              </w:rPr>
              <w:t>款</w:t>
            </w:r>
            <w:r>
              <w:rPr>
                <w:color w:val="auto"/>
              </w:rPr>
              <w:t>总额的3%</w:t>
            </w:r>
            <w:r>
              <w:rPr>
                <w:rFonts w:hint="eastAsia"/>
                <w:color w:val="auto"/>
              </w:rPr>
              <w:t>以转账的方式</w:t>
            </w:r>
            <w:r>
              <w:rPr>
                <w:color w:val="auto"/>
              </w:rPr>
              <w:t>汇到业主指定的账户</w:t>
            </w:r>
            <w:r>
              <w:rPr>
                <w:rFonts w:hint="eastAsia" w:ascii="宋体" w:hAnsi="宋体"/>
                <w:color w:val="auto"/>
                <w:szCs w:val="21"/>
              </w:rPr>
              <w:t>。</w:t>
            </w:r>
          </w:p>
          <w:p w14:paraId="6E5F79B4">
            <w:pPr>
              <w:widowControl/>
              <w:autoSpaceDE w:val="0"/>
              <w:autoSpaceDN w:val="0"/>
              <w:spacing w:line="240" w:lineRule="auto"/>
              <w:ind w:left="347" w:firstLine="480"/>
              <w:jc w:val="left"/>
              <w:rPr>
                <w:rFonts w:hint="eastAsia" w:ascii="宋体" w:hAnsi="宋体"/>
                <w:color w:val="auto"/>
                <w:sz w:val="24"/>
                <w:lang w:val="zh-CN"/>
              </w:rPr>
            </w:pPr>
            <w:r>
              <w:rPr>
                <w:rFonts w:hint="eastAsia" w:ascii="宋体" w:hAnsi="宋体"/>
                <w:color w:val="auto"/>
                <w:sz w:val="24"/>
                <w:lang w:val="zh-CN"/>
              </w:rPr>
              <w:t xml:space="preserve">质量保证金是否计付利息：    </w:t>
            </w:r>
          </w:p>
          <w:p w14:paraId="150BCFCD">
            <w:pPr>
              <w:widowControl/>
              <w:autoSpaceDE w:val="0"/>
              <w:autoSpaceDN w:val="0"/>
              <w:spacing w:line="240" w:lineRule="auto"/>
              <w:ind w:left="472" w:firstLine="480"/>
              <w:jc w:val="left"/>
              <w:rPr>
                <w:rFonts w:hint="eastAsia" w:ascii="宋体" w:hAnsi="宋体"/>
                <w:color w:val="auto"/>
                <w:sz w:val="24"/>
                <w:lang w:val="zh-CN"/>
              </w:rPr>
            </w:pPr>
            <w:r>
              <w:rPr>
                <w:rFonts w:hint="eastAsia" w:ascii="宋体" w:hAnsi="宋体"/>
                <w:color w:val="auto"/>
                <w:sz w:val="24"/>
                <w:lang w:val="zh-CN"/>
              </w:rPr>
              <w:t>□是，利息的计算方式：银行同期活期利息</w:t>
            </w:r>
          </w:p>
          <w:p w14:paraId="05058F4C">
            <w:pPr>
              <w:widowControl/>
              <w:autoSpaceDE w:val="0"/>
              <w:autoSpaceDN w:val="0"/>
              <w:spacing w:before="2" w:line="240" w:lineRule="auto"/>
              <w:ind w:left="472" w:firstLine="480"/>
              <w:jc w:val="left"/>
              <w:rPr>
                <w:rFonts w:ascii="Segoe UI Symbol" w:hAnsi="Segoe UI Symbol"/>
                <w:color w:val="auto"/>
                <w:sz w:val="24"/>
                <w:lang w:val="zh-CN"/>
              </w:rPr>
            </w:pPr>
            <w:r>
              <w:rPr>
                <w:rFonts w:ascii="Segoe UI Symbol" w:hAnsi="Segoe UI Symbol"/>
                <w:color w:val="auto"/>
                <w:sz w:val="24"/>
                <w:lang w:val="zh-CN"/>
              </w:rPr>
              <w:t>☑</w:t>
            </w:r>
            <w:r>
              <w:rPr>
                <w:rFonts w:hint="eastAsia" w:ascii="宋体" w:hAnsi="宋体"/>
                <w:color w:val="auto"/>
                <w:sz w:val="24"/>
                <w:lang w:val="zh-CN"/>
              </w:rPr>
              <w:t>否</w:t>
            </w:r>
            <w:r>
              <w:rPr>
                <w:rFonts w:hint="eastAsia" w:ascii="宋体" w:hAnsi="宋体"/>
                <w:color w:val="auto"/>
                <w:sz w:val="24"/>
                <w:szCs w:val="22"/>
              </w:rPr>
              <w:t xml:space="preserve">               </w:t>
            </w:r>
          </w:p>
        </w:tc>
      </w:tr>
      <w:tr w14:paraId="71BFB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28" w:type="dxa"/>
            <w:vAlign w:val="center"/>
          </w:tcPr>
          <w:p w14:paraId="7C45E247">
            <w:pPr>
              <w:tabs>
                <w:tab w:val="left" w:pos="1080"/>
              </w:tabs>
              <w:spacing w:line="240" w:lineRule="auto"/>
              <w:jc w:val="center"/>
              <w:rPr>
                <w:rFonts w:hint="eastAsia" w:ascii="宋体" w:hAnsi="宋体"/>
                <w:color w:val="auto"/>
                <w:sz w:val="24"/>
                <w:szCs w:val="22"/>
              </w:rPr>
            </w:pPr>
            <w:r>
              <w:rPr>
                <w:rFonts w:hint="eastAsia" w:ascii="宋体" w:hAnsi="宋体"/>
                <w:color w:val="auto"/>
                <w:sz w:val="24"/>
                <w:szCs w:val="22"/>
              </w:rPr>
              <w:t>20</w:t>
            </w:r>
          </w:p>
        </w:tc>
        <w:tc>
          <w:tcPr>
            <w:tcW w:w="1260" w:type="dxa"/>
            <w:vAlign w:val="center"/>
          </w:tcPr>
          <w:p w14:paraId="2F2E50A8">
            <w:pPr>
              <w:tabs>
                <w:tab w:val="left" w:pos="1080"/>
              </w:tabs>
              <w:spacing w:line="240" w:lineRule="auto"/>
              <w:jc w:val="center"/>
              <w:rPr>
                <w:rFonts w:hint="eastAsia" w:ascii="宋体" w:hAnsi="宋体"/>
                <w:color w:val="auto"/>
                <w:sz w:val="24"/>
                <w:szCs w:val="22"/>
              </w:rPr>
            </w:pPr>
            <w:r>
              <w:rPr>
                <w:rFonts w:hint="eastAsia" w:ascii="宋体" w:hAnsi="宋体"/>
                <w:color w:val="auto"/>
                <w:sz w:val="24"/>
                <w:szCs w:val="22"/>
              </w:rPr>
              <w:t>17.5.1</w:t>
            </w:r>
          </w:p>
        </w:tc>
        <w:tc>
          <w:tcPr>
            <w:tcW w:w="7215" w:type="dxa"/>
            <w:gridSpan w:val="2"/>
            <w:vAlign w:val="center"/>
          </w:tcPr>
          <w:p w14:paraId="3FCAD7E4">
            <w:pPr>
              <w:tabs>
                <w:tab w:val="left" w:pos="1080"/>
              </w:tabs>
              <w:spacing w:line="240" w:lineRule="auto"/>
              <w:jc w:val="left"/>
              <w:rPr>
                <w:rFonts w:hint="default" w:ascii="宋体" w:hAnsi="宋体" w:eastAsia="宋体"/>
                <w:color w:val="auto"/>
                <w:sz w:val="24"/>
                <w:szCs w:val="22"/>
                <w:lang w:val="en-US" w:eastAsia="zh-CN"/>
              </w:rPr>
            </w:pPr>
            <w:r>
              <w:rPr>
                <w:rFonts w:hint="eastAsia" w:ascii="宋体" w:hAnsi="宋体"/>
                <w:color w:val="auto"/>
                <w:sz w:val="24"/>
                <w:szCs w:val="22"/>
              </w:rPr>
              <w:t>承包人向监理人提交交工付款申请单（包括相关证明材料）的份数：</w:t>
            </w:r>
            <w:r>
              <w:rPr>
                <w:rFonts w:hint="eastAsia" w:ascii="宋体" w:hAnsi="宋体"/>
                <w:color w:val="auto"/>
                <w:sz w:val="24"/>
                <w:szCs w:val="22"/>
                <w:lang w:val="en-US" w:eastAsia="zh-CN"/>
              </w:rPr>
              <w:t>/</w:t>
            </w:r>
            <w:r>
              <w:rPr>
                <w:rFonts w:hint="eastAsia" w:ascii="宋体" w:hAnsi="宋体"/>
                <w:color w:val="auto"/>
                <w:sz w:val="24"/>
                <w:szCs w:val="22"/>
              </w:rPr>
              <w:t>份</w:t>
            </w:r>
            <w:r>
              <w:rPr>
                <w:rFonts w:hint="eastAsia" w:ascii="宋体" w:hAnsi="宋体"/>
                <w:color w:val="auto"/>
                <w:sz w:val="24"/>
                <w:szCs w:val="22"/>
                <w:lang w:val="en-US" w:eastAsia="zh-CN"/>
              </w:rPr>
              <w:t>(本项目无监理人）</w:t>
            </w:r>
          </w:p>
        </w:tc>
      </w:tr>
      <w:tr w14:paraId="4A78E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828" w:type="dxa"/>
            <w:vAlign w:val="center"/>
          </w:tcPr>
          <w:p w14:paraId="39FDA744">
            <w:pPr>
              <w:tabs>
                <w:tab w:val="left" w:pos="1080"/>
              </w:tabs>
              <w:spacing w:line="240" w:lineRule="auto"/>
              <w:jc w:val="center"/>
              <w:rPr>
                <w:rFonts w:hint="eastAsia" w:ascii="宋体" w:hAnsi="宋体"/>
                <w:color w:val="auto"/>
                <w:sz w:val="24"/>
                <w:szCs w:val="22"/>
              </w:rPr>
            </w:pPr>
            <w:r>
              <w:rPr>
                <w:rFonts w:hint="eastAsia" w:ascii="宋体" w:hAnsi="宋体"/>
                <w:color w:val="auto"/>
                <w:sz w:val="24"/>
                <w:szCs w:val="22"/>
              </w:rPr>
              <w:t>21</w:t>
            </w:r>
          </w:p>
        </w:tc>
        <w:tc>
          <w:tcPr>
            <w:tcW w:w="1260" w:type="dxa"/>
            <w:vAlign w:val="center"/>
          </w:tcPr>
          <w:p w14:paraId="26FA0D46">
            <w:pPr>
              <w:tabs>
                <w:tab w:val="left" w:pos="1080"/>
              </w:tabs>
              <w:spacing w:line="240" w:lineRule="auto"/>
              <w:jc w:val="center"/>
              <w:rPr>
                <w:rFonts w:hint="eastAsia" w:ascii="宋体" w:hAnsi="宋体"/>
                <w:color w:val="auto"/>
                <w:sz w:val="24"/>
                <w:szCs w:val="22"/>
              </w:rPr>
            </w:pPr>
            <w:r>
              <w:rPr>
                <w:rFonts w:hint="eastAsia" w:ascii="宋体" w:hAnsi="宋体"/>
                <w:color w:val="auto"/>
                <w:sz w:val="24"/>
                <w:szCs w:val="22"/>
              </w:rPr>
              <w:t>17.6.1</w:t>
            </w:r>
          </w:p>
        </w:tc>
        <w:tc>
          <w:tcPr>
            <w:tcW w:w="7215" w:type="dxa"/>
            <w:gridSpan w:val="2"/>
            <w:vAlign w:val="center"/>
          </w:tcPr>
          <w:p w14:paraId="3CE6C96F">
            <w:pPr>
              <w:tabs>
                <w:tab w:val="left" w:pos="1080"/>
              </w:tabs>
              <w:spacing w:line="240" w:lineRule="auto"/>
              <w:jc w:val="left"/>
              <w:rPr>
                <w:rFonts w:hint="eastAsia" w:ascii="宋体" w:hAnsi="宋体"/>
                <w:color w:val="auto"/>
                <w:sz w:val="24"/>
                <w:szCs w:val="22"/>
              </w:rPr>
            </w:pPr>
            <w:r>
              <w:rPr>
                <w:rFonts w:hint="eastAsia" w:ascii="宋体" w:hAnsi="宋体"/>
                <w:color w:val="auto"/>
                <w:sz w:val="24"/>
                <w:szCs w:val="22"/>
              </w:rPr>
              <w:t>承包人向监理人提交最终结清申请单（包括相关证明材料）的份数：</w:t>
            </w:r>
            <w:r>
              <w:rPr>
                <w:rFonts w:hint="eastAsia" w:ascii="宋体" w:hAnsi="宋体"/>
                <w:color w:val="auto"/>
                <w:sz w:val="24"/>
                <w:szCs w:val="22"/>
                <w:lang w:val="en-US" w:eastAsia="zh-CN"/>
              </w:rPr>
              <w:t>/</w:t>
            </w:r>
            <w:r>
              <w:rPr>
                <w:rFonts w:hint="eastAsia" w:ascii="宋体" w:hAnsi="宋体"/>
                <w:color w:val="auto"/>
                <w:sz w:val="24"/>
                <w:szCs w:val="22"/>
              </w:rPr>
              <w:t>份</w:t>
            </w:r>
            <w:r>
              <w:rPr>
                <w:rFonts w:hint="eastAsia" w:ascii="宋体" w:hAnsi="宋体"/>
                <w:color w:val="auto"/>
                <w:sz w:val="24"/>
                <w:szCs w:val="22"/>
                <w:lang w:val="en-US" w:eastAsia="zh-CN"/>
              </w:rPr>
              <w:t>(本项目无监理人）</w:t>
            </w:r>
          </w:p>
        </w:tc>
      </w:tr>
      <w:tr w14:paraId="0278A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vAlign w:val="center"/>
          </w:tcPr>
          <w:p w14:paraId="37140C0D">
            <w:pPr>
              <w:tabs>
                <w:tab w:val="left" w:pos="1080"/>
              </w:tabs>
              <w:spacing w:line="240" w:lineRule="auto"/>
              <w:jc w:val="center"/>
              <w:rPr>
                <w:rFonts w:hint="eastAsia" w:ascii="宋体" w:hAnsi="宋体"/>
                <w:color w:val="auto"/>
                <w:sz w:val="24"/>
                <w:szCs w:val="22"/>
              </w:rPr>
            </w:pPr>
            <w:r>
              <w:rPr>
                <w:rFonts w:hint="eastAsia" w:ascii="宋体" w:hAnsi="宋体"/>
                <w:color w:val="auto"/>
                <w:sz w:val="24"/>
                <w:szCs w:val="22"/>
              </w:rPr>
              <w:t>22</w:t>
            </w:r>
          </w:p>
        </w:tc>
        <w:tc>
          <w:tcPr>
            <w:tcW w:w="1260" w:type="dxa"/>
            <w:vAlign w:val="center"/>
          </w:tcPr>
          <w:p w14:paraId="417D28CF">
            <w:pPr>
              <w:tabs>
                <w:tab w:val="left" w:pos="1080"/>
              </w:tabs>
              <w:spacing w:line="240" w:lineRule="auto"/>
              <w:jc w:val="center"/>
              <w:rPr>
                <w:rFonts w:hint="eastAsia" w:ascii="宋体" w:hAnsi="宋体"/>
                <w:color w:val="auto"/>
                <w:sz w:val="24"/>
                <w:szCs w:val="22"/>
              </w:rPr>
            </w:pPr>
            <w:r>
              <w:rPr>
                <w:rFonts w:hint="eastAsia" w:ascii="宋体" w:hAnsi="宋体"/>
                <w:color w:val="auto"/>
                <w:sz w:val="24"/>
                <w:szCs w:val="22"/>
              </w:rPr>
              <w:t>18.2</w:t>
            </w:r>
          </w:p>
        </w:tc>
        <w:tc>
          <w:tcPr>
            <w:tcW w:w="7215" w:type="dxa"/>
            <w:gridSpan w:val="2"/>
            <w:vAlign w:val="center"/>
          </w:tcPr>
          <w:p w14:paraId="714A2F7D">
            <w:pPr>
              <w:tabs>
                <w:tab w:val="left" w:pos="1080"/>
              </w:tabs>
              <w:spacing w:line="240" w:lineRule="auto"/>
              <w:ind w:left="-25" w:leftChars="-12" w:firstLine="480"/>
              <w:jc w:val="left"/>
              <w:rPr>
                <w:rFonts w:hint="eastAsia" w:ascii="宋体" w:hAnsi="宋体"/>
                <w:color w:val="auto"/>
                <w:sz w:val="24"/>
                <w:szCs w:val="22"/>
              </w:rPr>
            </w:pPr>
            <w:r>
              <w:rPr>
                <w:rFonts w:hint="eastAsia" w:ascii="宋体" w:hAnsi="宋体"/>
                <w:color w:val="auto"/>
                <w:sz w:val="24"/>
                <w:szCs w:val="22"/>
              </w:rPr>
              <w:t>竣工资料的份数：3份</w:t>
            </w:r>
          </w:p>
        </w:tc>
      </w:tr>
      <w:tr w14:paraId="464E7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828" w:type="dxa"/>
            <w:vAlign w:val="center"/>
          </w:tcPr>
          <w:p w14:paraId="225BFA55">
            <w:pPr>
              <w:tabs>
                <w:tab w:val="left" w:pos="1080"/>
              </w:tabs>
              <w:spacing w:line="240" w:lineRule="auto"/>
              <w:jc w:val="center"/>
              <w:rPr>
                <w:rFonts w:hint="eastAsia" w:ascii="宋体" w:hAnsi="宋体"/>
                <w:color w:val="auto"/>
                <w:sz w:val="24"/>
                <w:szCs w:val="22"/>
              </w:rPr>
            </w:pPr>
            <w:r>
              <w:rPr>
                <w:rFonts w:hint="eastAsia" w:ascii="宋体" w:hAnsi="宋体"/>
                <w:color w:val="auto"/>
                <w:sz w:val="24"/>
                <w:szCs w:val="22"/>
              </w:rPr>
              <w:t>23</w:t>
            </w:r>
          </w:p>
        </w:tc>
        <w:tc>
          <w:tcPr>
            <w:tcW w:w="1260" w:type="dxa"/>
            <w:vAlign w:val="center"/>
          </w:tcPr>
          <w:p w14:paraId="366C5249">
            <w:pPr>
              <w:tabs>
                <w:tab w:val="left" w:pos="1080"/>
              </w:tabs>
              <w:spacing w:line="240" w:lineRule="auto"/>
              <w:jc w:val="center"/>
              <w:rPr>
                <w:rFonts w:hint="eastAsia" w:ascii="宋体" w:hAnsi="宋体"/>
                <w:color w:val="auto"/>
                <w:sz w:val="24"/>
                <w:szCs w:val="22"/>
              </w:rPr>
            </w:pPr>
            <w:r>
              <w:rPr>
                <w:rFonts w:hint="eastAsia" w:ascii="宋体" w:hAnsi="宋体"/>
                <w:color w:val="auto"/>
                <w:sz w:val="24"/>
                <w:szCs w:val="22"/>
              </w:rPr>
              <w:t>18.5.1</w:t>
            </w:r>
          </w:p>
        </w:tc>
        <w:tc>
          <w:tcPr>
            <w:tcW w:w="7215" w:type="dxa"/>
            <w:gridSpan w:val="2"/>
            <w:vAlign w:val="center"/>
          </w:tcPr>
          <w:p w14:paraId="17F88DB4">
            <w:pPr>
              <w:tabs>
                <w:tab w:val="left" w:pos="1080"/>
              </w:tabs>
              <w:spacing w:line="240" w:lineRule="auto"/>
              <w:ind w:left="-25" w:leftChars="-12" w:firstLine="480"/>
              <w:jc w:val="left"/>
              <w:rPr>
                <w:rFonts w:hint="eastAsia" w:ascii="宋体" w:hAnsi="宋体"/>
                <w:color w:val="auto"/>
                <w:sz w:val="24"/>
                <w:szCs w:val="22"/>
              </w:rPr>
            </w:pPr>
            <w:r>
              <w:rPr>
                <w:rFonts w:hint="eastAsia" w:ascii="宋体" w:hAnsi="宋体"/>
                <w:color w:val="auto"/>
                <w:sz w:val="24"/>
                <w:szCs w:val="22"/>
              </w:rPr>
              <w:t>单位工程或工程设备是否需投入施工期运行：是</w:t>
            </w:r>
          </w:p>
          <w:p w14:paraId="4C0D8975">
            <w:pPr>
              <w:tabs>
                <w:tab w:val="left" w:pos="1080"/>
              </w:tabs>
              <w:spacing w:line="240" w:lineRule="auto"/>
              <w:ind w:left="-25" w:leftChars="-12" w:firstLine="480"/>
              <w:jc w:val="left"/>
              <w:rPr>
                <w:rFonts w:hint="eastAsia" w:ascii="宋体" w:hAnsi="宋体"/>
                <w:color w:val="auto"/>
                <w:sz w:val="24"/>
                <w:szCs w:val="22"/>
              </w:rPr>
            </w:pPr>
            <w:r>
              <w:rPr>
                <w:rFonts w:hint="eastAsia" w:ascii="宋体" w:hAnsi="宋体"/>
                <w:color w:val="auto"/>
                <w:sz w:val="24"/>
                <w:szCs w:val="22"/>
              </w:rPr>
              <w:t>本项目属于旧路改建，需要在施工期间维持交通畅通。</w:t>
            </w:r>
          </w:p>
        </w:tc>
      </w:tr>
      <w:tr w14:paraId="46AA6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vAlign w:val="center"/>
          </w:tcPr>
          <w:p w14:paraId="1C34498E">
            <w:pPr>
              <w:tabs>
                <w:tab w:val="left" w:pos="1080"/>
              </w:tabs>
              <w:spacing w:line="240" w:lineRule="auto"/>
              <w:jc w:val="center"/>
              <w:rPr>
                <w:rFonts w:hint="eastAsia" w:ascii="宋体" w:hAnsi="宋体"/>
                <w:color w:val="auto"/>
                <w:sz w:val="24"/>
                <w:szCs w:val="22"/>
              </w:rPr>
            </w:pPr>
            <w:r>
              <w:rPr>
                <w:rFonts w:hint="eastAsia" w:ascii="宋体" w:hAnsi="宋体"/>
                <w:color w:val="auto"/>
                <w:sz w:val="24"/>
                <w:szCs w:val="22"/>
              </w:rPr>
              <w:t>24</w:t>
            </w:r>
          </w:p>
        </w:tc>
        <w:tc>
          <w:tcPr>
            <w:tcW w:w="1260" w:type="dxa"/>
            <w:vAlign w:val="center"/>
          </w:tcPr>
          <w:p w14:paraId="0063FD9B">
            <w:pPr>
              <w:tabs>
                <w:tab w:val="left" w:pos="1080"/>
              </w:tabs>
              <w:spacing w:line="240" w:lineRule="auto"/>
              <w:jc w:val="center"/>
              <w:rPr>
                <w:rFonts w:hint="eastAsia" w:ascii="宋体" w:hAnsi="宋体"/>
                <w:color w:val="auto"/>
                <w:sz w:val="24"/>
                <w:szCs w:val="22"/>
              </w:rPr>
            </w:pPr>
            <w:r>
              <w:rPr>
                <w:rFonts w:hint="eastAsia" w:ascii="宋体" w:hAnsi="宋体"/>
                <w:color w:val="auto"/>
                <w:sz w:val="24"/>
                <w:szCs w:val="22"/>
              </w:rPr>
              <w:t>18.6.1</w:t>
            </w:r>
          </w:p>
        </w:tc>
        <w:tc>
          <w:tcPr>
            <w:tcW w:w="7215" w:type="dxa"/>
            <w:gridSpan w:val="2"/>
            <w:vAlign w:val="center"/>
          </w:tcPr>
          <w:p w14:paraId="76F05609">
            <w:pPr>
              <w:tabs>
                <w:tab w:val="left" w:pos="1080"/>
              </w:tabs>
              <w:spacing w:line="240" w:lineRule="auto"/>
              <w:ind w:left="-25" w:leftChars="-12" w:firstLine="480"/>
              <w:jc w:val="left"/>
              <w:rPr>
                <w:rFonts w:hint="eastAsia" w:ascii="宋体" w:hAnsi="宋体"/>
                <w:color w:val="auto"/>
                <w:sz w:val="24"/>
                <w:szCs w:val="22"/>
              </w:rPr>
            </w:pPr>
            <w:r>
              <w:rPr>
                <w:rFonts w:hint="eastAsia" w:ascii="宋体" w:hAnsi="宋体"/>
                <w:color w:val="auto"/>
                <w:sz w:val="24"/>
                <w:szCs w:val="22"/>
              </w:rPr>
              <w:t>本工程及工程设备是否进行试运行：否</w:t>
            </w:r>
          </w:p>
        </w:tc>
      </w:tr>
      <w:tr w14:paraId="58AB7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67" w:hRule="exact"/>
        </w:trPr>
        <w:tc>
          <w:tcPr>
            <w:tcW w:w="828" w:type="dxa"/>
            <w:vAlign w:val="center"/>
          </w:tcPr>
          <w:p w14:paraId="07076EF7">
            <w:pPr>
              <w:tabs>
                <w:tab w:val="left" w:pos="1080"/>
              </w:tabs>
              <w:spacing w:line="240" w:lineRule="auto"/>
              <w:jc w:val="center"/>
              <w:rPr>
                <w:rFonts w:hint="eastAsia" w:ascii="宋体" w:hAnsi="宋体"/>
                <w:color w:val="auto"/>
                <w:sz w:val="24"/>
                <w:szCs w:val="22"/>
              </w:rPr>
            </w:pPr>
            <w:r>
              <w:rPr>
                <w:rFonts w:hint="eastAsia" w:ascii="宋体" w:hAnsi="宋体"/>
                <w:color w:val="auto"/>
                <w:sz w:val="24"/>
                <w:szCs w:val="22"/>
              </w:rPr>
              <w:t>25</w:t>
            </w:r>
          </w:p>
        </w:tc>
        <w:tc>
          <w:tcPr>
            <w:tcW w:w="1260" w:type="dxa"/>
            <w:vAlign w:val="center"/>
          </w:tcPr>
          <w:p w14:paraId="1E4DCD51">
            <w:pPr>
              <w:tabs>
                <w:tab w:val="left" w:pos="1080"/>
              </w:tabs>
              <w:spacing w:line="240" w:lineRule="auto"/>
              <w:jc w:val="center"/>
              <w:rPr>
                <w:rFonts w:hint="eastAsia" w:ascii="宋体" w:hAnsi="宋体"/>
                <w:color w:val="auto"/>
                <w:sz w:val="24"/>
                <w:szCs w:val="22"/>
              </w:rPr>
            </w:pPr>
            <w:r>
              <w:rPr>
                <w:rFonts w:hint="eastAsia" w:ascii="宋体" w:hAnsi="宋体"/>
                <w:color w:val="auto"/>
                <w:sz w:val="24"/>
                <w:szCs w:val="22"/>
              </w:rPr>
              <w:t>19.7</w:t>
            </w:r>
          </w:p>
        </w:tc>
        <w:tc>
          <w:tcPr>
            <w:tcW w:w="7207" w:type="dxa"/>
            <w:vAlign w:val="center"/>
          </w:tcPr>
          <w:p w14:paraId="17EEF6AF">
            <w:pPr>
              <w:tabs>
                <w:tab w:val="left" w:pos="1080"/>
              </w:tabs>
              <w:spacing w:line="240" w:lineRule="auto"/>
              <w:ind w:left="-25" w:leftChars="-12" w:firstLine="480"/>
              <w:jc w:val="left"/>
              <w:rPr>
                <w:rFonts w:hint="eastAsia" w:ascii="宋体" w:hAnsi="宋体"/>
                <w:color w:val="auto"/>
                <w:sz w:val="24"/>
                <w:szCs w:val="22"/>
              </w:rPr>
            </w:pPr>
            <w:r>
              <w:rPr>
                <w:rFonts w:hint="eastAsia" w:ascii="宋体" w:hAnsi="宋体"/>
                <w:color w:val="auto"/>
                <w:sz w:val="24"/>
                <w:szCs w:val="22"/>
              </w:rPr>
              <w:t>质量保修期：/</w:t>
            </w:r>
          </w:p>
        </w:tc>
      </w:tr>
      <w:tr w14:paraId="502DC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995" w:hRule="exact"/>
        </w:trPr>
        <w:tc>
          <w:tcPr>
            <w:tcW w:w="828" w:type="dxa"/>
            <w:vAlign w:val="center"/>
          </w:tcPr>
          <w:p w14:paraId="2B8B9536">
            <w:pPr>
              <w:tabs>
                <w:tab w:val="left" w:pos="1080"/>
              </w:tabs>
              <w:spacing w:line="240" w:lineRule="auto"/>
              <w:jc w:val="center"/>
              <w:rPr>
                <w:rFonts w:hint="eastAsia" w:ascii="宋体" w:hAnsi="宋体"/>
                <w:color w:val="auto"/>
                <w:sz w:val="24"/>
                <w:szCs w:val="22"/>
              </w:rPr>
            </w:pPr>
            <w:r>
              <w:rPr>
                <w:rFonts w:hint="eastAsia" w:ascii="宋体" w:hAnsi="宋体"/>
                <w:color w:val="auto"/>
                <w:sz w:val="24"/>
                <w:szCs w:val="22"/>
              </w:rPr>
              <w:t>26</w:t>
            </w:r>
          </w:p>
        </w:tc>
        <w:tc>
          <w:tcPr>
            <w:tcW w:w="1260" w:type="dxa"/>
            <w:vAlign w:val="center"/>
          </w:tcPr>
          <w:p w14:paraId="014A94FD">
            <w:pPr>
              <w:tabs>
                <w:tab w:val="left" w:pos="1080"/>
              </w:tabs>
              <w:spacing w:line="240" w:lineRule="auto"/>
              <w:jc w:val="center"/>
              <w:rPr>
                <w:rFonts w:hint="eastAsia" w:ascii="宋体" w:hAnsi="宋体"/>
                <w:color w:val="auto"/>
                <w:sz w:val="24"/>
                <w:szCs w:val="22"/>
              </w:rPr>
            </w:pPr>
            <w:r>
              <w:rPr>
                <w:rFonts w:hint="eastAsia" w:ascii="宋体" w:hAnsi="宋体"/>
                <w:color w:val="auto"/>
                <w:sz w:val="24"/>
                <w:szCs w:val="22"/>
              </w:rPr>
              <w:t>20.1</w:t>
            </w:r>
          </w:p>
        </w:tc>
        <w:tc>
          <w:tcPr>
            <w:tcW w:w="7207" w:type="dxa"/>
            <w:vAlign w:val="center"/>
          </w:tcPr>
          <w:p w14:paraId="27BE11ED">
            <w:pPr>
              <w:tabs>
                <w:tab w:val="left" w:pos="1080"/>
              </w:tabs>
              <w:spacing w:line="240" w:lineRule="auto"/>
              <w:ind w:left="-25" w:leftChars="-12" w:firstLine="480"/>
              <w:jc w:val="left"/>
              <w:rPr>
                <w:rFonts w:hint="eastAsia" w:ascii="宋体" w:hAnsi="宋体"/>
                <w:color w:val="auto"/>
                <w:kern w:val="0"/>
                <w:sz w:val="22"/>
                <w:szCs w:val="22"/>
                <w:lang w:bidi="zh-CN"/>
              </w:rPr>
            </w:pPr>
            <w:r>
              <w:rPr>
                <w:rFonts w:hint="eastAsia" w:ascii="宋体" w:hAnsi="宋体"/>
                <w:color w:val="auto"/>
                <w:kern w:val="0"/>
                <w:sz w:val="22"/>
                <w:szCs w:val="22"/>
                <w:lang w:bidi="zh-CN"/>
              </w:rPr>
              <w:t>建筑工程一切险由承包人承担，并视为包含在工程量清单的单价及总价中，发包人不在单独支付。</w:t>
            </w:r>
          </w:p>
        </w:tc>
      </w:tr>
      <w:tr w14:paraId="25350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384" w:hRule="exact"/>
        </w:trPr>
        <w:tc>
          <w:tcPr>
            <w:tcW w:w="828" w:type="dxa"/>
            <w:vAlign w:val="center"/>
          </w:tcPr>
          <w:p w14:paraId="40503498">
            <w:pPr>
              <w:tabs>
                <w:tab w:val="left" w:pos="1080"/>
              </w:tabs>
              <w:spacing w:line="240" w:lineRule="auto"/>
              <w:jc w:val="center"/>
              <w:rPr>
                <w:rFonts w:hint="eastAsia" w:ascii="宋体" w:hAnsi="宋体"/>
                <w:color w:val="auto"/>
                <w:sz w:val="24"/>
                <w:szCs w:val="22"/>
              </w:rPr>
            </w:pPr>
            <w:r>
              <w:rPr>
                <w:rFonts w:hint="eastAsia" w:ascii="宋体" w:hAnsi="宋体"/>
                <w:color w:val="auto"/>
                <w:sz w:val="24"/>
                <w:szCs w:val="22"/>
              </w:rPr>
              <w:t>27</w:t>
            </w:r>
          </w:p>
        </w:tc>
        <w:tc>
          <w:tcPr>
            <w:tcW w:w="1260" w:type="dxa"/>
            <w:vAlign w:val="center"/>
          </w:tcPr>
          <w:p w14:paraId="016276EB">
            <w:pPr>
              <w:tabs>
                <w:tab w:val="left" w:pos="1080"/>
              </w:tabs>
              <w:spacing w:line="240" w:lineRule="auto"/>
              <w:jc w:val="center"/>
              <w:rPr>
                <w:rFonts w:hint="eastAsia" w:ascii="宋体" w:hAnsi="宋体"/>
                <w:color w:val="auto"/>
                <w:sz w:val="24"/>
                <w:szCs w:val="22"/>
              </w:rPr>
            </w:pPr>
            <w:r>
              <w:rPr>
                <w:rFonts w:hint="eastAsia" w:ascii="宋体" w:hAnsi="宋体"/>
                <w:color w:val="auto"/>
                <w:sz w:val="24"/>
                <w:szCs w:val="22"/>
              </w:rPr>
              <w:t>20.4.2</w:t>
            </w:r>
          </w:p>
        </w:tc>
        <w:tc>
          <w:tcPr>
            <w:tcW w:w="7207" w:type="dxa"/>
            <w:vAlign w:val="center"/>
          </w:tcPr>
          <w:p w14:paraId="7184BDE1">
            <w:pPr>
              <w:tabs>
                <w:tab w:val="left" w:pos="1080"/>
              </w:tabs>
              <w:spacing w:line="240" w:lineRule="auto"/>
              <w:ind w:left="-25" w:leftChars="-12" w:firstLine="480"/>
              <w:jc w:val="left"/>
              <w:rPr>
                <w:rFonts w:hint="eastAsia" w:ascii="宋体" w:hAnsi="宋体"/>
                <w:color w:val="auto"/>
                <w:sz w:val="24"/>
                <w:szCs w:val="22"/>
              </w:rPr>
            </w:pPr>
            <w:r>
              <w:rPr>
                <w:rFonts w:hint="eastAsia" w:ascii="宋体" w:hAnsi="宋体"/>
                <w:color w:val="auto"/>
                <w:sz w:val="24"/>
                <w:szCs w:val="22"/>
              </w:rPr>
              <w:t>第三者责任险由承包人以承包人与项目法人的名义联名投保，保险费由承包人承担并支付，投标人应在所报的单价或总额价中对该保险费予以考虑，项目法人不单独进行计量与支付。</w:t>
            </w:r>
          </w:p>
        </w:tc>
      </w:tr>
      <w:tr w14:paraId="32CE2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75" w:hRule="atLeast"/>
        </w:trPr>
        <w:tc>
          <w:tcPr>
            <w:tcW w:w="828" w:type="dxa"/>
            <w:vAlign w:val="center"/>
          </w:tcPr>
          <w:p w14:paraId="377CDF3B">
            <w:pPr>
              <w:tabs>
                <w:tab w:val="left" w:pos="1080"/>
              </w:tabs>
              <w:spacing w:line="240" w:lineRule="auto"/>
              <w:jc w:val="center"/>
              <w:rPr>
                <w:rFonts w:hint="eastAsia" w:ascii="宋体" w:hAnsi="宋体"/>
                <w:color w:val="auto"/>
                <w:sz w:val="24"/>
                <w:szCs w:val="22"/>
              </w:rPr>
            </w:pPr>
            <w:r>
              <w:rPr>
                <w:rFonts w:hint="eastAsia" w:ascii="宋体" w:hAnsi="宋体"/>
                <w:color w:val="auto"/>
                <w:sz w:val="24"/>
                <w:szCs w:val="22"/>
              </w:rPr>
              <w:t>27</w:t>
            </w:r>
          </w:p>
        </w:tc>
        <w:tc>
          <w:tcPr>
            <w:tcW w:w="1260" w:type="dxa"/>
            <w:vAlign w:val="center"/>
          </w:tcPr>
          <w:p w14:paraId="6A49EFC2">
            <w:pPr>
              <w:tabs>
                <w:tab w:val="left" w:pos="1080"/>
              </w:tabs>
              <w:spacing w:line="240" w:lineRule="auto"/>
              <w:jc w:val="center"/>
              <w:rPr>
                <w:rFonts w:hint="eastAsia" w:ascii="宋体" w:hAnsi="宋体"/>
                <w:color w:val="auto"/>
                <w:sz w:val="24"/>
                <w:szCs w:val="22"/>
              </w:rPr>
            </w:pPr>
            <w:r>
              <w:rPr>
                <w:rFonts w:hint="eastAsia" w:ascii="宋体" w:hAnsi="宋体"/>
                <w:color w:val="auto"/>
                <w:sz w:val="24"/>
                <w:szCs w:val="22"/>
              </w:rPr>
              <w:t>20.7</w:t>
            </w:r>
          </w:p>
        </w:tc>
        <w:tc>
          <w:tcPr>
            <w:tcW w:w="7207" w:type="dxa"/>
            <w:vAlign w:val="center"/>
          </w:tcPr>
          <w:p w14:paraId="58B2E8DC">
            <w:pPr>
              <w:tabs>
                <w:tab w:val="left" w:pos="1080"/>
              </w:tabs>
              <w:spacing w:line="240" w:lineRule="auto"/>
              <w:ind w:left="-25" w:leftChars="-12" w:firstLine="480"/>
              <w:jc w:val="left"/>
              <w:rPr>
                <w:rFonts w:hint="eastAsia"/>
                <w:color w:val="auto"/>
                <w:sz w:val="24"/>
                <w:lang w:bidi="zh-CN"/>
              </w:rPr>
            </w:pPr>
            <w:r>
              <w:rPr>
                <w:rFonts w:hint="eastAsia"/>
                <w:color w:val="auto"/>
                <w:sz w:val="24"/>
                <w:lang w:bidi="zh-CN"/>
              </w:rPr>
              <w:t>承包人应根据《广西壮族自治区交通运输厅关于推进实施行业工程建设领域安全生产责任保险工作的通知》（桂交安监函〔2021〕89号）要求购买安全生产责任保险。安全生产责任险的保险费投标人应在所报的单价或总额价中对该保险费予以考虑，项目法人不单独进行计量与支付。</w:t>
            </w:r>
          </w:p>
        </w:tc>
      </w:tr>
      <w:tr w14:paraId="0D400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70" w:hRule="atLeast"/>
        </w:trPr>
        <w:tc>
          <w:tcPr>
            <w:tcW w:w="828" w:type="dxa"/>
            <w:vAlign w:val="center"/>
          </w:tcPr>
          <w:p w14:paraId="012B3990">
            <w:pPr>
              <w:tabs>
                <w:tab w:val="left" w:pos="1080"/>
              </w:tabs>
              <w:spacing w:line="240" w:lineRule="auto"/>
              <w:jc w:val="center"/>
              <w:rPr>
                <w:rFonts w:hint="eastAsia" w:ascii="宋体" w:hAnsi="宋体"/>
                <w:color w:val="auto"/>
                <w:sz w:val="24"/>
                <w:szCs w:val="22"/>
              </w:rPr>
            </w:pPr>
            <w:r>
              <w:rPr>
                <w:rFonts w:hint="eastAsia" w:ascii="宋体" w:hAnsi="宋体"/>
                <w:color w:val="auto"/>
                <w:sz w:val="24"/>
                <w:szCs w:val="22"/>
              </w:rPr>
              <w:t>28</w:t>
            </w:r>
          </w:p>
        </w:tc>
        <w:tc>
          <w:tcPr>
            <w:tcW w:w="1260" w:type="dxa"/>
            <w:vAlign w:val="center"/>
          </w:tcPr>
          <w:p w14:paraId="36773139">
            <w:pPr>
              <w:tabs>
                <w:tab w:val="left" w:pos="1080"/>
              </w:tabs>
              <w:spacing w:line="240" w:lineRule="auto"/>
              <w:jc w:val="center"/>
              <w:rPr>
                <w:rFonts w:hint="eastAsia" w:ascii="宋体" w:hAnsi="宋体"/>
                <w:color w:val="auto"/>
                <w:sz w:val="24"/>
                <w:szCs w:val="22"/>
              </w:rPr>
            </w:pPr>
            <w:r>
              <w:rPr>
                <w:rFonts w:hint="eastAsia" w:ascii="宋体" w:hAnsi="宋体"/>
                <w:color w:val="auto"/>
                <w:sz w:val="24"/>
                <w:szCs w:val="22"/>
              </w:rPr>
              <w:t>24.1</w:t>
            </w:r>
          </w:p>
        </w:tc>
        <w:tc>
          <w:tcPr>
            <w:tcW w:w="7207" w:type="dxa"/>
            <w:vAlign w:val="center"/>
          </w:tcPr>
          <w:p w14:paraId="66B5AAE4">
            <w:pPr>
              <w:tabs>
                <w:tab w:val="left" w:pos="1080"/>
              </w:tabs>
              <w:spacing w:line="240" w:lineRule="auto"/>
              <w:ind w:firstLine="480"/>
              <w:jc w:val="left"/>
              <w:rPr>
                <w:rFonts w:hint="eastAsia" w:ascii="宋体" w:hAnsi="宋体"/>
                <w:color w:val="auto"/>
                <w:sz w:val="24"/>
                <w:szCs w:val="22"/>
              </w:rPr>
            </w:pPr>
            <w:r>
              <w:rPr>
                <w:rFonts w:hint="eastAsia" w:ascii="宋体" w:hAnsi="宋体"/>
                <w:color w:val="auto"/>
                <w:sz w:val="24"/>
                <w:szCs w:val="22"/>
              </w:rPr>
              <w:t>争议的最终解决方式：诉讼</w:t>
            </w:r>
          </w:p>
        </w:tc>
      </w:tr>
    </w:tbl>
    <w:p w14:paraId="22ACDA31">
      <w:pPr>
        <w:autoSpaceDE w:val="0"/>
        <w:autoSpaceDN w:val="0"/>
        <w:spacing w:before="5" w:line="240" w:lineRule="auto"/>
        <w:jc w:val="left"/>
        <w:rPr>
          <w:rFonts w:ascii="宋体" w:hAnsi="宋体"/>
          <w:color w:val="auto"/>
          <w:kern w:val="0"/>
          <w:sz w:val="8"/>
          <w:lang w:val="zh-CN" w:bidi="zh-CN"/>
        </w:rPr>
      </w:pPr>
    </w:p>
    <w:p w14:paraId="25733421">
      <w:pPr>
        <w:autoSpaceDE w:val="0"/>
        <w:autoSpaceDN w:val="0"/>
        <w:spacing w:before="1" w:line="240" w:lineRule="auto"/>
        <w:jc w:val="left"/>
        <w:rPr>
          <w:rFonts w:ascii="宋体" w:hAnsi="宋体"/>
          <w:color w:val="auto"/>
          <w:kern w:val="0"/>
          <w:sz w:val="15"/>
          <w:lang w:val="zh-CN" w:bidi="zh-CN"/>
        </w:rPr>
      </w:pPr>
    </w:p>
    <w:p w14:paraId="0D4E99B3">
      <w:pPr>
        <w:autoSpaceDE w:val="0"/>
        <w:autoSpaceDN w:val="0"/>
        <w:spacing w:before="107" w:line="240" w:lineRule="auto"/>
        <w:ind w:left="424"/>
        <w:jc w:val="left"/>
        <w:rPr>
          <w:rFonts w:ascii="宋体" w:hAnsi="宋体"/>
          <w:color w:val="auto"/>
          <w:kern w:val="0"/>
          <w:position w:val="8"/>
          <w:sz w:val="9"/>
          <w:szCs w:val="22"/>
          <w:lang w:val="zh-CN" w:bidi="zh-CN"/>
        </w:rPr>
      </w:pPr>
      <w:r>
        <w:rPr>
          <w:rFonts w:ascii="宋体" w:hAnsi="宋体"/>
          <w:color w:val="auto"/>
          <w:kern w:val="0"/>
          <w:position w:val="8"/>
          <w:sz w:val="9"/>
          <w:szCs w:val="22"/>
          <w:lang w:val="zh-CN" w:bidi="zh-CN"/>
        </w:rPr>
        <w:t xml:space="preserve">① </w:t>
      </w:r>
      <w:r>
        <w:rPr>
          <w:rFonts w:ascii="宋体" w:hAnsi="宋体"/>
          <w:color w:val="auto"/>
          <w:kern w:val="0"/>
          <w:sz w:val="18"/>
          <w:szCs w:val="22"/>
          <w:lang w:val="zh-CN" w:bidi="zh-CN"/>
        </w:rPr>
        <w:t xml:space="preserve">对于工程规模不大、工期较短的工程（例如工期不超过 </w:t>
      </w:r>
      <w:r>
        <w:rPr>
          <w:rFonts w:eastAsia="Times New Roman"/>
          <w:color w:val="auto"/>
          <w:kern w:val="0"/>
          <w:sz w:val="18"/>
          <w:szCs w:val="22"/>
          <w:lang w:val="zh-CN" w:bidi="zh-CN"/>
        </w:rPr>
        <w:t xml:space="preserve">12 </w:t>
      </w:r>
      <w:r>
        <w:rPr>
          <w:rFonts w:ascii="宋体" w:hAnsi="宋体"/>
          <w:color w:val="auto"/>
          <w:kern w:val="0"/>
          <w:sz w:val="18"/>
          <w:szCs w:val="22"/>
          <w:lang w:val="zh-CN" w:bidi="zh-CN"/>
        </w:rPr>
        <w:t>个月的），可以不进行调价。</w:t>
      </w:r>
    </w:p>
    <w:p w14:paraId="3AFE90C3">
      <w:pPr>
        <w:autoSpaceDE w:val="0"/>
        <w:autoSpaceDN w:val="0"/>
        <w:spacing w:before="50" w:line="240" w:lineRule="auto"/>
        <w:ind w:left="424"/>
        <w:jc w:val="left"/>
        <w:rPr>
          <w:rFonts w:ascii="宋体" w:hAnsi="宋体"/>
          <w:color w:val="auto"/>
          <w:kern w:val="0"/>
          <w:position w:val="8"/>
          <w:sz w:val="9"/>
          <w:szCs w:val="22"/>
          <w:lang w:val="zh-CN" w:bidi="zh-CN"/>
        </w:rPr>
      </w:pPr>
      <w:r>
        <w:rPr>
          <w:rFonts w:ascii="宋体" w:hAnsi="宋体"/>
          <w:color w:val="auto"/>
          <w:kern w:val="0"/>
          <w:position w:val="8"/>
          <w:sz w:val="9"/>
          <w:szCs w:val="22"/>
          <w:lang w:val="zh-CN" w:bidi="zh-CN"/>
        </w:rPr>
        <w:t xml:space="preserve">② </w:t>
      </w:r>
      <w:r>
        <w:rPr>
          <w:rFonts w:ascii="宋体" w:hAnsi="宋体"/>
          <w:color w:val="auto"/>
          <w:kern w:val="0"/>
          <w:sz w:val="18"/>
          <w:szCs w:val="22"/>
          <w:lang w:val="zh-CN" w:bidi="zh-CN"/>
        </w:rPr>
        <w:t xml:space="preserve">开工预付款金额一般应为 </w:t>
      </w:r>
      <w:r>
        <w:rPr>
          <w:rFonts w:eastAsia="Times New Roman"/>
          <w:color w:val="auto"/>
          <w:kern w:val="0"/>
          <w:sz w:val="18"/>
          <w:szCs w:val="22"/>
          <w:lang w:val="zh-CN" w:bidi="zh-CN"/>
        </w:rPr>
        <w:t>10</w:t>
      </w:r>
      <w:r>
        <w:rPr>
          <w:rFonts w:ascii="宋体" w:hAnsi="宋体"/>
          <w:color w:val="auto"/>
          <w:kern w:val="0"/>
          <w:sz w:val="18"/>
          <w:szCs w:val="22"/>
          <w:lang w:val="zh-CN" w:bidi="zh-CN"/>
        </w:rPr>
        <w:t>％签约合同价。</w:t>
      </w:r>
    </w:p>
    <w:p w14:paraId="5F45166A">
      <w:pPr>
        <w:autoSpaceDE w:val="0"/>
        <w:autoSpaceDN w:val="0"/>
        <w:spacing w:before="48" w:line="240" w:lineRule="auto"/>
        <w:ind w:left="424"/>
        <w:jc w:val="left"/>
        <w:rPr>
          <w:rFonts w:ascii="宋体" w:hAnsi="宋体"/>
          <w:color w:val="auto"/>
          <w:kern w:val="0"/>
          <w:position w:val="8"/>
          <w:sz w:val="9"/>
          <w:szCs w:val="22"/>
          <w:lang w:val="zh-CN" w:bidi="zh-CN"/>
        </w:rPr>
      </w:pPr>
      <w:r>
        <w:rPr>
          <w:rFonts w:ascii="宋体" w:hAnsi="宋体"/>
          <w:color w:val="auto"/>
          <w:kern w:val="0"/>
          <w:position w:val="8"/>
          <w:sz w:val="9"/>
          <w:szCs w:val="22"/>
          <w:lang w:val="zh-CN" w:bidi="zh-CN"/>
        </w:rPr>
        <w:t xml:space="preserve">③ </w:t>
      </w:r>
      <w:r>
        <w:rPr>
          <w:rFonts w:ascii="宋体" w:hAnsi="宋体"/>
          <w:color w:val="auto"/>
          <w:kern w:val="0"/>
          <w:sz w:val="18"/>
          <w:szCs w:val="22"/>
          <w:lang w:val="zh-CN" w:bidi="zh-CN"/>
        </w:rPr>
        <w:t xml:space="preserve">指主要材料，一般应为 </w:t>
      </w:r>
      <w:r>
        <w:rPr>
          <w:rFonts w:eastAsia="Times New Roman"/>
          <w:color w:val="auto"/>
          <w:kern w:val="0"/>
          <w:sz w:val="18"/>
          <w:szCs w:val="22"/>
          <w:lang w:val="zh-CN" w:bidi="zh-CN"/>
        </w:rPr>
        <w:t>70%</w:t>
      </w:r>
      <w:r>
        <w:rPr>
          <w:rFonts w:ascii="宋体" w:hAnsi="宋体"/>
          <w:color w:val="auto"/>
          <w:kern w:val="0"/>
          <w:sz w:val="18"/>
          <w:szCs w:val="22"/>
          <w:lang w:val="zh-CN" w:bidi="zh-CN"/>
        </w:rPr>
        <w:t>～</w:t>
      </w:r>
      <w:r>
        <w:rPr>
          <w:rFonts w:eastAsia="Times New Roman"/>
          <w:color w:val="auto"/>
          <w:kern w:val="0"/>
          <w:sz w:val="18"/>
          <w:szCs w:val="22"/>
          <w:lang w:val="zh-CN" w:bidi="zh-CN"/>
        </w:rPr>
        <w:t>75%</w:t>
      </w:r>
      <w:r>
        <w:rPr>
          <w:rFonts w:ascii="宋体" w:hAnsi="宋体"/>
          <w:color w:val="auto"/>
          <w:kern w:val="0"/>
          <w:sz w:val="18"/>
          <w:szCs w:val="22"/>
          <w:lang w:val="zh-CN" w:bidi="zh-CN"/>
        </w:rPr>
        <w:t xml:space="preserve">，最低不少于 </w:t>
      </w:r>
      <w:r>
        <w:rPr>
          <w:rFonts w:eastAsia="Times New Roman"/>
          <w:color w:val="auto"/>
          <w:kern w:val="0"/>
          <w:sz w:val="18"/>
          <w:szCs w:val="22"/>
          <w:lang w:val="zh-CN" w:bidi="zh-CN"/>
        </w:rPr>
        <w:t>60%</w:t>
      </w:r>
      <w:r>
        <w:rPr>
          <w:rFonts w:ascii="宋体" w:hAnsi="宋体"/>
          <w:color w:val="auto"/>
          <w:kern w:val="0"/>
          <w:sz w:val="18"/>
          <w:szCs w:val="22"/>
          <w:lang w:val="zh-CN" w:bidi="zh-CN"/>
        </w:rPr>
        <w:t>。</w:t>
      </w:r>
    </w:p>
    <w:p w14:paraId="49AC7633">
      <w:pPr>
        <w:autoSpaceDE w:val="0"/>
        <w:autoSpaceDN w:val="0"/>
        <w:spacing w:before="49" w:line="240" w:lineRule="auto"/>
        <w:ind w:left="424"/>
        <w:jc w:val="left"/>
        <w:rPr>
          <w:rFonts w:ascii="宋体" w:hAnsi="宋体"/>
          <w:color w:val="auto"/>
          <w:kern w:val="0"/>
          <w:position w:val="8"/>
          <w:sz w:val="9"/>
          <w:szCs w:val="22"/>
          <w:lang w:val="zh-CN" w:bidi="zh-CN"/>
        </w:rPr>
      </w:pPr>
      <w:r>
        <w:rPr>
          <w:rFonts w:ascii="宋体" w:hAnsi="宋体"/>
          <w:color w:val="auto"/>
          <w:kern w:val="0"/>
          <w:position w:val="8"/>
          <w:sz w:val="9"/>
          <w:szCs w:val="22"/>
          <w:lang w:val="zh-CN" w:bidi="zh-CN"/>
        </w:rPr>
        <w:t xml:space="preserve">④ </w:t>
      </w:r>
      <w:r>
        <w:rPr>
          <w:rFonts w:ascii="宋体" w:hAnsi="宋体"/>
          <w:color w:val="auto"/>
          <w:kern w:val="0"/>
          <w:sz w:val="18"/>
          <w:szCs w:val="22"/>
          <w:lang w:val="zh-CN" w:bidi="zh-CN"/>
        </w:rPr>
        <w:t xml:space="preserve">国际上一般按月平均支付额的 </w:t>
      </w:r>
      <w:r>
        <w:rPr>
          <w:rFonts w:eastAsia="Times New Roman"/>
          <w:color w:val="auto"/>
          <w:kern w:val="0"/>
          <w:sz w:val="18"/>
          <w:szCs w:val="22"/>
          <w:lang w:val="zh-CN" w:bidi="zh-CN"/>
        </w:rPr>
        <w:t>0.3</w:t>
      </w:r>
      <w:r>
        <w:rPr>
          <w:rFonts w:ascii="Symbol" w:hAnsi="Symbol" w:eastAsia="Symbol"/>
          <w:color w:val="auto"/>
          <w:kern w:val="0"/>
          <w:sz w:val="18"/>
          <w:szCs w:val="22"/>
          <w:lang w:val="zh-CN" w:bidi="zh-CN"/>
        </w:rPr>
        <w:t></w:t>
      </w:r>
      <w:r>
        <w:rPr>
          <w:rFonts w:eastAsia="Times New Roman"/>
          <w:color w:val="auto"/>
          <w:kern w:val="0"/>
          <w:sz w:val="18"/>
          <w:szCs w:val="22"/>
          <w:lang w:val="zh-CN" w:bidi="zh-CN"/>
        </w:rPr>
        <w:t xml:space="preserve">0.5 </w:t>
      </w:r>
      <w:r>
        <w:rPr>
          <w:rFonts w:ascii="宋体" w:hAnsi="宋体"/>
          <w:color w:val="auto"/>
          <w:kern w:val="0"/>
          <w:sz w:val="18"/>
          <w:szCs w:val="22"/>
          <w:lang w:val="zh-CN" w:bidi="zh-CN"/>
        </w:rPr>
        <w:t xml:space="preserve">倍计算，我国可按 </w:t>
      </w:r>
      <w:r>
        <w:rPr>
          <w:rFonts w:eastAsia="Times New Roman"/>
          <w:color w:val="auto"/>
          <w:kern w:val="0"/>
          <w:sz w:val="18"/>
          <w:szCs w:val="22"/>
          <w:lang w:val="zh-CN" w:bidi="zh-CN"/>
        </w:rPr>
        <w:t>0.2</w:t>
      </w:r>
      <w:r>
        <w:rPr>
          <w:rFonts w:ascii="Symbol" w:hAnsi="Symbol" w:eastAsia="Symbol"/>
          <w:color w:val="auto"/>
          <w:kern w:val="0"/>
          <w:sz w:val="18"/>
          <w:szCs w:val="22"/>
          <w:lang w:val="zh-CN" w:bidi="zh-CN"/>
        </w:rPr>
        <w:t></w:t>
      </w:r>
      <w:r>
        <w:rPr>
          <w:rFonts w:eastAsia="Times New Roman"/>
          <w:color w:val="auto"/>
          <w:kern w:val="0"/>
          <w:sz w:val="18"/>
          <w:szCs w:val="22"/>
          <w:lang w:val="zh-CN" w:bidi="zh-CN"/>
        </w:rPr>
        <w:t xml:space="preserve">0.3 </w:t>
      </w:r>
      <w:r>
        <w:rPr>
          <w:rFonts w:ascii="宋体" w:hAnsi="宋体"/>
          <w:color w:val="auto"/>
          <w:kern w:val="0"/>
          <w:sz w:val="18"/>
          <w:szCs w:val="22"/>
          <w:lang w:val="zh-CN" w:bidi="zh-CN"/>
        </w:rPr>
        <w:t>倍计，以利承包人资金周转。</w:t>
      </w:r>
    </w:p>
    <w:p w14:paraId="26764328">
      <w:pPr>
        <w:autoSpaceDE w:val="0"/>
        <w:autoSpaceDN w:val="0"/>
        <w:spacing w:before="51" w:line="240" w:lineRule="auto"/>
        <w:ind w:left="424"/>
        <w:jc w:val="left"/>
        <w:rPr>
          <w:rFonts w:ascii="宋体" w:hAnsi="宋体"/>
          <w:color w:val="auto"/>
          <w:kern w:val="0"/>
          <w:position w:val="8"/>
          <w:sz w:val="9"/>
          <w:szCs w:val="22"/>
          <w:lang w:val="zh-CN" w:bidi="zh-CN"/>
        </w:rPr>
      </w:pPr>
      <w:r>
        <w:rPr>
          <w:rFonts w:ascii="宋体" w:hAnsi="宋体"/>
          <w:color w:val="auto"/>
          <w:kern w:val="0"/>
          <w:position w:val="8"/>
          <w:sz w:val="9"/>
          <w:szCs w:val="22"/>
          <w:lang w:val="zh-CN" w:bidi="zh-CN"/>
        </w:rPr>
        <w:t xml:space="preserve">⑤ </w:t>
      </w:r>
      <w:r>
        <w:rPr>
          <w:rFonts w:ascii="宋体" w:hAnsi="宋体"/>
          <w:color w:val="auto"/>
          <w:kern w:val="0"/>
          <w:sz w:val="18"/>
          <w:szCs w:val="22"/>
          <w:lang w:val="zh-CN" w:bidi="zh-CN"/>
        </w:rPr>
        <w:t>相当于中国人民银行短期贷款利率加手续费。招标人不能自行取消本项内容或降低利率。</w:t>
      </w:r>
    </w:p>
    <w:p w14:paraId="6317CDAD">
      <w:pPr>
        <w:autoSpaceDE w:val="0"/>
        <w:autoSpaceDN w:val="0"/>
        <w:spacing w:before="48" w:line="240" w:lineRule="auto"/>
        <w:ind w:left="424"/>
        <w:jc w:val="left"/>
        <w:rPr>
          <w:rFonts w:ascii="宋体" w:hAnsi="宋体"/>
          <w:color w:val="auto"/>
          <w:kern w:val="0"/>
          <w:position w:val="8"/>
          <w:sz w:val="9"/>
          <w:szCs w:val="22"/>
          <w:lang w:val="zh-CN" w:bidi="zh-CN"/>
        </w:rPr>
      </w:pPr>
      <w:r>
        <w:rPr>
          <w:rFonts w:ascii="宋体" w:hAnsi="宋体"/>
          <w:color w:val="auto"/>
          <w:kern w:val="0"/>
          <w:position w:val="8"/>
          <w:sz w:val="9"/>
          <w:szCs w:val="22"/>
          <w:lang w:val="zh-CN" w:bidi="zh-CN"/>
        </w:rPr>
        <w:t xml:space="preserve">⑥ </w:t>
      </w:r>
      <w:r>
        <w:rPr>
          <w:rFonts w:ascii="宋体" w:hAnsi="宋体"/>
          <w:color w:val="auto"/>
          <w:kern w:val="0"/>
          <w:sz w:val="18"/>
          <w:szCs w:val="22"/>
          <w:lang w:val="zh-CN" w:bidi="zh-CN"/>
        </w:rPr>
        <w:t xml:space="preserve">质量保证金最高不超过合同价格的 </w:t>
      </w:r>
      <w:r>
        <w:rPr>
          <w:rFonts w:eastAsia="Times New Roman"/>
          <w:color w:val="auto"/>
          <w:kern w:val="0"/>
          <w:sz w:val="18"/>
          <w:szCs w:val="22"/>
          <w:lang w:val="zh-CN" w:bidi="zh-CN"/>
        </w:rPr>
        <w:t>3%</w:t>
      </w:r>
      <w:r>
        <w:rPr>
          <w:rFonts w:ascii="宋体" w:hAnsi="宋体"/>
          <w:color w:val="auto"/>
          <w:kern w:val="0"/>
          <w:sz w:val="18"/>
          <w:szCs w:val="22"/>
          <w:lang w:val="zh-CN" w:bidi="zh-CN"/>
        </w:rPr>
        <w:t>。</w:t>
      </w:r>
    </w:p>
    <w:p w14:paraId="01EE587E">
      <w:pPr>
        <w:autoSpaceDE w:val="0"/>
        <w:autoSpaceDN w:val="0"/>
        <w:spacing w:before="50" w:line="240" w:lineRule="auto"/>
        <w:ind w:left="604" w:right="493" w:hanging="180"/>
        <w:rPr>
          <w:rFonts w:ascii="宋体" w:hAnsi="宋体"/>
          <w:color w:val="auto"/>
          <w:kern w:val="0"/>
          <w:position w:val="8"/>
          <w:sz w:val="9"/>
          <w:szCs w:val="22"/>
          <w:lang w:val="zh-CN" w:bidi="zh-CN"/>
        </w:rPr>
      </w:pPr>
      <w:r>
        <w:rPr>
          <w:rFonts w:ascii="宋体" w:hAnsi="宋体"/>
          <w:color w:val="auto"/>
          <w:kern w:val="0"/>
          <w:position w:val="8"/>
          <w:sz w:val="9"/>
          <w:szCs w:val="22"/>
          <w:lang w:val="zh-CN" w:bidi="zh-CN"/>
        </w:rPr>
        <w:t xml:space="preserve">⑦ </w:t>
      </w:r>
      <w:r>
        <w:rPr>
          <w:rFonts w:ascii="宋体" w:hAnsi="宋体"/>
          <w:color w:val="auto"/>
          <w:spacing w:val="-1"/>
          <w:kern w:val="0"/>
          <w:sz w:val="18"/>
          <w:szCs w:val="22"/>
          <w:lang w:val="zh-CN" w:bidi="zh-CN"/>
        </w:rPr>
        <w:t>若交工验收时承包人具备被招标项目所在地省级交通运输主管部门评定的最高信用等级，发包人可在质量</w:t>
      </w:r>
      <w:r>
        <w:rPr>
          <w:rFonts w:ascii="宋体" w:hAnsi="宋体"/>
          <w:color w:val="auto"/>
          <w:spacing w:val="-3"/>
          <w:kern w:val="0"/>
          <w:sz w:val="18"/>
          <w:szCs w:val="22"/>
          <w:lang w:val="zh-CN" w:bidi="zh-CN"/>
        </w:rPr>
        <w:t xml:space="preserve">保证金方面给予一定的优惠奖励，例如发包人可给予承包人 </w:t>
      </w:r>
      <w:r>
        <w:rPr>
          <w:rFonts w:eastAsia="Times New Roman"/>
          <w:color w:val="auto"/>
          <w:kern w:val="0"/>
          <w:sz w:val="18"/>
          <w:szCs w:val="22"/>
          <w:lang w:val="zh-CN" w:bidi="zh-CN"/>
        </w:rPr>
        <w:t>2%</w:t>
      </w:r>
      <w:r>
        <w:rPr>
          <w:rFonts w:ascii="宋体" w:hAnsi="宋体"/>
          <w:color w:val="auto"/>
          <w:kern w:val="0"/>
          <w:sz w:val="18"/>
          <w:szCs w:val="22"/>
          <w:lang w:val="zh-CN" w:bidi="zh-CN"/>
        </w:rPr>
        <w:t>合同价格质量保证金的优惠，具体优惠幅度由发包人自行确定。</w:t>
      </w:r>
    </w:p>
    <w:p w14:paraId="16B985A9">
      <w:pPr>
        <w:autoSpaceDE w:val="0"/>
        <w:autoSpaceDN w:val="0"/>
        <w:spacing w:before="3" w:line="240" w:lineRule="auto"/>
        <w:ind w:left="424"/>
        <w:jc w:val="left"/>
        <w:rPr>
          <w:rFonts w:ascii="宋体" w:hAnsi="宋体"/>
          <w:color w:val="auto"/>
          <w:kern w:val="0"/>
          <w:position w:val="8"/>
          <w:sz w:val="9"/>
          <w:szCs w:val="22"/>
          <w:lang w:val="zh-CN" w:bidi="zh-CN"/>
        </w:rPr>
      </w:pPr>
      <w:r>
        <w:rPr>
          <w:rFonts w:ascii="宋体" w:hAnsi="宋体"/>
          <w:color w:val="auto"/>
          <w:kern w:val="0"/>
          <w:position w:val="8"/>
          <w:sz w:val="9"/>
          <w:szCs w:val="22"/>
          <w:lang w:val="zh-CN" w:bidi="zh-CN"/>
        </w:rPr>
        <w:t xml:space="preserve">⑧ </w:t>
      </w:r>
      <w:r>
        <w:rPr>
          <w:rFonts w:ascii="宋体" w:hAnsi="宋体"/>
          <w:color w:val="auto"/>
          <w:kern w:val="0"/>
          <w:sz w:val="18"/>
          <w:szCs w:val="22"/>
          <w:lang w:val="zh-CN" w:bidi="zh-CN"/>
        </w:rPr>
        <w:t>保修期一般应为自实际交工日期起计算</w:t>
      </w:r>
      <w:r>
        <w:rPr>
          <w:rFonts w:eastAsia="Times New Roman"/>
          <w:color w:val="auto"/>
          <w:kern w:val="0"/>
          <w:sz w:val="18"/>
          <w:szCs w:val="22"/>
          <w:lang w:val="zh-CN" w:bidi="zh-CN"/>
        </w:rPr>
        <w:t xml:space="preserve">5 </w:t>
      </w:r>
      <w:r>
        <w:rPr>
          <w:rFonts w:ascii="宋体" w:hAnsi="宋体"/>
          <w:color w:val="auto"/>
          <w:kern w:val="0"/>
          <w:sz w:val="18"/>
          <w:szCs w:val="22"/>
          <w:lang w:val="zh-CN" w:bidi="zh-CN"/>
        </w:rPr>
        <w:t>年。</w:t>
      </w:r>
    </w:p>
    <w:p w14:paraId="584E9BF7">
      <w:pPr>
        <w:autoSpaceDE w:val="0"/>
        <w:autoSpaceDN w:val="0"/>
        <w:spacing w:line="240" w:lineRule="auto"/>
        <w:jc w:val="center"/>
        <w:outlineLvl w:val="2"/>
        <w:rPr>
          <w:rFonts w:ascii="黑体" w:hAnsi="黑体" w:eastAsia="黑体"/>
          <w:color w:val="auto"/>
          <w:kern w:val="0"/>
          <w:sz w:val="32"/>
          <w:szCs w:val="32"/>
          <w:lang w:val="zh-CN" w:bidi="zh-CN"/>
        </w:rPr>
      </w:pPr>
      <w:r>
        <w:rPr>
          <w:rFonts w:ascii="黑体" w:hAnsi="黑体" w:eastAsia="黑体"/>
          <w:color w:val="auto"/>
          <w:kern w:val="0"/>
          <w:sz w:val="32"/>
          <w:szCs w:val="32"/>
          <w:lang w:val="zh-CN" w:bidi="zh-CN"/>
        </w:rPr>
        <w:br w:type="page"/>
      </w:r>
      <w:r>
        <w:rPr>
          <w:rFonts w:ascii="黑体" w:hAnsi="黑体" w:eastAsia="黑体"/>
          <w:color w:val="auto"/>
          <w:kern w:val="0"/>
          <w:sz w:val="32"/>
          <w:szCs w:val="32"/>
          <w:lang w:val="zh-CN" w:bidi="zh-CN"/>
        </w:rPr>
        <w:t>项目专用合同条款</w:t>
      </w:r>
    </w:p>
    <w:p w14:paraId="7ADD2FC1">
      <w:pPr>
        <w:autoSpaceDE w:val="0"/>
        <w:autoSpaceDN w:val="0"/>
        <w:spacing w:before="2" w:line="240" w:lineRule="auto"/>
        <w:jc w:val="left"/>
        <w:rPr>
          <w:rFonts w:ascii="黑体" w:hAnsi="宋体"/>
          <w:color w:val="auto"/>
          <w:kern w:val="0"/>
          <w:sz w:val="43"/>
          <w:lang w:val="zh-CN" w:bidi="zh-CN"/>
        </w:rPr>
      </w:pPr>
    </w:p>
    <w:p w14:paraId="4A649F96">
      <w:pPr>
        <w:snapToGrid w:val="0"/>
        <w:spacing w:line="240" w:lineRule="auto"/>
        <w:ind w:left="660" w:hanging="660" w:hangingChars="275"/>
        <w:rPr>
          <w:rFonts w:eastAsia="黑体"/>
          <w:color w:val="auto"/>
          <w:sz w:val="24"/>
        </w:rPr>
      </w:pPr>
      <w:r>
        <w:rPr>
          <w:rFonts w:eastAsia="黑体"/>
          <w:color w:val="auto"/>
          <w:sz w:val="24"/>
        </w:rPr>
        <w:t>说明：</w:t>
      </w:r>
      <w:r>
        <w:rPr>
          <w:rFonts w:hint="eastAsia" w:eastAsia="黑体"/>
          <w:color w:val="auto"/>
          <w:sz w:val="24"/>
        </w:rPr>
        <w:t>本部分所列的项目专用合同条款是对</w:t>
      </w:r>
      <w:r>
        <w:rPr>
          <w:rFonts w:eastAsia="黑体"/>
          <w:color w:val="auto"/>
          <w:sz w:val="24"/>
        </w:rPr>
        <w:t>“</w:t>
      </w:r>
      <w:r>
        <w:rPr>
          <w:rFonts w:hint="eastAsia" w:eastAsia="黑体"/>
          <w:color w:val="auto"/>
          <w:sz w:val="24"/>
        </w:rPr>
        <w:t>公路工程专用合同条款</w:t>
      </w:r>
      <w:r>
        <w:rPr>
          <w:rFonts w:eastAsia="黑体"/>
          <w:color w:val="auto"/>
          <w:sz w:val="24"/>
        </w:rPr>
        <w:t>”</w:t>
      </w:r>
      <w:r>
        <w:rPr>
          <w:rFonts w:hint="eastAsia" w:eastAsia="黑体"/>
          <w:color w:val="auto"/>
          <w:sz w:val="24"/>
        </w:rPr>
        <w:t>中规定必须在项目专用合同条款中明确的内容的集中，招标人编制的</w:t>
      </w:r>
      <w:r>
        <w:rPr>
          <w:rFonts w:eastAsia="黑体"/>
          <w:color w:val="auto"/>
          <w:sz w:val="24"/>
        </w:rPr>
        <w:t>“</w:t>
      </w:r>
      <w:r>
        <w:rPr>
          <w:rFonts w:hint="eastAsia" w:eastAsia="黑体"/>
          <w:color w:val="auto"/>
          <w:sz w:val="24"/>
        </w:rPr>
        <w:t>项目专用合同条款</w:t>
      </w:r>
      <w:r>
        <w:rPr>
          <w:rFonts w:eastAsia="黑体"/>
          <w:color w:val="auto"/>
          <w:sz w:val="24"/>
        </w:rPr>
        <w:t>”</w:t>
      </w:r>
      <w:r>
        <w:rPr>
          <w:rFonts w:hint="eastAsia" w:eastAsia="黑体"/>
          <w:color w:val="auto"/>
          <w:sz w:val="24"/>
        </w:rPr>
        <w:t>不限于本部分所列内容。</w:t>
      </w:r>
    </w:p>
    <w:p w14:paraId="3F844EA8">
      <w:pPr>
        <w:keepNext/>
        <w:keepLines/>
        <w:spacing w:before="120" w:after="120" w:line="240" w:lineRule="auto"/>
        <w:ind w:firstLine="562" w:firstLineChars="200"/>
        <w:outlineLvl w:val="4"/>
        <w:rPr>
          <w:rFonts w:hint="eastAsia"/>
          <w:b/>
          <w:bCs/>
          <w:color w:val="auto"/>
          <w:sz w:val="28"/>
          <w:szCs w:val="28"/>
        </w:rPr>
      </w:pPr>
      <w:r>
        <w:rPr>
          <w:rFonts w:hint="eastAsia"/>
          <w:b/>
          <w:bCs/>
          <w:color w:val="auto"/>
          <w:sz w:val="28"/>
          <w:szCs w:val="28"/>
        </w:rPr>
        <w:t>4.1  承包人的一般义务</w:t>
      </w:r>
    </w:p>
    <w:p w14:paraId="265DE31D">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4.1.1</w:t>
      </w:r>
      <w:r>
        <w:rPr>
          <w:rFonts w:ascii="宋体" w:hAnsi="宋体"/>
          <w:color w:val="auto"/>
          <w:sz w:val="24"/>
          <w:szCs w:val="21"/>
        </w:rPr>
        <w:t>0</w:t>
      </w:r>
      <w:r>
        <w:rPr>
          <w:rFonts w:hint="eastAsia" w:ascii="宋体" w:hAnsi="宋体"/>
          <w:color w:val="auto"/>
          <w:sz w:val="24"/>
          <w:szCs w:val="21"/>
        </w:rPr>
        <w:t xml:space="preserve">  其他义务</w:t>
      </w:r>
    </w:p>
    <w:p w14:paraId="702F6644">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2）修改为：承包人应承担并支付为获得合同工程所需的石料、砂、砾石等其他当地材料所发生的料场使用费、资源费（税）及其他开支或补偿费。发包人应尽可能协助该项目部办理料场租用手续及解决使用过程中的有关问题。发包人协助办理的成功与否，不免除根据合同文件规定的承包人的一切责任。</w:t>
      </w:r>
    </w:p>
    <w:p w14:paraId="004C6456">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3）（增加）投标人应严格落实《保障农民工工资支付条例》（中华人民共和国国务院令第724号）的相关要求，规范农民工工资支付等行为。承包人还应执行广西壮族自治区公路管理局《关于印发广西壮族自治区公路管理局公路工程建设农民工管理实施细则（修订）的通知》(桂路工程发[2014]300号)要求（注：文件内容</w:t>
      </w:r>
      <w:r>
        <w:rPr>
          <w:rFonts w:ascii="宋体" w:hAnsi="宋体"/>
          <w:color w:val="auto"/>
          <w:sz w:val="24"/>
          <w:szCs w:val="21"/>
        </w:rPr>
        <w:t>附后</w:t>
      </w:r>
      <w:r>
        <w:rPr>
          <w:rFonts w:hint="eastAsia" w:ascii="宋体" w:hAnsi="宋体"/>
          <w:color w:val="auto"/>
          <w:sz w:val="24"/>
          <w:szCs w:val="21"/>
        </w:rPr>
        <w:t>）。各投标人必须对农民工工资保障金的问题作出承诺，格式见第八章响应文件格式“农民工工资保证金承诺书”。</w:t>
      </w:r>
    </w:p>
    <w:p w14:paraId="6CF0C48B">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（4）（增加）承包人应履行的其他义务：</w:t>
      </w:r>
    </w:p>
    <w:p w14:paraId="16B4A2CF">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a.与本工程项目相关的审计和稽查、检查、视察等活动，承包人应高度重视并有义务委派专人积极予以配合。</w:t>
      </w:r>
    </w:p>
    <w:p w14:paraId="576E8D22">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b.发包人有权监督检查承包人的供货合同。</w:t>
      </w:r>
    </w:p>
    <w:p w14:paraId="37C1AE10">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c.对项目使用的原有道路的维护和管理，以确保正常通行。</w:t>
      </w:r>
    </w:p>
    <w:p w14:paraId="1C062115">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d.维护社会稳定，避免发生因承包人原因引起施工队伍或施工引起周边群众等群体性上访事件</w:t>
      </w:r>
    </w:p>
    <w:p w14:paraId="05A3759F">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e.承包人应自觉接受交通主管部门、质量监督单位、公路管理机构的监督，对指出的问题进行认真的整改，及时报告处理结果。</w:t>
      </w:r>
    </w:p>
    <w:p w14:paraId="73B02EAE">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f.承包人发现路产路权受到侵害时，应及时向发包人报告。</w:t>
      </w:r>
    </w:p>
    <w:p w14:paraId="2845284B">
      <w:pPr>
        <w:spacing w:line="240" w:lineRule="auto"/>
        <w:ind w:firstLine="480" w:firstLineChars="200"/>
        <w:rPr>
          <w:rFonts w:hint="eastAsia" w:ascii="宋体" w:hAnsi="宋体"/>
          <w:color w:val="auto"/>
          <w:sz w:val="24"/>
          <w:szCs w:val="21"/>
        </w:rPr>
      </w:pPr>
      <w:r>
        <w:rPr>
          <w:rFonts w:hint="eastAsia" w:ascii="宋体" w:hAnsi="宋体"/>
          <w:color w:val="auto"/>
          <w:sz w:val="24"/>
          <w:szCs w:val="21"/>
        </w:rPr>
        <w:t>（5）</w:t>
      </w:r>
      <w:r>
        <w:rPr>
          <w:rFonts w:hint="eastAsia" w:ascii="宋体" w:hAnsi="宋体"/>
          <w:color w:val="auto"/>
          <w:sz w:val="24"/>
        </w:rPr>
        <w:t>合同实施时承包人应投入足够的技术和管理人员以满足工程施工需要，发包人要求承包人应投入本合同的最低人员要求见合同附件四（含相应要求的备选人员），在不少于合同附件四要求前提下，为确保工程进度，发包人有权要求承包人增加相应技术和管理人员以满足施工需要。</w:t>
      </w:r>
    </w:p>
    <w:p w14:paraId="274F6C6D">
      <w:pPr>
        <w:spacing w:line="240" w:lineRule="auto"/>
        <w:ind w:firstLine="480" w:firstLineChars="200"/>
        <w:rPr>
          <w:rFonts w:hint="eastAsia"/>
          <w:color w:val="auto"/>
          <w:sz w:val="24"/>
        </w:rPr>
      </w:pPr>
      <w:r>
        <w:rPr>
          <w:rFonts w:hint="eastAsia"/>
          <w:color w:val="auto"/>
          <w:sz w:val="24"/>
        </w:rPr>
        <w:t>4.1.11(增加) 承包人响应“美丽广西·清洁乡村”行动</w:t>
      </w:r>
    </w:p>
    <w:p w14:paraId="41C8EBF7">
      <w:pPr>
        <w:tabs>
          <w:tab w:val="left" w:pos="1080"/>
        </w:tabs>
        <w:spacing w:line="240" w:lineRule="auto"/>
        <w:ind w:firstLine="480" w:firstLineChars="200"/>
        <w:rPr>
          <w:rFonts w:hint="eastAsia"/>
          <w:color w:val="auto"/>
          <w:sz w:val="24"/>
        </w:rPr>
      </w:pPr>
      <w:r>
        <w:rPr>
          <w:rFonts w:hint="eastAsia"/>
          <w:color w:val="auto"/>
          <w:sz w:val="24"/>
        </w:rPr>
        <w:t>（1）承包人应根据《中共广西壮族自治区交通厅党组关于印发自治区交通运输系统“美丽广西·清洁乡村”交通行动实施方案的通知》（桂交党宣[2013]15号）精神，响应号召，以清洁公路、清洁水路、清洁运输为目标，大力实施交通运输尤其是农村交通运输环境的净化、绿化、美化，为群众创造畅通、高效、平安、绿色的交通运输环境及服务，以实现“生态环境美、文明风尚美、平安和谐美”的“三美交通”。</w:t>
      </w:r>
    </w:p>
    <w:p w14:paraId="0E747859">
      <w:pPr>
        <w:tabs>
          <w:tab w:val="left" w:pos="1080"/>
        </w:tabs>
        <w:spacing w:line="240" w:lineRule="auto"/>
        <w:ind w:firstLine="480" w:firstLineChars="200"/>
        <w:rPr>
          <w:rFonts w:hint="eastAsia"/>
          <w:color w:val="auto"/>
          <w:sz w:val="24"/>
        </w:rPr>
      </w:pPr>
      <w:r>
        <w:rPr>
          <w:rFonts w:hint="eastAsia"/>
          <w:color w:val="auto"/>
          <w:sz w:val="24"/>
        </w:rPr>
        <w:t>（2）具体要求：在建公路项目要文明施工，强化施工路段的环境整治，施工车辆要避免扬尘洒漏，避免对原有公路的破坏，做好水土保持、环境保护工作；旧路改建项目要保证施工期间维持良好通车秩序；承包人应高度重视，有义务积极配合并委派专人参加“美丽广西·清洁乡村”的相关活动。</w:t>
      </w:r>
    </w:p>
    <w:p w14:paraId="22F64DF6">
      <w:pPr>
        <w:tabs>
          <w:tab w:val="left" w:pos="1080"/>
        </w:tabs>
        <w:spacing w:line="240" w:lineRule="auto"/>
        <w:ind w:firstLine="480" w:firstLineChars="200"/>
        <w:rPr>
          <w:rFonts w:hint="eastAsia"/>
          <w:color w:val="auto"/>
          <w:sz w:val="24"/>
        </w:rPr>
      </w:pPr>
    </w:p>
    <w:p w14:paraId="4F380660">
      <w:pPr>
        <w:keepNext/>
        <w:keepLines/>
        <w:spacing w:before="120" w:after="120" w:line="240" w:lineRule="auto"/>
        <w:ind w:firstLine="562" w:firstLineChars="200"/>
        <w:outlineLvl w:val="4"/>
        <w:rPr>
          <w:rFonts w:hint="eastAsia"/>
          <w:b/>
          <w:bCs/>
          <w:color w:val="auto"/>
          <w:sz w:val="28"/>
          <w:szCs w:val="28"/>
        </w:rPr>
      </w:pPr>
      <w:r>
        <w:rPr>
          <w:rFonts w:hint="eastAsia"/>
          <w:b/>
          <w:bCs/>
          <w:color w:val="auto"/>
          <w:sz w:val="28"/>
          <w:szCs w:val="28"/>
        </w:rPr>
        <w:t>4.6  承包人人员的管理</w:t>
      </w:r>
    </w:p>
    <w:p w14:paraId="1DB43D57">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（增加）4.6.5  项目经理、总工每月驻工地现场时间不应少于22天，项目经理、总工及主要管理人员，技术骨干离开工地必须向项目法人书面请假，并经项目建设管理机构相关负责人书面同意方能离开，否则视为违约并按22.1款执行。</w:t>
      </w:r>
    </w:p>
    <w:p w14:paraId="22A66C31">
      <w:pPr>
        <w:keepNext/>
        <w:keepLines/>
        <w:spacing w:before="120" w:after="120" w:line="240" w:lineRule="auto"/>
        <w:ind w:firstLine="562" w:firstLineChars="200"/>
        <w:outlineLvl w:val="4"/>
        <w:rPr>
          <w:rFonts w:hint="eastAsia"/>
          <w:b/>
          <w:bCs/>
          <w:color w:val="auto"/>
          <w:sz w:val="28"/>
          <w:szCs w:val="28"/>
        </w:rPr>
      </w:pPr>
      <w:r>
        <w:rPr>
          <w:rFonts w:hint="eastAsia"/>
          <w:b/>
          <w:bCs/>
          <w:color w:val="auto"/>
          <w:sz w:val="28"/>
          <w:szCs w:val="28"/>
        </w:rPr>
        <w:t>4.9工程价款应专款专用</w:t>
      </w:r>
    </w:p>
    <w:p w14:paraId="0B350DB5">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在原条款末增加：项目法人向承包人支付的预付款、工程进度款等为本工程的专款专用资金，承包人违反下述规定的，项目法人将中止其任何款项的支付。</w:t>
      </w:r>
    </w:p>
    <w:p w14:paraId="7B156455">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（1）凡不在项目法人指定银行开户的承包人，项目法人将不对其支付任何款项。</w:t>
      </w:r>
    </w:p>
    <w:p w14:paraId="288F819E">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2）根据中国人民银行有关规定，每个承包人只能在一个银行开立一个结算帐户，不允许多头开户。项目法人按合同条款规定对承包人支付的款项，只对合同规定的法人或者法人代表的授权代理人支付，不对其内部独立核算单位或经批准的分包人直接支付（合同有专项规定者除外）。</w:t>
      </w:r>
    </w:p>
    <w:p w14:paraId="7C5CE2FA">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3）在合同执行期间，项目法人或项目法人委托的公路审计部门有权不定期检查或审计承包人项目经理部的财务收支情况，承包人必须严格财经纪律，确保项目经理部的财务收支能客观、真实的反映工程实际成本，承包人及项目经理部必须接受项目法人或项目法人委托部门的监督和检查。</w:t>
      </w:r>
    </w:p>
    <w:p w14:paraId="27E7520A">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4）在合同执行期间，为确保工程建设资金专款专用，承包人在收到项目法人支付的款项后，须向项目法人提供资金使用计划，详细说明资金使用流向，经项目法人批准并在项目法人的监督下使用，必须优先支付工人特别是农民工的工资，其次是材料价款以及工程建设直接的成本。</w:t>
      </w:r>
    </w:p>
    <w:p w14:paraId="03E9ECC2">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5）在合同执行期间，为确保工程建设资金专款专用，承包人在收到业主支付的款项后，须向业主提供资金使用计划，详细说明资金使用流向，经业主批准并在业主的监督下使用，必须优先支付工人特别是农民工的工资，其次是材料价款以及工程建设直接的成本。</w:t>
      </w:r>
    </w:p>
    <w:p w14:paraId="1293B9CD">
      <w:pPr>
        <w:keepNext/>
        <w:keepLines/>
        <w:spacing w:before="120" w:after="120" w:line="240" w:lineRule="auto"/>
        <w:ind w:firstLine="562" w:firstLineChars="200"/>
        <w:outlineLvl w:val="4"/>
        <w:rPr>
          <w:rFonts w:hint="eastAsia"/>
          <w:b/>
          <w:bCs/>
          <w:color w:val="auto"/>
          <w:sz w:val="28"/>
          <w:szCs w:val="28"/>
        </w:rPr>
      </w:pPr>
      <w:r>
        <w:rPr>
          <w:rFonts w:hint="eastAsia"/>
          <w:b/>
          <w:bCs/>
          <w:color w:val="auto"/>
          <w:sz w:val="28"/>
          <w:szCs w:val="28"/>
        </w:rPr>
        <w:t>4.11 不利物质条件</w:t>
      </w:r>
    </w:p>
    <w:p w14:paraId="61AFD151">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4.11.1 不利物质条件的范围：</w:t>
      </w:r>
      <w:r>
        <w:rPr>
          <w:rFonts w:hint="eastAsia" w:ascii="宋体" w:hAnsi="宋体"/>
          <w:color w:val="auto"/>
          <w:sz w:val="24"/>
          <w:szCs w:val="21"/>
          <w:u w:val="single"/>
        </w:rPr>
        <w:t xml:space="preserve">  / </w:t>
      </w:r>
    </w:p>
    <w:p w14:paraId="4F4B1E49">
      <w:pPr>
        <w:keepNext/>
        <w:keepLines/>
        <w:spacing w:before="120" w:after="120" w:line="240" w:lineRule="auto"/>
        <w:ind w:firstLine="562" w:firstLineChars="200"/>
        <w:outlineLvl w:val="4"/>
        <w:rPr>
          <w:rFonts w:hint="eastAsia"/>
          <w:b/>
          <w:bCs/>
          <w:color w:val="auto"/>
          <w:sz w:val="28"/>
          <w:szCs w:val="28"/>
        </w:rPr>
      </w:pPr>
      <w:r>
        <w:rPr>
          <w:rFonts w:hint="eastAsia"/>
          <w:b/>
          <w:bCs/>
          <w:color w:val="auto"/>
          <w:sz w:val="28"/>
          <w:szCs w:val="28"/>
        </w:rPr>
        <w:t>7.3 场外交通</w:t>
      </w:r>
    </w:p>
    <w:p w14:paraId="6A5FD010">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（增加）7.3.3为保证道路交通安全及运输畅通，承包人应采取以下措施：</w:t>
      </w:r>
    </w:p>
    <w:p w14:paraId="210DF124">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当施工期间，因施工原因造成原有道路暂时堵塞时，承包人必须与交通和公安部门协商，采取足够的措施引导、疏通交通。但不管何种原因，因其交通堵塞时间均不能超过30分钟。若堵塞交通超过上述规定的时间，将视为承包人违约按22.1款等相关条款处理，同时发包人可指令采取任何措施疏通，一切费用由承包人承担。</w:t>
      </w:r>
    </w:p>
    <w:p w14:paraId="768B2673">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7.3.4 承包人应加强文明施工，保障道路通畅的管理</w:t>
      </w:r>
    </w:p>
    <w:p w14:paraId="0E40AD60">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（1）承包人在施工期内应按国家、交通主管部门与公路管理机构有关文明施工，保障畅通的规定组织施工，对出现的交通堵塞无条件地采取措施进行疏通。</w:t>
      </w:r>
    </w:p>
    <w:p w14:paraId="26BB69DB">
      <w:pPr>
        <w:spacing w:line="240" w:lineRule="auto"/>
        <w:ind w:firstLine="480" w:firstLineChars="200"/>
        <w:rPr>
          <w:rFonts w:hint="eastAsia" w:ascii="宋体" w:hAnsi="宋体"/>
          <w:color w:val="auto"/>
          <w:sz w:val="24"/>
          <w:szCs w:val="21"/>
        </w:rPr>
      </w:pPr>
      <w:r>
        <w:rPr>
          <w:rFonts w:hint="eastAsia" w:ascii="宋体" w:hAnsi="宋体"/>
          <w:color w:val="auto"/>
          <w:sz w:val="24"/>
          <w:szCs w:val="21"/>
        </w:rPr>
        <w:t>（2）对于旧路改建或养护大中修工程项目：破坏旧路必须作出交通维持与恢复路面通行条件方案并必须取得项目法人的书面批准，未经批准进行旧路开挖与填筑的，项目法人有权责令停工，并由承包人恢复原良好的通车条件，并需承担一切费用；不得在道路上堆放材料或占道施工影响交通；路基、路面施工应避免出现晴天扬尘，雨天打滑影响安全与交通和影响群众生活、生产的现象；维持交通的路基施工应保证表面平整，行车通畅。</w:t>
      </w:r>
    </w:p>
    <w:p w14:paraId="66FA8815">
      <w:pPr>
        <w:keepNext/>
        <w:keepLines/>
        <w:spacing w:before="120" w:after="120" w:line="240" w:lineRule="auto"/>
        <w:ind w:firstLine="562" w:firstLineChars="200"/>
        <w:outlineLvl w:val="4"/>
        <w:rPr>
          <w:rFonts w:hint="eastAsia"/>
          <w:b/>
          <w:bCs/>
          <w:color w:val="auto"/>
          <w:sz w:val="28"/>
          <w:szCs w:val="28"/>
        </w:rPr>
      </w:pPr>
      <w:r>
        <w:rPr>
          <w:rFonts w:hint="eastAsia"/>
          <w:b/>
          <w:bCs/>
          <w:color w:val="auto"/>
          <w:sz w:val="28"/>
          <w:szCs w:val="28"/>
        </w:rPr>
        <w:t>9</w:t>
      </w:r>
      <w:r>
        <w:rPr>
          <w:b/>
          <w:bCs/>
          <w:color w:val="auto"/>
          <w:sz w:val="28"/>
          <w:szCs w:val="28"/>
        </w:rPr>
        <w:t>.</w:t>
      </w:r>
      <w:r>
        <w:rPr>
          <w:rFonts w:hint="eastAsia"/>
          <w:b/>
          <w:bCs/>
          <w:color w:val="auto"/>
          <w:sz w:val="28"/>
          <w:szCs w:val="28"/>
        </w:rPr>
        <w:t>2</w:t>
      </w:r>
      <w:r>
        <w:rPr>
          <w:b/>
          <w:bCs/>
          <w:color w:val="auto"/>
          <w:sz w:val="28"/>
          <w:szCs w:val="28"/>
        </w:rPr>
        <w:t xml:space="preserve">  </w:t>
      </w:r>
      <w:r>
        <w:rPr>
          <w:rFonts w:hint="eastAsia"/>
          <w:b/>
          <w:bCs/>
          <w:color w:val="auto"/>
          <w:sz w:val="28"/>
          <w:szCs w:val="28"/>
        </w:rPr>
        <w:t>承包人的施工安全责任</w:t>
      </w:r>
    </w:p>
    <w:p w14:paraId="1192A771">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9.2.5 条款末增加： 如项目法人在日常检查中发现承包人用于危险路段、有安全隐患路段施工安全防护的设施和用具（含交通标志牌、安全危险告知牌、安全隐患告知牌等）不齐全或缺乏，并且承包人没有按规定及时添置安放的情况，则项目法人应按照合同有关规定指令承包人纠正和整改，承包人拒不整改或整改不彻底的，项目法人有权进行直接购置施工安全施工安全防护设施和用具（含交通标志牌、安全危险告知牌、安全隐患告知牌等）并安排专人进行设置管理等安全管理工作，所发生的费用由承包人负责，并由项目法人在承包人合同价中计量扣除。</w:t>
      </w:r>
    </w:p>
    <w:p w14:paraId="42F56EB5">
      <w:pPr>
        <w:tabs>
          <w:tab w:val="left" w:pos="1080"/>
        </w:tabs>
        <w:spacing w:line="240" w:lineRule="auto"/>
        <w:rPr>
          <w:rFonts w:hint="eastAsia" w:ascii="宋体" w:hAnsi="宋体"/>
          <w:b/>
          <w:color w:val="auto"/>
          <w:sz w:val="24"/>
        </w:rPr>
      </w:pPr>
      <w:r>
        <w:rPr>
          <w:rFonts w:hint="eastAsia" w:ascii="宋体" w:hAnsi="宋体"/>
          <w:b/>
          <w:color w:val="auto"/>
          <w:sz w:val="24"/>
        </w:rPr>
        <w:t>9.6运营中的公路道路施工安全（增加）</w:t>
      </w:r>
    </w:p>
    <w:p w14:paraId="32AFA3D5">
      <w:pPr>
        <w:tabs>
          <w:tab w:val="left" w:pos="1080"/>
        </w:tabs>
        <w:spacing w:line="240" w:lineRule="auto"/>
        <w:ind w:firstLine="480" w:firstLineChars="200"/>
        <w:rPr>
          <w:rFonts w:hint="eastAsia" w:ascii="宋体" w:hAnsi="宋体"/>
          <w:color w:val="auto"/>
          <w:sz w:val="24"/>
        </w:rPr>
      </w:pPr>
      <w:r>
        <w:rPr>
          <w:rFonts w:hint="eastAsia" w:ascii="宋体" w:hAnsi="宋体"/>
          <w:color w:val="auto"/>
          <w:sz w:val="24"/>
        </w:rPr>
        <w:t>9.6.1承包人</w:t>
      </w:r>
      <w:r>
        <w:rPr>
          <w:rFonts w:hint="eastAsia" w:ascii="宋体" w:hAnsi="宋体"/>
          <w:color w:val="auto"/>
          <w:sz w:val="24"/>
          <w:szCs w:val="21"/>
        </w:rPr>
        <w:t>进场</w:t>
      </w:r>
      <w:r>
        <w:rPr>
          <w:rFonts w:hint="eastAsia" w:ascii="宋体" w:hAnsi="宋体"/>
          <w:color w:val="auto"/>
          <w:sz w:val="24"/>
        </w:rPr>
        <w:t>施工前需到路政部门和安监部门办理上路施工许可证和安全监督等手续，签订路上施工安全协议书，并接受监督。</w:t>
      </w:r>
    </w:p>
    <w:p w14:paraId="6BBDCFEB">
      <w:pPr>
        <w:tabs>
          <w:tab w:val="left" w:pos="1080"/>
        </w:tabs>
        <w:spacing w:line="240" w:lineRule="auto"/>
        <w:ind w:firstLine="480" w:firstLineChars="200"/>
        <w:rPr>
          <w:rFonts w:hint="eastAsia" w:ascii="宋体" w:hAnsi="宋体"/>
          <w:color w:val="auto"/>
          <w:sz w:val="24"/>
        </w:rPr>
      </w:pPr>
      <w:r>
        <w:rPr>
          <w:rFonts w:hint="eastAsia" w:ascii="宋体" w:hAnsi="宋体"/>
          <w:color w:val="auto"/>
          <w:sz w:val="24"/>
        </w:rPr>
        <w:t>9.6.2 在运营公路上进行施工，必须严格执行国家颁布的《公路法》、《安全生产法》、《道路交通标志和标线》（GB5768-1999）、《公路工程施工安全技术规程》（JTJ076）、</w:t>
      </w:r>
      <w:r>
        <w:rPr>
          <w:rFonts w:hint="eastAsia" w:ascii="宋体" w:hAnsi="宋体"/>
          <w:color w:val="auto"/>
          <w:sz w:val="24"/>
          <w:szCs w:val="21"/>
        </w:rPr>
        <w:t>《公路养护安全作业规程》</w:t>
      </w:r>
      <w:r>
        <w:rPr>
          <w:rFonts w:hint="eastAsia" w:ascii="宋体" w:hAnsi="宋体"/>
          <w:color w:val="auto"/>
          <w:sz w:val="24"/>
        </w:rPr>
        <w:t>（JTG H30-2015）要求等国家及交通部门颁发的有关安全生产的法律法规、标准及制度，并按照有关规定设置施工标志、标牌、水马等安全设施)，施工过程中承包人必须派专人维护各施工标志牌正常使用。路上作业施工人员应统一着桔红色反光标志服，招标文件要求的主要施工管理人员在现场时应挂戴统一制作的上岗牌做标识，每个施工点的现场应摆放由业主规定统一格式的施工公示牌。投标人报价时要充分考虑上述设施所需费用，以及施工、生活用水用电的费用，所需费用由投标人考虑在有关报价中，业主不单独进行计量支付。施工标志牌的制作应符合国家有关标准的规定，标志牌版面的反光膜应不低于国标GB5768-1999《道路交通标志和标线》的三级标准。</w:t>
      </w:r>
    </w:p>
    <w:p w14:paraId="289B7B16">
      <w:pPr>
        <w:tabs>
          <w:tab w:val="left" w:pos="1080"/>
        </w:tabs>
        <w:spacing w:line="240" w:lineRule="auto"/>
        <w:ind w:firstLine="480" w:firstLineChars="200"/>
        <w:rPr>
          <w:rFonts w:hint="eastAsia" w:ascii="宋体" w:hAnsi="宋体"/>
          <w:color w:val="auto"/>
          <w:sz w:val="24"/>
        </w:rPr>
      </w:pPr>
      <w:r>
        <w:rPr>
          <w:rFonts w:hint="eastAsia" w:ascii="宋体" w:hAnsi="宋体"/>
          <w:color w:val="auto"/>
          <w:sz w:val="24"/>
        </w:rPr>
        <w:t>9.6.3工程使用的水泥、碎石、砂等材料不得堆放在公路上，工棚搭设应设置在公路行车看不到的位置，如确需搭棚看守机械设备的，应按业主规定的式样搭设；机械设备摆放不得有碍路容路貌和行车安全。</w:t>
      </w:r>
    </w:p>
    <w:p w14:paraId="5BD0ECC9">
      <w:pPr>
        <w:tabs>
          <w:tab w:val="left" w:pos="1080"/>
        </w:tabs>
        <w:spacing w:line="240" w:lineRule="auto"/>
        <w:ind w:firstLine="480" w:firstLineChars="200"/>
        <w:rPr>
          <w:rFonts w:hint="eastAsia" w:ascii="宋体" w:hAnsi="宋体"/>
          <w:color w:val="auto"/>
          <w:sz w:val="24"/>
        </w:rPr>
      </w:pPr>
      <w:r>
        <w:rPr>
          <w:rFonts w:hint="eastAsia" w:ascii="宋体" w:hAnsi="宋体"/>
          <w:color w:val="auto"/>
          <w:sz w:val="24"/>
        </w:rPr>
        <w:t>9.6.6破除的公路废弃材料应集中废弃到弃土场。</w:t>
      </w:r>
    </w:p>
    <w:p w14:paraId="4160A7B0">
      <w:pPr>
        <w:tabs>
          <w:tab w:val="left" w:pos="1080"/>
        </w:tabs>
        <w:spacing w:line="240" w:lineRule="auto"/>
        <w:ind w:firstLine="480" w:firstLineChars="200"/>
        <w:rPr>
          <w:rFonts w:hint="eastAsia" w:ascii="宋体" w:hAnsi="宋体"/>
          <w:color w:val="auto"/>
          <w:sz w:val="24"/>
        </w:rPr>
      </w:pPr>
      <w:r>
        <w:rPr>
          <w:rFonts w:hint="eastAsia" w:ascii="宋体" w:hAnsi="宋体"/>
          <w:color w:val="auto"/>
          <w:sz w:val="24"/>
        </w:rPr>
        <w:t>9.6.7大修工程施工时，应设置相应防护措施确保公路行人及车流的安全畅通。安全生产发生的一切费用由投标人考虑在有关报价中，业主不单独进行计量支付。由于未采用防护措施或防护措施不力而造成公路下行人、车流受影响的，由承包人承担其责任。</w:t>
      </w:r>
    </w:p>
    <w:p w14:paraId="2219B7EA">
      <w:pPr>
        <w:tabs>
          <w:tab w:val="left" w:pos="1080"/>
        </w:tabs>
        <w:spacing w:line="240" w:lineRule="auto"/>
        <w:ind w:firstLine="480" w:firstLineChars="200"/>
        <w:rPr>
          <w:rFonts w:hint="eastAsia" w:ascii="宋体" w:hAnsi="宋体"/>
          <w:color w:val="auto"/>
          <w:sz w:val="24"/>
        </w:rPr>
      </w:pPr>
      <w:r>
        <w:rPr>
          <w:rFonts w:hint="eastAsia" w:ascii="宋体" w:hAnsi="宋体"/>
          <w:color w:val="auto"/>
          <w:sz w:val="24"/>
        </w:rPr>
        <w:t>9.6.8承包人不得在公路路面上拌和公路材料。</w:t>
      </w:r>
    </w:p>
    <w:p w14:paraId="6946E04D">
      <w:pPr>
        <w:tabs>
          <w:tab w:val="left" w:pos="1080"/>
        </w:tabs>
        <w:spacing w:line="240" w:lineRule="auto"/>
        <w:ind w:firstLine="480" w:firstLineChars="200"/>
        <w:rPr>
          <w:rFonts w:hint="eastAsia" w:ascii="宋体" w:hAnsi="宋体"/>
          <w:color w:val="auto"/>
          <w:sz w:val="24"/>
        </w:rPr>
      </w:pPr>
      <w:r>
        <w:rPr>
          <w:rFonts w:hint="eastAsia" w:ascii="宋体" w:hAnsi="宋体"/>
          <w:color w:val="auto"/>
          <w:sz w:val="24"/>
        </w:rPr>
        <w:t>9.6.9承包人须将拟施工点报发包人审批后，方可进行施工。</w:t>
      </w:r>
    </w:p>
    <w:p w14:paraId="1AE11CE0">
      <w:pPr>
        <w:keepNext/>
        <w:keepLines/>
        <w:spacing w:before="120" w:after="120" w:line="240" w:lineRule="auto"/>
        <w:ind w:firstLine="562" w:firstLineChars="200"/>
        <w:outlineLvl w:val="4"/>
        <w:rPr>
          <w:rFonts w:hint="eastAsia"/>
          <w:b/>
          <w:bCs/>
          <w:color w:val="auto"/>
          <w:sz w:val="28"/>
          <w:szCs w:val="28"/>
        </w:rPr>
      </w:pPr>
      <w:r>
        <w:rPr>
          <w:rFonts w:hint="eastAsia"/>
          <w:b/>
          <w:bCs/>
          <w:color w:val="auto"/>
          <w:sz w:val="28"/>
          <w:szCs w:val="28"/>
        </w:rPr>
        <w:t>10.1  合同进度计划</w:t>
      </w:r>
    </w:p>
    <w:p w14:paraId="1D6464E8">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承包人编制施工方案的内容：承包人应在签订合同协议书后7天内，向发包人提交2份其格式和内容符合发包人规定的工程进度计划，以及为完成该计划而建议采用的实施性的施工安排和施工方案的说明。发包人应在收到该计划后7天内审查同意或提出修改意见，否则该进度计划视为已得到批准。经发包人批准的施工进度计划称为合同进度计划，是控制合同工程进度的依据。工程进度计划应按照关键线路网络图和主要工作横道图两种形式分别绘制，并应包括每月预计完成的工作量和形象进度。</w:t>
      </w:r>
    </w:p>
    <w:p w14:paraId="6F5CA4A6">
      <w:pPr>
        <w:keepNext/>
        <w:keepLines/>
        <w:spacing w:before="120" w:after="120" w:line="240" w:lineRule="auto"/>
        <w:ind w:firstLine="562" w:firstLineChars="200"/>
        <w:outlineLvl w:val="4"/>
        <w:rPr>
          <w:rFonts w:hint="eastAsia"/>
          <w:b/>
          <w:bCs/>
          <w:color w:val="auto"/>
          <w:sz w:val="28"/>
          <w:szCs w:val="28"/>
        </w:rPr>
      </w:pPr>
      <w:r>
        <w:rPr>
          <w:rFonts w:hint="eastAsia"/>
          <w:b/>
          <w:bCs/>
          <w:color w:val="auto"/>
          <w:sz w:val="28"/>
          <w:szCs w:val="28"/>
        </w:rPr>
        <w:t>11.4  异常恶劣的气候条件</w:t>
      </w:r>
    </w:p>
    <w:p w14:paraId="1DBEA30B">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异常恶劣的气候条件的范围：对本项目而言，指发生烈度7度（含7度）以上地震、龙卷风、施工场地受淹超过项目法人提供的设计图纸指明的设计洪水水位引起的延误的情况。</w:t>
      </w:r>
    </w:p>
    <w:p w14:paraId="3E566278">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增加：异常恶劣的气候条件，政府及有关部门预先有预报的，由于承包人没有应急措施或没有采取应急措施的，造成的损失和工期延误，由承包人负责。</w:t>
      </w:r>
    </w:p>
    <w:p w14:paraId="12F66101">
      <w:pPr>
        <w:keepNext/>
        <w:keepLines/>
        <w:spacing w:before="120" w:after="120" w:line="240" w:lineRule="auto"/>
        <w:ind w:firstLine="562" w:firstLineChars="200"/>
        <w:outlineLvl w:val="4"/>
        <w:rPr>
          <w:rFonts w:hint="eastAsia"/>
          <w:b/>
          <w:bCs/>
          <w:color w:val="auto"/>
          <w:sz w:val="28"/>
          <w:szCs w:val="28"/>
        </w:rPr>
      </w:pPr>
      <w:r>
        <w:rPr>
          <w:rFonts w:hint="eastAsia"/>
          <w:b/>
          <w:bCs/>
          <w:color w:val="auto"/>
          <w:sz w:val="28"/>
          <w:szCs w:val="28"/>
        </w:rPr>
        <w:t>（增加）11.8 其它进度要求</w:t>
      </w:r>
    </w:p>
    <w:p w14:paraId="24902203">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（1）承包人应加强工程进度计划管理，努力实现均衡组织施工的目标。</w:t>
      </w:r>
    </w:p>
    <w:p w14:paraId="36E32EF0">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a.施工影响原有道路交通的，应根据施工必须保证交通通畅的特点，科学合理安排施工时间，采取妥当的施工方法，避免在雨季破坏旧路利用新路基维持交通，对破坏旧路的路段应及时安排路面施工，确保不影响道路交通畅通。</w:t>
      </w:r>
    </w:p>
    <w:p w14:paraId="03D2DE3C">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b.路面碎石材料的采备应与路基施工进度同步，以保证路面施工进度。</w:t>
      </w:r>
    </w:p>
    <w:p w14:paraId="2A758B78">
      <w:pPr>
        <w:tabs>
          <w:tab w:val="left" w:pos="1080"/>
        </w:tabs>
        <w:spacing w:line="240" w:lineRule="auto"/>
        <w:ind w:firstLine="480" w:firstLineChars="200"/>
        <w:rPr>
          <w:rFonts w:ascii="宋体" w:hAnsi="宋体"/>
          <w:color w:val="auto"/>
          <w:sz w:val="24"/>
          <w:szCs w:val="21"/>
        </w:rPr>
      </w:pPr>
      <w:r>
        <w:rPr>
          <w:rFonts w:ascii="宋体" w:hAnsi="宋体"/>
          <w:color w:val="auto"/>
          <w:sz w:val="24"/>
          <w:szCs w:val="21"/>
        </w:rPr>
        <w:t>c</w:t>
      </w:r>
      <w:r>
        <w:rPr>
          <w:rFonts w:hint="eastAsia" w:ascii="宋体" w:hAnsi="宋体"/>
          <w:color w:val="auto"/>
          <w:sz w:val="24"/>
          <w:szCs w:val="21"/>
        </w:rPr>
        <w:t>.桥梁、主要涵洞、高大支挡结构、旧路改建（破坏旧路路面）的路面等关键工程及分项应有独立详细的施工组织设计，并采取措施确保落实。</w:t>
      </w:r>
    </w:p>
    <w:p w14:paraId="2C424FFE">
      <w:pPr>
        <w:tabs>
          <w:tab w:val="left" w:pos="1080"/>
        </w:tabs>
        <w:spacing w:line="240" w:lineRule="auto"/>
        <w:ind w:firstLine="480" w:firstLineChars="200"/>
        <w:rPr>
          <w:rFonts w:hint="eastAsia" w:ascii="宋体" w:hAnsi="宋体"/>
          <w:color w:val="auto"/>
          <w:sz w:val="24"/>
          <w:u w:val="single"/>
        </w:rPr>
      </w:pPr>
    </w:p>
    <w:p w14:paraId="2025F752">
      <w:pPr>
        <w:keepNext/>
        <w:keepLines/>
        <w:spacing w:before="120" w:after="120" w:line="240" w:lineRule="auto"/>
        <w:ind w:firstLine="562" w:firstLineChars="200"/>
        <w:outlineLvl w:val="4"/>
        <w:rPr>
          <w:rFonts w:hint="eastAsia"/>
          <w:b/>
          <w:bCs/>
          <w:color w:val="auto"/>
          <w:sz w:val="28"/>
          <w:szCs w:val="28"/>
        </w:rPr>
      </w:pPr>
      <w:r>
        <w:rPr>
          <w:rFonts w:hint="eastAsia"/>
          <w:b/>
          <w:bCs/>
          <w:color w:val="auto"/>
          <w:sz w:val="28"/>
          <w:szCs w:val="28"/>
        </w:rPr>
        <w:t>12．暂停施工</w:t>
      </w:r>
    </w:p>
    <w:p w14:paraId="30A8EED1">
      <w:pPr>
        <w:spacing w:line="240" w:lineRule="auto"/>
        <w:ind w:left="199" w:leftChars="95" w:firstLine="316" w:firstLineChars="132"/>
        <w:rPr>
          <w:rFonts w:hint="eastAsia"/>
          <w:color w:val="auto"/>
          <w:sz w:val="24"/>
        </w:rPr>
      </w:pPr>
      <w:r>
        <w:rPr>
          <w:rFonts w:hint="eastAsia"/>
          <w:color w:val="auto"/>
          <w:sz w:val="24"/>
        </w:rPr>
        <w:t>12. 1承包人暂停施工的责任</w:t>
      </w:r>
    </w:p>
    <w:p w14:paraId="58106F11">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公路工程专用合同条款12.1.(6）项约定:</w:t>
      </w:r>
    </w:p>
    <w:p w14:paraId="73AB14FE">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(6）由承包人承担的其他暂停施工：</w:t>
      </w:r>
      <w:r>
        <w:rPr>
          <w:rFonts w:hint="eastAsia" w:ascii="宋体" w:hAnsi="宋体"/>
          <w:color w:val="auto"/>
          <w:sz w:val="24"/>
          <w:szCs w:val="21"/>
          <w:u w:val="single"/>
        </w:rPr>
        <w:t xml:space="preserve">   /   </w:t>
      </w:r>
    </w:p>
    <w:p w14:paraId="1AE4F94A">
      <w:pPr>
        <w:keepNext/>
        <w:keepLines/>
        <w:spacing w:before="120" w:after="120" w:line="240" w:lineRule="auto"/>
        <w:ind w:firstLine="562" w:firstLineChars="200"/>
        <w:outlineLvl w:val="4"/>
        <w:rPr>
          <w:rFonts w:hint="eastAsia"/>
          <w:b/>
          <w:bCs/>
          <w:color w:val="auto"/>
          <w:sz w:val="28"/>
          <w:szCs w:val="28"/>
        </w:rPr>
      </w:pPr>
      <w:r>
        <w:rPr>
          <w:rFonts w:hint="eastAsia"/>
          <w:b/>
          <w:bCs/>
          <w:color w:val="auto"/>
          <w:sz w:val="28"/>
          <w:szCs w:val="28"/>
        </w:rPr>
        <w:t>13.3承包人的质量检查</w:t>
      </w:r>
    </w:p>
    <w:p w14:paraId="15103CC0">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增加内容：</w:t>
      </w:r>
    </w:p>
    <w:p w14:paraId="24CDDFD6">
      <w:pPr>
        <w:tabs>
          <w:tab w:val="left" w:pos="1080"/>
        </w:tabs>
        <w:spacing w:line="240" w:lineRule="auto"/>
        <w:ind w:firstLine="480" w:firstLineChars="200"/>
        <w:rPr>
          <w:rFonts w:ascii="宋体" w:hAnsi="宋体"/>
          <w:color w:val="auto"/>
          <w:sz w:val="24"/>
          <w:szCs w:val="21"/>
        </w:rPr>
      </w:pPr>
      <w:r>
        <w:rPr>
          <w:rFonts w:ascii="宋体" w:hAnsi="宋体"/>
          <w:color w:val="auto"/>
          <w:sz w:val="24"/>
          <w:szCs w:val="21"/>
        </w:rPr>
        <w:t>（</w:t>
      </w:r>
      <w:r>
        <w:rPr>
          <w:rFonts w:hint="eastAsia" w:ascii="宋体" w:hAnsi="宋体"/>
          <w:color w:val="auto"/>
          <w:sz w:val="24"/>
          <w:szCs w:val="21"/>
        </w:rPr>
        <w:t>1</w:t>
      </w:r>
      <w:r>
        <w:rPr>
          <w:rFonts w:ascii="宋体" w:hAnsi="宋体"/>
          <w:color w:val="auto"/>
          <w:sz w:val="24"/>
          <w:szCs w:val="21"/>
        </w:rPr>
        <w:t>）</w:t>
      </w:r>
      <w:r>
        <w:rPr>
          <w:rFonts w:hint="eastAsia" w:ascii="宋体" w:hAnsi="宋体"/>
          <w:color w:val="auto"/>
          <w:sz w:val="24"/>
          <w:szCs w:val="21"/>
        </w:rPr>
        <w:t>落实</w:t>
      </w:r>
      <w:r>
        <w:rPr>
          <w:rFonts w:ascii="宋体" w:hAnsi="宋体"/>
          <w:color w:val="auto"/>
          <w:sz w:val="24"/>
          <w:szCs w:val="21"/>
        </w:rPr>
        <w:t>质量责任制和质量保证体系</w:t>
      </w:r>
    </w:p>
    <w:p w14:paraId="2D957D37">
      <w:pPr>
        <w:tabs>
          <w:tab w:val="left" w:pos="1080"/>
        </w:tabs>
        <w:spacing w:line="240" w:lineRule="auto"/>
        <w:ind w:firstLine="480" w:firstLineChars="200"/>
        <w:rPr>
          <w:rFonts w:ascii="宋体" w:hAnsi="宋体"/>
          <w:color w:val="auto"/>
          <w:sz w:val="24"/>
          <w:szCs w:val="21"/>
        </w:rPr>
      </w:pPr>
      <w:r>
        <w:rPr>
          <w:rFonts w:ascii="宋体" w:hAnsi="宋体"/>
          <w:color w:val="auto"/>
          <w:sz w:val="24"/>
          <w:szCs w:val="21"/>
        </w:rPr>
        <w:t>分项</w:t>
      </w:r>
      <w:r>
        <w:rPr>
          <w:rFonts w:hint="eastAsia" w:ascii="宋体" w:hAnsi="宋体"/>
          <w:color w:val="auto"/>
          <w:sz w:val="24"/>
          <w:szCs w:val="21"/>
        </w:rPr>
        <w:t>工程</w:t>
      </w:r>
      <w:r>
        <w:rPr>
          <w:rFonts w:ascii="宋体" w:hAnsi="宋体"/>
          <w:color w:val="auto"/>
          <w:sz w:val="24"/>
          <w:szCs w:val="21"/>
        </w:rPr>
        <w:t>施工现场应实行</w:t>
      </w:r>
      <w:r>
        <w:rPr>
          <w:rFonts w:hint="eastAsia" w:ascii="宋体" w:hAnsi="宋体"/>
          <w:color w:val="auto"/>
          <w:sz w:val="24"/>
          <w:szCs w:val="21"/>
        </w:rPr>
        <w:t>质量责任</w:t>
      </w:r>
      <w:r>
        <w:rPr>
          <w:rFonts w:ascii="宋体" w:hAnsi="宋体"/>
          <w:color w:val="auto"/>
          <w:sz w:val="24"/>
          <w:szCs w:val="21"/>
        </w:rPr>
        <w:t>牌管理，写明作业内容、项目质量管理责任人</w:t>
      </w:r>
      <w:r>
        <w:rPr>
          <w:rFonts w:hint="eastAsia" w:ascii="宋体" w:hAnsi="宋体"/>
          <w:color w:val="auto"/>
          <w:sz w:val="24"/>
          <w:szCs w:val="21"/>
        </w:rPr>
        <w:t>（施工单位、建设管理机构）</w:t>
      </w:r>
      <w:r>
        <w:rPr>
          <w:rFonts w:ascii="宋体" w:hAnsi="宋体"/>
          <w:color w:val="auto"/>
          <w:sz w:val="24"/>
          <w:szCs w:val="21"/>
        </w:rPr>
        <w:t>和质量</w:t>
      </w:r>
      <w:r>
        <w:rPr>
          <w:rFonts w:hint="eastAsia" w:ascii="宋体" w:hAnsi="宋体"/>
          <w:color w:val="auto"/>
          <w:sz w:val="24"/>
          <w:szCs w:val="21"/>
        </w:rPr>
        <w:t>管理</w:t>
      </w:r>
      <w:r>
        <w:rPr>
          <w:rFonts w:ascii="宋体" w:hAnsi="宋体"/>
          <w:color w:val="auto"/>
          <w:sz w:val="24"/>
          <w:szCs w:val="21"/>
        </w:rPr>
        <w:t xml:space="preserve">举报电话； </w:t>
      </w:r>
    </w:p>
    <w:p w14:paraId="6F47A617">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（2）</w:t>
      </w:r>
      <w:r>
        <w:rPr>
          <w:rFonts w:ascii="宋体" w:hAnsi="宋体"/>
          <w:color w:val="auto"/>
          <w:sz w:val="24"/>
          <w:szCs w:val="21"/>
        </w:rPr>
        <w:t>认真执行</w:t>
      </w:r>
      <w:r>
        <w:rPr>
          <w:rFonts w:hint="eastAsia" w:ascii="宋体" w:hAnsi="宋体"/>
          <w:color w:val="auto"/>
          <w:sz w:val="24"/>
          <w:szCs w:val="21"/>
        </w:rPr>
        <w:t>质量检查</w:t>
      </w:r>
      <w:r>
        <w:rPr>
          <w:rFonts w:ascii="宋体" w:hAnsi="宋体"/>
          <w:color w:val="auto"/>
          <w:sz w:val="24"/>
          <w:szCs w:val="21"/>
        </w:rPr>
        <w:t>制度：</w:t>
      </w:r>
    </w:p>
    <w:p w14:paraId="64143B3B">
      <w:pPr>
        <w:tabs>
          <w:tab w:val="left" w:pos="1080"/>
        </w:tabs>
        <w:spacing w:line="240" w:lineRule="auto"/>
        <w:ind w:firstLine="480" w:firstLineChars="200"/>
        <w:rPr>
          <w:rFonts w:ascii="宋体" w:hAnsi="宋体"/>
          <w:color w:val="auto"/>
          <w:sz w:val="24"/>
          <w:szCs w:val="21"/>
        </w:rPr>
      </w:pPr>
      <w:r>
        <w:rPr>
          <w:rFonts w:ascii="宋体" w:hAnsi="宋体"/>
          <w:color w:val="auto"/>
          <w:sz w:val="24"/>
          <w:szCs w:val="21"/>
        </w:rPr>
        <w:t>施工作业管理</w:t>
      </w:r>
      <w:r>
        <w:rPr>
          <w:rFonts w:hint="eastAsia" w:ascii="宋体" w:hAnsi="宋体"/>
          <w:color w:val="auto"/>
          <w:sz w:val="24"/>
          <w:szCs w:val="21"/>
        </w:rPr>
        <w:t>的</w:t>
      </w:r>
      <w:r>
        <w:rPr>
          <w:rFonts w:ascii="宋体" w:hAnsi="宋体"/>
          <w:color w:val="auto"/>
          <w:sz w:val="24"/>
          <w:szCs w:val="21"/>
        </w:rPr>
        <w:t>专业工程师在测量、试验工程师配合下完成施工自检并作施工记录（工艺及原材料使用等）；</w:t>
      </w:r>
    </w:p>
    <w:p w14:paraId="2BA098D6">
      <w:pPr>
        <w:tabs>
          <w:tab w:val="left" w:pos="1080"/>
        </w:tabs>
        <w:spacing w:line="240" w:lineRule="auto"/>
        <w:ind w:firstLine="480" w:firstLineChars="200"/>
        <w:rPr>
          <w:rFonts w:ascii="宋体" w:hAnsi="宋体"/>
          <w:color w:val="auto"/>
          <w:sz w:val="24"/>
          <w:szCs w:val="21"/>
        </w:rPr>
      </w:pPr>
      <w:r>
        <w:rPr>
          <w:rFonts w:ascii="宋体" w:hAnsi="宋体"/>
          <w:color w:val="auto"/>
          <w:sz w:val="24"/>
          <w:szCs w:val="21"/>
        </w:rPr>
        <w:t>质检工程师在测量、试验工程师配合下加强中间质量检测，严格控制工序质量，及时完成工序、分项完工检验并提交质量检验记录，收集工序、分项资料与检验申请经项目总工签认后报送</w:t>
      </w:r>
      <w:r>
        <w:rPr>
          <w:rFonts w:hint="eastAsia" w:ascii="宋体" w:hAnsi="宋体"/>
          <w:color w:val="auto"/>
          <w:sz w:val="24"/>
          <w:szCs w:val="21"/>
        </w:rPr>
        <w:t>发包人</w:t>
      </w:r>
      <w:r>
        <w:rPr>
          <w:rFonts w:ascii="宋体" w:hAnsi="宋体"/>
          <w:color w:val="auto"/>
          <w:sz w:val="24"/>
          <w:szCs w:val="21"/>
        </w:rPr>
        <w:t>。</w:t>
      </w:r>
    </w:p>
    <w:p w14:paraId="083DE655">
      <w:pPr>
        <w:tabs>
          <w:tab w:val="left" w:pos="1080"/>
        </w:tabs>
        <w:spacing w:line="240" w:lineRule="auto"/>
        <w:ind w:firstLine="480" w:firstLineChars="200"/>
        <w:rPr>
          <w:rFonts w:ascii="宋体" w:hAnsi="宋体"/>
          <w:color w:val="auto"/>
          <w:sz w:val="24"/>
          <w:szCs w:val="21"/>
        </w:rPr>
      </w:pPr>
      <w:r>
        <w:rPr>
          <w:rFonts w:ascii="宋体" w:hAnsi="宋体"/>
          <w:color w:val="auto"/>
          <w:sz w:val="24"/>
          <w:szCs w:val="21"/>
        </w:rPr>
        <w:t>试验、测量工程师根据施工质检需要完成试验与测量作业并及时交检验结果报告专业工程师、质检工程师。</w:t>
      </w:r>
    </w:p>
    <w:p w14:paraId="663FCC95">
      <w:pPr>
        <w:tabs>
          <w:tab w:val="left" w:pos="1080"/>
        </w:tabs>
        <w:spacing w:line="240" w:lineRule="auto"/>
        <w:ind w:firstLine="480" w:firstLineChars="200"/>
        <w:rPr>
          <w:rFonts w:ascii="宋体" w:hAnsi="宋体"/>
          <w:color w:val="auto"/>
          <w:sz w:val="24"/>
          <w:szCs w:val="21"/>
        </w:rPr>
      </w:pPr>
      <w:r>
        <w:rPr>
          <w:rFonts w:ascii="宋体" w:hAnsi="宋体"/>
          <w:color w:val="auto"/>
          <w:sz w:val="24"/>
          <w:szCs w:val="21"/>
        </w:rPr>
        <w:t>为保证质量责任制的落实，必须做到“三个到位”、“三个同时”，即：质量管理人员到位，检测工具到位，记录表格到位；施工作业与</w:t>
      </w:r>
      <w:r>
        <w:rPr>
          <w:rFonts w:hint="eastAsia" w:ascii="宋体" w:hAnsi="宋体"/>
          <w:color w:val="auto"/>
          <w:sz w:val="24"/>
          <w:szCs w:val="21"/>
        </w:rPr>
        <w:t>专业工程师</w:t>
      </w:r>
      <w:r>
        <w:rPr>
          <w:rFonts w:ascii="宋体" w:hAnsi="宋体"/>
          <w:color w:val="auto"/>
          <w:sz w:val="24"/>
          <w:szCs w:val="21"/>
        </w:rPr>
        <w:t>质量检查、检验同时，承包人</w:t>
      </w:r>
      <w:r>
        <w:rPr>
          <w:rFonts w:hint="eastAsia" w:ascii="宋体" w:hAnsi="宋体"/>
          <w:color w:val="auto"/>
          <w:sz w:val="24"/>
          <w:szCs w:val="21"/>
        </w:rPr>
        <w:t>质量检验工程师的</w:t>
      </w:r>
      <w:r>
        <w:rPr>
          <w:rFonts w:ascii="宋体" w:hAnsi="宋体"/>
          <w:color w:val="auto"/>
          <w:sz w:val="24"/>
          <w:szCs w:val="21"/>
        </w:rPr>
        <w:t>检验</w:t>
      </w:r>
      <w:r>
        <w:rPr>
          <w:rFonts w:hint="eastAsia" w:ascii="宋体" w:hAnsi="宋体"/>
          <w:color w:val="auto"/>
          <w:sz w:val="24"/>
          <w:szCs w:val="21"/>
        </w:rPr>
        <w:t>与施工作业</w:t>
      </w:r>
      <w:r>
        <w:rPr>
          <w:rFonts w:ascii="宋体" w:hAnsi="宋体"/>
          <w:color w:val="auto"/>
          <w:sz w:val="24"/>
          <w:szCs w:val="21"/>
        </w:rPr>
        <w:t>同时，</w:t>
      </w:r>
      <w:r>
        <w:rPr>
          <w:rFonts w:hint="eastAsia" w:ascii="宋体" w:hAnsi="宋体"/>
          <w:color w:val="auto"/>
          <w:sz w:val="24"/>
          <w:szCs w:val="21"/>
        </w:rPr>
        <w:t>检查、</w:t>
      </w:r>
      <w:r>
        <w:rPr>
          <w:rFonts w:ascii="宋体" w:hAnsi="宋体"/>
          <w:color w:val="auto"/>
          <w:sz w:val="24"/>
          <w:szCs w:val="21"/>
        </w:rPr>
        <w:t>检验与记录同时。</w:t>
      </w:r>
    </w:p>
    <w:p w14:paraId="5BCDCD06">
      <w:pPr>
        <w:tabs>
          <w:tab w:val="left" w:pos="1080"/>
        </w:tabs>
        <w:spacing w:line="240" w:lineRule="auto"/>
        <w:ind w:firstLine="480" w:firstLineChars="200"/>
        <w:rPr>
          <w:rFonts w:ascii="宋体" w:hAnsi="宋体"/>
          <w:color w:val="auto"/>
          <w:sz w:val="24"/>
          <w:szCs w:val="21"/>
        </w:rPr>
      </w:pPr>
      <w:r>
        <w:rPr>
          <w:rFonts w:ascii="宋体" w:hAnsi="宋体"/>
          <w:color w:val="auto"/>
          <w:sz w:val="24"/>
          <w:szCs w:val="21"/>
        </w:rPr>
        <w:t>(</w:t>
      </w:r>
      <w:r>
        <w:rPr>
          <w:rFonts w:hint="eastAsia" w:ascii="宋体" w:hAnsi="宋体"/>
          <w:color w:val="auto"/>
          <w:sz w:val="24"/>
          <w:szCs w:val="21"/>
        </w:rPr>
        <w:t>3</w:t>
      </w:r>
      <w:r>
        <w:rPr>
          <w:rFonts w:ascii="宋体" w:hAnsi="宋体"/>
          <w:color w:val="auto"/>
          <w:sz w:val="24"/>
          <w:szCs w:val="21"/>
        </w:rPr>
        <w:t>)</w:t>
      </w:r>
      <w:r>
        <w:rPr>
          <w:rFonts w:hint="eastAsia" w:ascii="宋体" w:hAnsi="宋体"/>
          <w:color w:val="auto"/>
          <w:sz w:val="24"/>
          <w:szCs w:val="21"/>
        </w:rPr>
        <w:t>质量管理</w:t>
      </w:r>
      <w:r>
        <w:rPr>
          <w:rFonts w:ascii="宋体" w:hAnsi="宋体"/>
          <w:color w:val="auto"/>
          <w:sz w:val="24"/>
          <w:szCs w:val="21"/>
        </w:rPr>
        <w:t>记录的原始记录包括作业记录、测量记录、试验记录、检验记录及验收记录</w:t>
      </w:r>
      <w:r>
        <w:rPr>
          <w:rFonts w:hint="eastAsia" w:ascii="宋体" w:hAnsi="宋体"/>
          <w:color w:val="auto"/>
          <w:sz w:val="24"/>
          <w:szCs w:val="21"/>
        </w:rPr>
        <w:t>，</w:t>
      </w:r>
      <w:r>
        <w:rPr>
          <w:rFonts w:ascii="宋体" w:hAnsi="宋体"/>
          <w:color w:val="auto"/>
          <w:sz w:val="24"/>
          <w:szCs w:val="21"/>
        </w:rPr>
        <w:t>地基、基础、填挖交界碾压，墙台背回填等</w:t>
      </w:r>
      <w:r>
        <w:rPr>
          <w:rFonts w:hint="eastAsia" w:ascii="宋体" w:hAnsi="宋体"/>
          <w:color w:val="auto"/>
          <w:sz w:val="24"/>
          <w:szCs w:val="21"/>
        </w:rPr>
        <w:t>隐蔽工程</w:t>
      </w:r>
      <w:r>
        <w:rPr>
          <w:rFonts w:ascii="宋体" w:hAnsi="宋体"/>
          <w:color w:val="auto"/>
          <w:sz w:val="24"/>
          <w:szCs w:val="21"/>
        </w:rPr>
        <w:t>应摄象或照相作为现场记录保存</w:t>
      </w:r>
      <w:r>
        <w:rPr>
          <w:rFonts w:hint="eastAsia" w:ascii="宋体" w:hAnsi="宋体"/>
          <w:color w:val="auto"/>
          <w:sz w:val="24"/>
          <w:szCs w:val="21"/>
        </w:rPr>
        <w:t>。</w:t>
      </w:r>
    </w:p>
    <w:p w14:paraId="564F24EF">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(4) 承包人应加强文明施工，保障道路通畅的管理</w:t>
      </w:r>
    </w:p>
    <w:p w14:paraId="0F18C695">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a.承包人在施工期内应按国家、交通主管部门与公路管理机构文明施工，保障畅通的有关规定组织施工，对出现的交通堵塞无条件地采取措施进行疏通。</w:t>
      </w:r>
    </w:p>
    <w:p w14:paraId="0C0FF05E">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b.旧路改建工程项目</w:t>
      </w:r>
    </w:p>
    <w:p w14:paraId="1A9815ED">
      <w:pPr>
        <w:tabs>
          <w:tab w:val="left" w:pos="1080"/>
        </w:tabs>
        <w:spacing w:line="240" w:lineRule="auto"/>
        <w:ind w:left="420"/>
        <w:rPr>
          <w:rFonts w:hint="eastAsia" w:ascii="宋体" w:hAnsi="宋体"/>
          <w:color w:val="auto"/>
          <w:sz w:val="24"/>
        </w:rPr>
      </w:pPr>
      <w:r>
        <w:rPr>
          <w:rFonts w:hint="eastAsia" w:ascii="宋体" w:hAnsi="宋体"/>
          <w:color w:val="auto"/>
          <w:sz w:val="24"/>
        </w:rPr>
        <w:t>(i)破坏旧路必须作出交通维持与恢复路面通行条件方案并必须取得业主的批准，未经批准进行旧路开挖与填筑的，业主有权责令停工，并由承包人恢复原良好的通车条件，并需承担一切费用。</w:t>
      </w:r>
    </w:p>
    <w:p w14:paraId="2E02EE84">
      <w:pPr>
        <w:tabs>
          <w:tab w:val="left" w:pos="1080"/>
        </w:tabs>
        <w:spacing w:line="240" w:lineRule="auto"/>
        <w:ind w:left="420"/>
        <w:rPr>
          <w:rFonts w:hint="eastAsia" w:ascii="宋体" w:hAnsi="宋体"/>
          <w:color w:val="auto"/>
          <w:sz w:val="24"/>
        </w:rPr>
      </w:pPr>
      <w:r>
        <w:rPr>
          <w:rFonts w:hint="eastAsia" w:ascii="宋体" w:hAnsi="宋体"/>
          <w:color w:val="auto"/>
          <w:sz w:val="24"/>
        </w:rPr>
        <w:t>(ii)不得在道路上堆放材料或占道施工影响交通。路基、路面施工应避免出现晴天扬尘，雨天打滑影响安全与交通和影响群众生活、生产的现象。维持交通的路基施工应保证表面平整，保证通畅。</w:t>
      </w:r>
    </w:p>
    <w:p w14:paraId="4F8E77D2">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 xml:space="preserve"> (5) 承包人应自觉接受交通主管部门、质量监督单位、公路管理机构的监督，对指出的问题进行认真的整改，及时报告处理结果。</w:t>
      </w:r>
    </w:p>
    <w:p w14:paraId="3CB52AB9">
      <w:pPr>
        <w:tabs>
          <w:tab w:val="left" w:pos="1080"/>
        </w:tabs>
        <w:spacing w:line="240" w:lineRule="auto"/>
        <w:ind w:firstLine="480" w:firstLineChars="200"/>
        <w:rPr>
          <w:rFonts w:hint="eastAsia" w:ascii="宋体" w:hAnsi="宋体"/>
          <w:color w:val="auto"/>
          <w:sz w:val="24"/>
        </w:rPr>
      </w:pPr>
      <w:r>
        <w:rPr>
          <w:rFonts w:hint="eastAsia" w:ascii="宋体" w:hAnsi="宋体"/>
          <w:color w:val="auto"/>
          <w:sz w:val="24"/>
        </w:rPr>
        <w:t>在整个施工过程中，业主对承包人履行责任有权进行监督，并向承包人提出整改要求。承包人应认真履行责任，执行业主的指令，否则将按第22.1款视为承包人违约。</w:t>
      </w:r>
    </w:p>
    <w:p w14:paraId="79CF8779">
      <w:pPr>
        <w:keepNext/>
        <w:keepLines/>
        <w:spacing w:before="120" w:after="120" w:line="240" w:lineRule="auto"/>
        <w:ind w:firstLine="562" w:firstLineChars="200"/>
        <w:outlineLvl w:val="4"/>
        <w:rPr>
          <w:rFonts w:hint="eastAsia"/>
          <w:b/>
          <w:bCs/>
          <w:color w:val="auto"/>
          <w:sz w:val="28"/>
          <w:szCs w:val="28"/>
        </w:rPr>
      </w:pPr>
      <w:r>
        <w:rPr>
          <w:rFonts w:hint="eastAsia"/>
          <w:b/>
          <w:bCs/>
          <w:color w:val="auto"/>
          <w:sz w:val="28"/>
          <w:szCs w:val="28"/>
        </w:rPr>
        <w:t>13.5工程隐蔽部位覆盖前的检查</w:t>
      </w:r>
    </w:p>
    <w:p w14:paraId="5C82BC5C">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（增加）13.5.1项补充：</w:t>
      </w:r>
    </w:p>
    <w:p w14:paraId="63803D15">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 xml:space="preserve"> 隐蔽部位覆盖前应经发包人检查确认,分阶段(工序)进行拍摄或照相,并向发包人提供相关影像相片等书面资料作为计量支付的依据，否则不应给予计量.</w:t>
      </w:r>
    </w:p>
    <w:p w14:paraId="131853D4">
      <w:pPr>
        <w:keepNext/>
        <w:keepLines/>
        <w:spacing w:before="120" w:after="120" w:line="240" w:lineRule="auto"/>
        <w:ind w:firstLine="562" w:firstLineChars="200"/>
        <w:outlineLvl w:val="4"/>
        <w:rPr>
          <w:rFonts w:hint="eastAsia"/>
          <w:b/>
          <w:bCs/>
          <w:color w:val="auto"/>
          <w:sz w:val="28"/>
          <w:szCs w:val="28"/>
        </w:rPr>
      </w:pPr>
      <w:r>
        <w:rPr>
          <w:rFonts w:hint="eastAsia"/>
          <w:b/>
          <w:bCs/>
          <w:color w:val="auto"/>
          <w:sz w:val="28"/>
          <w:szCs w:val="28"/>
        </w:rPr>
        <w:t>15.3 变更</w:t>
      </w:r>
    </w:p>
    <w:p w14:paraId="6A563D9B">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（增加）15</w:t>
      </w:r>
      <w:r>
        <w:rPr>
          <w:rFonts w:ascii="宋体" w:hAnsi="宋体"/>
          <w:color w:val="auto"/>
          <w:sz w:val="24"/>
          <w:szCs w:val="21"/>
        </w:rPr>
        <w:t>.</w:t>
      </w:r>
      <w:r>
        <w:rPr>
          <w:rFonts w:hint="eastAsia" w:ascii="宋体" w:hAnsi="宋体"/>
          <w:color w:val="auto"/>
          <w:sz w:val="24"/>
          <w:szCs w:val="21"/>
        </w:rPr>
        <w:t>3</w:t>
      </w:r>
      <w:r>
        <w:rPr>
          <w:rFonts w:ascii="宋体" w:hAnsi="宋体"/>
          <w:color w:val="auto"/>
          <w:sz w:val="24"/>
          <w:szCs w:val="21"/>
        </w:rPr>
        <w:t>.</w:t>
      </w:r>
      <w:r>
        <w:rPr>
          <w:rFonts w:hint="eastAsia" w:ascii="宋体" w:hAnsi="宋体"/>
          <w:color w:val="auto"/>
          <w:sz w:val="24"/>
          <w:szCs w:val="21"/>
        </w:rPr>
        <w:t>5项补充：因工作需要发生工程量变化的，由项目业主根据实际情况对工程量清单中的工程数量作出调整，并列入月度计划下达给承包方。</w:t>
      </w:r>
    </w:p>
    <w:p w14:paraId="33CE1BD1">
      <w:pPr>
        <w:keepNext/>
        <w:keepLines/>
        <w:spacing w:before="120" w:after="120" w:line="240" w:lineRule="auto"/>
        <w:ind w:firstLine="562" w:firstLineChars="200"/>
        <w:outlineLvl w:val="4"/>
        <w:rPr>
          <w:rFonts w:hint="eastAsia"/>
          <w:b/>
          <w:bCs/>
          <w:color w:val="auto"/>
          <w:sz w:val="28"/>
          <w:szCs w:val="28"/>
        </w:rPr>
      </w:pPr>
      <w:r>
        <w:rPr>
          <w:rFonts w:hint="eastAsia"/>
          <w:b/>
          <w:bCs/>
          <w:color w:val="auto"/>
          <w:sz w:val="28"/>
          <w:szCs w:val="28"/>
        </w:rPr>
        <w:t>17.</w:t>
      </w:r>
      <w:r>
        <w:rPr>
          <w:b/>
          <w:bCs/>
          <w:color w:val="auto"/>
          <w:sz w:val="28"/>
          <w:szCs w:val="28"/>
        </w:rPr>
        <w:t xml:space="preserve">1  </w:t>
      </w:r>
      <w:r>
        <w:rPr>
          <w:rFonts w:hint="eastAsia"/>
          <w:b/>
          <w:bCs/>
          <w:color w:val="auto"/>
          <w:sz w:val="28"/>
          <w:szCs w:val="28"/>
        </w:rPr>
        <w:t>计量</w:t>
      </w:r>
    </w:p>
    <w:p w14:paraId="65B2601D">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17.1.5  本</w:t>
      </w:r>
      <w:r>
        <w:rPr>
          <w:rFonts w:ascii="宋体" w:hAnsi="宋体"/>
          <w:color w:val="auto"/>
          <w:sz w:val="24"/>
          <w:szCs w:val="21"/>
        </w:rPr>
        <w:t>项目工程量清单</w:t>
      </w:r>
      <w:r>
        <w:rPr>
          <w:rFonts w:hint="eastAsia" w:ascii="宋体" w:hAnsi="宋体"/>
          <w:color w:val="auto"/>
          <w:sz w:val="24"/>
          <w:szCs w:val="21"/>
        </w:rPr>
        <w:t>中</w:t>
      </w:r>
      <w:r>
        <w:rPr>
          <w:rFonts w:ascii="宋体" w:hAnsi="宋体"/>
          <w:color w:val="auto"/>
          <w:sz w:val="24"/>
          <w:szCs w:val="21"/>
        </w:rPr>
        <w:t>总额价子目的支付原则和支付进度：</w:t>
      </w:r>
      <w:r>
        <w:rPr>
          <w:rFonts w:hint="eastAsia" w:ascii="宋体" w:hAnsi="宋体"/>
          <w:color w:val="auto"/>
          <w:sz w:val="24"/>
          <w:u w:val="single"/>
        </w:rPr>
        <w:t xml:space="preserve">见第八章工程量清单计量规则  </w:t>
      </w:r>
    </w:p>
    <w:p w14:paraId="5E079947">
      <w:pPr>
        <w:tabs>
          <w:tab w:val="left" w:pos="1080"/>
        </w:tabs>
        <w:spacing w:line="240" w:lineRule="auto"/>
        <w:ind w:firstLine="480" w:firstLineChars="200"/>
        <w:rPr>
          <w:rFonts w:hint="eastAsia" w:ascii="宋体" w:hAnsi="宋体"/>
          <w:color w:val="auto"/>
          <w:sz w:val="24"/>
          <w:u w:val="single"/>
        </w:rPr>
      </w:pPr>
      <w:r>
        <w:rPr>
          <w:rFonts w:hint="eastAsia" w:ascii="宋体" w:hAnsi="宋体"/>
          <w:color w:val="auto"/>
          <w:sz w:val="24"/>
          <w:u w:val="single"/>
        </w:rPr>
        <w:t xml:space="preserve">(增加)17.1.6  </w:t>
      </w:r>
      <w:r>
        <w:rPr>
          <w:rFonts w:hint="eastAsia" w:ascii="宋体" w:hAnsi="宋体"/>
          <w:color w:val="auto"/>
          <w:sz w:val="24"/>
          <w:szCs w:val="21"/>
        </w:rPr>
        <w:t>项目合同应当约定合同款支付的方式、时间和条件，明确逾期支付合同款的违约责任。</w:t>
      </w:r>
    </w:p>
    <w:p w14:paraId="397D4386">
      <w:pPr>
        <w:keepNext/>
        <w:keepLines/>
        <w:spacing w:before="120" w:after="120" w:line="240" w:lineRule="auto"/>
        <w:ind w:firstLine="562" w:firstLineChars="200"/>
        <w:outlineLvl w:val="4"/>
        <w:rPr>
          <w:rFonts w:hint="eastAsia"/>
          <w:b/>
          <w:bCs/>
          <w:color w:val="auto"/>
          <w:sz w:val="28"/>
          <w:szCs w:val="28"/>
        </w:rPr>
      </w:pPr>
      <w:r>
        <w:rPr>
          <w:rFonts w:hint="eastAsia"/>
          <w:b/>
          <w:bCs/>
          <w:color w:val="auto"/>
          <w:sz w:val="28"/>
          <w:szCs w:val="28"/>
        </w:rPr>
        <w:t>17.2预付款</w:t>
      </w:r>
    </w:p>
    <w:p w14:paraId="526920FE">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（1）（修改）开工预付款的金额：</w:t>
      </w:r>
      <w:r>
        <w:rPr>
          <w:rFonts w:hint="eastAsia" w:ascii="宋体" w:hAnsi="宋体"/>
          <w:color w:val="auto"/>
          <w:sz w:val="24"/>
          <w:szCs w:val="21"/>
          <w:lang w:val="en-US" w:eastAsia="zh-CN"/>
        </w:rPr>
        <w:t>本项目无预付款</w:t>
      </w:r>
      <w:r>
        <w:rPr>
          <w:rFonts w:hint="eastAsia" w:ascii="宋体" w:hAnsi="宋体"/>
          <w:color w:val="auto"/>
          <w:sz w:val="24"/>
          <w:szCs w:val="21"/>
        </w:rPr>
        <w:t>。</w:t>
      </w:r>
    </w:p>
    <w:p w14:paraId="042ACF22">
      <w:pPr>
        <w:tabs>
          <w:tab w:val="left" w:pos="1080"/>
        </w:tabs>
        <w:spacing w:line="240" w:lineRule="auto"/>
        <w:ind w:firstLine="480" w:firstLineChars="200"/>
        <w:rPr>
          <w:rFonts w:hint="eastAsia" w:ascii="宋体" w:hAnsi="宋体"/>
          <w:color w:val="auto"/>
          <w:sz w:val="24"/>
          <w:szCs w:val="21"/>
        </w:rPr>
      </w:pPr>
    </w:p>
    <w:p w14:paraId="6358E4F4">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17.3  工程</w:t>
      </w:r>
      <w:r>
        <w:rPr>
          <w:rFonts w:ascii="宋体" w:hAnsi="宋体"/>
          <w:color w:val="auto"/>
          <w:sz w:val="24"/>
          <w:szCs w:val="21"/>
        </w:rPr>
        <w:t>进度付款</w:t>
      </w:r>
    </w:p>
    <w:p w14:paraId="27DBFBCB">
      <w:pPr>
        <w:tabs>
          <w:tab w:val="left" w:pos="1080"/>
        </w:tabs>
        <w:spacing w:line="240" w:lineRule="auto"/>
        <w:ind w:firstLine="480" w:firstLineChars="200"/>
        <w:rPr>
          <w:rFonts w:hint="eastAsia" w:ascii="宋体" w:hAnsi="宋体"/>
          <w:color w:val="auto"/>
          <w:sz w:val="24"/>
        </w:rPr>
      </w:pPr>
      <w:r>
        <w:rPr>
          <w:rFonts w:hint="eastAsia" w:ascii="宋体" w:hAnsi="宋体"/>
          <w:color w:val="auto"/>
          <w:sz w:val="24"/>
        </w:rPr>
        <w:t>17.3.5    农民</w:t>
      </w:r>
      <w:r>
        <w:rPr>
          <w:rFonts w:ascii="宋体" w:hAnsi="宋体"/>
          <w:color w:val="auto"/>
          <w:sz w:val="24"/>
        </w:rPr>
        <w:t>工工资保</w:t>
      </w:r>
      <w:r>
        <w:rPr>
          <w:rFonts w:hint="eastAsia" w:ascii="宋体" w:hAnsi="宋体"/>
          <w:color w:val="auto"/>
          <w:sz w:val="24"/>
        </w:rPr>
        <w:t>证金</w:t>
      </w:r>
      <w:r>
        <w:rPr>
          <w:rFonts w:ascii="宋体" w:hAnsi="宋体"/>
          <w:color w:val="auto"/>
          <w:sz w:val="24"/>
        </w:rPr>
        <w:t>的缴存时间：</w:t>
      </w:r>
      <w:r>
        <w:rPr>
          <w:rFonts w:hint="eastAsia" w:ascii="宋体" w:hAnsi="宋体"/>
          <w:color w:val="auto"/>
          <w:sz w:val="24"/>
          <w:u w:val="single"/>
        </w:rPr>
        <w:t xml:space="preserve">   签订合同30日内      </w:t>
      </w:r>
    </w:p>
    <w:p w14:paraId="70C40F21">
      <w:pPr>
        <w:widowControl/>
        <w:spacing w:line="240" w:lineRule="auto"/>
        <w:ind w:firstLine="480" w:firstLineChars="200"/>
        <w:jc w:val="left"/>
        <w:rPr>
          <w:rFonts w:hint="eastAsia" w:ascii="宋体" w:hAnsi="宋体"/>
          <w:color w:val="auto"/>
          <w:sz w:val="24"/>
        </w:rPr>
      </w:pPr>
      <w:r>
        <w:rPr>
          <w:rFonts w:hint="eastAsia" w:ascii="宋体" w:hAnsi="宋体"/>
          <w:color w:val="auto"/>
          <w:sz w:val="24"/>
        </w:rPr>
        <w:t>农民</w:t>
      </w:r>
      <w:r>
        <w:rPr>
          <w:rFonts w:ascii="宋体" w:hAnsi="宋体"/>
          <w:color w:val="auto"/>
          <w:sz w:val="24"/>
        </w:rPr>
        <w:t>工工资保证金的缴存金额：</w:t>
      </w:r>
      <w:r>
        <w:rPr>
          <w:rFonts w:hint="eastAsia" w:ascii="宋体" w:hAnsi="宋体"/>
          <w:color w:val="auto"/>
          <w:sz w:val="24"/>
          <w:u w:val="single"/>
        </w:rPr>
        <w:t>2%签约合同价</w:t>
      </w:r>
      <w:r>
        <w:rPr>
          <w:rFonts w:hint="eastAsia" w:ascii="宋体" w:hAnsi="宋体"/>
          <w:color w:val="auto"/>
          <w:sz w:val="24"/>
        </w:rPr>
        <w:t>。</w:t>
      </w:r>
    </w:p>
    <w:p w14:paraId="6F4DC087">
      <w:pPr>
        <w:widowControl/>
        <w:shd w:val="clear" w:color="auto" w:fill="FFFFFF"/>
        <w:spacing w:line="240" w:lineRule="auto"/>
        <w:ind w:firstLine="480" w:firstLineChars="200"/>
        <w:jc w:val="left"/>
        <w:rPr>
          <w:rFonts w:hint="eastAsia" w:ascii="宋体" w:hAnsi="宋体"/>
          <w:color w:val="auto"/>
          <w:sz w:val="24"/>
        </w:rPr>
      </w:pPr>
      <w:r>
        <w:rPr>
          <w:rFonts w:hint="eastAsia" w:ascii="宋体" w:hAnsi="宋体"/>
          <w:color w:val="auto"/>
          <w:sz w:val="24"/>
        </w:rPr>
        <w:t>农民</w:t>
      </w:r>
      <w:r>
        <w:rPr>
          <w:rFonts w:ascii="宋体" w:hAnsi="宋体"/>
          <w:color w:val="auto"/>
          <w:sz w:val="24"/>
        </w:rPr>
        <w:t>工工资保证</w:t>
      </w:r>
      <w:r>
        <w:rPr>
          <w:rFonts w:hint="eastAsia" w:ascii="宋体" w:hAnsi="宋体"/>
          <w:color w:val="auto"/>
          <w:sz w:val="24"/>
        </w:rPr>
        <w:t>金</w:t>
      </w:r>
      <w:r>
        <w:rPr>
          <w:rFonts w:ascii="宋体" w:hAnsi="宋体"/>
          <w:color w:val="auto"/>
          <w:sz w:val="24"/>
        </w:rPr>
        <w:t>的扣留条件：</w:t>
      </w:r>
      <w:r>
        <w:rPr>
          <w:rFonts w:hint="eastAsia" w:ascii="宋体" w:hAnsi="宋体"/>
          <w:color w:val="auto"/>
          <w:sz w:val="24"/>
          <w:u w:val="single"/>
        </w:rPr>
        <w:t xml:space="preserve">    按《</w:t>
      </w:r>
      <w:r>
        <w:rPr>
          <w:rFonts w:hint="eastAsia" w:ascii="宋体" w:hAnsi="宋体"/>
          <w:color w:val="auto"/>
          <w:kern w:val="0"/>
          <w:sz w:val="24"/>
          <w:u w:val="single"/>
        </w:rPr>
        <w:t>关于明确农民工工资保证金制度有关问题的通知》（桂薪联发〔2016〕2号）规定</w:t>
      </w:r>
      <w:r>
        <w:rPr>
          <w:rFonts w:hint="eastAsia" w:ascii="宋体" w:hAnsi="宋体"/>
          <w:color w:val="auto"/>
          <w:sz w:val="24"/>
          <w:u w:val="single"/>
        </w:rPr>
        <w:t xml:space="preserve"> </w:t>
      </w:r>
    </w:p>
    <w:p w14:paraId="2C313210">
      <w:pPr>
        <w:tabs>
          <w:tab w:val="left" w:pos="1080"/>
        </w:tabs>
        <w:spacing w:line="240" w:lineRule="auto"/>
        <w:ind w:firstLine="480" w:firstLineChars="200"/>
        <w:rPr>
          <w:rFonts w:hint="eastAsia" w:ascii="宋体" w:hAnsi="宋体"/>
          <w:color w:val="auto"/>
          <w:sz w:val="24"/>
        </w:rPr>
      </w:pPr>
      <w:r>
        <w:rPr>
          <w:rFonts w:hint="eastAsia" w:ascii="宋体" w:hAnsi="宋体"/>
          <w:color w:val="auto"/>
          <w:sz w:val="24"/>
        </w:rPr>
        <w:t>农民工资</w:t>
      </w:r>
      <w:r>
        <w:rPr>
          <w:rFonts w:ascii="宋体" w:hAnsi="宋体"/>
          <w:color w:val="auto"/>
          <w:sz w:val="24"/>
        </w:rPr>
        <w:t>保证金的返还时间：</w:t>
      </w:r>
      <w:r>
        <w:rPr>
          <w:rFonts w:hint="eastAsia" w:ascii="宋体" w:hAnsi="宋体"/>
          <w:color w:val="auto"/>
          <w:sz w:val="24"/>
          <w:u w:val="single"/>
        </w:rPr>
        <w:t xml:space="preserve">   按《</w:t>
      </w:r>
      <w:r>
        <w:rPr>
          <w:rFonts w:hint="eastAsia" w:ascii="宋体" w:hAnsi="宋体"/>
          <w:color w:val="auto"/>
          <w:kern w:val="0"/>
          <w:sz w:val="24"/>
          <w:u w:val="single"/>
        </w:rPr>
        <w:t>关于明确农民工工资保证金制度有关问题的通知》（桂薪联发〔2016〕2号）规定</w:t>
      </w:r>
      <w:r>
        <w:rPr>
          <w:rFonts w:hint="eastAsia" w:ascii="宋体" w:hAnsi="宋体"/>
          <w:color w:val="auto"/>
          <w:sz w:val="24"/>
          <w:u w:val="single"/>
        </w:rPr>
        <w:t xml:space="preserve">  </w:t>
      </w:r>
    </w:p>
    <w:p w14:paraId="6F2F087F">
      <w:pPr>
        <w:tabs>
          <w:tab w:val="left" w:pos="1080"/>
        </w:tabs>
        <w:spacing w:line="240" w:lineRule="auto"/>
        <w:ind w:firstLine="480" w:firstLineChars="200"/>
        <w:rPr>
          <w:rFonts w:hint="eastAsia" w:ascii="宋体" w:hAnsi="宋体"/>
          <w:color w:val="auto"/>
          <w:sz w:val="24"/>
          <w:u w:val="single"/>
        </w:rPr>
      </w:pPr>
      <w:r>
        <w:rPr>
          <w:rFonts w:hint="eastAsia" w:ascii="宋体" w:hAnsi="宋体"/>
          <w:color w:val="auto"/>
          <w:sz w:val="24"/>
          <w:u w:val="single"/>
        </w:rPr>
        <w:t>（增加）17.3.6  项目满足合同约定的工程质量、档案管理等支付条件的，发包人须在收到发票后30日内将近支付到承包人账户，不得以机构变动、人员更替、政策调整等为由延迟付款，不得将合同中未规定的义务作为向承包人付款的条件。</w:t>
      </w:r>
    </w:p>
    <w:p w14:paraId="74184BDE">
      <w:pPr>
        <w:tabs>
          <w:tab w:val="left" w:pos="1080"/>
        </w:tabs>
        <w:spacing w:line="240" w:lineRule="auto"/>
        <w:ind w:firstLine="480" w:firstLineChars="200"/>
        <w:rPr>
          <w:rFonts w:ascii="宋体" w:hAnsi="宋体"/>
          <w:color w:val="auto"/>
          <w:sz w:val="24"/>
          <w:szCs w:val="21"/>
        </w:rPr>
      </w:pPr>
    </w:p>
    <w:p w14:paraId="2E7D42F3">
      <w:pPr>
        <w:tabs>
          <w:tab w:val="left" w:pos="1080"/>
        </w:tabs>
        <w:spacing w:line="240" w:lineRule="auto"/>
        <w:ind w:firstLine="482" w:firstLineChars="200"/>
        <w:rPr>
          <w:rFonts w:hint="eastAsia" w:ascii="宋体" w:hAnsi="宋体"/>
          <w:b/>
          <w:bCs/>
          <w:color w:val="auto"/>
          <w:sz w:val="24"/>
          <w:szCs w:val="21"/>
        </w:rPr>
      </w:pPr>
      <w:r>
        <w:rPr>
          <w:rFonts w:hint="eastAsia" w:ascii="宋体" w:hAnsi="宋体"/>
          <w:b/>
          <w:bCs/>
          <w:color w:val="auto"/>
          <w:sz w:val="24"/>
          <w:szCs w:val="21"/>
        </w:rPr>
        <w:t>17.5款增加：竣工结算审核</w:t>
      </w:r>
    </w:p>
    <w:p w14:paraId="553A3896">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1）本工程最终竣工结算达到《自治区本级财政投资评审实施办法》（桂财办〔2015〕70号）规定的评审范围，需报财政部门审定，承包人所编制的工程竣工资料经发包人审核后，送到财政部门之日起，承包人所遗漏的与工程造价有关的签证不再作为结算审核依据，按自动放弃处理。</w:t>
      </w:r>
    </w:p>
    <w:p w14:paraId="5CA8A736">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（2）如承包人报送的工程结算总价过高，造成该结算审减率超过6%以上的，则超出6%以上部分的审核费由承包人承担，费用由发包人从承包人工程结算款中扣除。计算公式如下：</w:t>
      </w:r>
    </w:p>
    <w:p w14:paraId="568D2814">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审减率=（送审造价-审定造价）/送审造价*100%；</w:t>
      </w:r>
    </w:p>
    <w:p w14:paraId="056E43BE">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当审减率大于6%时，承包人应承担的审核费=（净审减额-送审额*6%）*3.5%”。</w:t>
      </w:r>
    </w:p>
    <w:p w14:paraId="6D7BFFE2">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结算审核约定：发包人完成竣工付款的期限：竣工结算报告经三方签字盖章后28天内。</w:t>
      </w:r>
    </w:p>
    <w:p w14:paraId="58CFB3F4">
      <w:pPr>
        <w:keepNext/>
        <w:keepLines/>
        <w:spacing w:before="120" w:after="120" w:line="240" w:lineRule="auto"/>
        <w:ind w:firstLine="562" w:firstLineChars="200"/>
        <w:outlineLvl w:val="4"/>
        <w:rPr>
          <w:rFonts w:hint="eastAsia"/>
          <w:b/>
          <w:bCs/>
          <w:color w:val="auto"/>
          <w:sz w:val="28"/>
          <w:szCs w:val="28"/>
        </w:rPr>
      </w:pPr>
      <w:r>
        <w:rPr>
          <w:rFonts w:hint="eastAsia"/>
          <w:b/>
          <w:bCs/>
          <w:color w:val="auto"/>
          <w:sz w:val="28"/>
          <w:szCs w:val="28"/>
        </w:rPr>
        <w:t>18.9 竣工文件</w:t>
      </w:r>
    </w:p>
    <w:p w14:paraId="6A6230FA">
      <w:pPr>
        <w:tabs>
          <w:tab w:val="left" w:pos="1080"/>
        </w:tabs>
        <w:spacing w:line="240" w:lineRule="auto"/>
        <w:ind w:firstLine="482" w:firstLineChars="200"/>
        <w:rPr>
          <w:rFonts w:hint="eastAsia" w:ascii="宋体" w:hAnsi="宋体"/>
          <w:b/>
          <w:bCs/>
          <w:color w:val="auto"/>
          <w:sz w:val="24"/>
        </w:rPr>
      </w:pPr>
      <w:r>
        <w:rPr>
          <w:rFonts w:hint="eastAsia" w:ascii="宋体" w:hAnsi="宋体"/>
          <w:b/>
          <w:bCs/>
          <w:color w:val="auto"/>
          <w:sz w:val="24"/>
        </w:rPr>
        <w:t xml:space="preserve"> （增加）</w:t>
      </w:r>
      <w:r>
        <w:rPr>
          <w:rFonts w:hint="eastAsia" w:ascii="宋体" w:hAnsi="宋体"/>
          <w:b/>
          <w:color w:val="auto"/>
          <w:sz w:val="24"/>
          <w:szCs w:val="21"/>
        </w:rPr>
        <w:t>承包方应按时完成各种小修资料的收集整理工作。</w:t>
      </w:r>
    </w:p>
    <w:p w14:paraId="6AC78AB6">
      <w:pPr>
        <w:keepNext/>
        <w:keepLines/>
        <w:spacing w:before="120" w:after="120" w:line="240" w:lineRule="auto"/>
        <w:ind w:firstLine="562" w:firstLineChars="200"/>
        <w:outlineLvl w:val="4"/>
        <w:rPr>
          <w:rFonts w:hint="eastAsia"/>
          <w:b/>
          <w:bCs/>
          <w:color w:val="auto"/>
          <w:sz w:val="28"/>
          <w:szCs w:val="28"/>
        </w:rPr>
      </w:pPr>
      <w:r>
        <w:rPr>
          <w:rFonts w:hint="eastAsia"/>
          <w:b/>
          <w:bCs/>
          <w:color w:val="auto"/>
          <w:sz w:val="28"/>
          <w:szCs w:val="28"/>
        </w:rPr>
        <w:t>20.1 工程保险</w:t>
      </w:r>
    </w:p>
    <w:p w14:paraId="3D4FEA34">
      <w:pPr>
        <w:keepNext/>
        <w:keepLines/>
        <w:spacing w:before="120" w:after="120" w:line="240" w:lineRule="auto"/>
        <w:ind w:firstLine="480" w:firstLineChars="200"/>
        <w:outlineLvl w:val="4"/>
        <w:rPr>
          <w:rFonts w:hint="eastAsia" w:ascii="宋体" w:hAnsi="宋体"/>
          <w:color w:val="auto"/>
          <w:kern w:val="0"/>
          <w:sz w:val="24"/>
          <w:lang w:bidi="zh-CN"/>
        </w:rPr>
      </w:pPr>
      <w:r>
        <w:rPr>
          <w:rFonts w:hint="eastAsia" w:ascii="宋体" w:hAnsi="宋体"/>
          <w:color w:val="auto"/>
          <w:kern w:val="0"/>
          <w:sz w:val="24"/>
          <w:lang w:bidi="zh-CN"/>
        </w:rPr>
        <w:t>建筑工程一切险由承包人承担，并视为包含在工程量清单的单价及总价中，发包人不在单独支付。</w:t>
      </w:r>
    </w:p>
    <w:p w14:paraId="2B24DDB2">
      <w:pPr>
        <w:keepNext/>
        <w:keepLines/>
        <w:spacing w:before="120" w:after="120" w:line="240" w:lineRule="auto"/>
        <w:ind w:firstLine="562" w:firstLineChars="200"/>
        <w:outlineLvl w:val="4"/>
        <w:rPr>
          <w:rFonts w:hint="eastAsia"/>
          <w:b/>
          <w:bCs/>
          <w:color w:val="auto"/>
          <w:sz w:val="28"/>
          <w:szCs w:val="28"/>
        </w:rPr>
      </w:pPr>
      <w:r>
        <w:rPr>
          <w:rFonts w:hint="eastAsia"/>
          <w:b/>
          <w:bCs/>
          <w:color w:val="auto"/>
          <w:sz w:val="28"/>
          <w:szCs w:val="28"/>
        </w:rPr>
        <w:t>20.2 人员工伤事故的保险</w:t>
      </w:r>
    </w:p>
    <w:p w14:paraId="36E443A1">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20.2.1 承包人员工伤事故的保险</w:t>
      </w:r>
    </w:p>
    <w:p w14:paraId="7556F029">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增加内容：</w:t>
      </w:r>
    </w:p>
    <w:p w14:paraId="11FED11E">
      <w:pPr>
        <w:autoSpaceDE w:val="0"/>
        <w:autoSpaceDN w:val="0"/>
        <w:spacing w:line="240" w:lineRule="auto"/>
        <w:ind w:firstLine="480" w:firstLineChars="200"/>
        <w:jc w:val="left"/>
        <w:rPr>
          <w:rFonts w:hint="eastAsia" w:ascii="宋体" w:hAnsi="宋体"/>
          <w:color w:val="auto"/>
          <w:kern w:val="0"/>
          <w:sz w:val="24"/>
        </w:rPr>
      </w:pPr>
      <w:r>
        <w:rPr>
          <w:rFonts w:hint="eastAsia" w:ascii="宋体" w:hAnsi="宋体"/>
          <w:color w:val="auto"/>
          <w:kern w:val="0"/>
          <w:sz w:val="24"/>
        </w:rPr>
        <w:t>办理保险的一切费用均由承包人承担，并包括在工程量清单的单价及总额价中，发包人不单独支付。</w:t>
      </w:r>
    </w:p>
    <w:p w14:paraId="73187055">
      <w:pPr>
        <w:keepNext/>
        <w:keepLines/>
        <w:spacing w:before="120" w:after="120" w:line="240" w:lineRule="auto"/>
        <w:ind w:firstLine="562" w:firstLineChars="200"/>
        <w:outlineLvl w:val="4"/>
        <w:rPr>
          <w:rFonts w:hint="eastAsia"/>
          <w:b/>
          <w:bCs/>
          <w:color w:val="auto"/>
          <w:sz w:val="28"/>
          <w:szCs w:val="28"/>
        </w:rPr>
      </w:pPr>
      <w:bookmarkStart w:id="133" w:name="_Toc179632763"/>
      <w:bookmarkEnd w:id="133"/>
      <w:bookmarkStart w:id="134" w:name="_Toc144974716"/>
      <w:bookmarkEnd w:id="134"/>
      <w:bookmarkStart w:id="135" w:name="_Toc152042524"/>
      <w:bookmarkEnd w:id="135"/>
      <w:bookmarkStart w:id="136" w:name="_Toc152045745"/>
      <w:bookmarkEnd w:id="136"/>
      <w:r>
        <w:rPr>
          <w:rFonts w:hint="eastAsia"/>
          <w:b/>
          <w:bCs/>
          <w:color w:val="auto"/>
          <w:sz w:val="28"/>
          <w:szCs w:val="28"/>
        </w:rPr>
        <w:t>20.3 人身意外伤害险</w:t>
      </w:r>
    </w:p>
    <w:p w14:paraId="3D6BF276">
      <w:pPr>
        <w:tabs>
          <w:tab w:val="left" w:pos="1080"/>
        </w:tabs>
        <w:spacing w:line="240" w:lineRule="auto"/>
        <w:ind w:firstLine="480" w:firstLineChars="200"/>
        <w:rPr>
          <w:rFonts w:hint="eastAsia"/>
          <w:color w:val="auto"/>
          <w:sz w:val="24"/>
        </w:rPr>
      </w:pPr>
      <w:r>
        <w:rPr>
          <w:rFonts w:hint="eastAsia"/>
          <w:color w:val="auto"/>
          <w:sz w:val="24"/>
        </w:rPr>
        <w:t>20.3.2 承包人应在整个施工期间为其现场机构雇用的全部人员，投保人身意外伤害险，缴纳保险费，并要求其分包人也进行此项保险。</w:t>
      </w:r>
      <w:r>
        <w:rPr>
          <w:rFonts w:hint="eastAsia" w:ascii="宋体" w:hAnsi="宋体"/>
          <w:color w:val="auto"/>
          <w:kern w:val="0"/>
          <w:sz w:val="24"/>
        </w:rPr>
        <w:t>办理保险的一切费用均由承包人承担，并包括在工程量清单的单价及总额价中，发包人不单</w:t>
      </w:r>
      <w:r>
        <w:rPr>
          <w:rFonts w:hint="eastAsia" w:ascii="宋体" w:hAnsi="宋体"/>
          <w:b w:val="0"/>
          <w:bCs w:val="0"/>
          <w:color w:val="auto"/>
          <w:kern w:val="0"/>
          <w:sz w:val="24"/>
        </w:rPr>
        <w:t>独支付。</w:t>
      </w:r>
    </w:p>
    <w:p w14:paraId="3A9DADB7">
      <w:pPr>
        <w:autoSpaceDE w:val="0"/>
        <w:autoSpaceDN w:val="0"/>
        <w:spacing w:line="240" w:lineRule="auto"/>
        <w:ind w:firstLine="480" w:firstLineChars="200"/>
        <w:jc w:val="left"/>
        <w:rPr>
          <w:rFonts w:hint="eastAsia" w:ascii="宋体" w:hAnsi="宋体"/>
          <w:b w:val="0"/>
          <w:bCs w:val="0"/>
          <w:color w:val="auto"/>
          <w:kern w:val="0"/>
          <w:sz w:val="24"/>
        </w:rPr>
      </w:pPr>
      <w:r>
        <w:rPr>
          <w:rFonts w:hint="eastAsia" w:ascii="宋体" w:hAnsi="宋体"/>
          <w:b w:val="0"/>
          <w:bCs w:val="0"/>
          <w:color w:val="auto"/>
          <w:kern w:val="0"/>
          <w:sz w:val="24"/>
        </w:rPr>
        <w:t>其中：人身意外伤害险每位被保险人的最低保险金额为2</w:t>
      </w:r>
      <w:r>
        <w:rPr>
          <w:rFonts w:ascii="宋体" w:hAnsi="宋体"/>
          <w:b w:val="0"/>
          <w:bCs w:val="0"/>
          <w:color w:val="auto"/>
          <w:kern w:val="0"/>
          <w:sz w:val="24"/>
        </w:rPr>
        <w:t>0</w:t>
      </w:r>
      <w:r>
        <w:rPr>
          <w:rFonts w:hint="eastAsia" w:ascii="宋体" w:hAnsi="宋体"/>
          <w:b w:val="0"/>
          <w:bCs w:val="0"/>
          <w:color w:val="auto"/>
          <w:kern w:val="0"/>
          <w:sz w:val="24"/>
        </w:rPr>
        <w:t>万元人民币，附加意外伤害险医疗险的保险金额为</w:t>
      </w:r>
      <w:r>
        <w:rPr>
          <w:rFonts w:ascii="宋体" w:hAnsi="宋体"/>
          <w:b w:val="0"/>
          <w:bCs w:val="0"/>
          <w:color w:val="auto"/>
          <w:kern w:val="0"/>
          <w:sz w:val="24"/>
        </w:rPr>
        <w:t>2</w:t>
      </w:r>
      <w:r>
        <w:rPr>
          <w:rFonts w:hint="eastAsia" w:ascii="宋体" w:hAnsi="宋体"/>
          <w:b w:val="0"/>
          <w:bCs w:val="0"/>
          <w:color w:val="auto"/>
          <w:kern w:val="0"/>
          <w:sz w:val="24"/>
        </w:rPr>
        <w:t>万元人民币，每合同段的人身意外伤害险和附加意外伤害医疗险保险费按合同价（不含该保险费）的</w:t>
      </w:r>
      <w:r>
        <w:rPr>
          <w:rFonts w:ascii="宋体" w:hAnsi="宋体"/>
          <w:b w:val="0"/>
          <w:bCs w:val="0"/>
          <w:color w:val="auto"/>
          <w:kern w:val="0"/>
          <w:sz w:val="24"/>
        </w:rPr>
        <w:t>3</w:t>
      </w:r>
      <w:r>
        <w:rPr>
          <w:rFonts w:hint="eastAsia" w:ascii="宋体" w:hAnsi="宋体"/>
          <w:b w:val="0"/>
          <w:bCs w:val="0"/>
          <w:color w:val="auto"/>
          <w:kern w:val="0"/>
          <w:sz w:val="24"/>
        </w:rPr>
        <w:t>‰计列。人身意外伤害险和附加意外伤害医疗险的保险对象为建筑施工企业参加基建项目建设施工现场从事施工作业和管理的人</w:t>
      </w:r>
      <w:r>
        <w:rPr>
          <w:rFonts w:hint="eastAsia" w:ascii="宋体" w:hAnsi="宋体"/>
          <w:color w:val="auto"/>
          <w:kern w:val="0"/>
          <w:sz w:val="24"/>
        </w:rPr>
        <w:t>员。时间上涵盖施工全过程的任一时段，在保险范围上覆盖所有参加工程建设的管理人员、施工人员（含农民工）。保险期限为自施工队伍进场之日起至工程通过竣工验收时止。</w:t>
      </w:r>
    </w:p>
    <w:p w14:paraId="74F55780">
      <w:pPr>
        <w:tabs>
          <w:tab w:val="left" w:pos="1080"/>
        </w:tabs>
        <w:spacing w:line="240" w:lineRule="auto"/>
        <w:ind w:firstLine="480" w:firstLineChars="200"/>
        <w:rPr>
          <w:rFonts w:hint="eastAsia" w:ascii="宋体" w:hAnsi="宋体"/>
          <w:color w:val="auto"/>
          <w:kern w:val="0"/>
          <w:sz w:val="24"/>
        </w:rPr>
      </w:pPr>
      <w:r>
        <w:rPr>
          <w:rFonts w:hint="eastAsia" w:ascii="宋体" w:hAnsi="宋体"/>
          <w:color w:val="auto"/>
          <w:kern w:val="0"/>
          <w:sz w:val="24"/>
        </w:rPr>
        <w:t>施工合同签订后工程开工前</w:t>
      </w:r>
      <w:r>
        <w:rPr>
          <w:rFonts w:ascii="宋体" w:hAnsi="宋体"/>
          <w:b/>
          <w:color w:val="auto"/>
          <w:kern w:val="0"/>
          <w:sz w:val="24"/>
        </w:rPr>
        <w:t>15</w:t>
      </w:r>
      <w:r>
        <w:rPr>
          <w:rFonts w:hint="eastAsia" w:ascii="宋体" w:hAnsi="宋体"/>
          <w:color w:val="auto"/>
          <w:kern w:val="0"/>
          <w:sz w:val="24"/>
        </w:rPr>
        <w:t>日，承包人必须按有关规定与保险公司签订人身意外伤害险和附加意外伤害医疗险以及其他需要投保的保险的保险合同</w:t>
      </w:r>
      <w:r>
        <w:rPr>
          <w:rFonts w:hint="eastAsia" w:ascii="宋体" w:hAnsi="宋体"/>
          <w:color w:val="auto"/>
          <w:kern w:val="0"/>
        </w:rPr>
        <w:t>。</w:t>
      </w:r>
    </w:p>
    <w:p w14:paraId="2CF56AB4">
      <w:pPr>
        <w:keepNext/>
        <w:keepLines/>
        <w:spacing w:before="120" w:after="120" w:line="240" w:lineRule="auto"/>
        <w:ind w:firstLine="562" w:firstLineChars="200"/>
        <w:outlineLvl w:val="4"/>
        <w:rPr>
          <w:rFonts w:hint="eastAsia"/>
          <w:b/>
          <w:bCs/>
          <w:color w:val="auto"/>
          <w:sz w:val="28"/>
          <w:szCs w:val="28"/>
        </w:rPr>
      </w:pPr>
      <w:r>
        <w:rPr>
          <w:rFonts w:hint="eastAsia"/>
          <w:b/>
          <w:bCs/>
          <w:color w:val="auto"/>
          <w:sz w:val="28"/>
          <w:szCs w:val="28"/>
        </w:rPr>
        <w:t>20.4  第三者责任险</w:t>
      </w:r>
    </w:p>
    <w:p w14:paraId="79AD6609">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修改20.4.2款为：第三者责任险由承包人以承包人与项目法人的名义联名投保，保险费由承包人承担并支付，投标人应在所报的单价或总额价中对该保险费予以考虑，发包人不单独进行计量与支付。</w:t>
      </w:r>
    </w:p>
    <w:p w14:paraId="4EAA9A70">
      <w:pPr>
        <w:tabs>
          <w:tab w:val="left" w:pos="1080"/>
        </w:tabs>
        <w:spacing w:line="240" w:lineRule="auto"/>
        <w:ind w:firstLine="562" w:firstLineChars="200"/>
        <w:rPr>
          <w:rFonts w:hint="eastAsia"/>
          <w:b/>
          <w:bCs/>
          <w:color w:val="auto"/>
          <w:sz w:val="28"/>
          <w:szCs w:val="28"/>
        </w:rPr>
      </w:pPr>
      <w:r>
        <w:rPr>
          <w:rFonts w:hint="eastAsia"/>
          <w:b/>
          <w:bCs/>
          <w:color w:val="auto"/>
          <w:sz w:val="28"/>
          <w:szCs w:val="28"/>
        </w:rPr>
        <w:t>（增加）20.7  安全生产责任保险</w:t>
      </w:r>
    </w:p>
    <w:p w14:paraId="3EBD564A">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根据《广西壮族自治区交通运输厅关于推进实施行业工程建设领域安全生产责任保险工作的通知》（桂交安监函〔2021〕89号）增加安全生产责任保险。</w:t>
      </w:r>
    </w:p>
    <w:p w14:paraId="08586604">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安全生产责任保险的保险费由承包人报价时列入工程量清单第100章内，发包人在接到保险单后，将按照保险单的费用直接向承包人支付。</w:t>
      </w:r>
    </w:p>
    <w:p w14:paraId="33B3DA2D">
      <w:pPr>
        <w:keepNext/>
        <w:keepLines/>
        <w:spacing w:before="120" w:after="120" w:line="240" w:lineRule="auto"/>
        <w:ind w:firstLine="562" w:firstLineChars="200"/>
        <w:outlineLvl w:val="4"/>
        <w:rPr>
          <w:rFonts w:hint="eastAsia"/>
          <w:b/>
          <w:bCs/>
          <w:color w:val="auto"/>
          <w:sz w:val="28"/>
          <w:szCs w:val="28"/>
        </w:rPr>
      </w:pPr>
      <w:r>
        <w:rPr>
          <w:rFonts w:hint="eastAsia"/>
          <w:b/>
          <w:bCs/>
          <w:color w:val="auto"/>
          <w:sz w:val="28"/>
          <w:szCs w:val="28"/>
        </w:rPr>
        <w:t>21.1不可抗力的确认</w:t>
      </w:r>
    </w:p>
    <w:p w14:paraId="737DC1CA">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公路工程专用合同条款21. 1款</w:t>
      </w:r>
    </w:p>
    <w:p w14:paraId="30BF5E2D">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21.1.1  (6）项目专用合同条款约定的其他情形：</w:t>
      </w:r>
      <w:r>
        <w:rPr>
          <w:rFonts w:hint="eastAsia" w:ascii="宋体" w:hAnsi="宋体"/>
          <w:color w:val="auto"/>
          <w:sz w:val="24"/>
          <w:szCs w:val="21"/>
          <w:u w:val="single"/>
        </w:rPr>
        <w:t xml:space="preserve">   /  </w:t>
      </w:r>
      <w:r>
        <w:rPr>
          <w:rFonts w:hint="eastAsia" w:ascii="宋体" w:hAnsi="宋体"/>
          <w:color w:val="auto"/>
          <w:sz w:val="24"/>
          <w:szCs w:val="21"/>
        </w:rPr>
        <w:t xml:space="preserve"> </w:t>
      </w:r>
    </w:p>
    <w:p w14:paraId="0A229BE7">
      <w:pPr>
        <w:keepNext/>
        <w:keepLines/>
        <w:spacing w:before="120" w:after="120" w:line="240" w:lineRule="auto"/>
        <w:ind w:firstLine="562" w:firstLineChars="200"/>
        <w:outlineLvl w:val="4"/>
        <w:rPr>
          <w:rFonts w:hint="eastAsia"/>
          <w:b/>
          <w:bCs/>
          <w:color w:val="auto"/>
          <w:sz w:val="28"/>
          <w:szCs w:val="28"/>
        </w:rPr>
      </w:pPr>
      <w:r>
        <w:rPr>
          <w:rFonts w:hint="eastAsia"/>
          <w:b/>
          <w:bCs/>
          <w:color w:val="auto"/>
          <w:sz w:val="28"/>
          <w:szCs w:val="28"/>
        </w:rPr>
        <w:t>22.1  承包人违约</w:t>
      </w:r>
    </w:p>
    <w:p w14:paraId="47975349">
      <w:pPr>
        <w:spacing w:line="240" w:lineRule="auto"/>
        <w:ind w:left="199" w:leftChars="95" w:firstLine="318" w:firstLineChars="132"/>
        <w:rPr>
          <w:rFonts w:hint="eastAsia" w:ascii="宋体" w:hAnsi="宋体"/>
          <w:b/>
          <w:color w:val="auto"/>
          <w:sz w:val="24"/>
        </w:rPr>
      </w:pPr>
      <w:r>
        <w:rPr>
          <w:rFonts w:hint="eastAsia" w:ascii="宋体" w:hAnsi="宋体"/>
          <w:b/>
          <w:color w:val="auto"/>
          <w:sz w:val="24"/>
        </w:rPr>
        <w:t>22.1.1承包人违约的情形</w:t>
      </w:r>
    </w:p>
    <w:p w14:paraId="499B1014">
      <w:pPr>
        <w:spacing w:line="240" w:lineRule="auto"/>
        <w:ind w:firstLine="480" w:firstLineChars="200"/>
        <w:rPr>
          <w:rFonts w:hint="eastAsia" w:ascii="宋体" w:hAnsi="宋体"/>
          <w:color w:val="auto"/>
          <w:sz w:val="24"/>
        </w:rPr>
      </w:pPr>
      <w:r>
        <w:rPr>
          <w:rFonts w:hint="eastAsia" w:ascii="宋体" w:hAnsi="宋体"/>
          <w:color w:val="auto"/>
          <w:sz w:val="24"/>
        </w:rPr>
        <w:t>(注：（1）-（10）同国家九部委《标准施工招标文件》及《公路工程标准施工招标文件》2018版，本处不加修改引用)</w:t>
      </w:r>
    </w:p>
    <w:p w14:paraId="73DDB4F7">
      <w:pPr>
        <w:spacing w:line="240" w:lineRule="auto"/>
        <w:ind w:firstLine="480" w:firstLineChars="200"/>
        <w:rPr>
          <w:rFonts w:hint="eastAsia" w:ascii="宋体" w:hAnsi="宋体"/>
          <w:color w:val="auto"/>
          <w:sz w:val="24"/>
        </w:rPr>
      </w:pPr>
      <w:r>
        <w:rPr>
          <w:rFonts w:hint="eastAsia" w:ascii="宋体" w:hAnsi="宋体"/>
          <w:color w:val="auto"/>
          <w:sz w:val="24"/>
        </w:rPr>
        <w:t>(1)承包人违反第1.8款或第4.3款的约定，私自将合同的全部或部分权利转让给其他人，或私自将合同的全部或部分义务转移给其他人；</w:t>
      </w:r>
    </w:p>
    <w:p w14:paraId="50E71D62">
      <w:pPr>
        <w:spacing w:line="240" w:lineRule="auto"/>
        <w:ind w:firstLine="480" w:firstLineChars="200"/>
        <w:rPr>
          <w:rFonts w:hint="eastAsia" w:ascii="宋体" w:hAnsi="宋体"/>
          <w:color w:val="auto"/>
          <w:sz w:val="24"/>
        </w:rPr>
      </w:pPr>
      <w:r>
        <w:rPr>
          <w:rFonts w:hint="eastAsia" w:ascii="宋体" w:hAnsi="宋体"/>
          <w:color w:val="auto"/>
          <w:sz w:val="24"/>
        </w:rPr>
        <w:t>(2)承包人违反第5.3款或第6.4款的约定，未经</w:t>
      </w:r>
      <w:r>
        <w:rPr>
          <w:rFonts w:hint="eastAsia" w:ascii="宋体" w:hAnsi="宋体"/>
          <w:color w:val="auto"/>
          <w:sz w:val="24"/>
          <w:szCs w:val="21"/>
        </w:rPr>
        <w:t>项目法人</w:t>
      </w:r>
      <w:r>
        <w:rPr>
          <w:rFonts w:hint="eastAsia" w:ascii="宋体" w:hAnsi="宋体"/>
          <w:color w:val="auto"/>
          <w:sz w:val="24"/>
        </w:rPr>
        <w:t>批准，私自将已按合同约定进入施工场地的施工设备、临时设施、材料或工程设备撤离施工场地；</w:t>
      </w:r>
    </w:p>
    <w:p w14:paraId="4AC1DC0B">
      <w:pPr>
        <w:spacing w:line="240" w:lineRule="auto"/>
        <w:ind w:firstLine="480" w:firstLineChars="200"/>
        <w:rPr>
          <w:rFonts w:hint="eastAsia" w:ascii="宋体" w:hAnsi="宋体"/>
          <w:color w:val="auto"/>
          <w:sz w:val="24"/>
        </w:rPr>
      </w:pPr>
      <w:r>
        <w:rPr>
          <w:rFonts w:hint="eastAsia" w:ascii="宋体" w:hAnsi="宋体"/>
          <w:color w:val="auto"/>
          <w:sz w:val="24"/>
        </w:rPr>
        <w:t>(3)承包人违反第5.4款的约定使用了不合格材料或工程设备，工程质量达不到标准要求，又拒绝清理不合格工程；</w:t>
      </w:r>
    </w:p>
    <w:p w14:paraId="18350064">
      <w:pPr>
        <w:spacing w:line="240" w:lineRule="auto"/>
        <w:ind w:firstLine="480" w:firstLineChars="200"/>
        <w:rPr>
          <w:rFonts w:hint="eastAsia" w:ascii="宋体" w:hAnsi="宋体"/>
          <w:color w:val="auto"/>
          <w:sz w:val="24"/>
        </w:rPr>
      </w:pPr>
      <w:r>
        <w:rPr>
          <w:rFonts w:hint="eastAsia" w:ascii="宋体" w:hAnsi="宋体"/>
          <w:color w:val="auto"/>
          <w:sz w:val="24"/>
        </w:rPr>
        <w:t>(4)承包人未能按合同进度计划及时完成合同约定的工作，己造成或预期造成工期延误；</w:t>
      </w:r>
    </w:p>
    <w:p w14:paraId="75025BA7">
      <w:pPr>
        <w:spacing w:line="240" w:lineRule="auto"/>
        <w:ind w:firstLine="480" w:firstLineChars="200"/>
        <w:rPr>
          <w:rFonts w:hint="eastAsia" w:ascii="宋体" w:hAnsi="宋体"/>
          <w:color w:val="auto"/>
          <w:sz w:val="24"/>
        </w:rPr>
      </w:pPr>
      <w:r>
        <w:rPr>
          <w:rFonts w:hint="eastAsia" w:ascii="宋体" w:hAnsi="宋体"/>
          <w:color w:val="auto"/>
          <w:sz w:val="24"/>
        </w:rPr>
        <w:t>(5)承包人在缺陷责任期内，未能对工程接受证书所列的缺陷清单的内容或缺陷责任期内发生的缺陷进行修复，而又拒绝按发包人指示再进行修补；</w:t>
      </w:r>
    </w:p>
    <w:p w14:paraId="4B82D62D">
      <w:pPr>
        <w:spacing w:line="240" w:lineRule="auto"/>
        <w:ind w:firstLine="480" w:firstLineChars="200"/>
        <w:rPr>
          <w:rFonts w:hint="eastAsia" w:ascii="宋体" w:hAnsi="宋体"/>
          <w:color w:val="auto"/>
          <w:sz w:val="24"/>
        </w:rPr>
      </w:pPr>
      <w:r>
        <w:rPr>
          <w:rFonts w:hint="eastAsia" w:ascii="宋体" w:hAnsi="宋体"/>
          <w:color w:val="auto"/>
          <w:sz w:val="24"/>
        </w:rPr>
        <w:t>(6）承包人无法继续履行或明确表示不履行或实质上己停止履行合同；</w:t>
      </w:r>
    </w:p>
    <w:p w14:paraId="38897A51">
      <w:pPr>
        <w:spacing w:line="240" w:lineRule="auto"/>
        <w:ind w:firstLine="480" w:firstLineChars="200"/>
        <w:rPr>
          <w:rFonts w:hint="eastAsia" w:ascii="宋体" w:hAnsi="宋体"/>
          <w:color w:val="auto"/>
          <w:sz w:val="24"/>
        </w:rPr>
      </w:pPr>
      <w:r>
        <w:rPr>
          <w:rFonts w:hint="eastAsia" w:ascii="宋体" w:hAnsi="宋体"/>
          <w:color w:val="auto"/>
          <w:sz w:val="24"/>
        </w:rPr>
        <w:t>(7)承包人未能按期开工；</w:t>
      </w:r>
    </w:p>
    <w:p w14:paraId="6B4F58C7">
      <w:pPr>
        <w:spacing w:line="240" w:lineRule="auto"/>
        <w:ind w:firstLine="480" w:firstLineChars="200"/>
        <w:rPr>
          <w:rFonts w:hint="eastAsia" w:ascii="宋体" w:hAnsi="宋体"/>
          <w:color w:val="auto"/>
          <w:sz w:val="24"/>
        </w:rPr>
      </w:pPr>
      <w:r>
        <w:rPr>
          <w:rFonts w:hint="eastAsia" w:ascii="宋体" w:hAnsi="宋体"/>
          <w:color w:val="auto"/>
          <w:sz w:val="24"/>
        </w:rPr>
        <w:t>(8)承包人违反第4.6款或第6.3款的规定，未按承诺或未按发包人的要求及时配备称职的主要管理人员、技术骨干或关键施工设备；</w:t>
      </w:r>
    </w:p>
    <w:p w14:paraId="7AB189F2">
      <w:pPr>
        <w:spacing w:line="240" w:lineRule="auto"/>
        <w:ind w:firstLine="480" w:firstLineChars="200"/>
        <w:rPr>
          <w:rFonts w:hint="eastAsia" w:ascii="宋体" w:hAnsi="宋体"/>
          <w:color w:val="auto"/>
          <w:sz w:val="24"/>
        </w:rPr>
      </w:pPr>
      <w:r>
        <w:rPr>
          <w:rFonts w:hint="eastAsia" w:ascii="宋体" w:hAnsi="宋体"/>
          <w:color w:val="auto"/>
          <w:sz w:val="24"/>
        </w:rPr>
        <w:t>(9)经发包人检查，发现承包人有安全问题或有违反安全管理规章制度的情况；</w:t>
      </w:r>
    </w:p>
    <w:p w14:paraId="630F5B28">
      <w:pPr>
        <w:spacing w:line="240" w:lineRule="auto"/>
        <w:ind w:firstLine="480" w:firstLineChars="200"/>
        <w:rPr>
          <w:rFonts w:hint="eastAsia" w:ascii="宋体" w:hAnsi="宋体"/>
          <w:color w:val="auto"/>
          <w:sz w:val="24"/>
        </w:rPr>
      </w:pPr>
      <w:r>
        <w:rPr>
          <w:rFonts w:hint="eastAsia" w:ascii="宋体" w:hAnsi="宋体"/>
          <w:color w:val="auto"/>
          <w:sz w:val="24"/>
        </w:rPr>
        <w:t>(10）承包人不按合同约定履行义务的其他情况。</w:t>
      </w:r>
    </w:p>
    <w:p w14:paraId="69183797">
      <w:pPr>
        <w:tabs>
          <w:tab w:val="left" w:pos="1080"/>
        </w:tabs>
        <w:spacing w:line="240" w:lineRule="auto"/>
        <w:ind w:firstLine="361" w:firstLineChars="150"/>
        <w:rPr>
          <w:rFonts w:hint="eastAsia" w:ascii="宋体" w:hAnsi="宋体"/>
          <w:b/>
          <w:color w:val="auto"/>
          <w:sz w:val="24"/>
          <w:szCs w:val="21"/>
        </w:rPr>
      </w:pPr>
      <w:r>
        <w:rPr>
          <w:rFonts w:hint="eastAsia" w:ascii="宋体" w:hAnsi="宋体"/>
          <w:b/>
          <w:color w:val="auto"/>
          <w:sz w:val="24"/>
          <w:szCs w:val="21"/>
        </w:rPr>
        <w:t>（增加）</w:t>
      </w:r>
    </w:p>
    <w:p w14:paraId="53523AC8">
      <w:pPr>
        <w:tabs>
          <w:tab w:val="left" w:pos="1080"/>
        </w:tabs>
        <w:spacing w:line="240" w:lineRule="auto"/>
        <w:ind w:firstLine="361" w:firstLineChars="150"/>
        <w:rPr>
          <w:rFonts w:hint="eastAsia" w:ascii="宋体" w:hAnsi="宋体"/>
          <w:b/>
          <w:color w:val="auto"/>
          <w:sz w:val="24"/>
          <w:szCs w:val="21"/>
        </w:rPr>
      </w:pPr>
      <w:r>
        <w:rPr>
          <w:rFonts w:hint="eastAsia" w:ascii="宋体" w:hAnsi="宋体"/>
          <w:b/>
          <w:color w:val="auto"/>
          <w:sz w:val="24"/>
          <w:szCs w:val="21"/>
        </w:rPr>
        <w:t>（11）违反《广西路网工程施工标准化技术指南(试行)》的相关规定；</w:t>
      </w:r>
    </w:p>
    <w:p w14:paraId="1D10D884">
      <w:pPr>
        <w:tabs>
          <w:tab w:val="left" w:pos="1080"/>
        </w:tabs>
        <w:spacing w:line="240" w:lineRule="auto"/>
        <w:ind w:firstLine="361" w:firstLineChars="150"/>
        <w:rPr>
          <w:rFonts w:hint="eastAsia" w:ascii="宋体" w:hAnsi="宋体"/>
          <w:b/>
          <w:color w:val="auto"/>
          <w:sz w:val="24"/>
          <w:szCs w:val="21"/>
        </w:rPr>
      </w:pPr>
      <w:r>
        <w:rPr>
          <w:rFonts w:hint="eastAsia" w:ascii="宋体" w:hAnsi="宋体"/>
          <w:b/>
          <w:color w:val="auto"/>
          <w:sz w:val="24"/>
          <w:szCs w:val="21"/>
        </w:rPr>
        <w:t>（12）违反《广西壮族自治区公路管理局公路工程建设农民工管理实施细则（修订）》的相关规定。</w:t>
      </w:r>
    </w:p>
    <w:p w14:paraId="06058284">
      <w:pPr>
        <w:spacing w:line="240" w:lineRule="auto"/>
        <w:ind w:left="199" w:leftChars="95" w:firstLine="318" w:firstLineChars="132"/>
        <w:rPr>
          <w:rFonts w:hint="eastAsia" w:ascii="宋体" w:hAnsi="宋体"/>
          <w:b/>
          <w:color w:val="auto"/>
          <w:sz w:val="24"/>
        </w:rPr>
      </w:pPr>
      <w:r>
        <w:rPr>
          <w:rFonts w:hint="eastAsia" w:ascii="宋体" w:hAnsi="宋体"/>
          <w:b/>
          <w:color w:val="auto"/>
          <w:sz w:val="24"/>
        </w:rPr>
        <w:t>22.1.2  对承包人违约的处理</w:t>
      </w:r>
    </w:p>
    <w:p w14:paraId="77FDB834">
      <w:pPr>
        <w:spacing w:line="240" w:lineRule="auto"/>
        <w:ind w:left="199" w:leftChars="95" w:firstLine="316" w:firstLineChars="132"/>
        <w:rPr>
          <w:rFonts w:hint="eastAsia" w:ascii="宋体" w:hAnsi="宋体"/>
          <w:color w:val="auto"/>
          <w:sz w:val="24"/>
        </w:rPr>
      </w:pPr>
      <w:r>
        <w:rPr>
          <w:rFonts w:hint="eastAsia" w:ascii="宋体" w:hAnsi="宋体"/>
          <w:color w:val="auto"/>
          <w:sz w:val="24"/>
        </w:rPr>
        <w:t>(注：（1）-（4）同国家九部委《标准施工招标文件》及《公路工程标准施工招标文件》2018版，本处不加修改引用)</w:t>
      </w:r>
    </w:p>
    <w:p w14:paraId="61136095">
      <w:pPr>
        <w:spacing w:line="240" w:lineRule="auto"/>
        <w:ind w:firstLine="480" w:firstLineChars="200"/>
        <w:rPr>
          <w:rFonts w:hint="eastAsia" w:ascii="宋体" w:hAnsi="宋体"/>
          <w:color w:val="auto"/>
          <w:sz w:val="24"/>
        </w:rPr>
      </w:pPr>
      <w:r>
        <w:rPr>
          <w:rFonts w:hint="eastAsia" w:ascii="宋体" w:hAnsi="宋体"/>
          <w:color w:val="auto"/>
          <w:sz w:val="24"/>
        </w:rPr>
        <w:t>（1）承包人发生第22.1.1⑹目约定的违约情形时，发包人可通知承包人立即解除合同，并按有关法律处理。</w:t>
      </w:r>
    </w:p>
    <w:p w14:paraId="2C0DCB21">
      <w:pPr>
        <w:spacing w:line="240" w:lineRule="auto"/>
        <w:ind w:firstLine="480" w:firstLineChars="200"/>
        <w:rPr>
          <w:rFonts w:hint="eastAsia" w:ascii="宋体" w:hAnsi="宋体"/>
          <w:color w:val="auto"/>
          <w:sz w:val="24"/>
        </w:rPr>
      </w:pPr>
      <w:r>
        <w:rPr>
          <w:rFonts w:hint="eastAsia" w:ascii="宋体" w:hAnsi="宋体"/>
          <w:color w:val="auto"/>
          <w:sz w:val="24"/>
        </w:rPr>
        <w:t>（2）承包人发生第22.1.1⑹目约定以外的违约情形时，发包人可向承包人发出整改通知，要求其在指定的期限内改正。承包人应承担其违约所引起的费用增加和（或）工期延误。</w:t>
      </w:r>
    </w:p>
    <w:p w14:paraId="5D690885">
      <w:pPr>
        <w:tabs>
          <w:tab w:val="left" w:pos="1080"/>
        </w:tabs>
        <w:spacing w:line="240" w:lineRule="auto"/>
        <w:ind w:firstLine="480" w:firstLineChars="200"/>
        <w:rPr>
          <w:rFonts w:hint="eastAsia" w:ascii="宋体" w:hAnsi="宋体"/>
          <w:color w:val="auto"/>
          <w:sz w:val="24"/>
        </w:rPr>
      </w:pPr>
      <w:r>
        <w:rPr>
          <w:rFonts w:hint="eastAsia" w:ascii="宋体" w:hAnsi="宋体"/>
          <w:color w:val="auto"/>
          <w:sz w:val="24"/>
        </w:rPr>
        <w:t>（3）经检查证明承包人已采取了有效措施纠正违约行为，具备复工条件的可由发包人签发复工通知进行复工。</w:t>
      </w:r>
    </w:p>
    <w:p w14:paraId="0F3F9D6B">
      <w:pPr>
        <w:tabs>
          <w:tab w:val="left" w:pos="1080"/>
        </w:tabs>
        <w:spacing w:line="240" w:lineRule="auto"/>
        <w:ind w:firstLine="480" w:firstLineChars="200"/>
        <w:rPr>
          <w:rFonts w:hint="eastAsia" w:ascii="宋体" w:hAnsi="宋体"/>
          <w:color w:val="auto"/>
          <w:sz w:val="24"/>
        </w:rPr>
      </w:pPr>
      <w:r>
        <w:rPr>
          <w:rFonts w:hint="eastAsia" w:ascii="宋体" w:hAnsi="宋体"/>
          <w:color w:val="auto"/>
          <w:sz w:val="24"/>
        </w:rPr>
        <w:t>（4）承包人发生第22.1.1项约定的违约情况时，无论发包人是否解除合同，发包人均有权向承包人课以违约金，并由发包人将其违约行为上报省级交通主管部门，作为不良记录纳人公路建设市场信用信息管理系统。</w:t>
      </w:r>
    </w:p>
    <w:p w14:paraId="6228D14A">
      <w:pPr>
        <w:tabs>
          <w:tab w:val="left" w:pos="1080"/>
        </w:tabs>
        <w:spacing w:line="240" w:lineRule="auto"/>
        <w:ind w:firstLine="482" w:firstLineChars="200"/>
        <w:rPr>
          <w:rFonts w:hint="eastAsia" w:ascii="宋体" w:hAnsi="宋体"/>
          <w:b/>
          <w:color w:val="auto"/>
          <w:sz w:val="24"/>
        </w:rPr>
      </w:pPr>
      <w:r>
        <w:rPr>
          <w:rFonts w:hint="eastAsia" w:ascii="宋体" w:hAnsi="宋体"/>
          <w:b/>
          <w:color w:val="auto"/>
          <w:sz w:val="24"/>
        </w:rPr>
        <w:t>（增加）</w:t>
      </w:r>
    </w:p>
    <w:p w14:paraId="1D89564B">
      <w:pPr>
        <w:tabs>
          <w:tab w:val="left" w:pos="1080"/>
        </w:tabs>
        <w:spacing w:line="240" w:lineRule="auto"/>
        <w:ind w:firstLine="482" w:firstLineChars="200"/>
        <w:rPr>
          <w:rFonts w:hint="eastAsia" w:ascii="宋体" w:hAnsi="宋体"/>
          <w:b/>
          <w:color w:val="auto"/>
          <w:sz w:val="24"/>
        </w:rPr>
      </w:pPr>
      <w:r>
        <w:rPr>
          <w:rFonts w:hint="eastAsia" w:ascii="宋体" w:hAnsi="宋体"/>
          <w:b/>
          <w:color w:val="auto"/>
          <w:sz w:val="24"/>
        </w:rPr>
        <w:t>（5）有22.2.1（3）款行为的，（各养护中心可根据本单位考核办法进行处罚）</w:t>
      </w:r>
    </w:p>
    <w:p w14:paraId="5BEAB39D">
      <w:pPr>
        <w:tabs>
          <w:tab w:val="left" w:pos="1080"/>
        </w:tabs>
        <w:spacing w:line="240" w:lineRule="auto"/>
        <w:ind w:firstLine="482" w:firstLineChars="200"/>
        <w:rPr>
          <w:rFonts w:hint="eastAsia" w:ascii="宋体" w:hAnsi="宋体"/>
          <w:b/>
          <w:color w:val="auto"/>
          <w:sz w:val="24"/>
        </w:rPr>
      </w:pPr>
      <w:r>
        <w:rPr>
          <w:rFonts w:hint="eastAsia" w:ascii="宋体" w:hAnsi="宋体"/>
          <w:b/>
          <w:color w:val="auto"/>
          <w:sz w:val="24"/>
        </w:rPr>
        <w:t>（6）承包人发生第22.1.1项（5）目情形，按第19.2.4款规定处理；</w:t>
      </w:r>
    </w:p>
    <w:p w14:paraId="4AEEC644">
      <w:pPr>
        <w:tabs>
          <w:tab w:val="left" w:pos="1080"/>
        </w:tabs>
        <w:spacing w:line="240" w:lineRule="auto"/>
        <w:ind w:firstLine="482" w:firstLineChars="200"/>
        <w:rPr>
          <w:rFonts w:hint="eastAsia" w:ascii="宋体" w:hAnsi="宋体"/>
          <w:b/>
          <w:color w:val="auto"/>
          <w:sz w:val="24"/>
        </w:rPr>
      </w:pPr>
      <w:r>
        <w:rPr>
          <w:rFonts w:hint="eastAsia" w:ascii="宋体" w:hAnsi="宋体"/>
          <w:b/>
          <w:color w:val="auto"/>
          <w:sz w:val="24"/>
        </w:rPr>
        <w:t>（7）有22.1.1.（8）款行为或以下行为的，视为承包人违约，可对承包人处以以下的违约金：</w:t>
      </w:r>
    </w:p>
    <w:p w14:paraId="609A2F0C">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a.承包人更换主要人员的（不管是否经项目法人同意），项目经理处2万元/人次，总工（或技术负责人）处2万元/人次，其他主要人员（指结构专业工程师、路基路面专业工程师、测量工程师、计量工程师和试验工程师）处1万元/人次；</w:t>
      </w:r>
    </w:p>
    <w:p w14:paraId="4C1EADD0">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b．项目经理或项目技术负责人未经发包人同意擅自离开工地，每天课以违约金500元/人；若虽经批准离开工地但每月在工地天数不足22天（特殊情况经发包人同意例外）的，每不足一天课以违约金500元/人。其它主要技术骨干人员每月在工地天数不足22天（特殊情况经发包人同意例外）的,每不足一天课以违约金300元/人；</w:t>
      </w:r>
    </w:p>
    <w:p w14:paraId="00381F56">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c．主要设备没有按进度和合同规定承诺进场的处500元/日台。</w:t>
      </w:r>
    </w:p>
    <w:p w14:paraId="515492BA">
      <w:pPr>
        <w:tabs>
          <w:tab w:val="left" w:pos="1080"/>
        </w:tabs>
        <w:spacing w:line="240" w:lineRule="auto"/>
        <w:ind w:firstLine="482" w:firstLineChars="200"/>
        <w:rPr>
          <w:rFonts w:hint="eastAsia" w:ascii="宋体" w:hAnsi="宋体"/>
          <w:b/>
          <w:color w:val="auto"/>
          <w:sz w:val="24"/>
        </w:rPr>
      </w:pPr>
      <w:r>
        <w:rPr>
          <w:rFonts w:hint="eastAsia" w:ascii="宋体" w:hAnsi="宋体"/>
          <w:b/>
          <w:color w:val="auto"/>
          <w:sz w:val="24"/>
        </w:rPr>
        <w:t>（8）承包存在以下情形的，可对承包人处以以下违约金：</w:t>
      </w:r>
    </w:p>
    <w:p w14:paraId="0D6390E1">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a.发生质量事故，未按有关规定和时间向有关部门报告的,处2000元/次；</w:t>
      </w:r>
    </w:p>
    <w:p w14:paraId="3D2179BC">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b.出现二、三级一般质量事故，且承包人负有直接责任，或不能证明其履行其职责的,可处5000元/次；</w:t>
      </w:r>
    </w:p>
    <w:p w14:paraId="56DE2C81">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c.发生一级一般质量事故或重大质量事故，且承包人负有直接责任，或不能证明其履行其职责的,可处10000元/次；</w:t>
      </w:r>
    </w:p>
    <w:p w14:paraId="540AD0B9">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d.因质量问题被地市级及以上交通主管部门、质量监督单位、公路管理机构通报（批评）的，可对承包人处以20000元违约金/次，红牌警告10000元/次，黄牌警告5000元/次。</w:t>
      </w:r>
    </w:p>
    <w:p w14:paraId="30C3F900">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e．出现一般安全生事故负有责任的或发生重大安全事故不按规定报告的,可处1000元/处·次。</w:t>
      </w:r>
    </w:p>
    <w:p w14:paraId="72035EC8">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f.出现重大安全生产事故负有责任的，可处10000元/处·次。</w:t>
      </w:r>
    </w:p>
    <w:p w14:paraId="5E86E1CF">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g．由于施工原因造成污染、破坏被群众向政府、主管单位投诉或被环保、水利部门责令整改的，处1000元/次。</w:t>
      </w:r>
    </w:p>
    <w:p w14:paraId="2EAC522F">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h.由于承包人原因违反7.3等条款造成交通堵塞，堵车30分钟至60分钟的处3000元/次，堵车60分钟至二小时的处5000元/次，堵车二小时至三小时的处1万元/次，堵车三小时以上的处每小时（不满1小时按1小时计）1万元，严重的建议上级主管单位进行通报。</w:t>
      </w:r>
    </w:p>
    <w:p w14:paraId="6A295F57">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j．劳务人员未按规定签订聘用合同并向项目法人报备的,处500元/人次。</w:t>
      </w:r>
    </w:p>
    <w:p w14:paraId="7898B3F2">
      <w:pPr>
        <w:tabs>
          <w:tab w:val="left" w:pos="1080"/>
        </w:tabs>
        <w:spacing w:line="240" w:lineRule="auto"/>
        <w:ind w:firstLine="482" w:firstLineChars="200"/>
        <w:rPr>
          <w:rFonts w:hint="eastAsia" w:ascii="宋体" w:hAnsi="宋体"/>
          <w:b/>
          <w:color w:val="auto"/>
          <w:sz w:val="24"/>
          <w:szCs w:val="21"/>
        </w:rPr>
      </w:pPr>
      <w:r>
        <w:rPr>
          <w:rFonts w:hint="eastAsia" w:ascii="宋体" w:hAnsi="宋体"/>
          <w:b/>
          <w:color w:val="auto"/>
          <w:sz w:val="24"/>
          <w:szCs w:val="21"/>
        </w:rPr>
        <w:t>（增加）：</w:t>
      </w:r>
    </w:p>
    <w:p w14:paraId="079DD26E">
      <w:pPr>
        <w:tabs>
          <w:tab w:val="left" w:pos="1080"/>
        </w:tabs>
        <w:spacing w:line="240" w:lineRule="auto"/>
        <w:ind w:firstLine="482" w:firstLineChars="200"/>
        <w:rPr>
          <w:rFonts w:hint="eastAsia" w:ascii="宋体" w:hAnsi="宋体"/>
          <w:b/>
          <w:color w:val="auto"/>
          <w:sz w:val="24"/>
          <w:szCs w:val="21"/>
        </w:rPr>
      </w:pPr>
      <w:r>
        <w:rPr>
          <w:rFonts w:hint="eastAsia" w:ascii="宋体" w:hAnsi="宋体"/>
          <w:b/>
          <w:color w:val="auto"/>
          <w:sz w:val="24"/>
          <w:szCs w:val="21"/>
        </w:rPr>
        <w:t>i.违反22.1.1（11）目，发包人可视其情形严重程度对承包人每处处以人民币2000元～5万元的违约金。</w:t>
      </w:r>
    </w:p>
    <w:p w14:paraId="742C8F87">
      <w:pPr>
        <w:tabs>
          <w:tab w:val="left" w:pos="1080"/>
        </w:tabs>
        <w:spacing w:line="240" w:lineRule="auto"/>
        <w:ind w:firstLine="482" w:firstLineChars="200"/>
        <w:rPr>
          <w:rFonts w:hint="eastAsia" w:ascii="宋体" w:hAnsi="宋体"/>
          <w:b/>
          <w:color w:val="auto"/>
          <w:sz w:val="24"/>
          <w:szCs w:val="21"/>
        </w:rPr>
      </w:pPr>
      <w:r>
        <w:rPr>
          <w:rFonts w:hint="eastAsia" w:ascii="宋体" w:hAnsi="宋体"/>
          <w:b/>
          <w:color w:val="auto"/>
          <w:sz w:val="24"/>
          <w:szCs w:val="21"/>
        </w:rPr>
        <w:t>k.违反22.1.1（12）目，发包人可视其情形严重程度对承包人每次处以人民币2000元～2万元的违约金。</w:t>
      </w:r>
    </w:p>
    <w:p w14:paraId="26453181">
      <w:pPr>
        <w:tabs>
          <w:tab w:val="left" w:pos="1080"/>
        </w:tabs>
        <w:spacing w:line="240" w:lineRule="auto"/>
        <w:ind w:firstLine="482" w:firstLineChars="200"/>
        <w:rPr>
          <w:rFonts w:hint="eastAsia" w:ascii="宋体" w:hAnsi="宋体"/>
          <w:b/>
          <w:color w:val="auto"/>
          <w:sz w:val="24"/>
        </w:rPr>
      </w:pPr>
      <w:r>
        <w:rPr>
          <w:rFonts w:hint="eastAsia" w:ascii="宋体" w:hAnsi="宋体"/>
          <w:b/>
          <w:color w:val="auto"/>
          <w:sz w:val="24"/>
        </w:rPr>
        <w:t>（9）有以下情形的，可对承包人处以违约金。</w:t>
      </w:r>
    </w:p>
    <w:p w14:paraId="6789B1E9">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a.质量管理</w:t>
      </w:r>
    </w:p>
    <w:p w14:paraId="70CCDEA5">
      <w:pPr>
        <w:tabs>
          <w:tab w:val="left" w:pos="1080"/>
        </w:tabs>
        <w:spacing w:line="240" w:lineRule="auto"/>
        <w:ind w:firstLine="480" w:firstLineChars="200"/>
        <w:rPr>
          <w:rFonts w:hint="eastAsia" w:ascii="宋体" w:hAnsi="宋体"/>
          <w:color w:val="auto"/>
          <w:sz w:val="24"/>
        </w:rPr>
      </w:pPr>
      <w:r>
        <w:rPr>
          <w:rFonts w:hint="eastAsia" w:ascii="宋体" w:hAnsi="宋体"/>
          <w:color w:val="auto"/>
          <w:sz w:val="24"/>
        </w:rPr>
        <w:t>(a)出现下列行为之一可处200元/（人）次。</w:t>
      </w:r>
    </w:p>
    <w:p w14:paraId="0862FCB7">
      <w:pPr>
        <w:tabs>
          <w:tab w:val="left" w:pos="1080"/>
        </w:tabs>
        <w:spacing w:line="240" w:lineRule="auto"/>
        <w:ind w:left="420" w:firstLine="480" w:firstLineChars="200"/>
        <w:rPr>
          <w:rFonts w:hint="eastAsia" w:ascii="宋体" w:hAnsi="宋体"/>
          <w:color w:val="auto"/>
          <w:sz w:val="24"/>
        </w:rPr>
      </w:pPr>
      <w:r>
        <w:rPr>
          <w:rFonts w:hint="eastAsia" w:ascii="宋体" w:hAnsi="宋体"/>
          <w:color w:val="auto"/>
          <w:sz w:val="24"/>
        </w:rPr>
        <w:t>Ⅰ 分项工程施工现场无合格的施工责任牌；或</w:t>
      </w:r>
    </w:p>
    <w:p w14:paraId="104ACC2D">
      <w:pPr>
        <w:tabs>
          <w:tab w:val="left" w:pos="1080"/>
        </w:tabs>
        <w:spacing w:line="240" w:lineRule="auto"/>
        <w:ind w:left="420" w:firstLine="480" w:firstLineChars="200"/>
        <w:rPr>
          <w:rFonts w:hint="eastAsia" w:ascii="宋体" w:hAnsi="宋体"/>
          <w:color w:val="auto"/>
          <w:sz w:val="24"/>
        </w:rPr>
      </w:pPr>
      <w:r>
        <w:rPr>
          <w:rFonts w:hint="eastAsia" w:ascii="宋体" w:hAnsi="宋体"/>
          <w:color w:val="auto"/>
          <w:sz w:val="24"/>
        </w:rPr>
        <w:t>Ⅱ 分项工程施工现场无其相关责任人；或</w:t>
      </w:r>
    </w:p>
    <w:p w14:paraId="1D523E7A">
      <w:pPr>
        <w:tabs>
          <w:tab w:val="left" w:pos="1080"/>
        </w:tabs>
        <w:spacing w:line="240" w:lineRule="auto"/>
        <w:ind w:left="420" w:firstLine="480" w:firstLineChars="200"/>
        <w:rPr>
          <w:rFonts w:hint="eastAsia" w:ascii="宋体" w:hAnsi="宋体"/>
          <w:color w:val="auto"/>
          <w:sz w:val="24"/>
        </w:rPr>
      </w:pPr>
      <w:r>
        <w:rPr>
          <w:rFonts w:hint="eastAsia" w:ascii="宋体" w:hAnsi="宋体"/>
          <w:color w:val="auto"/>
          <w:sz w:val="24"/>
        </w:rPr>
        <w:t>Ⅲ 施工现场无基本的检测检验工具；或</w:t>
      </w:r>
    </w:p>
    <w:p w14:paraId="34769F1F">
      <w:pPr>
        <w:tabs>
          <w:tab w:val="left" w:pos="1080"/>
        </w:tabs>
        <w:spacing w:line="240" w:lineRule="auto"/>
        <w:ind w:left="420" w:firstLine="480" w:firstLineChars="200"/>
        <w:rPr>
          <w:rFonts w:hint="eastAsia" w:ascii="宋体" w:hAnsi="宋体"/>
          <w:color w:val="auto"/>
          <w:sz w:val="24"/>
        </w:rPr>
      </w:pPr>
      <w:r>
        <w:rPr>
          <w:rFonts w:hint="eastAsia" w:ascii="宋体" w:hAnsi="宋体"/>
          <w:color w:val="auto"/>
          <w:sz w:val="24"/>
        </w:rPr>
        <w:t>Ⅳ 施工现场相关责任人无检查检验记录表；或</w:t>
      </w:r>
    </w:p>
    <w:p w14:paraId="2E88F170">
      <w:pPr>
        <w:tabs>
          <w:tab w:val="left" w:pos="1080"/>
        </w:tabs>
        <w:spacing w:line="240" w:lineRule="auto"/>
        <w:ind w:left="420" w:firstLine="480" w:firstLineChars="200"/>
        <w:rPr>
          <w:rFonts w:hint="eastAsia" w:ascii="宋体" w:hAnsi="宋体"/>
          <w:color w:val="auto"/>
          <w:sz w:val="24"/>
        </w:rPr>
      </w:pPr>
      <w:r>
        <w:rPr>
          <w:rFonts w:hint="eastAsia" w:ascii="宋体" w:hAnsi="宋体"/>
          <w:color w:val="auto"/>
          <w:sz w:val="24"/>
        </w:rPr>
        <w:t>Ⅴ 现场已完成工作无检查记录。</w:t>
      </w:r>
    </w:p>
    <w:p w14:paraId="19A235C3">
      <w:pPr>
        <w:tabs>
          <w:tab w:val="left" w:pos="1080"/>
        </w:tabs>
        <w:spacing w:line="240" w:lineRule="auto"/>
        <w:ind w:firstLine="480" w:firstLineChars="200"/>
        <w:rPr>
          <w:rFonts w:hint="eastAsia" w:ascii="宋体" w:hAnsi="宋体"/>
          <w:color w:val="auto"/>
          <w:sz w:val="24"/>
        </w:rPr>
      </w:pPr>
      <w:r>
        <w:rPr>
          <w:rFonts w:hint="eastAsia" w:ascii="宋体" w:hAnsi="宋体"/>
          <w:color w:val="auto"/>
          <w:sz w:val="24"/>
        </w:rPr>
        <w:t>（b）出现以下行为之一，可处1000元/次。</w:t>
      </w:r>
    </w:p>
    <w:p w14:paraId="05A060FD">
      <w:pPr>
        <w:tabs>
          <w:tab w:val="left" w:pos="1080"/>
        </w:tabs>
        <w:spacing w:line="240" w:lineRule="auto"/>
        <w:ind w:left="420" w:firstLine="480" w:firstLineChars="200"/>
        <w:rPr>
          <w:rFonts w:hint="eastAsia" w:ascii="宋体" w:hAnsi="宋体"/>
          <w:color w:val="auto"/>
          <w:sz w:val="24"/>
        </w:rPr>
      </w:pPr>
      <w:r>
        <w:rPr>
          <w:rFonts w:hint="eastAsia" w:ascii="宋体" w:hAnsi="宋体"/>
          <w:color w:val="auto"/>
          <w:sz w:val="24"/>
        </w:rPr>
        <w:t>Ⅰ　未按工序申请检验进入下一道工序的；或</w:t>
      </w:r>
    </w:p>
    <w:p w14:paraId="2397D7F2">
      <w:pPr>
        <w:tabs>
          <w:tab w:val="left" w:pos="1080"/>
        </w:tabs>
        <w:spacing w:line="240" w:lineRule="auto"/>
        <w:ind w:left="420" w:firstLine="480" w:firstLineChars="200"/>
        <w:rPr>
          <w:rFonts w:hint="eastAsia" w:ascii="宋体" w:hAnsi="宋体"/>
          <w:color w:val="auto"/>
          <w:sz w:val="24"/>
        </w:rPr>
      </w:pPr>
      <w:r>
        <w:rPr>
          <w:rFonts w:hint="eastAsia" w:ascii="宋体" w:hAnsi="宋体"/>
          <w:color w:val="auto"/>
          <w:sz w:val="24"/>
        </w:rPr>
        <w:t>Ⅱ　隐蔽工程记录文件不全；或</w:t>
      </w:r>
    </w:p>
    <w:p w14:paraId="244799DE">
      <w:pPr>
        <w:tabs>
          <w:tab w:val="left" w:pos="1080"/>
        </w:tabs>
        <w:spacing w:line="240" w:lineRule="auto"/>
        <w:ind w:left="420" w:firstLine="480" w:firstLineChars="200"/>
        <w:rPr>
          <w:rFonts w:hint="eastAsia" w:ascii="宋体" w:hAnsi="宋体"/>
          <w:color w:val="auto"/>
          <w:sz w:val="24"/>
        </w:rPr>
      </w:pPr>
      <w:r>
        <w:rPr>
          <w:rFonts w:hint="eastAsia" w:ascii="宋体" w:hAnsi="宋体"/>
          <w:color w:val="auto"/>
          <w:sz w:val="24"/>
        </w:rPr>
        <w:t>Ⅲ　施工试验检验频率不符合施工规范规定；或</w:t>
      </w:r>
    </w:p>
    <w:p w14:paraId="098FCB00">
      <w:pPr>
        <w:tabs>
          <w:tab w:val="left" w:pos="1080"/>
        </w:tabs>
        <w:spacing w:line="240" w:lineRule="auto"/>
        <w:ind w:left="420" w:firstLine="480" w:firstLineChars="200"/>
        <w:rPr>
          <w:rFonts w:hint="eastAsia" w:ascii="宋体" w:hAnsi="宋体"/>
          <w:color w:val="auto"/>
          <w:sz w:val="24"/>
        </w:rPr>
      </w:pPr>
      <w:r>
        <w:rPr>
          <w:rFonts w:hint="eastAsia" w:ascii="宋体" w:hAnsi="宋体"/>
          <w:color w:val="auto"/>
          <w:sz w:val="24"/>
        </w:rPr>
        <w:t>Ⅳ　分项工程质量自检验收检验频率不符合质量评定标准规定的。</w:t>
      </w:r>
    </w:p>
    <w:p w14:paraId="52E9C8E1">
      <w:pPr>
        <w:tabs>
          <w:tab w:val="left" w:pos="1080"/>
        </w:tabs>
        <w:spacing w:line="240" w:lineRule="auto"/>
        <w:ind w:firstLine="480" w:firstLineChars="200"/>
        <w:rPr>
          <w:rFonts w:hint="eastAsia" w:ascii="宋体" w:hAnsi="宋体"/>
          <w:color w:val="auto"/>
          <w:sz w:val="24"/>
        </w:rPr>
      </w:pPr>
      <w:r>
        <w:rPr>
          <w:rFonts w:hint="eastAsia" w:ascii="宋体" w:hAnsi="宋体"/>
          <w:color w:val="auto"/>
          <w:sz w:val="24"/>
        </w:rPr>
        <w:t>（c）出现以下行为之一，可处2000元/次。</w:t>
      </w:r>
    </w:p>
    <w:p w14:paraId="101DC681">
      <w:pPr>
        <w:tabs>
          <w:tab w:val="left" w:pos="1080"/>
        </w:tabs>
        <w:spacing w:line="240" w:lineRule="auto"/>
        <w:ind w:left="420" w:firstLine="480" w:firstLineChars="200"/>
        <w:rPr>
          <w:rFonts w:hint="eastAsia" w:ascii="宋体" w:hAnsi="宋体"/>
          <w:color w:val="auto"/>
          <w:sz w:val="24"/>
        </w:rPr>
      </w:pPr>
      <w:r>
        <w:rPr>
          <w:rFonts w:hint="eastAsia" w:ascii="宋体" w:hAnsi="宋体"/>
          <w:color w:val="auto"/>
          <w:sz w:val="24"/>
        </w:rPr>
        <w:t>Ⅰ　出现质量问题，且承包人负有直接责任的，或不能证明其履行其职责的。或</w:t>
      </w:r>
    </w:p>
    <w:p w14:paraId="5C4E0AB6">
      <w:pPr>
        <w:tabs>
          <w:tab w:val="left" w:pos="1080"/>
        </w:tabs>
        <w:spacing w:line="240" w:lineRule="auto"/>
        <w:ind w:left="420" w:firstLine="480" w:firstLineChars="200"/>
        <w:rPr>
          <w:rFonts w:hint="eastAsia" w:ascii="宋体" w:hAnsi="宋体"/>
          <w:color w:val="auto"/>
          <w:sz w:val="24"/>
        </w:rPr>
      </w:pPr>
      <w:r>
        <w:rPr>
          <w:rFonts w:hint="eastAsia" w:ascii="宋体" w:hAnsi="宋体"/>
          <w:color w:val="auto"/>
          <w:sz w:val="24"/>
        </w:rPr>
        <w:t>Ⅱ　发生质量事故，未按有关规定和时间向有关部门报告的；</w:t>
      </w:r>
    </w:p>
    <w:p w14:paraId="376928E6">
      <w:pPr>
        <w:tabs>
          <w:tab w:val="left" w:pos="1080"/>
        </w:tabs>
        <w:spacing w:line="240" w:lineRule="auto"/>
        <w:ind w:left="420" w:firstLine="480" w:firstLineChars="200"/>
        <w:rPr>
          <w:rFonts w:hint="eastAsia" w:ascii="宋体" w:hAnsi="宋体"/>
          <w:color w:val="auto"/>
          <w:sz w:val="24"/>
        </w:rPr>
      </w:pPr>
      <w:r>
        <w:rPr>
          <w:rFonts w:hint="eastAsia" w:ascii="宋体" w:hAnsi="宋体"/>
          <w:color w:val="auto"/>
          <w:sz w:val="24"/>
        </w:rPr>
        <w:t>Ⅲ　已经施工完成的工程没有按竣工文件收集归档管理办法要求依分项工程、工序将施工作业记录、测量记录、试验检测记录及工序报验审批记录等收集归档。</w:t>
      </w:r>
    </w:p>
    <w:p w14:paraId="753B03EA">
      <w:pPr>
        <w:tabs>
          <w:tab w:val="left" w:pos="1080"/>
        </w:tabs>
        <w:spacing w:line="240" w:lineRule="auto"/>
        <w:ind w:firstLine="480" w:firstLineChars="200"/>
        <w:rPr>
          <w:rFonts w:hint="eastAsia" w:ascii="宋体" w:hAnsi="宋体"/>
          <w:color w:val="auto"/>
          <w:sz w:val="24"/>
        </w:rPr>
      </w:pPr>
      <w:r>
        <w:rPr>
          <w:rFonts w:hint="eastAsia" w:ascii="宋体" w:hAnsi="宋体"/>
          <w:color w:val="auto"/>
          <w:sz w:val="24"/>
        </w:rPr>
        <w:t>（d ）出现以下行为之一，可处5000元/次。</w:t>
      </w:r>
    </w:p>
    <w:p w14:paraId="4AC3F363">
      <w:pPr>
        <w:tabs>
          <w:tab w:val="left" w:pos="1080"/>
        </w:tabs>
        <w:spacing w:line="240" w:lineRule="auto"/>
        <w:ind w:left="420" w:firstLine="480" w:firstLineChars="200"/>
        <w:rPr>
          <w:rFonts w:hint="eastAsia" w:ascii="宋体" w:hAnsi="宋体"/>
          <w:color w:val="auto"/>
          <w:sz w:val="24"/>
        </w:rPr>
      </w:pPr>
      <w:r>
        <w:rPr>
          <w:rFonts w:hint="eastAsia" w:ascii="宋体" w:hAnsi="宋体"/>
          <w:color w:val="auto"/>
          <w:sz w:val="24"/>
        </w:rPr>
        <w:t>Ⅰ　施工单位不接受质监机构监督；或</w:t>
      </w:r>
    </w:p>
    <w:p w14:paraId="2CDDFF56">
      <w:pPr>
        <w:tabs>
          <w:tab w:val="left" w:pos="1080"/>
        </w:tabs>
        <w:spacing w:line="240" w:lineRule="auto"/>
        <w:ind w:left="420" w:firstLine="480" w:firstLineChars="200"/>
        <w:rPr>
          <w:rFonts w:hint="eastAsia" w:ascii="宋体" w:hAnsi="宋体"/>
          <w:color w:val="auto"/>
          <w:sz w:val="24"/>
        </w:rPr>
      </w:pPr>
      <w:r>
        <w:rPr>
          <w:rFonts w:hint="eastAsia" w:ascii="宋体" w:hAnsi="宋体"/>
          <w:color w:val="auto"/>
          <w:sz w:val="24"/>
        </w:rPr>
        <w:t>Ⅱ　出现二、三级一般质量事故，且承包人负有直接责任，或不能证明其履行其职责的；或</w:t>
      </w:r>
    </w:p>
    <w:p w14:paraId="4D8E8EB4">
      <w:pPr>
        <w:tabs>
          <w:tab w:val="left" w:pos="1080"/>
        </w:tabs>
        <w:spacing w:line="240" w:lineRule="auto"/>
        <w:ind w:left="420" w:firstLine="480" w:firstLineChars="200"/>
        <w:rPr>
          <w:rFonts w:hint="eastAsia" w:ascii="宋体" w:hAnsi="宋体"/>
          <w:color w:val="auto"/>
          <w:sz w:val="24"/>
        </w:rPr>
      </w:pPr>
      <w:r>
        <w:rPr>
          <w:rFonts w:hint="eastAsia" w:ascii="宋体" w:hAnsi="宋体"/>
          <w:color w:val="auto"/>
          <w:sz w:val="24"/>
        </w:rPr>
        <w:t>Ⅲ　未按规定建立合格的工地试验室的；或</w:t>
      </w:r>
    </w:p>
    <w:p w14:paraId="4F1FBA62">
      <w:pPr>
        <w:tabs>
          <w:tab w:val="left" w:pos="1080"/>
        </w:tabs>
        <w:spacing w:line="240" w:lineRule="auto"/>
        <w:ind w:left="420" w:firstLine="480" w:firstLineChars="200"/>
        <w:rPr>
          <w:rFonts w:hint="eastAsia" w:ascii="宋体" w:hAnsi="宋体"/>
          <w:color w:val="auto"/>
          <w:sz w:val="24"/>
        </w:rPr>
      </w:pPr>
      <w:r>
        <w:rPr>
          <w:rFonts w:hint="eastAsia" w:ascii="宋体" w:hAnsi="宋体"/>
          <w:color w:val="auto"/>
          <w:sz w:val="24"/>
        </w:rPr>
        <w:t>Ⅳ　路基土石方，路面各结构层一次单项单点实体抽查合格率为50%—70%的；或</w:t>
      </w:r>
    </w:p>
    <w:p w14:paraId="71765CA4">
      <w:pPr>
        <w:tabs>
          <w:tab w:val="left" w:pos="1080"/>
        </w:tabs>
        <w:spacing w:line="240" w:lineRule="auto"/>
        <w:ind w:left="420" w:firstLine="480" w:firstLineChars="200"/>
        <w:rPr>
          <w:rFonts w:hint="eastAsia" w:ascii="宋体" w:hAnsi="宋体"/>
          <w:color w:val="auto"/>
          <w:sz w:val="24"/>
        </w:rPr>
      </w:pPr>
      <w:r>
        <w:rPr>
          <w:rFonts w:hint="eastAsia" w:ascii="宋体" w:hAnsi="宋体"/>
          <w:color w:val="auto"/>
          <w:sz w:val="24"/>
        </w:rPr>
        <w:t>Ⅴ　使用主要材料（钢筋、水泥、沥青、碎石、砂、砂砾等）不合格的。或</w:t>
      </w:r>
    </w:p>
    <w:p w14:paraId="59E43A14">
      <w:pPr>
        <w:tabs>
          <w:tab w:val="left" w:pos="1080"/>
        </w:tabs>
        <w:spacing w:line="240" w:lineRule="auto"/>
        <w:ind w:left="420" w:firstLine="480" w:firstLineChars="200"/>
        <w:rPr>
          <w:rFonts w:hint="eastAsia" w:ascii="宋体" w:hAnsi="宋体"/>
          <w:color w:val="auto"/>
          <w:sz w:val="24"/>
        </w:rPr>
      </w:pPr>
      <w:r>
        <w:rPr>
          <w:rFonts w:hint="eastAsia" w:ascii="宋体" w:hAnsi="宋体"/>
          <w:color w:val="auto"/>
          <w:sz w:val="24"/>
        </w:rPr>
        <w:t>Ⅷ　已经施工完成的工程无法提供按竣工文件收集归档管理办法要求应收集的分项工程、工序的施工作业记录、测量记录、试验检测记录及工序报验审批记录等质量管理文件的。</w:t>
      </w:r>
    </w:p>
    <w:p w14:paraId="6111E14F">
      <w:pPr>
        <w:tabs>
          <w:tab w:val="left" w:pos="1080"/>
        </w:tabs>
        <w:spacing w:line="240" w:lineRule="auto"/>
        <w:ind w:firstLine="480" w:firstLineChars="200"/>
        <w:rPr>
          <w:rFonts w:hint="eastAsia" w:ascii="宋体" w:hAnsi="宋体"/>
          <w:color w:val="auto"/>
          <w:sz w:val="24"/>
        </w:rPr>
      </w:pPr>
      <w:r>
        <w:rPr>
          <w:rFonts w:hint="eastAsia" w:ascii="宋体" w:hAnsi="宋体"/>
          <w:color w:val="auto"/>
          <w:sz w:val="24"/>
        </w:rPr>
        <w:t>（e）出现以下行为之一，可处10000元/次。</w:t>
      </w:r>
    </w:p>
    <w:p w14:paraId="18E1433E">
      <w:pPr>
        <w:tabs>
          <w:tab w:val="left" w:pos="1080"/>
        </w:tabs>
        <w:spacing w:line="240" w:lineRule="auto"/>
        <w:ind w:left="420" w:firstLine="480" w:firstLineChars="200"/>
        <w:rPr>
          <w:rFonts w:hint="eastAsia" w:ascii="宋体" w:hAnsi="宋体"/>
          <w:color w:val="auto"/>
          <w:sz w:val="24"/>
        </w:rPr>
      </w:pPr>
      <w:r>
        <w:rPr>
          <w:rFonts w:hint="eastAsia" w:ascii="宋体" w:hAnsi="宋体"/>
          <w:color w:val="auto"/>
          <w:sz w:val="24"/>
        </w:rPr>
        <w:t xml:space="preserve">Ⅰ　发生一级一般质量事故或重大质量事故，且承包人负有直接责任，或不能证明其履行其职责的； </w:t>
      </w:r>
    </w:p>
    <w:p w14:paraId="1D205D71">
      <w:pPr>
        <w:tabs>
          <w:tab w:val="left" w:pos="1080"/>
        </w:tabs>
        <w:spacing w:line="240" w:lineRule="auto"/>
        <w:ind w:left="420" w:firstLine="480" w:firstLineChars="200"/>
        <w:rPr>
          <w:rFonts w:hint="eastAsia" w:ascii="宋体" w:hAnsi="宋体"/>
          <w:color w:val="auto"/>
          <w:sz w:val="24"/>
        </w:rPr>
      </w:pPr>
      <w:r>
        <w:rPr>
          <w:rFonts w:hint="eastAsia" w:ascii="宋体" w:hAnsi="宋体"/>
          <w:color w:val="auto"/>
          <w:sz w:val="24"/>
        </w:rPr>
        <w:t>Ⅱ　路基土石方，路面各结构一次单项单点实体抽查合格率在50%以下的（单点合格率计算以设计值为准，达不到设计值的点为不合格点，下同）；或</w:t>
      </w:r>
    </w:p>
    <w:p w14:paraId="5E563D8A">
      <w:pPr>
        <w:tabs>
          <w:tab w:val="left" w:pos="1080"/>
        </w:tabs>
        <w:spacing w:line="240" w:lineRule="auto"/>
        <w:ind w:left="420" w:firstLine="480" w:firstLineChars="200"/>
        <w:rPr>
          <w:rFonts w:hint="eastAsia" w:ascii="宋体" w:hAnsi="宋体"/>
          <w:color w:val="auto"/>
          <w:sz w:val="24"/>
        </w:rPr>
      </w:pPr>
      <w:r>
        <w:rPr>
          <w:rFonts w:hint="eastAsia" w:ascii="宋体" w:hAnsi="宋体"/>
          <w:color w:val="auto"/>
          <w:sz w:val="24"/>
        </w:rPr>
        <w:t>Ⅲ　砌筑、排水、小桥、涵洞等构造物，中小型预制构件，房建工程等一次单点实体抽查合格率小于50%的；或</w:t>
      </w:r>
    </w:p>
    <w:p w14:paraId="5BC329BC">
      <w:pPr>
        <w:tabs>
          <w:tab w:val="left" w:pos="1080"/>
        </w:tabs>
        <w:spacing w:line="240" w:lineRule="auto"/>
        <w:ind w:left="420" w:firstLine="480" w:firstLineChars="200"/>
        <w:rPr>
          <w:rFonts w:hint="eastAsia" w:ascii="宋体" w:hAnsi="宋体"/>
          <w:color w:val="auto"/>
          <w:sz w:val="24"/>
        </w:rPr>
      </w:pPr>
      <w:r>
        <w:rPr>
          <w:rFonts w:hint="eastAsia" w:ascii="宋体" w:hAnsi="宋体"/>
          <w:color w:val="auto"/>
          <w:sz w:val="24"/>
        </w:rPr>
        <w:t>Ⅳ　未按要求进行自检，弄虚作假、捏造数据、伪造试验报告的。</w:t>
      </w:r>
    </w:p>
    <w:p w14:paraId="3CBED96C">
      <w:pPr>
        <w:tabs>
          <w:tab w:val="left" w:pos="1080"/>
        </w:tabs>
        <w:spacing w:line="240" w:lineRule="auto"/>
        <w:ind w:firstLine="480" w:firstLineChars="200"/>
        <w:rPr>
          <w:rFonts w:hint="eastAsia" w:ascii="宋体" w:hAnsi="宋体"/>
          <w:color w:val="auto"/>
          <w:sz w:val="24"/>
        </w:rPr>
      </w:pPr>
      <w:r>
        <w:rPr>
          <w:rFonts w:hint="eastAsia" w:ascii="宋体" w:hAnsi="宋体"/>
          <w:color w:val="auto"/>
          <w:sz w:val="24"/>
        </w:rPr>
        <w:t>（f）因质量问题被地市级及以上交通主管部门、质量监督单位、公路管理机构通报（批评）的，可对承包人处以100000元违约金，红牌警告50000元，黄牌警告30000元。</w:t>
      </w:r>
    </w:p>
    <w:p w14:paraId="55845446">
      <w:pPr>
        <w:tabs>
          <w:tab w:val="left" w:pos="1080"/>
        </w:tabs>
        <w:spacing w:line="240" w:lineRule="auto"/>
        <w:ind w:firstLine="480" w:firstLineChars="200"/>
        <w:rPr>
          <w:rFonts w:hint="eastAsia" w:ascii="宋体" w:hAnsi="宋体"/>
          <w:color w:val="auto"/>
          <w:sz w:val="24"/>
        </w:rPr>
      </w:pPr>
      <w:r>
        <w:rPr>
          <w:rFonts w:hint="eastAsia" w:ascii="宋体" w:hAnsi="宋体"/>
          <w:color w:val="auto"/>
          <w:sz w:val="24"/>
        </w:rPr>
        <w:t>（g）因</w:t>
      </w:r>
      <w:r>
        <w:rPr>
          <w:rFonts w:hint="eastAsia" w:ascii="宋体" w:hAnsi="宋体"/>
          <w:color w:val="auto"/>
          <w:sz w:val="24"/>
          <w:u w:val="single"/>
        </w:rPr>
        <w:t>上级部门</w:t>
      </w:r>
      <w:r>
        <w:rPr>
          <w:rFonts w:hint="eastAsia" w:ascii="宋体" w:hAnsi="宋体"/>
          <w:color w:val="auto"/>
          <w:sz w:val="24"/>
        </w:rPr>
        <w:t>对施工现场抽检不合格的，按每项对承包人处以100000元罚款。</w:t>
      </w:r>
    </w:p>
    <w:p w14:paraId="50C2FE87">
      <w:pPr>
        <w:tabs>
          <w:tab w:val="left" w:pos="1080"/>
        </w:tabs>
        <w:spacing w:line="240" w:lineRule="auto"/>
        <w:ind w:firstLine="480" w:firstLineChars="200"/>
        <w:rPr>
          <w:rFonts w:hint="eastAsia" w:ascii="宋体" w:hAnsi="宋体"/>
          <w:color w:val="auto"/>
          <w:sz w:val="24"/>
        </w:rPr>
      </w:pPr>
      <w:r>
        <w:rPr>
          <w:rFonts w:hint="eastAsia" w:ascii="宋体" w:hAnsi="宋体"/>
          <w:color w:val="auto"/>
          <w:sz w:val="24"/>
        </w:rPr>
        <w:t>b．安全生产管理</w:t>
      </w:r>
    </w:p>
    <w:p w14:paraId="642BE6F8">
      <w:pPr>
        <w:tabs>
          <w:tab w:val="left" w:pos="1080"/>
        </w:tabs>
        <w:spacing w:line="240" w:lineRule="auto"/>
        <w:ind w:firstLine="480" w:firstLineChars="200"/>
        <w:rPr>
          <w:rFonts w:hint="eastAsia" w:ascii="宋体" w:hAnsi="宋体"/>
          <w:color w:val="auto"/>
          <w:sz w:val="24"/>
        </w:rPr>
      </w:pPr>
      <w:r>
        <w:rPr>
          <w:rFonts w:hint="eastAsia" w:ascii="宋体" w:hAnsi="宋体"/>
          <w:color w:val="auto"/>
          <w:sz w:val="24"/>
        </w:rPr>
        <w:t>（a）出现下列行为之一可处200元/（人）次。</w:t>
      </w:r>
    </w:p>
    <w:p w14:paraId="1D142B2A">
      <w:pPr>
        <w:tabs>
          <w:tab w:val="left" w:pos="1080"/>
        </w:tabs>
        <w:spacing w:line="240" w:lineRule="auto"/>
        <w:ind w:left="420" w:firstLine="480" w:firstLineChars="200"/>
        <w:rPr>
          <w:rFonts w:hint="eastAsia" w:ascii="宋体" w:hAnsi="宋体"/>
          <w:color w:val="auto"/>
          <w:sz w:val="24"/>
        </w:rPr>
      </w:pPr>
      <w:r>
        <w:rPr>
          <w:rFonts w:hint="eastAsia" w:ascii="宋体" w:hAnsi="宋体"/>
          <w:color w:val="auto"/>
          <w:sz w:val="24"/>
        </w:rPr>
        <w:t>Ⅰ　需持证上岗人员无证上岗的；或</w:t>
      </w:r>
    </w:p>
    <w:p w14:paraId="728DA2D8">
      <w:pPr>
        <w:tabs>
          <w:tab w:val="left" w:pos="1080"/>
        </w:tabs>
        <w:spacing w:line="240" w:lineRule="auto"/>
        <w:ind w:left="420" w:firstLine="480" w:firstLineChars="200"/>
        <w:rPr>
          <w:rFonts w:hint="eastAsia" w:ascii="宋体" w:hAnsi="宋体"/>
          <w:color w:val="auto"/>
          <w:sz w:val="24"/>
        </w:rPr>
      </w:pPr>
      <w:r>
        <w:rPr>
          <w:rFonts w:hint="eastAsia" w:ascii="宋体" w:hAnsi="宋体"/>
          <w:color w:val="auto"/>
          <w:sz w:val="24"/>
        </w:rPr>
        <w:t>Ⅱ　需配戴安全防护用具作业的；或</w:t>
      </w:r>
    </w:p>
    <w:p w14:paraId="02641329">
      <w:pPr>
        <w:tabs>
          <w:tab w:val="left" w:pos="1080"/>
        </w:tabs>
        <w:spacing w:line="240" w:lineRule="auto"/>
        <w:ind w:left="420" w:firstLine="480" w:firstLineChars="200"/>
        <w:rPr>
          <w:rFonts w:hint="eastAsia" w:ascii="宋体" w:hAnsi="宋体"/>
          <w:color w:val="auto"/>
          <w:sz w:val="24"/>
        </w:rPr>
      </w:pPr>
      <w:r>
        <w:rPr>
          <w:rFonts w:hint="eastAsia" w:ascii="宋体" w:hAnsi="宋体"/>
          <w:color w:val="auto"/>
          <w:sz w:val="24"/>
        </w:rPr>
        <w:t>Ⅲ　未经登记、安全培训教育上岗的。</w:t>
      </w:r>
    </w:p>
    <w:p w14:paraId="334DB5A7">
      <w:pPr>
        <w:tabs>
          <w:tab w:val="left" w:pos="1080"/>
        </w:tabs>
        <w:spacing w:line="240" w:lineRule="auto"/>
        <w:ind w:firstLine="480" w:firstLineChars="200"/>
        <w:rPr>
          <w:rFonts w:hint="eastAsia" w:ascii="宋体" w:hAnsi="宋体"/>
          <w:color w:val="auto"/>
          <w:sz w:val="24"/>
        </w:rPr>
      </w:pPr>
      <w:r>
        <w:rPr>
          <w:rFonts w:hint="eastAsia" w:ascii="宋体" w:hAnsi="宋体"/>
          <w:color w:val="auto"/>
          <w:sz w:val="24"/>
        </w:rPr>
        <w:t>（b）出现下列行为之一可处500元/处次。</w:t>
      </w:r>
    </w:p>
    <w:p w14:paraId="0547AAA3">
      <w:pPr>
        <w:tabs>
          <w:tab w:val="left" w:pos="1080"/>
        </w:tabs>
        <w:spacing w:line="240" w:lineRule="auto"/>
        <w:ind w:left="420" w:firstLine="480" w:firstLineChars="200"/>
        <w:rPr>
          <w:rFonts w:hint="eastAsia" w:ascii="宋体" w:hAnsi="宋体"/>
          <w:color w:val="auto"/>
          <w:sz w:val="24"/>
        </w:rPr>
      </w:pPr>
      <w:r>
        <w:rPr>
          <w:rFonts w:hint="eastAsia" w:ascii="宋体" w:hAnsi="宋体"/>
          <w:color w:val="auto"/>
          <w:sz w:val="24"/>
        </w:rPr>
        <w:t>Ⅰ　无专职安全检查人员；或</w:t>
      </w:r>
    </w:p>
    <w:p w14:paraId="00A925EF">
      <w:pPr>
        <w:tabs>
          <w:tab w:val="left" w:pos="1080"/>
        </w:tabs>
        <w:spacing w:line="240" w:lineRule="auto"/>
        <w:ind w:left="420" w:firstLine="480" w:firstLineChars="200"/>
        <w:rPr>
          <w:rFonts w:hint="eastAsia" w:ascii="宋体" w:hAnsi="宋体"/>
          <w:color w:val="auto"/>
          <w:sz w:val="24"/>
        </w:rPr>
      </w:pPr>
      <w:r>
        <w:rPr>
          <w:rFonts w:hint="eastAsia" w:ascii="宋体" w:hAnsi="宋体"/>
          <w:color w:val="auto"/>
          <w:sz w:val="24"/>
        </w:rPr>
        <w:t>Ⅱ　无安全生产检查日志；或</w:t>
      </w:r>
    </w:p>
    <w:p w14:paraId="0A22749C">
      <w:pPr>
        <w:tabs>
          <w:tab w:val="left" w:pos="1080"/>
        </w:tabs>
        <w:spacing w:line="240" w:lineRule="auto"/>
        <w:ind w:left="420" w:firstLine="480" w:firstLineChars="200"/>
        <w:rPr>
          <w:rFonts w:hint="eastAsia" w:ascii="宋体" w:hAnsi="宋体"/>
          <w:color w:val="auto"/>
          <w:sz w:val="24"/>
        </w:rPr>
      </w:pPr>
      <w:r>
        <w:rPr>
          <w:rFonts w:hint="eastAsia" w:ascii="宋体" w:hAnsi="宋体"/>
          <w:color w:val="auto"/>
          <w:sz w:val="24"/>
        </w:rPr>
        <w:t>Ⅲ　作业点或危险施工路段安全标志不全；或</w:t>
      </w:r>
    </w:p>
    <w:p w14:paraId="563167B1">
      <w:pPr>
        <w:tabs>
          <w:tab w:val="left" w:pos="1080"/>
        </w:tabs>
        <w:spacing w:line="240" w:lineRule="auto"/>
        <w:ind w:left="420" w:firstLine="480" w:firstLineChars="200"/>
        <w:rPr>
          <w:rFonts w:hint="eastAsia" w:ascii="宋体" w:hAnsi="宋体"/>
          <w:color w:val="auto"/>
          <w:sz w:val="24"/>
        </w:rPr>
      </w:pPr>
      <w:r>
        <w:rPr>
          <w:rFonts w:hint="eastAsia" w:ascii="宋体" w:hAnsi="宋体"/>
          <w:color w:val="auto"/>
          <w:sz w:val="24"/>
        </w:rPr>
        <w:t>Ⅳ　安全标志（牌）、线（绳）不符国家规定的；或</w:t>
      </w:r>
    </w:p>
    <w:p w14:paraId="4DF29166">
      <w:pPr>
        <w:tabs>
          <w:tab w:val="left" w:pos="1080"/>
        </w:tabs>
        <w:spacing w:line="240" w:lineRule="auto"/>
        <w:ind w:left="420" w:firstLine="480" w:firstLineChars="200"/>
        <w:rPr>
          <w:rFonts w:hint="eastAsia" w:ascii="宋体" w:hAnsi="宋体"/>
          <w:color w:val="auto"/>
          <w:sz w:val="24"/>
        </w:rPr>
      </w:pPr>
      <w:r>
        <w:rPr>
          <w:rFonts w:hint="eastAsia" w:ascii="宋体" w:hAnsi="宋体"/>
          <w:color w:val="auto"/>
          <w:sz w:val="24"/>
        </w:rPr>
        <w:t>Ⅴ　易燃易爆物品管理不符合管理要求。</w:t>
      </w:r>
    </w:p>
    <w:p w14:paraId="79E42489">
      <w:pPr>
        <w:tabs>
          <w:tab w:val="left" w:pos="1080"/>
        </w:tabs>
        <w:spacing w:line="240" w:lineRule="auto"/>
        <w:ind w:firstLine="480" w:firstLineChars="200"/>
        <w:rPr>
          <w:rFonts w:hint="eastAsia" w:ascii="宋体" w:hAnsi="宋体"/>
          <w:color w:val="auto"/>
          <w:sz w:val="24"/>
        </w:rPr>
      </w:pPr>
      <w:r>
        <w:rPr>
          <w:rFonts w:hint="eastAsia" w:ascii="宋体" w:hAnsi="宋体"/>
          <w:color w:val="auto"/>
          <w:sz w:val="24"/>
        </w:rPr>
        <w:t>（c）出现下列行为之一可处1000元/处次。</w:t>
      </w:r>
    </w:p>
    <w:p w14:paraId="6D7B5E96">
      <w:pPr>
        <w:tabs>
          <w:tab w:val="left" w:pos="1080"/>
        </w:tabs>
        <w:spacing w:line="240" w:lineRule="auto"/>
        <w:ind w:left="420" w:firstLine="480" w:firstLineChars="200"/>
        <w:rPr>
          <w:rFonts w:hint="eastAsia" w:ascii="宋体" w:hAnsi="宋体"/>
          <w:color w:val="auto"/>
          <w:sz w:val="24"/>
        </w:rPr>
      </w:pPr>
      <w:r>
        <w:rPr>
          <w:rFonts w:hint="eastAsia" w:ascii="宋体" w:hAnsi="宋体"/>
          <w:color w:val="auto"/>
          <w:sz w:val="24"/>
        </w:rPr>
        <w:t>Ⅰ　施工作业点或施工形成的危险路段无规定的安全标志；或</w:t>
      </w:r>
    </w:p>
    <w:p w14:paraId="6EF99F47">
      <w:pPr>
        <w:tabs>
          <w:tab w:val="left" w:pos="1080"/>
        </w:tabs>
        <w:spacing w:line="240" w:lineRule="auto"/>
        <w:ind w:left="420" w:firstLine="480" w:firstLineChars="200"/>
        <w:rPr>
          <w:rFonts w:hint="eastAsia" w:ascii="宋体" w:hAnsi="宋体"/>
          <w:color w:val="auto"/>
          <w:sz w:val="24"/>
        </w:rPr>
      </w:pPr>
      <w:r>
        <w:rPr>
          <w:rFonts w:hint="eastAsia" w:ascii="宋体" w:hAnsi="宋体"/>
          <w:color w:val="auto"/>
          <w:sz w:val="24"/>
        </w:rPr>
        <w:t>Ⅱ　需设安全防护设施的未按规定设置；或</w:t>
      </w:r>
    </w:p>
    <w:p w14:paraId="6EE128C0">
      <w:pPr>
        <w:tabs>
          <w:tab w:val="left" w:pos="1080"/>
        </w:tabs>
        <w:spacing w:line="240" w:lineRule="auto"/>
        <w:ind w:left="420" w:firstLine="480" w:firstLineChars="200"/>
        <w:rPr>
          <w:rFonts w:hint="eastAsia" w:ascii="宋体" w:hAnsi="宋体"/>
          <w:color w:val="auto"/>
          <w:sz w:val="24"/>
        </w:rPr>
      </w:pPr>
      <w:r>
        <w:rPr>
          <w:rFonts w:hint="eastAsia" w:ascii="宋体" w:hAnsi="宋体"/>
          <w:color w:val="auto"/>
          <w:sz w:val="24"/>
        </w:rPr>
        <w:t>Ⅲ　出现一般安全生事故负有责任的；或</w:t>
      </w:r>
    </w:p>
    <w:p w14:paraId="5EF1CA47">
      <w:pPr>
        <w:tabs>
          <w:tab w:val="left" w:pos="1080"/>
        </w:tabs>
        <w:spacing w:line="240" w:lineRule="auto"/>
        <w:ind w:left="420" w:firstLine="480" w:firstLineChars="200"/>
        <w:rPr>
          <w:rFonts w:hint="eastAsia" w:ascii="宋体" w:hAnsi="宋体"/>
          <w:color w:val="auto"/>
          <w:sz w:val="24"/>
        </w:rPr>
      </w:pPr>
      <w:r>
        <w:rPr>
          <w:rFonts w:hint="eastAsia" w:ascii="宋体" w:hAnsi="宋体"/>
          <w:color w:val="auto"/>
          <w:sz w:val="24"/>
        </w:rPr>
        <w:t>Ⅳ　发生重大安全事故不按规定报告的。</w:t>
      </w:r>
    </w:p>
    <w:p w14:paraId="4AAA1C13">
      <w:pPr>
        <w:tabs>
          <w:tab w:val="left" w:pos="1080"/>
        </w:tabs>
        <w:spacing w:line="240" w:lineRule="auto"/>
        <w:ind w:firstLine="480" w:firstLineChars="200"/>
        <w:rPr>
          <w:rFonts w:hint="eastAsia" w:ascii="宋体" w:hAnsi="宋体"/>
          <w:color w:val="auto"/>
          <w:sz w:val="24"/>
        </w:rPr>
      </w:pPr>
      <w:r>
        <w:rPr>
          <w:rFonts w:hint="eastAsia" w:ascii="宋体" w:hAnsi="宋体"/>
          <w:color w:val="auto"/>
          <w:sz w:val="24"/>
        </w:rPr>
        <w:t>（d）出现下列行为之一可处10000元/处次。</w:t>
      </w:r>
    </w:p>
    <w:p w14:paraId="51A90B8F">
      <w:pPr>
        <w:tabs>
          <w:tab w:val="left" w:pos="1080"/>
        </w:tabs>
        <w:spacing w:line="240" w:lineRule="auto"/>
        <w:ind w:left="420" w:firstLine="480" w:firstLineChars="200"/>
        <w:rPr>
          <w:rFonts w:hint="eastAsia" w:ascii="宋体" w:hAnsi="宋体"/>
          <w:color w:val="auto"/>
          <w:sz w:val="24"/>
        </w:rPr>
      </w:pPr>
      <w:r>
        <w:rPr>
          <w:rFonts w:hint="eastAsia" w:ascii="宋体" w:hAnsi="宋体"/>
          <w:color w:val="auto"/>
          <w:sz w:val="24"/>
        </w:rPr>
        <w:t>出现重大安全生产事故负有责任的。</w:t>
      </w:r>
    </w:p>
    <w:p w14:paraId="4FC60E8B">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c．文明施工与环境保护，交通通畅</w:t>
      </w:r>
    </w:p>
    <w:p w14:paraId="082EB2EA">
      <w:pPr>
        <w:tabs>
          <w:tab w:val="left" w:pos="1080"/>
        </w:tabs>
        <w:spacing w:line="240" w:lineRule="auto"/>
        <w:ind w:firstLine="480" w:firstLineChars="200"/>
        <w:rPr>
          <w:rFonts w:hint="eastAsia" w:ascii="宋体" w:hAnsi="宋体"/>
          <w:color w:val="auto"/>
          <w:sz w:val="24"/>
        </w:rPr>
      </w:pPr>
      <w:r>
        <w:rPr>
          <w:rFonts w:hint="eastAsia" w:ascii="宋体" w:hAnsi="宋体"/>
          <w:color w:val="auto"/>
          <w:sz w:val="24"/>
        </w:rPr>
        <w:t>（a）路基路面施工扬尘影响交通安全的处500元/处天；</w:t>
      </w:r>
    </w:p>
    <w:p w14:paraId="1291582F">
      <w:pPr>
        <w:tabs>
          <w:tab w:val="left" w:pos="1080"/>
        </w:tabs>
        <w:spacing w:line="240" w:lineRule="auto"/>
        <w:ind w:firstLine="480" w:firstLineChars="200"/>
        <w:rPr>
          <w:rFonts w:hint="eastAsia" w:ascii="宋体" w:hAnsi="宋体"/>
          <w:color w:val="auto"/>
          <w:sz w:val="24"/>
        </w:rPr>
      </w:pPr>
      <w:r>
        <w:rPr>
          <w:rFonts w:hint="eastAsia" w:ascii="宋体" w:hAnsi="宋体"/>
          <w:color w:val="auto"/>
          <w:sz w:val="24"/>
        </w:rPr>
        <w:t>（b）由于施工原因造成污染、破坏被群众向政府、主管单位投诉或被环保、水利部门责令整改的，处1000元/次。</w:t>
      </w:r>
    </w:p>
    <w:p w14:paraId="3DE4A6F6">
      <w:pPr>
        <w:tabs>
          <w:tab w:val="left" w:pos="1080"/>
        </w:tabs>
        <w:spacing w:line="240" w:lineRule="auto"/>
        <w:ind w:firstLine="480" w:firstLineChars="200"/>
        <w:rPr>
          <w:rFonts w:hint="eastAsia" w:ascii="宋体" w:hAnsi="宋体"/>
          <w:color w:val="auto"/>
          <w:sz w:val="24"/>
        </w:rPr>
      </w:pPr>
      <w:r>
        <w:rPr>
          <w:rFonts w:hint="eastAsia" w:ascii="宋体" w:hAnsi="宋体"/>
          <w:color w:val="auto"/>
          <w:sz w:val="24"/>
        </w:rPr>
        <w:t>（c）由于承包人原因包括不及时处理堵车造成交通堵塞，堵车30分钟至一小时的处5000元/次，堵车一小时至二小时的处1万元/次，堵车二小时以上的处每小时（不满1小时按1小时计）1万元，并建议上级主管单位进行通报。</w:t>
      </w:r>
    </w:p>
    <w:p w14:paraId="404B091F">
      <w:pPr>
        <w:tabs>
          <w:tab w:val="left" w:pos="1080"/>
        </w:tabs>
        <w:spacing w:line="240" w:lineRule="auto"/>
        <w:ind w:firstLine="480" w:firstLineChars="200"/>
        <w:rPr>
          <w:rFonts w:hint="eastAsia" w:ascii="宋体" w:hAnsi="宋体"/>
          <w:color w:val="auto"/>
          <w:sz w:val="24"/>
        </w:rPr>
      </w:pPr>
      <w:r>
        <w:rPr>
          <w:rFonts w:hint="eastAsia" w:ascii="宋体" w:hAnsi="宋体"/>
          <w:color w:val="auto"/>
          <w:sz w:val="24"/>
        </w:rPr>
        <w:t>d．其他重要规定违约处理</w:t>
      </w:r>
    </w:p>
    <w:p w14:paraId="0BC9DA04">
      <w:pPr>
        <w:tabs>
          <w:tab w:val="left" w:pos="1080"/>
        </w:tabs>
        <w:spacing w:line="240" w:lineRule="auto"/>
        <w:ind w:firstLine="480" w:firstLineChars="200"/>
        <w:rPr>
          <w:rFonts w:hint="eastAsia" w:ascii="宋体" w:hAnsi="宋体"/>
          <w:color w:val="auto"/>
          <w:sz w:val="24"/>
        </w:rPr>
      </w:pPr>
      <w:r>
        <w:rPr>
          <w:rFonts w:hint="eastAsia" w:ascii="宋体" w:hAnsi="宋体"/>
          <w:color w:val="auto"/>
          <w:sz w:val="24"/>
        </w:rPr>
        <w:t>　有下列行为之一的处500元/人次违约金并责令承包人进行整改。</w:t>
      </w:r>
    </w:p>
    <w:p w14:paraId="0B06860B">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(a)劳务人员未按规定签订聘用合同并向业主报备；或</w:t>
      </w:r>
    </w:p>
    <w:p w14:paraId="0BCF44C1">
      <w:pPr>
        <w:tabs>
          <w:tab w:val="left" w:pos="1080"/>
        </w:tabs>
        <w:spacing w:line="240" w:lineRule="auto"/>
        <w:ind w:firstLine="480" w:firstLineChars="200"/>
        <w:rPr>
          <w:rFonts w:hint="eastAsia" w:ascii="宋体" w:hAnsi="宋体"/>
          <w:color w:val="auto"/>
          <w:sz w:val="24"/>
        </w:rPr>
      </w:pPr>
      <w:r>
        <w:rPr>
          <w:rFonts w:hint="eastAsia" w:ascii="宋体" w:hAnsi="宋体"/>
          <w:color w:val="auto"/>
          <w:sz w:val="24"/>
        </w:rPr>
        <w:t>(b)签订的劳务合同不符合劳动法等法规要求；或</w:t>
      </w:r>
    </w:p>
    <w:p w14:paraId="0BF06312">
      <w:pPr>
        <w:tabs>
          <w:tab w:val="left" w:pos="1080"/>
        </w:tabs>
        <w:spacing w:line="240" w:lineRule="auto"/>
        <w:ind w:firstLine="480" w:firstLineChars="200"/>
        <w:rPr>
          <w:rFonts w:hint="eastAsia" w:ascii="宋体" w:hAnsi="宋体"/>
          <w:color w:val="auto"/>
          <w:sz w:val="24"/>
        </w:rPr>
      </w:pPr>
      <w:r>
        <w:rPr>
          <w:rFonts w:hint="eastAsia" w:ascii="宋体" w:hAnsi="宋体"/>
          <w:color w:val="auto"/>
          <w:sz w:val="24"/>
        </w:rPr>
        <w:t>(c)劳务人员未编入承包人施工班组，并持项目经理签发的劳务上岗证上岗。</w:t>
      </w:r>
    </w:p>
    <w:p w14:paraId="6F4DB30B">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(d)</w:t>
      </w:r>
      <w:r>
        <w:rPr>
          <w:rFonts w:hint="eastAsia" w:ascii="宋体" w:hAnsi="宋体"/>
          <w:color w:val="auto"/>
          <w:sz w:val="24"/>
        </w:rPr>
        <w:t>上述被处的违约金在计量支付时从履约担保金中扣除，当扣除额达履约担保金总额</w:t>
      </w:r>
      <w:r>
        <w:rPr>
          <w:rFonts w:hint="eastAsia" w:ascii="宋体" w:hAnsi="宋体"/>
          <w:color w:val="auto"/>
          <w:sz w:val="24"/>
          <w:szCs w:val="21"/>
        </w:rPr>
        <w:t>30</w:t>
      </w:r>
      <w:r>
        <w:rPr>
          <w:rFonts w:hint="eastAsia" w:ascii="宋体" w:hAnsi="宋体"/>
          <w:color w:val="auto"/>
          <w:sz w:val="24"/>
        </w:rPr>
        <w:t>%时，承包人无条件进行足额补充。</w:t>
      </w:r>
    </w:p>
    <w:p w14:paraId="03031053">
      <w:pPr>
        <w:tabs>
          <w:tab w:val="left" w:pos="1080"/>
        </w:tabs>
        <w:spacing w:line="240" w:lineRule="auto"/>
        <w:ind w:firstLine="480" w:firstLineChars="200"/>
        <w:rPr>
          <w:rFonts w:hint="eastAsia" w:ascii="宋体" w:hAnsi="宋体"/>
          <w:color w:val="auto"/>
          <w:sz w:val="24"/>
          <w:szCs w:val="21"/>
        </w:rPr>
      </w:pPr>
      <w:r>
        <w:rPr>
          <w:rFonts w:hint="eastAsia" w:ascii="宋体" w:hAnsi="宋体"/>
          <w:color w:val="auto"/>
          <w:sz w:val="24"/>
          <w:szCs w:val="21"/>
        </w:rPr>
        <w:t>(e)</w:t>
      </w:r>
      <w:r>
        <w:rPr>
          <w:rFonts w:hint="eastAsia" w:ascii="宋体" w:hAnsi="宋体"/>
          <w:color w:val="auto"/>
          <w:sz w:val="24"/>
        </w:rPr>
        <w:t>业主（招标人）按合同进行违约处理后，并不解除承包人按照国家法规与合同应承担的责任与义务。</w:t>
      </w:r>
    </w:p>
    <w:p w14:paraId="00B460A8">
      <w:pPr>
        <w:spacing w:after="251" w:line="240" w:lineRule="auto"/>
        <w:jc w:val="left"/>
        <w:rPr>
          <w:rFonts w:hint="eastAsia" w:ascii="宋体" w:hAnsi="宋体"/>
          <w:bCs/>
          <w:color w:val="auto"/>
          <w:spacing w:val="10"/>
          <w:kern w:val="0"/>
          <w:sz w:val="24"/>
          <w:szCs w:val="22"/>
        </w:rPr>
      </w:pPr>
      <w:r>
        <w:rPr>
          <w:rFonts w:hint="eastAsia" w:ascii="宋体" w:hAnsi="宋体"/>
          <w:bCs/>
          <w:color w:val="auto"/>
          <w:spacing w:val="10"/>
          <w:kern w:val="0"/>
          <w:sz w:val="24"/>
          <w:szCs w:val="22"/>
        </w:rPr>
        <w:t>22.2</w:t>
      </w:r>
      <w:r>
        <w:rPr>
          <w:rFonts w:ascii="宋体" w:hAnsi="宋体"/>
          <w:bCs/>
          <w:color w:val="auto"/>
          <w:spacing w:val="10"/>
          <w:kern w:val="0"/>
          <w:sz w:val="24"/>
          <w:szCs w:val="22"/>
        </w:rPr>
        <w:t xml:space="preserve">  </w:t>
      </w:r>
      <w:r>
        <w:rPr>
          <w:rFonts w:ascii="宋体" w:hAnsi="宋体"/>
          <w:b/>
          <w:color w:val="auto"/>
          <w:kern w:val="0"/>
          <w:sz w:val="22"/>
          <w:szCs w:val="22"/>
          <w:lang w:val="zh-CN" w:bidi="zh-CN"/>
        </w:rPr>
        <w:t>发包人违约</w:t>
      </w:r>
    </w:p>
    <w:p w14:paraId="5E3FA043">
      <w:pPr>
        <w:autoSpaceDE w:val="0"/>
        <w:autoSpaceDN w:val="0"/>
        <w:spacing w:before="5" w:line="240" w:lineRule="auto"/>
        <w:jc w:val="left"/>
        <w:rPr>
          <w:rFonts w:ascii="宋体" w:hAnsi="宋体"/>
          <w:color w:val="auto"/>
          <w:sz w:val="22"/>
          <w:szCs w:val="22"/>
          <w:shd w:val="clear" w:color="auto" w:fill="FFFFFF"/>
          <w:lang w:val="zh-CN" w:bidi="en-US"/>
        </w:rPr>
      </w:pPr>
      <w:r>
        <w:rPr>
          <w:rFonts w:ascii="宋体" w:hAnsi="宋体"/>
          <w:color w:val="auto"/>
          <w:sz w:val="22"/>
          <w:szCs w:val="22"/>
          <w:shd w:val="clear" w:color="auto" w:fill="FFFFFF"/>
          <w:lang w:val="zh-CN" w:bidi="en-US"/>
        </w:rPr>
        <w:t>22.2.2</w:t>
      </w:r>
      <w:r>
        <w:rPr>
          <w:rFonts w:ascii="宋体" w:hAnsi="宋体"/>
          <w:color w:val="auto"/>
          <w:sz w:val="22"/>
          <w:szCs w:val="22"/>
          <w:shd w:val="clear" w:color="auto" w:fill="FFFFFF"/>
          <w:lang w:val="zh-CN"/>
        </w:rPr>
        <w:t>发包人无正当理由不按时返还履约保证金、质量保证金或农民工资保证金的，发包人应向承包人支付的违约金如下：</w:t>
      </w:r>
      <w:r>
        <w:rPr>
          <w:rFonts w:hint="eastAsia" w:ascii="宋体" w:hAnsi="宋体"/>
          <w:color w:val="auto"/>
          <w:sz w:val="22"/>
          <w:szCs w:val="22"/>
          <w:u w:val="single"/>
          <w:shd w:val="clear" w:color="auto" w:fill="FFFFFF"/>
          <w:lang w:val="zh-CN"/>
        </w:rPr>
        <w:t xml:space="preserve">   </w:t>
      </w:r>
      <w:r>
        <w:rPr>
          <w:rFonts w:ascii="宋体" w:hAnsi="宋体"/>
          <w:color w:val="auto"/>
          <w:sz w:val="22"/>
          <w:szCs w:val="22"/>
          <w:u w:val="single"/>
          <w:shd w:val="clear" w:color="auto" w:fill="FFFFFF"/>
          <w:lang w:val="zh-CN"/>
        </w:rPr>
        <w:t>/</w:t>
      </w:r>
      <w:r>
        <w:rPr>
          <w:rFonts w:hint="eastAsia" w:ascii="宋体" w:hAnsi="宋体"/>
          <w:color w:val="auto"/>
          <w:sz w:val="22"/>
          <w:szCs w:val="22"/>
          <w:u w:val="single"/>
          <w:shd w:val="clear" w:color="auto" w:fill="FFFFFF"/>
          <w:lang w:val="zh-CN"/>
        </w:rPr>
        <w:t xml:space="preserve">   </w:t>
      </w:r>
      <w:r>
        <w:rPr>
          <w:rFonts w:hint="eastAsia" w:ascii="宋体" w:hAnsi="宋体"/>
          <w:color w:val="auto"/>
          <w:sz w:val="22"/>
          <w:szCs w:val="22"/>
          <w:shd w:val="clear" w:color="auto" w:fill="FFFFFF"/>
          <w:lang w:val="zh-CN"/>
        </w:rPr>
        <w:t>。</w:t>
      </w:r>
    </w:p>
    <w:p w14:paraId="087E7CD1">
      <w:pPr>
        <w:spacing w:line="240" w:lineRule="auto"/>
        <w:rPr>
          <w:rFonts w:hint="eastAsia"/>
          <w:color w:val="auto"/>
          <w:sz w:val="20"/>
          <w:szCs w:val="22"/>
        </w:rPr>
      </w:pPr>
      <w:r>
        <w:rPr>
          <w:rFonts w:hint="eastAsia"/>
          <w:color w:val="auto"/>
          <w:sz w:val="20"/>
          <w:szCs w:val="22"/>
        </w:rPr>
        <w:t xml:space="preserve"> </w:t>
      </w:r>
    </w:p>
    <w:p w14:paraId="7CF81BF4">
      <w:pPr>
        <w:spacing w:line="240" w:lineRule="auto"/>
        <w:rPr>
          <w:color w:val="auto"/>
          <w:szCs w:val="22"/>
        </w:rPr>
      </w:pPr>
    </w:p>
    <w:p w14:paraId="6F3DECB9">
      <w:pPr>
        <w:spacing w:line="240" w:lineRule="auto"/>
        <w:rPr>
          <w:rFonts w:hint="eastAsia" w:ascii="Calibri" w:hAnsi="Calibri"/>
          <w:color w:val="auto"/>
          <w:sz w:val="20"/>
          <w:szCs w:val="22"/>
        </w:rPr>
      </w:pPr>
      <w:r>
        <w:rPr>
          <w:rFonts w:hint="eastAsia" w:ascii="Calibri" w:hAnsi="Calibri"/>
          <w:color w:val="auto"/>
          <w:sz w:val="20"/>
          <w:szCs w:val="22"/>
        </w:rPr>
        <w:t xml:space="preserve"> </w:t>
      </w:r>
    </w:p>
    <w:p w14:paraId="55845C0F">
      <w:pPr>
        <w:spacing w:line="240" w:lineRule="auto"/>
        <w:rPr>
          <w:rFonts w:ascii="Calibri" w:hAnsi="Calibri"/>
          <w:color w:val="auto"/>
          <w:szCs w:val="22"/>
        </w:rPr>
      </w:pPr>
    </w:p>
    <w:p w14:paraId="2EBDC633">
      <w:pPr>
        <w:spacing w:before="27" w:line="240" w:lineRule="auto"/>
        <w:rPr>
          <w:b/>
          <w:color w:val="auto"/>
          <w:sz w:val="24"/>
          <w:u w:val="single"/>
        </w:rPr>
      </w:pPr>
      <w:r>
        <w:rPr>
          <w:b/>
          <w:color w:val="auto"/>
          <w:sz w:val="24"/>
          <w:u w:val="single"/>
        </w:rPr>
        <w:br w:type="page"/>
      </w:r>
    </w:p>
    <w:p w14:paraId="5FD21F6F">
      <w:pPr>
        <w:spacing w:line="240" w:lineRule="auto"/>
        <w:rPr>
          <w:rFonts w:hAnsi="Calibri"/>
          <w:color w:val="auto"/>
          <w:sz w:val="20"/>
        </w:rPr>
      </w:pPr>
    </w:p>
    <w:p w14:paraId="155B3584">
      <w:pPr>
        <w:spacing w:line="240" w:lineRule="auto"/>
        <w:rPr>
          <w:rFonts w:hAnsi="Calibri"/>
          <w:color w:val="auto"/>
          <w:sz w:val="20"/>
        </w:rPr>
      </w:pPr>
    </w:p>
    <w:p w14:paraId="4649BA1E">
      <w:pPr>
        <w:spacing w:before="8" w:line="240" w:lineRule="auto"/>
        <w:rPr>
          <w:rFonts w:hAnsi="Calibri"/>
          <w:color w:val="auto"/>
          <w:sz w:val="19"/>
        </w:rPr>
      </w:pPr>
    </w:p>
    <w:p w14:paraId="4D4BED9F">
      <w:pPr>
        <w:spacing w:before="8" w:line="240" w:lineRule="auto"/>
        <w:rPr>
          <w:rFonts w:hAnsi="Calibri"/>
          <w:color w:val="auto"/>
          <w:sz w:val="19"/>
        </w:rPr>
      </w:pPr>
    </w:p>
    <w:p w14:paraId="51FD50B8">
      <w:pPr>
        <w:spacing w:before="8" w:line="240" w:lineRule="auto"/>
        <w:rPr>
          <w:rFonts w:hAnsi="Calibri"/>
          <w:color w:val="auto"/>
          <w:sz w:val="19"/>
        </w:rPr>
      </w:pPr>
    </w:p>
    <w:p w14:paraId="4555202B">
      <w:pPr>
        <w:spacing w:before="8" w:line="240" w:lineRule="auto"/>
        <w:rPr>
          <w:rFonts w:hAnsi="Calibri"/>
          <w:color w:val="auto"/>
          <w:sz w:val="19"/>
        </w:rPr>
      </w:pPr>
    </w:p>
    <w:p w14:paraId="429C9356">
      <w:pPr>
        <w:spacing w:before="41" w:line="240" w:lineRule="auto"/>
        <w:ind w:left="2659"/>
        <w:outlineLvl w:val="1"/>
        <w:rPr>
          <w:rFonts w:hint="eastAsia" w:ascii="Calibri" w:hAnsi="Calibri"/>
          <w:b/>
          <w:color w:val="auto"/>
          <w:sz w:val="44"/>
          <w:szCs w:val="44"/>
        </w:rPr>
      </w:pPr>
      <w:bookmarkStart w:id="137" w:name="_Toc256000034"/>
      <w:bookmarkEnd w:id="137"/>
      <w:bookmarkStart w:id="138" w:name="_Toc39866686"/>
      <w:bookmarkEnd w:id="138"/>
      <w:r>
        <w:rPr>
          <w:rFonts w:hint="eastAsia" w:ascii="Calibri" w:hAnsi="Calibri"/>
          <w:b/>
          <w:color w:val="auto"/>
          <w:sz w:val="44"/>
          <w:szCs w:val="44"/>
        </w:rPr>
        <w:t>第三节合同附件格式</w:t>
      </w:r>
    </w:p>
    <w:p w14:paraId="009E01CF">
      <w:pPr>
        <w:spacing w:line="240" w:lineRule="auto"/>
        <w:rPr>
          <w:rFonts w:ascii="Calibri" w:hAnsi="Calibri"/>
          <w:color w:val="auto"/>
          <w:szCs w:val="22"/>
        </w:rPr>
      </w:pPr>
      <w:r>
        <w:rPr>
          <w:rFonts w:ascii="Calibri" w:hAnsi="Calibri"/>
          <w:color w:val="auto"/>
          <w:szCs w:val="22"/>
        </w:rPr>
        <w:br w:type="page"/>
      </w:r>
    </w:p>
    <w:p w14:paraId="5D7E4737">
      <w:pPr>
        <w:spacing w:line="240" w:lineRule="auto"/>
        <w:ind w:firstLine="482" w:firstLineChars="200"/>
        <w:rPr>
          <w:rFonts w:hint="eastAsia" w:ascii="宋体" w:hAnsi="宋体"/>
          <w:b/>
          <w:bCs/>
          <w:color w:val="auto"/>
          <w:sz w:val="24"/>
        </w:rPr>
      </w:pPr>
      <w:r>
        <w:rPr>
          <w:rFonts w:hint="eastAsia" w:ascii="宋体" w:hAnsi="宋体"/>
          <w:b/>
          <w:bCs/>
          <w:color w:val="auto"/>
          <w:sz w:val="24"/>
        </w:rPr>
        <w:t>均采用交通运输部《公路工程标准施工招标文件》（2018年版）的格式。</w:t>
      </w:r>
    </w:p>
    <w:p w14:paraId="3328B45A">
      <w:pPr>
        <w:tabs>
          <w:tab w:val="left" w:pos="1080"/>
        </w:tabs>
        <w:spacing w:line="240" w:lineRule="auto"/>
        <w:rPr>
          <w:rFonts w:hint="eastAsia" w:ascii="宋体" w:hAnsi="宋体"/>
          <w:color w:val="auto"/>
          <w:szCs w:val="21"/>
        </w:rPr>
      </w:pPr>
    </w:p>
    <w:p w14:paraId="305FBC17">
      <w:pPr>
        <w:keepNext/>
        <w:keepLines/>
        <w:spacing w:before="120" w:after="120" w:line="240" w:lineRule="auto"/>
        <w:jc w:val="left"/>
        <w:outlineLvl w:val="3"/>
        <w:rPr>
          <w:rFonts w:hint="eastAsia" w:ascii="Cambria" w:hAnsi="Cambria" w:eastAsia="黑体"/>
          <w:b/>
          <w:bCs/>
          <w:color w:val="auto"/>
          <w:sz w:val="28"/>
          <w:szCs w:val="28"/>
        </w:rPr>
      </w:pPr>
      <w:bookmarkStart w:id="139" w:name="_Toc98873424"/>
      <w:bookmarkEnd w:id="139"/>
      <w:bookmarkStart w:id="140" w:name="_Toc394929416"/>
      <w:bookmarkEnd w:id="140"/>
      <w:r>
        <w:rPr>
          <w:rFonts w:hint="eastAsia" w:ascii="Cambria" w:hAnsi="Cambria" w:eastAsia="黑体"/>
          <w:b/>
          <w:bCs/>
          <w:color w:val="auto"/>
          <w:sz w:val="28"/>
          <w:szCs w:val="28"/>
        </w:rPr>
        <w:t>附件一  合同协议书</w:t>
      </w:r>
    </w:p>
    <w:p w14:paraId="39E28C38">
      <w:pPr>
        <w:keepNext/>
        <w:keepLines/>
        <w:spacing w:after="408" w:line="240" w:lineRule="auto"/>
        <w:ind w:left="119"/>
        <w:jc w:val="center"/>
        <w:outlineLvl w:val="6"/>
        <w:rPr>
          <w:rFonts w:hint="eastAsia" w:ascii="宋体" w:hAnsi="宋体"/>
          <w:b/>
          <w:color w:val="auto"/>
          <w:spacing w:val="140"/>
          <w:kern w:val="0"/>
          <w:sz w:val="28"/>
          <w:szCs w:val="28"/>
          <w:lang w:val="zh-CN"/>
        </w:rPr>
      </w:pPr>
      <w:bookmarkStart w:id="141" w:name="bookmark186"/>
      <w:bookmarkEnd w:id="141"/>
      <w:r>
        <w:rPr>
          <w:rFonts w:hint="eastAsia" w:ascii="宋体" w:hAnsi="宋体"/>
          <w:b/>
          <w:color w:val="auto"/>
          <w:spacing w:val="140"/>
          <w:kern w:val="0"/>
          <w:sz w:val="28"/>
          <w:szCs w:val="28"/>
          <w:lang w:val="zh-CN"/>
        </w:rPr>
        <w:t>合同协议书</w:t>
      </w:r>
    </w:p>
    <w:p w14:paraId="043BF35A">
      <w:pPr>
        <w:tabs>
          <w:tab w:val="left" w:leader="underscore" w:pos="1756"/>
          <w:tab w:val="left" w:leader="underscore" w:pos="8354"/>
        </w:tabs>
        <w:spacing w:line="240" w:lineRule="auto"/>
        <w:ind w:firstLine="598" w:firstLineChars="272"/>
        <w:rPr>
          <w:rFonts w:ascii="宋体" w:hAnsi="宋体"/>
          <w:color w:val="auto"/>
          <w:kern w:val="0"/>
          <w:sz w:val="22"/>
          <w:szCs w:val="22"/>
          <w:shd w:val="clear" w:color="auto" w:fill="FFFFFF"/>
          <w:lang w:val="zh-CN" w:bidi="zh-CN"/>
        </w:rPr>
      </w:pPr>
      <w:r>
        <w:rPr>
          <w:rFonts w:ascii="宋体" w:hAnsi="宋体"/>
          <w:color w:val="auto"/>
          <w:kern w:val="0"/>
          <w:sz w:val="22"/>
          <w:szCs w:val="22"/>
          <w:shd w:val="clear" w:color="auto" w:fill="FFFFFF"/>
          <w:lang w:val="zh-CN" w:bidi="zh-CN"/>
        </w:rPr>
        <w:tab/>
      </w:r>
      <w:r>
        <w:rPr>
          <w:rFonts w:ascii="宋体" w:hAnsi="宋体"/>
          <w:color w:val="auto"/>
          <w:kern w:val="0"/>
          <w:sz w:val="22"/>
          <w:szCs w:val="22"/>
          <w:shd w:val="clear" w:color="auto" w:fill="FFFFFF"/>
          <w:lang w:val="zh-CN" w:bidi="zh-CN"/>
        </w:rPr>
        <w:t>(</w:t>
      </w:r>
      <w:r>
        <w:rPr>
          <w:rFonts w:hint="eastAsia" w:ascii="宋体" w:hAnsi="宋体"/>
          <w:color w:val="auto"/>
          <w:kern w:val="0"/>
          <w:sz w:val="22"/>
          <w:szCs w:val="22"/>
          <w:shd w:val="clear" w:color="auto" w:fill="FFFFFF"/>
          <w:lang w:val="zh-CN" w:bidi="zh-CN"/>
        </w:rPr>
        <w:t>发包人名称，以下简称“发包人”）为实施</w:t>
      </w:r>
      <w:r>
        <w:rPr>
          <w:rFonts w:ascii="宋体" w:hAnsi="宋体"/>
          <w:color w:val="auto"/>
          <w:kern w:val="0"/>
          <w:sz w:val="22"/>
          <w:szCs w:val="22"/>
          <w:shd w:val="clear" w:color="auto" w:fill="FFFFFF"/>
          <w:lang w:val="zh-CN" w:bidi="zh-CN"/>
        </w:rPr>
        <w:tab/>
      </w:r>
      <w:r>
        <w:rPr>
          <w:rFonts w:ascii="宋体" w:hAnsi="宋体"/>
          <w:color w:val="auto"/>
          <w:kern w:val="0"/>
          <w:sz w:val="22"/>
          <w:szCs w:val="22"/>
          <w:shd w:val="clear" w:color="auto" w:fill="FFFFFF"/>
          <w:lang w:val="zh-CN" w:bidi="zh-CN"/>
        </w:rPr>
        <w:t>(</w:t>
      </w:r>
      <w:r>
        <w:rPr>
          <w:rFonts w:hint="eastAsia" w:ascii="宋体" w:hAnsi="宋体"/>
          <w:color w:val="auto"/>
          <w:kern w:val="0"/>
          <w:sz w:val="22"/>
          <w:szCs w:val="22"/>
          <w:shd w:val="clear" w:color="auto" w:fill="FFFFFF"/>
          <w:lang w:val="zh-CN" w:bidi="zh-CN"/>
        </w:rPr>
        <w:t>项目名称</w:t>
      </w:r>
      <w:r>
        <w:rPr>
          <w:rFonts w:ascii="宋体" w:hAnsi="宋体"/>
          <w:color w:val="auto"/>
          <w:kern w:val="0"/>
          <w:sz w:val="22"/>
          <w:szCs w:val="22"/>
          <w:shd w:val="clear" w:color="auto" w:fill="FFFFFF"/>
          <w:lang w:val="zh-CN" w:bidi="zh-CN"/>
        </w:rPr>
        <w:t>)</w:t>
      </w:r>
      <w:r>
        <w:rPr>
          <w:rFonts w:hint="eastAsia" w:ascii="宋体" w:hAnsi="宋体"/>
          <w:color w:val="auto"/>
          <w:kern w:val="0"/>
          <w:sz w:val="22"/>
          <w:szCs w:val="22"/>
          <w:shd w:val="clear" w:color="auto" w:fill="FFFFFF"/>
          <w:lang w:val="zh-CN" w:bidi="zh-CN"/>
        </w:rPr>
        <w:t>，己接受</w:t>
      </w:r>
      <w:r>
        <w:rPr>
          <w:rFonts w:ascii="宋体" w:hAnsi="宋体"/>
          <w:color w:val="auto"/>
          <w:kern w:val="0"/>
          <w:sz w:val="22"/>
          <w:szCs w:val="22"/>
          <w:shd w:val="clear" w:color="auto" w:fill="FFFFFF"/>
          <w:lang w:val="zh-CN" w:bidi="zh-CN"/>
        </w:rPr>
        <w:tab/>
      </w:r>
      <w:r>
        <w:rPr>
          <w:rFonts w:ascii="宋体" w:hAnsi="宋体"/>
          <w:color w:val="auto"/>
          <w:kern w:val="0"/>
          <w:sz w:val="22"/>
          <w:szCs w:val="22"/>
          <w:shd w:val="clear" w:color="auto" w:fill="FFFFFF"/>
          <w:lang w:val="zh-CN" w:bidi="zh-CN"/>
        </w:rPr>
        <w:t>(</w:t>
      </w:r>
      <w:r>
        <w:rPr>
          <w:rFonts w:hint="eastAsia" w:ascii="宋体" w:hAnsi="宋体"/>
          <w:color w:val="auto"/>
          <w:kern w:val="0"/>
          <w:sz w:val="22"/>
          <w:szCs w:val="22"/>
          <w:shd w:val="clear" w:color="auto" w:fill="FFFFFF"/>
          <w:lang w:val="zh-CN" w:bidi="zh-CN"/>
        </w:rPr>
        <w:t>承包人名称，以下简称“承包人”）对该项目</w:t>
      </w:r>
      <w:r>
        <w:rPr>
          <w:rFonts w:ascii="宋体" w:hAnsi="宋体"/>
          <w:color w:val="auto"/>
          <w:kern w:val="0"/>
          <w:sz w:val="22"/>
          <w:szCs w:val="22"/>
          <w:shd w:val="clear" w:color="auto" w:fill="FFFFFF"/>
          <w:lang w:val="zh-CN" w:bidi="zh-CN"/>
        </w:rPr>
        <w:tab/>
      </w:r>
      <w:r>
        <w:rPr>
          <w:rFonts w:hint="eastAsia" w:ascii="宋体" w:hAnsi="宋体"/>
          <w:color w:val="auto"/>
          <w:kern w:val="0"/>
          <w:sz w:val="22"/>
          <w:szCs w:val="22"/>
          <w:shd w:val="clear" w:color="auto" w:fill="FFFFFF"/>
          <w:lang w:val="zh-CN" w:bidi="zh-CN"/>
        </w:rPr>
        <w:t>标段施工的投标。发包人和承包人共同达成如下协议。</w:t>
      </w:r>
    </w:p>
    <w:p w14:paraId="5D24FB70">
      <w:pPr>
        <w:numPr>
          <w:ilvl w:val="3"/>
          <w:numId w:val="4"/>
        </w:numPr>
        <w:tabs>
          <w:tab w:val="left" w:pos="1342"/>
          <w:tab w:val="left" w:pos="2224"/>
        </w:tabs>
        <w:autoSpaceDE w:val="0"/>
        <w:autoSpaceDN w:val="0"/>
        <w:spacing w:before="1" w:line="240" w:lineRule="auto"/>
        <w:ind w:right="384" w:firstLine="617"/>
        <w:jc w:val="left"/>
        <w:rPr>
          <w:rFonts w:ascii="宋体" w:hAnsi="宋体"/>
          <w:color w:val="auto"/>
          <w:kern w:val="0"/>
          <w:sz w:val="24"/>
          <w:szCs w:val="22"/>
          <w:lang w:val="zh-CN" w:bidi="zh-CN"/>
        </w:rPr>
      </w:pPr>
      <w:r>
        <w:rPr>
          <w:rFonts w:ascii="宋体" w:hAnsi="宋体"/>
          <w:color w:val="auto"/>
          <w:kern w:val="0"/>
          <w:sz w:val="24"/>
          <w:szCs w:val="22"/>
          <w:lang w:val="zh-CN" w:bidi="zh-CN"/>
        </w:rPr>
        <w:t>第</w:t>
      </w:r>
      <w:r>
        <w:rPr>
          <w:rFonts w:ascii="宋体" w:hAnsi="宋体"/>
          <w:color w:val="auto"/>
          <w:kern w:val="0"/>
          <w:sz w:val="24"/>
          <w:szCs w:val="22"/>
          <w:u w:val="single"/>
          <w:lang w:val="zh-CN" w:bidi="zh-CN"/>
        </w:rPr>
        <w:t xml:space="preserve"> </w:t>
      </w:r>
      <w:r>
        <w:rPr>
          <w:rFonts w:ascii="宋体" w:hAnsi="宋体"/>
          <w:color w:val="auto"/>
          <w:spacing w:val="118"/>
          <w:kern w:val="0"/>
          <w:sz w:val="24"/>
          <w:szCs w:val="22"/>
          <w:u w:val="single"/>
          <w:lang w:val="zh-CN" w:bidi="zh-CN"/>
        </w:rPr>
        <w:t xml:space="preserve"> </w:t>
      </w:r>
      <w:r>
        <w:rPr>
          <w:rFonts w:ascii="宋体" w:hAnsi="宋体"/>
          <w:color w:val="auto"/>
          <w:kern w:val="0"/>
          <w:sz w:val="24"/>
          <w:szCs w:val="22"/>
          <w:lang w:val="zh-CN" w:bidi="zh-CN"/>
        </w:rPr>
        <w:t>标段由</w:t>
      </w:r>
      <w:r>
        <w:rPr>
          <w:rFonts w:hAnsi="宋体" w:eastAsia="Times New Roman"/>
          <w:color w:val="auto"/>
          <w:kern w:val="0"/>
          <w:sz w:val="24"/>
          <w:szCs w:val="22"/>
          <w:u w:val="single"/>
          <w:lang w:val="zh-CN" w:bidi="zh-CN"/>
        </w:rPr>
        <w:t xml:space="preserve">  </w:t>
      </w:r>
      <w:r>
        <w:rPr>
          <w:rFonts w:hAnsi="宋体" w:eastAsia="Times New Roman"/>
          <w:color w:val="auto"/>
          <w:spacing w:val="58"/>
          <w:kern w:val="0"/>
          <w:sz w:val="24"/>
          <w:szCs w:val="22"/>
          <w:u w:val="single"/>
          <w:lang w:val="zh-CN" w:bidi="zh-CN"/>
        </w:rPr>
        <w:t xml:space="preserve"> </w:t>
      </w:r>
      <w:r>
        <w:rPr>
          <w:rFonts w:ascii="宋体" w:hAnsi="宋体"/>
          <w:color w:val="auto"/>
          <w:kern w:val="0"/>
          <w:sz w:val="24"/>
          <w:szCs w:val="22"/>
          <w:u w:val="single"/>
          <w:lang w:val="zh-CN" w:bidi="zh-CN"/>
        </w:rPr>
        <w:t xml:space="preserve"> </w:t>
      </w:r>
      <w:r>
        <w:rPr>
          <w:rFonts w:ascii="宋体" w:hAnsi="宋体"/>
          <w:color w:val="auto"/>
          <w:spacing w:val="118"/>
          <w:kern w:val="0"/>
          <w:sz w:val="24"/>
          <w:szCs w:val="22"/>
          <w:u w:val="single"/>
          <w:lang w:val="zh-CN" w:bidi="zh-CN"/>
        </w:rPr>
        <w:t xml:space="preserve"> </w:t>
      </w:r>
      <w:r>
        <w:rPr>
          <w:rFonts w:ascii="宋体" w:hAnsi="宋体"/>
          <w:color w:val="auto"/>
          <w:kern w:val="0"/>
          <w:sz w:val="24"/>
          <w:szCs w:val="22"/>
          <w:lang w:val="zh-CN" w:bidi="zh-CN"/>
        </w:rPr>
        <w:t>至</w:t>
      </w:r>
      <w:r>
        <w:rPr>
          <w:rFonts w:hAnsi="宋体" w:eastAsia="Times New Roman"/>
          <w:color w:val="auto"/>
          <w:kern w:val="0"/>
          <w:sz w:val="24"/>
          <w:szCs w:val="22"/>
          <w:u w:val="single"/>
          <w:lang w:val="zh-CN" w:bidi="zh-CN"/>
        </w:rPr>
        <w:t xml:space="preserve">   </w:t>
      </w:r>
      <w:r>
        <w:rPr>
          <w:rFonts w:ascii="宋体" w:hAnsi="宋体"/>
          <w:color w:val="auto"/>
          <w:kern w:val="0"/>
          <w:sz w:val="24"/>
          <w:szCs w:val="22"/>
          <w:u w:val="single"/>
          <w:lang w:val="zh-CN" w:bidi="zh-CN"/>
        </w:rPr>
        <w:t xml:space="preserve"> </w:t>
      </w:r>
      <w:r>
        <w:rPr>
          <w:rFonts w:ascii="宋体" w:hAnsi="宋体"/>
          <w:color w:val="auto"/>
          <w:spacing w:val="118"/>
          <w:kern w:val="0"/>
          <w:sz w:val="24"/>
          <w:szCs w:val="22"/>
          <w:u w:val="single"/>
          <w:lang w:val="zh-CN" w:bidi="zh-CN"/>
        </w:rPr>
        <w:t xml:space="preserve"> </w:t>
      </w:r>
      <w:r>
        <w:rPr>
          <w:rFonts w:ascii="宋体" w:hAnsi="宋体"/>
          <w:color w:val="auto"/>
          <w:kern w:val="0"/>
          <w:sz w:val="24"/>
          <w:szCs w:val="22"/>
          <w:lang w:val="zh-CN" w:bidi="zh-CN"/>
        </w:rPr>
        <w:t>，长约</w:t>
      </w:r>
      <w:r>
        <w:rPr>
          <w:rFonts w:ascii="宋体" w:hAnsi="宋体"/>
          <w:color w:val="auto"/>
          <w:kern w:val="0"/>
          <w:sz w:val="24"/>
          <w:szCs w:val="22"/>
          <w:u w:val="single"/>
          <w:lang w:val="zh-CN" w:bidi="zh-CN"/>
        </w:rPr>
        <w:t xml:space="preserve"> </w:t>
      </w:r>
      <w:r>
        <w:rPr>
          <w:rFonts w:ascii="宋体" w:hAnsi="宋体"/>
          <w:color w:val="auto"/>
          <w:spacing w:val="118"/>
          <w:kern w:val="0"/>
          <w:sz w:val="24"/>
          <w:szCs w:val="22"/>
          <w:u w:val="single"/>
          <w:lang w:val="zh-CN" w:bidi="zh-CN"/>
        </w:rPr>
        <w:t xml:space="preserve"> </w:t>
      </w:r>
      <w:r>
        <w:rPr>
          <w:rFonts w:hAnsi="宋体" w:eastAsia="Times New Roman"/>
          <w:color w:val="auto"/>
          <w:kern w:val="0"/>
          <w:sz w:val="24"/>
          <w:szCs w:val="22"/>
          <w:lang w:val="zh-CN" w:bidi="zh-CN"/>
        </w:rPr>
        <w:t>km</w:t>
      </w:r>
      <w:r>
        <w:rPr>
          <w:rFonts w:ascii="宋体" w:hAnsi="宋体"/>
          <w:color w:val="auto"/>
          <w:kern w:val="0"/>
          <w:sz w:val="24"/>
          <w:szCs w:val="22"/>
          <w:lang w:val="zh-CN" w:bidi="zh-CN"/>
        </w:rPr>
        <w:t>，公路等级为</w:t>
      </w:r>
      <w:r>
        <w:rPr>
          <w:rFonts w:ascii="宋体" w:hAnsi="宋体"/>
          <w:color w:val="auto"/>
          <w:kern w:val="0"/>
          <w:sz w:val="24"/>
          <w:szCs w:val="22"/>
          <w:u w:val="single"/>
          <w:lang w:val="zh-CN" w:bidi="zh-CN"/>
        </w:rPr>
        <w:t xml:space="preserve">  </w:t>
      </w:r>
      <w:r>
        <w:rPr>
          <w:rFonts w:ascii="宋体" w:hAnsi="宋体"/>
          <w:color w:val="auto"/>
          <w:kern w:val="0"/>
          <w:sz w:val="24"/>
          <w:szCs w:val="22"/>
          <w:lang w:val="zh-CN" w:bidi="zh-CN"/>
        </w:rPr>
        <w:t>级公路，设计速度为</w:t>
      </w:r>
      <w:r>
        <w:rPr>
          <w:rFonts w:ascii="宋体" w:hAnsi="宋体"/>
          <w:color w:val="auto"/>
          <w:kern w:val="0"/>
          <w:sz w:val="24"/>
          <w:szCs w:val="22"/>
          <w:u w:val="single"/>
          <w:lang w:val="zh-CN" w:bidi="zh-CN"/>
        </w:rPr>
        <w:t xml:space="preserve"> </w:t>
      </w:r>
      <w:r>
        <w:rPr>
          <w:rFonts w:ascii="宋体" w:hAnsi="宋体"/>
          <w:color w:val="auto"/>
          <w:kern w:val="0"/>
          <w:sz w:val="24"/>
          <w:szCs w:val="22"/>
          <w:u w:val="single"/>
          <w:lang w:val="zh-CN" w:bidi="zh-CN"/>
        </w:rPr>
        <w:tab/>
      </w:r>
      <w:r>
        <w:rPr>
          <w:rFonts w:hint="eastAsia" w:ascii="宋体" w:hAnsi="宋体"/>
          <w:color w:val="auto"/>
          <w:kern w:val="0"/>
          <w:sz w:val="24"/>
          <w:shd w:val="clear" w:color="auto" w:fill="FFFFFF"/>
          <w:lang w:val="zh-CN" w:bidi="zh-CN"/>
        </w:rPr>
        <w:t>公里/小时</w:t>
      </w:r>
      <w:r>
        <w:rPr>
          <w:rFonts w:ascii="宋体" w:hAnsi="宋体"/>
          <w:color w:val="auto"/>
          <w:kern w:val="0"/>
          <w:sz w:val="24"/>
          <w:szCs w:val="22"/>
          <w:lang w:val="zh-CN" w:bidi="zh-CN"/>
        </w:rPr>
        <w:t>。</w:t>
      </w:r>
    </w:p>
    <w:p w14:paraId="79529018">
      <w:pPr>
        <w:numPr>
          <w:ilvl w:val="3"/>
          <w:numId w:val="4"/>
        </w:numPr>
        <w:tabs>
          <w:tab w:val="left" w:pos="1342"/>
        </w:tabs>
        <w:autoSpaceDE w:val="0"/>
        <w:autoSpaceDN w:val="0"/>
        <w:spacing w:before="1" w:line="240" w:lineRule="auto"/>
        <w:ind w:firstLine="617"/>
        <w:jc w:val="left"/>
        <w:rPr>
          <w:rFonts w:ascii="宋体" w:hAnsi="宋体"/>
          <w:color w:val="auto"/>
          <w:kern w:val="0"/>
          <w:sz w:val="24"/>
          <w:szCs w:val="22"/>
          <w:lang w:val="zh-CN" w:bidi="zh-CN"/>
        </w:rPr>
      </w:pPr>
      <w:r>
        <w:rPr>
          <w:rFonts w:ascii="宋体" w:hAnsi="宋体"/>
          <w:color w:val="auto"/>
          <w:kern w:val="0"/>
          <w:sz w:val="24"/>
          <w:szCs w:val="22"/>
          <w:lang w:val="zh-CN" w:bidi="zh-CN"/>
        </w:rPr>
        <w:t>下列文件应视为构成合同文件的组成部分：</w:t>
      </w:r>
    </w:p>
    <w:p w14:paraId="57453A42">
      <w:pPr>
        <w:autoSpaceDE w:val="0"/>
        <w:autoSpaceDN w:val="0"/>
        <w:spacing w:before="132" w:line="240" w:lineRule="auto"/>
        <w:ind w:left="424" w:right="418" w:firstLine="616"/>
        <w:jc w:val="left"/>
        <w:rPr>
          <w:rFonts w:ascii="宋体" w:hAnsi="宋体"/>
          <w:color w:val="auto"/>
          <w:spacing w:val="-3"/>
          <w:kern w:val="0"/>
          <w:sz w:val="24"/>
          <w:lang w:val="zh-CN" w:bidi="zh-CN"/>
        </w:rPr>
      </w:pPr>
      <w:r>
        <w:rPr>
          <w:rFonts w:ascii="宋体" w:hAnsi="宋体"/>
          <w:color w:val="auto"/>
          <w:spacing w:val="-3"/>
          <w:kern w:val="0"/>
          <w:sz w:val="24"/>
          <w:lang w:val="zh-CN" w:bidi="zh-CN"/>
        </w:rPr>
        <w:t>（</w:t>
      </w:r>
      <w:r>
        <w:rPr>
          <w:rFonts w:hAnsi="宋体" w:eastAsia="Times New Roman"/>
          <w:color w:val="auto"/>
          <w:spacing w:val="-3"/>
          <w:kern w:val="0"/>
          <w:sz w:val="24"/>
          <w:lang w:val="zh-CN" w:bidi="zh-CN"/>
        </w:rPr>
        <w:t>1</w:t>
      </w:r>
      <w:r>
        <w:rPr>
          <w:rFonts w:ascii="宋体" w:hAnsi="宋体"/>
          <w:color w:val="auto"/>
          <w:spacing w:val="-3"/>
          <w:kern w:val="0"/>
          <w:sz w:val="24"/>
          <w:lang w:val="zh-CN" w:bidi="zh-CN"/>
        </w:rPr>
        <w:t>）</w:t>
      </w:r>
      <w:r>
        <w:rPr>
          <w:rFonts w:ascii="宋体" w:hAnsi="宋体"/>
          <w:color w:val="auto"/>
          <w:spacing w:val="-1"/>
          <w:kern w:val="0"/>
          <w:sz w:val="24"/>
          <w:lang w:val="zh-CN" w:bidi="zh-CN"/>
        </w:rPr>
        <w:t>本协议书及各种合同附件</w:t>
      </w:r>
      <w:r>
        <w:rPr>
          <w:rFonts w:ascii="宋体" w:hAnsi="宋体"/>
          <w:color w:val="auto"/>
          <w:kern w:val="0"/>
          <w:sz w:val="24"/>
          <w:lang w:val="zh-CN" w:bidi="zh-CN"/>
        </w:rPr>
        <w:t>（含评标期间和合同谈判过程中的澄清文件和</w:t>
      </w:r>
      <w:r>
        <w:rPr>
          <w:rFonts w:ascii="宋体" w:hAnsi="宋体"/>
          <w:color w:val="auto"/>
          <w:spacing w:val="-1"/>
          <w:kern w:val="0"/>
          <w:sz w:val="24"/>
          <w:lang w:val="zh-CN" w:bidi="zh-CN"/>
        </w:rPr>
        <w:t>补充资料</w:t>
      </w:r>
      <w:r>
        <w:rPr>
          <w:rFonts w:ascii="宋体" w:hAnsi="宋体"/>
          <w:color w:val="auto"/>
          <w:spacing w:val="-120"/>
          <w:kern w:val="0"/>
          <w:sz w:val="24"/>
          <w:lang w:val="zh-CN" w:bidi="zh-CN"/>
        </w:rPr>
        <w:t>）</w:t>
      </w:r>
      <w:r>
        <w:rPr>
          <w:rFonts w:ascii="宋体" w:hAnsi="宋体"/>
          <w:color w:val="auto"/>
          <w:kern w:val="0"/>
          <w:sz w:val="24"/>
          <w:lang w:val="zh-CN" w:bidi="zh-CN"/>
        </w:rPr>
        <w:t>；</w:t>
      </w:r>
    </w:p>
    <w:p w14:paraId="50223764">
      <w:pPr>
        <w:autoSpaceDE w:val="0"/>
        <w:autoSpaceDN w:val="0"/>
        <w:spacing w:before="2" w:line="240" w:lineRule="auto"/>
        <w:ind w:left="1041"/>
        <w:jc w:val="left"/>
        <w:rPr>
          <w:rFonts w:ascii="宋体" w:hAnsi="宋体"/>
          <w:color w:val="auto"/>
          <w:kern w:val="0"/>
          <w:sz w:val="24"/>
          <w:lang w:val="zh-CN" w:bidi="zh-CN"/>
        </w:rPr>
      </w:pPr>
      <w:r>
        <w:rPr>
          <w:rFonts w:ascii="宋体" w:hAnsi="宋体"/>
          <w:color w:val="auto"/>
          <w:kern w:val="0"/>
          <w:sz w:val="24"/>
          <w:lang w:val="zh-CN" w:bidi="zh-CN"/>
        </w:rPr>
        <w:t>（</w:t>
      </w:r>
      <w:r>
        <w:rPr>
          <w:rFonts w:hAnsi="宋体" w:eastAsia="Times New Roman"/>
          <w:color w:val="auto"/>
          <w:kern w:val="0"/>
          <w:sz w:val="24"/>
          <w:lang w:val="zh-CN" w:bidi="zh-CN"/>
        </w:rPr>
        <w:t>2</w:t>
      </w:r>
      <w:r>
        <w:rPr>
          <w:rFonts w:ascii="宋体" w:hAnsi="宋体"/>
          <w:color w:val="auto"/>
          <w:kern w:val="0"/>
          <w:sz w:val="24"/>
          <w:lang w:val="zh-CN" w:bidi="zh-CN"/>
        </w:rPr>
        <w:t>）中标通知书；</w:t>
      </w:r>
    </w:p>
    <w:p w14:paraId="771E3BFD">
      <w:pPr>
        <w:autoSpaceDE w:val="0"/>
        <w:autoSpaceDN w:val="0"/>
        <w:spacing w:before="131" w:line="240" w:lineRule="auto"/>
        <w:ind w:left="1041"/>
        <w:jc w:val="left"/>
        <w:rPr>
          <w:rFonts w:ascii="宋体" w:hAnsi="宋体"/>
          <w:color w:val="auto"/>
          <w:kern w:val="0"/>
          <w:sz w:val="24"/>
          <w:lang w:val="zh-CN" w:bidi="zh-CN"/>
        </w:rPr>
      </w:pPr>
      <w:r>
        <w:rPr>
          <w:rFonts w:ascii="宋体" w:hAnsi="宋体"/>
          <w:color w:val="auto"/>
          <w:kern w:val="0"/>
          <w:sz w:val="24"/>
          <w:lang w:val="zh-CN" w:bidi="zh-CN"/>
        </w:rPr>
        <w:t>（</w:t>
      </w:r>
      <w:r>
        <w:rPr>
          <w:rFonts w:hAnsi="宋体" w:eastAsia="Times New Roman"/>
          <w:color w:val="auto"/>
          <w:kern w:val="0"/>
          <w:sz w:val="24"/>
          <w:lang w:val="zh-CN" w:bidi="zh-CN"/>
        </w:rPr>
        <w:t>3</w:t>
      </w:r>
      <w:r>
        <w:rPr>
          <w:rFonts w:ascii="宋体" w:hAnsi="宋体"/>
          <w:color w:val="auto"/>
          <w:kern w:val="0"/>
          <w:sz w:val="24"/>
          <w:lang w:val="zh-CN" w:bidi="zh-CN"/>
        </w:rPr>
        <w:t>）投标函及投标函附录；</w:t>
      </w:r>
    </w:p>
    <w:p w14:paraId="1D253C8E">
      <w:pPr>
        <w:autoSpaceDE w:val="0"/>
        <w:autoSpaceDN w:val="0"/>
        <w:spacing w:before="132" w:line="240" w:lineRule="auto"/>
        <w:ind w:left="1041"/>
        <w:jc w:val="left"/>
        <w:rPr>
          <w:rFonts w:ascii="宋体" w:hAnsi="宋体"/>
          <w:color w:val="auto"/>
          <w:kern w:val="0"/>
          <w:sz w:val="24"/>
          <w:lang w:val="zh-CN" w:bidi="zh-CN"/>
        </w:rPr>
      </w:pPr>
      <w:r>
        <w:rPr>
          <w:rFonts w:ascii="宋体" w:hAnsi="宋体"/>
          <w:color w:val="auto"/>
          <w:kern w:val="0"/>
          <w:sz w:val="24"/>
          <w:lang w:val="zh-CN" w:bidi="zh-CN"/>
        </w:rPr>
        <w:t>（</w:t>
      </w:r>
      <w:r>
        <w:rPr>
          <w:rFonts w:hAnsi="宋体" w:eastAsia="Times New Roman"/>
          <w:color w:val="auto"/>
          <w:kern w:val="0"/>
          <w:sz w:val="24"/>
          <w:lang w:val="zh-CN" w:bidi="zh-CN"/>
        </w:rPr>
        <w:t>4</w:t>
      </w:r>
      <w:r>
        <w:rPr>
          <w:rFonts w:ascii="宋体" w:hAnsi="宋体"/>
          <w:color w:val="auto"/>
          <w:kern w:val="0"/>
          <w:sz w:val="24"/>
          <w:lang w:val="zh-CN" w:bidi="zh-CN"/>
        </w:rPr>
        <w:t>）项目专用合同条款；</w:t>
      </w:r>
    </w:p>
    <w:p w14:paraId="210CDF83">
      <w:pPr>
        <w:autoSpaceDE w:val="0"/>
        <w:autoSpaceDN w:val="0"/>
        <w:spacing w:before="134" w:line="240" w:lineRule="auto"/>
        <w:ind w:left="1041"/>
        <w:jc w:val="left"/>
        <w:rPr>
          <w:rFonts w:ascii="宋体" w:hAnsi="宋体"/>
          <w:color w:val="auto"/>
          <w:kern w:val="0"/>
          <w:sz w:val="24"/>
          <w:lang w:val="zh-CN" w:bidi="zh-CN"/>
        </w:rPr>
      </w:pPr>
      <w:r>
        <w:rPr>
          <w:rFonts w:ascii="宋体" w:hAnsi="宋体"/>
          <w:color w:val="auto"/>
          <w:kern w:val="0"/>
          <w:sz w:val="24"/>
          <w:lang w:val="zh-CN" w:bidi="zh-CN"/>
        </w:rPr>
        <w:t>（</w:t>
      </w:r>
      <w:r>
        <w:rPr>
          <w:rFonts w:hAnsi="宋体" w:eastAsia="Times New Roman"/>
          <w:color w:val="auto"/>
          <w:kern w:val="0"/>
          <w:sz w:val="24"/>
          <w:lang w:val="zh-CN" w:bidi="zh-CN"/>
        </w:rPr>
        <w:t>5</w:t>
      </w:r>
      <w:r>
        <w:rPr>
          <w:rFonts w:ascii="宋体" w:hAnsi="宋体"/>
          <w:color w:val="auto"/>
          <w:kern w:val="0"/>
          <w:sz w:val="24"/>
          <w:lang w:val="zh-CN" w:bidi="zh-CN"/>
        </w:rPr>
        <w:t>）公路工程专用合同条款；</w:t>
      </w:r>
    </w:p>
    <w:p w14:paraId="6F505147">
      <w:pPr>
        <w:autoSpaceDE w:val="0"/>
        <w:autoSpaceDN w:val="0"/>
        <w:spacing w:before="132" w:line="240" w:lineRule="auto"/>
        <w:ind w:left="1041"/>
        <w:jc w:val="left"/>
        <w:rPr>
          <w:rFonts w:ascii="宋体" w:hAnsi="宋体"/>
          <w:color w:val="auto"/>
          <w:kern w:val="0"/>
          <w:sz w:val="24"/>
          <w:lang w:val="zh-CN" w:bidi="zh-CN"/>
        </w:rPr>
      </w:pPr>
      <w:r>
        <w:rPr>
          <w:rFonts w:ascii="宋体" w:hAnsi="宋体"/>
          <w:color w:val="auto"/>
          <w:kern w:val="0"/>
          <w:sz w:val="24"/>
          <w:lang w:val="zh-CN" w:bidi="zh-CN"/>
        </w:rPr>
        <w:t>（</w:t>
      </w:r>
      <w:r>
        <w:rPr>
          <w:rFonts w:hAnsi="宋体" w:eastAsia="Times New Roman"/>
          <w:color w:val="auto"/>
          <w:kern w:val="0"/>
          <w:sz w:val="24"/>
          <w:lang w:val="zh-CN" w:bidi="zh-CN"/>
        </w:rPr>
        <w:t>6</w:t>
      </w:r>
      <w:r>
        <w:rPr>
          <w:rFonts w:ascii="宋体" w:hAnsi="宋体"/>
          <w:color w:val="auto"/>
          <w:kern w:val="0"/>
          <w:sz w:val="24"/>
          <w:lang w:val="zh-CN" w:bidi="zh-CN"/>
        </w:rPr>
        <w:t>）通用合同条款；</w:t>
      </w:r>
    </w:p>
    <w:p w14:paraId="68A477C1">
      <w:pPr>
        <w:autoSpaceDE w:val="0"/>
        <w:autoSpaceDN w:val="0"/>
        <w:spacing w:before="132" w:line="240" w:lineRule="auto"/>
        <w:ind w:left="1041"/>
        <w:jc w:val="left"/>
        <w:rPr>
          <w:rFonts w:ascii="宋体" w:hAnsi="宋体"/>
          <w:color w:val="auto"/>
          <w:kern w:val="0"/>
          <w:sz w:val="24"/>
          <w:lang w:val="zh-CN" w:bidi="zh-CN"/>
        </w:rPr>
      </w:pPr>
      <w:r>
        <w:rPr>
          <w:rFonts w:ascii="宋体" w:hAnsi="宋体"/>
          <w:color w:val="auto"/>
          <w:kern w:val="0"/>
          <w:sz w:val="24"/>
          <w:lang w:val="zh-CN" w:bidi="zh-CN"/>
        </w:rPr>
        <w:t>（</w:t>
      </w:r>
      <w:r>
        <w:rPr>
          <w:rFonts w:hAnsi="宋体" w:eastAsia="Times New Roman"/>
          <w:color w:val="auto"/>
          <w:kern w:val="0"/>
          <w:sz w:val="24"/>
          <w:lang w:val="zh-CN" w:bidi="zh-CN"/>
        </w:rPr>
        <w:t>7</w:t>
      </w:r>
      <w:r>
        <w:rPr>
          <w:rFonts w:ascii="宋体" w:hAnsi="宋体"/>
          <w:color w:val="auto"/>
          <w:kern w:val="0"/>
          <w:sz w:val="24"/>
          <w:lang w:val="zh-CN" w:bidi="zh-CN"/>
        </w:rPr>
        <w:t>）工程量清单计量规则；</w:t>
      </w:r>
    </w:p>
    <w:p w14:paraId="65797064">
      <w:pPr>
        <w:autoSpaceDE w:val="0"/>
        <w:autoSpaceDN w:val="0"/>
        <w:spacing w:before="134" w:line="240" w:lineRule="auto"/>
        <w:ind w:left="1041"/>
        <w:jc w:val="left"/>
        <w:rPr>
          <w:rFonts w:ascii="宋体" w:hAnsi="宋体"/>
          <w:color w:val="auto"/>
          <w:kern w:val="0"/>
          <w:sz w:val="24"/>
          <w:lang w:val="zh-CN" w:bidi="zh-CN"/>
        </w:rPr>
      </w:pPr>
      <w:r>
        <w:rPr>
          <w:rFonts w:ascii="宋体" w:hAnsi="宋体"/>
          <w:color w:val="auto"/>
          <w:kern w:val="0"/>
          <w:sz w:val="24"/>
          <w:lang w:val="zh-CN" w:bidi="zh-CN"/>
        </w:rPr>
        <w:t>（</w:t>
      </w:r>
      <w:r>
        <w:rPr>
          <w:rFonts w:hAnsi="宋体" w:eastAsia="Times New Roman"/>
          <w:color w:val="auto"/>
          <w:kern w:val="0"/>
          <w:sz w:val="24"/>
          <w:lang w:val="zh-CN" w:bidi="zh-CN"/>
        </w:rPr>
        <w:t>8</w:t>
      </w:r>
      <w:r>
        <w:rPr>
          <w:rFonts w:ascii="宋体" w:hAnsi="宋体"/>
          <w:color w:val="auto"/>
          <w:kern w:val="0"/>
          <w:sz w:val="24"/>
          <w:lang w:val="zh-CN" w:bidi="zh-CN"/>
        </w:rPr>
        <w:t>）技术规范；</w:t>
      </w:r>
    </w:p>
    <w:p w14:paraId="27E5C784">
      <w:pPr>
        <w:autoSpaceDE w:val="0"/>
        <w:autoSpaceDN w:val="0"/>
        <w:spacing w:before="132" w:line="240" w:lineRule="auto"/>
        <w:ind w:left="1041"/>
        <w:jc w:val="left"/>
        <w:rPr>
          <w:rFonts w:ascii="宋体" w:hAnsi="宋体"/>
          <w:color w:val="auto"/>
          <w:kern w:val="0"/>
          <w:sz w:val="24"/>
          <w:lang w:val="zh-CN" w:bidi="zh-CN"/>
        </w:rPr>
      </w:pPr>
      <w:r>
        <w:rPr>
          <w:rFonts w:ascii="宋体" w:hAnsi="宋体"/>
          <w:color w:val="auto"/>
          <w:kern w:val="0"/>
          <w:sz w:val="24"/>
          <w:lang w:val="zh-CN" w:bidi="zh-CN"/>
        </w:rPr>
        <w:t>（</w:t>
      </w:r>
      <w:r>
        <w:rPr>
          <w:rFonts w:hAnsi="宋体" w:eastAsia="Times New Roman"/>
          <w:color w:val="auto"/>
          <w:kern w:val="0"/>
          <w:sz w:val="24"/>
          <w:lang w:val="zh-CN" w:bidi="zh-CN"/>
        </w:rPr>
        <w:t>9</w:t>
      </w:r>
      <w:r>
        <w:rPr>
          <w:rFonts w:ascii="宋体" w:hAnsi="宋体"/>
          <w:color w:val="auto"/>
          <w:kern w:val="0"/>
          <w:sz w:val="24"/>
          <w:lang w:val="zh-CN" w:bidi="zh-CN"/>
        </w:rPr>
        <w:t>）图纸</w:t>
      </w:r>
      <w:r>
        <w:rPr>
          <w:rFonts w:hint="eastAsia" w:ascii="宋体" w:hAnsi="宋体"/>
          <w:color w:val="auto"/>
          <w:kern w:val="0"/>
          <w:sz w:val="24"/>
          <w:lang w:val="zh-CN" w:bidi="zh-CN"/>
        </w:rPr>
        <w:t>（如有）</w:t>
      </w:r>
      <w:r>
        <w:rPr>
          <w:rFonts w:ascii="宋体" w:hAnsi="宋体"/>
          <w:color w:val="auto"/>
          <w:kern w:val="0"/>
          <w:sz w:val="24"/>
          <w:lang w:val="zh-CN" w:bidi="zh-CN"/>
        </w:rPr>
        <w:t>；</w:t>
      </w:r>
    </w:p>
    <w:p w14:paraId="786536BB">
      <w:pPr>
        <w:autoSpaceDE w:val="0"/>
        <w:autoSpaceDN w:val="0"/>
        <w:spacing w:before="131" w:line="240" w:lineRule="auto"/>
        <w:ind w:left="1041"/>
        <w:jc w:val="left"/>
        <w:rPr>
          <w:rFonts w:ascii="宋体" w:hAnsi="宋体"/>
          <w:color w:val="auto"/>
          <w:kern w:val="0"/>
          <w:sz w:val="24"/>
          <w:lang w:val="zh-CN" w:bidi="zh-CN"/>
        </w:rPr>
      </w:pPr>
      <w:r>
        <w:rPr>
          <w:rFonts w:ascii="宋体" w:hAnsi="宋体"/>
          <w:color w:val="auto"/>
          <w:kern w:val="0"/>
          <w:sz w:val="24"/>
          <w:lang w:val="zh-CN" w:bidi="zh-CN"/>
        </w:rPr>
        <w:t>（</w:t>
      </w:r>
      <w:r>
        <w:rPr>
          <w:rFonts w:hAnsi="宋体" w:eastAsia="Times New Roman"/>
          <w:color w:val="auto"/>
          <w:kern w:val="0"/>
          <w:sz w:val="24"/>
          <w:lang w:val="zh-CN" w:bidi="zh-CN"/>
        </w:rPr>
        <w:t>10</w:t>
      </w:r>
      <w:r>
        <w:rPr>
          <w:rFonts w:ascii="宋体" w:hAnsi="宋体"/>
          <w:color w:val="auto"/>
          <w:kern w:val="0"/>
          <w:sz w:val="24"/>
          <w:lang w:val="zh-CN" w:bidi="zh-CN"/>
        </w:rPr>
        <w:t>）已标价工程量清单；</w:t>
      </w:r>
    </w:p>
    <w:p w14:paraId="3420E19B">
      <w:pPr>
        <w:autoSpaceDE w:val="0"/>
        <w:autoSpaceDN w:val="0"/>
        <w:spacing w:before="135" w:line="240" w:lineRule="auto"/>
        <w:ind w:left="1041"/>
        <w:jc w:val="left"/>
        <w:rPr>
          <w:rFonts w:ascii="宋体" w:hAnsi="宋体"/>
          <w:color w:val="auto"/>
          <w:kern w:val="0"/>
          <w:sz w:val="24"/>
          <w:lang w:val="zh-CN" w:bidi="zh-CN"/>
        </w:rPr>
      </w:pPr>
      <w:r>
        <w:rPr>
          <w:rFonts w:ascii="宋体" w:hAnsi="宋体"/>
          <w:color w:val="auto"/>
          <w:kern w:val="0"/>
          <w:sz w:val="24"/>
          <w:lang w:val="zh-CN" w:bidi="zh-CN"/>
        </w:rPr>
        <w:t>（</w:t>
      </w:r>
      <w:r>
        <w:rPr>
          <w:rFonts w:hAnsi="宋体" w:eastAsia="Times New Roman"/>
          <w:color w:val="auto"/>
          <w:kern w:val="0"/>
          <w:sz w:val="24"/>
          <w:lang w:val="zh-CN" w:bidi="zh-CN"/>
        </w:rPr>
        <w:t>11</w:t>
      </w:r>
      <w:r>
        <w:rPr>
          <w:rFonts w:ascii="宋体" w:hAnsi="宋体"/>
          <w:color w:val="auto"/>
          <w:kern w:val="0"/>
          <w:sz w:val="24"/>
          <w:lang w:val="zh-CN" w:bidi="zh-CN"/>
        </w:rPr>
        <w:t>）承包人有关人员、设备投入的承诺及投标文件中的施工组织设计；</w:t>
      </w:r>
    </w:p>
    <w:p w14:paraId="24012B2B">
      <w:pPr>
        <w:autoSpaceDE w:val="0"/>
        <w:autoSpaceDN w:val="0"/>
        <w:spacing w:before="132" w:line="240" w:lineRule="auto"/>
        <w:ind w:left="1041"/>
        <w:jc w:val="left"/>
        <w:rPr>
          <w:rFonts w:ascii="宋体" w:hAnsi="宋体"/>
          <w:color w:val="auto"/>
          <w:kern w:val="0"/>
          <w:sz w:val="24"/>
          <w:lang w:val="zh-CN" w:bidi="zh-CN"/>
        </w:rPr>
      </w:pPr>
      <w:r>
        <w:rPr>
          <w:rFonts w:ascii="宋体" w:hAnsi="宋体"/>
          <w:color w:val="auto"/>
          <w:kern w:val="0"/>
          <w:sz w:val="24"/>
          <w:lang w:val="zh-CN" w:bidi="zh-CN"/>
        </w:rPr>
        <w:t>（</w:t>
      </w:r>
      <w:r>
        <w:rPr>
          <w:rFonts w:hAnsi="宋体" w:eastAsia="Times New Roman"/>
          <w:color w:val="auto"/>
          <w:kern w:val="0"/>
          <w:sz w:val="24"/>
          <w:lang w:val="zh-CN" w:bidi="zh-CN"/>
        </w:rPr>
        <w:t>12</w:t>
      </w:r>
      <w:r>
        <w:rPr>
          <w:rFonts w:ascii="宋体" w:hAnsi="宋体"/>
          <w:color w:val="auto"/>
          <w:kern w:val="0"/>
          <w:sz w:val="24"/>
          <w:lang w:val="zh-CN" w:bidi="zh-CN"/>
        </w:rPr>
        <w:t>）其他合同文件。</w:t>
      </w:r>
    </w:p>
    <w:p w14:paraId="4E5C19DF">
      <w:pPr>
        <w:autoSpaceDE w:val="0"/>
        <w:autoSpaceDN w:val="0"/>
        <w:spacing w:before="131" w:line="240" w:lineRule="auto"/>
        <w:ind w:left="424" w:right="427" w:firstLine="616"/>
        <w:jc w:val="left"/>
        <w:rPr>
          <w:rFonts w:ascii="宋体" w:hAnsi="宋体"/>
          <w:color w:val="auto"/>
          <w:kern w:val="0"/>
          <w:sz w:val="24"/>
          <w:lang w:val="zh-CN" w:bidi="zh-CN"/>
        </w:rPr>
      </w:pPr>
      <w:r>
        <w:rPr>
          <w:rFonts w:ascii="宋体" w:hAnsi="宋体"/>
          <w:color w:val="auto"/>
          <w:kern w:val="0"/>
          <w:sz w:val="24"/>
          <w:lang w:val="zh-CN" w:bidi="zh-CN"/>
        </w:rPr>
        <w:t>上述合同文件互相补充和解释。如果合同文件之间存在矛盾或不一致之处， 以上述文件的排列顺序在先者为准。</w:t>
      </w:r>
    </w:p>
    <w:p w14:paraId="5525B080">
      <w:pPr>
        <w:numPr>
          <w:ilvl w:val="3"/>
          <w:numId w:val="4"/>
        </w:numPr>
        <w:tabs>
          <w:tab w:val="left" w:pos="1344"/>
          <w:tab w:val="left" w:pos="2584"/>
          <w:tab w:val="left" w:pos="4144"/>
        </w:tabs>
        <w:autoSpaceDE w:val="0"/>
        <w:autoSpaceDN w:val="0"/>
        <w:spacing w:line="240" w:lineRule="auto"/>
        <w:ind w:right="415" w:firstLine="617"/>
        <w:jc w:val="left"/>
        <w:rPr>
          <w:rFonts w:ascii="宋体" w:hAnsi="宋体"/>
          <w:color w:val="auto"/>
          <w:kern w:val="0"/>
          <w:sz w:val="24"/>
          <w:szCs w:val="22"/>
          <w:lang w:val="zh-CN" w:bidi="zh-CN"/>
        </w:rPr>
      </w:pPr>
      <w:r>
        <w:rPr>
          <w:rFonts w:ascii="宋体" w:hAnsi="宋体"/>
          <w:color w:val="auto"/>
          <w:kern w:val="0"/>
          <w:sz w:val="24"/>
          <w:szCs w:val="22"/>
          <w:lang w:val="zh-CN" w:bidi="zh-CN"/>
        </w:rPr>
        <w:t>根据工程量清单所列的预计数量和单价或总额价计算</w:t>
      </w:r>
      <w:r>
        <w:rPr>
          <w:rFonts w:ascii="宋体" w:hAnsi="宋体"/>
          <w:color w:val="auto"/>
          <w:spacing w:val="5"/>
          <w:kern w:val="0"/>
          <w:sz w:val="24"/>
          <w:szCs w:val="22"/>
          <w:lang w:val="zh-CN" w:bidi="zh-CN"/>
        </w:rPr>
        <w:t>的</w:t>
      </w:r>
      <w:r>
        <w:rPr>
          <w:rFonts w:ascii="宋体" w:hAnsi="宋体"/>
          <w:color w:val="auto"/>
          <w:kern w:val="0"/>
          <w:sz w:val="24"/>
          <w:szCs w:val="22"/>
          <w:lang w:val="zh-CN" w:bidi="zh-CN"/>
        </w:rPr>
        <w:t>签约合同价：人民币（大写）</w:t>
      </w:r>
      <w:r>
        <w:rPr>
          <w:rFonts w:ascii="宋体" w:hAnsi="宋体"/>
          <w:color w:val="auto"/>
          <w:kern w:val="0"/>
          <w:sz w:val="24"/>
          <w:szCs w:val="22"/>
          <w:u w:val="single"/>
          <w:lang w:val="zh-CN" w:bidi="zh-CN"/>
        </w:rPr>
        <w:t xml:space="preserve"> </w:t>
      </w:r>
      <w:r>
        <w:rPr>
          <w:rFonts w:ascii="宋体" w:hAnsi="宋体"/>
          <w:color w:val="auto"/>
          <w:kern w:val="0"/>
          <w:sz w:val="24"/>
          <w:szCs w:val="22"/>
          <w:u w:val="single"/>
          <w:lang w:val="zh-CN" w:bidi="zh-CN"/>
        </w:rPr>
        <w:tab/>
      </w:r>
      <w:r>
        <w:rPr>
          <w:rFonts w:ascii="宋体" w:hAnsi="宋体"/>
          <w:color w:val="auto"/>
          <w:kern w:val="0"/>
          <w:sz w:val="24"/>
          <w:szCs w:val="22"/>
          <w:lang w:val="zh-CN" w:bidi="zh-CN"/>
        </w:rPr>
        <w:t>元（</w:t>
      </w:r>
      <w:r>
        <w:rPr>
          <w:rFonts w:eastAsia="Times New Roman"/>
          <w:color w:val="auto"/>
          <w:kern w:val="0"/>
          <w:sz w:val="24"/>
          <w:szCs w:val="22"/>
          <w:lang w:val="zh-CN" w:bidi="zh-CN"/>
        </w:rPr>
        <w:t>¥</w:t>
      </w:r>
      <w:r>
        <w:rPr>
          <w:rFonts w:eastAsia="Times New Roman"/>
          <w:color w:val="auto"/>
          <w:kern w:val="0"/>
          <w:sz w:val="24"/>
          <w:szCs w:val="22"/>
          <w:u w:val="single"/>
          <w:lang w:val="zh-CN" w:bidi="zh-CN"/>
        </w:rPr>
        <w:t xml:space="preserve"> </w:t>
      </w:r>
      <w:r>
        <w:rPr>
          <w:rFonts w:eastAsia="Times New Roman"/>
          <w:color w:val="auto"/>
          <w:kern w:val="0"/>
          <w:sz w:val="24"/>
          <w:szCs w:val="22"/>
          <w:u w:val="single"/>
          <w:lang w:val="zh-CN" w:bidi="zh-CN"/>
        </w:rPr>
        <w:tab/>
      </w:r>
      <w:r>
        <w:rPr>
          <w:rFonts w:ascii="宋体" w:hAnsi="宋体"/>
          <w:color w:val="auto"/>
          <w:spacing w:val="-120"/>
          <w:kern w:val="0"/>
          <w:sz w:val="24"/>
          <w:szCs w:val="22"/>
          <w:lang w:val="zh-CN" w:bidi="zh-CN"/>
        </w:rPr>
        <w:t>）</w:t>
      </w:r>
      <w:r>
        <w:rPr>
          <w:rFonts w:ascii="宋体" w:hAnsi="宋体"/>
          <w:color w:val="auto"/>
          <w:kern w:val="0"/>
          <w:sz w:val="24"/>
          <w:szCs w:val="22"/>
          <w:lang w:val="zh-CN" w:bidi="zh-CN"/>
        </w:rPr>
        <w:t>。或</w:t>
      </w:r>
      <w:r>
        <w:rPr>
          <w:rFonts w:hint="eastAsia" w:ascii="宋体" w:hAnsi="宋体"/>
          <w:color w:val="auto"/>
          <w:kern w:val="0"/>
          <w:sz w:val="24"/>
          <w:szCs w:val="22"/>
          <w:lang w:val="zh-CN" w:bidi="zh-CN"/>
        </w:rPr>
        <w:t>：</w:t>
      </w:r>
      <w:r>
        <w:rPr>
          <w:rFonts w:hint="eastAsia" w:ascii="宋体" w:hAnsi="宋体"/>
          <w:color w:val="auto"/>
          <w:kern w:val="0"/>
          <w:sz w:val="24"/>
          <w:szCs w:val="22"/>
          <w:u w:val="single"/>
          <w:lang w:val="zh-CN" w:bidi="zh-CN"/>
        </w:rPr>
        <w:t xml:space="preserve"> </w:t>
      </w:r>
      <w:r>
        <w:rPr>
          <w:rFonts w:ascii="宋体" w:hAnsi="宋体"/>
          <w:color w:val="auto"/>
          <w:kern w:val="0"/>
          <w:sz w:val="24"/>
          <w:szCs w:val="22"/>
          <w:u w:val="single"/>
          <w:lang w:val="zh-CN" w:bidi="zh-CN"/>
        </w:rPr>
        <w:t xml:space="preserve">                         </w:t>
      </w:r>
      <w:r>
        <w:rPr>
          <w:rFonts w:ascii="宋体" w:hAnsi="宋体"/>
          <w:color w:val="auto"/>
          <w:kern w:val="0"/>
          <w:sz w:val="24"/>
          <w:szCs w:val="22"/>
          <w:lang w:val="zh-CN" w:bidi="zh-CN"/>
        </w:rPr>
        <w:t xml:space="preserve"> </w:t>
      </w:r>
      <w:r>
        <w:rPr>
          <w:rFonts w:hint="eastAsia" w:ascii="宋体" w:hAnsi="宋体"/>
          <w:color w:val="auto"/>
          <w:kern w:val="0"/>
          <w:sz w:val="24"/>
          <w:szCs w:val="22"/>
          <w:lang w:val="zh-CN" w:bidi="zh-CN"/>
        </w:rPr>
        <w:t>。</w:t>
      </w:r>
    </w:p>
    <w:p w14:paraId="5A91D394">
      <w:pPr>
        <w:numPr>
          <w:ilvl w:val="3"/>
          <w:numId w:val="4"/>
        </w:numPr>
        <w:tabs>
          <w:tab w:val="left" w:pos="1342"/>
          <w:tab w:val="left" w:pos="4701"/>
          <w:tab w:val="left" w:pos="8782"/>
        </w:tabs>
        <w:autoSpaceDE w:val="0"/>
        <w:autoSpaceDN w:val="0"/>
        <w:spacing w:line="240" w:lineRule="auto"/>
        <w:ind w:firstLine="617"/>
        <w:jc w:val="left"/>
        <w:rPr>
          <w:rFonts w:ascii="宋体" w:hAnsi="宋体"/>
          <w:color w:val="auto"/>
          <w:kern w:val="0"/>
          <w:sz w:val="24"/>
          <w:szCs w:val="22"/>
          <w:lang w:val="zh-CN" w:bidi="zh-CN"/>
        </w:rPr>
      </w:pPr>
      <w:r>
        <w:rPr>
          <w:rFonts w:ascii="宋体" w:hAnsi="宋体"/>
          <w:color w:val="auto"/>
          <w:kern w:val="0"/>
          <w:sz w:val="24"/>
          <w:szCs w:val="22"/>
          <w:lang w:val="zh-CN" w:bidi="zh-CN"/>
        </w:rPr>
        <w:t>承包人项目经理：</w:t>
      </w:r>
      <w:r>
        <w:rPr>
          <w:rFonts w:ascii="宋体" w:hAnsi="宋体"/>
          <w:color w:val="auto"/>
          <w:kern w:val="0"/>
          <w:sz w:val="24"/>
          <w:szCs w:val="22"/>
          <w:u w:val="single"/>
          <w:lang w:val="zh-CN" w:bidi="zh-CN"/>
        </w:rPr>
        <w:t xml:space="preserve"> </w:t>
      </w:r>
      <w:r>
        <w:rPr>
          <w:rFonts w:ascii="宋体" w:hAnsi="宋体"/>
          <w:color w:val="auto"/>
          <w:kern w:val="0"/>
          <w:sz w:val="24"/>
          <w:szCs w:val="22"/>
          <w:u w:val="single"/>
          <w:lang w:val="zh-CN" w:bidi="zh-CN"/>
        </w:rPr>
        <w:tab/>
      </w:r>
      <w:r>
        <w:rPr>
          <w:rFonts w:ascii="宋体" w:hAnsi="宋体"/>
          <w:color w:val="auto"/>
          <w:kern w:val="0"/>
          <w:sz w:val="24"/>
          <w:szCs w:val="22"/>
          <w:lang w:val="zh-CN" w:bidi="zh-CN"/>
        </w:rPr>
        <w:t>。承包人项目总工：</w:t>
      </w:r>
      <w:r>
        <w:rPr>
          <w:rFonts w:ascii="宋体" w:hAnsi="宋体"/>
          <w:color w:val="auto"/>
          <w:kern w:val="0"/>
          <w:sz w:val="24"/>
          <w:szCs w:val="22"/>
          <w:u w:val="single"/>
          <w:lang w:val="zh-CN" w:bidi="zh-CN"/>
        </w:rPr>
        <w:t xml:space="preserve"> </w:t>
      </w:r>
      <w:r>
        <w:rPr>
          <w:rFonts w:ascii="宋体" w:hAnsi="宋体"/>
          <w:color w:val="auto"/>
          <w:kern w:val="0"/>
          <w:sz w:val="24"/>
          <w:szCs w:val="22"/>
          <w:u w:val="single"/>
          <w:lang w:val="zh-CN" w:bidi="zh-CN"/>
        </w:rPr>
        <w:tab/>
      </w:r>
      <w:r>
        <w:rPr>
          <w:rFonts w:ascii="宋体" w:hAnsi="宋体"/>
          <w:color w:val="auto"/>
          <w:kern w:val="0"/>
          <w:sz w:val="24"/>
          <w:szCs w:val="22"/>
          <w:lang w:val="zh-CN" w:bidi="zh-CN"/>
        </w:rPr>
        <w:t>。</w:t>
      </w:r>
    </w:p>
    <w:p w14:paraId="20E98638">
      <w:pPr>
        <w:numPr>
          <w:ilvl w:val="3"/>
          <w:numId w:val="4"/>
        </w:numPr>
        <w:tabs>
          <w:tab w:val="left" w:pos="1342"/>
          <w:tab w:val="left" w:pos="4341"/>
          <w:tab w:val="left" w:pos="8662"/>
        </w:tabs>
        <w:autoSpaceDE w:val="0"/>
        <w:autoSpaceDN w:val="0"/>
        <w:spacing w:before="129" w:line="240" w:lineRule="auto"/>
        <w:ind w:firstLine="617"/>
        <w:jc w:val="left"/>
        <w:rPr>
          <w:rFonts w:ascii="宋体" w:hAnsi="宋体"/>
          <w:color w:val="auto"/>
          <w:kern w:val="0"/>
          <w:sz w:val="24"/>
          <w:szCs w:val="22"/>
          <w:lang w:val="zh-CN" w:bidi="zh-CN"/>
        </w:rPr>
      </w:pPr>
      <w:r>
        <w:rPr>
          <w:rFonts w:ascii="宋体" w:hAnsi="宋体"/>
          <w:color w:val="auto"/>
          <w:kern w:val="0"/>
          <w:sz w:val="24"/>
          <w:szCs w:val="22"/>
          <w:lang w:val="zh-CN" w:bidi="zh-CN"/>
        </w:rPr>
        <w:t>工程质量符合</w:t>
      </w:r>
      <w:r>
        <w:rPr>
          <w:rFonts w:ascii="宋体" w:hAnsi="宋体"/>
          <w:color w:val="auto"/>
          <w:kern w:val="0"/>
          <w:sz w:val="24"/>
          <w:szCs w:val="22"/>
          <w:u w:val="single"/>
          <w:lang w:val="zh-CN" w:bidi="zh-CN"/>
        </w:rPr>
        <w:t xml:space="preserve"> </w:t>
      </w:r>
      <w:r>
        <w:rPr>
          <w:rFonts w:ascii="宋体" w:hAnsi="宋体"/>
          <w:color w:val="auto"/>
          <w:kern w:val="0"/>
          <w:sz w:val="24"/>
          <w:szCs w:val="22"/>
          <w:u w:val="single"/>
          <w:lang w:val="zh-CN" w:bidi="zh-CN"/>
        </w:rPr>
        <w:tab/>
      </w:r>
      <w:r>
        <w:rPr>
          <w:rFonts w:ascii="宋体" w:hAnsi="宋体"/>
          <w:color w:val="auto"/>
          <w:kern w:val="0"/>
          <w:sz w:val="24"/>
          <w:szCs w:val="22"/>
          <w:lang w:val="zh-CN" w:bidi="zh-CN"/>
        </w:rPr>
        <w:t>标准。工程安全目标：</w:t>
      </w:r>
      <w:r>
        <w:rPr>
          <w:rFonts w:ascii="宋体" w:hAnsi="宋体"/>
          <w:color w:val="auto"/>
          <w:kern w:val="0"/>
          <w:sz w:val="24"/>
          <w:szCs w:val="22"/>
          <w:u w:val="single"/>
          <w:lang w:val="zh-CN" w:bidi="zh-CN"/>
        </w:rPr>
        <w:t xml:space="preserve"> </w:t>
      </w:r>
      <w:r>
        <w:rPr>
          <w:rFonts w:ascii="宋体" w:hAnsi="宋体"/>
          <w:color w:val="auto"/>
          <w:kern w:val="0"/>
          <w:sz w:val="24"/>
          <w:szCs w:val="22"/>
          <w:u w:val="single"/>
          <w:lang w:val="zh-CN" w:bidi="zh-CN"/>
        </w:rPr>
        <w:tab/>
      </w:r>
      <w:r>
        <w:rPr>
          <w:rFonts w:ascii="宋体" w:hAnsi="宋体"/>
          <w:color w:val="auto"/>
          <w:kern w:val="0"/>
          <w:sz w:val="24"/>
          <w:szCs w:val="22"/>
          <w:lang w:val="zh-CN" w:bidi="zh-CN"/>
        </w:rPr>
        <w:t>。</w:t>
      </w:r>
    </w:p>
    <w:p w14:paraId="5221D6BC">
      <w:pPr>
        <w:numPr>
          <w:ilvl w:val="3"/>
          <w:numId w:val="4"/>
        </w:numPr>
        <w:tabs>
          <w:tab w:val="left" w:pos="1342"/>
        </w:tabs>
        <w:autoSpaceDE w:val="0"/>
        <w:autoSpaceDN w:val="0"/>
        <w:spacing w:before="132" w:line="240" w:lineRule="auto"/>
        <w:ind w:firstLine="617"/>
        <w:jc w:val="left"/>
        <w:rPr>
          <w:rFonts w:ascii="宋体" w:hAnsi="宋体"/>
          <w:color w:val="auto"/>
          <w:kern w:val="0"/>
          <w:sz w:val="24"/>
          <w:szCs w:val="22"/>
          <w:lang w:val="zh-CN" w:bidi="zh-CN"/>
        </w:rPr>
      </w:pPr>
      <w:r>
        <w:rPr>
          <w:rFonts w:ascii="宋体" w:hAnsi="宋体"/>
          <w:color w:val="auto"/>
          <w:kern w:val="0"/>
          <w:sz w:val="24"/>
          <w:szCs w:val="22"/>
          <w:lang w:val="zh-CN" w:bidi="zh-CN"/>
        </w:rPr>
        <w:t>承包人承诺按合同约定承担工程的实施、完成及缺陷修复。</w:t>
      </w:r>
    </w:p>
    <w:p w14:paraId="3A5574A7">
      <w:pPr>
        <w:numPr>
          <w:ilvl w:val="3"/>
          <w:numId w:val="4"/>
        </w:numPr>
        <w:tabs>
          <w:tab w:val="left" w:pos="1342"/>
        </w:tabs>
        <w:autoSpaceDE w:val="0"/>
        <w:autoSpaceDN w:val="0"/>
        <w:spacing w:before="134" w:line="240" w:lineRule="auto"/>
        <w:ind w:firstLine="617"/>
        <w:jc w:val="left"/>
        <w:rPr>
          <w:rFonts w:ascii="宋体" w:hAnsi="宋体"/>
          <w:color w:val="auto"/>
          <w:kern w:val="0"/>
          <w:sz w:val="24"/>
          <w:szCs w:val="22"/>
          <w:lang w:val="zh-CN" w:bidi="zh-CN"/>
        </w:rPr>
      </w:pPr>
      <w:r>
        <w:rPr>
          <w:rFonts w:ascii="宋体" w:hAnsi="宋体"/>
          <w:color w:val="auto"/>
          <w:kern w:val="0"/>
          <w:sz w:val="24"/>
          <w:szCs w:val="22"/>
          <w:lang w:val="zh-CN" w:bidi="zh-CN"/>
        </w:rPr>
        <w:t>发包人承诺按合同约定的条件、时间和方式向承包人支付合同价款。</w:t>
      </w:r>
    </w:p>
    <w:p w14:paraId="46688CB4">
      <w:pPr>
        <w:autoSpaceDE w:val="0"/>
        <w:autoSpaceDN w:val="0"/>
        <w:spacing w:before="6" w:line="240" w:lineRule="auto"/>
        <w:jc w:val="left"/>
        <w:rPr>
          <w:rFonts w:ascii="宋体" w:hAnsi="宋体"/>
          <w:color w:val="auto"/>
          <w:kern w:val="0"/>
          <w:sz w:val="11"/>
          <w:lang w:val="zh-CN" w:bidi="zh-CN"/>
        </w:rPr>
      </w:pPr>
    </w:p>
    <w:p w14:paraId="138D9CA1">
      <w:pPr>
        <w:numPr>
          <w:ilvl w:val="3"/>
          <w:numId w:val="4"/>
        </w:numPr>
        <w:tabs>
          <w:tab w:val="left" w:pos="1342"/>
          <w:tab w:val="left" w:pos="5902"/>
        </w:tabs>
        <w:autoSpaceDE w:val="0"/>
        <w:autoSpaceDN w:val="0"/>
        <w:spacing w:before="74" w:line="240" w:lineRule="auto"/>
        <w:ind w:firstLine="617"/>
        <w:jc w:val="left"/>
        <w:rPr>
          <w:rFonts w:ascii="宋体" w:hAnsi="宋体"/>
          <w:color w:val="auto"/>
          <w:kern w:val="0"/>
          <w:sz w:val="24"/>
          <w:szCs w:val="22"/>
          <w:lang w:val="zh-CN" w:bidi="zh-CN"/>
        </w:rPr>
      </w:pPr>
      <w:r>
        <w:rPr>
          <w:rFonts w:ascii="宋体" w:hAnsi="宋体"/>
          <w:color w:val="auto"/>
          <w:kern w:val="0"/>
          <w:sz w:val="24"/>
          <w:szCs w:val="22"/>
          <w:lang w:val="zh-CN" w:bidi="zh-CN"/>
        </w:rPr>
        <w:t>承包人应按照监理人指示开工。</w:t>
      </w:r>
    </w:p>
    <w:p w14:paraId="4F751C7D">
      <w:pPr>
        <w:numPr>
          <w:ilvl w:val="3"/>
          <w:numId w:val="4"/>
        </w:numPr>
        <w:tabs>
          <w:tab w:val="left" w:pos="1344"/>
        </w:tabs>
        <w:autoSpaceDE w:val="0"/>
        <w:autoSpaceDN w:val="0"/>
        <w:spacing w:before="132" w:line="240" w:lineRule="auto"/>
        <w:ind w:right="382" w:firstLine="617"/>
        <w:jc w:val="left"/>
        <w:rPr>
          <w:rFonts w:ascii="宋体" w:hAnsi="宋体"/>
          <w:color w:val="auto"/>
          <w:kern w:val="0"/>
          <w:sz w:val="24"/>
          <w:szCs w:val="22"/>
          <w:lang w:val="zh-CN" w:bidi="zh-CN"/>
        </w:rPr>
      </w:pPr>
      <w:r>
        <w:rPr>
          <w:rFonts w:ascii="宋体" w:hAnsi="宋体"/>
          <w:color w:val="auto"/>
          <w:kern w:val="0"/>
          <w:sz w:val="24"/>
          <w:szCs w:val="22"/>
          <w:lang w:val="zh-CN" w:bidi="zh-CN"/>
        </w:rPr>
        <w:t>本协议书在承包人提供履约保证金后，由双方法定代表人或其委托代理人签署并加盖单位章后生效。全部工程完工后经交工验收合格、缺陷责任期满签发缺陷责任终止证书后失效。</w:t>
      </w:r>
    </w:p>
    <w:p w14:paraId="394E1DC3">
      <w:pPr>
        <w:numPr>
          <w:ilvl w:val="3"/>
          <w:numId w:val="4"/>
        </w:numPr>
        <w:tabs>
          <w:tab w:val="left" w:pos="1462"/>
          <w:tab w:val="left" w:pos="4581"/>
          <w:tab w:val="left" w:pos="8662"/>
        </w:tabs>
        <w:autoSpaceDE w:val="0"/>
        <w:autoSpaceDN w:val="0"/>
        <w:spacing w:line="240" w:lineRule="auto"/>
        <w:ind w:right="341" w:firstLine="617"/>
        <w:jc w:val="left"/>
        <w:rPr>
          <w:rFonts w:ascii="宋体" w:hAnsi="宋体"/>
          <w:color w:val="auto"/>
          <w:kern w:val="0"/>
          <w:sz w:val="24"/>
          <w:szCs w:val="22"/>
          <w:lang w:val="zh-CN" w:bidi="zh-CN"/>
        </w:rPr>
      </w:pPr>
      <w:r>
        <w:rPr>
          <w:rFonts w:ascii="宋体" w:hAnsi="宋体"/>
          <w:color w:val="auto"/>
          <w:kern w:val="0"/>
          <w:sz w:val="24"/>
          <w:szCs w:val="22"/>
          <w:lang w:val="zh-CN" w:bidi="zh-CN"/>
        </w:rPr>
        <w:t>本协议书正本二份、副本</w:t>
      </w:r>
      <w:r>
        <w:rPr>
          <w:rFonts w:hint="eastAsia" w:ascii="宋体" w:hAnsi="宋体"/>
          <w:color w:val="auto"/>
          <w:kern w:val="0"/>
          <w:sz w:val="24"/>
          <w:szCs w:val="22"/>
          <w:u w:val="single"/>
          <w:lang w:val="zh-CN" w:bidi="zh-CN"/>
        </w:rPr>
        <w:t>四</w:t>
      </w:r>
      <w:r>
        <w:rPr>
          <w:rFonts w:ascii="宋体" w:hAnsi="宋体"/>
          <w:color w:val="auto"/>
          <w:kern w:val="0"/>
          <w:sz w:val="24"/>
          <w:szCs w:val="22"/>
          <w:lang w:val="zh-CN" w:bidi="zh-CN"/>
        </w:rPr>
        <w:t>份，合同双方各执正本一份，副本</w:t>
      </w:r>
      <w:r>
        <w:rPr>
          <w:rFonts w:hint="eastAsia" w:ascii="宋体" w:hAnsi="宋体"/>
          <w:color w:val="auto"/>
          <w:kern w:val="0"/>
          <w:sz w:val="24"/>
          <w:szCs w:val="22"/>
          <w:u w:val="single"/>
          <w:lang w:val="zh-CN" w:bidi="zh-CN"/>
        </w:rPr>
        <w:t>二</w:t>
      </w:r>
      <w:r>
        <w:rPr>
          <w:rFonts w:ascii="宋体" w:hAnsi="宋体"/>
          <w:color w:val="auto"/>
          <w:kern w:val="0"/>
          <w:sz w:val="24"/>
          <w:szCs w:val="22"/>
          <w:lang w:val="zh-CN" w:bidi="zh-CN"/>
        </w:rPr>
        <w:t>份， 当正本与副本的内容不一致时，以正本为准。</w:t>
      </w:r>
    </w:p>
    <w:p w14:paraId="35CA18E7">
      <w:pPr>
        <w:numPr>
          <w:ilvl w:val="3"/>
          <w:numId w:val="4"/>
        </w:numPr>
        <w:tabs>
          <w:tab w:val="left" w:pos="1462"/>
          <w:tab w:val="left" w:pos="4581"/>
          <w:tab w:val="left" w:pos="8662"/>
        </w:tabs>
        <w:autoSpaceDE w:val="0"/>
        <w:autoSpaceDN w:val="0"/>
        <w:spacing w:line="240" w:lineRule="auto"/>
        <w:ind w:right="341" w:firstLine="617"/>
        <w:jc w:val="left"/>
        <w:rPr>
          <w:rFonts w:hint="eastAsia" w:ascii="宋体" w:hAnsi="宋体"/>
          <w:color w:val="auto"/>
          <w:kern w:val="0"/>
          <w:sz w:val="24"/>
          <w:szCs w:val="22"/>
          <w:lang w:val="zh-CN" w:bidi="zh-CN"/>
        </w:rPr>
      </w:pPr>
      <w:r>
        <w:rPr>
          <w:rFonts w:hint="eastAsia" w:ascii="宋体" w:hAnsi="宋体"/>
          <w:color w:val="auto"/>
          <w:kern w:val="0"/>
          <w:sz w:val="24"/>
          <w:szCs w:val="22"/>
          <w:lang w:val="zh-CN" w:bidi="zh-CN"/>
        </w:rPr>
        <w:t>本合同在履约过程中发生纠纷，发包人与承包人应及时协商解决。协商不成时，双方任何一方可依法向发包人所在地人民法院起诉，守约方为实现债权而发生的费用（包括但不限于诉讼费、律师代理费、差旅费、鉴定费、公证费、合理的调查费等）由违约方承担。</w:t>
      </w:r>
    </w:p>
    <w:p w14:paraId="5C88E534">
      <w:pPr>
        <w:numPr>
          <w:ilvl w:val="3"/>
          <w:numId w:val="4"/>
        </w:numPr>
        <w:tabs>
          <w:tab w:val="left" w:pos="1344"/>
        </w:tabs>
        <w:autoSpaceDE w:val="0"/>
        <w:autoSpaceDN w:val="0"/>
        <w:spacing w:before="132" w:line="240" w:lineRule="auto"/>
        <w:ind w:right="382" w:firstLine="617"/>
        <w:jc w:val="left"/>
        <w:rPr>
          <w:rFonts w:ascii="宋体" w:hAnsi="宋体"/>
          <w:color w:val="auto"/>
          <w:kern w:val="0"/>
          <w:sz w:val="24"/>
          <w:szCs w:val="22"/>
          <w:lang w:val="zh-CN" w:bidi="zh-CN"/>
        </w:rPr>
      </w:pPr>
      <w:r>
        <w:rPr>
          <w:rFonts w:ascii="宋体" w:hAnsi="宋体"/>
          <w:color w:val="auto"/>
          <w:kern w:val="0"/>
          <w:sz w:val="24"/>
          <w:szCs w:val="22"/>
          <w:lang w:val="zh-CN" w:bidi="zh-CN"/>
        </w:rPr>
        <w:t>合同未尽事宜，双方另行签订补充协议。补充协议是合同的组成部分。</w:t>
      </w:r>
    </w:p>
    <w:p w14:paraId="5E26FDAC">
      <w:pPr>
        <w:autoSpaceDE w:val="0"/>
        <w:autoSpaceDN w:val="0"/>
        <w:spacing w:line="240" w:lineRule="auto"/>
        <w:jc w:val="left"/>
        <w:rPr>
          <w:rFonts w:ascii="宋体" w:hAnsi="宋体"/>
          <w:color w:val="auto"/>
          <w:kern w:val="0"/>
          <w:sz w:val="26"/>
          <w:lang w:val="zh-CN" w:bidi="zh-CN"/>
        </w:rPr>
      </w:pPr>
    </w:p>
    <w:p w14:paraId="37799917">
      <w:pPr>
        <w:autoSpaceDE w:val="0"/>
        <w:autoSpaceDN w:val="0"/>
        <w:spacing w:before="7" w:line="240" w:lineRule="auto"/>
        <w:jc w:val="left"/>
        <w:rPr>
          <w:rFonts w:ascii="宋体" w:hAnsi="宋体"/>
          <w:color w:val="auto"/>
          <w:kern w:val="0"/>
          <w:sz w:val="18"/>
          <w:lang w:val="zh-CN" w:bidi="zh-CN"/>
        </w:rPr>
      </w:pPr>
    </w:p>
    <w:p w14:paraId="7B3D91D5">
      <w:pPr>
        <w:tabs>
          <w:tab w:val="left" w:pos="3151"/>
          <w:tab w:val="left" w:pos="4934"/>
          <w:tab w:val="left" w:pos="5174"/>
          <w:tab w:val="left" w:pos="7781"/>
        </w:tabs>
        <w:autoSpaceDE w:val="0"/>
        <w:autoSpaceDN w:val="0"/>
        <w:spacing w:line="240" w:lineRule="auto"/>
        <w:ind w:left="424" w:right="262"/>
        <w:jc w:val="left"/>
        <w:rPr>
          <w:rFonts w:ascii="宋体" w:hAnsi="宋体"/>
          <w:color w:val="auto"/>
          <w:kern w:val="0"/>
          <w:sz w:val="24"/>
          <w:lang w:val="zh-CN" w:bidi="zh-CN"/>
        </w:rPr>
      </w:pPr>
      <w:r>
        <w:rPr>
          <w:rFonts w:ascii="宋体" w:hAnsi="宋体"/>
          <w:color w:val="auto"/>
          <w:kern w:val="0"/>
          <w:sz w:val="24"/>
          <w:lang w:val="zh-CN" w:bidi="zh-CN"/>
        </w:rPr>
        <w:t>发包人</w:t>
      </w:r>
      <w:r>
        <w:rPr>
          <w:rFonts w:ascii="宋体" w:hAnsi="宋体"/>
          <w:color w:val="auto"/>
          <w:spacing w:val="-17"/>
          <w:kern w:val="0"/>
          <w:sz w:val="24"/>
          <w:lang w:val="zh-CN" w:bidi="zh-CN"/>
        </w:rPr>
        <w:t>：</w:t>
      </w:r>
      <w:r>
        <w:rPr>
          <w:rFonts w:ascii="宋体" w:hAnsi="宋体"/>
          <w:color w:val="auto"/>
          <w:spacing w:val="-17"/>
          <w:kern w:val="0"/>
          <w:sz w:val="24"/>
          <w:u w:val="single"/>
          <w:lang w:val="zh-CN" w:bidi="zh-CN"/>
        </w:rPr>
        <w:t xml:space="preserve"> </w:t>
      </w:r>
      <w:r>
        <w:rPr>
          <w:rFonts w:ascii="宋体" w:hAnsi="宋体"/>
          <w:color w:val="auto"/>
          <w:spacing w:val="-17"/>
          <w:kern w:val="0"/>
          <w:sz w:val="24"/>
          <w:u w:val="single"/>
          <w:lang w:val="zh-CN" w:bidi="zh-CN"/>
        </w:rPr>
        <w:tab/>
      </w:r>
      <w:r>
        <w:rPr>
          <w:rFonts w:ascii="宋体" w:hAnsi="宋体"/>
          <w:color w:val="auto"/>
          <w:kern w:val="0"/>
          <w:sz w:val="24"/>
          <w:lang w:val="zh-CN" w:bidi="zh-CN"/>
        </w:rPr>
        <w:t>（盖单位章）</w:t>
      </w:r>
      <w:r>
        <w:rPr>
          <w:rFonts w:ascii="宋体" w:hAnsi="宋体"/>
          <w:color w:val="auto"/>
          <w:kern w:val="0"/>
          <w:sz w:val="24"/>
          <w:lang w:val="zh-CN" w:bidi="zh-CN"/>
        </w:rPr>
        <w:tab/>
      </w:r>
      <w:r>
        <w:rPr>
          <w:rFonts w:ascii="宋体" w:hAnsi="宋体"/>
          <w:color w:val="auto"/>
          <w:kern w:val="0"/>
          <w:sz w:val="24"/>
          <w:lang w:val="zh-CN" w:bidi="zh-CN"/>
        </w:rPr>
        <w:tab/>
      </w:r>
      <w:r>
        <w:rPr>
          <w:rFonts w:ascii="宋体" w:hAnsi="宋体"/>
          <w:color w:val="auto"/>
          <w:kern w:val="0"/>
          <w:sz w:val="24"/>
          <w:lang w:val="zh-CN" w:bidi="zh-CN"/>
        </w:rPr>
        <w:t>承包人</w:t>
      </w:r>
      <w:r>
        <w:rPr>
          <w:rFonts w:ascii="宋体" w:hAnsi="宋体"/>
          <w:color w:val="auto"/>
          <w:spacing w:val="-17"/>
          <w:kern w:val="0"/>
          <w:sz w:val="24"/>
          <w:lang w:val="zh-CN" w:bidi="zh-CN"/>
        </w:rPr>
        <w:t>：</w:t>
      </w:r>
      <w:r>
        <w:rPr>
          <w:rFonts w:ascii="宋体" w:hAnsi="宋体"/>
          <w:color w:val="auto"/>
          <w:spacing w:val="-17"/>
          <w:kern w:val="0"/>
          <w:sz w:val="24"/>
          <w:u w:val="single"/>
          <w:lang w:val="zh-CN" w:bidi="zh-CN"/>
        </w:rPr>
        <w:t xml:space="preserve"> </w:t>
      </w:r>
      <w:r>
        <w:rPr>
          <w:rFonts w:ascii="宋体" w:hAnsi="宋体"/>
          <w:color w:val="auto"/>
          <w:spacing w:val="-17"/>
          <w:kern w:val="0"/>
          <w:sz w:val="24"/>
          <w:u w:val="single"/>
          <w:lang w:val="zh-CN" w:bidi="zh-CN"/>
        </w:rPr>
        <w:tab/>
      </w:r>
      <w:r>
        <w:rPr>
          <w:rFonts w:ascii="宋体" w:hAnsi="宋体"/>
          <w:color w:val="auto"/>
          <w:kern w:val="0"/>
          <w:sz w:val="24"/>
          <w:lang w:val="zh-CN" w:bidi="zh-CN"/>
        </w:rPr>
        <w:t>（盖单位章） 法定代表人或其委托代理人</w:t>
      </w:r>
      <w:r>
        <w:rPr>
          <w:rFonts w:ascii="宋体" w:hAnsi="宋体"/>
          <w:color w:val="auto"/>
          <w:spacing w:val="-17"/>
          <w:kern w:val="0"/>
          <w:sz w:val="24"/>
          <w:lang w:val="zh-CN" w:bidi="zh-CN"/>
        </w:rPr>
        <w:t>：</w:t>
      </w:r>
      <w:r>
        <w:rPr>
          <w:rFonts w:ascii="宋体" w:hAnsi="宋体"/>
          <w:color w:val="auto"/>
          <w:spacing w:val="-17"/>
          <w:kern w:val="0"/>
          <w:sz w:val="24"/>
          <w:u w:val="single"/>
          <w:lang w:val="zh-CN" w:bidi="zh-CN"/>
        </w:rPr>
        <w:t xml:space="preserve"> </w:t>
      </w:r>
      <w:r>
        <w:rPr>
          <w:rFonts w:ascii="宋体" w:hAnsi="宋体"/>
          <w:color w:val="auto"/>
          <w:kern w:val="0"/>
          <w:sz w:val="24"/>
          <w:u w:val="single"/>
          <w:lang w:val="zh-CN" w:bidi="zh-CN"/>
        </w:rPr>
        <w:t xml:space="preserve"> </w:t>
      </w:r>
      <w:r>
        <w:rPr>
          <w:rFonts w:ascii="宋体" w:hAnsi="宋体"/>
          <w:color w:val="auto"/>
          <w:kern w:val="0"/>
          <w:sz w:val="24"/>
          <w:lang w:val="zh-CN" w:bidi="zh-CN"/>
        </w:rPr>
        <w:t>（签字）</w:t>
      </w:r>
      <w:r>
        <w:rPr>
          <w:rFonts w:ascii="宋体" w:hAnsi="宋体"/>
          <w:color w:val="auto"/>
          <w:kern w:val="0"/>
          <w:sz w:val="24"/>
          <w:lang w:val="zh-CN" w:bidi="zh-CN"/>
        </w:rPr>
        <w:tab/>
      </w:r>
      <w:r>
        <w:rPr>
          <w:rFonts w:ascii="宋体" w:hAnsi="宋体"/>
          <w:color w:val="auto"/>
          <w:kern w:val="0"/>
          <w:sz w:val="24"/>
          <w:lang w:val="zh-CN" w:bidi="zh-CN"/>
        </w:rPr>
        <w:t>法定代表人或其委托代理人</w:t>
      </w:r>
      <w:r>
        <w:rPr>
          <w:rFonts w:ascii="宋体" w:hAnsi="宋体"/>
          <w:color w:val="auto"/>
          <w:spacing w:val="-16"/>
          <w:kern w:val="0"/>
          <w:sz w:val="24"/>
          <w:lang w:val="zh-CN" w:bidi="zh-CN"/>
        </w:rPr>
        <w:t>：</w:t>
      </w:r>
      <w:r>
        <w:rPr>
          <w:rFonts w:ascii="宋体" w:hAnsi="宋体"/>
          <w:color w:val="auto"/>
          <w:spacing w:val="-1"/>
          <w:kern w:val="0"/>
          <w:sz w:val="24"/>
          <w:u w:val="single"/>
          <w:lang w:val="zh-CN" w:bidi="zh-CN"/>
        </w:rPr>
        <w:t xml:space="preserve"> </w:t>
      </w:r>
      <w:r>
        <w:rPr>
          <w:rFonts w:ascii="宋体" w:hAnsi="宋体"/>
          <w:color w:val="auto"/>
          <w:kern w:val="0"/>
          <w:sz w:val="24"/>
          <w:lang w:val="zh-CN" w:bidi="zh-CN"/>
        </w:rPr>
        <w:t>（签字）</w:t>
      </w:r>
    </w:p>
    <w:p w14:paraId="194678D5">
      <w:pPr>
        <w:spacing w:line="240" w:lineRule="auto"/>
        <w:ind w:firstLine="480" w:firstLineChars="200"/>
        <w:rPr>
          <w:rFonts w:hAnsi="宋体" w:eastAsia="Times New Roman"/>
          <w:color w:val="auto"/>
          <w:kern w:val="0"/>
          <w:sz w:val="24"/>
          <w:u w:val="single"/>
          <w:lang w:val="zh-CN" w:bidi="zh-CN"/>
        </w:rPr>
      </w:pPr>
      <w:r>
        <w:rPr>
          <w:rFonts w:hAnsi="宋体" w:eastAsia="Times New Roman"/>
          <w:color w:val="auto"/>
          <w:kern w:val="0"/>
          <w:sz w:val="24"/>
          <w:u w:val="single"/>
          <w:lang w:val="zh-CN" w:bidi="zh-CN"/>
        </w:rPr>
        <w:t xml:space="preserve"> </w:t>
      </w:r>
      <w:r>
        <w:rPr>
          <w:rFonts w:hAnsi="宋体" w:eastAsia="Times New Roman"/>
          <w:color w:val="auto"/>
          <w:kern w:val="0"/>
          <w:sz w:val="24"/>
          <w:u w:val="single"/>
          <w:lang w:val="zh-CN" w:bidi="zh-CN"/>
        </w:rPr>
        <w:tab/>
      </w:r>
      <w:r>
        <w:rPr>
          <w:rFonts w:ascii="宋体" w:hAnsi="宋体"/>
          <w:color w:val="auto"/>
          <w:kern w:val="0"/>
          <w:sz w:val="24"/>
          <w:lang w:val="zh-CN" w:bidi="zh-CN"/>
        </w:rPr>
        <w:t>年</w:t>
      </w:r>
      <w:r>
        <w:rPr>
          <w:rFonts w:ascii="宋体" w:hAnsi="宋体"/>
          <w:color w:val="auto"/>
          <w:kern w:val="0"/>
          <w:sz w:val="24"/>
          <w:u w:val="single"/>
          <w:lang w:val="zh-CN" w:bidi="zh-CN"/>
        </w:rPr>
        <w:t xml:space="preserve"> </w:t>
      </w:r>
      <w:r>
        <w:rPr>
          <w:rFonts w:ascii="宋体" w:hAnsi="宋体"/>
          <w:color w:val="auto"/>
          <w:kern w:val="0"/>
          <w:sz w:val="24"/>
          <w:u w:val="single"/>
          <w:lang w:val="zh-CN" w:bidi="zh-CN"/>
        </w:rPr>
        <w:tab/>
      </w:r>
      <w:r>
        <w:rPr>
          <w:rFonts w:ascii="宋体" w:hAnsi="宋体"/>
          <w:color w:val="auto"/>
          <w:kern w:val="0"/>
          <w:sz w:val="24"/>
          <w:lang w:val="zh-CN" w:bidi="zh-CN"/>
        </w:rPr>
        <w:t>月</w:t>
      </w:r>
      <w:r>
        <w:rPr>
          <w:rFonts w:ascii="宋体" w:hAnsi="宋体"/>
          <w:color w:val="auto"/>
          <w:kern w:val="0"/>
          <w:sz w:val="24"/>
          <w:u w:val="single"/>
          <w:lang w:val="zh-CN" w:bidi="zh-CN"/>
        </w:rPr>
        <w:t xml:space="preserve"> </w:t>
      </w:r>
      <w:r>
        <w:rPr>
          <w:rFonts w:ascii="宋体" w:hAnsi="宋体"/>
          <w:color w:val="auto"/>
          <w:kern w:val="0"/>
          <w:sz w:val="24"/>
          <w:u w:val="single"/>
          <w:lang w:val="zh-CN" w:bidi="zh-CN"/>
        </w:rPr>
        <w:tab/>
      </w:r>
      <w:r>
        <w:rPr>
          <w:rFonts w:ascii="宋体" w:hAnsi="宋体"/>
          <w:color w:val="auto"/>
          <w:kern w:val="0"/>
          <w:sz w:val="24"/>
          <w:lang w:val="zh-CN" w:bidi="zh-CN"/>
        </w:rPr>
        <w:t>日</w:t>
      </w:r>
      <w:r>
        <w:rPr>
          <w:rFonts w:ascii="宋体" w:hAnsi="宋体"/>
          <w:color w:val="auto"/>
          <w:kern w:val="0"/>
          <w:sz w:val="24"/>
          <w:lang w:val="zh-CN" w:bidi="zh-CN"/>
        </w:rPr>
        <w:tab/>
      </w:r>
      <w:r>
        <w:rPr>
          <w:rFonts w:ascii="宋体" w:hAnsi="宋体"/>
          <w:color w:val="auto"/>
          <w:kern w:val="0"/>
          <w:sz w:val="24"/>
          <w:u w:val="single"/>
          <w:lang w:val="zh-CN" w:bidi="zh-CN"/>
        </w:rPr>
        <w:t xml:space="preserve"> </w:t>
      </w:r>
      <w:r>
        <w:rPr>
          <w:rFonts w:ascii="宋体" w:hAnsi="宋体"/>
          <w:color w:val="auto"/>
          <w:kern w:val="0"/>
          <w:sz w:val="24"/>
          <w:u w:val="single"/>
          <w:lang w:val="zh-CN" w:bidi="zh-CN"/>
        </w:rPr>
        <w:tab/>
      </w:r>
      <w:r>
        <w:rPr>
          <w:rFonts w:ascii="宋体" w:hAnsi="宋体"/>
          <w:color w:val="auto"/>
          <w:kern w:val="0"/>
          <w:sz w:val="24"/>
          <w:lang w:val="zh-CN" w:bidi="zh-CN"/>
        </w:rPr>
        <w:t>年</w:t>
      </w:r>
      <w:r>
        <w:rPr>
          <w:rFonts w:ascii="宋体" w:hAnsi="宋体"/>
          <w:color w:val="auto"/>
          <w:kern w:val="0"/>
          <w:sz w:val="24"/>
          <w:u w:val="single"/>
          <w:lang w:val="zh-CN" w:bidi="zh-CN"/>
        </w:rPr>
        <w:t xml:space="preserve"> </w:t>
      </w:r>
      <w:r>
        <w:rPr>
          <w:rFonts w:ascii="宋体" w:hAnsi="宋体"/>
          <w:color w:val="auto"/>
          <w:kern w:val="0"/>
          <w:sz w:val="24"/>
          <w:u w:val="single"/>
          <w:lang w:val="zh-CN" w:bidi="zh-CN"/>
        </w:rPr>
        <w:tab/>
      </w:r>
      <w:r>
        <w:rPr>
          <w:rFonts w:ascii="宋体" w:hAnsi="宋体"/>
          <w:color w:val="auto"/>
          <w:kern w:val="0"/>
          <w:sz w:val="24"/>
          <w:lang w:val="zh-CN" w:bidi="zh-CN"/>
        </w:rPr>
        <w:t>月</w:t>
      </w:r>
      <w:r>
        <w:rPr>
          <w:rFonts w:ascii="宋体" w:hAnsi="宋体"/>
          <w:color w:val="auto"/>
          <w:kern w:val="0"/>
          <w:sz w:val="24"/>
          <w:u w:val="single"/>
          <w:lang w:val="zh-CN" w:bidi="zh-CN"/>
        </w:rPr>
        <w:t xml:space="preserve"> </w:t>
      </w:r>
      <w:r>
        <w:rPr>
          <w:rFonts w:ascii="宋体" w:hAnsi="宋体"/>
          <w:color w:val="auto"/>
          <w:kern w:val="0"/>
          <w:sz w:val="24"/>
          <w:u w:val="single"/>
          <w:lang w:val="zh-CN" w:bidi="zh-CN"/>
        </w:rPr>
        <w:tab/>
      </w:r>
      <w:r>
        <w:rPr>
          <w:rFonts w:ascii="宋体" w:hAnsi="宋体"/>
          <w:color w:val="auto"/>
          <w:kern w:val="0"/>
          <w:sz w:val="24"/>
          <w:lang w:val="zh-CN" w:bidi="zh-CN"/>
        </w:rPr>
        <w:t>日</w:t>
      </w:r>
    </w:p>
    <w:p w14:paraId="45E26610">
      <w:pPr>
        <w:spacing w:line="240" w:lineRule="auto"/>
        <w:ind w:firstLine="480" w:firstLineChars="200"/>
        <w:rPr>
          <w:rFonts w:hint="eastAsia" w:ascii="宋体" w:hAnsi="宋体"/>
          <w:color w:val="auto"/>
          <w:sz w:val="24"/>
          <w:shd w:val="clear" w:color="auto" w:fill="FFFFFF"/>
          <w:lang w:val="zh-CN" w:bidi="zh-CN"/>
        </w:rPr>
      </w:pPr>
    </w:p>
    <w:p w14:paraId="4DAB4131">
      <w:pPr>
        <w:keepNext/>
        <w:keepLines/>
        <w:spacing w:before="120" w:after="120" w:line="240" w:lineRule="auto"/>
        <w:jc w:val="left"/>
        <w:outlineLvl w:val="3"/>
        <w:rPr>
          <w:rFonts w:ascii="宋体" w:hAnsi="宋体"/>
          <w:color w:val="auto"/>
          <w:sz w:val="24"/>
          <w:shd w:val="clear" w:color="auto" w:fill="FFFFFF"/>
          <w:lang w:val="zh-CN" w:bidi="zh-CN"/>
        </w:rPr>
      </w:pPr>
      <w:bookmarkStart w:id="142" w:name="_Toc394929417"/>
      <w:bookmarkEnd w:id="142"/>
      <w:bookmarkStart w:id="143" w:name="_Toc98873425"/>
      <w:bookmarkEnd w:id="143"/>
      <w:r>
        <w:rPr>
          <w:rFonts w:ascii="宋体" w:hAnsi="宋体"/>
          <w:color w:val="auto"/>
          <w:sz w:val="24"/>
          <w:shd w:val="clear" w:color="auto" w:fill="FFFFFF"/>
          <w:lang w:val="zh-CN" w:bidi="zh-CN"/>
        </w:rPr>
        <w:br w:type="page"/>
      </w:r>
      <w:r>
        <w:rPr>
          <w:rFonts w:hint="eastAsia" w:ascii="Cambria" w:hAnsi="Cambria" w:eastAsia="黑体"/>
          <w:b/>
          <w:bCs/>
          <w:color w:val="auto"/>
          <w:sz w:val="28"/>
          <w:szCs w:val="28"/>
        </w:rPr>
        <w:t>附件二  廉政合同</w:t>
      </w:r>
    </w:p>
    <w:p w14:paraId="5176DF68">
      <w:pPr>
        <w:spacing w:after="386" w:line="240" w:lineRule="auto"/>
        <w:ind w:left="160" w:firstLine="420"/>
        <w:jc w:val="center"/>
        <w:rPr>
          <w:rFonts w:hint="eastAsia" w:ascii="宋体" w:hAnsi="宋体"/>
          <w:color w:val="auto"/>
          <w:spacing w:val="150"/>
          <w:kern w:val="0"/>
          <w:sz w:val="22"/>
          <w:szCs w:val="22"/>
          <w:shd w:val="clear" w:color="auto" w:fill="FFFFFF"/>
          <w:lang w:val="zh-CN"/>
        </w:rPr>
      </w:pPr>
      <w:r>
        <w:rPr>
          <w:rFonts w:hint="eastAsia" w:ascii="宋体" w:hAnsi="宋体"/>
          <w:color w:val="auto"/>
          <w:spacing w:val="150"/>
          <w:kern w:val="0"/>
          <w:sz w:val="22"/>
          <w:szCs w:val="22"/>
          <w:shd w:val="clear" w:color="auto" w:fill="FFFFFF"/>
          <w:lang w:val="zh-CN"/>
        </w:rPr>
        <w:t>廉政合同</w:t>
      </w:r>
    </w:p>
    <w:p w14:paraId="628E4642">
      <w:pPr>
        <w:spacing w:line="240" w:lineRule="auto"/>
        <w:ind w:firstLine="440" w:firstLineChars="20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根据《关于在交通基础设施建设中加强廉政建设的若干意见》以及有关工程建</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设、廉政建设的规定，为做好工程建设中的党风廉政建设，保证工程建设高效优质，保证建设资金的安全和有效使用以及投资效益，</w:t>
      </w:r>
      <w:r>
        <w:rPr>
          <w:rFonts w:ascii="宋体" w:hAnsi="宋体"/>
          <w:color w:val="auto"/>
          <w:kern w:val="0"/>
          <w:sz w:val="22"/>
          <w:szCs w:val="22"/>
          <w:shd w:val="clear" w:color="auto" w:fill="FFFFFF"/>
          <w:lang w:val="zh-CN" w:bidi="zh-CN"/>
        </w:rPr>
        <w:tab/>
      </w:r>
      <w:r>
        <w:rPr>
          <w:rFonts w:ascii="宋体" w:hAnsi="宋体"/>
          <w:color w:val="auto"/>
          <w:kern w:val="0"/>
          <w:sz w:val="22"/>
          <w:szCs w:val="22"/>
          <w:shd w:val="clear" w:color="auto" w:fill="FFFFFF"/>
          <w:lang w:val="zh-CN" w:bidi="zh-CN"/>
        </w:rPr>
        <w:t>(</w:t>
      </w:r>
      <w:r>
        <w:rPr>
          <w:rFonts w:hint="eastAsia" w:ascii="宋体" w:hAnsi="宋体"/>
          <w:color w:val="auto"/>
          <w:kern w:val="0"/>
          <w:sz w:val="22"/>
          <w:szCs w:val="22"/>
          <w:shd w:val="clear" w:color="auto" w:fill="FFFFFF"/>
          <w:lang w:val="zh-CN" w:bidi="zh-CN"/>
        </w:rPr>
        <w:t>项目名称）的项目法人</w:t>
      </w:r>
      <w:r>
        <w:rPr>
          <w:rFonts w:ascii="宋体" w:hAnsi="宋体"/>
          <w:color w:val="auto"/>
          <w:kern w:val="0"/>
          <w:sz w:val="22"/>
          <w:szCs w:val="22"/>
          <w:shd w:val="clear" w:color="auto" w:fill="FFFFFF"/>
          <w:lang w:val="zh-CN" w:bidi="zh-CN"/>
        </w:rPr>
        <w:tab/>
      </w:r>
      <w:r>
        <w:rPr>
          <w:rFonts w:ascii="宋体" w:hAnsi="宋体"/>
          <w:color w:val="auto"/>
          <w:kern w:val="0"/>
          <w:sz w:val="22"/>
          <w:szCs w:val="22"/>
          <w:shd w:val="clear" w:color="auto" w:fill="FFFFFF"/>
          <w:lang w:val="zh-CN" w:bidi="zh-CN"/>
        </w:rPr>
        <w:t>(</w:t>
      </w:r>
      <w:r>
        <w:rPr>
          <w:rFonts w:hint="eastAsia" w:ascii="宋体" w:hAnsi="宋体"/>
          <w:color w:val="auto"/>
          <w:kern w:val="0"/>
          <w:sz w:val="22"/>
          <w:szCs w:val="22"/>
          <w:shd w:val="clear" w:color="auto" w:fill="FFFFFF"/>
          <w:lang w:val="zh-CN" w:bidi="zh-CN"/>
        </w:rPr>
        <w:t>项目法人名称，以下简称“发包人”）与该项目</w:t>
      </w:r>
      <w:r>
        <w:rPr>
          <w:rFonts w:ascii="宋体" w:hAnsi="宋体"/>
          <w:color w:val="auto"/>
          <w:kern w:val="0"/>
          <w:sz w:val="22"/>
          <w:szCs w:val="22"/>
          <w:shd w:val="clear" w:color="auto" w:fill="FFFFFF"/>
          <w:lang w:val="zh-CN" w:bidi="zh-CN"/>
        </w:rPr>
        <w:tab/>
      </w:r>
      <w:r>
        <w:rPr>
          <w:rFonts w:hint="eastAsia" w:ascii="宋体" w:hAnsi="宋体"/>
          <w:color w:val="auto"/>
          <w:kern w:val="0"/>
          <w:sz w:val="22"/>
          <w:szCs w:val="22"/>
          <w:shd w:val="clear" w:color="auto" w:fill="FFFFFF"/>
          <w:lang w:val="zh-CN" w:bidi="zh-CN"/>
        </w:rPr>
        <w:t>标段的施工单位</w:t>
      </w:r>
      <w:r>
        <w:rPr>
          <w:rFonts w:ascii="宋体" w:hAnsi="宋体"/>
          <w:color w:val="auto"/>
          <w:kern w:val="0"/>
          <w:sz w:val="22"/>
          <w:szCs w:val="22"/>
          <w:shd w:val="clear" w:color="auto" w:fill="FFFFFF"/>
          <w:lang w:val="zh-CN" w:bidi="zh-CN"/>
        </w:rPr>
        <w:tab/>
      </w:r>
      <w:r>
        <w:rPr>
          <w:rFonts w:ascii="宋体" w:hAnsi="宋体"/>
          <w:color w:val="auto"/>
          <w:kern w:val="0"/>
          <w:sz w:val="22"/>
          <w:szCs w:val="22"/>
          <w:shd w:val="clear" w:color="auto" w:fill="FFFFFF"/>
          <w:lang w:val="zh-CN" w:bidi="zh-CN"/>
        </w:rPr>
        <w:t>(</w:t>
      </w:r>
      <w:r>
        <w:rPr>
          <w:rFonts w:hint="eastAsia" w:ascii="宋体" w:hAnsi="宋体"/>
          <w:color w:val="auto"/>
          <w:kern w:val="0"/>
          <w:sz w:val="22"/>
          <w:szCs w:val="22"/>
          <w:shd w:val="clear" w:color="auto" w:fill="FFFFFF"/>
          <w:lang w:val="zh-CN" w:bidi="zh-CN"/>
        </w:rPr>
        <w:t>施工单位名称，以下简称“承包人”</w:t>
      </w:r>
      <w:r>
        <w:rPr>
          <w:rFonts w:ascii="宋体" w:hAnsi="宋体"/>
          <w:color w:val="auto"/>
          <w:kern w:val="0"/>
          <w:sz w:val="22"/>
          <w:szCs w:val="22"/>
          <w:shd w:val="clear" w:color="auto" w:fill="FFFFFF"/>
          <w:lang w:val="zh-CN" w:bidi="zh-CN"/>
        </w:rPr>
        <w:t>)</w:t>
      </w:r>
      <w:r>
        <w:rPr>
          <w:rFonts w:hint="eastAsia" w:ascii="宋体" w:hAnsi="宋体"/>
          <w:color w:val="auto"/>
          <w:kern w:val="0"/>
          <w:sz w:val="22"/>
          <w:szCs w:val="22"/>
          <w:shd w:val="clear" w:color="auto" w:fill="FFFFFF"/>
          <w:lang w:val="zh-CN" w:bidi="zh-CN"/>
        </w:rPr>
        <w:t>，特订立如下合同。</w:t>
      </w:r>
    </w:p>
    <w:p w14:paraId="6F476942">
      <w:pPr>
        <w:keepNext/>
        <w:keepLines/>
        <w:numPr>
          <w:ilvl w:val="0"/>
          <w:numId w:val="5"/>
        </w:numPr>
        <w:tabs>
          <w:tab w:val="left" w:pos="1178"/>
        </w:tabs>
        <w:spacing w:line="240" w:lineRule="auto"/>
        <w:ind w:left="740" w:firstLine="442" w:firstLineChars="200"/>
        <w:outlineLvl w:val="7"/>
        <w:rPr>
          <w:rFonts w:hint="eastAsia" w:ascii="宋体" w:hAnsi="宋体"/>
          <w:b/>
          <w:bCs/>
          <w:color w:val="auto"/>
          <w:kern w:val="0"/>
          <w:sz w:val="22"/>
          <w:szCs w:val="22"/>
          <w:lang w:val="zh-CN" w:bidi="zh-CN"/>
        </w:rPr>
      </w:pPr>
      <w:bookmarkStart w:id="144" w:name="bookmark188"/>
      <w:bookmarkEnd w:id="144"/>
      <w:r>
        <w:rPr>
          <w:rFonts w:hint="eastAsia" w:ascii="宋体" w:hAnsi="宋体"/>
          <w:b/>
          <w:bCs/>
          <w:color w:val="auto"/>
          <w:kern w:val="0"/>
          <w:sz w:val="22"/>
          <w:szCs w:val="22"/>
          <w:lang w:val="zh-CN" w:bidi="zh-CN"/>
        </w:rPr>
        <w:t>发包人和承包人双方的权利和义务</w:t>
      </w:r>
    </w:p>
    <w:p w14:paraId="31B9DF63">
      <w:pPr>
        <w:numPr>
          <w:ilvl w:val="0"/>
          <w:numId w:val="6"/>
        </w:numPr>
        <w:tabs>
          <w:tab w:val="left" w:pos="1386"/>
        </w:tabs>
        <w:spacing w:line="240" w:lineRule="auto"/>
        <w:ind w:firstLine="440" w:firstLineChars="20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严格遵守党的政策规定和国家有关法律法规及交通运输部的有关规定。</w:t>
      </w:r>
    </w:p>
    <w:p w14:paraId="094EA1B9">
      <w:pPr>
        <w:numPr>
          <w:ilvl w:val="0"/>
          <w:numId w:val="6"/>
        </w:numPr>
        <w:tabs>
          <w:tab w:val="left" w:pos="1386"/>
        </w:tabs>
        <w:spacing w:line="240" w:lineRule="auto"/>
        <w:ind w:firstLine="440" w:firstLineChars="200"/>
        <w:rPr>
          <w:rFonts w:ascii="宋体" w:hAnsi="宋体"/>
          <w:color w:val="auto"/>
          <w:kern w:val="0"/>
          <w:sz w:val="22"/>
          <w:szCs w:val="22"/>
          <w:shd w:val="clear" w:color="auto" w:fill="FFFFFF"/>
          <w:lang w:val="zh-CN" w:bidi="zh-CN"/>
        </w:rPr>
      </w:pP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严格执行</w:t>
      </w:r>
      <w:r>
        <w:rPr>
          <w:rFonts w:ascii="宋体" w:hAnsi="宋体"/>
          <w:color w:val="auto"/>
          <w:kern w:val="0"/>
          <w:sz w:val="22"/>
          <w:szCs w:val="22"/>
          <w:shd w:val="clear" w:color="auto" w:fill="FFFFFF"/>
          <w:lang w:val="zh-CN" w:bidi="zh-CN"/>
        </w:rPr>
        <w:tab/>
      </w:r>
      <w:r>
        <w:rPr>
          <w:rFonts w:hint="eastAsia" w:ascii="宋体" w:hAnsi="宋体"/>
          <w:color w:val="auto"/>
          <w:kern w:val="0"/>
          <w:sz w:val="22"/>
          <w:szCs w:val="22"/>
          <w:u w:val="single"/>
          <w:shd w:val="clear" w:color="auto" w:fill="FFFFFF"/>
          <w:lang w:val="zh-CN" w:bidi="zh-CN"/>
        </w:rPr>
        <w:t xml:space="preserve">            </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项目名称）</w:t>
      </w:r>
      <w:r>
        <w:rPr>
          <w:rFonts w:ascii="宋体" w:hAnsi="宋体"/>
          <w:color w:val="auto"/>
          <w:kern w:val="0"/>
          <w:sz w:val="22"/>
          <w:szCs w:val="22"/>
          <w:shd w:val="clear" w:color="auto" w:fill="FFFFFF"/>
          <w:lang w:val="zh-CN" w:bidi="zh-CN"/>
        </w:rPr>
        <w:tab/>
      </w:r>
      <w:r>
        <w:rPr>
          <w:rFonts w:hint="eastAsia" w:ascii="宋体" w:hAnsi="宋体"/>
          <w:color w:val="auto"/>
          <w:kern w:val="0"/>
          <w:sz w:val="22"/>
          <w:szCs w:val="22"/>
          <w:shd w:val="clear" w:color="auto" w:fill="FFFFFF"/>
          <w:lang w:val="zh-CN" w:bidi="zh-CN"/>
        </w:rPr>
        <w:t>标段施工合同文件，自觉按合同办事。</w:t>
      </w:r>
    </w:p>
    <w:p w14:paraId="04F758F8">
      <w:pPr>
        <w:numPr>
          <w:ilvl w:val="0"/>
          <w:numId w:val="6"/>
        </w:numPr>
        <w:tabs>
          <w:tab w:val="left" w:pos="1386"/>
        </w:tabs>
        <w:spacing w:line="240" w:lineRule="auto"/>
        <w:ind w:firstLine="440" w:firstLineChars="20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双方的业务活动坚持公开、公正、诚信、透明的原则（法律认定的商业</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秘密和合同文件另有规定除外），不得损害国家和集体利益，不得违反工程建设管理</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规章制度。</w:t>
      </w:r>
    </w:p>
    <w:p w14:paraId="5DE67FA8">
      <w:pPr>
        <w:numPr>
          <w:ilvl w:val="0"/>
          <w:numId w:val="6"/>
        </w:numPr>
        <w:tabs>
          <w:tab w:val="left" w:pos="1386"/>
        </w:tabs>
        <w:spacing w:line="240" w:lineRule="auto"/>
        <w:ind w:firstLine="440" w:firstLineChars="20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建立健全廉政制度，开展廉政教育，设立廉政告示牌，公布举报电话，</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监督并认真查处违法违纪行为。</w:t>
      </w:r>
    </w:p>
    <w:p w14:paraId="210FE72F">
      <w:pPr>
        <w:numPr>
          <w:ilvl w:val="0"/>
          <w:numId w:val="6"/>
        </w:numPr>
        <w:tabs>
          <w:tab w:val="left" w:pos="1386"/>
        </w:tabs>
        <w:spacing w:line="240" w:lineRule="auto"/>
        <w:ind w:firstLine="440" w:firstLineChars="20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发现对方在业务活动中有违反廉政规定的行为，有及时提醒对方纠正的</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权利和义务。</w:t>
      </w:r>
    </w:p>
    <w:p w14:paraId="0E13E135">
      <w:pPr>
        <w:numPr>
          <w:ilvl w:val="0"/>
          <w:numId w:val="6"/>
        </w:numPr>
        <w:tabs>
          <w:tab w:val="left" w:pos="1386"/>
        </w:tabs>
        <w:spacing w:line="240" w:lineRule="auto"/>
        <w:ind w:firstLine="440" w:firstLineChars="20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发现对方严重违反本合同义务条款的行为，有向其上级有关部门举报、</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建议给予处理并要求告知处理结果的权利。</w:t>
      </w:r>
    </w:p>
    <w:p w14:paraId="1E4E0ED1">
      <w:pPr>
        <w:keepNext/>
        <w:keepLines/>
        <w:numPr>
          <w:ilvl w:val="0"/>
          <w:numId w:val="5"/>
        </w:numPr>
        <w:tabs>
          <w:tab w:val="left" w:pos="1178"/>
        </w:tabs>
        <w:spacing w:line="240" w:lineRule="auto"/>
        <w:ind w:left="740" w:firstLine="442" w:firstLineChars="200"/>
        <w:outlineLvl w:val="7"/>
        <w:rPr>
          <w:rFonts w:hint="eastAsia" w:ascii="宋体" w:hAnsi="宋体"/>
          <w:b/>
          <w:bCs/>
          <w:color w:val="auto"/>
          <w:kern w:val="0"/>
          <w:sz w:val="22"/>
          <w:szCs w:val="22"/>
          <w:lang w:val="zh-CN" w:bidi="zh-CN"/>
        </w:rPr>
      </w:pPr>
      <w:bookmarkStart w:id="145" w:name="bookmark189"/>
      <w:bookmarkEnd w:id="145"/>
      <w:r>
        <w:rPr>
          <w:rFonts w:hint="eastAsia" w:ascii="宋体" w:hAnsi="宋体"/>
          <w:b/>
          <w:bCs/>
          <w:color w:val="auto"/>
          <w:kern w:val="0"/>
          <w:sz w:val="22"/>
          <w:szCs w:val="22"/>
          <w:lang w:val="zh-CN" w:bidi="zh-CN"/>
        </w:rPr>
        <w:t>发包人的义务</w:t>
      </w:r>
    </w:p>
    <w:p w14:paraId="1E53AF9E">
      <w:pPr>
        <w:numPr>
          <w:ilvl w:val="0"/>
          <w:numId w:val="7"/>
        </w:numPr>
        <w:tabs>
          <w:tab w:val="left" w:pos="1251"/>
        </w:tabs>
        <w:spacing w:line="240" w:lineRule="auto"/>
        <w:ind w:firstLine="440" w:firstLineChars="20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发包人及其工作人员不得索要或接受承包人的礼金、有价证券和贵重物</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品，不得让承包人报销任何应由发包人或发包人工作人员个人支付的费用等。</w:t>
      </w:r>
    </w:p>
    <w:p w14:paraId="1A1D794F">
      <w:pPr>
        <w:numPr>
          <w:ilvl w:val="0"/>
          <w:numId w:val="7"/>
        </w:numPr>
        <w:tabs>
          <w:tab w:val="left" w:pos="1266"/>
        </w:tabs>
        <w:spacing w:line="240" w:lineRule="auto"/>
        <w:ind w:firstLine="440" w:firstLineChars="20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发包人工作人员不得参加承包人安排的超标准宴请和娱乐活动；不得接</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受承包人提供的通讯工具、交通工具和高档办公用品等。</w:t>
      </w:r>
    </w:p>
    <w:p w14:paraId="79500084">
      <w:pPr>
        <w:numPr>
          <w:ilvl w:val="0"/>
          <w:numId w:val="7"/>
        </w:numPr>
        <w:tabs>
          <w:tab w:val="left" w:pos="1268"/>
        </w:tabs>
        <w:spacing w:line="240" w:lineRule="auto"/>
        <w:ind w:firstLine="440" w:firstLineChars="20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发包人及其工作人员不得要求或者接受承包人为其住房装修、婚丧嫁娶</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活动、配偶子女的工作安排以及出国出境、旅游等提供方便等。</w:t>
      </w:r>
    </w:p>
    <w:p w14:paraId="111160A8">
      <w:pPr>
        <w:numPr>
          <w:ilvl w:val="0"/>
          <w:numId w:val="7"/>
        </w:numPr>
        <w:tabs>
          <w:tab w:val="left" w:pos="1270"/>
        </w:tabs>
        <w:spacing w:line="240" w:lineRule="auto"/>
        <w:ind w:firstLine="440" w:firstLineChars="20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发包人工作人员及其配偶、子女不得从事与发包人工程有关的材料设备</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供应、工程分包、劳务等经济活动等。</w:t>
      </w:r>
    </w:p>
    <w:p w14:paraId="3B6BD8F0">
      <w:pPr>
        <w:numPr>
          <w:ilvl w:val="0"/>
          <w:numId w:val="7"/>
        </w:numPr>
        <w:tabs>
          <w:tab w:val="left" w:pos="1268"/>
        </w:tabs>
        <w:spacing w:line="240" w:lineRule="auto"/>
        <w:ind w:firstLine="440" w:firstLineChars="20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发包人及其工作人员不得以任何理由向承包人推荐分包单位或推销材料，</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不得要求承包人购买合同规定外的材料和设备。</w:t>
      </w:r>
    </w:p>
    <w:p w14:paraId="4E4A158B">
      <w:pPr>
        <w:numPr>
          <w:ilvl w:val="0"/>
          <w:numId w:val="7"/>
        </w:numPr>
        <w:tabs>
          <w:tab w:val="left" w:pos="1268"/>
        </w:tabs>
        <w:spacing w:line="240" w:lineRule="auto"/>
        <w:ind w:firstLine="440" w:firstLineChars="20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发包人工作人员要秉公办事，不准营私舞弊，不准利用职权从事各种个</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人有偿中介活动和安排个人施工队伍。</w:t>
      </w:r>
    </w:p>
    <w:p w14:paraId="01A512B9">
      <w:pPr>
        <w:numPr>
          <w:ilvl w:val="0"/>
          <w:numId w:val="5"/>
        </w:numPr>
        <w:tabs>
          <w:tab w:val="left" w:pos="1154"/>
        </w:tabs>
        <w:spacing w:line="240" w:lineRule="auto"/>
        <w:ind w:left="740" w:firstLine="442" w:firstLineChars="200"/>
        <w:rPr>
          <w:rFonts w:hint="eastAsia" w:ascii="宋体" w:hAnsi="宋体"/>
          <w:b/>
          <w:bCs/>
          <w:color w:val="auto"/>
          <w:kern w:val="0"/>
          <w:sz w:val="22"/>
          <w:szCs w:val="22"/>
          <w:lang w:val="zh-CN" w:bidi="zh-CN"/>
        </w:rPr>
      </w:pPr>
      <w:r>
        <w:rPr>
          <w:rFonts w:hint="eastAsia" w:ascii="宋体" w:hAnsi="宋体"/>
          <w:b/>
          <w:bCs/>
          <w:color w:val="auto"/>
          <w:kern w:val="0"/>
          <w:sz w:val="22"/>
          <w:szCs w:val="22"/>
          <w:lang w:val="zh-CN" w:bidi="zh-CN"/>
        </w:rPr>
        <w:t>承包人的义务</w:t>
      </w:r>
    </w:p>
    <w:p w14:paraId="364DE7D9">
      <w:pPr>
        <w:numPr>
          <w:ilvl w:val="0"/>
          <w:numId w:val="8"/>
        </w:numPr>
        <w:tabs>
          <w:tab w:val="left" w:pos="1275"/>
        </w:tabs>
        <w:spacing w:line="240" w:lineRule="auto"/>
        <w:ind w:firstLine="440" w:firstLineChars="20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承包人不得以任何理由向发包人及其工作人员行贿或馈赠礼金、有价证</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券、贵重礼品。</w:t>
      </w:r>
    </w:p>
    <w:p w14:paraId="5145DA24">
      <w:pPr>
        <w:numPr>
          <w:ilvl w:val="0"/>
          <w:numId w:val="8"/>
        </w:numPr>
        <w:tabs>
          <w:tab w:val="left" w:pos="1270"/>
        </w:tabs>
        <w:spacing w:line="240" w:lineRule="auto"/>
        <w:ind w:firstLine="440" w:firstLineChars="20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承包人不得以任何名义为发包人及其工作人员报销应由发包人单位或个</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人支付的任何费用。</w:t>
      </w:r>
    </w:p>
    <w:p w14:paraId="3574283B">
      <w:pPr>
        <w:numPr>
          <w:ilvl w:val="0"/>
          <w:numId w:val="8"/>
        </w:numPr>
        <w:tabs>
          <w:tab w:val="left" w:pos="1389"/>
        </w:tabs>
        <w:spacing w:line="240" w:lineRule="auto"/>
        <w:ind w:firstLine="440" w:firstLineChars="20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承包人不得以任何理由安排发包人工作人员参加超标准宴请及娱乐活动。</w:t>
      </w:r>
    </w:p>
    <w:p w14:paraId="6B709B41">
      <w:pPr>
        <w:numPr>
          <w:ilvl w:val="0"/>
          <w:numId w:val="8"/>
        </w:numPr>
        <w:tabs>
          <w:tab w:val="left" w:pos="1266"/>
        </w:tabs>
        <w:spacing w:line="240" w:lineRule="auto"/>
        <w:ind w:firstLine="440" w:firstLineChars="20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承包人不得为发包人单位和个人购置或提供通信工具、交通工具和高档</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办公用品等。</w:t>
      </w:r>
    </w:p>
    <w:p w14:paraId="172E01D5">
      <w:pPr>
        <w:numPr>
          <w:ilvl w:val="0"/>
          <w:numId w:val="5"/>
        </w:numPr>
        <w:tabs>
          <w:tab w:val="left" w:pos="1154"/>
        </w:tabs>
        <w:spacing w:line="240" w:lineRule="auto"/>
        <w:ind w:left="740" w:firstLine="442" w:firstLineChars="200"/>
        <w:rPr>
          <w:rFonts w:hint="eastAsia" w:ascii="宋体" w:hAnsi="宋体"/>
          <w:b/>
          <w:bCs/>
          <w:color w:val="auto"/>
          <w:kern w:val="0"/>
          <w:sz w:val="22"/>
          <w:szCs w:val="22"/>
          <w:lang w:val="zh-CN" w:bidi="zh-CN"/>
        </w:rPr>
      </w:pPr>
      <w:r>
        <w:rPr>
          <w:rFonts w:hint="eastAsia" w:ascii="宋体" w:hAnsi="宋体"/>
          <w:b/>
          <w:bCs/>
          <w:color w:val="auto"/>
          <w:kern w:val="0"/>
          <w:sz w:val="22"/>
          <w:szCs w:val="22"/>
          <w:lang w:val="zh-CN" w:bidi="zh-CN"/>
        </w:rPr>
        <w:t>违约责任</w:t>
      </w:r>
    </w:p>
    <w:p w14:paraId="1735CC68">
      <w:pPr>
        <w:numPr>
          <w:ilvl w:val="0"/>
          <w:numId w:val="9"/>
        </w:numPr>
        <w:tabs>
          <w:tab w:val="left" w:pos="1270"/>
        </w:tabs>
        <w:spacing w:line="240" w:lineRule="auto"/>
        <w:ind w:firstLine="440" w:firstLineChars="20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发包人及其工作人员违反本合同第</w:t>
      </w:r>
      <w:r>
        <w:rPr>
          <w:rFonts w:ascii="宋体" w:hAnsi="宋体"/>
          <w:color w:val="auto"/>
          <w:kern w:val="0"/>
          <w:sz w:val="22"/>
          <w:szCs w:val="22"/>
          <w:shd w:val="clear" w:color="auto" w:fill="FFFFFF"/>
          <w:lang w:val="zh-CN" w:bidi="zh-CN"/>
        </w:rPr>
        <w:t>1</w:t>
      </w:r>
      <w:r>
        <w:rPr>
          <w:rFonts w:hint="eastAsia" w:ascii="宋体" w:hAnsi="宋体"/>
          <w:color w:val="auto"/>
          <w:kern w:val="0"/>
          <w:sz w:val="22"/>
          <w:szCs w:val="22"/>
          <w:shd w:val="clear" w:color="auto" w:fill="FFFFFF"/>
          <w:lang w:val="zh-CN" w:bidi="zh-CN"/>
        </w:rPr>
        <w:t>、</w:t>
      </w:r>
      <w:r>
        <w:rPr>
          <w:rFonts w:ascii="宋体" w:hAnsi="宋体"/>
          <w:color w:val="auto"/>
          <w:kern w:val="0"/>
          <w:sz w:val="22"/>
          <w:szCs w:val="22"/>
          <w:shd w:val="clear" w:color="auto" w:fill="FFFFFF"/>
          <w:lang w:val="zh-CN" w:bidi="zh-CN"/>
        </w:rPr>
        <w:t>2</w:t>
      </w:r>
      <w:r>
        <w:rPr>
          <w:rFonts w:hint="eastAsia" w:ascii="宋体" w:hAnsi="宋体"/>
          <w:color w:val="auto"/>
          <w:kern w:val="0"/>
          <w:sz w:val="22"/>
          <w:szCs w:val="22"/>
          <w:shd w:val="clear" w:color="auto" w:fill="FFFFFF"/>
          <w:lang w:val="zh-CN" w:bidi="zh-CN"/>
        </w:rPr>
        <w:t>条，按管理权限，依据有关规定</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给予党纪、政纪或组织处理；涉嫌犯罪的，移交司法机关追究刑事责任；给承包人</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单位造成经济损失的，应予以赔偿。</w:t>
      </w:r>
    </w:p>
    <w:p w14:paraId="37077702">
      <w:pPr>
        <w:numPr>
          <w:ilvl w:val="0"/>
          <w:numId w:val="9"/>
        </w:numPr>
        <w:tabs>
          <w:tab w:val="left" w:pos="1270"/>
        </w:tabs>
        <w:spacing w:line="240" w:lineRule="auto"/>
        <w:ind w:firstLine="440" w:firstLineChars="20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承包人及其工作人员违反本合同第</w:t>
      </w:r>
      <w:r>
        <w:rPr>
          <w:rFonts w:ascii="宋体" w:hAnsi="宋体"/>
          <w:color w:val="auto"/>
          <w:kern w:val="0"/>
          <w:sz w:val="22"/>
          <w:szCs w:val="22"/>
          <w:shd w:val="clear" w:color="auto" w:fill="FFFFFF"/>
          <w:lang w:val="zh-CN" w:bidi="zh-CN"/>
        </w:rPr>
        <w:t>1</w:t>
      </w:r>
      <w:r>
        <w:rPr>
          <w:rFonts w:hint="eastAsia" w:ascii="宋体" w:hAnsi="宋体"/>
          <w:color w:val="auto"/>
          <w:kern w:val="0"/>
          <w:sz w:val="22"/>
          <w:szCs w:val="22"/>
          <w:shd w:val="clear" w:color="auto" w:fill="FFFFFF"/>
          <w:lang w:val="zh-CN" w:bidi="zh-CN"/>
        </w:rPr>
        <w:t>、</w:t>
      </w:r>
      <w:r>
        <w:rPr>
          <w:rFonts w:ascii="宋体" w:hAnsi="宋体"/>
          <w:color w:val="auto"/>
          <w:kern w:val="0"/>
          <w:sz w:val="22"/>
          <w:szCs w:val="22"/>
          <w:shd w:val="clear" w:color="auto" w:fill="FFFFFF"/>
          <w:lang w:val="zh-CN" w:bidi="zh-CN"/>
        </w:rPr>
        <w:t>3</w:t>
      </w:r>
      <w:r>
        <w:rPr>
          <w:rFonts w:hint="eastAsia" w:ascii="宋体" w:hAnsi="宋体"/>
          <w:color w:val="auto"/>
          <w:kern w:val="0"/>
          <w:sz w:val="22"/>
          <w:szCs w:val="22"/>
          <w:shd w:val="clear" w:color="auto" w:fill="FFFFFF"/>
          <w:lang w:val="zh-CN" w:bidi="zh-CN"/>
        </w:rPr>
        <w:t>条，按管理权限，依据有关规定</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给予党纪、政纪或组织处理；给发包人单位造成经济损失的，应予以赔偿；情节严</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重的，发包人建议交通运输主管部门给予承包人一至三年内不得进入其主管的公路</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建设市场的处罚。</w:t>
      </w:r>
    </w:p>
    <w:p w14:paraId="7E7CF760">
      <w:pPr>
        <w:numPr>
          <w:ilvl w:val="0"/>
          <w:numId w:val="5"/>
        </w:numPr>
        <w:tabs>
          <w:tab w:val="left" w:pos="975"/>
        </w:tabs>
        <w:spacing w:line="240" w:lineRule="auto"/>
        <w:ind w:firstLine="440" w:firstLineChars="200"/>
        <w:jc w:val="left"/>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双方约定：本合同由双方或双方上级单位的纪检监察部门负责监督执行。</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由发包人或发包人上级单位的纪检监察部门约请承包人或承包人上级单位纪检监察</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部门对本合同执行情况进行检查，提出在本合同规定范围内的裁定意见。</w:t>
      </w:r>
    </w:p>
    <w:p w14:paraId="5B9AEDA2">
      <w:pPr>
        <w:numPr>
          <w:ilvl w:val="0"/>
          <w:numId w:val="5"/>
        </w:numPr>
        <w:tabs>
          <w:tab w:val="left" w:pos="1154"/>
        </w:tabs>
        <w:spacing w:line="240" w:lineRule="auto"/>
        <w:ind w:left="740" w:firstLine="440" w:firstLineChars="20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本合同有效期为发包人和承包人签署之日起至该工程项目竣工验收后止。</w:t>
      </w:r>
    </w:p>
    <w:p w14:paraId="18386429">
      <w:pPr>
        <w:numPr>
          <w:ilvl w:val="0"/>
          <w:numId w:val="5"/>
        </w:numPr>
        <w:tabs>
          <w:tab w:val="left" w:pos="978"/>
        </w:tabs>
        <w:spacing w:line="240" w:lineRule="auto"/>
        <w:ind w:firstLine="440" w:firstLineChars="200"/>
        <w:jc w:val="left"/>
        <w:rPr>
          <w:rFonts w:ascii="宋体" w:hAnsi="宋体"/>
          <w:color w:val="auto"/>
          <w:kern w:val="0"/>
          <w:sz w:val="22"/>
          <w:szCs w:val="22"/>
          <w:shd w:val="clear" w:color="auto" w:fill="FFFFFF"/>
          <w:lang w:val="zh-CN" w:bidi="zh-CN"/>
        </w:rPr>
      </w:pP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本合同作为</w:t>
      </w:r>
      <w:r>
        <w:rPr>
          <w:rFonts w:ascii="宋体" w:hAnsi="宋体"/>
          <w:color w:val="auto"/>
          <w:kern w:val="0"/>
          <w:sz w:val="22"/>
          <w:szCs w:val="22"/>
          <w:shd w:val="clear" w:color="auto" w:fill="FFFFFF"/>
          <w:lang w:val="zh-CN" w:bidi="zh-CN"/>
        </w:rPr>
        <w:tab/>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项目名称）</w:t>
      </w:r>
      <w:r>
        <w:rPr>
          <w:rFonts w:ascii="宋体" w:hAnsi="宋体"/>
          <w:color w:val="auto"/>
          <w:kern w:val="0"/>
          <w:sz w:val="22"/>
          <w:szCs w:val="22"/>
          <w:shd w:val="clear" w:color="auto" w:fill="FFFFFF"/>
          <w:lang w:val="zh-CN" w:bidi="zh-CN"/>
        </w:rPr>
        <w:tab/>
      </w:r>
      <w:r>
        <w:rPr>
          <w:rFonts w:hint="eastAsia" w:ascii="宋体" w:hAnsi="宋体"/>
          <w:color w:val="auto"/>
          <w:kern w:val="0"/>
          <w:sz w:val="22"/>
          <w:szCs w:val="22"/>
          <w:shd w:val="clear" w:color="auto" w:fill="FFFFFF"/>
          <w:lang w:val="zh-CN" w:bidi="zh-CN"/>
        </w:rPr>
        <w:t>标段施工合同的附件，与工程施工合同具有同等的法律效力，经合同双方签署后立即生效。</w:t>
      </w:r>
    </w:p>
    <w:p w14:paraId="1A2C5147">
      <w:pPr>
        <w:numPr>
          <w:ilvl w:val="0"/>
          <w:numId w:val="5"/>
        </w:numPr>
        <w:tabs>
          <w:tab w:val="left" w:pos="978"/>
        </w:tabs>
        <w:spacing w:line="240" w:lineRule="auto"/>
        <w:ind w:firstLine="440" w:firstLineChars="200"/>
        <w:jc w:val="left"/>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本合同一式四份，由发包人和承包人各执一份，送交发包人和承包人的监</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督单位各一份。</w:t>
      </w:r>
    </w:p>
    <w:p w14:paraId="6A08B26D">
      <w:pPr>
        <w:tabs>
          <w:tab w:val="left" w:pos="4550"/>
        </w:tabs>
        <w:spacing w:line="240" w:lineRule="auto"/>
        <w:rPr>
          <w:rFonts w:ascii="MingLiU" w:hAnsi="MingLiU" w:eastAsia="MingLiU"/>
          <w:color w:val="auto"/>
          <w:spacing w:val="20"/>
          <w:kern w:val="0"/>
          <w:sz w:val="22"/>
          <w:szCs w:val="22"/>
        </w:rPr>
      </w:pPr>
      <w:r>
        <w:rPr>
          <w:rFonts w:ascii="MingLiU" w:hAnsi="MingLiU" w:eastAsia="MingLiU"/>
          <w:color w:val="auto"/>
          <w:spacing w:val="20"/>
          <w:kern w:val="0"/>
          <w:sz w:val="22"/>
          <w:szCs w:val="22"/>
        </w:rPr>
        <mc:AlternateContent>
          <mc:Choice Requires="wps">
            <w:drawing>
              <wp:anchor distT="0" distB="0" distL="0" distR="0" simplePos="0" relativeHeight="251661312" behindDoc="1" locked="0" layoutInCell="1" allowOverlap="1">
                <wp:simplePos x="0" y="0"/>
                <wp:positionH relativeFrom="margin">
                  <wp:posOffset>114300</wp:posOffset>
                </wp:positionH>
                <wp:positionV relativeFrom="paragraph">
                  <wp:posOffset>542925</wp:posOffset>
                </wp:positionV>
                <wp:extent cx="2633345" cy="842010"/>
                <wp:effectExtent l="0" t="0" r="0" b="0"/>
                <wp:wrapTopAndBottom/>
                <wp:docPr id="3" name="_x0000_s1152"/>
                <wp:cNvGraphicFramePr/>
                <a:graphic xmlns:a="http://schemas.openxmlformats.org/drawingml/2006/main">
                  <a:graphicData uri="http://schemas.microsoft.com/office/word/2010/wordprocessingShape">
                    <wps:wsp>
                      <wps:cNvSpPr/>
                      <wps:spPr>
                        <a:xfrm>
                          <a:off x="0" y="0"/>
                          <a:ext cx="2633345" cy="842010"/>
                        </a:xfrm>
                        <a:prstGeom prst="rect">
                          <a:avLst/>
                        </a:prstGeom>
                      </wps:spPr>
                      <wps:txbx>
                        <w:txbxContent>
                          <w:p w14:paraId="4167EF30">
                            <w:pPr>
                              <w:tabs>
                                <w:tab w:val="left" w:leader="underscore" w:pos="2738"/>
                              </w:tabs>
                              <w:spacing w:line="442" w:lineRule="exact"/>
                              <w:rPr>
                                <w:rFonts w:hint="eastAsia" w:ascii="MingLiU" w:hAnsi="MingLiU" w:eastAsia="MingLiU"/>
                                <w:iCs/>
                                <w:color w:val="000000"/>
                                <w:spacing w:val="-20"/>
                                <w:kern w:val="0"/>
                                <w:sz w:val="24"/>
                                <w:shd w:val="clear" w:color="auto" w:fill="FFFFFF"/>
                                <w:lang w:val="zh-CN"/>
                              </w:rPr>
                            </w:pPr>
                            <w:r>
                              <w:rPr>
                                <w:rFonts w:hint="eastAsia" w:ascii="MingLiU" w:hAnsi="MingLiU" w:eastAsia="MingLiU"/>
                                <w:iCs/>
                                <w:color w:val="000000"/>
                                <w:spacing w:val="-20"/>
                                <w:kern w:val="0"/>
                                <w:sz w:val="24"/>
                                <w:shd w:val="clear" w:color="auto" w:fill="FFFFFF"/>
                                <w:lang w:val="zh-CN"/>
                              </w:rPr>
                              <w:t>发包人</w:t>
                            </w:r>
                            <w:r>
                              <w:rPr>
                                <w:rFonts w:hint="eastAsia" w:ascii="MingLiU" w:hAnsi="MingLiU"/>
                                <w:iCs/>
                                <w:color w:val="000000"/>
                                <w:spacing w:val="-20"/>
                                <w:kern w:val="0"/>
                                <w:sz w:val="24"/>
                                <w:shd w:val="clear" w:color="auto" w:fill="FFFFFF"/>
                                <w:lang w:val="zh-CN"/>
                              </w:rPr>
                              <w:t>：</w:t>
                            </w:r>
                            <w:r>
                              <w:rPr>
                                <w:rFonts w:ascii="MingLiU" w:hAnsi="MingLiU" w:eastAsia="MingLiU"/>
                                <w:i/>
                                <w:color w:val="000000"/>
                                <w:kern w:val="0"/>
                                <w:sz w:val="24"/>
                                <w:shd w:val="clear" w:color="auto" w:fill="FFFFFF"/>
                                <w:lang w:val="zh-CN"/>
                              </w:rPr>
                              <w:t xml:space="preserve"> </w:t>
                            </w:r>
                            <w:r>
                              <w:rPr>
                                <w:rFonts w:ascii="MingLiU" w:hAnsi="MingLiU" w:eastAsia="MingLiU"/>
                                <w:color w:val="000000"/>
                                <w:kern w:val="0"/>
                                <w:sz w:val="22"/>
                                <w:szCs w:val="22"/>
                                <w:shd w:val="clear" w:color="auto" w:fill="FFFFFF"/>
                                <w:lang w:val="zh-CN"/>
                              </w:rPr>
                              <w:tab/>
                            </w:r>
                            <w:r>
                              <w:rPr>
                                <w:rFonts w:ascii="MingLiU" w:hAnsi="MingLiU" w:eastAsia="MingLiU"/>
                                <w:color w:val="000000"/>
                                <w:kern w:val="0"/>
                                <w:sz w:val="22"/>
                                <w:szCs w:val="22"/>
                                <w:shd w:val="clear" w:color="auto" w:fill="FFFFFF"/>
                                <w:lang w:val="zh-CN"/>
                              </w:rPr>
                              <w:t xml:space="preserve"> (</w:t>
                            </w:r>
                            <w:r>
                              <w:rPr>
                                <w:rFonts w:hint="eastAsia" w:ascii="MingLiU" w:hAnsi="MingLiU" w:eastAsia="MingLiU"/>
                                <w:color w:val="000000"/>
                                <w:kern w:val="0"/>
                                <w:sz w:val="22"/>
                                <w:szCs w:val="22"/>
                                <w:shd w:val="clear" w:color="auto" w:fill="FFFFFF"/>
                                <w:lang w:val="zh-CN"/>
                              </w:rPr>
                              <w:t>盖单位章）</w:t>
                            </w:r>
                          </w:p>
                          <w:p w14:paraId="4C6D5293">
                            <w:pPr>
                              <w:tabs>
                                <w:tab w:val="left" w:leader="underscore" w:pos="1913"/>
                                <w:tab w:val="left" w:leader="underscore" w:pos="2753"/>
                                <w:tab w:val="left" w:leader="underscore" w:pos="3593"/>
                              </w:tabs>
                              <w:spacing w:line="442" w:lineRule="exact"/>
                              <w:ind w:left="860" w:hanging="860"/>
                              <w:jc w:val="left"/>
                              <w:rPr>
                                <w:rFonts w:hint="eastAsia" w:ascii="MingLiU" w:hAnsi="MingLiU" w:eastAsia="MingLiU"/>
                                <w:color w:val="000000"/>
                                <w:kern w:val="0"/>
                                <w:sz w:val="22"/>
                                <w:szCs w:val="22"/>
                                <w:shd w:val="clear" w:color="auto" w:fill="FFFFFF"/>
                                <w:lang w:val="zh-CN"/>
                              </w:rPr>
                            </w:pPr>
                            <w:r>
                              <w:rPr>
                                <w:rFonts w:hint="eastAsia" w:ascii="MingLiU" w:hAnsi="MingLiU" w:eastAsia="MingLiU"/>
                                <w:color w:val="000000"/>
                                <w:kern w:val="0"/>
                                <w:sz w:val="22"/>
                                <w:szCs w:val="22"/>
                                <w:shd w:val="clear" w:color="auto" w:fill="FFFFFF"/>
                                <w:lang w:val="zh-CN"/>
                              </w:rPr>
                              <w:t>法定代表人或其委托代理人：</w:t>
                            </w:r>
                            <w:r>
                              <w:rPr>
                                <w:rFonts w:ascii="MingLiU" w:hAnsi="MingLiU" w:eastAsia="MingLiU"/>
                                <w:color w:val="000000"/>
                                <w:kern w:val="0"/>
                                <w:sz w:val="22"/>
                                <w:szCs w:val="22"/>
                                <w:shd w:val="clear" w:color="auto" w:fill="FFFFFF"/>
                                <w:lang w:val="zh-CN"/>
                              </w:rPr>
                              <w:t>_ (</w:t>
                            </w:r>
                            <w:r>
                              <w:rPr>
                                <w:rFonts w:hint="eastAsia" w:ascii="MingLiU" w:hAnsi="MingLiU" w:eastAsia="MingLiU"/>
                                <w:color w:val="000000"/>
                                <w:kern w:val="0"/>
                                <w:sz w:val="22"/>
                                <w:szCs w:val="22"/>
                                <w:shd w:val="clear" w:color="auto" w:fill="FFFFFF"/>
                                <w:lang w:val="zh-CN"/>
                              </w:rPr>
                              <w:t>签字</w:t>
                            </w:r>
                            <w:r>
                              <w:rPr>
                                <w:rFonts w:ascii="MingLiU" w:hAnsi="MingLiU" w:eastAsia="MingLiU"/>
                                <w:color w:val="000000"/>
                                <w:kern w:val="0"/>
                                <w:sz w:val="22"/>
                                <w:szCs w:val="22"/>
                                <w:shd w:val="clear" w:color="auto" w:fill="FFFFFF"/>
                                <w:lang w:val="zh-CN"/>
                              </w:rPr>
                              <w:t xml:space="preserve">) </w:t>
                            </w:r>
                            <w:r>
                              <w:rPr>
                                <w:rFonts w:ascii="MingLiU" w:hAnsi="MingLiU" w:eastAsia="MingLiU"/>
                                <w:color w:val="000000"/>
                                <w:kern w:val="0"/>
                                <w:sz w:val="22"/>
                                <w:szCs w:val="22"/>
                                <w:shd w:val="clear" w:color="auto" w:fill="FFFFFF"/>
                                <w:lang w:val="zh-CN"/>
                              </w:rPr>
                              <w:tab/>
                            </w:r>
                          </w:p>
                          <w:p w14:paraId="305A3C63">
                            <w:pPr>
                              <w:tabs>
                                <w:tab w:val="left" w:leader="underscore" w:pos="1913"/>
                                <w:tab w:val="left" w:leader="underscore" w:pos="2753"/>
                                <w:tab w:val="left" w:leader="underscore" w:pos="3593"/>
                              </w:tabs>
                              <w:wordWrap w:val="0"/>
                              <w:spacing w:line="442" w:lineRule="exact"/>
                              <w:ind w:left="856" w:leftChars="156" w:hanging="528" w:hangingChars="240"/>
                              <w:jc w:val="right"/>
                              <w:rPr>
                                <w:rFonts w:hint="eastAsia" w:ascii="MingLiU" w:hAnsi="MingLiU" w:eastAsia="MingLiU"/>
                                <w:color w:val="000000"/>
                                <w:kern w:val="0"/>
                                <w:sz w:val="22"/>
                                <w:szCs w:val="22"/>
                                <w:shd w:val="clear" w:color="auto" w:fill="FFFFFF"/>
                                <w:lang w:val="zh-CN"/>
                              </w:rPr>
                            </w:pPr>
                            <w:r>
                              <w:rPr>
                                <w:rFonts w:hint="eastAsia" w:ascii="MingLiU" w:hAnsi="MingLiU" w:eastAsia="MingLiU"/>
                                <w:color w:val="000000"/>
                                <w:kern w:val="0"/>
                                <w:sz w:val="22"/>
                                <w:szCs w:val="22"/>
                                <w:shd w:val="clear" w:color="auto" w:fill="FFFFFF"/>
                                <w:lang w:val="zh-CN"/>
                              </w:rPr>
                              <w:t>年</w:t>
                            </w:r>
                            <w:r>
                              <w:rPr>
                                <w:rFonts w:ascii="MingLiU" w:hAnsi="MingLiU" w:eastAsia="MingLiU"/>
                                <w:color w:val="000000"/>
                                <w:kern w:val="0"/>
                                <w:sz w:val="22"/>
                                <w:szCs w:val="22"/>
                                <w:shd w:val="clear" w:color="auto" w:fill="FFFFFF"/>
                                <w:lang w:val="zh-CN"/>
                              </w:rPr>
                              <w:tab/>
                            </w:r>
                            <w:r>
                              <w:rPr>
                                <w:rFonts w:hint="eastAsia" w:ascii="MingLiU" w:hAnsi="MingLiU" w:eastAsia="MingLiU"/>
                                <w:color w:val="000000"/>
                                <w:kern w:val="0"/>
                                <w:sz w:val="22"/>
                                <w:szCs w:val="22"/>
                                <w:shd w:val="clear" w:color="auto" w:fill="FFFFFF"/>
                                <w:lang w:val="zh-CN"/>
                              </w:rPr>
                              <w:t>月</w:t>
                            </w:r>
                            <w:r>
                              <w:rPr>
                                <w:rFonts w:hint="eastAsia" w:ascii="MingLiU" w:hAnsi="MingLiU"/>
                                <w:color w:val="000000"/>
                                <w:kern w:val="0"/>
                                <w:sz w:val="22"/>
                                <w:szCs w:val="22"/>
                                <w:shd w:val="clear" w:color="auto" w:fill="FFFFFF"/>
                                <w:lang w:val="zh-CN"/>
                              </w:rPr>
                              <w:t xml:space="preserve">   </w:t>
                            </w:r>
                            <w:r>
                              <w:rPr>
                                <w:rFonts w:hint="eastAsia" w:ascii="MingLiU" w:hAnsi="MingLiU" w:eastAsia="MingLiU"/>
                                <w:color w:val="000000"/>
                                <w:kern w:val="0"/>
                                <w:sz w:val="22"/>
                                <w:szCs w:val="22"/>
                                <w:shd w:val="clear" w:color="auto" w:fill="FFFFFF"/>
                                <w:lang w:val="zh-CN"/>
                              </w:rPr>
                              <w:t>日</w:t>
                            </w:r>
                          </w:p>
                          <w:p w14:paraId="6A6D72B2"/>
                        </w:txbxContent>
                      </wps:txbx>
                      <wps:bodyPr rot="0" vert="horz" wrap="square" lIns="91440" tIns="45720" rIns="91440" bIns="45720" anchor="t" anchorCtr="0"/>
                    </wps:wsp>
                  </a:graphicData>
                </a:graphic>
              </wp:anchor>
            </w:drawing>
          </mc:Choice>
          <mc:Fallback>
            <w:pict>
              <v:rect id="_x0000_s1152" o:spid="_x0000_s1026" o:spt="1" style="position:absolute;left:0pt;margin-left:9pt;margin-top:42.75pt;height:66.3pt;width:207.35pt;mso-position-horizontal-relative:margin;mso-wrap-distance-bottom:0pt;mso-wrap-distance-top:0pt;z-index:-251655168;mso-width-relative:page;mso-height-relative:page;" filled="f" stroked="f" coordsize="21600,21600" o:gfxdata="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V+axqtoAAAAJAQAADwAAAAAAAAABACAAAAAiAAAAZHJzL2Rvd25yZXYueG1s&#10;UEsBAhQAFAAAAAgAh07iQNl1CTO9AQAAhQMAAA4AAAAAAAAAAQAgAAAAKQEAAGRycy9lMm9Eb2Mu&#10;eG1sUEsFBgAAAAAGAAYAWQEAAFgFAAAAAA==&#10;">
                <v:fill on="f" focussize="0,0"/>
                <v:stroke on="f"/>
                <v:imagedata o:title=""/>
                <o:lock v:ext="edit" aspectratio="f"/>
                <v:textbox>
                  <w:txbxContent>
                    <w:p w14:paraId="4167EF30">
                      <w:pPr>
                        <w:tabs>
                          <w:tab w:val="left" w:leader="underscore" w:pos="2738"/>
                        </w:tabs>
                        <w:spacing w:line="442" w:lineRule="exact"/>
                        <w:rPr>
                          <w:rFonts w:hint="eastAsia" w:ascii="MingLiU" w:hAnsi="MingLiU" w:eastAsia="MingLiU"/>
                          <w:iCs/>
                          <w:color w:val="000000"/>
                          <w:spacing w:val="-20"/>
                          <w:kern w:val="0"/>
                          <w:sz w:val="24"/>
                          <w:shd w:val="clear" w:color="auto" w:fill="FFFFFF"/>
                          <w:lang w:val="zh-CN"/>
                        </w:rPr>
                      </w:pPr>
                      <w:r>
                        <w:rPr>
                          <w:rFonts w:hint="eastAsia" w:ascii="MingLiU" w:hAnsi="MingLiU" w:eastAsia="MingLiU"/>
                          <w:iCs/>
                          <w:color w:val="000000"/>
                          <w:spacing w:val="-20"/>
                          <w:kern w:val="0"/>
                          <w:sz w:val="24"/>
                          <w:shd w:val="clear" w:color="auto" w:fill="FFFFFF"/>
                          <w:lang w:val="zh-CN"/>
                        </w:rPr>
                        <w:t>发包人</w:t>
                      </w:r>
                      <w:r>
                        <w:rPr>
                          <w:rFonts w:hint="eastAsia" w:ascii="MingLiU" w:hAnsi="MingLiU"/>
                          <w:iCs/>
                          <w:color w:val="000000"/>
                          <w:spacing w:val="-20"/>
                          <w:kern w:val="0"/>
                          <w:sz w:val="24"/>
                          <w:shd w:val="clear" w:color="auto" w:fill="FFFFFF"/>
                          <w:lang w:val="zh-CN"/>
                        </w:rPr>
                        <w:t>：</w:t>
                      </w:r>
                      <w:r>
                        <w:rPr>
                          <w:rFonts w:ascii="MingLiU" w:hAnsi="MingLiU" w:eastAsia="MingLiU"/>
                          <w:i/>
                          <w:color w:val="000000"/>
                          <w:kern w:val="0"/>
                          <w:sz w:val="24"/>
                          <w:shd w:val="clear" w:color="auto" w:fill="FFFFFF"/>
                          <w:lang w:val="zh-CN"/>
                        </w:rPr>
                        <w:t xml:space="preserve"> </w:t>
                      </w:r>
                      <w:r>
                        <w:rPr>
                          <w:rFonts w:ascii="MingLiU" w:hAnsi="MingLiU" w:eastAsia="MingLiU"/>
                          <w:color w:val="000000"/>
                          <w:kern w:val="0"/>
                          <w:sz w:val="22"/>
                          <w:szCs w:val="22"/>
                          <w:shd w:val="clear" w:color="auto" w:fill="FFFFFF"/>
                          <w:lang w:val="zh-CN"/>
                        </w:rPr>
                        <w:tab/>
                      </w:r>
                      <w:r>
                        <w:rPr>
                          <w:rFonts w:ascii="MingLiU" w:hAnsi="MingLiU" w:eastAsia="MingLiU"/>
                          <w:color w:val="000000"/>
                          <w:kern w:val="0"/>
                          <w:sz w:val="22"/>
                          <w:szCs w:val="22"/>
                          <w:shd w:val="clear" w:color="auto" w:fill="FFFFFF"/>
                          <w:lang w:val="zh-CN"/>
                        </w:rPr>
                        <w:t xml:space="preserve"> (</w:t>
                      </w:r>
                      <w:r>
                        <w:rPr>
                          <w:rFonts w:hint="eastAsia" w:ascii="MingLiU" w:hAnsi="MingLiU" w:eastAsia="MingLiU"/>
                          <w:color w:val="000000"/>
                          <w:kern w:val="0"/>
                          <w:sz w:val="22"/>
                          <w:szCs w:val="22"/>
                          <w:shd w:val="clear" w:color="auto" w:fill="FFFFFF"/>
                          <w:lang w:val="zh-CN"/>
                        </w:rPr>
                        <w:t>盖单位章）</w:t>
                      </w:r>
                    </w:p>
                    <w:p w14:paraId="4C6D5293">
                      <w:pPr>
                        <w:tabs>
                          <w:tab w:val="left" w:leader="underscore" w:pos="1913"/>
                          <w:tab w:val="left" w:leader="underscore" w:pos="2753"/>
                          <w:tab w:val="left" w:leader="underscore" w:pos="3593"/>
                        </w:tabs>
                        <w:spacing w:line="442" w:lineRule="exact"/>
                        <w:ind w:left="860" w:hanging="860"/>
                        <w:jc w:val="left"/>
                        <w:rPr>
                          <w:rFonts w:hint="eastAsia" w:ascii="MingLiU" w:hAnsi="MingLiU" w:eastAsia="MingLiU"/>
                          <w:color w:val="000000"/>
                          <w:kern w:val="0"/>
                          <w:sz w:val="22"/>
                          <w:szCs w:val="22"/>
                          <w:shd w:val="clear" w:color="auto" w:fill="FFFFFF"/>
                          <w:lang w:val="zh-CN"/>
                        </w:rPr>
                      </w:pPr>
                      <w:r>
                        <w:rPr>
                          <w:rFonts w:hint="eastAsia" w:ascii="MingLiU" w:hAnsi="MingLiU" w:eastAsia="MingLiU"/>
                          <w:color w:val="000000"/>
                          <w:kern w:val="0"/>
                          <w:sz w:val="22"/>
                          <w:szCs w:val="22"/>
                          <w:shd w:val="clear" w:color="auto" w:fill="FFFFFF"/>
                          <w:lang w:val="zh-CN"/>
                        </w:rPr>
                        <w:t>法定代表人或其委托代理人：</w:t>
                      </w:r>
                      <w:r>
                        <w:rPr>
                          <w:rFonts w:ascii="MingLiU" w:hAnsi="MingLiU" w:eastAsia="MingLiU"/>
                          <w:color w:val="000000"/>
                          <w:kern w:val="0"/>
                          <w:sz w:val="22"/>
                          <w:szCs w:val="22"/>
                          <w:shd w:val="clear" w:color="auto" w:fill="FFFFFF"/>
                          <w:lang w:val="zh-CN"/>
                        </w:rPr>
                        <w:t>_ (</w:t>
                      </w:r>
                      <w:r>
                        <w:rPr>
                          <w:rFonts w:hint="eastAsia" w:ascii="MingLiU" w:hAnsi="MingLiU" w:eastAsia="MingLiU"/>
                          <w:color w:val="000000"/>
                          <w:kern w:val="0"/>
                          <w:sz w:val="22"/>
                          <w:szCs w:val="22"/>
                          <w:shd w:val="clear" w:color="auto" w:fill="FFFFFF"/>
                          <w:lang w:val="zh-CN"/>
                        </w:rPr>
                        <w:t>签字</w:t>
                      </w:r>
                      <w:r>
                        <w:rPr>
                          <w:rFonts w:ascii="MingLiU" w:hAnsi="MingLiU" w:eastAsia="MingLiU"/>
                          <w:color w:val="000000"/>
                          <w:kern w:val="0"/>
                          <w:sz w:val="22"/>
                          <w:szCs w:val="22"/>
                          <w:shd w:val="clear" w:color="auto" w:fill="FFFFFF"/>
                          <w:lang w:val="zh-CN"/>
                        </w:rPr>
                        <w:t xml:space="preserve">) </w:t>
                      </w:r>
                      <w:r>
                        <w:rPr>
                          <w:rFonts w:ascii="MingLiU" w:hAnsi="MingLiU" w:eastAsia="MingLiU"/>
                          <w:color w:val="000000"/>
                          <w:kern w:val="0"/>
                          <w:sz w:val="22"/>
                          <w:szCs w:val="22"/>
                          <w:shd w:val="clear" w:color="auto" w:fill="FFFFFF"/>
                          <w:lang w:val="zh-CN"/>
                        </w:rPr>
                        <w:tab/>
                      </w:r>
                    </w:p>
                    <w:p w14:paraId="305A3C63">
                      <w:pPr>
                        <w:tabs>
                          <w:tab w:val="left" w:leader="underscore" w:pos="1913"/>
                          <w:tab w:val="left" w:leader="underscore" w:pos="2753"/>
                          <w:tab w:val="left" w:leader="underscore" w:pos="3593"/>
                        </w:tabs>
                        <w:wordWrap w:val="0"/>
                        <w:spacing w:line="442" w:lineRule="exact"/>
                        <w:ind w:left="856" w:leftChars="156" w:hanging="528" w:hangingChars="240"/>
                        <w:jc w:val="right"/>
                        <w:rPr>
                          <w:rFonts w:hint="eastAsia" w:ascii="MingLiU" w:hAnsi="MingLiU" w:eastAsia="MingLiU"/>
                          <w:color w:val="000000"/>
                          <w:kern w:val="0"/>
                          <w:sz w:val="22"/>
                          <w:szCs w:val="22"/>
                          <w:shd w:val="clear" w:color="auto" w:fill="FFFFFF"/>
                          <w:lang w:val="zh-CN"/>
                        </w:rPr>
                      </w:pPr>
                      <w:r>
                        <w:rPr>
                          <w:rFonts w:hint="eastAsia" w:ascii="MingLiU" w:hAnsi="MingLiU" w:eastAsia="MingLiU"/>
                          <w:color w:val="000000"/>
                          <w:kern w:val="0"/>
                          <w:sz w:val="22"/>
                          <w:szCs w:val="22"/>
                          <w:shd w:val="clear" w:color="auto" w:fill="FFFFFF"/>
                          <w:lang w:val="zh-CN"/>
                        </w:rPr>
                        <w:t>年</w:t>
                      </w:r>
                      <w:r>
                        <w:rPr>
                          <w:rFonts w:ascii="MingLiU" w:hAnsi="MingLiU" w:eastAsia="MingLiU"/>
                          <w:color w:val="000000"/>
                          <w:kern w:val="0"/>
                          <w:sz w:val="22"/>
                          <w:szCs w:val="22"/>
                          <w:shd w:val="clear" w:color="auto" w:fill="FFFFFF"/>
                          <w:lang w:val="zh-CN"/>
                        </w:rPr>
                        <w:tab/>
                      </w:r>
                      <w:r>
                        <w:rPr>
                          <w:rFonts w:hint="eastAsia" w:ascii="MingLiU" w:hAnsi="MingLiU" w:eastAsia="MingLiU"/>
                          <w:color w:val="000000"/>
                          <w:kern w:val="0"/>
                          <w:sz w:val="22"/>
                          <w:szCs w:val="22"/>
                          <w:shd w:val="clear" w:color="auto" w:fill="FFFFFF"/>
                          <w:lang w:val="zh-CN"/>
                        </w:rPr>
                        <w:t>月</w:t>
                      </w:r>
                      <w:r>
                        <w:rPr>
                          <w:rFonts w:hint="eastAsia" w:ascii="MingLiU" w:hAnsi="MingLiU"/>
                          <w:color w:val="000000"/>
                          <w:kern w:val="0"/>
                          <w:sz w:val="22"/>
                          <w:szCs w:val="22"/>
                          <w:shd w:val="clear" w:color="auto" w:fill="FFFFFF"/>
                          <w:lang w:val="zh-CN"/>
                        </w:rPr>
                        <w:t xml:space="preserve">   </w:t>
                      </w:r>
                      <w:r>
                        <w:rPr>
                          <w:rFonts w:hint="eastAsia" w:ascii="MingLiU" w:hAnsi="MingLiU" w:eastAsia="MingLiU"/>
                          <w:color w:val="000000"/>
                          <w:kern w:val="0"/>
                          <w:sz w:val="22"/>
                          <w:szCs w:val="22"/>
                          <w:shd w:val="clear" w:color="auto" w:fill="FFFFFF"/>
                          <w:lang w:val="zh-CN"/>
                        </w:rPr>
                        <w:t>日</w:t>
                      </w:r>
                    </w:p>
                    <w:p w14:paraId="6A6D72B2"/>
                  </w:txbxContent>
                </v:textbox>
                <w10:wrap type="topAndBottom"/>
              </v:rect>
            </w:pict>
          </mc:Fallback>
        </mc:AlternateContent>
      </w:r>
      <w:r>
        <w:rPr>
          <w:rFonts w:hint="eastAsia" w:ascii="宋体" w:hAnsi="宋体"/>
          <w:color w:val="auto"/>
          <w:kern w:val="0"/>
          <w:sz w:val="22"/>
          <w:szCs w:val="22"/>
          <w:shd w:val="clear" w:color="auto" w:fill="FFFFFF"/>
          <w:lang w:val="zh-CN" w:bidi="zh-CN"/>
        </w:rPr>
        <w:t>发包人监督单位：</w:t>
      </w:r>
      <w:r>
        <w:rPr>
          <w:rFonts w:hint="eastAsia" w:ascii="宋体" w:hAnsi="宋体"/>
          <w:color w:val="auto"/>
          <w:kern w:val="0"/>
          <w:sz w:val="22"/>
          <w:szCs w:val="22"/>
          <w:u w:val="single"/>
          <w:shd w:val="clear" w:color="auto" w:fill="FFFFFF"/>
          <w:lang w:val="zh-CN"/>
        </w:rPr>
        <w:t>（全称）（盖单位章）</w:t>
      </w:r>
      <w:r>
        <w:rPr>
          <w:rFonts w:ascii="宋体" w:hAnsi="宋体"/>
          <w:color w:val="auto"/>
          <w:kern w:val="0"/>
          <w:sz w:val="22"/>
          <w:szCs w:val="22"/>
          <w:shd w:val="clear" w:color="auto" w:fill="FFFFFF"/>
          <w:lang w:val="zh-CN" w:bidi="zh-CN"/>
        </w:rPr>
        <w:tab/>
      </w:r>
      <w:r>
        <w:rPr>
          <w:rFonts w:hint="eastAsia" w:ascii="宋体" w:hAnsi="宋体"/>
          <w:color w:val="auto"/>
          <w:kern w:val="0"/>
          <w:sz w:val="22"/>
          <w:szCs w:val="22"/>
          <w:shd w:val="clear" w:color="auto" w:fill="FFFFFF"/>
          <w:lang w:val="zh-CN" w:bidi="zh-CN"/>
        </w:rPr>
        <w:t>承包人监督单位：</w:t>
      </w:r>
      <w:r>
        <w:rPr>
          <w:rFonts w:hint="eastAsia" w:ascii="宋体" w:hAnsi="宋体"/>
          <w:color w:val="auto"/>
          <w:kern w:val="0"/>
          <w:sz w:val="22"/>
          <w:szCs w:val="22"/>
          <w:u w:val="single"/>
          <w:shd w:val="clear" w:color="auto" w:fill="FFFFFF"/>
          <w:lang w:val="zh-CN"/>
        </w:rPr>
        <w:t>（全称）（盖单位章</w:t>
      </w:r>
      <w:r>
        <w:rPr>
          <w:rFonts w:ascii="宋体" w:hAnsi="宋体"/>
          <w:color w:val="auto"/>
          <w:kern w:val="0"/>
          <w:sz w:val="22"/>
          <w:szCs w:val="22"/>
          <w:u w:val="single"/>
          <w:shd w:val="clear" w:color="auto" w:fill="FFFFFF"/>
          <w:lang w:val="zh-CN"/>
        </w:rPr>
        <w:t>)</w:t>
      </w:r>
    </w:p>
    <w:p w14:paraId="1F95F1E6">
      <w:pPr>
        <w:spacing w:line="240" w:lineRule="auto"/>
        <w:ind w:firstLine="420" w:firstLineChars="200"/>
        <w:rPr>
          <w:rFonts w:hint="eastAsia"/>
          <w:color w:val="auto"/>
        </w:rPr>
      </w:pPr>
    </w:p>
    <w:p w14:paraId="1B71F092">
      <w:pPr>
        <w:keepNext/>
        <w:keepLines/>
        <w:spacing w:before="120" w:after="120" w:line="240" w:lineRule="auto"/>
        <w:jc w:val="left"/>
        <w:outlineLvl w:val="3"/>
        <w:rPr>
          <w:rFonts w:ascii="Cambria" w:hAnsi="Cambria" w:eastAsia="黑体"/>
          <w:b/>
          <w:bCs/>
          <w:color w:val="auto"/>
          <w:sz w:val="28"/>
          <w:szCs w:val="28"/>
        </w:rPr>
      </w:pPr>
      <w:bookmarkStart w:id="146" w:name="_Toc98873426"/>
      <w:bookmarkEnd w:id="146"/>
      <w:r>
        <w:rPr>
          <w:rFonts w:ascii="Cambria" w:hAnsi="Cambria" w:eastAsia="黑体"/>
          <w:b/>
          <w:bCs/>
          <w:color w:val="auto"/>
          <w:sz w:val="28"/>
          <w:szCs w:val="28"/>
        </w:rPr>
        <mc:AlternateContent>
          <mc:Choice Requires="wps">
            <w:drawing>
              <wp:anchor distT="0" distB="0" distL="0" distR="0" simplePos="0" relativeHeight="251661312" behindDoc="1" locked="0" layoutInCell="1" allowOverlap="1">
                <wp:simplePos x="0" y="0"/>
                <wp:positionH relativeFrom="margin">
                  <wp:posOffset>2743200</wp:posOffset>
                </wp:positionH>
                <wp:positionV relativeFrom="paragraph">
                  <wp:posOffset>208280</wp:posOffset>
                </wp:positionV>
                <wp:extent cx="2712720" cy="925195"/>
                <wp:effectExtent l="0" t="0" r="0" b="0"/>
                <wp:wrapTopAndBottom/>
                <wp:docPr id="4" name="_x0000_s1155"/>
                <wp:cNvGraphicFramePr/>
                <a:graphic xmlns:a="http://schemas.openxmlformats.org/drawingml/2006/main">
                  <a:graphicData uri="http://schemas.microsoft.com/office/word/2010/wordprocessingShape">
                    <wps:wsp>
                      <wps:cNvSpPr/>
                      <wps:spPr>
                        <a:xfrm>
                          <a:off x="0" y="0"/>
                          <a:ext cx="2712720" cy="925195"/>
                        </a:xfrm>
                        <a:prstGeom prst="rect">
                          <a:avLst/>
                        </a:prstGeom>
                      </wps:spPr>
                      <wps:txbx>
                        <w:txbxContent>
                          <w:p w14:paraId="4D0F0EBC">
                            <w:pPr>
                              <w:tabs>
                                <w:tab w:val="left" w:leader="underscore" w:pos="2968"/>
                              </w:tabs>
                              <w:spacing w:line="439" w:lineRule="exact"/>
                              <w:ind w:left="340"/>
                              <w:rPr>
                                <w:rFonts w:hint="eastAsia" w:ascii="MingLiU" w:hAnsi="MingLiU" w:eastAsia="MingLiU"/>
                                <w:color w:val="000000"/>
                                <w:kern w:val="0"/>
                                <w:sz w:val="22"/>
                                <w:szCs w:val="22"/>
                                <w:shd w:val="clear" w:color="auto" w:fill="FFFFFF"/>
                                <w:lang w:val="zh-CN"/>
                              </w:rPr>
                            </w:pPr>
                            <w:r>
                              <w:rPr>
                                <w:rFonts w:hint="eastAsia" w:ascii="MingLiU" w:hAnsi="MingLiU" w:eastAsia="MingLiU"/>
                                <w:color w:val="000000"/>
                                <w:kern w:val="0"/>
                                <w:sz w:val="22"/>
                                <w:szCs w:val="22"/>
                                <w:shd w:val="clear" w:color="auto" w:fill="FFFFFF"/>
                                <w:lang w:val="zh-CN"/>
                              </w:rPr>
                              <w:t>承包人：</w:t>
                            </w:r>
                            <w:r>
                              <w:rPr>
                                <w:rFonts w:ascii="MingLiU" w:hAnsi="MingLiU" w:eastAsia="MingLiU"/>
                                <w:color w:val="000000"/>
                                <w:kern w:val="0"/>
                                <w:sz w:val="22"/>
                                <w:szCs w:val="22"/>
                                <w:shd w:val="clear" w:color="auto" w:fill="FFFFFF"/>
                                <w:lang w:val="zh-CN"/>
                              </w:rPr>
                              <w:tab/>
                            </w:r>
                            <w:r>
                              <w:rPr>
                                <w:rFonts w:ascii="MingLiU" w:hAnsi="MingLiU" w:eastAsia="MingLiU"/>
                                <w:color w:val="000000"/>
                                <w:kern w:val="0"/>
                                <w:sz w:val="22"/>
                                <w:szCs w:val="22"/>
                                <w:shd w:val="clear" w:color="auto" w:fill="FFFFFF"/>
                                <w:lang w:val="zh-CN"/>
                              </w:rPr>
                              <w:t xml:space="preserve"> (</w:t>
                            </w:r>
                            <w:r>
                              <w:rPr>
                                <w:rFonts w:hint="eastAsia" w:ascii="MingLiU" w:hAnsi="MingLiU" w:eastAsia="MingLiU"/>
                                <w:color w:val="000000"/>
                                <w:kern w:val="0"/>
                                <w:sz w:val="22"/>
                                <w:szCs w:val="22"/>
                                <w:shd w:val="clear" w:color="auto" w:fill="FFFFFF"/>
                                <w:lang w:val="zh-CN"/>
                              </w:rPr>
                              <w:t>盖单位章</w:t>
                            </w:r>
                            <w:r>
                              <w:rPr>
                                <w:rFonts w:ascii="MingLiU" w:hAnsi="MingLiU" w:eastAsia="MingLiU"/>
                                <w:color w:val="000000"/>
                                <w:kern w:val="0"/>
                                <w:sz w:val="22"/>
                                <w:szCs w:val="22"/>
                                <w:shd w:val="clear" w:color="auto" w:fill="FFFFFF"/>
                                <w:lang w:val="zh-CN"/>
                              </w:rPr>
                              <w:t>)</w:t>
                            </w:r>
                          </w:p>
                          <w:p w14:paraId="64DA9F96">
                            <w:pPr>
                              <w:tabs>
                                <w:tab w:val="left" w:leader="underscore" w:pos="2153"/>
                                <w:tab w:val="left" w:leader="underscore" w:pos="2993"/>
                                <w:tab w:val="left" w:leader="underscore" w:pos="3833"/>
                              </w:tabs>
                              <w:spacing w:line="439" w:lineRule="exact"/>
                              <w:ind w:left="1100" w:hanging="1100"/>
                              <w:jc w:val="left"/>
                              <w:rPr>
                                <w:rFonts w:hint="eastAsia" w:ascii="MingLiU" w:hAnsi="MingLiU" w:eastAsia="MingLiU"/>
                                <w:color w:val="000000"/>
                                <w:kern w:val="0"/>
                                <w:sz w:val="22"/>
                                <w:szCs w:val="22"/>
                                <w:shd w:val="clear" w:color="auto" w:fill="FFFFFF"/>
                                <w:lang w:val="zh-CN"/>
                              </w:rPr>
                            </w:pPr>
                            <w:r>
                              <w:rPr>
                                <w:rFonts w:hint="eastAsia" w:ascii="MingLiU" w:hAnsi="MingLiU" w:eastAsia="MingLiU"/>
                                <w:color w:val="000000"/>
                                <w:kern w:val="0"/>
                                <w:sz w:val="22"/>
                                <w:szCs w:val="22"/>
                                <w:shd w:val="clear" w:color="auto" w:fill="FFFFFF"/>
                                <w:lang w:val="zh-CN"/>
                              </w:rPr>
                              <w:t>法定代表人或其委托代理人：</w:t>
                            </w:r>
                            <w:r>
                              <w:rPr>
                                <w:rFonts w:ascii="MingLiU" w:hAnsi="MingLiU" w:eastAsia="MingLiU"/>
                                <w:color w:val="000000"/>
                                <w:kern w:val="0"/>
                                <w:sz w:val="22"/>
                                <w:szCs w:val="22"/>
                                <w:shd w:val="clear" w:color="auto" w:fill="FFFFFF"/>
                                <w:lang w:val="zh-CN"/>
                              </w:rPr>
                              <w:t>_ (</w:t>
                            </w:r>
                            <w:r>
                              <w:rPr>
                                <w:rFonts w:hint="eastAsia" w:ascii="MingLiU" w:hAnsi="MingLiU" w:eastAsia="MingLiU"/>
                                <w:color w:val="000000"/>
                                <w:kern w:val="0"/>
                                <w:sz w:val="22"/>
                                <w:szCs w:val="22"/>
                                <w:shd w:val="clear" w:color="auto" w:fill="FFFFFF"/>
                                <w:lang w:val="zh-CN"/>
                              </w:rPr>
                              <w:t>签字</w:t>
                            </w:r>
                            <w:r>
                              <w:rPr>
                                <w:rFonts w:ascii="MingLiU" w:hAnsi="MingLiU" w:eastAsia="MingLiU"/>
                                <w:color w:val="000000"/>
                                <w:kern w:val="0"/>
                                <w:sz w:val="22"/>
                                <w:szCs w:val="22"/>
                                <w:shd w:val="clear" w:color="auto" w:fill="FFFFFF"/>
                                <w:lang w:val="zh-CN"/>
                              </w:rPr>
                              <w:t xml:space="preserve">) </w:t>
                            </w:r>
                            <w:r>
                              <w:rPr>
                                <w:rFonts w:ascii="MingLiU" w:hAnsi="MingLiU" w:eastAsia="MingLiU"/>
                                <w:color w:val="000000"/>
                                <w:kern w:val="0"/>
                                <w:sz w:val="22"/>
                                <w:szCs w:val="22"/>
                                <w:shd w:val="clear" w:color="auto" w:fill="FFFFFF"/>
                                <w:lang w:val="zh-CN"/>
                              </w:rPr>
                              <w:tab/>
                            </w:r>
                          </w:p>
                          <w:p w14:paraId="58BA1500">
                            <w:pPr>
                              <w:tabs>
                                <w:tab w:val="left" w:leader="underscore" w:pos="2153"/>
                                <w:tab w:val="left" w:leader="underscore" w:pos="2993"/>
                                <w:tab w:val="left" w:leader="underscore" w:pos="3833"/>
                              </w:tabs>
                              <w:wordWrap w:val="0"/>
                              <w:spacing w:line="439" w:lineRule="exact"/>
                              <w:ind w:left="1098" w:leftChars="156" w:hanging="770" w:hangingChars="350"/>
                              <w:jc w:val="right"/>
                              <w:rPr>
                                <w:rFonts w:hint="eastAsia" w:ascii="MingLiU" w:hAnsi="MingLiU" w:eastAsia="MingLiU"/>
                                <w:color w:val="000000"/>
                                <w:kern w:val="0"/>
                                <w:sz w:val="22"/>
                                <w:szCs w:val="22"/>
                                <w:shd w:val="clear" w:color="auto" w:fill="FFFFFF"/>
                                <w:lang w:val="zh-CN"/>
                              </w:rPr>
                            </w:pPr>
                            <w:r>
                              <w:rPr>
                                <w:rFonts w:hint="eastAsia" w:ascii="MingLiU" w:hAnsi="MingLiU" w:eastAsia="MingLiU"/>
                                <w:color w:val="000000"/>
                                <w:kern w:val="0"/>
                                <w:sz w:val="22"/>
                                <w:szCs w:val="22"/>
                                <w:shd w:val="clear" w:color="auto" w:fill="FFFFFF"/>
                                <w:lang w:val="zh-CN"/>
                              </w:rPr>
                              <w:t>年</w:t>
                            </w:r>
                            <w:r>
                              <w:rPr>
                                <w:rFonts w:ascii="MingLiU" w:hAnsi="MingLiU" w:eastAsia="MingLiU"/>
                                <w:color w:val="000000"/>
                                <w:kern w:val="0"/>
                                <w:sz w:val="22"/>
                                <w:szCs w:val="22"/>
                                <w:shd w:val="clear" w:color="auto" w:fill="FFFFFF"/>
                                <w:lang w:val="zh-CN"/>
                              </w:rPr>
                              <w:tab/>
                            </w:r>
                            <w:r>
                              <w:rPr>
                                <w:rFonts w:hint="eastAsia" w:ascii="MingLiU" w:hAnsi="MingLiU" w:eastAsia="MingLiU"/>
                                <w:color w:val="000000"/>
                                <w:kern w:val="0"/>
                                <w:sz w:val="22"/>
                                <w:szCs w:val="22"/>
                                <w:shd w:val="clear" w:color="auto" w:fill="FFFFFF"/>
                                <w:lang w:val="zh-CN"/>
                              </w:rPr>
                              <w:t>月</w:t>
                            </w:r>
                            <w:r>
                              <w:rPr>
                                <w:rFonts w:hint="eastAsia" w:ascii="MingLiU" w:hAnsi="MingLiU"/>
                                <w:color w:val="000000"/>
                                <w:kern w:val="0"/>
                                <w:sz w:val="22"/>
                                <w:szCs w:val="22"/>
                                <w:shd w:val="clear" w:color="auto" w:fill="FFFFFF"/>
                                <w:lang w:val="zh-CN"/>
                              </w:rPr>
                              <w:t xml:space="preserve">    </w:t>
                            </w:r>
                            <w:r>
                              <w:rPr>
                                <w:rFonts w:hint="eastAsia" w:ascii="MingLiU" w:hAnsi="MingLiU" w:eastAsia="MingLiU"/>
                                <w:color w:val="000000"/>
                                <w:kern w:val="0"/>
                                <w:sz w:val="22"/>
                                <w:szCs w:val="22"/>
                                <w:shd w:val="clear" w:color="auto" w:fill="FFFFFF"/>
                                <w:lang w:val="zh-CN"/>
                              </w:rPr>
                              <w:t>曰</w:t>
                            </w:r>
                          </w:p>
                          <w:p w14:paraId="1D4636B5"/>
                        </w:txbxContent>
                      </wps:txbx>
                      <wps:bodyPr rot="0" vert="horz" wrap="square" lIns="91440" tIns="45720" rIns="91440" bIns="45720" anchor="t" anchorCtr="0"/>
                    </wps:wsp>
                  </a:graphicData>
                </a:graphic>
              </wp:anchor>
            </w:drawing>
          </mc:Choice>
          <mc:Fallback>
            <w:pict>
              <v:rect id="_x0000_s1155" o:spid="_x0000_s1026" o:spt="1" style="position:absolute;left:0pt;margin-left:216pt;margin-top:16.4pt;height:72.85pt;width:213.6pt;mso-position-horizontal-relative:margin;mso-wrap-distance-bottom:0pt;mso-wrap-distance-top:0pt;z-index:-251655168;mso-width-relative:page;mso-height-relative:page;" filled="f" stroked="f" coordsize="21600,21600" o:gfxdata="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bSrqPbAAAACgEAAA8AAAAAAAAAAQAgAAAAIgAAAGRycy9kb3ducmV2Lnht&#10;bFBLAQIUABQAAAAIAIdO4kCKIxyGvQEAAIUDAAAOAAAAAAAAAAEAIAAAACoBAABkcnMvZTJvRG9j&#10;LnhtbFBLBQYAAAAABgAGAFkBAABZBQAAAAA=&#10;">
                <v:fill on="f" focussize="0,0"/>
                <v:stroke on="f"/>
                <v:imagedata o:title=""/>
                <o:lock v:ext="edit" aspectratio="f"/>
                <v:textbox>
                  <w:txbxContent>
                    <w:p w14:paraId="4D0F0EBC">
                      <w:pPr>
                        <w:tabs>
                          <w:tab w:val="left" w:leader="underscore" w:pos="2968"/>
                        </w:tabs>
                        <w:spacing w:line="439" w:lineRule="exact"/>
                        <w:ind w:left="340"/>
                        <w:rPr>
                          <w:rFonts w:hint="eastAsia" w:ascii="MingLiU" w:hAnsi="MingLiU" w:eastAsia="MingLiU"/>
                          <w:color w:val="000000"/>
                          <w:kern w:val="0"/>
                          <w:sz w:val="22"/>
                          <w:szCs w:val="22"/>
                          <w:shd w:val="clear" w:color="auto" w:fill="FFFFFF"/>
                          <w:lang w:val="zh-CN"/>
                        </w:rPr>
                      </w:pPr>
                      <w:r>
                        <w:rPr>
                          <w:rFonts w:hint="eastAsia" w:ascii="MingLiU" w:hAnsi="MingLiU" w:eastAsia="MingLiU"/>
                          <w:color w:val="000000"/>
                          <w:kern w:val="0"/>
                          <w:sz w:val="22"/>
                          <w:szCs w:val="22"/>
                          <w:shd w:val="clear" w:color="auto" w:fill="FFFFFF"/>
                          <w:lang w:val="zh-CN"/>
                        </w:rPr>
                        <w:t>承包人：</w:t>
                      </w:r>
                      <w:r>
                        <w:rPr>
                          <w:rFonts w:ascii="MingLiU" w:hAnsi="MingLiU" w:eastAsia="MingLiU"/>
                          <w:color w:val="000000"/>
                          <w:kern w:val="0"/>
                          <w:sz w:val="22"/>
                          <w:szCs w:val="22"/>
                          <w:shd w:val="clear" w:color="auto" w:fill="FFFFFF"/>
                          <w:lang w:val="zh-CN"/>
                        </w:rPr>
                        <w:tab/>
                      </w:r>
                      <w:r>
                        <w:rPr>
                          <w:rFonts w:ascii="MingLiU" w:hAnsi="MingLiU" w:eastAsia="MingLiU"/>
                          <w:color w:val="000000"/>
                          <w:kern w:val="0"/>
                          <w:sz w:val="22"/>
                          <w:szCs w:val="22"/>
                          <w:shd w:val="clear" w:color="auto" w:fill="FFFFFF"/>
                          <w:lang w:val="zh-CN"/>
                        </w:rPr>
                        <w:t xml:space="preserve"> (</w:t>
                      </w:r>
                      <w:r>
                        <w:rPr>
                          <w:rFonts w:hint="eastAsia" w:ascii="MingLiU" w:hAnsi="MingLiU" w:eastAsia="MingLiU"/>
                          <w:color w:val="000000"/>
                          <w:kern w:val="0"/>
                          <w:sz w:val="22"/>
                          <w:szCs w:val="22"/>
                          <w:shd w:val="clear" w:color="auto" w:fill="FFFFFF"/>
                          <w:lang w:val="zh-CN"/>
                        </w:rPr>
                        <w:t>盖单位章</w:t>
                      </w:r>
                      <w:r>
                        <w:rPr>
                          <w:rFonts w:ascii="MingLiU" w:hAnsi="MingLiU" w:eastAsia="MingLiU"/>
                          <w:color w:val="000000"/>
                          <w:kern w:val="0"/>
                          <w:sz w:val="22"/>
                          <w:szCs w:val="22"/>
                          <w:shd w:val="clear" w:color="auto" w:fill="FFFFFF"/>
                          <w:lang w:val="zh-CN"/>
                        </w:rPr>
                        <w:t>)</w:t>
                      </w:r>
                    </w:p>
                    <w:p w14:paraId="64DA9F96">
                      <w:pPr>
                        <w:tabs>
                          <w:tab w:val="left" w:leader="underscore" w:pos="2153"/>
                          <w:tab w:val="left" w:leader="underscore" w:pos="2993"/>
                          <w:tab w:val="left" w:leader="underscore" w:pos="3833"/>
                        </w:tabs>
                        <w:spacing w:line="439" w:lineRule="exact"/>
                        <w:ind w:left="1100" w:hanging="1100"/>
                        <w:jc w:val="left"/>
                        <w:rPr>
                          <w:rFonts w:hint="eastAsia" w:ascii="MingLiU" w:hAnsi="MingLiU" w:eastAsia="MingLiU"/>
                          <w:color w:val="000000"/>
                          <w:kern w:val="0"/>
                          <w:sz w:val="22"/>
                          <w:szCs w:val="22"/>
                          <w:shd w:val="clear" w:color="auto" w:fill="FFFFFF"/>
                          <w:lang w:val="zh-CN"/>
                        </w:rPr>
                      </w:pPr>
                      <w:r>
                        <w:rPr>
                          <w:rFonts w:hint="eastAsia" w:ascii="MingLiU" w:hAnsi="MingLiU" w:eastAsia="MingLiU"/>
                          <w:color w:val="000000"/>
                          <w:kern w:val="0"/>
                          <w:sz w:val="22"/>
                          <w:szCs w:val="22"/>
                          <w:shd w:val="clear" w:color="auto" w:fill="FFFFFF"/>
                          <w:lang w:val="zh-CN"/>
                        </w:rPr>
                        <w:t>法定代表人或其委托代理人：</w:t>
                      </w:r>
                      <w:r>
                        <w:rPr>
                          <w:rFonts w:ascii="MingLiU" w:hAnsi="MingLiU" w:eastAsia="MingLiU"/>
                          <w:color w:val="000000"/>
                          <w:kern w:val="0"/>
                          <w:sz w:val="22"/>
                          <w:szCs w:val="22"/>
                          <w:shd w:val="clear" w:color="auto" w:fill="FFFFFF"/>
                          <w:lang w:val="zh-CN"/>
                        </w:rPr>
                        <w:t>_ (</w:t>
                      </w:r>
                      <w:r>
                        <w:rPr>
                          <w:rFonts w:hint="eastAsia" w:ascii="MingLiU" w:hAnsi="MingLiU" w:eastAsia="MingLiU"/>
                          <w:color w:val="000000"/>
                          <w:kern w:val="0"/>
                          <w:sz w:val="22"/>
                          <w:szCs w:val="22"/>
                          <w:shd w:val="clear" w:color="auto" w:fill="FFFFFF"/>
                          <w:lang w:val="zh-CN"/>
                        </w:rPr>
                        <w:t>签字</w:t>
                      </w:r>
                      <w:r>
                        <w:rPr>
                          <w:rFonts w:ascii="MingLiU" w:hAnsi="MingLiU" w:eastAsia="MingLiU"/>
                          <w:color w:val="000000"/>
                          <w:kern w:val="0"/>
                          <w:sz w:val="22"/>
                          <w:szCs w:val="22"/>
                          <w:shd w:val="clear" w:color="auto" w:fill="FFFFFF"/>
                          <w:lang w:val="zh-CN"/>
                        </w:rPr>
                        <w:t xml:space="preserve">) </w:t>
                      </w:r>
                      <w:r>
                        <w:rPr>
                          <w:rFonts w:ascii="MingLiU" w:hAnsi="MingLiU" w:eastAsia="MingLiU"/>
                          <w:color w:val="000000"/>
                          <w:kern w:val="0"/>
                          <w:sz w:val="22"/>
                          <w:szCs w:val="22"/>
                          <w:shd w:val="clear" w:color="auto" w:fill="FFFFFF"/>
                          <w:lang w:val="zh-CN"/>
                        </w:rPr>
                        <w:tab/>
                      </w:r>
                    </w:p>
                    <w:p w14:paraId="58BA1500">
                      <w:pPr>
                        <w:tabs>
                          <w:tab w:val="left" w:leader="underscore" w:pos="2153"/>
                          <w:tab w:val="left" w:leader="underscore" w:pos="2993"/>
                          <w:tab w:val="left" w:leader="underscore" w:pos="3833"/>
                        </w:tabs>
                        <w:wordWrap w:val="0"/>
                        <w:spacing w:line="439" w:lineRule="exact"/>
                        <w:ind w:left="1098" w:leftChars="156" w:hanging="770" w:hangingChars="350"/>
                        <w:jc w:val="right"/>
                        <w:rPr>
                          <w:rFonts w:hint="eastAsia" w:ascii="MingLiU" w:hAnsi="MingLiU" w:eastAsia="MingLiU"/>
                          <w:color w:val="000000"/>
                          <w:kern w:val="0"/>
                          <w:sz w:val="22"/>
                          <w:szCs w:val="22"/>
                          <w:shd w:val="clear" w:color="auto" w:fill="FFFFFF"/>
                          <w:lang w:val="zh-CN"/>
                        </w:rPr>
                      </w:pPr>
                      <w:r>
                        <w:rPr>
                          <w:rFonts w:hint="eastAsia" w:ascii="MingLiU" w:hAnsi="MingLiU" w:eastAsia="MingLiU"/>
                          <w:color w:val="000000"/>
                          <w:kern w:val="0"/>
                          <w:sz w:val="22"/>
                          <w:szCs w:val="22"/>
                          <w:shd w:val="clear" w:color="auto" w:fill="FFFFFF"/>
                          <w:lang w:val="zh-CN"/>
                        </w:rPr>
                        <w:t>年</w:t>
                      </w:r>
                      <w:r>
                        <w:rPr>
                          <w:rFonts w:ascii="MingLiU" w:hAnsi="MingLiU" w:eastAsia="MingLiU"/>
                          <w:color w:val="000000"/>
                          <w:kern w:val="0"/>
                          <w:sz w:val="22"/>
                          <w:szCs w:val="22"/>
                          <w:shd w:val="clear" w:color="auto" w:fill="FFFFFF"/>
                          <w:lang w:val="zh-CN"/>
                        </w:rPr>
                        <w:tab/>
                      </w:r>
                      <w:r>
                        <w:rPr>
                          <w:rFonts w:hint="eastAsia" w:ascii="MingLiU" w:hAnsi="MingLiU" w:eastAsia="MingLiU"/>
                          <w:color w:val="000000"/>
                          <w:kern w:val="0"/>
                          <w:sz w:val="22"/>
                          <w:szCs w:val="22"/>
                          <w:shd w:val="clear" w:color="auto" w:fill="FFFFFF"/>
                          <w:lang w:val="zh-CN"/>
                        </w:rPr>
                        <w:t>月</w:t>
                      </w:r>
                      <w:r>
                        <w:rPr>
                          <w:rFonts w:hint="eastAsia" w:ascii="MingLiU" w:hAnsi="MingLiU"/>
                          <w:color w:val="000000"/>
                          <w:kern w:val="0"/>
                          <w:sz w:val="22"/>
                          <w:szCs w:val="22"/>
                          <w:shd w:val="clear" w:color="auto" w:fill="FFFFFF"/>
                          <w:lang w:val="zh-CN"/>
                        </w:rPr>
                        <w:t xml:space="preserve">    </w:t>
                      </w:r>
                      <w:r>
                        <w:rPr>
                          <w:rFonts w:hint="eastAsia" w:ascii="MingLiU" w:hAnsi="MingLiU" w:eastAsia="MingLiU"/>
                          <w:color w:val="000000"/>
                          <w:kern w:val="0"/>
                          <w:sz w:val="22"/>
                          <w:szCs w:val="22"/>
                          <w:shd w:val="clear" w:color="auto" w:fill="FFFFFF"/>
                          <w:lang w:val="zh-CN"/>
                        </w:rPr>
                        <w:t>曰</w:t>
                      </w:r>
                    </w:p>
                    <w:p w14:paraId="1D4636B5"/>
                  </w:txbxContent>
                </v:textbox>
                <w10:wrap type="topAndBottom"/>
              </v:rect>
            </w:pict>
          </mc:Fallback>
        </mc:AlternateContent>
      </w:r>
      <w:r>
        <w:rPr>
          <w:rFonts w:ascii="Cambria" w:hAnsi="Cambria" w:eastAsia="黑体"/>
          <w:b/>
          <w:bCs/>
          <w:color w:val="auto"/>
          <w:sz w:val="28"/>
          <w:szCs w:val="28"/>
        </w:rPr>
        <w:br w:type="page"/>
      </w:r>
    </w:p>
    <w:p w14:paraId="22791181">
      <w:pPr>
        <w:keepNext/>
        <w:keepLines/>
        <w:spacing w:before="120" w:after="120" w:line="240" w:lineRule="auto"/>
        <w:jc w:val="left"/>
        <w:outlineLvl w:val="3"/>
        <w:rPr>
          <w:rFonts w:hint="eastAsia" w:ascii="Cambria" w:hAnsi="Cambria" w:eastAsia="黑体"/>
          <w:b/>
          <w:bCs/>
          <w:color w:val="auto"/>
          <w:sz w:val="28"/>
          <w:szCs w:val="28"/>
        </w:rPr>
      </w:pPr>
      <w:bookmarkStart w:id="147" w:name="_Toc98873427"/>
      <w:bookmarkEnd w:id="147"/>
      <w:r>
        <w:rPr>
          <w:rFonts w:hint="eastAsia" w:ascii="Cambria" w:hAnsi="Cambria" w:eastAsia="黑体"/>
          <w:b/>
          <w:bCs/>
          <w:color w:val="auto"/>
          <w:sz w:val="28"/>
          <w:szCs w:val="28"/>
        </w:rPr>
        <w:t>附件三  安全生产合同</w:t>
      </w:r>
    </w:p>
    <w:p w14:paraId="71B0F637">
      <w:pPr>
        <w:keepNext/>
        <w:keepLines/>
        <w:spacing w:after="388" w:line="240" w:lineRule="auto"/>
        <w:jc w:val="center"/>
        <w:outlineLvl w:val="6"/>
        <w:rPr>
          <w:rFonts w:hint="eastAsia" w:ascii="宋体" w:hAnsi="宋体"/>
          <w:color w:val="auto"/>
          <w:spacing w:val="10"/>
          <w:kern w:val="0"/>
          <w:sz w:val="26"/>
          <w:szCs w:val="26"/>
          <w:shd w:val="clear" w:color="auto" w:fill="FFFFFF"/>
          <w:lang w:val="zh-CN"/>
        </w:rPr>
      </w:pPr>
      <w:bookmarkStart w:id="148" w:name="bookmark191"/>
      <w:bookmarkEnd w:id="148"/>
      <w:r>
        <w:rPr>
          <w:rFonts w:hint="eastAsia" w:ascii="宋体" w:hAnsi="宋体"/>
          <w:color w:val="auto"/>
          <w:spacing w:val="10"/>
          <w:kern w:val="0"/>
          <w:sz w:val="26"/>
          <w:szCs w:val="26"/>
          <w:shd w:val="clear" w:color="auto" w:fill="FFFFFF"/>
          <w:lang w:val="zh-CN"/>
        </w:rPr>
        <w:t>安全生产合同</w:t>
      </w:r>
    </w:p>
    <w:p w14:paraId="173768B0">
      <w:pPr>
        <w:tabs>
          <w:tab w:val="left" w:leader="underscore" w:pos="2726"/>
          <w:tab w:val="left" w:leader="underscore" w:pos="4730"/>
        </w:tabs>
        <w:spacing w:line="240" w:lineRule="auto"/>
        <w:ind w:left="66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为在</w:t>
      </w:r>
      <w:r>
        <w:rPr>
          <w:rFonts w:ascii="宋体" w:hAnsi="宋体"/>
          <w:color w:val="auto"/>
          <w:kern w:val="0"/>
          <w:sz w:val="22"/>
          <w:szCs w:val="22"/>
          <w:shd w:val="clear" w:color="auto" w:fill="FFFFFF"/>
          <w:lang w:val="zh-CN" w:bidi="zh-CN"/>
        </w:rPr>
        <w:tab/>
      </w:r>
      <w:r>
        <w:rPr>
          <w:rFonts w:ascii="宋体" w:hAnsi="宋体"/>
          <w:color w:val="auto"/>
          <w:kern w:val="0"/>
          <w:sz w:val="22"/>
          <w:szCs w:val="22"/>
          <w:shd w:val="clear" w:color="auto" w:fill="FFFFFF"/>
          <w:lang w:val="zh-CN" w:bidi="zh-CN"/>
        </w:rPr>
        <w:t>(</w:t>
      </w:r>
      <w:r>
        <w:rPr>
          <w:rFonts w:hint="eastAsia" w:ascii="宋体" w:hAnsi="宋体"/>
          <w:color w:val="auto"/>
          <w:kern w:val="0"/>
          <w:sz w:val="22"/>
          <w:szCs w:val="22"/>
          <w:shd w:val="clear" w:color="auto" w:fill="FFFFFF"/>
          <w:lang w:val="zh-CN" w:bidi="zh-CN"/>
        </w:rPr>
        <w:t>项目名称）</w:t>
      </w:r>
      <w:r>
        <w:rPr>
          <w:rFonts w:ascii="宋体" w:hAnsi="宋体"/>
          <w:color w:val="auto"/>
          <w:kern w:val="0"/>
          <w:sz w:val="22"/>
          <w:szCs w:val="22"/>
          <w:shd w:val="clear" w:color="auto" w:fill="FFFFFF"/>
          <w:lang w:val="zh-CN" w:bidi="zh-CN"/>
        </w:rPr>
        <w:tab/>
      </w:r>
      <w:r>
        <w:rPr>
          <w:rFonts w:hint="eastAsia" w:ascii="宋体" w:hAnsi="宋体"/>
          <w:color w:val="auto"/>
          <w:kern w:val="0"/>
          <w:sz w:val="22"/>
          <w:szCs w:val="22"/>
          <w:shd w:val="clear" w:color="auto" w:fill="FFFFFF"/>
          <w:lang w:val="zh-CN" w:bidi="zh-CN"/>
        </w:rPr>
        <w:t>标段施工合同的实施过程中创造安全、</w:t>
      </w:r>
    </w:p>
    <w:p w14:paraId="1ECE2AFE">
      <w:pPr>
        <w:tabs>
          <w:tab w:val="left" w:leader="underscore" w:pos="8220"/>
        </w:tabs>
        <w:spacing w:line="240" w:lineRule="auto"/>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高效的施工环境，切实搞好本项目的安全管理工作，本项目发包人</w:t>
      </w:r>
      <w:r>
        <w:rPr>
          <w:rFonts w:ascii="宋体" w:hAnsi="宋体"/>
          <w:color w:val="auto"/>
          <w:kern w:val="0"/>
          <w:sz w:val="22"/>
          <w:szCs w:val="22"/>
          <w:shd w:val="clear" w:color="auto" w:fill="FFFFFF"/>
          <w:lang w:val="zh-CN" w:bidi="zh-CN"/>
        </w:rPr>
        <w:tab/>
      </w:r>
      <w:r>
        <w:rPr>
          <w:rFonts w:ascii="宋体" w:hAnsi="宋体"/>
          <w:color w:val="auto"/>
          <w:kern w:val="0"/>
          <w:sz w:val="22"/>
          <w:szCs w:val="22"/>
          <w:shd w:val="clear" w:color="auto" w:fill="FFFFFF"/>
          <w:lang w:val="zh-CN" w:bidi="zh-CN"/>
        </w:rPr>
        <w:t>(</w:t>
      </w:r>
      <w:r>
        <w:rPr>
          <w:rFonts w:hint="eastAsia" w:ascii="宋体" w:hAnsi="宋体"/>
          <w:color w:val="auto"/>
          <w:kern w:val="0"/>
          <w:sz w:val="22"/>
          <w:szCs w:val="22"/>
          <w:shd w:val="clear" w:color="auto" w:fill="FFFFFF"/>
          <w:lang w:val="zh-CN" w:bidi="zh-CN"/>
        </w:rPr>
        <w:t>发</w:t>
      </w:r>
    </w:p>
    <w:p w14:paraId="1F5BD51E">
      <w:pPr>
        <w:tabs>
          <w:tab w:val="left" w:leader="underscore" w:pos="5710"/>
        </w:tabs>
        <w:spacing w:line="240" w:lineRule="auto"/>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包人名称，以下简称“发包人”）与承包人</w:t>
      </w:r>
      <w:r>
        <w:rPr>
          <w:rFonts w:ascii="宋体" w:hAnsi="宋体"/>
          <w:color w:val="auto"/>
          <w:kern w:val="0"/>
          <w:sz w:val="22"/>
          <w:szCs w:val="22"/>
          <w:shd w:val="clear" w:color="auto" w:fill="FFFFFF"/>
          <w:lang w:val="zh-CN" w:bidi="zh-CN"/>
        </w:rPr>
        <w:tab/>
      </w:r>
      <w:r>
        <w:rPr>
          <w:rFonts w:ascii="宋体" w:hAnsi="宋体"/>
          <w:color w:val="auto"/>
          <w:kern w:val="0"/>
          <w:sz w:val="22"/>
          <w:szCs w:val="22"/>
          <w:shd w:val="clear" w:color="auto" w:fill="FFFFFF"/>
          <w:lang w:val="zh-CN" w:bidi="zh-CN"/>
        </w:rPr>
        <w:t>(</w:t>
      </w:r>
      <w:r>
        <w:rPr>
          <w:rFonts w:hint="eastAsia" w:ascii="宋体" w:hAnsi="宋体"/>
          <w:color w:val="auto"/>
          <w:kern w:val="0"/>
          <w:sz w:val="22"/>
          <w:szCs w:val="22"/>
          <w:shd w:val="clear" w:color="auto" w:fill="FFFFFF"/>
          <w:lang w:val="zh-CN" w:bidi="zh-CN"/>
        </w:rPr>
        <w:t>承包人名称，以下简称“承</w:t>
      </w:r>
    </w:p>
    <w:p w14:paraId="48725C77">
      <w:pPr>
        <w:spacing w:line="240" w:lineRule="auto"/>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包人”）特此签订安全生产合同：</w:t>
      </w:r>
    </w:p>
    <w:p w14:paraId="6DF388CA">
      <w:pPr>
        <w:keepNext/>
        <w:keepLines/>
        <w:numPr>
          <w:ilvl w:val="0"/>
          <w:numId w:val="10"/>
        </w:numPr>
        <w:tabs>
          <w:tab w:val="left" w:pos="994"/>
        </w:tabs>
        <w:spacing w:line="240" w:lineRule="auto"/>
        <w:ind w:firstLine="442" w:firstLineChars="200"/>
        <w:outlineLvl w:val="7"/>
        <w:rPr>
          <w:rFonts w:hint="eastAsia" w:ascii="宋体" w:hAnsi="宋体"/>
          <w:b/>
          <w:bCs/>
          <w:color w:val="auto"/>
          <w:kern w:val="0"/>
          <w:sz w:val="22"/>
          <w:szCs w:val="22"/>
          <w:lang w:val="zh-CN" w:bidi="zh-CN"/>
        </w:rPr>
      </w:pPr>
      <w:bookmarkStart w:id="149" w:name="bookmark192"/>
      <w:bookmarkEnd w:id="149"/>
      <w:r>
        <w:rPr>
          <w:rFonts w:hint="eastAsia" w:ascii="宋体" w:hAnsi="宋体"/>
          <w:b/>
          <w:bCs/>
          <w:color w:val="auto"/>
          <w:kern w:val="0"/>
          <w:sz w:val="22"/>
          <w:szCs w:val="22"/>
          <w:lang w:val="zh-CN" w:bidi="zh-CN"/>
        </w:rPr>
        <w:t>发包人职责</w:t>
      </w:r>
    </w:p>
    <w:p w14:paraId="7C338E70">
      <w:pPr>
        <w:numPr>
          <w:ilvl w:val="0"/>
          <w:numId w:val="11"/>
        </w:numPr>
        <w:tabs>
          <w:tab w:val="left" w:pos="1268"/>
        </w:tabs>
        <w:spacing w:line="240" w:lineRule="auto"/>
        <w:ind w:firstLine="440" w:firstLineChars="20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严格遵守国家有关安全生产的法律法规，认真执行工程承包合同中的有</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关安全要求。</w:t>
      </w:r>
    </w:p>
    <w:p w14:paraId="01434B55">
      <w:pPr>
        <w:numPr>
          <w:ilvl w:val="0"/>
          <w:numId w:val="11"/>
        </w:numPr>
        <w:tabs>
          <w:tab w:val="left" w:pos="1273"/>
        </w:tabs>
        <w:spacing w:line="240" w:lineRule="auto"/>
        <w:ind w:firstLine="440" w:firstLineChars="20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按照“安全第一、预防为主”和坚持“管生产必须管安全”的原则进行安全</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生产管理，做到生产与安全工作同时计划、布置、检查、总结和评比。</w:t>
      </w:r>
    </w:p>
    <w:p w14:paraId="1C963242">
      <w:pPr>
        <w:numPr>
          <w:ilvl w:val="0"/>
          <w:numId w:val="11"/>
        </w:numPr>
        <w:tabs>
          <w:tab w:val="left" w:pos="1263"/>
        </w:tabs>
        <w:spacing w:line="240" w:lineRule="auto"/>
        <w:ind w:firstLine="440" w:firstLineChars="200"/>
        <w:jc w:val="left"/>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重要的安全设施必须坚持与主体工程“三同时”的原则：同时设计、</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审批，同时施工，同时验收，投入使用。</w:t>
      </w:r>
    </w:p>
    <w:p w14:paraId="44441801">
      <w:pPr>
        <w:numPr>
          <w:ilvl w:val="0"/>
          <w:numId w:val="11"/>
        </w:numPr>
        <w:tabs>
          <w:tab w:val="left" w:pos="1311"/>
        </w:tabs>
        <w:spacing w:line="240" w:lineRule="auto"/>
        <w:ind w:firstLine="440" w:firstLineChars="20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定期召开安全生产调度会，及时传达中央及地方有关安全生产的精神。</w:t>
      </w:r>
    </w:p>
    <w:p w14:paraId="06BD6641">
      <w:pPr>
        <w:numPr>
          <w:ilvl w:val="0"/>
          <w:numId w:val="11"/>
        </w:numPr>
        <w:tabs>
          <w:tab w:val="left" w:pos="1273"/>
        </w:tabs>
        <w:spacing w:line="240" w:lineRule="auto"/>
        <w:ind w:firstLine="440" w:firstLineChars="20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组织对承包人施工现场进行安全生产检查，监督承包人及时处理发现的</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各种安全隐患。</w:t>
      </w:r>
    </w:p>
    <w:p w14:paraId="6B4A464A">
      <w:pPr>
        <w:keepNext/>
        <w:keepLines/>
        <w:numPr>
          <w:ilvl w:val="0"/>
          <w:numId w:val="10"/>
        </w:numPr>
        <w:tabs>
          <w:tab w:val="left" w:pos="1018"/>
        </w:tabs>
        <w:spacing w:line="240" w:lineRule="auto"/>
        <w:ind w:firstLine="442" w:firstLineChars="200"/>
        <w:outlineLvl w:val="7"/>
        <w:rPr>
          <w:rFonts w:hint="eastAsia" w:ascii="宋体" w:hAnsi="宋体"/>
          <w:b/>
          <w:bCs/>
          <w:color w:val="auto"/>
          <w:kern w:val="0"/>
          <w:sz w:val="22"/>
          <w:szCs w:val="22"/>
          <w:lang w:val="zh-CN" w:bidi="zh-CN"/>
        </w:rPr>
      </w:pPr>
      <w:bookmarkStart w:id="150" w:name="bookmark193"/>
      <w:bookmarkEnd w:id="150"/>
      <w:r>
        <w:rPr>
          <w:rFonts w:hint="eastAsia" w:ascii="宋体" w:hAnsi="宋体"/>
          <w:b/>
          <w:bCs/>
          <w:color w:val="auto"/>
          <w:kern w:val="0"/>
          <w:sz w:val="22"/>
          <w:szCs w:val="22"/>
          <w:lang w:val="zh-CN" w:bidi="zh-CN"/>
        </w:rPr>
        <w:t>承包人职责</w:t>
      </w:r>
    </w:p>
    <w:p w14:paraId="6CAAB5F7">
      <w:pPr>
        <w:numPr>
          <w:ilvl w:val="0"/>
          <w:numId w:val="12"/>
        </w:numPr>
        <w:tabs>
          <w:tab w:val="left" w:pos="1270"/>
        </w:tabs>
        <w:spacing w:line="240" w:lineRule="auto"/>
        <w:ind w:firstLine="440" w:firstLineChars="20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严格遵守《中华人民共和国安全生产法》、《建设工程安全生产管理条例》</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等国家有关安全生产的法律法规、《公路水运工程安全生产监督管理办法》和《公路</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工程施工安全技术规范》等有关安全生产的规定。认真执行工程承包合同中的有关</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安全要求。</w:t>
      </w:r>
    </w:p>
    <w:p w14:paraId="1BD8B4AC">
      <w:pPr>
        <w:numPr>
          <w:ilvl w:val="0"/>
          <w:numId w:val="12"/>
        </w:numPr>
        <w:tabs>
          <w:tab w:val="left" w:pos="1275"/>
        </w:tabs>
        <w:spacing w:line="240" w:lineRule="auto"/>
        <w:ind w:firstLine="440" w:firstLineChars="200"/>
        <w:jc w:val="left"/>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坚持“安全第一、预防为主”和“管生产必须管安全”的原则，加强安全生</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产宣传教育，增强全员安全生产意识，建立健全各项安全生产的管理机构和安全生</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产管理制度，配备专职及兼职安全检查人员，有组织有领导地开展安全生产活动。</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各级领导、工程技术人员、生产管理人员和具体操作人员，必须熟悉和遵守本合同</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的各项规定，做到生产与安全工作同时计划、布置、检查、总结和评比。</w:t>
      </w:r>
    </w:p>
    <w:p w14:paraId="22653EDE">
      <w:pPr>
        <w:numPr>
          <w:ilvl w:val="0"/>
          <w:numId w:val="12"/>
        </w:numPr>
        <w:tabs>
          <w:tab w:val="left" w:pos="1275"/>
        </w:tabs>
        <w:spacing w:line="240" w:lineRule="auto"/>
        <w:ind w:firstLine="440" w:firstLineChars="20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建立健全安全生产责任制。从派往项目实施的项目经理到生产工人（包</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括临时雇请的民工）的安全生产管理系统必须做到纵向到底，一环不漏；各职能部</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门、人员的安全生产责任制做到横向到边，人人有责。项目经理是安全生产的第一</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责任人。现场设置的安全机构，应按《公路水运工程安全生产监督管理办法》规定</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的最低数量和资质条件配备专职安全生产管理人员，专职负责所有员工的安全和治</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安保卫工作及预防事故的发生。安全机构人员有权按有关规定发布指令，并采取保</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护性措施防止事故发生。</w:t>
      </w:r>
    </w:p>
    <w:p w14:paraId="6F28DBD2">
      <w:pPr>
        <w:numPr>
          <w:ilvl w:val="0"/>
          <w:numId w:val="12"/>
        </w:numPr>
        <w:tabs>
          <w:tab w:val="left" w:pos="531"/>
        </w:tabs>
        <w:spacing w:line="240" w:lineRule="auto"/>
        <w:ind w:firstLine="440" w:firstLineChars="20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承包人在任何时候都应采取各种合理的预防措施，防止其员工发生任何</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违法、违禁、暴力或妨碍治安的行为。</w:t>
      </w:r>
    </w:p>
    <w:p w14:paraId="47CE7503">
      <w:pPr>
        <w:numPr>
          <w:ilvl w:val="0"/>
          <w:numId w:val="12"/>
        </w:numPr>
        <w:tabs>
          <w:tab w:val="left" w:pos="1273"/>
        </w:tabs>
        <w:spacing w:line="240" w:lineRule="auto"/>
        <w:ind w:firstLine="440" w:firstLineChars="20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承包人必须具有劳动安全管理部门颁发的安全生产考核合格证书，参加</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施工的人员，必须接受安全技术教育，熟知和遵守本工种的各项安全技术操作规程，</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定期进行安全技术考核，合格者方准上岗操作。对于从事电气、起重、建筑登高架</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设作业、锅炉、压力容器、焊接、机动车船艇驾驶、爆破、潜水、瓦斯检验等特殊</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工种的人员，经过专业培训，获得《安全操作合格证》后，方准持证上岗。施工现</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场如出现特种作业无证操作现象时，项目经理必须承担管理责任。</w:t>
      </w:r>
    </w:p>
    <w:p w14:paraId="6FA658A2">
      <w:pPr>
        <w:numPr>
          <w:ilvl w:val="0"/>
          <w:numId w:val="12"/>
        </w:numPr>
        <w:tabs>
          <w:tab w:val="left" w:pos="1273"/>
        </w:tabs>
        <w:spacing w:line="240" w:lineRule="auto"/>
        <w:ind w:firstLine="440" w:firstLineChars="20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对于易燃易爆的材料除应专门妥善保管之外，还应配备有足够的消防设</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施，所有施工人员都应熟悉消防设备的性能和使用方法；承包人不得将任何种类的</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爆炸物给予、易货或以其他方式转让给任何其他人，或允许、容忍上述同样行为。</w:t>
      </w:r>
    </w:p>
    <w:p w14:paraId="2EA599BB">
      <w:pPr>
        <w:numPr>
          <w:ilvl w:val="0"/>
          <w:numId w:val="12"/>
        </w:numPr>
        <w:tabs>
          <w:tab w:val="left" w:pos="1261"/>
        </w:tabs>
        <w:spacing w:line="240" w:lineRule="auto"/>
        <w:ind w:firstLine="440" w:firstLineChars="20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操作人员上岗，必须按规定穿戴防护用品。施工负责人和安全检查员应</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随时检查劳动防护用品的穿戴情况，不按规定穿戴防护用品的人员不得上岗。</w:t>
      </w:r>
    </w:p>
    <w:p w14:paraId="30BB01CF">
      <w:pPr>
        <w:numPr>
          <w:ilvl w:val="0"/>
          <w:numId w:val="12"/>
        </w:numPr>
        <w:tabs>
          <w:tab w:val="left" w:pos="1273"/>
        </w:tabs>
        <w:spacing w:line="240" w:lineRule="auto"/>
        <w:ind w:firstLine="440" w:firstLineChars="20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所有施工机具设备和高空作业的设备均应定期检查，并有安全员的签字</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记录，保证其经常处于完好状态；不合格的机具、设备和劳动保护用品严禁使用。</w:t>
      </w:r>
    </w:p>
    <w:p w14:paraId="59CA4C38">
      <w:pPr>
        <w:numPr>
          <w:ilvl w:val="0"/>
          <w:numId w:val="12"/>
        </w:numPr>
        <w:tabs>
          <w:tab w:val="left" w:pos="1270"/>
        </w:tabs>
        <w:spacing w:line="240" w:lineRule="auto"/>
        <w:ind w:firstLine="440" w:firstLineChars="20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施工中采用新技术、新工艺、新设备、新材料时，必须制定相应的安全</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技术措施，施工现场必须具有相关的安全标志牌。</w:t>
      </w:r>
    </w:p>
    <w:p w14:paraId="6542978F">
      <w:pPr>
        <w:numPr>
          <w:ilvl w:val="0"/>
          <w:numId w:val="12"/>
        </w:numPr>
        <w:tabs>
          <w:tab w:val="left" w:pos="1390"/>
        </w:tabs>
        <w:spacing w:line="240" w:lineRule="auto"/>
        <w:ind w:firstLine="440" w:firstLineChars="200"/>
        <w:jc w:val="left"/>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承包人必须按照本工程项目特点，组织制定本工程实施中的生产安全事</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故应急救援预案；如果发生安全事故，应按照《国务院关于特大安全事故行政责任</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追究的规定》以及其他有关规定，及时上报有关部门，并坚持“四不放过”的原则，</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严肃处理相关责任人。</w:t>
      </w:r>
    </w:p>
    <w:p w14:paraId="027F24DD">
      <w:pPr>
        <w:numPr>
          <w:ilvl w:val="0"/>
          <w:numId w:val="12"/>
        </w:numPr>
        <w:tabs>
          <w:tab w:val="left" w:pos="1390"/>
        </w:tabs>
        <w:spacing w:line="240" w:lineRule="auto"/>
        <w:ind w:firstLine="440" w:firstLineChars="20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安全生产费用按照《公路水运工程安全生产监督管理办法》的相关规定</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使用和管理。</w:t>
      </w:r>
    </w:p>
    <w:p w14:paraId="63F0E46C">
      <w:pPr>
        <w:numPr>
          <w:ilvl w:val="0"/>
          <w:numId w:val="10"/>
        </w:numPr>
        <w:tabs>
          <w:tab w:val="left" w:pos="994"/>
        </w:tabs>
        <w:spacing w:line="240" w:lineRule="auto"/>
        <w:ind w:firstLine="442" w:firstLineChars="200"/>
        <w:rPr>
          <w:rFonts w:hint="eastAsia" w:ascii="宋体" w:hAnsi="宋体"/>
          <w:b/>
          <w:bCs/>
          <w:color w:val="auto"/>
          <w:kern w:val="0"/>
          <w:sz w:val="22"/>
          <w:szCs w:val="22"/>
          <w:lang w:val="zh-CN" w:bidi="zh-CN"/>
        </w:rPr>
      </w:pPr>
      <w:r>
        <w:rPr>
          <w:rFonts w:hint="eastAsia" w:ascii="宋体" w:hAnsi="宋体"/>
          <w:b/>
          <w:bCs/>
          <w:color w:val="auto"/>
          <w:kern w:val="0"/>
          <w:sz w:val="22"/>
          <w:szCs w:val="22"/>
          <w:lang w:val="zh-CN" w:bidi="zh-CN"/>
        </w:rPr>
        <w:t>违约责任</w:t>
      </w:r>
    </w:p>
    <w:p w14:paraId="2153EE28">
      <w:pPr>
        <w:spacing w:line="240" w:lineRule="auto"/>
        <w:ind w:left="64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如因发包人或承包人违约造成安全事故，将依法追究责任。</w:t>
      </w:r>
    </w:p>
    <w:p w14:paraId="1175C153">
      <w:pPr>
        <w:numPr>
          <w:ilvl w:val="0"/>
          <w:numId w:val="10"/>
        </w:numPr>
        <w:tabs>
          <w:tab w:val="left" w:pos="994"/>
        </w:tabs>
        <w:spacing w:line="240" w:lineRule="auto"/>
        <w:ind w:firstLine="638" w:firstLineChars="290"/>
        <w:rPr>
          <w:rFonts w:hint="eastAsia" w:ascii="宋体" w:hAnsi="宋体"/>
          <w:color w:val="auto"/>
          <w:kern w:val="0"/>
          <w:sz w:val="22"/>
          <w:szCs w:val="22"/>
          <w:lang w:val="zh-CN" w:bidi="zh-CN"/>
        </w:rPr>
      </w:pPr>
      <w:r>
        <w:rPr>
          <w:rFonts w:hint="eastAsia" w:ascii="宋体" w:hAnsi="宋体"/>
          <w:color w:val="auto"/>
          <w:kern w:val="0"/>
          <w:sz w:val="22"/>
          <w:szCs w:val="22"/>
          <w:lang w:val="zh-CN" w:bidi="zh-CN"/>
        </w:rPr>
        <w:t>本合同由双方法定代表人或其授权的代理人签署并加盖单位章后生效，全部工程竣工验收后失效。</w:t>
      </w:r>
    </w:p>
    <w:p w14:paraId="00521585">
      <w:pPr>
        <w:numPr>
          <w:ilvl w:val="0"/>
          <w:numId w:val="10"/>
        </w:numPr>
        <w:tabs>
          <w:tab w:val="left" w:pos="994"/>
        </w:tabs>
        <w:spacing w:line="240" w:lineRule="auto"/>
        <w:ind w:firstLine="638" w:firstLineChars="290"/>
        <w:rPr>
          <w:rFonts w:hint="eastAsia" w:ascii="宋体" w:hAnsi="宋体"/>
          <w:color w:val="auto"/>
          <w:kern w:val="0"/>
          <w:sz w:val="22"/>
          <w:szCs w:val="22"/>
          <w:lang w:val="zh-CN" w:bidi="zh-CN"/>
        </w:rPr>
      </w:pPr>
      <w:r>
        <w:rPr>
          <w:rFonts w:hint="eastAsia" w:ascii="宋体" w:hAnsi="宋体"/>
          <w:color w:val="auto"/>
          <w:kern w:val="0"/>
          <w:sz w:val="22"/>
          <w:szCs w:val="22"/>
          <w:lang w:val="zh-CN" w:bidi="zh-CN"/>
        </w:rPr>
        <w:t>本合同正本二份、副本</w:t>
      </w:r>
      <w:r>
        <w:rPr>
          <w:rFonts w:ascii="宋体" w:hAnsi="宋体"/>
          <w:color w:val="auto"/>
          <w:kern w:val="0"/>
          <w:sz w:val="22"/>
          <w:szCs w:val="22"/>
          <w:lang w:val="zh-CN" w:bidi="zh-CN"/>
        </w:rPr>
        <w:tab/>
      </w:r>
      <w:r>
        <w:rPr>
          <w:rFonts w:hint="eastAsia" w:ascii="宋体" w:hAnsi="宋体"/>
          <w:color w:val="auto"/>
          <w:kern w:val="0"/>
          <w:sz w:val="22"/>
          <w:szCs w:val="22"/>
          <w:lang w:val="zh-CN" w:bidi="zh-CN"/>
        </w:rPr>
        <w:t>份，合同双方各执正本一份，副本</w:t>
      </w:r>
      <w:r>
        <w:rPr>
          <w:rFonts w:ascii="宋体" w:hAnsi="宋体"/>
          <w:color w:val="auto"/>
          <w:kern w:val="0"/>
          <w:sz w:val="22"/>
          <w:szCs w:val="22"/>
          <w:lang w:val="zh-CN" w:bidi="zh-CN"/>
        </w:rPr>
        <w:tab/>
      </w:r>
      <w:r>
        <w:rPr>
          <w:rFonts w:hint="eastAsia" w:ascii="宋体" w:hAnsi="宋体"/>
          <w:color w:val="auto"/>
          <w:kern w:val="0"/>
          <w:sz w:val="22"/>
          <w:szCs w:val="22"/>
          <w:lang w:val="zh-CN" w:bidi="zh-CN"/>
        </w:rPr>
        <w:t>份，当正本与副本的内容不一致时，以正本为准。</w:t>
      </w:r>
    </w:p>
    <w:p w14:paraId="5E35C6CC">
      <w:pPr>
        <w:tabs>
          <w:tab w:val="left" w:leader="underscore" w:pos="2747"/>
          <w:tab w:val="left" w:pos="4634"/>
          <w:tab w:val="left" w:leader="underscore" w:pos="7408"/>
        </w:tabs>
        <w:spacing w:line="240" w:lineRule="auto"/>
        <w:rPr>
          <w:rFonts w:hint="eastAsia" w:ascii="宋体" w:hAnsi="宋体"/>
          <w:iCs/>
          <w:color w:val="auto"/>
          <w:spacing w:val="10"/>
          <w:kern w:val="0"/>
          <w:sz w:val="24"/>
          <w:shd w:val="clear" w:color="auto" w:fill="FFFFFF"/>
          <w:lang w:val="zh-CN"/>
        </w:rPr>
      </w:pPr>
    </w:p>
    <w:p w14:paraId="2B6BC79F">
      <w:pPr>
        <w:tabs>
          <w:tab w:val="left" w:leader="underscore" w:pos="2747"/>
          <w:tab w:val="left" w:pos="4634"/>
          <w:tab w:val="left" w:leader="underscore" w:pos="7408"/>
        </w:tabs>
        <w:spacing w:line="240" w:lineRule="auto"/>
        <w:rPr>
          <w:rFonts w:hint="eastAsia" w:ascii="宋体" w:hAnsi="宋体"/>
          <w:iCs/>
          <w:color w:val="auto"/>
          <w:spacing w:val="10"/>
          <w:kern w:val="0"/>
          <w:sz w:val="24"/>
          <w:shd w:val="clear" w:color="auto" w:fill="FFFFFF"/>
          <w:lang w:val="zh-CN"/>
        </w:rPr>
      </w:pPr>
    </w:p>
    <w:p w14:paraId="2B7E3548">
      <w:pPr>
        <w:tabs>
          <w:tab w:val="left" w:leader="underscore" w:pos="2747"/>
          <w:tab w:val="left" w:pos="4634"/>
          <w:tab w:val="left" w:leader="underscore" w:pos="7408"/>
        </w:tabs>
        <w:spacing w:line="240" w:lineRule="auto"/>
        <w:rPr>
          <w:rFonts w:hint="eastAsia" w:ascii="宋体" w:hAnsi="宋体"/>
          <w:iCs/>
          <w:color w:val="auto"/>
          <w:spacing w:val="10"/>
          <w:kern w:val="0"/>
          <w:sz w:val="24"/>
          <w:shd w:val="clear" w:color="auto" w:fill="FFFFFF"/>
          <w:lang w:val="zh-CN"/>
        </w:rPr>
      </w:pPr>
      <w:r>
        <w:rPr>
          <w:rFonts w:hint="eastAsia" w:ascii="宋体" w:hAnsi="宋体"/>
          <w:iCs/>
          <w:color w:val="auto"/>
          <w:spacing w:val="10"/>
          <w:kern w:val="0"/>
          <w:sz w:val="24"/>
          <w:shd w:val="clear" w:color="auto" w:fill="FFFFFF"/>
          <w:lang w:val="zh-CN"/>
        </w:rPr>
        <w:t>发包人</w:t>
      </w:r>
      <w:r>
        <w:rPr>
          <w:rFonts w:ascii="宋体" w:hAnsi="宋体"/>
          <w:i/>
          <w:iCs/>
          <w:color w:val="auto"/>
          <w:spacing w:val="10"/>
          <w:kern w:val="0"/>
          <w:sz w:val="24"/>
          <w:shd w:val="clear" w:color="auto" w:fill="FFFFFF"/>
          <w:lang w:val="zh-CN"/>
        </w:rPr>
        <w:t>:</w:t>
      </w:r>
      <w:r>
        <w:rPr>
          <w:rFonts w:ascii="宋体" w:hAnsi="宋体"/>
          <w:color w:val="auto"/>
          <w:kern w:val="0"/>
          <w:sz w:val="22"/>
          <w:szCs w:val="22"/>
          <w:shd w:val="clear" w:color="auto" w:fill="FFFFFF"/>
          <w:lang w:val="zh-CN" w:bidi="zh-CN"/>
        </w:rPr>
        <w:tab/>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盖单位章）</w:t>
      </w:r>
      <w:r>
        <w:rPr>
          <w:rFonts w:ascii="宋体" w:hAnsi="宋体"/>
          <w:color w:val="auto"/>
          <w:kern w:val="0"/>
          <w:sz w:val="22"/>
          <w:szCs w:val="22"/>
          <w:shd w:val="clear" w:color="auto" w:fill="FFFFFF"/>
          <w:lang w:val="zh-CN" w:bidi="zh-CN"/>
        </w:rPr>
        <w:tab/>
      </w:r>
      <w:r>
        <w:rPr>
          <w:rFonts w:hint="eastAsia" w:ascii="宋体" w:hAnsi="宋体"/>
          <w:color w:val="auto"/>
          <w:kern w:val="0"/>
          <w:sz w:val="22"/>
          <w:szCs w:val="22"/>
          <w:shd w:val="clear" w:color="auto" w:fill="FFFFFF"/>
          <w:lang w:val="zh-CN" w:bidi="zh-CN"/>
        </w:rPr>
        <w:t>承包人：</w:t>
      </w:r>
      <w:r>
        <w:rPr>
          <w:rFonts w:ascii="宋体" w:hAnsi="宋体"/>
          <w:color w:val="auto"/>
          <w:kern w:val="0"/>
          <w:sz w:val="22"/>
          <w:szCs w:val="22"/>
          <w:shd w:val="clear" w:color="auto" w:fill="FFFFFF"/>
          <w:lang w:val="zh-CN" w:bidi="zh-CN"/>
        </w:rPr>
        <w:tab/>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盖单位章</w:t>
      </w:r>
      <w:r>
        <w:rPr>
          <w:rFonts w:ascii="宋体" w:hAnsi="宋体"/>
          <w:color w:val="auto"/>
          <w:kern w:val="0"/>
          <w:sz w:val="22"/>
          <w:szCs w:val="22"/>
          <w:shd w:val="clear" w:color="auto" w:fill="FFFFFF"/>
          <w:lang w:val="zh-CN" w:bidi="zh-CN"/>
        </w:rPr>
        <w:t>)</w:t>
      </w:r>
    </w:p>
    <w:p w14:paraId="27A49C77">
      <w:pPr>
        <w:tabs>
          <w:tab w:val="left" w:leader="underscore" w:pos="1913"/>
          <w:tab w:val="left" w:leader="underscore" w:pos="2747"/>
          <w:tab w:val="left" w:leader="underscore" w:pos="3679"/>
          <w:tab w:val="left" w:pos="5508"/>
          <w:tab w:val="left" w:leader="underscore" w:pos="6593"/>
          <w:tab w:val="left" w:leader="underscore" w:pos="7408"/>
          <w:tab w:val="left" w:leader="underscore" w:pos="8273"/>
        </w:tabs>
        <w:spacing w:line="240" w:lineRule="auto"/>
        <w:jc w:val="left"/>
        <w:rPr>
          <w:rFonts w:hint="eastAsia" w:ascii="宋体" w:hAnsi="宋体"/>
          <w:color w:val="auto"/>
          <w:kern w:val="0"/>
          <w:sz w:val="22"/>
          <w:szCs w:val="22"/>
          <w:shd w:val="clear" w:color="auto" w:fill="FFFFFF"/>
          <w:lang w:bidi="zh-CN"/>
        </w:rPr>
      </w:pPr>
    </w:p>
    <w:p w14:paraId="135CFBFB">
      <w:pPr>
        <w:tabs>
          <w:tab w:val="left" w:leader="underscore" w:pos="1913"/>
          <w:tab w:val="left" w:leader="underscore" w:pos="2747"/>
          <w:tab w:val="left" w:leader="underscore" w:pos="3679"/>
          <w:tab w:val="left" w:pos="5508"/>
          <w:tab w:val="left" w:leader="underscore" w:pos="6593"/>
          <w:tab w:val="left" w:leader="underscore" w:pos="7408"/>
          <w:tab w:val="left" w:leader="underscore" w:pos="8273"/>
        </w:tabs>
        <w:spacing w:line="240" w:lineRule="auto"/>
        <w:jc w:val="left"/>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法定代表人或其委托代理人：</w:t>
      </w:r>
      <w:r>
        <w:rPr>
          <w:rFonts w:hint="eastAsia" w:ascii="宋体" w:hAnsi="宋体"/>
          <w:color w:val="auto"/>
          <w:kern w:val="0"/>
          <w:sz w:val="22"/>
          <w:szCs w:val="22"/>
          <w:u w:val="single"/>
          <w:shd w:val="clear" w:color="auto" w:fill="FFFFFF"/>
          <w:lang w:val="zh-CN" w:bidi="zh-CN"/>
        </w:rPr>
        <w:t xml:space="preserve">    （</w:t>
      </w:r>
      <w:r>
        <w:rPr>
          <w:rFonts w:hint="eastAsia" w:ascii="宋体" w:hAnsi="宋体"/>
          <w:color w:val="auto"/>
          <w:kern w:val="0"/>
          <w:sz w:val="22"/>
          <w:szCs w:val="22"/>
          <w:shd w:val="clear" w:color="auto" w:fill="FFFFFF"/>
          <w:lang w:val="zh-CN" w:bidi="zh-CN"/>
        </w:rPr>
        <w:t>签字）    法定代表人或其委托代理人：</w:t>
      </w:r>
      <w:r>
        <w:rPr>
          <w:rFonts w:ascii="宋体" w:hAnsi="宋体"/>
          <w:color w:val="auto"/>
          <w:kern w:val="0"/>
          <w:sz w:val="22"/>
          <w:szCs w:val="22"/>
          <w:shd w:val="clear" w:color="auto" w:fill="FFFFFF"/>
          <w:lang w:val="zh-CN" w:bidi="zh-CN"/>
        </w:rPr>
        <w:t>_ (</w:t>
      </w:r>
      <w:r>
        <w:rPr>
          <w:rFonts w:hint="eastAsia" w:ascii="宋体" w:hAnsi="宋体"/>
          <w:color w:val="auto"/>
          <w:kern w:val="0"/>
          <w:sz w:val="22"/>
          <w:szCs w:val="22"/>
          <w:shd w:val="clear" w:color="auto" w:fill="FFFFFF"/>
          <w:lang w:val="zh-CN" w:bidi="zh-CN"/>
        </w:rPr>
        <w:t>签字</w:t>
      </w:r>
      <w:r>
        <w:rPr>
          <w:rFonts w:ascii="宋体" w:hAnsi="宋体"/>
          <w:color w:val="auto"/>
          <w:kern w:val="0"/>
          <w:sz w:val="22"/>
          <w:szCs w:val="22"/>
          <w:shd w:val="clear" w:color="auto" w:fill="FFFFFF"/>
          <w:lang w:val="zh-CN" w:bidi="zh-CN"/>
        </w:rPr>
        <w:t xml:space="preserve">) </w:t>
      </w:r>
    </w:p>
    <w:p w14:paraId="2DF7F85B">
      <w:pPr>
        <w:tabs>
          <w:tab w:val="left" w:leader="underscore" w:pos="1913"/>
          <w:tab w:val="left" w:leader="underscore" w:pos="2747"/>
          <w:tab w:val="left" w:leader="underscore" w:pos="3679"/>
          <w:tab w:val="left" w:pos="5508"/>
          <w:tab w:val="left" w:leader="underscore" w:pos="6593"/>
          <w:tab w:val="left" w:leader="underscore" w:pos="7408"/>
          <w:tab w:val="left" w:leader="underscore" w:pos="8273"/>
        </w:tabs>
        <w:spacing w:line="240" w:lineRule="auto"/>
        <w:jc w:val="left"/>
        <w:rPr>
          <w:rFonts w:hint="eastAsia" w:ascii="宋体" w:hAnsi="宋体"/>
          <w:color w:val="auto"/>
          <w:kern w:val="0"/>
          <w:sz w:val="22"/>
          <w:szCs w:val="22"/>
          <w:shd w:val="clear" w:color="auto" w:fill="FFFFFF"/>
          <w:lang w:val="zh-CN" w:bidi="zh-CN"/>
        </w:rPr>
      </w:pPr>
    </w:p>
    <w:p w14:paraId="6D18D2EB">
      <w:pPr>
        <w:tabs>
          <w:tab w:val="left" w:leader="underscore" w:pos="1913"/>
          <w:tab w:val="left" w:leader="underscore" w:pos="2747"/>
          <w:tab w:val="left" w:leader="underscore" w:pos="3679"/>
          <w:tab w:val="left" w:pos="5508"/>
          <w:tab w:val="left" w:leader="underscore" w:pos="6593"/>
          <w:tab w:val="left" w:leader="underscore" w:pos="7408"/>
          <w:tab w:val="left" w:leader="underscore" w:pos="8273"/>
        </w:tabs>
        <w:spacing w:line="240" w:lineRule="auto"/>
        <w:jc w:val="left"/>
        <w:rPr>
          <w:rFonts w:hint="eastAsia" w:ascii="宋体" w:hAnsi="宋体"/>
          <w:color w:val="auto"/>
          <w:kern w:val="0"/>
          <w:sz w:val="22"/>
          <w:szCs w:val="22"/>
          <w:shd w:val="clear" w:color="auto" w:fill="FFFFFF"/>
          <w:lang w:val="zh-CN" w:bidi="zh-CN"/>
        </w:rPr>
      </w:pPr>
    </w:p>
    <w:p w14:paraId="19360E2B">
      <w:pPr>
        <w:tabs>
          <w:tab w:val="left" w:leader="underscore" w:pos="1913"/>
          <w:tab w:val="left" w:leader="underscore" w:pos="2747"/>
          <w:tab w:val="left" w:leader="underscore" w:pos="3679"/>
          <w:tab w:val="left" w:pos="5508"/>
          <w:tab w:val="left" w:leader="underscore" w:pos="6593"/>
          <w:tab w:val="left" w:leader="underscore" w:pos="7408"/>
          <w:tab w:val="left" w:leader="underscore" w:pos="8273"/>
        </w:tabs>
        <w:spacing w:line="240" w:lineRule="auto"/>
        <w:jc w:val="left"/>
        <w:rPr>
          <w:rFonts w:ascii="宋体" w:hAnsi="宋体"/>
          <w:color w:val="auto"/>
          <w:kern w:val="0"/>
          <w:sz w:val="22"/>
          <w:szCs w:val="22"/>
          <w:shd w:val="clear" w:color="auto" w:fill="FFFFFF"/>
          <w:lang w:val="zh-CN" w:bidi="zh-CN"/>
        </w:rPr>
      </w:pPr>
      <w:r>
        <w:rPr>
          <w:rFonts w:ascii="宋体" w:hAnsi="宋体"/>
          <w:color w:val="auto"/>
          <w:kern w:val="0"/>
          <w:sz w:val="22"/>
          <w:szCs w:val="22"/>
          <w:shd w:val="clear" w:color="auto" w:fill="FFFFFF"/>
          <w:lang w:val="zh-CN" w:bidi="zh-CN"/>
        </w:rPr>
        <w:tab/>
      </w:r>
      <w:r>
        <w:rPr>
          <w:rFonts w:hint="eastAsia" w:ascii="宋体" w:hAnsi="宋体"/>
          <w:color w:val="auto"/>
          <w:kern w:val="0"/>
          <w:sz w:val="22"/>
          <w:szCs w:val="22"/>
          <w:shd w:val="clear" w:color="auto" w:fill="FFFFFF"/>
          <w:lang w:val="zh-CN" w:bidi="zh-CN"/>
        </w:rPr>
        <w:t>年</w:t>
      </w:r>
      <w:r>
        <w:rPr>
          <w:rFonts w:ascii="宋体" w:hAnsi="宋体"/>
          <w:color w:val="auto"/>
          <w:kern w:val="0"/>
          <w:sz w:val="22"/>
          <w:szCs w:val="22"/>
          <w:shd w:val="clear" w:color="auto" w:fill="FFFFFF"/>
          <w:lang w:val="zh-CN" w:bidi="zh-CN"/>
        </w:rPr>
        <w:tab/>
      </w:r>
      <w:r>
        <w:rPr>
          <w:rFonts w:hint="eastAsia" w:ascii="宋体" w:hAnsi="宋体"/>
          <w:color w:val="auto"/>
          <w:kern w:val="0"/>
          <w:sz w:val="22"/>
          <w:szCs w:val="22"/>
          <w:shd w:val="clear" w:color="auto" w:fill="FFFFFF"/>
          <w:lang w:val="zh-CN" w:bidi="zh-CN"/>
        </w:rPr>
        <w:t>月</w:t>
      </w:r>
      <w:r>
        <w:rPr>
          <w:rFonts w:ascii="宋体" w:hAnsi="宋体"/>
          <w:color w:val="auto"/>
          <w:kern w:val="0"/>
          <w:sz w:val="22"/>
          <w:szCs w:val="22"/>
          <w:shd w:val="clear" w:color="auto" w:fill="FFFFFF"/>
          <w:lang w:val="zh-CN" w:bidi="zh-CN"/>
        </w:rPr>
        <w:tab/>
      </w:r>
      <w:r>
        <w:rPr>
          <w:rFonts w:hint="eastAsia" w:ascii="宋体" w:hAnsi="宋体"/>
          <w:color w:val="auto"/>
          <w:kern w:val="0"/>
          <w:sz w:val="22"/>
          <w:szCs w:val="22"/>
          <w:shd w:val="clear" w:color="auto" w:fill="FFFFFF"/>
          <w:lang w:val="zh-CN" w:bidi="zh-CN"/>
        </w:rPr>
        <w:t>日</w:t>
      </w:r>
      <w:r>
        <w:rPr>
          <w:rFonts w:ascii="宋体" w:hAnsi="宋体"/>
          <w:color w:val="auto"/>
          <w:kern w:val="0"/>
          <w:sz w:val="22"/>
          <w:szCs w:val="22"/>
          <w:shd w:val="clear" w:color="auto" w:fill="FFFFFF"/>
          <w:lang w:val="zh-CN" w:bidi="zh-CN"/>
        </w:rPr>
        <w:tab/>
      </w:r>
      <w:r>
        <w:rPr>
          <w:rFonts w:ascii="宋体" w:hAnsi="宋体"/>
          <w:color w:val="auto"/>
          <w:kern w:val="0"/>
          <w:sz w:val="22"/>
          <w:szCs w:val="22"/>
          <w:shd w:val="clear" w:color="auto" w:fill="FFFFFF"/>
          <w:lang w:val="zh-CN" w:bidi="zh-CN"/>
        </w:rPr>
        <w:tab/>
      </w:r>
      <w:r>
        <w:rPr>
          <w:rFonts w:hint="eastAsia" w:ascii="宋体" w:hAnsi="宋体"/>
          <w:color w:val="auto"/>
          <w:kern w:val="0"/>
          <w:sz w:val="22"/>
          <w:szCs w:val="22"/>
          <w:shd w:val="clear" w:color="auto" w:fill="FFFFFF"/>
          <w:lang w:val="zh-CN" w:bidi="zh-CN"/>
        </w:rPr>
        <w:t>年</w:t>
      </w:r>
      <w:r>
        <w:rPr>
          <w:rFonts w:ascii="宋体" w:hAnsi="宋体"/>
          <w:color w:val="auto"/>
          <w:kern w:val="0"/>
          <w:sz w:val="22"/>
          <w:szCs w:val="22"/>
          <w:shd w:val="clear" w:color="auto" w:fill="FFFFFF"/>
          <w:lang w:val="zh-CN" w:bidi="zh-CN"/>
        </w:rPr>
        <w:tab/>
      </w:r>
      <w:r>
        <w:rPr>
          <w:rFonts w:hint="eastAsia" w:ascii="宋体" w:hAnsi="宋体"/>
          <w:color w:val="auto"/>
          <w:kern w:val="0"/>
          <w:sz w:val="22"/>
          <w:szCs w:val="22"/>
          <w:shd w:val="clear" w:color="auto" w:fill="FFFFFF"/>
          <w:lang w:val="zh-CN" w:bidi="zh-CN"/>
        </w:rPr>
        <w:t>月</w:t>
      </w:r>
      <w:r>
        <w:rPr>
          <w:rFonts w:ascii="宋体" w:hAnsi="宋体"/>
          <w:color w:val="auto"/>
          <w:kern w:val="0"/>
          <w:sz w:val="22"/>
          <w:szCs w:val="22"/>
          <w:shd w:val="clear" w:color="auto" w:fill="FFFFFF"/>
          <w:lang w:val="zh-CN" w:bidi="zh-CN"/>
        </w:rPr>
        <w:tab/>
      </w:r>
      <w:r>
        <w:rPr>
          <w:rFonts w:hint="eastAsia" w:ascii="宋体" w:hAnsi="宋体"/>
          <w:color w:val="auto"/>
          <w:kern w:val="0"/>
          <w:sz w:val="22"/>
          <w:szCs w:val="22"/>
          <w:shd w:val="clear" w:color="auto" w:fill="FFFFFF"/>
          <w:lang w:val="zh-CN" w:bidi="zh-CN"/>
        </w:rPr>
        <w:t>日</w:t>
      </w:r>
    </w:p>
    <w:p w14:paraId="2BAF6852">
      <w:pPr>
        <w:spacing w:line="240" w:lineRule="auto"/>
        <w:ind w:firstLine="411" w:firstLineChars="196"/>
        <w:rPr>
          <w:rFonts w:hint="eastAsia" w:ascii="宋体" w:hAnsi="宋体"/>
          <w:color w:val="auto"/>
          <w:szCs w:val="21"/>
        </w:rPr>
      </w:pPr>
    </w:p>
    <w:p w14:paraId="424C4AE1">
      <w:pPr>
        <w:keepNext/>
        <w:keepLines/>
        <w:spacing w:before="120" w:after="120" w:line="240" w:lineRule="auto"/>
        <w:jc w:val="left"/>
        <w:outlineLvl w:val="3"/>
        <w:rPr>
          <w:rFonts w:ascii="Cambria" w:hAnsi="Cambria" w:eastAsia="黑体"/>
          <w:b/>
          <w:bCs/>
          <w:color w:val="auto"/>
          <w:sz w:val="28"/>
          <w:szCs w:val="28"/>
        </w:rPr>
      </w:pPr>
      <w:bookmarkStart w:id="151" w:name="_Toc98873428"/>
      <w:bookmarkEnd w:id="151"/>
      <w:bookmarkStart w:id="152" w:name="_Toc394929421"/>
      <w:bookmarkEnd w:id="152"/>
      <w:r>
        <w:rPr>
          <w:rFonts w:ascii="Cambria" w:hAnsi="Cambria" w:eastAsia="黑体"/>
          <w:b/>
          <w:bCs/>
          <w:color w:val="auto"/>
          <w:sz w:val="28"/>
          <w:szCs w:val="28"/>
        </w:rPr>
        <w:br w:type="page"/>
      </w:r>
      <w:r>
        <w:rPr>
          <w:rFonts w:hint="eastAsia" w:ascii="Cambria" w:hAnsi="Cambria" w:eastAsia="黑体"/>
          <w:b/>
          <w:bCs/>
          <w:color w:val="auto"/>
          <w:sz w:val="28"/>
          <w:szCs w:val="28"/>
        </w:rPr>
        <w:t>附件四  项目经理委任书</w:t>
      </w:r>
    </w:p>
    <w:p w14:paraId="7C642008">
      <w:pPr>
        <w:keepNext/>
        <w:keepLines/>
        <w:spacing w:line="240" w:lineRule="auto"/>
        <w:ind w:right="20"/>
        <w:jc w:val="center"/>
        <w:outlineLvl w:val="6"/>
        <w:rPr>
          <w:rFonts w:ascii="宋体" w:hAnsi="宋体"/>
          <w:color w:val="auto"/>
          <w:spacing w:val="10"/>
          <w:kern w:val="0"/>
          <w:sz w:val="26"/>
          <w:szCs w:val="26"/>
          <w:u w:val="single"/>
          <w:shd w:val="clear" w:color="auto" w:fill="FFFFFF"/>
          <w:lang w:val="zh-CN"/>
        </w:rPr>
      </w:pPr>
      <w:bookmarkStart w:id="153" w:name="bookmark197"/>
      <w:bookmarkEnd w:id="153"/>
      <w:r>
        <w:rPr>
          <w:rFonts w:ascii="宋体" w:hAnsi="宋体"/>
          <w:color w:val="auto"/>
          <w:spacing w:val="10"/>
          <w:kern w:val="0"/>
          <w:sz w:val="26"/>
          <w:szCs w:val="26"/>
          <w:u w:val="single"/>
          <w:shd w:val="clear" w:color="auto" w:fill="FFFFFF"/>
          <w:lang w:val="zh-CN"/>
        </w:rPr>
        <w:t>(</w:t>
      </w:r>
      <w:r>
        <w:rPr>
          <w:rFonts w:hint="eastAsia" w:ascii="宋体" w:hAnsi="宋体"/>
          <w:color w:val="auto"/>
          <w:spacing w:val="10"/>
          <w:kern w:val="0"/>
          <w:sz w:val="26"/>
          <w:szCs w:val="26"/>
          <w:u w:val="single"/>
          <w:shd w:val="clear" w:color="auto" w:fill="FFFFFF"/>
          <w:lang w:val="zh-CN"/>
        </w:rPr>
        <w:t>承包人全称</w:t>
      </w:r>
      <w:r>
        <w:rPr>
          <w:rFonts w:hint="eastAsia" w:ascii="宋体" w:hAnsi="宋体"/>
          <w:color w:val="auto"/>
          <w:spacing w:val="10"/>
          <w:kern w:val="0"/>
          <w:sz w:val="26"/>
          <w:szCs w:val="26"/>
          <w:u w:val="single"/>
          <w:shd w:val="clear" w:color="auto" w:fill="FFFFFF"/>
        </w:rPr>
        <w:t>）</w:t>
      </w:r>
    </w:p>
    <w:p w14:paraId="006B348B">
      <w:pPr>
        <w:keepNext/>
        <w:keepLines/>
        <w:spacing w:after="774" w:line="240" w:lineRule="auto"/>
        <w:ind w:right="20"/>
        <w:jc w:val="center"/>
        <w:outlineLvl w:val="6"/>
        <w:rPr>
          <w:rFonts w:ascii="宋体" w:hAnsi="宋体"/>
          <w:color w:val="auto"/>
          <w:spacing w:val="10"/>
          <w:kern w:val="0"/>
          <w:sz w:val="26"/>
          <w:szCs w:val="26"/>
          <w:u w:val="single"/>
          <w:shd w:val="clear" w:color="auto" w:fill="FFFFFF"/>
          <w:lang w:val="zh-CN"/>
        </w:rPr>
      </w:pPr>
      <w:bookmarkStart w:id="154" w:name="bookmark198"/>
      <w:bookmarkEnd w:id="154"/>
      <w:r>
        <w:rPr>
          <w:rFonts w:ascii="宋体" w:hAnsi="宋体"/>
          <w:color w:val="auto"/>
          <w:spacing w:val="10"/>
          <w:kern w:val="0"/>
          <w:sz w:val="26"/>
          <w:szCs w:val="26"/>
          <w:u w:val="single"/>
          <w:shd w:val="clear" w:color="auto" w:fill="FFFFFF"/>
          <w:lang w:val="zh-CN"/>
        </w:rPr>
        <w:t>(</w:t>
      </w:r>
      <w:r>
        <w:rPr>
          <w:rFonts w:hint="eastAsia" w:ascii="宋体" w:hAnsi="宋体"/>
          <w:color w:val="auto"/>
          <w:spacing w:val="10"/>
          <w:kern w:val="0"/>
          <w:sz w:val="26"/>
          <w:szCs w:val="26"/>
          <w:u w:val="single"/>
          <w:shd w:val="clear" w:color="auto" w:fill="FFFFFF"/>
          <w:lang w:val="zh-CN"/>
        </w:rPr>
        <w:t>合同工程名称）</w:t>
      </w:r>
      <w:r>
        <w:rPr>
          <w:rFonts w:hint="eastAsia" w:ascii="宋体" w:hAnsi="宋体"/>
          <w:color w:val="auto"/>
          <w:spacing w:val="10"/>
          <w:kern w:val="0"/>
          <w:sz w:val="26"/>
          <w:szCs w:val="26"/>
          <w:shd w:val="clear" w:color="auto" w:fill="FFFFFF"/>
          <w:lang w:val="zh-CN"/>
        </w:rPr>
        <w:t>项目经理委任书</w:t>
      </w:r>
    </w:p>
    <w:p w14:paraId="01995451">
      <w:pPr>
        <w:spacing w:line="240" w:lineRule="auto"/>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致：</w:t>
      </w:r>
      <w:r>
        <w:rPr>
          <w:rFonts w:hint="eastAsia" w:ascii="宋体" w:hAnsi="宋体"/>
          <w:color w:val="auto"/>
          <w:kern w:val="0"/>
          <w:sz w:val="22"/>
          <w:szCs w:val="22"/>
          <w:u w:val="single"/>
          <w:shd w:val="clear" w:color="auto" w:fill="FFFFFF"/>
          <w:lang w:val="zh-CN"/>
        </w:rPr>
        <w:t>（发包人全称）</w:t>
      </w:r>
    </w:p>
    <w:p w14:paraId="403E2ACB">
      <w:pPr>
        <w:spacing w:after="360" w:line="240" w:lineRule="auto"/>
        <w:ind w:firstLine="1020"/>
        <w:rPr>
          <w:rFonts w:ascii="宋体" w:hAnsi="宋体"/>
          <w:color w:val="auto"/>
          <w:kern w:val="0"/>
          <w:sz w:val="22"/>
          <w:szCs w:val="22"/>
          <w:u w:val="single"/>
          <w:shd w:val="clear" w:color="auto" w:fill="FFFFFF"/>
          <w:lang w:val="zh-CN"/>
        </w:rPr>
      </w:pPr>
      <w:r>
        <w:rPr>
          <w:rFonts w:ascii="宋体" w:hAnsi="宋体"/>
          <w:color w:val="auto"/>
          <w:kern w:val="0"/>
          <w:sz w:val="22"/>
          <w:szCs w:val="22"/>
          <w:u w:val="single"/>
          <w:shd w:val="clear" w:color="auto" w:fill="FFFFFF"/>
          <w:lang w:val="zh-CN"/>
        </w:rPr>
        <w:t>(</w:t>
      </w:r>
      <w:r>
        <w:rPr>
          <w:rFonts w:hint="eastAsia" w:ascii="宋体" w:hAnsi="宋体"/>
          <w:color w:val="auto"/>
          <w:kern w:val="0"/>
          <w:sz w:val="22"/>
          <w:szCs w:val="22"/>
          <w:u w:val="single"/>
          <w:shd w:val="clear" w:color="auto" w:fill="FFFFFF"/>
          <w:lang w:val="zh-CN"/>
        </w:rPr>
        <w:t>承包人全称）</w:t>
      </w:r>
      <w:r>
        <w:rPr>
          <w:rFonts w:hint="eastAsia" w:ascii="宋体" w:hAnsi="宋体"/>
          <w:color w:val="auto"/>
          <w:kern w:val="0"/>
          <w:sz w:val="22"/>
          <w:szCs w:val="22"/>
          <w:shd w:val="clear" w:color="auto" w:fill="FFFFFF"/>
          <w:lang w:val="zh-CN" w:bidi="zh-CN"/>
        </w:rPr>
        <w:t>法定代表人</w:t>
      </w:r>
      <w:r>
        <w:rPr>
          <w:rFonts w:hint="eastAsia" w:ascii="宋体" w:hAnsi="宋体"/>
          <w:color w:val="auto"/>
          <w:kern w:val="0"/>
          <w:sz w:val="22"/>
          <w:szCs w:val="22"/>
          <w:u w:val="single"/>
          <w:shd w:val="clear" w:color="auto" w:fill="FFFFFF"/>
          <w:lang w:val="zh-CN"/>
        </w:rPr>
        <w:t>（职务、姓名）</w:t>
      </w:r>
      <w:r>
        <w:rPr>
          <w:rFonts w:hint="eastAsia" w:ascii="宋体" w:hAnsi="宋体"/>
          <w:color w:val="auto"/>
          <w:kern w:val="0"/>
          <w:sz w:val="22"/>
          <w:szCs w:val="22"/>
          <w:shd w:val="clear" w:color="auto" w:fill="FFFFFF"/>
          <w:lang w:val="zh-CN" w:bidi="zh-CN"/>
        </w:rPr>
        <w:t>代表本单位委任</w:t>
      </w:r>
      <w:r>
        <w:rPr>
          <w:rFonts w:hint="eastAsia" w:ascii="宋体" w:hAnsi="宋体"/>
          <w:color w:val="auto"/>
          <w:kern w:val="0"/>
          <w:sz w:val="22"/>
          <w:szCs w:val="22"/>
          <w:u w:val="single"/>
          <w:shd w:val="clear" w:color="auto" w:fill="FFFFFF"/>
          <w:lang w:val="zh-CN"/>
        </w:rPr>
        <w:t>（职务、姓</w:t>
      </w:r>
      <w:r>
        <w:rPr>
          <w:rFonts w:ascii="宋体" w:hAnsi="宋体"/>
          <w:color w:val="auto"/>
          <w:kern w:val="0"/>
          <w:sz w:val="22"/>
          <w:szCs w:val="22"/>
          <w:u w:val="single"/>
          <w:shd w:val="clear" w:color="auto" w:fill="FFFFFF"/>
          <w:lang w:val="zh-CN"/>
        </w:rPr>
        <w:t xml:space="preserve"> </w:t>
      </w:r>
      <w:r>
        <w:rPr>
          <w:rFonts w:hint="eastAsia" w:ascii="宋体" w:hAnsi="宋体"/>
          <w:color w:val="auto"/>
          <w:kern w:val="0"/>
          <w:sz w:val="22"/>
          <w:szCs w:val="22"/>
          <w:u w:val="single"/>
          <w:shd w:val="clear" w:color="auto" w:fill="FFFFFF"/>
          <w:lang w:val="zh-CN"/>
        </w:rPr>
        <w:t>名）</w:t>
      </w:r>
      <w:r>
        <w:rPr>
          <w:rFonts w:hint="eastAsia" w:ascii="宋体" w:hAnsi="宋体"/>
          <w:color w:val="auto"/>
          <w:kern w:val="0"/>
          <w:sz w:val="22"/>
          <w:szCs w:val="22"/>
          <w:shd w:val="clear" w:color="auto" w:fill="FFFFFF"/>
          <w:lang w:val="zh-CN" w:bidi="zh-CN"/>
        </w:rPr>
        <w:t>为</w:t>
      </w:r>
      <w:r>
        <w:rPr>
          <w:rFonts w:hint="eastAsia" w:ascii="宋体" w:hAnsi="宋体"/>
          <w:color w:val="auto"/>
          <w:kern w:val="0"/>
          <w:sz w:val="22"/>
          <w:szCs w:val="22"/>
          <w:u w:val="single"/>
          <w:shd w:val="clear" w:color="auto" w:fill="FFFFFF"/>
          <w:lang w:val="zh-CN"/>
        </w:rPr>
        <w:t>（合同工程名称）</w:t>
      </w:r>
      <w:r>
        <w:rPr>
          <w:rFonts w:hint="eastAsia" w:ascii="宋体" w:hAnsi="宋体"/>
          <w:color w:val="auto"/>
          <w:kern w:val="0"/>
          <w:sz w:val="22"/>
          <w:szCs w:val="22"/>
          <w:shd w:val="clear" w:color="auto" w:fill="FFFFFF"/>
          <w:lang w:val="zh-CN" w:bidi="zh-CN"/>
        </w:rPr>
        <w:t>的项目经理。凡本合同执行中的有关技术、工程进度、现</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场管理、质量检验、结算与支付等方面工作，由</w:t>
      </w:r>
      <w:r>
        <w:rPr>
          <w:rFonts w:hint="eastAsia" w:ascii="宋体" w:hAnsi="宋体"/>
          <w:color w:val="auto"/>
          <w:kern w:val="0"/>
          <w:sz w:val="22"/>
          <w:szCs w:val="22"/>
          <w:u w:val="single"/>
          <w:shd w:val="clear" w:color="auto" w:fill="FFFFFF"/>
          <w:lang w:val="zh-CN"/>
        </w:rPr>
        <w:t>（姓名）</w:t>
      </w:r>
      <w:r>
        <w:rPr>
          <w:rFonts w:hint="eastAsia" w:ascii="宋体" w:hAnsi="宋体"/>
          <w:color w:val="auto"/>
          <w:kern w:val="0"/>
          <w:sz w:val="22"/>
          <w:szCs w:val="22"/>
          <w:shd w:val="clear" w:color="auto" w:fill="FFFFFF"/>
          <w:lang w:val="zh-CN" w:bidi="zh-CN"/>
        </w:rPr>
        <w:t>代表本单位全面负责。</w:t>
      </w:r>
    </w:p>
    <w:p w14:paraId="74D3EE7E">
      <w:pPr>
        <w:tabs>
          <w:tab w:val="left" w:leader="underscore" w:pos="7348"/>
        </w:tabs>
        <w:spacing w:line="240" w:lineRule="auto"/>
        <w:ind w:left="388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承包人：</w:t>
      </w:r>
      <w:r>
        <w:rPr>
          <w:rFonts w:ascii="宋体" w:hAnsi="宋体"/>
          <w:color w:val="auto"/>
          <w:kern w:val="0"/>
          <w:sz w:val="22"/>
          <w:szCs w:val="22"/>
          <w:shd w:val="clear" w:color="auto" w:fill="FFFFFF"/>
          <w:lang w:val="zh-CN" w:bidi="zh-CN"/>
        </w:rPr>
        <w:tab/>
      </w:r>
      <w:r>
        <w:rPr>
          <w:rFonts w:ascii="宋体" w:hAnsi="宋体"/>
          <w:color w:val="auto"/>
          <w:kern w:val="0"/>
          <w:sz w:val="22"/>
          <w:szCs w:val="22"/>
          <w:shd w:val="clear" w:color="auto" w:fill="FFFFFF"/>
          <w:lang w:val="zh-CN" w:bidi="zh-CN"/>
        </w:rPr>
        <w:t>(</w:t>
      </w:r>
      <w:r>
        <w:rPr>
          <w:rFonts w:hint="eastAsia" w:ascii="宋体" w:hAnsi="宋体"/>
          <w:color w:val="auto"/>
          <w:kern w:val="0"/>
          <w:sz w:val="22"/>
          <w:szCs w:val="22"/>
          <w:shd w:val="clear" w:color="auto" w:fill="FFFFFF"/>
          <w:lang w:val="zh-CN" w:bidi="zh-CN"/>
        </w:rPr>
        <w:t>盖单位章）</w:t>
      </w:r>
    </w:p>
    <w:p w14:paraId="62802CC0">
      <w:pPr>
        <w:tabs>
          <w:tab w:val="center" w:pos="7411"/>
        </w:tabs>
        <w:spacing w:line="240" w:lineRule="auto"/>
        <w:ind w:left="464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法定代表人：</w:t>
      </w:r>
      <w:r>
        <w:rPr>
          <w:rFonts w:ascii="宋体" w:hAnsi="宋体"/>
          <w:color w:val="auto"/>
          <w:kern w:val="0"/>
          <w:sz w:val="22"/>
          <w:szCs w:val="22"/>
          <w:u w:val="single"/>
          <w:shd w:val="clear" w:color="auto" w:fill="FFFFFF"/>
          <w:lang w:val="zh-CN" w:bidi="zh-CN"/>
        </w:rPr>
        <w:tab/>
      </w:r>
      <w:r>
        <w:rPr>
          <w:rFonts w:ascii="宋体" w:hAnsi="宋体"/>
          <w:color w:val="auto"/>
          <w:kern w:val="0"/>
          <w:sz w:val="22"/>
          <w:szCs w:val="22"/>
          <w:u w:val="single"/>
          <w:shd w:val="clear" w:color="auto" w:fill="FFFFFF"/>
          <w:lang w:val="zh-CN"/>
        </w:rPr>
        <w:t>(</w:t>
      </w:r>
      <w:r>
        <w:rPr>
          <w:rFonts w:hint="eastAsia" w:ascii="宋体" w:hAnsi="宋体"/>
          <w:color w:val="auto"/>
          <w:kern w:val="0"/>
          <w:sz w:val="22"/>
          <w:szCs w:val="22"/>
          <w:u w:val="single"/>
          <w:shd w:val="clear" w:color="auto" w:fill="FFFFFF"/>
          <w:lang w:val="zh-CN"/>
        </w:rPr>
        <w:t>职务）</w:t>
      </w:r>
    </w:p>
    <w:p w14:paraId="0F29482A">
      <w:pPr>
        <w:tabs>
          <w:tab w:val="center" w:leader="underscore" w:pos="7411"/>
        </w:tabs>
        <w:spacing w:line="240" w:lineRule="auto"/>
        <w:ind w:left="6140"/>
        <w:rPr>
          <w:rFonts w:ascii="宋体" w:hAnsi="宋体"/>
          <w:color w:val="auto"/>
          <w:kern w:val="0"/>
          <w:sz w:val="22"/>
          <w:szCs w:val="22"/>
          <w:shd w:val="clear" w:color="auto" w:fill="FFFFFF"/>
          <w:lang w:val="zh-CN" w:bidi="zh-CN"/>
        </w:rPr>
      </w:pPr>
      <w:r>
        <w:rPr>
          <w:rFonts w:ascii="宋体" w:hAnsi="宋体"/>
          <w:color w:val="auto"/>
          <w:kern w:val="0"/>
          <w:sz w:val="22"/>
          <w:szCs w:val="22"/>
          <w:shd w:val="clear" w:color="auto" w:fill="FFFFFF"/>
          <w:lang w:val="zh-CN" w:bidi="zh-CN"/>
        </w:rPr>
        <w:tab/>
      </w:r>
      <w:r>
        <w:rPr>
          <w:rFonts w:ascii="宋体" w:hAnsi="宋体"/>
          <w:color w:val="auto"/>
          <w:kern w:val="0"/>
          <w:sz w:val="22"/>
          <w:szCs w:val="22"/>
          <w:u w:val="single"/>
          <w:shd w:val="clear" w:color="auto" w:fill="FFFFFF"/>
          <w:lang w:val="zh-CN"/>
        </w:rPr>
        <w:t>(</w:t>
      </w:r>
      <w:r>
        <w:rPr>
          <w:rFonts w:hint="eastAsia" w:ascii="宋体" w:hAnsi="宋体"/>
          <w:color w:val="auto"/>
          <w:kern w:val="0"/>
          <w:sz w:val="22"/>
          <w:szCs w:val="22"/>
          <w:u w:val="single"/>
          <w:shd w:val="clear" w:color="auto" w:fill="FFFFFF"/>
          <w:lang w:val="zh-CN"/>
        </w:rPr>
        <w:t>姓名）</w:t>
      </w:r>
    </w:p>
    <w:p w14:paraId="62943EFD">
      <w:pPr>
        <w:tabs>
          <w:tab w:val="center" w:leader="underscore" w:pos="7411"/>
          <w:tab w:val="left" w:leader="underscore" w:pos="8698"/>
        </w:tabs>
        <w:spacing w:line="240" w:lineRule="auto"/>
        <w:ind w:left="6140"/>
        <w:rPr>
          <w:rFonts w:ascii="宋体" w:hAnsi="宋体"/>
          <w:b/>
          <w:bCs/>
          <w:color w:val="auto"/>
          <w:kern w:val="0"/>
          <w:sz w:val="20"/>
          <w:szCs w:val="20"/>
        </w:rPr>
      </w:pPr>
      <w:r>
        <w:rPr>
          <w:rFonts w:ascii="宋体" w:hAnsi="宋体"/>
          <w:b/>
          <w:bCs/>
          <w:color w:val="auto"/>
          <w:kern w:val="0"/>
          <w:sz w:val="20"/>
          <w:szCs w:val="20"/>
        </w:rPr>
        <w:tab/>
      </w:r>
      <w:r>
        <w:rPr>
          <w:rFonts w:ascii="宋体" w:hAnsi="宋体"/>
          <w:color w:val="auto"/>
          <w:kern w:val="0"/>
          <w:sz w:val="20"/>
          <w:szCs w:val="20"/>
          <w:u w:val="single"/>
          <w:lang w:val="zh-CN"/>
        </w:rPr>
        <w:t>(</w:t>
      </w:r>
      <w:r>
        <w:rPr>
          <w:rFonts w:hint="eastAsia" w:ascii="宋体" w:hAnsi="宋体"/>
          <w:color w:val="auto"/>
          <w:kern w:val="0"/>
          <w:sz w:val="20"/>
          <w:szCs w:val="20"/>
          <w:u w:val="single"/>
          <w:lang w:val="zh-CN"/>
        </w:rPr>
        <w:t>签字</w:t>
      </w:r>
      <w:r>
        <w:rPr>
          <w:rFonts w:ascii="宋体" w:hAnsi="宋体"/>
          <w:color w:val="auto"/>
          <w:kern w:val="0"/>
          <w:sz w:val="20"/>
          <w:szCs w:val="20"/>
          <w:u w:val="single"/>
        </w:rPr>
        <w:t>)</w:t>
      </w:r>
      <w:r>
        <w:rPr>
          <w:rFonts w:ascii="宋体" w:hAnsi="宋体"/>
          <w:b/>
          <w:bCs/>
          <w:color w:val="auto"/>
          <w:kern w:val="0"/>
          <w:sz w:val="20"/>
          <w:szCs w:val="20"/>
        </w:rPr>
        <w:tab/>
      </w:r>
    </w:p>
    <w:p w14:paraId="7778003C">
      <w:pPr>
        <w:tabs>
          <w:tab w:val="left" w:leader="underscore" w:pos="6502"/>
          <w:tab w:val="left" w:leader="underscore" w:pos="7348"/>
          <w:tab w:val="left" w:leader="underscore" w:pos="8182"/>
        </w:tabs>
        <w:spacing w:after="1283" w:line="240" w:lineRule="auto"/>
        <w:ind w:left="5660" w:firstLine="420"/>
        <w:rPr>
          <w:rFonts w:ascii="宋体" w:hAnsi="宋体"/>
          <w:color w:val="auto"/>
          <w:kern w:val="0"/>
          <w:sz w:val="22"/>
          <w:szCs w:val="22"/>
          <w:shd w:val="clear" w:color="auto" w:fill="FFFFFF"/>
          <w:lang w:val="zh-CN" w:bidi="zh-CN"/>
        </w:rPr>
      </w:pPr>
      <w:r>
        <w:rPr>
          <w:rFonts w:ascii="宋体" w:hAnsi="宋体"/>
          <w:color w:val="auto"/>
          <w:kern w:val="0"/>
          <w:sz w:val="22"/>
          <w:szCs w:val="22"/>
          <w:shd w:val="clear" w:color="auto" w:fill="FFFFFF"/>
          <w:lang w:val="zh-CN" w:bidi="zh-CN"/>
        </w:rPr>
        <w:tab/>
      </w:r>
      <w:r>
        <w:rPr>
          <w:rFonts w:hint="eastAsia" w:ascii="宋体" w:hAnsi="宋体"/>
          <w:color w:val="auto"/>
          <w:kern w:val="0"/>
          <w:sz w:val="22"/>
          <w:szCs w:val="22"/>
          <w:shd w:val="clear" w:color="auto" w:fill="FFFFFF"/>
          <w:lang w:val="zh-CN" w:bidi="zh-CN"/>
        </w:rPr>
        <w:t>年</w:t>
      </w:r>
      <w:r>
        <w:rPr>
          <w:rFonts w:ascii="宋体" w:hAnsi="宋体"/>
          <w:color w:val="auto"/>
          <w:kern w:val="0"/>
          <w:sz w:val="22"/>
          <w:szCs w:val="22"/>
          <w:shd w:val="clear" w:color="auto" w:fill="FFFFFF"/>
          <w:lang w:val="zh-CN" w:bidi="zh-CN"/>
        </w:rPr>
        <w:tab/>
      </w:r>
      <w:r>
        <w:rPr>
          <w:rFonts w:hint="eastAsia" w:ascii="宋体" w:hAnsi="宋体"/>
          <w:color w:val="auto"/>
          <w:kern w:val="0"/>
          <w:sz w:val="22"/>
          <w:szCs w:val="22"/>
          <w:shd w:val="clear" w:color="auto" w:fill="FFFFFF"/>
          <w:lang w:val="zh-CN" w:bidi="zh-CN"/>
        </w:rPr>
        <w:t>月</w:t>
      </w:r>
      <w:r>
        <w:rPr>
          <w:rFonts w:ascii="宋体" w:hAnsi="宋体"/>
          <w:color w:val="auto"/>
          <w:kern w:val="0"/>
          <w:sz w:val="22"/>
          <w:szCs w:val="22"/>
          <w:shd w:val="clear" w:color="auto" w:fill="FFFFFF"/>
          <w:lang w:val="zh-CN" w:bidi="zh-CN"/>
        </w:rPr>
        <w:tab/>
      </w:r>
      <w:r>
        <w:rPr>
          <w:rFonts w:hint="eastAsia" w:ascii="宋体" w:hAnsi="宋体"/>
          <w:color w:val="auto"/>
          <w:kern w:val="0"/>
          <w:sz w:val="22"/>
          <w:szCs w:val="22"/>
          <w:shd w:val="clear" w:color="auto" w:fill="FFFFFF"/>
          <w:lang w:val="zh-CN" w:bidi="zh-CN"/>
        </w:rPr>
        <w:t>日</w:t>
      </w:r>
    </w:p>
    <w:p w14:paraId="7BA95856">
      <w:pPr>
        <w:tabs>
          <w:tab w:val="left" w:leader="underscore" w:pos="6502"/>
          <w:tab w:val="left" w:leader="underscore" w:pos="7348"/>
          <w:tab w:val="left" w:leader="underscore" w:pos="8182"/>
        </w:tabs>
        <w:spacing w:after="1283" w:line="240" w:lineRule="auto"/>
        <w:ind w:left="5660" w:firstLine="420"/>
        <w:rPr>
          <w:rFonts w:hint="eastAsia" w:ascii="宋体" w:hAnsi="宋体"/>
          <w:color w:val="auto"/>
          <w:kern w:val="0"/>
          <w:sz w:val="22"/>
          <w:szCs w:val="22"/>
          <w:shd w:val="clear" w:color="auto" w:fill="FFFFFF"/>
          <w:lang w:val="zh-CN" w:bidi="zh-CN"/>
        </w:rPr>
      </w:pPr>
    </w:p>
    <w:p w14:paraId="75D8C5A1">
      <w:pPr>
        <w:tabs>
          <w:tab w:val="left" w:leader="underscore" w:pos="6502"/>
          <w:tab w:val="left" w:leader="underscore" w:pos="7348"/>
          <w:tab w:val="left" w:leader="underscore" w:pos="8182"/>
        </w:tabs>
        <w:spacing w:after="1283" w:line="240" w:lineRule="auto"/>
        <w:ind w:left="5660" w:firstLine="420"/>
        <w:rPr>
          <w:rFonts w:hint="eastAsia" w:ascii="宋体" w:hAnsi="宋体"/>
          <w:color w:val="auto"/>
          <w:kern w:val="0"/>
          <w:sz w:val="22"/>
          <w:szCs w:val="22"/>
          <w:shd w:val="clear" w:color="auto" w:fill="FFFFFF"/>
          <w:lang w:val="zh-CN" w:bidi="zh-CN"/>
        </w:rPr>
      </w:pPr>
    </w:p>
    <w:p w14:paraId="6B1254F7">
      <w:pPr>
        <w:tabs>
          <w:tab w:val="left" w:leader="underscore" w:pos="6502"/>
          <w:tab w:val="left" w:leader="underscore" w:pos="7348"/>
          <w:tab w:val="left" w:leader="underscore" w:pos="8182"/>
        </w:tabs>
        <w:spacing w:after="1283" w:line="240" w:lineRule="auto"/>
        <w:ind w:left="5660" w:firstLine="420"/>
        <w:rPr>
          <w:rFonts w:ascii="宋体" w:hAnsi="宋体"/>
          <w:color w:val="auto"/>
          <w:spacing w:val="20"/>
          <w:kern w:val="0"/>
          <w:sz w:val="22"/>
          <w:szCs w:val="22"/>
        </w:rPr>
      </w:pPr>
    </w:p>
    <w:p w14:paraId="663544BE">
      <w:pPr>
        <w:spacing w:line="240" w:lineRule="auto"/>
        <w:ind w:firstLine="440" w:firstLineChars="200"/>
        <w:rPr>
          <w:rFonts w:ascii="宋体" w:hAnsi="宋体"/>
          <w:color w:val="auto"/>
          <w:sz w:val="22"/>
          <w:szCs w:val="22"/>
          <w:u w:val="single"/>
          <w:shd w:val="clear" w:color="auto" w:fill="FFFFFF"/>
          <w:lang w:val="zh-CN"/>
        </w:rPr>
      </w:pPr>
      <w:r>
        <w:rPr>
          <w:rFonts w:ascii="宋体" w:hAnsi="宋体"/>
          <w:color w:val="auto"/>
          <w:sz w:val="22"/>
          <w:szCs w:val="22"/>
          <w:u w:val="single"/>
          <w:shd w:val="clear" w:color="auto" w:fill="FFFFFF"/>
          <w:lang w:val="zh-CN"/>
        </w:rPr>
        <w:br w:type="page"/>
      </w:r>
    </w:p>
    <w:p w14:paraId="507F22E2">
      <w:pPr>
        <w:keepNext/>
        <w:keepLines/>
        <w:spacing w:before="120" w:after="120" w:line="240" w:lineRule="auto"/>
        <w:jc w:val="left"/>
        <w:outlineLvl w:val="3"/>
        <w:rPr>
          <w:rFonts w:hint="eastAsia" w:ascii="Cambria" w:hAnsi="Cambria" w:eastAsia="黑体"/>
          <w:b/>
          <w:bCs/>
          <w:color w:val="auto"/>
          <w:sz w:val="28"/>
          <w:szCs w:val="28"/>
        </w:rPr>
      </w:pPr>
      <w:bookmarkStart w:id="155" w:name="_Toc394929422"/>
      <w:bookmarkEnd w:id="155"/>
      <w:bookmarkStart w:id="156" w:name="_Toc98873429"/>
      <w:bookmarkEnd w:id="156"/>
      <w:r>
        <w:rPr>
          <w:rFonts w:hint="eastAsia" w:ascii="Cambria" w:hAnsi="Cambria" w:eastAsia="黑体"/>
          <w:b/>
          <w:bCs/>
          <w:color w:val="auto"/>
          <w:sz w:val="28"/>
          <w:szCs w:val="28"/>
        </w:rPr>
        <w:t>附件五  履约担保格式（如有）</w:t>
      </w:r>
    </w:p>
    <w:p w14:paraId="22BA5357">
      <w:pPr>
        <w:spacing w:after="508" w:line="240" w:lineRule="auto"/>
        <w:ind w:firstLine="42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如采用银行保函等非现金形式，格式如下。</w:t>
      </w:r>
    </w:p>
    <w:p w14:paraId="31AF34EF">
      <w:pPr>
        <w:keepNext/>
        <w:keepLines/>
        <w:spacing w:after="515" w:line="240" w:lineRule="auto"/>
        <w:jc w:val="center"/>
        <w:outlineLvl w:val="6"/>
        <w:rPr>
          <w:rFonts w:hint="eastAsia" w:ascii="宋体" w:hAnsi="宋体"/>
          <w:color w:val="auto"/>
          <w:kern w:val="0"/>
          <w:sz w:val="30"/>
          <w:szCs w:val="30"/>
          <w:lang w:val="zh-CN"/>
        </w:rPr>
      </w:pPr>
      <w:bookmarkStart w:id="157" w:name="bookmark200"/>
      <w:bookmarkEnd w:id="157"/>
      <w:r>
        <w:rPr>
          <w:rFonts w:hint="eastAsia" w:ascii="宋体" w:hAnsi="宋体"/>
          <w:color w:val="auto"/>
          <w:kern w:val="0"/>
          <w:sz w:val="30"/>
          <w:szCs w:val="30"/>
          <w:lang w:val="zh-CN"/>
        </w:rPr>
        <w:t>履约保证金</w:t>
      </w:r>
    </w:p>
    <w:p w14:paraId="2206CC8C">
      <w:pPr>
        <w:tabs>
          <w:tab w:val="left" w:leader="underscore" w:pos="2222"/>
        </w:tabs>
        <w:spacing w:after="388" w:line="240" w:lineRule="auto"/>
        <w:rPr>
          <w:rFonts w:ascii="宋体" w:hAnsi="宋体"/>
          <w:color w:val="auto"/>
          <w:kern w:val="0"/>
          <w:sz w:val="22"/>
          <w:szCs w:val="22"/>
          <w:shd w:val="clear" w:color="auto" w:fill="FFFFFF"/>
          <w:lang w:val="zh-CN" w:bidi="zh-CN"/>
        </w:rPr>
      </w:pPr>
      <w:r>
        <w:rPr>
          <w:rFonts w:ascii="宋体" w:hAnsi="宋体"/>
          <w:color w:val="auto"/>
          <w:kern w:val="0"/>
          <w:sz w:val="22"/>
          <w:szCs w:val="22"/>
          <w:shd w:val="clear" w:color="auto" w:fill="FFFFFF"/>
          <w:lang w:val="zh-CN" w:bidi="zh-CN"/>
        </w:rPr>
        <w:tab/>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发包人名称）：</w:t>
      </w:r>
    </w:p>
    <w:p w14:paraId="29775545">
      <w:pPr>
        <w:tabs>
          <w:tab w:val="left" w:leader="underscore" w:pos="2964"/>
          <w:tab w:val="left" w:leader="underscore" w:pos="8141"/>
        </w:tabs>
        <w:spacing w:line="240" w:lineRule="auto"/>
        <w:ind w:left="54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鉴于</w:t>
      </w:r>
      <w:r>
        <w:rPr>
          <w:rFonts w:ascii="宋体" w:hAnsi="宋体"/>
          <w:color w:val="auto"/>
          <w:kern w:val="0"/>
          <w:sz w:val="22"/>
          <w:szCs w:val="22"/>
          <w:shd w:val="clear" w:color="auto" w:fill="FFFFFF"/>
          <w:lang w:val="zh-CN" w:bidi="zh-CN"/>
        </w:rPr>
        <w:tab/>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发包人名称，以下简称“发包人”）接受</w:t>
      </w:r>
      <w:r>
        <w:rPr>
          <w:rFonts w:ascii="宋体" w:hAnsi="宋体"/>
          <w:color w:val="auto"/>
          <w:kern w:val="0"/>
          <w:sz w:val="22"/>
          <w:szCs w:val="22"/>
          <w:shd w:val="clear" w:color="auto" w:fill="FFFFFF"/>
          <w:lang w:val="zh-CN" w:bidi="zh-CN"/>
        </w:rPr>
        <w:tab/>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承</w:t>
      </w:r>
    </w:p>
    <w:p w14:paraId="7DE85118">
      <w:pPr>
        <w:tabs>
          <w:tab w:val="left" w:leader="underscore" w:pos="4142"/>
          <w:tab w:val="left" w:leader="underscore" w:pos="7690"/>
        </w:tabs>
        <w:spacing w:line="240" w:lineRule="auto"/>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包人名称，以下简称“承包人”）于</w:t>
      </w:r>
      <w:r>
        <w:rPr>
          <w:rFonts w:ascii="宋体" w:hAnsi="宋体"/>
          <w:color w:val="auto"/>
          <w:kern w:val="0"/>
          <w:sz w:val="22"/>
          <w:szCs w:val="22"/>
          <w:shd w:val="clear" w:color="auto" w:fill="FFFFFF"/>
          <w:lang w:val="zh-CN" w:bidi="zh-CN"/>
        </w:rPr>
        <w:tab/>
      </w:r>
      <w:r>
        <w:rPr>
          <w:rFonts w:hint="eastAsia" w:ascii="宋体" w:hAnsi="宋体"/>
          <w:color w:val="auto"/>
          <w:kern w:val="0"/>
          <w:sz w:val="22"/>
          <w:szCs w:val="22"/>
          <w:shd w:val="clear" w:color="auto" w:fill="FFFFFF"/>
          <w:lang w:val="zh-CN" w:bidi="zh-CN"/>
        </w:rPr>
        <w:t>年</w:t>
      </w:r>
      <w:r>
        <w:rPr>
          <w:rFonts w:ascii="宋体" w:hAnsi="宋体"/>
          <w:color w:val="auto"/>
          <w:kern w:val="0"/>
          <w:sz w:val="22"/>
          <w:szCs w:val="22"/>
          <w:shd w:val="clear" w:color="auto" w:fill="FFFFFF"/>
          <w:lang w:val="zh-CN" w:bidi="zh-CN"/>
        </w:rPr>
        <w:t>_</w:t>
      </w:r>
      <w:r>
        <w:rPr>
          <w:rFonts w:hint="eastAsia" w:ascii="宋体" w:hAnsi="宋体"/>
          <w:color w:val="auto"/>
          <w:kern w:val="0"/>
          <w:sz w:val="22"/>
          <w:szCs w:val="22"/>
          <w:shd w:val="clear" w:color="auto" w:fill="FFFFFF"/>
          <w:lang w:val="zh-CN" w:bidi="zh-CN"/>
        </w:rPr>
        <w:t>月</w:t>
      </w:r>
      <w:r>
        <w:rPr>
          <w:rFonts w:ascii="宋体" w:hAnsi="宋体"/>
          <w:color w:val="auto"/>
          <w:kern w:val="0"/>
          <w:sz w:val="22"/>
          <w:szCs w:val="22"/>
          <w:shd w:val="clear" w:color="auto" w:fill="FFFFFF"/>
          <w:lang w:val="zh-CN" w:bidi="zh-CN"/>
        </w:rPr>
        <w:t>_</w:t>
      </w:r>
      <w:r>
        <w:rPr>
          <w:rFonts w:hint="eastAsia" w:ascii="宋体" w:hAnsi="宋体"/>
          <w:color w:val="auto"/>
          <w:kern w:val="0"/>
          <w:sz w:val="22"/>
          <w:szCs w:val="22"/>
          <w:shd w:val="clear" w:color="auto" w:fill="FFFFFF"/>
          <w:lang w:val="zh-CN" w:bidi="zh-CN"/>
        </w:rPr>
        <w:t>日参加</w:t>
      </w:r>
      <w:r>
        <w:rPr>
          <w:rFonts w:ascii="宋体" w:hAnsi="宋体"/>
          <w:color w:val="auto"/>
          <w:kern w:val="0"/>
          <w:sz w:val="22"/>
          <w:szCs w:val="22"/>
          <w:shd w:val="clear" w:color="auto" w:fill="FFFFFF"/>
          <w:lang w:val="zh-CN" w:bidi="zh-CN"/>
        </w:rPr>
        <w:tab/>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项目名</w:t>
      </w:r>
    </w:p>
    <w:p w14:paraId="3F148454">
      <w:pPr>
        <w:tabs>
          <w:tab w:val="left" w:leader="underscore" w:pos="1594"/>
        </w:tabs>
        <w:spacing w:line="240" w:lineRule="auto"/>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称）</w:t>
      </w:r>
      <w:r>
        <w:rPr>
          <w:rFonts w:ascii="宋体" w:hAnsi="宋体"/>
          <w:color w:val="auto"/>
          <w:kern w:val="0"/>
          <w:sz w:val="22"/>
          <w:szCs w:val="22"/>
          <w:shd w:val="clear" w:color="auto" w:fill="FFFFFF"/>
          <w:lang w:val="zh-CN" w:bidi="zh-CN"/>
        </w:rPr>
        <w:tab/>
      </w:r>
      <w:r>
        <w:rPr>
          <w:rFonts w:hint="eastAsia" w:ascii="宋体" w:hAnsi="宋体"/>
          <w:color w:val="auto"/>
          <w:kern w:val="0"/>
          <w:sz w:val="22"/>
          <w:szCs w:val="22"/>
          <w:shd w:val="clear" w:color="auto" w:fill="FFFFFF"/>
          <w:lang w:val="zh-CN" w:bidi="zh-CN"/>
        </w:rPr>
        <w:t>标段施工的投标。我方愿意无条件地、不可撤销地就承包人履行与你方订立的合同，向你方提供担保。</w:t>
      </w:r>
    </w:p>
    <w:p w14:paraId="3ECF06AF">
      <w:pPr>
        <w:numPr>
          <w:ilvl w:val="0"/>
          <w:numId w:val="13"/>
        </w:numPr>
        <w:tabs>
          <w:tab w:val="left" w:leader="underscore" w:pos="5374"/>
          <w:tab w:val="left" w:leader="underscore" w:pos="7690"/>
        </w:tabs>
        <w:spacing w:line="240" w:lineRule="auto"/>
        <w:ind w:firstLine="440" w:firstLineChars="200"/>
        <w:rPr>
          <w:rFonts w:ascii="宋体" w:hAnsi="宋体"/>
          <w:color w:val="auto"/>
          <w:kern w:val="0"/>
          <w:sz w:val="22"/>
          <w:szCs w:val="22"/>
          <w:shd w:val="clear" w:color="auto" w:fill="FFFFFF"/>
          <w:lang w:val="zh-CN" w:bidi="zh-CN"/>
        </w:rPr>
      </w:pP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担保金额人民币（大写）</w:t>
      </w:r>
      <w:r>
        <w:rPr>
          <w:rFonts w:ascii="宋体" w:hAnsi="宋体"/>
          <w:color w:val="auto"/>
          <w:kern w:val="0"/>
          <w:sz w:val="22"/>
          <w:szCs w:val="22"/>
          <w:shd w:val="clear" w:color="auto" w:fill="FFFFFF"/>
          <w:lang w:val="zh-CN" w:bidi="zh-CN"/>
        </w:rPr>
        <w:tab/>
      </w:r>
      <w:r>
        <w:rPr>
          <w:rFonts w:hint="eastAsia" w:ascii="宋体" w:hAnsi="宋体"/>
          <w:color w:val="auto"/>
          <w:kern w:val="0"/>
          <w:sz w:val="22"/>
          <w:szCs w:val="22"/>
          <w:u w:val="single"/>
          <w:shd w:val="clear" w:color="auto" w:fill="FFFFFF"/>
          <w:lang w:val="zh-CN" w:bidi="zh-CN"/>
        </w:rPr>
        <w:t xml:space="preserve">          </w:t>
      </w:r>
      <w:r>
        <w:rPr>
          <w:rFonts w:hint="eastAsia" w:ascii="宋体" w:hAnsi="宋体"/>
          <w:color w:val="auto"/>
          <w:kern w:val="0"/>
          <w:sz w:val="22"/>
          <w:szCs w:val="22"/>
          <w:shd w:val="clear" w:color="auto" w:fill="FFFFFF"/>
          <w:lang w:val="zh-CN" w:bidi="zh-CN"/>
        </w:rPr>
        <w:t>元（¥</w:t>
      </w:r>
      <w:r>
        <w:rPr>
          <w:rFonts w:ascii="宋体" w:hAnsi="宋体"/>
          <w:color w:val="auto"/>
          <w:kern w:val="0"/>
          <w:sz w:val="22"/>
          <w:szCs w:val="22"/>
          <w:shd w:val="clear" w:color="auto" w:fill="FFFFFF"/>
          <w:lang w:val="zh-CN" w:bidi="zh-CN"/>
        </w:rPr>
        <w:tab/>
      </w:r>
      <w:r>
        <w:rPr>
          <w:rFonts w:ascii="宋体" w:hAnsi="宋体"/>
          <w:color w:val="auto"/>
          <w:kern w:val="0"/>
          <w:sz w:val="22"/>
          <w:szCs w:val="22"/>
          <w:shd w:val="clear" w:color="auto" w:fill="FFFFFF"/>
          <w:lang w:val="zh-CN" w:bidi="zh-CN"/>
        </w:rPr>
        <w:t>)</w:t>
      </w:r>
      <w:r>
        <w:rPr>
          <w:rFonts w:hint="eastAsia" w:ascii="宋体" w:hAnsi="宋体"/>
          <w:color w:val="auto"/>
          <w:kern w:val="0"/>
          <w:sz w:val="22"/>
          <w:szCs w:val="22"/>
          <w:shd w:val="clear" w:color="auto" w:fill="FFFFFF"/>
          <w:lang w:val="zh-CN" w:bidi="zh-CN"/>
        </w:rPr>
        <w:t>。</w:t>
      </w:r>
    </w:p>
    <w:p w14:paraId="35F38EA8">
      <w:pPr>
        <w:numPr>
          <w:ilvl w:val="0"/>
          <w:numId w:val="13"/>
        </w:numPr>
        <w:tabs>
          <w:tab w:val="left" w:pos="824"/>
        </w:tabs>
        <w:spacing w:line="240" w:lineRule="auto"/>
        <w:ind w:firstLine="440" w:firstLineChars="200"/>
        <w:jc w:val="left"/>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担保有效期自发包人与承包人签订的合同生效之日起至发包人签发交工验</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收证书且承包人按照合同约定缴纳质量保证金之日止。</w:t>
      </w:r>
    </w:p>
    <w:p w14:paraId="55038722">
      <w:pPr>
        <w:numPr>
          <w:ilvl w:val="0"/>
          <w:numId w:val="13"/>
        </w:numPr>
        <w:tabs>
          <w:tab w:val="left" w:pos="838"/>
        </w:tabs>
        <w:spacing w:line="240" w:lineRule="auto"/>
        <w:ind w:firstLine="440" w:firstLineChars="200"/>
        <w:jc w:val="left"/>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在本担保有效期内，因承包人违反合同约定的义务给你方造成经济损失时，我方在收到你方以书面形式提出的在担保金额内的赔偿要求后，在</w:t>
      </w:r>
      <w:r>
        <w:rPr>
          <w:rFonts w:ascii="宋体" w:hAnsi="宋体"/>
          <w:color w:val="auto"/>
          <w:kern w:val="0"/>
          <w:sz w:val="22"/>
          <w:szCs w:val="22"/>
          <w:shd w:val="clear" w:color="auto" w:fill="FFFFFF"/>
          <w:lang w:val="zh-CN" w:bidi="zh-CN"/>
        </w:rPr>
        <w:t>7</w:t>
      </w:r>
      <w:r>
        <w:rPr>
          <w:rFonts w:hint="eastAsia" w:ascii="宋体" w:hAnsi="宋体"/>
          <w:color w:val="auto"/>
          <w:kern w:val="0"/>
          <w:sz w:val="22"/>
          <w:szCs w:val="22"/>
          <w:shd w:val="clear" w:color="auto" w:fill="FFFFFF"/>
          <w:lang w:val="zh-CN" w:bidi="zh-CN"/>
        </w:rPr>
        <w:t>日内无条件支</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付，无须你方出具证明或陈述理由。</w:t>
      </w:r>
    </w:p>
    <w:p w14:paraId="70AE6D2D">
      <w:pPr>
        <w:numPr>
          <w:ilvl w:val="0"/>
          <w:numId w:val="13"/>
        </w:numPr>
        <w:tabs>
          <w:tab w:val="left" w:pos="831"/>
        </w:tabs>
        <w:spacing w:after="782" w:line="240" w:lineRule="auto"/>
        <w:ind w:firstLine="440" w:firstLineChars="200"/>
        <w:jc w:val="left"/>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发包人和承包人按合同条款第</w:t>
      </w:r>
      <w:r>
        <w:rPr>
          <w:rFonts w:ascii="宋体" w:hAnsi="宋体"/>
          <w:color w:val="auto"/>
          <w:kern w:val="0"/>
          <w:sz w:val="22"/>
          <w:szCs w:val="22"/>
          <w:shd w:val="clear" w:color="auto" w:fill="FFFFFF"/>
          <w:lang w:val="zh-CN" w:bidi="zh-CN"/>
        </w:rPr>
        <w:t>15</w:t>
      </w:r>
      <w:r>
        <w:rPr>
          <w:rFonts w:hint="eastAsia" w:ascii="宋体" w:hAnsi="宋体"/>
          <w:color w:val="auto"/>
          <w:kern w:val="0"/>
          <w:sz w:val="22"/>
          <w:szCs w:val="22"/>
          <w:shd w:val="clear" w:color="auto" w:fill="FFFFFF"/>
          <w:lang w:val="zh-CN" w:bidi="zh-CN"/>
        </w:rPr>
        <w:t>条变更合同时，无论我方是否收到该变更，我方承担本担保规定的义务不变。</w:t>
      </w:r>
    </w:p>
    <w:p w14:paraId="3758853C">
      <w:pPr>
        <w:tabs>
          <w:tab w:val="left" w:leader="underscore" w:pos="6557"/>
        </w:tabs>
        <w:spacing w:line="240" w:lineRule="auto"/>
        <w:ind w:left="3540"/>
        <w:rPr>
          <w:rFonts w:ascii="MingLiU" w:hAnsi="MingLiU" w:eastAsia="MingLiU"/>
          <w:color w:val="auto"/>
          <w:spacing w:val="20"/>
          <w:kern w:val="0"/>
          <w:sz w:val="22"/>
          <w:szCs w:val="22"/>
        </w:rPr>
      </w:pPr>
      <w:r>
        <w:rPr>
          <w:rFonts w:ascii="MingLiU" w:hAnsi="MingLiU" w:eastAsia="MingLiU"/>
          <w:color w:val="auto"/>
          <w:spacing w:val="20"/>
          <w:kern w:val="0"/>
          <w:sz w:val="22"/>
          <w:szCs w:val="22"/>
        </w:rPr>
        <mc:AlternateContent>
          <mc:Choice Requires="wps">
            <w:drawing>
              <wp:anchor distT="0" distB="406400" distL="558800" distR="63500" simplePos="0" relativeHeight="251661312" behindDoc="1" locked="0" layoutInCell="1" allowOverlap="1">
                <wp:simplePos x="0" y="0"/>
                <wp:positionH relativeFrom="margin">
                  <wp:posOffset>4727575</wp:posOffset>
                </wp:positionH>
                <wp:positionV relativeFrom="paragraph">
                  <wp:posOffset>-67310</wp:posOffset>
                </wp:positionV>
                <wp:extent cx="841375" cy="502920"/>
                <wp:effectExtent l="0" t="0" r="0" b="0"/>
                <wp:wrapSquare wrapText="bothSides"/>
                <wp:docPr id="5" name="_x0000_s1153"/>
                <wp:cNvGraphicFramePr/>
                <a:graphic xmlns:a="http://schemas.openxmlformats.org/drawingml/2006/main">
                  <a:graphicData uri="http://schemas.microsoft.com/office/word/2010/wordprocessingShape">
                    <wps:wsp>
                      <wps:cNvSpPr/>
                      <wps:spPr>
                        <a:xfrm>
                          <a:off x="0" y="0"/>
                          <a:ext cx="841375" cy="502919"/>
                        </a:xfrm>
                        <a:prstGeom prst="rect">
                          <a:avLst/>
                        </a:prstGeom>
                      </wps:spPr>
                      <wps:txbx>
                        <w:txbxContent>
                          <w:p w14:paraId="0D7DC374">
                            <w:pPr>
                              <w:tabs>
                                <w:tab w:val="left" w:leader="underscore" w:pos="470"/>
                              </w:tabs>
                              <w:spacing w:line="396" w:lineRule="exact"/>
                              <w:rPr>
                                <w:rFonts w:ascii="MingLiU" w:hAnsi="MingLiU" w:eastAsia="MingLiU"/>
                                <w:color w:val="000000"/>
                                <w:kern w:val="0"/>
                                <w:sz w:val="22"/>
                                <w:szCs w:val="22"/>
                                <w:shd w:val="clear" w:color="auto" w:fill="FFFFFF"/>
                                <w:lang w:val="zh-CN"/>
                              </w:rPr>
                            </w:pPr>
                            <w:r>
                              <w:rPr>
                                <w:rFonts w:ascii="MingLiU" w:hAnsi="MingLiU" w:eastAsia="MingLiU"/>
                                <w:color w:val="000000"/>
                                <w:kern w:val="0"/>
                                <w:sz w:val="22"/>
                                <w:szCs w:val="22"/>
                                <w:shd w:val="clear" w:color="auto" w:fill="FFFFFF"/>
                                <w:lang w:val="zh-CN"/>
                              </w:rPr>
                              <w:t>_(</w:t>
                            </w:r>
                            <w:r>
                              <w:rPr>
                                <w:rFonts w:hint="eastAsia" w:ascii="MingLiU" w:hAnsi="MingLiU" w:eastAsia="MingLiU"/>
                                <w:color w:val="000000"/>
                                <w:kern w:val="0"/>
                                <w:sz w:val="22"/>
                                <w:szCs w:val="22"/>
                                <w:shd w:val="clear" w:color="auto" w:fill="FFFFFF"/>
                                <w:lang w:val="zh-CN"/>
                              </w:rPr>
                              <w:t>盖单位章）</w:t>
                            </w:r>
                            <w:r>
                              <w:rPr>
                                <w:rFonts w:ascii="MingLiU" w:hAnsi="MingLiU" w:eastAsia="MingLiU"/>
                                <w:color w:val="000000"/>
                                <w:kern w:val="0"/>
                                <w:sz w:val="22"/>
                                <w:szCs w:val="22"/>
                                <w:shd w:val="clear" w:color="auto" w:fill="FFFFFF"/>
                                <w:lang w:val="zh-CN"/>
                              </w:rPr>
                              <w:t xml:space="preserve"> </w:t>
                            </w:r>
                            <w:r>
                              <w:rPr>
                                <w:rFonts w:ascii="MingLiU" w:hAnsi="MingLiU" w:eastAsia="MingLiU"/>
                                <w:color w:val="000000"/>
                                <w:kern w:val="0"/>
                                <w:sz w:val="22"/>
                                <w:szCs w:val="22"/>
                                <w:shd w:val="clear" w:color="auto" w:fill="FFFFFF"/>
                                <w:lang w:val="zh-CN"/>
                              </w:rPr>
                              <w:tab/>
                            </w:r>
                            <w:r>
                              <w:rPr>
                                <w:rFonts w:ascii="MingLiU" w:hAnsi="MingLiU" w:eastAsia="MingLiU"/>
                                <w:color w:val="000000"/>
                                <w:kern w:val="0"/>
                                <w:sz w:val="22"/>
                                <w:szCs w:val="22"/>
                                <w:shd w:val="clear" w:color="auto" w:fill="FFFFFF"/>
                                <w:lang w:val="zh-CN"/>
                              </w:rPr>
                              <w:t>(</w:t>
                            </w:r>
                            <w:r>
                              <w:rPr>
                                <w:rFonts w:hint="eastAsia" w:ascii="MingLiU" w:hAnsi="MingLiU" w:eastAsia="MingLiU"/>
                                <w:color w:val="000000"/>
                                <w:kern w:val="0"/>
                                <w:sz w:val="22"/>
                                <w:szCs w:val="22"/>
                                <w:shd w:val="clear" w:color="auto" w:fill="FFFFFF"/>
                                <w:lang w:val="zh-CN"/>
                              </w:rPr>
                              <w:t>签字</w:t>
                            </w:r>
                            <w:r>
                              <w:rPr>
                                <w:rFonts w:hint="eastAsia" w:ascii="MingLiU" w:hAnsi="MingLiU" w:eastAsia="MingLiU"/>
                                <w:color w:val="000000"/>
                                <w:kern w:val="0"/>
                                <w:sz w:val="22"/>
                                <w:szCs w:val="22"/>
                                <w:shd w:val="clear" w:color="auto" w:fill="FFFFFF"/>
                                <w:lang w:val="zh-CN" w:eastAsia="en-US"/>
                              </w:rPr>
                              <w:t>）</w:t>
                            </w:r>
                          </w:p>
                          <w:p w14:paraId="6ED5E915"/>
                        </w:txbxContent>
                      </wps:txbx>
                      <wps:bodyPr rot="0" vert="horz" wrap="square" lIns="91440" tIns="45720" rIns="91440" bIns="45720" anchor="t" anchorCtr="0"/>
                    </wps:wsp>
                  </a:graphicData>
                </a:graphic>
              </wp:anchor>
            </w:drawing>
          </mc:Choice>
          <mc:Fallback>
            <w:pict>
              <v:rect id="_x0000_s1153" o:spid="_x0000_s1026" o:spt="1" style="position:absolute;left:0pt;margin-left:372.25pt;margin-top:-5.3pt;height:39.6pt;width:66.25pt;mso-position-horizontal-relative:margin;mso-wrap-distance-bottom:32pt;mso-wrap-distance-left:44pt;mso-wrap-distance-right:5pt;mso-wrap-distance-top:0pt;z-index:-251655168;mso-width-relative:page;mso-height-relative:page;" filled="f" stroked="f" coordsize="21600,21600" o:gfxdata="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Kvf312wAAAAoBAAAPAAAAAAAAAAEAIAAAACIAAABkcnMvZG93bnJldi54&#10;bWxQSwECFAAUAAAACACHTuJAwrVByL4BAACEAwAADgAAAAAAAAABACAAAAAqAQAAZHJzL2Uyb0Rv&#10;Yy54bWxQSwUGAAAAAAYABgBZAQAAWgUAAAAA&#10;">
                <v:fill on="f" focussize="0,0"/>
                <v:stroke on="f"/>
                <v:imagedata o:title=""/>
                <o:lock v:ext="edit" aspectratio="f"/>
                <v:textbox>
                  <w:txbxContent>
                    <w:p w14:paraId="0D7DC374">
                      <w:pPr>
                        <w:tabs>
                          <w:tab w:val="left" w:leader="underscore" w:pos="470"/>
                        </w:tabs>
                        <w:spacing w:line="396" w:lineRule="exact"/>
                        <w:rPr>
                          <w:rFonts w:ascii="MingLiU" w:hAnsi="MingLiU" w:eastAsia="MingLiU"/>
                          <w:color w:val="000000"/>
                          <w:kern w:val="0"/>
                          <w:sz w:val="22"/>
                          <w:szCs w:val="22"/>
                          <w:shd w:val="clear" w:color="auto" w:fill="FFFFFF"/>
                          <w:lang w:val="zh-CN"/>
                        </w:rPr>
                      </w:pPr>
                      <w:r>
                        <w:rPr>
                          <w:rFonts w:ascii="MingLiU" w:hAnsi="MingLiU" w:eastAsia="MingLiU"/>
                          <w:color w:val="000000"/>
                          <w:kern w:val="0"/>
                          <w:sz w:val="22"/>
                          <w:szCs w:val="22"/>
                          <w:shd w:val="clear" w:color="auto" w:fill="FFFFFF"/>
                          <w:lang w:val="zh-CN"/>
                        </w:rPr>
                        <w:t>_(</w:t>
                      </w:r>
                      <w:r>
                        <w:rPr>
                          <w:rFonts w:hint="eastAsia" w:ascii="MingLiU" w:hAnsi="MingLiU" w:eastAsia="MingLiU"/>
                          <w:color w:val="000000"/>
                          <w:kern w:val="0"/>
                          <w:sz w:val="22"/>
                          <w:szCs w:val="22"/>
                          <w:shd w:val="clear" w:color="auto" w:fill="FFFFFF"/>
                          <w:lang w:val="zh-CN"/>
                        </w:rPr>
                        <w:t>盖单位章）</w:t>
                      </w:r>
                      <w:r>
                        <w:rPr>
                          <w:rFonts w:ascii="MingLiU" w:hAnsi="MingLiU" w:eastAsia="MingLiU"/>
                          <w:color w:val="000000"/>
                          <w:kern w:val="0"/>
                          <w:sz w:val="22"/>
                          <w:szCs w:val="22"/>
                          <w:shd w:val="clear" w:color="auto" w:fill="FFFFFF"/>
                          <w:lang w:val="zh-CN"/>
                        </w:rPr>
                        <w:t xml:space="preserve"> </w:t>
                      </w:r>
                      <w:r>
                        <w:rPr>
                          <w:rFonts w:ascii="MingLiU" w:hAnsi="MingLiU" w:eastAsia="MingLiU"/>
                          <w:color w:val="000000"/>
                          <w:kern w:val="0"/>
                          <w:sz w:val="22"/>
                          <w:szCs w:val="22"/>
                          <w:shd w:val="clear" w:color="auto" w:fill="FFFFFF"/>
                          <w:lang w:val="zh-CN"/>
                        </w:rPr>
                        <w:tab/>
                      </w:r>
                      <w:r>
                        <w:rPr>
                          <w:rFonts w:ascii="MingLiU" w:hAnsi="MingLiU" w:eastAsia="MingLiU"/>
                          <w:color w:val="000000"/>
                          <w:kern w:val="0"/>
                          <w:sz w:val="22"/>
                          <w:szCs w:val="22"/>
                          <w:shd w:val="clear" w:color="auto" w:fill="FFFFFF"/>
                          <w:lang w:val="zh-CN"/>
                        </w:rPr>
                        <w:t>(</w:t>
                      </w:r>
                      <w:r>
                        <w:rPr>
                          <w:rFonts w:hint="eastAsia" w:ascii="MingLiU" w:hAnsi="MingLiU" w:eastAsia="MingLiU"/>
                          <w:color w:val="000000"/>
                          <w:kern w:val="0"/>
                          <w:sz w:val="22"/>
                          <w:szCs w:val="22"/>
                          <w:shd w:val="clear" w:color="auto" w:fill="FFFFFF"/>
                          <w:lang w:val="zh-CN"/>
                        </w:rPr>
                        <w:t>签字</w:t>
                      </w:r>
                      <w:r>
                        <w:rPr>
                          <w:rFonts w:hint="eastAsia" w:ascii="MingLiU" w:hAnsi="MingLiU" w:eastAsia="MingLiU"/>
                          <w:color w:val="000000"/>
                          <w:kern w:val="0"/>
                          <w:sz w:val="22"/>
                          <w:szCs w:val="22"/>
                          <w:shd w:val="clear" w:color="auto" w:fill="FFFFFF"/>
                          <w:lang w:val="zh-CN" w:eastAsia="en-US"/>
                        </w:rPr>
                        <w:t>）</w:t>
                      </w:r>
                    </w:p>
                    <w:p w14:paraId="6ED5E915"/>
                  </w:txbxContent>
                </v:textbox>
                <w10:wrap type="square"/>
              </v:rect>
            </w:pict>
          </mc:Fallback>
        </mc:AlternateContent>
      </w:r>
      <w:r>
        <w:rPr>
          <w:rFonts w:hint="eastAsia" w:ascii="宋体" w:hAnsi="宋体"/>
          <w:color w:val="auto"/>
          <w:kern w:val="0"/>
          <w:sz w:val="22"/>
          <w:szCs w:val="22"/>
          <w:shd w:val="clear" w:color="auto" w:fill="FFFFFF"/>
          <w:lang w:val="zh-CN" w:bidi="zh-CN"/>
        </w:rPr>
        <w:t>担保人名称</w:t>
      </w:r>
      <w:r>
        <w:rPr>
          <w:rFonts w:ascii="宋体" w:hAnsi="宋体"/>
          <w:color w:val="auto"/>
          <w:kern w:val="0"/>
          <w:sz w:val="22"/>
          <w:szCs w:val="22"/>
          <w:shd w:val="clear" w:color="auto" w:fill="FFFFFF"/>
          <w:lang w:val="zh-CN" w:bidi="zh-CN"/>
        </w:rPr>
        <w:t>:</w:t>
      </w:r>
      <w:r>
        <w:rPr>
          <w:rFonts w:ascii="宋体" w:hAnsi="宋体"/>
          <w:color w:val="auto"/>
          <w:kern w:val="0"/>
          <w:sz w:val="22"/>
          <w:szCs w:val="22"/>
          <w:shd w:val="clear" w:color="auto" w:fill="FFFFFF"/>
          <w:lang w:val="zh-CN" w:bidi="zh-CN"/>
        </w:rPr>
        <w:tab/>
      </w:r>
    </w:p>
    <w:p w14:paraId="33CA059D">
      <w:pPr>
        <w:spacing w:line="240" w:lineRule="auto"/>
        <w:ind w:left="354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法定代表人或其委托代理人</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地</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址：</w:t>
      </w:r>
    </w:p>
    <w:p w14:paraId="1D5E1FA6">
      <w:pPr>
        <w:spacing w:line="240" w:lineRule="auto"/>
        <w:ind w:left="3541" w:leftChars="1686"/>
        <w:rPr>
          <w:rFonts w:ascii="MingLiU" w:hAnsi="MingLiU" w:eastAsia="MingLiU"/>
          <w:color w:val="auto"/>
          <w:spacing w:val="20"/>
          <w:kern w:val="0"/>
          <w:sz w:val="22"/>
          <w:szCs w:val="22"/>
        </w:rPr>
      </w:pPr>
      <w:r>
        <w:rPr>
          <w:rFonts w:ascii="MingLiU" w:hAnsi="MingLiU" w:eastAsia="MingLiU"/>
          <w:color w:val="auto"/>
          <w:spacing w:val="20"/>
          <w:kern w:val="0"/>
          <w:sz w:val="22"/>
          <w:szCs w:val="22"/>
        </w:rPr>
        <mc:AlternateContent>
          <mc:Choice Requires="wps">
            <w:drawing>
              <wp:anchor distT="0" distB="215900" distL="0" distR="0" simplePos="0" relativeHeight="251661312" behindDoc="1" locked="0" layoutInCell="1" allowOverlap="1">
                <wp:simplePos x="0" y="0"/>
                <wp:positionH relativeFrom="margin">
                  <wp:posOffset>2197735</wp:posOffset>
                </wp:positionH>
                <wp:positionV relativeFrom="paragraph">
                  <wp:posOffset>224155</wp:posOffset>
                </wp:positionV>
                <wp:extent cx="231775" cy="356235"/>
                <wp:effectExtent l="0" t="0" r="0" b="0"/>
                <wp:wrapTopAndBottom/>
                <wp:docPr id="6" name="_x0000_s1158"/>
                <wp:cNvGraphicFramePr/>
                <a:graphic xmlns:a="http://schemas.openxmlformats.org/drawingml/2006/main">
                  <a:graphicData uri="http://schemas.microsoft.com/office/word/2010/wordprocessingShape">
                    <wps:wsp>
                      <wps:cNvSpPr/>
                      <wps:spPr>
                        <a:xfrm>
                          <a:off x="0" y="0"/>
                          <a:ext cx="231775" cy="356235"/>
                        </a:xfrm>
                        <a:prstGeom prst="rect">
                          <a:avLst/>
                        </a:prstGeom>
                      </wps:spPr>
                      <wps:txbx>
                        <w:txbxContent>
                          <w:p w14:paraId="1AF04996">
                            <w:pPr>
                              <w:spacing w:after="121" w:line="220" w:lineRule="exact"/>
                              <w:jc w:val="left"/>
                              <w:rPr>
                                <w:rFonts w:hint="eastAsia" w:ascii="MingLiU" w:hAnsi="MingLiU" w:eastAsia="MingLiU"/>
                                <w:color w:val="000000"/>
                                <w:kern w:val="0"/>
                                <w:sz w:val="22"/>
                                <w:szCs w:val="22"/>
                                <w:shd w:val="clear" w:color="auto" w:fill="FFFFFF"/>
                                <w:lang w:val="zh-CN"/>
                              </w:rPr>
                            </w:pPr>
                            <w:r>
                              <w:rPr>
                                <w:rFonts w:hint="eastAsia" w:ascii="MingLiU" w:hAnsi="MingLiU" w:eastAsia="MingLiU"/>
                                <w:color w:val="000000"/>
                                <w:kern w:val="0"/>
                                <w:sz w:val="22"/>
                                <w:szCs w:val="22"/>
                                <w:shd w:val="clear" w:color="auto" w:fill="FFFFFF"/>
                                <w:lang w:val="zh-CN"/>
                              </w:rPr>
                              <w:t>电</w:t>
                            </w:r>
                          </w:p>
                          <w:p w14:paraId="7BC28C19">
                            <w:pPr>
                              <w:spacing w:line="220" w:lineRule="exact"/>
                              <w:jc w:val="left"/>
                              <w:rPr>
                                <w:rFonts w:hint="eastAsia" w:ascii="MingLiU" w:hAnsi="MingLiU" w:eastAsia="MingLiU"/>
                                <w:color w:val="000000"/>
                                <w:kern w:val="0"/>
                                <w:sz w:val="22"/>
                                <w:szCs w:val="22"/>
                                <w:shd w:val="clear" w:color="auto" w:fill="FFFFFF"/>
                                <w:lang w:val="zh-CN"/>
                              </w:rPr>
                            </w:pPr>
                            <w:r>
                              <w:rPr>
                                <w:rFonts w:hint="eastAsia" w:ascii="MingLiU" w:hAnsi="MingLiU" w:eastAsia="MingLiU"/>
                                <w:color w:val="000000"/>
                                <w:kern w:val="0"/>
                                <w:sz w:val="22"/>
                                <w:szCs w:val="22"/>
                                <w:shd w:val="clear" w:color="auto" w:fill="FFFFFF"/>
                                <w:lang w:val="zh-CN"/>
                              </w:rPr>
                              <w:t>传</w:t>
                            </w:r>
                          </w:p>
                          <w:p w14:paraId="557CFAC5"/>
                        </w:txbxContent>
                      </wps:txbx>
                      <wps:bodyPr rot="0" vert="horz" wrap="square" lIns="91440" tIns="45720" rIns="91440" bIns="45720" anchor="t" anchorCtr="0"/>
                    </wps:wsp>
                  </a:graphicData>
                </a:graphic>
              </wp:anchor>
            </w:drawing>
          </mc:Choice>
          <mc:Fallback>
            <w:pict>
              <v:rect id="_x0000_s1158" o:spid="_x0000_s1026" o:spt="1" style="position:absolute;left:0pt;margin-left:173.05pt;margin-top:17.65pt;height:28.05pt;width:18.25pt;mso-position-horizontal-relative:margin;mso-wrap-distance-bottom:17pt;mso-wrap-distance-top:0pt;z-index:-251655168;mso-width-relative:page;mso-height-relative:page;" filled="f" stroked="f" coordsize="21600,21600" o:gfxdata="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OAVVf2wAAAAkBAAAPAAAAAAAAAAEAIAAAACIAAABkcnMvZG93bnJldi54&#10;bWxQSwECFAAUAAAACACHTuJAFc1jJL4BAACEAwAADgAAAAAAAAABACAAAAAqAQAAZHJzL2Uyb0Rv&#10;Yy54bWxQSwUGAAAAAAYABgBZAQAAWgUAAAAA&#10;">
                <v:fill on="f" focussize="0,0"/>
                <v:stroke on="f"/>
                <v:imagedata o:title=""/>
                <o:lock v:ext="edit" aspectratio="f"/>
                <v:textbox>
                  <w:txbxContent>
                    <w:p w14:paraId="1AF04996">
                      <w:pPr>
                        <w:spacing w:after="121" w:line="220" w:lineRule="exact"/>
                        <w:jc w:val="left"/>
                        <w:rPr>
                          <w:rFonts w:hint="eastAsia" w:ascii="MingLiU" w:hAnsi="MingLiU" w:eastAsia="MingLiU"/>
                          <w:color w:val="000000"/>
                          <w:kern w:val="0"/>
                          <w:sz w:val="22"/>
                          <w:szCs w:val="22"/>
                          <w:shd w:val="clear" w:color="auto" w:fill="FFFFFF"/>
                          <w:lang w:val="zh-CN"/>
                        </w:rPr>
                      </w:pPr>
                      <w:r>
                        <w:rPr>
                          <w:rFonts w:hint="eastAsia" w:ascii="MingLiU" w:hAnsi="MingLiU" w:eastAsia="MingLiU"/>
                          <w:color w:val="000000"/>
                          <w:kern w:val="0"/>
                          <w:sz w:val="22"/>
                          <w:szCs w:val="22"/>
                          <w:shd w:val="clear" w:color="auto" w:fill="FFFFFF"/>
                          <w:lang w:val="zh-CN"/>
                        </w:rPr>
                        <w:t>电</w:t>
                      </w:r>
                    </w:p>
                    <w:p w14:paraId="7BC28C19">
                      <w:pPr>
                        <w:spacing w:line="220" w:lineRule="exact"/>
                        <w:jc w:val="left"/>
                        <w:rPr>
                          <w:rFonts w:hint="eastAsia" w:ascii="MingLiU" w:hAnsi="MingLiU" w:eastAsia="MingLiU"/>
                          <w:color w:val="000000"/>
                          <w:kern w:val="0"/>
                          <w:sz w:val="22"/>
                          <w:szCs w:val="22"/>
                          <w:shd w:val="clear" w:color="auto" w:fill="FFFFFF"/>
                          <w:lang w:val="zh-CN"/>
                        </w:rPr>
                      </w:pPr>
                      <w:r>
                        <w:rPr>
                          <w:rFonts w:hint="eastAsia" w:ascii="MingLiU" w:hAnsi="MingLiU" w:eastAsia="MingLiU"/>
                          <w:color w:val="000000"/>
                          <w:kern w:val="0"/>
                          <w:sz w:val="22"/>
                          <w:szCs w:val="22"/>
                          <w:shd w:val="clear" w:color="auto" w:fill="FFFFFF"/>
                          <w:lang w:val="zh-CN"/>
                        </w:rPr>
                        <w:t>传</w:t>
                      </w:r>
                    </w:p>
                    <w:p w14:paraId="557CFAC5"/>
                  </w:txbxContent>
                </v:textbox>
                <w10:wrap type="topAndBottom"/>
              </v:rect>
            </w:pict>
          </mc:Fallback>
        </mc:AlternateContent>
      </w:r>
      <w:r>
        <w:rPr>
          <w:rFonts w:ascii="MingLiU" w:hAnsi="MingLiU" w:eastAsia="MingLiU"/>
          <w:color w:val="auto"/>
          <w:spacing w:val="20"/>
          <w:kern w:val="0"/>
          <w:sz w:val="22"/>
          <w:szCs w:val="22"/>
        </w:rPr>
        <mc:AlternateContent>
          <mc:Choice Requires="wps">
            <w:drawing>
              <wp:anchor distT="0" distB="215900" distL="0" distR="0" simplePos="0" relativeHeight="251661312" behindDoc="1" locked="0" layoutInCell="1" allowOverlap="1">
                <wp:simplePos x="0" y="0"/>
                <wp:positionH relativeFrom="margin">
                  <wp:posOffset>2654935</wp:posOffset>
                </wp:positionH>
                <wp:positionV relativeFrom="paragraph">
                  <wp:posOffset>224155</wp:posOffset>
                </wp:positionV>
                <wp:extent cx="201295" cy="356235"/>
                <wp:effectExtent l="0" t="0" r="0" b="0"/>
                <wp:wrapTopAndBottom/>
                <wp:docPr id="7" name="_x0000_s1151"/>
                <wp:cNvGraphicFramePr/>
                <a:graphic xmlns:a="http://schemas.openxmlformats.org/drawingml/2006/main">
                  <a:graphicData uri="http://schemas.microsoft.com/office/word/2010/wordprocessingShape">
                    <wps:wsp>
                      <wps:cNvSpPr/>
                      <wps:spPr>
                        <a:xfrm>
                          <a:off x="0" y="0"/>
                          <a:ext cx="201295" cy="356235"/>
                        </a:xfrm>
                        <a:prstGeom prst="rect">
                          <a:avLst/>
                        </a:prstGeom>
                      </wps:spPr>
                      <wps:txbx>
                        <w:txbxContent>
                          <w:p w14:paraId="398E4E1C">
                            <w:pPr>
                              <w:spacing w:after="121" w:line="220" w:lineRule="exact"/>
                              <w:jc w:val="left"/>
                              <w:rPr>
                                <w:rFonts w:hint="eastAsia" w:ascii="MingLiU" w:hAnsi="MingLiU" w:eastAsia="MingLiU"/>
                                <w:color w:val="000000"/>
                                <w:kern w:val="0"/>
                                <w:sz w:val="22"/>
                                <w:szCs w:val="22"/>
                                <w:shd w:val="clear" w:color="auto" w:fill="FFFFFF"/>
                                <w:lang w:val="zh-CN"/>
                              </w:rPr>
                            </w:pPr>
                            <w:r>
                              <w:rPr>
                                <w:rFonts w:hint="eastAsia" w:ascii="MingLiU" w:hAnsi="MingLiU" w:eastAsia="MingLiU"/>
                                <w:color w:val="000000"/>
                                <w:kern w:val="0"/>
                                <w:sz w:val="22"/>
                                <w:szCs w:val="22"/>
                                <w:shd w:val="clear" w:color="auto" w:fill="FFFFFF"/>
                                <w:lang w:val="zh-CN"/>
                              </w:rPr>
                              <w:t>话</w:t>
                            </w:r>
                          </w:p>
                          <w:p w14:paraId="5DE3F3F7">
                            <w:pPr>
                              <w:spacing w:line="220" w:lineRule="exact"/>
                              <w:jc w:val="left"/>
                              <w:rPr>
                                <w:rFonts w:hint="eastAsia" w:ascii="MingLiU" w:hAnsi="MingLiU" w:eastAsia="MingLiU"/>
                                <w:color w:val="000000"/>
                                <w:kern w:val="0"/>
                                <w:sz w:val="22"/>
                                <w:szCs w:val="22"/>
                                <w:shd w:val="clear" w:color="auto" w:fill="FFFFFF"/>
                                <w:lang w:val="zh-CN"/>
                              </w:rPr>
                            </w:pPr>
                            <w:r>
                              <w:rPr>
                                <w:rFonts w:hint="eastAsia" w:ascii="MingLiU" w:hAnsi="MingLiU" w:eastAsia="MingLiU"/>
                                <w:color w:val="000000"/>
                                <w:kern w:val="0"/>
                                <w:sz w:val="22"/>
                                <w:szCs w:val="22"/>
                                <w:shd w:val="clear" w:color="auto" w:fill="FFFFFF"/>
                                <w:lang w:val="zh-CN"/>
                              </w:rPr>
                              <w:t>真</w:t>
                            </w:r>
                          </w:p>
                          <w:p w14:paraId="5BF0A7B8"/>
                        </w:txbxContent>
                      </wps:txbx>
                      <wps:bodyPr rot="0" vert="horz" wrap="square" lIns="91440" tIns="45720" rIns="91440" bIns="45720" anchor="t" anchorCtr="0"/>
                    </wps:wsp>
                  </a:graphicData>
                </a:graphic>
              </wp:anchor>
            </w:drawing>
          </mc:Choice>
          <mc:Fallback>
            <w:pict>
              <v:rect id="_x0000_s1151" o:spid="_x0000_s1026" o:spt="1" style="position:absolute;left:0pt;margin-left:209.05pt;margin-top:17.65pt;height:28.05pt;width:15.85pt;mso-position-horizontal-relative:margin;mso-wrap-distance-bottom:17pt;mso-wrap-distance-top:0pt;z-index:-251655168;mso-width-relative:page;mso-height-relative:page;" filled="f" stroked="f" coordsize="21600,21600" o:gfxdata="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rgKfn9oAAAAJAQAADwAAAAAAAAABACAAAAAiAAAAZHJzL2Rvd25yZXYueG1s&#10;UEsBAhQAFAAAAAgAh07iQK/D3Eq9AQAAhAMAAA4AAAAAAAAAAQAgAAAAKQEAAGRycy9lMm9Eb2Mu&#10;eG1sUEsFBgAAAAAGAAYAWQEAAFgFAAAAAA==&#10;">
                <v:fill on="f" focussize="0,0"/>
                <v:stroke on="f"/>
                <v:imagedata o:title=""/>
                <o:lock v:ext="edit" aspectratio="f"/>
                <v:textbox>
                  <w:txbxContent>
                    <w:p w14:paraId="398E4E1C">
                      <w:pPr>
                        <w:spacing w:after="121" w:line="220" w:lineRule="exact"/>
                        <w:jc w:val="left"/>
                        <w:rPr>
                          <w:rFonts w:hint="eastAsia" w:ascii="MingLiU" w:hAnsi="MingLiU" w:eastAsia="MingLiU"/>
                          <w:color w:val="000000"/>
                          <w:kern w:val="0"/>
                          <w:sz w:val="22"/>
                          <w:szCs w:val="22"/>
                          <w:shd w:val="clear" w:color="auto" w:fill="FFFFFF"/>
                          <w:lang w:val="zh-CN"/>
                        </w:rPr>
                      </w:pPr>
                      <w:r>
                        <w:rPr>
                          <w:rFonts w:hint="eastAsia" w:ascii="MingLiU" w:hAnsi="MingLiU" w:eastAsia="MingLiU"/>
                          <w:color w:val="000000"/>
                          <w:kern w:val="0"/>
                          <w:sz w:val="22"/>
                          <w:szCs w:val="22"/>
                          <w:shd w:val="clear" w:color="auto" w:fill="FFFFFF"/>
                          <w:lang w:val="zh-CN"/>
                        </w:rPr>
                        <w:t>话</w:t>
                      </w:r>
                    </w:p>
                    <w:p w14:paraId="5DE3F3F7">
                      <w:pPr>
                        <w:spacing w:line="220" w:lineRule="exact"/>
                        <w:jc w:val="left"/>
                        <w:rPr>
                          <w:rFonts w:hint="eastAsia" w:ascii="MingLiU" w:hAnsi="MingLiU" w:eastAsia="MingLiU"/>
                          <w:color w:val="000000"/>
                          <w:kern w:val="0"/>
                          <w:sz w:val="22"/>
                          <w:szCs w:val="22"/>
                          <w:shd w:val="clear" w:color="auto" w:fill="FFFFFF"/>
                          <w:lang w:val="zh-CN"/>
                        </w:rPr>
                      </w:pPr>
                      <w:r>
                        <w:rPr>
                          <w:rFonts w:hint="eastAsia" w:ascii="MingLiU" w:hAnsi="MingLiU" w:eastAsia="MingLiU"/>
                          <w:color w:val="000000"/>
                          <w:kern w:val="0"/>
                          <w:sz w:val="22"/>
                          <w:szCs w:val="22"/>
                          <w:shd w:val="clear" w:color="auto" w:fill="FFFFFF"/>
                          <w:lang w:val="zh-CN"/>
                        </w:rPr>
                        <w:t>真</w:t>
                      </w:r>
                    </w:p>
                    <w:p w14:paraId="5BF0A7B8"/>
                  </w:txbxContent>
                </v:textbox>
                <w10:wrap type="topAndBottom"/>
              </v:rect>
            </w:pict>
          </mc:Fallback>
        </mc:AlternateContent>
      </w:r>
      <w:r>
        <w:rPr>
          <w:rFonts w:ascii="MingLiU" w:hAnsi="MingLiU" w:eastAsia="MingLiU"/>
          <w:color w:val="auto"/>
          <w:spacing w:val="20"/>
          <w:kern w:val="0"/>
          <w:sz w:val="22"/>
          <w:szCs w:val="22"/>
        </w:rPr>
        <mc:AlternateContent>
          <mc:Choice Requires="wps">
            <w:drawing>
              <wp:anchor distT="0" distB="0" distL="0" distR="0" simplePos="0" relativeHeight="251661312" behindDoc="1" locked="0" layoutInCell="1" allowOverlap="1">
                <wp:simplePos x="0" y="0"/>
                <wp:positionH relativeFrom="margin">
                  <wp:posOffset>4117975</wp:posOffset>
                </wp:positionH>
                <wp:positionV relativeFrom="paragraph">
                  <wp:posOffset>735965</wp:posOffset>
                </wp:positionV>
                <wp:extent cx="231775" cy="139700"/>
                <wp:effectExtent l="0" t="0" r="0" b="0"/>
                <wp:wrapTopAndBottom/>
                <wp:docPr id="8" name="_x0000_s1154"/>
                <wp:cNvGraphicFramePr/>
                <a:graphic xmlns:a="http://schemas.openxmlformats.org/drawingml/2006/main">
                  <a:graphicData uri="http://schemas.microsoft.com/office/word/2010/wordprocessingShape">
                    <wps:wsp>
                      <wps:cNvSpPr/>
                      <wps:spPr>
                        <a:xfrm>
                          <a:off x="0" y="0"/>
                          <a:ext cx="231775" cy="139700"/>
                        </a:xfrm>
                        <a:prstGeom prst="rect">
                          <a:avLst/>
                        </a:prstGeom>
                      </wps:spPr>
                      <wps:txbx>
                        <w:txbxContent>
                          <w:p w14:paraId="3F50128A">
                            <w:pPr>
                              <w:spacing w:line="220" w:lineRule="exact"/>
                              <w:jc w:val="left"/>
                              <w:rPr>
                                <w:rFonts w:hint="eastAsia" w:ascii="MingLiU" w:hAnsi="MingLiU" w:eastAsia="MingLiU"/>
                                <w:color w:val="000000"/>
                                <w:kern w:val="0"/>
                                <w:sz w:val="22"/>
                                <w:szCs w:val="22"/>
                                <w:shd w:val="clear" w:color="auto" w:fill="FFFFFF"/>
                                <w:lang w:val="zh-CN"/>
                              </w:rPr>
                            </w:pPr>
                            <w:r>
                              <w:rPr>
                                <w:rFonts w:hint="eastAsia" w:ascii="MingLiU" w:hAnsi="MingLiU" w:eastAsia="MingLiU"/>
                                <w:color w:val="000000"/>
                                <w:kern w:val="0"/>
                                <w:sz w:val="22"/>
                                <w:szCs w:val="22"/>
                                <w:shd w:val="clear" w:color="auto" w:fill="FFFFFF"/>
                                <w:lang w:val="zh-CN"/>
                              </w:rPr>
                              <w:t>年</w:t>
                            </w:r>
                          </w:p>
                          <w:p w14:paraId="6635144B"/>
                        </w:txbxContent>
                      </wps:txbx>
                      <wps:bodyPr rot="0" vert="horz" wrap="square" lIns="91440" tIns="45720" rIns="91440" bIns="45720" anchor="t" anchorCtr="0"/>
                    </wps:wsp>
                  </a:graphicData>
                </a:graphic>
              </wp:anchor>
            </w:drawing>
          </mc:Choice>
          <mc:Fallback>
            <w:pict>
              <v:rect id="_x0000_s1154" o:spid="_x0000_s1026" o:spt="1" style="position:absolute;left:0pt;margin-left:324.25pt;margin-top:57.95pt;height:11pt;width:18.25pt;mso-position-horizontal-relative:margin;mso-wrap-distance-bottom:0pt;mso-wrap-distance-top:0pt;z-index:-251655168;mso-width-relative:page;mso-height-relative:page;" filled="f" stroked="f" coordsize="21600,21600" o:gfxdata="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KkgQO2wAAAAsBAAAPAAAAAAAAAAEAIAAAACIAAABkcnMvZG93bnJldi54&#10;bWxQSwECFAAUAAAACACHTuJAF4hwpb4BAACEAwAADgAAAAAAAAABACAAAAAqAQAAZHJzL2Uyb0Rv&#10;Yy54bWxQSwUGAAAAAAYABgBZAQAAWgUAAAAA&#10;">
                <v:fill on="f" focussize="0,0"/>
                <v:stroke on="f"/>
                <v:imagedata o:title=""/>
                <o:lock v:ext="edit" aspectratio="f"/>
                <v:textbox>
                  <w:txbxContent>
                    <w:p w14:paraId="3F50128A">
                      <w:pPr>
                        <w:spacing w:line="220" w:lineRule="exact"/>
                        <w:jc w:val="left"/>
                        <w:rPr>
                          <w:rFonts w:hint="eastAsia" w:ascii="MingLiU" w:hAnsi="MingLiU" w:eastAsia="MingLiU"/>
                          <w:color w:val="000000"/>
                          <w:kern w:val="0"/>
                          <w:sz w:val="22"/>
                          <w:szCs w:val="22"/>
                          <w:shd w:val="clear" w:color="auto" w:fill="FFFFFF"/>
                          <w:lang w:val="zh-CN"/>
                        </w:rPr>
                      </w:pPr>
                      <w:r>
                        <w:rPr>
                          <w:rFonts w:hint="eastAsia" w:ascii="MingLiU" w:hAnsi="MingLiU" w:eastAsia="MingLiU"/>
                          <w:color w:val="000000"/>
                          <w:kern w:val="0"/>
                          <w:sz w:val="22"/>
                          <w:szCs w:val="22"/>
                          <w:shd w:val="clear" w:color="auto" w:fill="FFFFFF"/>
                          <w:lang w:val="zh-CN"/>
                        </w:rPr>
                        <w:t>年</w:t>
                      </w:r>
                    </w:p>
                    <w:p w14:paraId="6635144B"/>
                  </w:txbxContent>
                </v:textbox>
                <w10:wrap type="topAndBottom"/>
              </v:rect>
            </w:pict>
          </mc:Fallback>
        </mc:AlternateContent>
      </w:r>
      <w:r>
        <w:rPr>
          <w:rFonts w:ascii="MingLiU" w:hAnsi="MingLiU" w:eastAsia="MingLiU"/>
          <w:color w:val="auto"/>
          <w:spacing w:val="20"/>
          <w:kern w:val="0"/>
          <w:sz w:val="22"/>
          <w:szCs w:val="22"/>
        </w:rPr>
        <mc:AlternateContent>
          <mc:Choice Requires="wps">
            <w:drawing>
              <wp:anchor distT="0" distB="0" distL="0" distR="0" simplePos="0" relativeHeight="251661312" behindDoc="1" locked="0" layoutInCell="1" allowOverlap="1">
                <wp:simplePos x="0" y="0"/>
                <wp:positionH relativeFrom="margin">
                  <wp:posOffset>4727575</wp:posOffset>
                </wp:positionH>
                <wp:positionV relativeFrom="paragraph">
                  <wp:posOffset>735965</wp:posOffset>
                </wp:positionV>
                <wp:extent cx="207010" cy="139700"/>
                <wp:effectExtent l="0" t="0" r="0" b="0"/>
                <wp:wrapTopAndBottom/>
                <wp:docPr id="9" name="_x0000_s1150"/>
                <wp:cNvGraphicFramePr/>
                <a:graphic xmlns:a="http://schemas.openxmlformats.org/drawingml/2006/main">
                  <a:graphicData uri="http://schemas.microsoft.com/office/word/2010/wordprocessingShape">
                    <wps:wsp>
                      <wps:cNvSpPr/>
                      <wps:spPr>
                        <a:xfrm>
                          <a:off x="0" y="0"/>
                          <a:ext cx="207009" cy="139700"/>
                        </a:xfrm>
                        <a:prstGeom prst="rect">
                          <a:avLst/>
                        </a:prstGeom>
                      </wps:spPr>
                      <wps:txbx>
                        <w:txbxContent>
                          <w:p w14:paraId="7CCD706F">
                            <w:pPr>
                              <w:spacing w:line="220" w:lineRule="exact"/>
                              <w:jc w:val="left"/>
                              <w:rPr>
                                <w:rFonts w:hint="eastAsia" w:ascii="MingLiU" w:hAnsi="MingLiU" w:eastAsia="MingLiU"/>
                                <w:color w:val="000000"/>
                                <w:kern w:val="0"/>
                                <w:sz w:val="22"/>
                                <w:szCs w:val="22"/>
                                <w:shd w:val="clear" w:color="auto" w:fill="FFFFFF"/>
                                <w:lang w:val="zh-CN"/>
                              </w:rPr>
                            </w:pPr>
                            <w:r>
                              <w:rPr>
                                <w:rFonts w:hint="eastAsia" w:ascii="MingLiU" w:hAnsi="MingLiU" w:eastAsia="MingLiU"/>
                                <w:color w:val="000000"/>
                                <w:kern w:val="0"/>
                                <w:sz w:val="22"/>
                                <w:szCs w:val="22"/>
                                <w:shd w:val="clear" w:color="auto" w:fill="FFFFFF"/>
                                <w:lang w:val="zh-CN"/>
                              </w:rPr>
                              <w:t>月</w:t>
                            </w:r>
                          </w:p>
                          <w:p w14:paraId="28946322"/>
                        </w:txbxContent>
                      </wps:txbx>
                      <wps:bodyPr rot="0" vert="horz" wrap="square" lIns="91440" tIns="45720" rIns="91440" bIns="45720" anchor="t" anchorCtr="0"/>
                    </wps:wsp>
                  </a:graphicData>
                </a:graphic>
              </wp:anchor>
            </w:drawing>
          </mc:Choice>
          <mc:Fallback>
            <w:pict>
              <v:rect id="_x0000_s1150" o:spid="_x0000_s1026" o:spt="1" style="position:absolute;left:0pt;margin-left:372.25pt;margin-top:57.95pt;height:11pt;width:16.3pt;mso-position-horizontal-relative:margin;mso-wrap-distance-bottom:0pt;mso-wrap-distance-top:0pt;z-index:-251655168;mso-width-relative:page;mso-height-relative:page;" filled="f" stroked="f" coordsize="21600,21600" o:gfxdata="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G9HqRtwAAAALAQAADwAAAAAAAAABACAAAAAiAAAAZHJzL2Rvd25yZXYueG1s&#10;UEsBAhQAFAAAAAgAh07iQNeAyV67AQAAhAMAAA4AAAAAAAAAAQAgAAAAKwEAAGRycy9lMm9Eb2Mu&#10;eG1sUEsFBgAAAAAGAAYAWQEAAFgFAAAAAA==&#10;">
                <v:fill on="f" focussize="0,0"/>
                <v:stroke on="f"/>
                <v:imagedata o:title=""/>
                <o:lock v:ext="edit" aspectratio="f"/>
                <v:textbox>
                  <w:txbxContent>
                    <w:p w14:paraId="7CCD706F">
                      <w:pPr>
                        <w:spacing w:line="220" w:lineRule="exact"/>
                        <w:jc w:val="left"/>
                        <w:rPr>
                          <w:rFonts w:hint="eastAsia" w:ascii="MingLiU" w:hAnsi="MingLiU" w:eastAsia="MingLiU"/>
                          <w:color w:val="000000"/>
                          <w:kern w:val="0"/>
                          <w:sz w:val="22"/>
                          <w:szCs w:val="22"/>
                          <w:shd w:val="clear" w:color="auto" w:fill="FFFFFF"/>
                          <w:lang w:val="zh-CN"/>
                        </w:rPr>
                      </w:pPr>
                      <w:r>
                        <w:rPr>
                          <w:rFonts w:hint="eastAsia" w:ascii="MingLiU" w:hAnsi="MingLiU" w:eastAsia="MingLiU"/>
                          <w:color w:val="000000"/>
                          <w:kern w:val="0"/>
                          <w:sz w:val="22"/>
                          <w:szCs w:val="22"/>
                          <w:shd w:val="clear" w:color="auto" w:fill="FFFFFF"/>
                          <w:lang w:val="zh-CN"/>
                        </w:rPr>
                        <w:t>月</w:t>
                      </w:r>
                    </w:p>
                    <w:p w14:paraId="28946322"/>
                  </w:txbxContent>
                </v:textbox>
                <w10:wrap type="topAndBottom"/>
              </v:rect>
            </w:pict>
          </mc:Fallback>
        </mc:AlternateContent>
      </w:r>
      <w:r>
        <w:rPr>
          <w:rFonts w:ascii="MingLiU" w:hAnsi="MingLiU" w:eastAsia="MingLiU"/>
          <w:color w:val="auto"/>
          <w:spacing w:val="20"/>
          <w:kern w:val="0"/>
          <w:sz w:val="22"/>
          <w:szCs w:val="22"/>
        </w:rPr>
        <mc:AlternateContent>
          <mc:Choice Requires="wps">
            <w:drawing>
              <wp:anchor distT="0" distB="0" distL="0" distR="0" simplePos="0" relativeHeight="251661312" behindDoc="1" locked="0" layoutInCell="1" allowOverlap="1">
                <wp:simplePos x="0" y="0"/>
                <wp:positionH relativeFrom="margin">
                  <wp:posOffset>5361305</wp:posOffset>
                </wp:positionH>
                <wp:positionV relativeFrom="paragraph">
                  <wp:posOffset>742315</wp:posOffset>
                </wp:positionV>
                <wp:extent cx="189230" cy="139700"/>
                <wp:effectExtent l="0" t="0" r="0" b="0"/>
                <wp:wrapTopAndBottom/>
                <wp:docPr id="10" name="_x0000_s1156"/>
                <wp:cNvGraphicFramePr/>
                <a:graphic xmlns:a="http://schemas.openxmlformats.org/drawingml/2006/main">
                  <a:graphicData uri="http://schemas.microsoft.com/office/word/2010/wordprocessingShape">
                    <wps:wsp>
                      <wps:cNvSpPr/>
                      <wps:spPr>
                        <a:xfrm>
                          <a:off x="0" y="0"/>
                          <a:ext cx="189230" cy="139700"/>
                        </a:xfrm>
                        <a:prstGeom prst="rect">
                          <a:avLst/>
                        </a:prstGeom>
                      </wps:spPr>
                      <wps:txbx>
                        <w:txbxContent>
                          <w:p w14:paraId="1E6BC2AB">
                            <w:pPr>
                              <w:spacing w:line="220" w:lineRule="exact"/>
                              <w:jc w:val="left"/>
                              <w:rPr>
                                <w:rFonts w:hint="eastAsia" w:ascii="MingLiU" w:hAnsi="MingLiU" w:eastAsia="MingLiU"/>
                                <w:color w:val="000000"/>
                                <w:kern w:val="0"/>
                                <w:sz w:val="22"/>
                                <w:szCs w:val="22"/>
                                <w:shd w:val="clear" w:color="auto" w:fill="FFFFFF"/>
                                <w:lang w:val="zh-CN"/>
                              </w:rPr>
                            </w:pPr>
                            <w:r>
                              <w:rPr>
                                <w:rFonts w:hint="eastAsia" w:ascii="MingLiU" w:hAnsi="MingLiU" w:eastAsia="MingLiU"/>
                                <w:color w:val="000000"/>
                                <w:kern w:val="0"/>
                                <w:sz w:val="22"/>
                                <w:szCs w:val="22"/>
                                <w:shd w:val="clear" w:color="auto" w:fill="FFFFFF"/>
                                <w:lang w:val="zh-CN"/>
                              </w:rPr>
                              <w:t>曰</w:t>
                            </w:r>
                          </w:p>
                          <w:p w14:paraId="54969DED"/>
                        </w:txbxContent>
                      </wps:txbx>
                      <wps:bodyPr rot="0" vert="horz" wrap="square" lIns="91440" tIns="45720" rIns="91440" bIns="45720" anchor="t" anchorCtr="0"/>
                    </wps:wsp>
                  </a:graphicData>
                </a:graphic>
              </wp:anchor>
            </w:drawing>
          </mc:Choice>
          <mc:Fallback>
            <w:pict>
              <v:rect id="_x0000_s1156" o:spid="_x0000_s1026" o:spt="1" style="position:absolute;left:0pt;margin-left:422.15pt;margin-top:58.45pt;height:11pt;width:14.9pt;mso-position-horizontal-relative:margin;mso-wrap-distance-bottom:0pt;mso-wrap-distance-top:0pt;z-index:-251655168;mso-width-relative:page;mso-height-relative:page;" filled="f" stroked="f" coordsize="21600,21600" o:gfxdata="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A5VTt2wAAAAsBAAAPAAAAAAAAAAEAIAAAACIAAABkcnMvZG93bnJldi54&#10;bWxQSwECFAAUAAAACACHTuJAPCd16r4BAACFAwAADgAAAAAAAAABACAAAAAqAQAAZHJzL2Uyb0Rv&#10;Yy54bWxQSwUGAAAAAAYABgBZAQAAWgUAAAAA&#10;">
                <v:fill on="f" focussize="0,0"/>
                <v:stroke on="f"/>
                <v:imagedata o:title=""/>
                <o:lock v:ext="edit" aspectratio="f"/>
                <v:textbox>
                  <w:txbxContent>
                    <w:p w14:paraId="1E6BC2AB">
                      <w:pPr>
                        <w:spacing w:line="220" w:lineRule="exact"/>
                        <w:jc w:val="left"/>
                        <w:rPr>
                          <w:rFonts w:hint="eastAsia" w:ascii="MingLiU" w:hAnsi="MingLiU" w:eastAsia="MingLiU"/>
                          <w:color w:val="000000"/>
                          <w:kern w:val="0"/>
                          <w:sz w:val="22"/>
                          <w:szCs w:val="22"/>
                          <w:shd w:val="clear" w:color="auto" w:fill="FFFFFF"/>
                          <w:lang w:val="zh-CN"/>
                        </w:rPr>
                      </w:pPr>
                      <w:r>
                        <w:rPr>
                          <w:rFonts w:hint="eastAsia" w:ascii="MingLiU" w:hAnsi="MingLiU" w:eastAsia="MingLiU"/>
                          <w:color w:val="000000"/>
                          <w:kern w:val="0"/>
                          <w:sz w:val="22"/>
                          <w:szCs w:val="22"/>
                          <w:shd w:val="clear" w:color="auto" w:fill="FFFFFF"/>
                          <w:lang w:val="zh-CN"/>
                        </w:rPr>
                        <w:t>曰</w:t>
                      </w:r>
                    </w:p>
                    <w:p w14:paraId="54969DED"/>
                  </w:txbxContent>
                </v:textbox>
                <w10:wrap type="topAndBottom"/>
              </v:rect>
            </w:pict>
          </mc:Fallback>
        </mc:AlternateContent>
      </w:r>
      <w:r>
        <w:rPr>
          <w:rFonts w:hint="eastAsia" w:ascii="宋体" w:hAnsi="宋体"/>
          <w:color w:val="auto"/>
          <w:kern w:val="0"/>
          <w:sz w:val="22"/>
          <w:szCs w:val="22"/>
          <w:shd w:val="clear" w:color="auto" w:fill="FFFFFF"/>
          <w:lang w:val="zh-CN" w:bidi="zh-CN"/>
        </w:rPr>
        <w:t>邮政编码</w:t>
      </w:r>
    </w:p>
    <w:p w14:paraId="7E0ED504">
      <w:pPr>
        <w:tabs>
          <w:tab w:val="left" w:leader="underscore" w:pos="3434"/>
          <w:tab w:val="left" w:leader="underscore" w:pos="6547"/>
        </w:tabs>
        <w:spacing w:line="240" w:lineRule="auto"/>
        <w:rPr>
          <w:rFonts w:hint="eastAsia" w:ascii="宋体" w:hAnsi="宋体"/>
          <w:color w:val="auto"/>
          <w:kern w:val="0"/>
          <w:sz w:val="18"/>
          <w:szCs w:val="18"/>
        </w:rPr>
      </w:pPr>
      <w:r>
        <w:rPr>
          <w:rFonts w:hint="eastAsia" w:ascii="宋体" w:hAnsi="宋体"/>
          <w:color w:val="auto"/>
          <w:kern w:val="0"/>
          <w:sz w:val="18"/>
          <w:szCs w:val="18"/>
        </w:rPr>
        <w:t>®本条内容可修改为：“本担保自</w:t>
      </w:r>
      <w:r>
        <w:rPr>
          <w:rFonts w:ascii="宋体" w:hAnsi="宋体"/>
          <w:color w:val="auto"/>
          <w:kern w:val="0"/>
          <w:sz w:val="18"/>
          <w:szCs w:val="18"/>
        </w:rPr>
        <w:tab/>
      </w:r>
      <w:r>
        <w:rPr>
          <w:rFonts w:ascii="宋体" w:hAnsi="宋体"/>
          <w:color w:val="auto"/>
          <w:kern w:val="0"/>
          <w:sz w:val="18"/>
          <w:szCs w:val="18"/>
        </w:rPr>
        <w:t>(</w:t>
      </w:r>
      <w:r>
        <w:rPr>
          <w:rFonts w:hint="eastAsia" w:ascii="宋体" w:hAnsi="宋体"/>
          <w:color w:val="auto"/>
          <w:kern w:val="0"/>
          <w:sz w:val="18"/>
          <w:szCs w:val="18"/>
        </w:rPr>
        <w:t>生效日期）之日起生效，至</w:t>
      </w:r>
      <w:r>
        <w:rPr>
          <w:rFonts w:ascii="宋体" w:hAnsi="宋体"/>
          <w:color w:val="auto"/>
          <w:kern w:val="0"/>
          <w:sz w:val="18"/>
          <w:szCs w:val="18"/>
        </w:rPr>
        <w:tab/>
      </w:r>
      <w:r>
        <w:rPr>
          <w:rFonts w:ascii="宋体" w:hAnsi="宋体"/>
          <w:color w:val="auto"/>
          <w:kern w:val="0"/>
          <w:sz w:val="18"/>
          <w:szCs w:val="18"/>
        </w:rPr>
        <w:t>(</w:t>
      </w:r>
      <w:r>
        <w:rPr>
          <w:rFonts w:hint="eastAsia" w:ascii="宋体" w:hAnsi="宋体"/>
          <w:color w:val="auto"/>
          <w:kern w:val="0"/>
          <w:sz w:val="18"/>
          <w:szCs w:val="18"/>
        </w:rPr>
        <w:t>失效日期）之日失效。”</w:t>
      </w:r>
    </w:p>
    <w:p w14:paraId="03122FBF">
      <w:pPr>
        <w:spacing w:line="240" w:lineRule="auto"/>
        <w:ind w:firstLine="420" w:firstLineChars="200"/>
        <w:rPr>
          <w:rFonts w:hint="eastAsia" w:ascii="宋体" w:hAnsi="宋体"/>
          <w:color w:val="auto"/>
        </w:rPr>
      </w:pPr>
      <w:r>
        <w:rPr>
          <w:rFonts w:hint="eastAsia" w:ascii="宋体" w:hAnsi="宋体"/>
          <w:color w:val="auto"/>
        </w:rPr>
        <w:t>如发包人接受履约保函等采用固定有效期，在项目专用合同条款中应增加保证承包人在履约保函失效日前向发包人出具后续阶段履约保函的约束性条款，直至发包人签发交工验收证书且承包人按照合同约定缴纳质量保</w:t>
      </w:r>
      <w:r>
        <w:rPr>
          <w:rFonts w:ascii="宋体" w:hAnsi="宋体"/>
          <w:color w:val="auto"/>
        </w:rPr>
        <w:t xml:space="preserve"> </w:t>
      </w:r>
      <w:r>
        <w:rPr>
          <w:rFonts w:hint="eastAsia" w:ascii="宋体" w:hAnsi="宋体"/>
          <w:color w:val="auto"/>
        </w:rPr>
        <w:t>证金之日为止。</w:t>
      </w:r>
    </w:p>
    <w:p w14:paraId="4033F934">
      <w:pPr>
        <w:spacing w:line="240" w:lineRule="auto"/>
        <w:ind w:firstLine="420" w:firstLineChars="200"/>
        <w:rPr>
          <w:color w:val="auto"/>
        </w:rPr>
      </w:pPr>
      <w:r>
        <w:rPr>
          <w:color w:val="auto"/>
        </w:rPr>
        <w:br w:type="page"/>
      </w:r>
    </w:p>
    <w:p w14:paraId="497EDACA">
      <w:pPr>
        <w:keepNext/>
        <w:keepLines/>
        <w:spacing w:before="120" w:after="120" w:line="240" w:lineRule="auto"/>
        <w:jc w:val="left"/>
        <w:outlineLvl w:val="3"/>
        <w:rPr>
          <w:rFonts w:hint="eastAsia" w:ascii="Cambria" w:hAnsi="Cambria" w:eastAsia="黑体"/>
          <w:b/>
          <w:bCs/>
          <w:color w:val="auto"/>
          <w:sz w:val="28"/>
          <w:szCs w:val="28"/>
        </w:rPr>
      </w:pPr>
      <w:bookmarkStart w:id="158" w:name="_Toc394929423"/>
      <w:bookmarkEnd w:id="158"/>
      <w:bookmarkStart w:id="159" w:name="_Toc394929424"/>
      <w:bookmarkEnd w:id="159"/>
      <w:bookmarkStart w:id="160" w:name="_Toc98873430"/>
      <w:bookmarkEnd w:id="160"/>
      <w:r>
        <w:rPr>
          <w:rFonts w:hint="eastAsia" w:ascii="Cambria" w:hAnsi="Cambria" w:eastAsia="黑体"/>
          <w:b/>
          <w:bCs/>
          <w:color w:val="auto"/>
          <w:sz w:val="28"/>
          <w:szCs w:val="28"/>
        </w:rPr>
        <w:t>附件六  工程资金监管协议格式（如有）</w:t>
      </w:r>
    </w:p>
    <w:p w14:paraId="1A58229C">
      <w:pPr>
        <w:spacing w:after="362" w:line="240" w:lineRule="auto"/>
        <w:ind w:firstLine="420"/>
        <w:rPr>
          <w:rFonts w:ascii="宋体" w:hAnsi="宋体"/>
          <w:color w:val="auto"/>
          <w:kern w:val="0"/>
          <w:sz w:val="22"/>
          <w:szCs w:val="22"/>
          <w:shd w:val="clear" w:color="auto" w:fill="FFFFFF"/>
          <w:lang w:val="zh-CN" w:bidi="zh-CN"/>
        </w:rPr>
      </w:pPr>
      <w:r>
        <w:rPr>
          <w:rFonts w:ascii="宋体" w:hAnsi="宋体"/>
          <w:color w:val="auto"/>
          <w:kern w:val="0"/>
          <w:sz w:val="22"/>
          <w:szCs w:val="22"/>
          <w:shd w:val="clear" w:color="auto" w:fill="FFFFFF"/>
          <w:lang w:val="zh-CN" w:bidi="zh-CN"/>
        </w:rPr>
        <w:t>(</w:t>
      </w:r>
      <w:r>
        <w:rPr>
          <w:rFonts w:hint="eastAsia" w:ascii="宋体" w:hAnsi="宋体"/>
          <w:color w:val="auto"/>
          <w:kern w:val="0"/>
          <w:sz w:val="22"/>
          <w:szCs w:val="22"/>
          <w:shd w:val="clear" w:color="auto" w:fill="FFFFFF"/>
          <w:lang w:val="zh-CN" w:bidi="zh-CN"/>
        </w:rPr>
        <w:t>发包人与承包人签订合同协议书时应与发包人指定的银行签署工程资金监管</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协议，工程资金监管协议内容在保证本项目资金有效监管的前提下由三方共同商定</w:t>
      </w:r>
      <w:r>
        <w:rPr>
          <w:rFonts w:ascii="宋体" w:hAnsi="宋体"/>
          <w:color w:val="auto"/>
          <w:kern w:val="0"/>
          <w:sz w:val="22"/>
          <w:szCs w:val="22"/>
          <w:shd w:val="clear" w:color="auto" w:fill="FFFFFF"/>
          <w:lang w:val="zh-CN" w:bidi="zh-CN"/>
        </w:rPr>
        <w:t>)</w:t>
      </w:r>
    </w:p>
    <w:p w14:paraId="0494CFF6">
      <w:pPr>
        <w:keepNext/>
        <w:keepLines/>
        <w:spacing w:after="335" w:line="240" w:lineRule="auto"/>
        <w:ind w:right="20"/>
        <w:jc w:val="center"/>
        <w:outlineLvl w:val="6"/>
        <w:rPr>
          <w:rFonts w:hint="eastAsia" w:ascii="宋体" w:hAnsi="宋体"/>
          <w:color w:val="auto"/>
          <w:kern w:val="0"/>
          <w:sz w:val="30"/>
          <w:szCs w:val="30"/>
          <w:lang w:val="zh-CN"/>
        </w:rPr>
      </w:pPr>
      <w:bookmarkStart w:id="161" w:name="bookmark202"/>
      <w:bookmarkEnd w:id="161"/>
      <w:r>
        <w:rPr>
          <w:rFonts w:hint="eastAsia" w:ascii="宋体" w:hAnsi="宋体"/>
          <w:color w:val="auto"/>
          <w:kern w:val="0"/>
          <w:sz w:val="30"/>
          <w:szCs w:val="30"/>
          <w:lang w:val="zh-CN"/>
        </w:rPr>
        <w:t>工程资金监管协议</w:t>
      </w:r>
    </w:p>
    <w:p w14:paraId="0558D06D">
      <w:pPr>
        <w:tabs>
          <w:tab w:val="left" w:leader="underscore" w:pos="2930"/>
        </w:tabs>
        <w:spacing w:line="240" w:lineRule="auto"/>
        <w:rPr>
          <w:rFonts w:hint="eastAsia" w:ascii="宋体" w:hAnsi="宋体"/>
          <w:iCs/>
          <w:color w:val="auto"/>
          <w:spacing w:val="10"/>
          <w:kern w:val="0"/>
          <w:sz w:val="24"/>
          <w:shd w:val="clear" w:color="auto" w:fill="FFFFFF"/>
          <w:lang w:val="zh-CN"/>
        </w:rPr>
      </w:pPr>
      <w:r>
        <w:rPr>
          <w:rFonts w:hint="eastAsia" w:ascii="宋体" w:hAnsi="宋体"/>
          <w:iCs/>
          <w:color w:val="auto"/>
          <w:spacing w:val="10"/>
          <w:kern w:val="0"/>
          <w:sz w:val="24"/>
          <w:shd w:val="clear" w:color="auto" w:fill="FFFFFF"/>
          <w:lang w:val="zh-CN"/>
        </w:rPr>
        <w:t>发包人</w:t>
      </w:r>
      <w:r>
        <w:rPr>
          <w:rFonts w:ascii="宋体" w:hAnsi="宋体"/>
          <w:iCs/>
          <w:color w:val="auto"/>
          <w:spacing w:val="10"/>
          <w:kern w:val="0"/>
          <w:sz w:val="24"/>
          <w:shd w:val="clear" w:color="auto" w:fill="FFFFFF"/>
          <w:lang w:val="zh-CN"/>
        </w:rPr>
        <w:t>:</w:t>
      </w:r>
      <w:r>
        <w:rPr>
          <w:rFonts w:ascii="宋体" w:hAnsi="宋体"/>
          <w:color w:val="auto"/>
          <w:kern w:val="0"/>
          <w:sz w:val="22"/>
          <w:szCs w:val="22"/>
          <w:shd w:val="clear" w:color="auto" w:fill="FFFFFF"/>
          <w:lang w:val="zh-CN" w:bidi="zh-CN"/>
        </w:rPr>
        <w:tab/>
      </w:r>
      <w:r>
        <w:rPr>
          <w:rFonts w:ascii="宋体" w:hAnsi="宋体"/>
          <w:color w:val="auto"/>
          <w:kern w:val="0"/>
          <w:sz w:val="22"/>
          <w:szCs w:val="22"/>
          <w:shd w:val="clear" w:color="auto" w:fill="FFFFFF"/>
          <w:lang w:val="zh-CN" w:bidi="zh-CN"/>
        </w:rPr>
        <w:t>(</w:t>
      </w:r>
      <w:r>
        <w:rPr>
          <w:rFonts w:hint="eastAsia" w:ascii="宋体" w:hAnsi="宋体"/>
          <w:color w:val="auto"/>
          <w:kern w:val="0"/>
          <w:sz w:val="22"/>
          <w:szCs w:val="22"/>
          <w:shd w:val="clear" w:color="auto" w:fill="FFFFFF"/>
          <w:lang w:val="zh-CN" w:bidi="zh-CN"/>
        </w:rPr>
        <w:t>以下简称“甲方”）</w:t>
      </w:r>
    </w:p>
    <w:p w14:paraId="62047293">
      <w:pPr>
        <w:tabs>
          <w:tab w:val="left" w:leader="underscore" w:pos="2930"/>
        </w:tabs>
        <w:spacing w:line="240" w:lineRule="auto"/>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承包人：</w:t>
      </w:r>
      <w:r>
        <w:rPr>
          <w:rFonts w:ascii="宋体" w:hAnsi="宋体"/>
          <w:color w:val="auto"/>
          <w:kern w:val="0"/>
          <w:sz w:val="22"/>
          <w:szCs w:val="22"/>
          <w:shd w:val="clear" w:color="auto" w:fill="FFFFFF"/>
          <w:lang w:val="zh-CN" w:bidi="zh-CN"/>
        </w:rPr>
        <w:tab/>
      </w:r>
      <w:r>
        <w:rPr>
          <w:rFonts w:ascii="宋体" w:hAnsi="宋体"/>
          <w:color w:val="auto"/>
          <w:kern w:val="0"/>
          <w:sz w:val="22"/>
          <w:szCs w:val="22"/>
          <w:shd w:val="clear" w:color="auto" w:fill="FFFFFF"/>
          <w:lang w:val="zh-CN" w:bidi="zh-CN"/>
        </w:rPr>
        <w:t>(</w:t>
      </w:r>
      <w:r>
        <w:rPr>
          <w:rFonts w:hint="eastAsia" w:ascii="宋体" w:hAnsi="宋体"/>
          <w:color w:val="auto"/>
          <w:kern w:val="0"/>
          <w:sz w:val="22"/>
          <w:szCs w:val="22"/>
          <w:shd w:val="clear" w:color="auto" w:fill="FFFFFF"/>
          <w:lang w:val="zh-CN" w:bidi="zh-CN"/>
        </w:rPr>
        <w:t>以下简称“乙方”）</w:t>
      </w:r>
    </w:p>
    <w:p w14:paraId="7D762143">
      <w:pPr>
        <w:tabs>
          <w:tab w:val="left" w:leader="underscore" w:pos="2930"/>
        </w:tabs>
        <w:spacing w:after="300" w:line="240" w:lineRule="auto"/>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经办银行：</w:t>
      </w:r>
      <w:r>
        <w:rPr>
          <w:rFonts w:ascii="宋体" w:hAnsi="宋体"/>
          <w:color w:val="auto"/>
          <w:kern w:val="0"/>
          <w:sz w:val="22"/>
          <w:szCs w:val="22"/>
          <w:shd w:val="clear" w:color="auto" w:fill="FFFFFF"/>
          <w:lang w:val="zh-CN" w:bidi="zh-CN"/>
        </w:rPr>
        <w:tab/>
      </w:r>
      <w:r>
        <w:rPr>
          <w:rFonts w:ascii="宋体" w:hAnsi="宋体"/>
          <w:color w:val="auto"/>
          <w:kern w:val="0"/>
          <w:sz w:val="22"/>
          <w:szCs w:val="22"/>
          <w:shd w:val="clear" w:color="auto" w:fill="FFFFFF"/>
          <w:lang w:val="zh-CN" w:bidi="zh-CN"/>
        </w:rPr>
        <w:t>(</w:t>
      </w:r>
      <w:r>
        <w:rPr>
          <w:rFonts w:hint="eastAsia" w:ascii="宋体" w:hAnsi="宋体"/>
          <w:color w:val="auto"/>
          <w:kern w:val="0"/>
          <w:sz w:val="22"/>
          <w:szCs w:val="22"/>
          <w:shd w:val="clear" w:color="auto" w:fill="FFFFFF"/>
          <w:lang w:val="zh-CN" w:bidi="zh-CN"/>
        </w:rPr>
        <w:t>以下简称“丙方”）</w:t>
      </w:r>
    </w:p>
    <w:p w14:paraId="4E852C31">
      <w:pPr>
        <w:tabs>
          <w:tab w:val="left" w:leader="underscore" w:pos="2482"/>
        </w:tabs>
        <w:spacing w:line="240" w:lineRule="auto"/>
        <w:ind w:left="52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为了促进</w:t>
      </w:r>
      <w:r>
        <w:rPr>
          <w:rFonts w:ascii="宋体" w:hAnsi="宋体"/>
          <w:color w:val="auto"/>
          <w:kern w:val="0"/>
          <w:sz w:val="22"/>
          <w:szCs w:val="22"/>
          <w:shd w:val="clear" w:color="auto" w:fill="FFFFFF"/>
          <w:lang w:val="zh-CN" w:bidi="zh-CN"/>
        </w:rPr>
        <w:tab/>
      </w:r>
      <w:r>
        <w:rPr>
          <w:rFonts w:ascii="宋体" w:hAnsi="宋体"/>
          <w:color w:val="auto"/>
          <w:kern w:val="0"/>
          <w:sz w:val="22"/>
          <w:szCs w:val="22"/>
          <w:shd w:val="clear" w:color="auto" w:fill="FFFFFF"/>
          <w:lang w:val="zh-CN" w:bidi="zh-CN"/>
        </w:rPr>
        <w:t>(</w:t>
      </w:r>
      <w:r>
        <w:rPr>
          <w:rFonts w:hint="eastAsia" w:ascii="宋体" w:hAnsi="宋体"/>
          <w:color w:val="auto"/>
          <w:kern w:val="0"/>
          <w:sz w:val="22"/>
          <w:szCs w:val="22"/>
          <w:shd w:val="clear" w:color="auto" w:fill="FFFFFF"/>
          <w:lang w:val="zh-CN" w:bidi="zh-CN"/>
        </w:rPr>
        <w:t>项目名称）的顺利实施，管好用好建设资金，确保工程资金专款专用，同时为承包人提供便捷有效的银行业务服务，根据</w:t>
      </w:r>
      <w:r>
        <w:rPr>
          <w:rFonts w:ascii="宋体" w:hAnsi="宋体"/>
          <w:color w:val="auto"/>
          <w:kern w:val="0"/>
          <w:sz w:val="22"/>
          <w:szCs w:val="22"/>
          <w:shd w:val="clear" w:color="auto" w:fill="FFFFFF"/>
          <w:lang w:val="zh-CN" w:bidi="zh-CN"/>
        </w:rPr>
        <w:tab/>
      </w:r>
      <w:r>
        <w:rPr>
          <w:rFonts w:ascii="宋体" w:hAnsi="宋体"/>
          <w:color w:val="auto"/>
          <w:kern w:val="0"/>
          <w:sz w:val="22"/>
          <w:szCs w:val="22"/>
          <w:shd w:val="clear" w:color="auto" w:fill="FFFFFF"/>
          <w:lang w:val="zh-CN" w:bidi="zh-CN"/>
        </w:rPr>
        <w:t>(</w:t>
      </w:r>
      <w:r>
        <w:rPr>
          <w:rFonts w:hint="eastAsia" w:ascii="宋体" w:hAnsi="宋体"/>
          <w:color w:val="auto"/>
          <w:kern w:val="0"/>
          <w:sz w:val="22"/>
          <w:szCs w:val="22"/>
          <w:shd w:val="clear" w:color="auto" w:fill="FFFFFF"/>
          <w:lang w:val="zh-CN" w:bidi="zh-CN"/>
        </w:rPr>
        <w:t>项目名称</w:t>
      </w:r>
      <w:r>
        <w:rPr>
          <w:rFonts w:ascii="宋体" w:hAnsi="宋体"/>
          <w:color w:val="auto"/>
          <w:kern w:val="0"/>
          <w:sz w:val="22"/>
          <w:szCs w:val="22"/>
          <w:shd w:val="clear" w:color="auto" w:fill="FFFFFF"/>
          <w:lang w:val="zh-CN" w:bidi="zh-CN"/>
        </w:rPr>
        <w:t>)</w:t>
      </w:r>
      <w:r>
        <w:rPr>
          <w:rFonts w:hint="eastAsia" w:ascii="宋体" w:hAnsi="宋体"/>
          <w:color w:val="auto"/>
          <w:kern w:val="0"/>
          <w:sz w:val="22"/>
          <w:szCs w:val="22"/>
          <w:shd w:val="clear" w:color="auto" w:fill="FFFFFF"/>
          <w:lang w:val="zh-CN" w:bidi="zh-CN"/>
        </w:rPr>
        <w:t>合同条款有关规定，经甲、乙、丙三方协商，达成协议如下：</w:t>
      </w:r>
    </w:p>
    <w:p w14:paraId="7EDE17C3">
      <w:pPr>
        <w:numPr>
          <w:ilvl w:val="0"/>
          <w:numId w:val="14"/>
        </w:numPr>
        <w:tabs>
          <w:tab w:val="left" w:pos="854"/>
        </w:tabs>
        <w:spacing w:line="240" w:lineRule="auto"/>
        <w:ind w:firstLine="440" w:firstLineChars="20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资金管理的内容</w:t>
      </w:r>
    </w:p>
    <w:p w14:paraId="4562A505">
      <w:pPr>
        <w:numPr>
          <w:ilvl w:val="0"/>
          <w:numId w:val="15"/>
        </w:numPr>
        <w:tabs>
          <w:tab w:val="left" w:pos="1169"/>
          <w:tab w:val="left" w:leader="underscore" w:pos="3237"/>
        </w:tabs>
        <w:spacing w:line="240" w:lineRule="auto"/>
        <w:ind w:firstLine="440" w:firstLineChars="20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乙方为完成</w:t>
      </w:r>
      <w:r>
        <w:rPr>
          <w:rFonts w:ascii="宋体" w:hAnsi="宋体"/>
          <w:color w:val="auto"/>
          <w:kern w:val="0"/>
          <w:sz w:val="22"/>
          <w:szCs w:val="22"/>
          <w:shd w:val="clear" w:color="auto" w:fill="FFFFFF"/>
          <w:lang w:val="zh-CN" w:bidi="zh-CN"/>
        </w:rPr>
        <w:tab/>
      </w:r>
      <w:r>
        <w:rPr>
          <w:rFonts w:ascii="宋体" w:hAnsi="宋体"/>
          <w:color w:val="auto"/>
          <w:kern w:val="0"/>
          <w:sz w:val="22"/>
          <w:szCs w:val="22"/>
          <w:shd w:val="clear" w:color="auto" w:fill="FFFFFF"/>
          <w:lang w:val="zh-CN" w:bidi="zh-CN"/>
        </w:rPr>
        <w:t>(</w:t>
      </w:r>
      <w:r>
        <w:rPr>
          <w:rFonts w:hint="eastAsia" w:ascii="宋体" w:hAnsi="宋体"/>
          <w:color w:val="auto"/>
          <w:kern w:val="0"/>
          <w:sz w:val="22"/>
          <w:szCs w:val="22"/>
          <w:shd w:val="clear" w:color="auto" w:fill="FFFFFF"/>
          <w:lang w:val="zh-CN" w:bidi="zh-CN"/>
        </w:rPr>
        <w:t>项目名称）工程成立的项目经理部在丙方开设基本结算户；</w:t>
      </w:r>
    </w:p>
    <w:p w14:paraId="7C89163C">
      <w:pPr>
        <w:numPr>
          <w:ilvl w:val="0"/>
          <w:numId w:val="15"/>
        </w:numPr>
        <w:tabs>
          <w:tab w:val="left" w:pos="1169"/>
        </w:tabs>
        <w:spacing w:line="240" w:lineRule="auto"/>
        <w:ind w:firstLine="440" w:firstLineChars="20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甲方应按合同规定将工程款汇入乙方在丙方开设的账户；</w:t>
      </w:r>
    </w:p>
    <w:p w14:paraId="3CDC8CD7">
      <w:pPr>
        <w:numPr>
          <w:ilvl w:val="0"/>
          <w:numId w:val="15"/>
        </w:numPr>
        <w:tabs>
          <w:tab w:val="left" w:leader="underscore" w:pos="6866"/>
        </w:tabs>
        <w:spacing w:line="240" w:lineRule="auto"/>
        <w:ind w:firstLine="440" w:firstLineChars="200"/>
        <w:rPr>
          <w:rFonts w:ascii="宋体" w:hAnsi="宋体"/>
          <w:color w:val="auto"/>
          <w:kern w:val="0"/>
          <w:sz w:val="22"/>
          <w:szCs w:val="22"/>
          <w:shd w:val="clear" w:color="auto" w:fill="FFFFFF"/>
          <w:lang w:val="zh-CN" w:bidi="zh-CN"/>
        </w:rPr>
      </w:pP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乙方应将流动资金及甲方所拨付资金专项用于</w:t>
      </w:r>
      <w:r>
        <w:rPr>
          <w:rFonts w:ascii="宋体" w:hAnsi="宋体"/>
          <w:color w:val="auto"/>
          <w:kern w:val="0"/>
          <w:sz w:val="22"/>
          <w:szCs w:val="22"/>
          <w:shd w:val="clear" w:color="auto" w:fill="FFFFFF"/>
          <w:lang w:val="zh-CN" w:bidi="zh-CN"/>
        </w:rPr>
        <w:tab/>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项目名称）；</w:t>
      </w:r>
    </w:p>
    <w:p w14:paraId="276E2D2C">
      <w:pPr>
        <w:numPr>
          <w:ilvl w:val="0"/>
          <w:numId w:val="15"/>
        </w:numPr>
        <w:tabs>
          <w:tab w:val="left" w:pos="1136"/>
        </w:tabs>
        <w:spacing w:line="240" w:lineRule="auto"/>
        <w:ind w:firstLine="440" w:firstLineChars="20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丙方应为乙方提供便捷有效的银行业务服务，并接受甲方委托对乙方在丙</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方开设的基本结算户资金使用情况进行监督。</w:t>
      </w:r>
    </w:p>
    <w:p w14:paraId="36000517">
      <w:pPr>
        <w:numPr>
          <w:ilvl w:val="0"/>
          <w:numId w:val="14"/>
        </w:numPr>
        <w:tabs>
          <w:tab w:val="left" w:pos="878"/>
        </w:tabs>
        <w:spacing w:line="240" w:lineRule="auto"/>
        <w:ind w:firstLine="440" w:firstLineChars="20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甲方的权责</w:t>
      </w:r>
    </w:p>
    <w:p w14:paraId="29CB1C9B">
      <w:pPr>
        <w:numPr>
          <w:ilvl w:val="0"/>
          <w:numId w:val="16"/>
        </w:numPr>
        <w:tabs>
          <w:tab w:val="left" w:pos="1169"/>
          <w:tab w:val="left" w:leader="underscore" w:pos="2482"/>
        </w:tabs>
        <w:spacing w:line="240" w:lineRule="auto"/>
        <w:ind w:firstLine="440" w:firstLineChars="20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按照</w:t>
      </w:r>
      <w:r>
        <w:rPr>
          <w:rFonts w:ascii="宋体" w:hAnsi="宋体"/>
          <w:color w:val="auto"/>
          <w:kern w:val="0"/>
          <w:sz w:val="22"/>
          <w:szCs w:val="22"/>
          <w:shd w:val="clear" w:color="auto" w:fill="FFFFFF"/>
          <w:lang w:val="zh-CN" w:bidi="zh-CN"/>
        </w:rPr>
        <w:tab/>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项目名称）合同有关条款规定的时间和方式，向乙方支付工程款；</w:t>
      </w:r>
    </w:p>
    <w:p w14:paraId="3DF88625">
      <w:pPr>
        <w:numPr>
          <w:ilvl w:val="0"/>
          <w:numId w:val="16"/>
        </w:numPr>
        <w:tabs>
          <w:tab w:val="left" w:pos="1136"/>
        </w:tabs>
        <w:spacing w:line="240" w:lineRule="auto"/>
        <w:ind w:firstLine="440" w:firstLineChars="20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在发现乙方将本项目资金挪用、转移时，甲方有权中止工程支付，直至乙</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方改正为止；</w:t>
      </w:r>
    </w:p>
    <w:p w14:paraId="0DEA720C">
      <w:pPr>
        <w:numPr>
          <w:ilvl w:val="0"/>
          <w:numId w:val="16"/>
        </w:numPr>
        <w:tabs>
          <w:tab w:val="left" w:pos="1136"/>
        </w:tabs>
        <w:spacing w:line="240" w:lineRule="auto"/>
        <w:ind w:firstLine="440" w:firstLineChars="20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不定期审查丙方对乙方的资金使用监督情况，如丙方不能履行其责任，甲</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方有权随时终止本协议；</w:t>
      </w:r>
    </w:p>
    <w:p w14:paraId="0E654765">
      <w:pPr>
        <w:numPr>
          <w:ilvl w:val="0"/>
          <w:numId w:val="16"/>
        </w:numPr>
        <w:tabs>
          <w:tab w:val="left" w:pos="1169"/>
        </w:tabs>
        <w:spacing w:line="240" w:lineRule="auto"/>
        <w:ind w:firstLine="440" w:firstLineChars="20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在乙、丙双方发生争议时，甲方应负责协调、解决。</w:t>
      </w:r>
    </w:p>
    <w:p w14:paraId="022235F6">
      <w:pPr>
        <w:numPr>
          <w:ilvl w:val="0"/>
          <w:numId w:val="14"/>
        </w:numPr>
        <w:tabs>
          <w:tab w:val="left" w:pos="878"/>
        </w:tabs>
        <w:spacing w:line="240" w:lineRule="auto"/>
        <w:ind w:firstLine="440" w:firstLineChars="20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乙方的权责</w:t>
      </w:r>
    </w:p>
    <w:p w14:paraId="04B5B1CF">
      <w:pPr>
        <w:numPr>
          <w:ilvl w:val="0"/>
          <w:numId w:val="17"/>
        </w:numPr>
        <w:tabs>
          <w:tab w:val="left" w:pos="1169"/>
        </w:tabs>
        <w:spacing w:line="240" w:lineRule="auto"/>
        <w:ind w:firstLine="440" w:firstLineChars="20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项目经理部成立以后，乙方应尽快在丙方开设基本结算户；</w:t>
      </w:r>
    </w:p>
    <w:p w14:paraId="19508FCF">
      <w:pPr>
        <w:numPr>
          <w:ilvl w:val="0"/>
          <w:numId w:val="17"/>
        </w:numPr>
        <w:tabs>
          <w:tab w:val="left" w:pos="1134"/>
        </w:tabs>
        <w:spacing w:line="240" w:lineRule="auto"/>
        <w:ind w:firstLine="440" w:firstLineChars="20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确保本项目资金专款专用，不发生挪用、转移资金的现象；保证不通过权益转让、抵押、担保承担债务等任何其他方式使用基本结算户的资金；</w:t>
      </w:r>
    </w:p>
    <w:p w14:paraId="1EEC0181">
      <w:pPr>
        <w:numPr>
          <w:ilvl w:val="0"/>
          <w:numId w:val="17"/>
        </w:numPr>
        <w:tabs>
          <w:tab w:val="left" w:pos="1138"/>
        </w:tabs>
        <w:spacing w:line="240" w:lineRule="auto"/>
        <w:ind w:firstLine="440" w:firstLineChars="20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办理材料、设备等采购业务金额在</w:t>
      </w:r>
      <w:r>
        <w:rPr>
          <w:rFonts w:ascii="宋体" w:hAnsi="宋体"/>
          <w:color w:val="auto"/>
          <w:kern w:val="0"/>
          <w:sz w:val="22"/>
          <w:szCs w:val="22"/>
          <w:shd w:val="clear" w:color="auto" w:fill="FFFFFF"/>
          <w:lang w:val="zh-CN" w:bidi="zh-CN"/>
        </w:rPr>
        <w:t>_</w:t>
      </w:r>
      <w:r>
        <w:rPr>
          <w:rFonts w:hint="eastAsia" w:ascii="宋体" w:hAnsi="宋体"/>
          <w:color w:val="auto"/>
          <w:kern w:val="0"/>
          <w:sz w:val="22"/>
          <w:szCs w:val="22"/>
          <w:shd w:val="clear" w:color="auto" w:fill="FFFFFF"/>
          <w:lang w:val="zh-CN" w:bidi="zh-CN"/>
        </w:rPr>
        <w:t>万元以上的，应出示购货合同、协议和发票；在办理总额超过</w:t>
      </w:r>
      <w:r>
        <w:rPr>
          <w:rFonts w:ascii="宋体" w:hAnsi="宋体"/>
          <w:color w:val="auto"/>
          <w:kern w:val="0"/>
          <w:sz w:val="22"/>
          <w:szCs w:val="22"/>
          <w:shd w:val="clear" w:color="auto" w:fill="FFFFFF"/>
          <w:lang w:val="zh-CN" w:bidi="zh-CN"/>
        </w:rPr>
        <w:t>_</w:t>
      </w:r>
      <w:r>
        <w:rPr>
          <w:rFonts w:hint="eastAsia" w:ascii="宋体" w:hAnsi="宋体"/>
          <w:color w:val="auto"/>
          <w:kern w:val="0"/>
          <w:sz w:val="22"/>
          <w:szCs w:val="22"/>
          <w:shd w:val="clear" w:color="auto" w:fill="FFFFFF"/>
          <w:lang w:val="zh-CN" w:bidi="zh-CN"/>
        </w:rPr>
        <w:t>万元以上的釆购业务时，应将合同、协议和发票复印件</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送丙方备案；购买应急材料、设备时可先办理支付手续，但事后必须补备有关资料</w:t>
      </w:r>
      <w:r>
        <w:rPr>
          <w:rFonts w:ascii="宋体" w:hAnsi="宋体"/>
          <w:color w:val="auto"/>
          <w:kern w:val="0"/>
          <w:sz w:val="22"/>
          <w:szCs w:val="22"/>
          <w:shd w:val="clear" w:color="auto" w:fill="FFFFFF"/>
          <w:lang w:val="zh-CN" w:bidi="zh-CN"/>
        </w:rPr>
        <w:t>;</w:t>
      </w:r>
    </w:p>
    <w:p w14:paraId="730FC14F">
      <w:pPr>
        <w:numPr>
          <w:ilvl w:val="0"/>
          <w:numId w:val="17"/>
        </w:numPr>
        <w:tabs>
          <w:tab w:val="left" w:pos="529"/>
        </w:tabs>
        <w:spacing w:line="240" w:lineRule="auto"/>
        <w:ind w:firstLine="440" w:firstLineChars="20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用银行转账支票办理支付款项时，必须将转账支票送交丙方，由丙方负责</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办理支票转付手续；</w:t>
      </w:r>
    </w:p>
    <w:p w14:paraId="3C48BCB5">
      <w:pPr>
        <w:numPr>
          <w:ilvl w:val="0"/>
          <w:numId w:val="17"/>
        </w:numPr>
        <w:tabs>
          <w:tab w:val="left" w:pos="1169"/>
        </w:tabs>
        <w:spacing w:line="240" w:lineRule="auto"/>
        <w:ind w:firstLine="440" w:firstLineChars="20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向分包单位支付工程进度款时，应附甲方批准分包的文件；</w:t>
      </w:r>
    </w:p>
    <w:p w14:paraId="368C331C">
      <w:pPr>
        <w:numPr>
          <w:ilvl w:val="0"/>
          <w:numId w:val="17"/>
        </w:numPr>
        <w:tabs>
          <w:tab w:val="left" w:pos="1134"/>
        </w:tabs>
        <w:spacing w:line="240" w:lineRule="auto"/>
        <w:ind w:firstLine="440" w:firstLineChars="20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向上级单位缴纳管理费、机械设备及周转材料租赁摊销费等款项时，应附上级单位出具的转账通知等有关资料，以确保资金专款专用。</w:t>
      </w:r>
    </w:p>
    <w:p w14:paraId="3718022F">
      <w:pPr>
        <w:numPr>
          <w:ilvl w:val="0"/>
          <w:numId w:val="14"/>
        </w:numPr>
        <w:tabs>
          <w:tab w:val="left" w:pos="858"/>
        </w:tabs>
        <w:spacing w:line="240" w:lineRule="auto"/>
        <w:ind w:firstLine="440" w:firstLineChars="20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丙方的权责</w:t>
      </w:r>
    </w:p>
    <w:p w14:paraId="7DAC0CD8">
      <w:pPr>
        <w:numPr>
          <w:ilvl w:val="0"/>
          <w:numId w:val="18"/>
        </w:numPr>
        <w:tabs>
          <w:tab w:val="left" w:pos="1169"/>
          <w:tab w:val="left" w:leader="underscore" w:pos="2529"/>
        </w:tabs>
        <w:spacing w:line="240" w:lineRule="auto"/>
        <w:ind w:firstLine="440" w:firstLineChars="20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成立</w:t>
      </w:r>
      <w:r>
        <w:rPr>
          <w:rFonts w:ascii="宋体" w:hAnsi="宋体"/>
          <w:color w:val="auto"/>
          <w:kern w:val="0"/>
          <w:sz w:val="22"/>
          <w:szCs w:val="22"/>
          <w:shd w:val="clear" w:color="auto" w:fill="FFFFFF"/>
          <w:lang w:val="zh-CN" w:bidi="zh-CN"/>
        </w:rPr>
        <w:tab/>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项目名称）工程资金管理服务小组，明确业务流程，提高工作效率，杜绝“压票”现象；</w:t>
      </w:r>
    </w:p>
    <w:p w14:paraId="0051665B">
      <w:pPr>
        <w:numPr>
          <w:ilvl w:val="0"/>
          <w:numId w:val="18"/>
        </w:numPr>
        <w:tabs>
          <w:tab w:val="left" w:pos="1169"/>
        </w:tabs>
        <w:spacing w:line="240" w:lineRule="auto"/>
        <w:ind w:firstLine="440" w:firstLineChars="200"/>
        <w:jc w:val="left"/>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根据乙方提供的购货合同、协议和发票，检查其所购材料、设备是否用于</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项目名称）工程建设，对本标段以外的购货款项，有权拒绝办理，并及时报告甲方；</w:t>
      </w:r>
    </w:p>
    <w:p w14:paraId="5CDAD5D9">
      <w:pPr>
        <w:numPr>
          <w:ilvl w:val="0"/>
          <w:numId w:val="18"/>
        </w:numPr>
        <w:tabs>
          <w:tab w:val="left" w:pos="1131"/>
        </w:tabs>
        <w:spacing w:line="240" w:lineRule="auto"/>
        <w:ind w:firstLine="440" w:firstLineChars="20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根据乙方与分包单位签订的合同及支付文件，检查其支付款项是否符合有关条件，向分包单位以外单位的支付有权拒绝办理，并及时报告甲方；</w:t>
      </w:r>
    </w:p>
    <w:p w14:paraId="7BE92DFA">
      <w:pPr>
        <w:numPr>
          <w:ilvl w:val="0"/>
          <w:numId w:val="18"/>
        </w:numPr>
        <w:tabs>
          <w:tab w:val="left" w:pos="1136"/>
        </w:tabs>
        <w:spacing w:line="240" w:lineRule="auto"/>
        <w:ind w:firstLine="440" w:firstLineChars="20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根据乙方提供的上级单位出具的转账通知等有关资料，办理管理费、机械设备及周转材料租赁摊销费等款项的支付；对超出转账通知等有关资料以外的支付，</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有权拒绝办理，并及时报告甲方；</w:t>
      </w:r>
    </w:p>
    <w:p w14:paraId="52154AD4">
      <w:pPr>
        <w:numPr>
          <w:ilvl w:val="0"/>
          <w:numId w:val="18"/>
        </w:numPr>
        <w:tabs>
          <w:tab w:val="left" w:pos="1117"/>
        </w:tabs>
        <w:spacing w:line="240" w:lineRule="auto"/>
        <w:ind w:firstLine="440" w:firstLineChars="20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定期将乙方前一个周期的支付情况，整理后书面报送甲方；乙方复印备案的材料一并送甲方。</w:t>
      </w:r>
    </w:p>
    <w:p w14:paraId="2A8D301D">
      <w:pPr>
        <w:numPr>
          <w:ilvl w:val="0"/>
          <w:numId w:val="14"/>
        </w:numPr>
        <w:tabs>
          <w:tab w:val="left" w:pos="812"/>
        </w:tabs>
        <w:spacing w:line="240" w:lineRule="auto"/>
        <w:ind w:firstLine="440" w:firstLineChars="200"/>
        <w:jc w:val="left"/>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甲、乙、丙三方都应履行保密责任，不得将其他两方的业务情况透露给三方以外的其他单位或个人。</w:t>
      </w:r>
    </w:p>
    <w:p w14:paraId="767CE836">
      <w:pPr>
        <w:numPr>
          <w:ilvl w:val="0"/>
          <w:numId w:val="14"/>
        </w:numPr>
        <w:tabs>
          <w:tab w:val="left" w:pos="829"/>
        </w:tabs>
        <w:spacing w:line="240" w:lineRule="auto"/>
        <w:ind w:firstLine="440" w:firstLineChars="200"/>
        <w:jc w:val="left"/>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本协议有效期自乙方在丙方开户起，至工程交工验收甲方向乙方颁发交工验收证书后结束。</w:t>
      </w:r>
    </w:p>
    <w:p w14:paraId="6B96D76B">
      <w:pPr>
        <w:numPr>
          <w:ilvl w:val="0"/>
          <w:numId w:val="14"/>
        </w:numPr>
        <w:tabs>
          <w:tab w:val="left" w:pos="858"/>
        </w:tabs>
        <w:spacing w:line="240" w:lineRule="auto"/>
        <w:ind w:firstLine="440" w:firstLineChars="20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本协议未尽事宜，由甲方牵头，三方协商解决。</w:t>
      </w:r>
    </w:p>
    <w:p w14:paraId="7A3D7E67">
      <w:pPr>
        <w:numPr>
          <w:ilvl w:val="0"/>
          <w:numId w:val="14"/>
        </w:numPr>
        <w:tabs>
          <w:tab w:val="left" w:pos="838"/>
        </w:tabs>
        <w:spacing w:after="269" w:line="240" w:lineRule="auto"/>
        <w:ind w:firstLine="440" w:firstLineChars="200"/>
        <w:jc w:val="left"/>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本协议正本三份、副本</w:t>
      </w:r>
      <w:r>
        <w:rPr>
          <w:rFonts w:ascii="宋体" w:hAnsi="宋体"/>
          <w:color w:val="auto"/>
          <w:kern w:val="0"/>
          <w:sz w:val="22"/>
          <w:szCs w:val="22"/>
          <w:shd w:val="clear" w:color="auto" w:fill="FFFFFF"/>
          <w:lang w:val="zh-CN" w:bidi="zh-CN"/>
        </w:rPr>
        <w:t>_</w:t>
      </w:r>
      <w:r>
        <w:rPr>
          <w:rFonts w:hint="eastAsia" w:ascii="宋体" w:hAnsi="宋体"/>
          <w:color w:val="auto"/>
          <w:kern w:val="0"/>
          <w:sz w:val="22"/>
          <w:szCs w:val="22"/>
          <w:shd w:val="clear" w:color="auto" w:fill="FFFFFF"/>
          <w:lang w:val="zh-CN" w:bidi="zh-CN"/>
        </w:rPr>
        <w:t>份。合同三方各执正本一份、副本</w:t>
      </w:r>
      <w:r>
        <w:rPr>
          <w:rFonts w:ascii="宋体" w:hAnsi="宋体"/>
          <w:color w:val="auto"/>
          <w:kern w:val="0"/>
          <w:sz w:val="22"/>
          <w:szCs w:val="22"/>
          <w:shd w:val="clear" w:color="auto" w:fill="FFFFFF"/>
          <w:lang w:val="zh-CN" w:bidi="zh-CN"/>
        </w:rPr>
        <w:t>_</w:t>
      </w:r>
      <w:r>
        <w:rPr>
          <w:rFonts w:hint="eastAsia" w:ascii="宋体" w:hAnsi="宋体"/>
          <w:color w:val="auto"/>
          <w:kern w:val="0"/>
          <w:sz w:val="22"/>
          <w:szCs w:val="22"/>
          <w:shd w:val="clear" w:color="auto" w:fill="FFFFFF"/>
          <w:lang w:val="zh-CN" w:bidi="zh-CN"/>
        </w:rPr>
        <w:t>份，当正本与</w:t>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副本内容不一致时，以正本为准。</w:t>
      </w:r>
    </w:p>
    <w:p w14:paraId="14511CC6">
      <w:pPr>
        <w:tabs>
          <w:tab w:val="left" w:leader="underscore" w:pos="4086"/>
        </w:tabs>
        <w:spacing w:line="240" w:lineRule="auto"/>
        <w:rPr>
          <w:rFonts w:hint="eastAsia" w:ascii="宋体" w:hAnsi="宋体"/>
          <w:iCs/>
          <w:color w:val="auto"/>
          <w:spacing w:val="10"/>
          <w:kern w:val="0"/>
          <w:sz w:val="24"/>
          <w:shd w:val="clear" w:color="auto" w:fill="FFFFFF"/>
          <w:lang w:val="zh-CN"/>
        </w:rPr>
      </w:pPr>
      <w:r>
        <w:rPr>
          <w:rFonts w:hint="eastAsia" w:ascii="宋体" w:hAnsi="宋体"/>
          <w:iCs/>
          <w:color w:val="auto"/>
          <w:spacing w:val="10"/>
          <w:kern w:val="0"/>
          <w:sz w:val="24"/>
          <w:shd w:val="clear" w:color="auto" w:fill="FFFFFF"/>
          <w:lang w:val="zh-CN"/>
        </w:rPr>
        <w:t>发包人</w:t>
      </w:r>
      <w:r>
        <w:rPr>
          <w:rFonts w:ascii="宋体" w:hAnsi="宋体"/>
          <w:iCs/>
          <w:color w:val="auto"/>
          <w:spacing w:val="10"/>
          <w:kern w:val="0"/>
          <w:sz w:val="24"/>
          <w:shd w:val="clear" w:color="auto" w:fill="FFFFFF"/>
          <w:lang w:val="zh-CN"/>
        </w:rPr>
        <w:t>:</w:t>
      </w:r>
      <w:r>
        <w:rPr>
          <w:rFonts w:ascii="宋体" w:hAnsi="宋体"/>
          <w:color w:val="auto"/>
          <w:kern w:val="0"/>
          <w:sz w:val="22"/>
          <w:szCs w:val="22"/>
          <w:shd w:val="clear" w:color="auto" w:fill="FFFFFF"/>
          <w:lang w:val="zh-CN" w:bidi="zh-CN"/>
        </w:rPr>
        <w:tab/>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盖单位章</w:t>
      </w:r>
      <w:r>
        <w:rPr>
          <w:rFonts w:ascii="宋体" w:hAnsi="宋体"/>
          <w:color w:val="auto"/>
          <w:kern w:val="0"/>
          <w:sz w:val="22"/>
          <w:szCs w:val="22"/>
          <w:shd w:val="clear" w:color="auto" w:fill="FFFFFF"/>
          <w:lang w:val="zh-CN" w:bidi="zh-CN"/>
        </w:rPr>
        <w:t>)</w:t>
      </w:r>
    </w:p>
    <w:p w14:paraId="72B6C699">
      <w:pPr>
        <w:tabs>
          <w:tab w:val="left" w:leader="underscore" w:pos="4689"/>
        </w:tabs>
        <w:spacing w:line="240" w:lineRule="auto"/>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法定代表人或其委托代理人：</w:t>
      </w:r>
      <w:r>
        <w:rPr>
          <w:rFonts w:ascii="宋体" w:hAnsi="宋体"/>
          <w:color w:val="auto"/>
          <w:kern w:val="0"/>
          <w:sz w:val="22"/>
          <w:szCs w:val="22"/>
          <w:shd w:val="clear" w:color="auto" w:fill="FFFFFF"/>
          <w:lang w:val="zh-CN" w:bidi="zh-CN"/>
        </w:rPr>
        <w:tab/>
      </w:r>
      <w:r>
        <w:rPr>
          <w:rFonts w:ascii="宋体" w:hAnsi="宋体"/>
          <w:color w:val="auto"/>
          <w:kern w:val="0"/>
          <w:sz w:val="22"/>
          <w:szCs w:val="22"/>
          <w:shd w:val="clear" w:color="auto" w:fill="FFFFFF"/>
          <w:lang w:val="zh-CN" w:bidi="zh-CN"/>
        </w:rPr>
        <w:t>^</w:t>
      </w:r>
      <w:r>
        <w:rPr>
          <w:rFonts w:hint="eastAsia" w:ascii="宋体" w:hAnsi="宋体"/>
          <w:color w:val="auto"/>
          <w:kern w:val="0"/>
          <w:sz w:val="22"/>
          <w:szCs w:val="22"/>
          <w:shd w:val="clear" w:color="auto" w:fill="FFFFFF"/>
          <w:lang w:val="zh-CN" w:bidi="zh-CN"/>
        </w:rPr>
        <w:t>签字</w:t>
      </w:r>
      <w:r>
        <w:rPr>
          <w:rFonts w:ascii="宋体" w:hAnsi="宋体"/>
          <w:color w:val="auto"/>
          <w:kern w:val="0"/>
          <w:sz w:val="22"/>
          <w:szCs w:val="22"/>
          <w:shd w:val="clear" w:color="auto" w:fill="FFFFFF"/>
          <w:lang w:val="zh-CN" w:bidi="zh-CN"/>
        </w:rPr>
        <w:t>)</w:t>
      </w:r>
    </w:p>
    <w:p w14:paraId="187C71ED">
      <w:pPr>
        <w:tabs>
          <w:tab w:val="left" w:leader="underscore" w:pos="3022"/>
          <w:tab w:val="left" w:leader="underscore" w:pos="4086"/>
        </w:tabs>
        <w:spacing w:after="242" w:line="240" w:lineRule="auto"/>
        <w:ind w:left="1940"/>
        <w:rPr>
          <w:rFonts w:ascii="宋体" w:hAnsi="宋体"/>
          <w:color w:val="auto"/>
          <w:kern w:val="0"/>
          <w:sz w:val="22"/>
          <w:szCs w:val="22"/>
          <w:shd w:val="clear" w:color="auto" w:fill="FFFFFF"/>
          <w:lang w:val="zh-CN" w:bidi="zh-CN"/>
        </w:rPr>
      </w:pPr>
      <w:r>
        <w:rPr>
          <w:rFonts w:ascii="宋体" w:hAnsi="宋体"/>
          <w:color w:val="auto"/>
          <w:kern w:val="0"/>
          <w:sz w:val="22"/>
          <w:szCs w:val="22"/>
          <w:shd w:val="clear" w:color="auto" w:fill="FFFFFF"/>
          <w:lang w:val="zh-CN" w:bidi="zh-CN"/>
        </w:rPr>
        <w:tab/>
      </w:r>
      <w:r>
        <w:rPr>
          <w:rFonts w:hint="eastAsia" w:ascii="宋体" w:hAnsi="宋体"/>
          <w:color w:val="auto"/>
          <w:kern w:val="0"/>
          <w:sz w:val="22"/>
          <w:szCs w:val="22"/>
          <w:shd w:val="clear" w:color="auto" w:fill="FFFFFF"/>
          <w:lang w:val="zh-CN" w:bidi="zh-CN"/>
        </w:rPr>
        <w:t>年</w:t>
      </w:r>
      <w:r>
        <w:rPr>
          <w:rFonts w:ascii="宋体" w:hAnsi="宋体"/>
          <w:color w:val="auto"/>
          <w:kern w:val="0"/>
          <w:sz w:val="22"/>
          <w:szCs w:val="22"/>
          <w:shd w:val="clear" w:color="auto" w:fill="FFFFFF"/>
          <w:lang w:val="zh-CN" w:bidi="zh-CN"/>
        </w:rPr>
        <w:tab/>
      </w:r>
      <w:r>
        <w:rPr>
          <w:rFonts w:hint="eastAsia" w:ascii="宋体" w:hAnsi="宋体"/>
          <w:color w:val="auto"/>
          <w:kern w:val="0"/>
          <w:sz w:val="22"/>
          <w:szCs w:val="22"/>
          <w:shd w:val="clear" w:color="auto" w:fill="FFFFFF"/>
          <w:lang w:val="zh-CN" w:bidi="zh-CN"/>
        </w:rPr>
        <w:t>月</w:t>
      </w:r>
      <w:r>
        <w:rPr>
          <w:rFonts w:hint="eastAsia" w:ascii="宋体" w:hAnsi="宋体"/>
          <w:color w:val="auto"/>
          <w:kern w:val="0"/>
          <w:sz w:val="22"/>
          <w:szCs w:val="22"/>
          <w:u w:val="single"/>
          <w:shd w:val="clear" w:color="auto" w:fill="FFFFFF"/>
          <w:lang w:val="zh-CN" w:bidi="zh-CN"/>
        </w:rPr>
        <w:t xml:space="preserve">    </w:t>
      </w:r>
      <w:r>
        <w:rPr>
          <w:rFonts w:hint="eastAsia" w:ascii="宋体" w:hAnsi="宋体"/>
          <w:color w:val="auto"/>
          <w:kern w:val="0"/>
          <w:sz w:val="22"/>
          <w:szCs w:val="22"/>
          <w:shd w:val="clear" w:color="auto" w:fill="FFFFFF"/>
          <w:lang w:val="zh-CN" w:bidi="zh-CN"/>
        </w:rPr>
        <w:t>日</w:t>
      </w:r>
    </w:p>
    <w:p w14:paraId="0EFBBFD5">
      <w:pPr>
        <w:tabs>
          <w:tab w:val="left" w:leader="underscore" w:pos="4086"/>
        </w:tabs>
        <w:spacing w:line="240" w:lineRule="auto"/>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承包人：</w:t>
      </w:r>
      <w:r>
        <w:rPr>
          <w:rFonts w:ascii="宋体" w:hAnsi="宋体"/>
          <w:color w:val="auto"/>
          <w:kern w:val="0"/>
          <w:sz w:val="22"/>
          <w:szCs w:val="22"/>
          <w:shd w:val="clear" w:color="auto" w:fill="FFFFFF"/>
          <w:lang w:val="zh-CN" w:bidi="zh-CN"/>
        </w:rPr>
        <w:tab/>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盖单位章</w:t>
      </w:r>
      <w:r>
        <w:rPr>
          <w:rFonts w:ascii="宋体" w:hAnsi="宋体"/>
          <w:color w:val="auto"/>
          <w:kern w:val="0"/>
          <w:sz w:val="22"/>
          <w:szCs w:val="22"/>
          <w:shd w:val="clear" w:color="auto" w:fill="FFFFFF"/>
          <w:lang w:val="zh-CN" w:bidi="zh-CN"/>
        </w:rPr>
        <w:t>)</w:t>
      </w:r>
    </w:p>
    <w:p w14:paraId="29BF3386">
      <w:pPr>
        <w:tabs>
          <w:tab w:val="left" w:leader="underscore" w:pos="4689"/>
        </w:tabs>
        <w:spacing w:line="240" w:lineRule="auto"/>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法定代表人或其委托代理人：</w:t>
      </w:r>
      <w:r>
        <w:rPr>
          <w:rFonts w:ascii="宋体" w:hAnsi="宋体"/>
          <w:color w:val="auto"/>
          <w:kern w:val="0"/>
          <w:sz w:val="22"/>
          <w:szCs w:val="22"/>
          <w:shd w:val="clear" w:color="auto" w:fill="FFFFFF"/>
          <w:lang w:val="zh-CN" w:bidi="zh-CN"/>
        </w:rPr>
        <w:tab/>
      </w:r>
      <w:r>
        <w:rPr>
          <w:rFonts w:ascii="宋体" w:hAnsi="宋体"/>
          <w:color w:val="auto"/>
          <w:kern w:val="0"/>
          <w:sz w:val="22"/>
          <w:szCs w:val="22"/>
          <w:shd w:val="clear" w:color="auto" w:fill="FFFFFF"/>
          <w:lang w:val="zh-CN" w:bidi="zh-CN"/>
        </w:rPr>
        <w:t>^</w:t>
      </w:r>
      <w:r>
        <w:rPr>
          <w:rFonts w:hint="eastAsia" w:ascii="宋体" w:hAnsi="宋体"/>
          <w:color w:val="auto"/>
          <w:kern w:val="0"/>
          <w:sz w:val="22"/>
          <w:szCs w:val="22"/>
          <w:shd w:val="clear" w:color="auto" w:fill="FFFFFF"/>
          <w:lang w:val="zh-CN" w:bidi="zh-CN"/>
        </w:rPr>
        <w:t>签字</w:t>
      </w:r>
      <w:r>
        <w:rPr>
          <w:rFonts w:ascii="宋体" w:hAnsi="宋体"/>
          <w:color w:val="auto"/>
          <w:kern w:val="0"/>
          <w:sz w:val="22"/>
          <w:szCs w:val="22"/>
          <w:shd w:val="clear" w:color="auto" w:fill="FFFFFF"/>
          <w:lang w:val="zh-CN" w:bidi="zh-CN"/>
        </w:rPr>
        <w:t>)</w:t>
      </w:r>
    </w:p>
    <w:p w14:paraId="23A262B2">
      <w:pPr>
        <w:tabs>
          <w:tab w:val="left" w:leader="underscore" w:pos="3022"/>
          <w:tab w:val="left" w:leader="underscore" w:pos="4086"/>
        </w:tabs>
        <w:spacing w:after="240" w:line="240" w:lineRule="auto"/>
        <w:ind w:left="1940"/>
        <w:rPr>
          <w:rFonts w:ascii="宋体" w:hAnsi="宋体"/>
          <w:color w:val="auto"/>
          <w:kern w:val="0"/>
          <w:sz w:val="22"/>
          <w:szCs w:val="22"/>
          <w:shd w:val="clear" w:color="auto" w:fill="FFFFFF"/>
          <w:lang w:val="zh-CN" w:bidi="zh-CN"/>
        </w:rPr>
      </w:pPr>
      <w:r>
        <w:rPr>
          <w:rFonts w:ascii="宋体" w:hAnsi="宋体"/>
          <w:color w:val="auto"/>
          <w:kern w:val="0"/>
          <w:sz w:val="22"/>
          <w:szCs w:val="22"/>
          <w:shd w:val="clear" w:color="auto" w:fill="FFFFFF"/>
          <w:lang w:val="zh-CN" w:bidi="zh-CN"/>
        </w:rPr>
        <w:tab/>
      </w:r>
      <w:r>
        <w:rPr>
          <w:rFonts w:hint="eastAsia" w:ascii="宋体" w:hAnsi="宋体"/>
          <w:color w:val="auto"/>
          <w:kern w:val="0"/>
          <w:sz w:val="22"/>
          <w:szCs w:val="22"/>
          <w:shd w:val="clear" w:color="auto" w:fill="FFFFFF"/>
          <w:lang w:val="zh-CN" w:bidi="zh-CN"/>
        </w:rPr>
        <w:t>年</w:t>
      </w:r>
      <w:r>
        <w:rPr>
          <w:rFonts w:ascii="宋体" w:hAnsi="宋体"/>
          <w:color w:val="auto"/>
          <w:kern w:val="0"/>
          <w:sz w:val="22"/>
          <w:szCs w:val="22"/>
          <w:shd w:val="clear" w:color="auto" w:fill="FFFFFF"/>
          <w:lang w:val="zh-CN" w:bidi="zh-CN"/>
        </w:rPr>
        <w:tab/>
      </w:r>
      <w:r>
        <w:rPr>
          <w:rFonts w:hint="eastAsia" w:ascii="宋体" w:hAnsi="宋体"/>
          <w:color w:val="auto"/>
          <w:kern w:val="0"/>
          <w:sz w:val="22"/>
          <w:szCs w:val="22"/>
          <w:shd w:val="clear" w:color="auto" w:fill="FFFFFF"/>
          <w:lang w:val="zh-CN" w:bidi="zh-CN"/>
        </w:rPr>
        <w:t>月</w:t>
      </w:r>
      <w:r>
        <w:rPr>
          <w:rFonts w:hint="eastAsia" w:ascii="宋体" w:hAnsi="宋体"/>
          <w:color w:val="auto"/>
          <w:kern w:val="0"/>
          <w:sz w:val="22"/>
          <w:szCs w:val="22"/>
          <w:u w:val="single"/>
          <w:shd w:val="clear" w:color="auto" w:fill="FFFFFF"/>
          <w:lang w:val="zh-CN" w:bidi="zh-CN"/>
        </w:rPr>
        <w:t xml:space="preserve">    </w:t>
      </w:r>
      <w:r>
        <w:rPr>
          <w:rFonts w:hint="eastAsia" w:ascii="宋体" w:hAnsi="宋体"/>
          <w:color w:val="auto"/>
          <w:kern w:val="0"/>
          <w:sz w:val="22"/>
          <w:szCs w:val="22"/>
          <w:shd w:val="clear" w:color="auto" w:fill="FFFFFF"/>
          <w:lang w:val="zh-CN" w:bidi="zh-CN"/>
        </w:rPr>
        <w:t>日</w:t>
      </w:r>
    </w:p>
    <w:p w14:paraId="3D245D2B">
      <w:pPr>
        <w:tabs>
          <w:tab w:val="left" w:leader="underscore" w:pos="4086"/>
        </w:tabs>
        <w:spacing w:line="240" w:lineRule="auto"/>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经办银行：</w:t>
      </w:r>
      <w:r>
        <w:rPr>
          <w:rFonts w:ascii="宋体" w:hAnsi="宋体"/>
          <w:color w:val="auto"/>
          <w:kern w:val="0"/>
          <w:sz w:val="22"/>
          <w:szCs w:val="22"/>
          <w:shd w:val="clear" w:color="auto" w:fill="FFFFFF"/>
          <w:lang w:val="zh-CN" w:bidi="zh-CN"/>
        </w:rPr>
        <w:tab/>
      </w:r>
      <w:r>
        <w:rPr>
          <w:rFonts w:ascii="宋体" w:hAnsi="宋体"/>
          <w:color w:val="auto"/>
          <w:kern w:val="0"/>
          <w:sz w:val="22"/>
          <w:szCs w:val="22"/>
          <w:shd w:val="clear" w:color="auto" w:fill="FFFFFF"/>
          <w:lang w:val="zh-CN" w:bidi="zh-CN"/>
        </w:rPr>
        <w:t xml:space="preserve"> (</w:t>
      </w:r>
      <w:r>
        <w:rPr>
          <w:rFonts w:hint="eastAsia" w:ascii="宋体" w:hAnsi="宋体"/>
          <w:color w:val="auto"/>
          <w:kern w:val="0"/>
          <w:sz w:val="22"/>
          <w:szCs w:val="22"/>
          <w:shd w:val="clear" w:color="auto" w:fill="FFFFFF"/>
          <w:lang w:val="zh-CN" w:bidi="zh-CN"/>
        </w:rPr>
        <w:t>盖单位章</w:t>
      </w:r>
      <w:r>
        <w:rPr>
          <w:rFonts w:ascii="宋体" w:hAnsi="宋体"/>
          <w:color w:val="auto"/>
          <w:kern w:val="0"/>
          <w:sz w:val="22"/>
          <w:szCs w:val="22"/>
          <w:shd w:val="clear" w:color="auto" w:fill="FFFFFF"/>
          <w:lang w:val="zh-CN" w:bidi="zh-CN"/>
        </w:rPr>
        <w:t>)</w:t>
      </w:r>
    </w:p>
    <w:p w14:paraId="4CCD799E">
      <w:pPr>
        <w:tabs>
          <w:tab w:val="left" w:leader="underscore" w:pos="4689"/>
        </w:tabs>
        <w:spacing w:line="240" w:lineRule="auto"/>
        <w:ind w:firstLine="420"/>
        <w:rPr>
          <w:rFonts w:hint="eastAsia" w:ascii="宋体" w:hAnsi="宋体"/>
          <w:color w:val="auto"/>
          <w:kern w:val="0"/>
          <w:sz w:val="22"/>
          <w:szCs w:val="22"/>
          <w:shd w:val="clear" w:color="auto" w:fill="FFFFFF"/>
          <w:lang w:val="zh-CN" w:bidi="zh-CN"/>
        </w:rPr>
      </w:pPr>
      <w:r>
        <w:rPr>
          <w:rFonts w:hint="eastAsia" w:ascii="宋体" w:hAnsi="宋体"/>
          <w:color w:val="auto"/>
          <w:kern w:val="0"/>
          <w:sz w:val="22"/>
          <w:szCs w:val="22"/>
          <w:shd w:val="clear" w:color="auto" w:fill="FFFFFF"/>
          <w:lang w:val="zh-CN" w:bidi="zh-CN"/>
        </w:rPr>
        <w:t>法定代表人或其委托代理人：</w:t>
      </w:r>
      <w:r>
        <w:rPr>
          <w:rFonts w:ascii="宋体" w:hAnsi="宋体"/>
          <w:color w:val="auto"/>
          <w:kern w:val="0"/>
          <w:sz w:val="22"/>
          <w:szCs w:val="22"/>
          <w:shd w:val="clear" w:color="auto" w:fill="FFFFFF"/>
          <w:lang w:val="zh-CN" w:bidi="zh-CN"/>
        </w:rPr>
        <w:tab/>
      </w:r>
      <w:r>
        <w:rPr>
          <w:rFonts w:ascii="宋体" w:hAnsi="宋体"/>
          <w:color w:val="auto"/>
          <w:kern w:val="0"/>
          <w:sz w:val="22"/>
          <w:szCs w:val="22"/>
          <w:shd w:val="clear" w:color="auto" w:fill="FFFFFF"/>
          <w:lang w:val="zh-CN" w:bidi="zh-CN"/>
        </w:rPr>
        <w:t>^</w:t>
      </w:r>
      <w:r>
        <w:rPr>
          <w:rFonts w:hint="eastAsia" w:ascii="宋体" w:hAnsi="宋体"/>
          <w:color w:val="auto"/>
          <w:kern w:val="0"/>
          <w:sz w:val="22"/>
          <w:szCs w:val="22"/>
          <w:shd w:val="clear" w:color="auto" w:fill="FFFFFF"/>
          <w:lang w:val="zh-CN" w:bidi="zh-CN"/>
        </w:rPr>
        <w:t>签字</w:t>
      </w:r>
      <w:r>
        <w:rPr>
          <w:rFonts w:ascii="宋体" w:hAnsi="宋体"/>
          <w:color w:val="auto"/>
          <w:kern w:val="0"/>
          <w:sz w:val="22"/>
          <w:szCs w:val="22"/>
          <w:shd w:val="clear" w:color="auto" w:fill="FFFFFF"/>
          <w:lang w:val="zh-CN" w:bidi="zh-CN"/>
        </w:rPr>
        <w:t>)</w:t>
      </w:r>
    </w:p>
    <w:p w14:paraId="360772B2">
      <w:pPr>
        <w:tabs>
          <w:tab w:val="left" w:pos="1080"/>
        </w:tabs>
        <w:spacing w:line="240" w:lineRule="auto"/>
        <w:ind w:left="420" w:firstLine="440" w:firstLineChars="200"/>
        <w:rPr>
          <w:rFonts w:hint="eastAsia" w:ascii="宋体" w:hAnsi="宋体"/>
          <w:color w:val="auto"/>
          <w:sz w:val="22"/>
          <w:szCs w:val="22"/>
          <w:shd w:val="clear" w:color="auto" w:fill="FFFFFF"/>
          <w:lang w:val="zh-CN" w:bidi="zh-CN"/>
        </w:rPr>
      </w:pPr>
      <w:r>
        <w:rPr>
          <w:rFonts w:hint="eastAsia" w:ascii="宋体" w:hAnsi="宋体"/>
          <w:color w:val="auto"/>
          <w:sz w:val="22"/>
          <w:szCs w:val="22"/>
          <w:shd w:val="clear" w:color="auto" w:fill="FFFFFF"/>
          <w:lang w:val="zh-CN" w:bidi="zh-CN"/>
        </w:rPr>
        <w:t xml:space="preserve">          </w:t>
      </w:r>
      <w:r>
        <w:rPr>
          <w:rFonts w:hint="eastAsia" w:ascii="宋体" w:hAnsi="宋体"/>
          <w:color w:val="auto"/>
          <w:sz w:val="22"/>
          <w:szCs w:val="22"/>
          <w:u w:val="single"/>
          <w:shd w:val="clear" w:color="auto" w:fill="FFFFFF"/>
          <w:lang w:val="zh-CN" w:bidi="zh-CN"/>
        </w:rPr>
        <w:t xml:space="preserve">          </w:t>
      </w:r>
      <w:r>
        <w:rPr>
          <w:rFonts w:hint="eastAsia" w:ascii="宋体" w:hAnsi="宋体" w:eastAsia="MingLiU"/>
          <w:color w:val="auto"/>
          <w:sz w:val="22"/>
          <w:szCs w:val="22"/>
          <w:shd w:val="clear" w:color="auto" w:fill="FFFFFF"/>
          <w:lang w:val="zh-CN" w:bidi="zh-CN"/>
        </w:rPr>
        <w:t>年</w:t>
      </w:r>
      <w:r>
        <w:rPr>
          <w:rFonts w:hint="eastAsia" w:ascii="宋体" w:hAnsi="宋体"/>
          <w:color w:val="auto"/>
          <w:sz w:val="22"/>
          <w:szCs w:val="22"/>
          <w:u w:val="single"/>
          <w:shd w:val="clear" w:color="auto" w:fill="FFFFFF"/>
          <w:lang w:val="zh-CN" w:bidi="zh-CN"/>
        </w:rPr>
        <w:t xml:space="preserve">        </w:t>
      </w:r>
      <w:r>
        <w:rPr>
          <w:rFonts w:hint="eastAsia" w:ascii="宋体" w:hAnsi="宋体" w:eastAsia="MingLiU"/>
          <w:color w:val="auto"/>
          <w:sz w:val="22"/>
          <w:szCs w:val="22"/>
          <w:shd w:val="clear" w:color="auto" w:fill="FFFFFF"/>
          <w:lang w:val="zh-CN" w:bidi="zh-CN"/>
        </w:rPr>
        <w:t>月</w:t>
      </w:r>
      <w:r>
        <w:rPr>
          <w:rFonts w:hint="eastAsia" w:ascii="宋体" w:hAnsi="宋体"/>
          <w:color w:val="auto"/>
          <w:sz w:val="22"/>
          <w:szCs w:val="22"/>
          <w:u w:val="single"/>
          <w:shd w:val="clear" w:color="auto" w:fill="FFFFFF"/>
          <w:lang w:val="zh-CN" w:bidi="zh-CN"/>
        </w:rPr>
        <w:t xml:space="preserve">    </w:t>
      </w:r>
      <w:r>
        <w:rPr>
          <w:rFonts w:hint="eastAsia" w:ascii="宋体" w:hAnsi="宋体" w:eastAsia="MingLiU"/>
          <w:color w:val="auto"/>
          <w:sz w:val="22"/>
          <w:szCs w:val="22"/>
          <w:shd w:val="clear" w:color="auto" w:fill="FFFFFF"/>
          <w:lang w:val="zh-CN" w:bidi="zh-CN"/>
        </w:rPr>
        <w:t>日</w:t>
      </w:r>
    </w:p>
    <w:p w14:paraId="0A1A8F80">
      <w:pPr>
        <w:keepNext/>
        <w:keepLines/>
        <w:spacing w:before="120" w:after="120" w:line="240" w:lineRule="auto"/>
        <w:jc w:val="left"/>
        <w:outlineLvl w:val="3"/>
        <w:rPr>
          <w:rFonts w:ascii="黑体" w:hAnsi="宋体" w:eastAsia="黑体"/>
          <w:b/>
          <w:bCs/>
          <w:color w:val="auto"/>
          <w:sz w:val="52"/>
          <w:szCs w:val="52"/>
        </w:rPr>
      </w:pPr>
      <w:bookmarkStart w:id="162" w:name="_Toc98873431"/>
      <w:bookmarkEnd w:id="162"/>
      <w:r>
        <w:rPr>
          <w:rFonts w:ascii="黑体" w:hAnsi="宋体" w:eastAsia="黑体"/>
          <w:b/>
          <w:bCs/>
          <w:color w:val="auto"/>
          <w:sz w:val="52"/>
          <w:szCs w:val="52"/>
        </w:rPr>
        <w:br w:type="page"/>
      </w:r>
      <w:r>
        <w:rPr>
          <w:rFonts w:ascii="Cambria" w:hAnsi="Cambria" w:eastAsia="黑体"/>
          <w:b/>
          <w:bCs/>
          <w:color w:val="auto"/>
          <w:sz w:val="28"/>
          <w:szCs w:val="28"/>
        </w:rPr>
        <w:t>附件</w:t>
      </w:r>
      <w:r>
        <w:rPr>
          <w:rFonts w:hint="eastAsia" w:ascii="Cambria" w:hAnsi="Cambria" w:eastAsia="黑体"/>
          <w:b/>
          <w:bCs/>
          <w:color w:val="auto"/>
          <w:sz w:val="28"/>
          <w:szCs w:val="28"/>
        </w:rPr>
        <w:t>七</w:t>
      </w:r>
      <w:r>
        <w:rPr>
          <w:rFonts w:ascii="Cambria" w:hAnsi="Cambria" w:eastAsia="黑体"/>
          <w:b/>
          <w:bCs/>
          <w:color w:val="auto"/>
          <w:sz w:val="28"/>
          <w:szCs w:val="28"/>
        </w:rPr>
        <w:tab/>
      </w:r>
      <w:r>
        <w:rPr>
          <w:rFonts w:hint="eastAsia" w:ascii="Cambria" w:hAnsi="Cambria" w:eastAsia="黑体"/>
          <w:b/>
          <w:bCs/>
          <w:color w:val="auto"/>
          <w:sz w:val="28"/>
          <w:szCs w:val="28"/>
        </w:rPr>
        <w:t xml:space="preserve">  </w:t>
      </w:r>
      <w:r>
        <w:rPr>
          <w:rFonts w:ascii="Cambria" w:hAnsi="Cambria" w:eastAsia="黑体"/>
          <w:b/>
          <w:bCs/>
          <w:color w:val="auto"/>
          <w:sz w:val="28"/>
          <w:szCs w:val="28"/>
        </w:rPr>
        <w:t>其他主要管理人员和技术人员最低要求</w:t>
      </w:r>
    </w:p>
    <w:p w14:paraId="5DF4023F">
      <w:pPr>
        <w:spacing w:before="9" w:line="240" w:lineRule="auto"/>
        <w:ind w:firstLine="221" w:firstLineChars="200"/>
        <w:rPr>
          <w:rFonts w:ascii="黑体" w:hAnsi="黑体" w:eastAsia="黑体"/>
          <w:b/>
          <w:bCs/>
          <w:color w:val="auto"/>
          <w:sz w:val="11"/>
          <w:szCs w:val="11"/>
        </w:rPr>
      </w:pPr>
    </w:p>
    <w:tbl>
      <w:tblPr>
        <w:tblStyle w:val="2"/>
        <w:tblW w:w="0" w:type="auto"/>
        <w:tblInd w:w="855" w:type="dxa"/>
        <w:tblLayout w:type="fixed"/>
        <w:tblCellMar>
          <w:top w:w="0" w:type="dxa"/>
          <w:left w:w="0" w:type="dxa"/>
          <w:bottom w:w="0" w:type="dxa"/>
          <w:right w:w="0" w:type="dxa"/>
        </w:tblCellMar>
      </w:tblPr>
      <w:tblGrid>
        <w:gridCol w:w="2127"/>
        <w:gridCol w:w="852"/>
        <w:gridCol w:w="4935"/>
      </w:tblGrid>
      <w:tr w14:paraId="6C55B98A">
        <w:tblPrEx>
          <w:tblCellMar>
            <w:top w:w="0" w:type="dxa"/>
            <w:left w:w="0" w:type="dxa"/>
            <w:bottom w:w="0" w:type="dxa"/>
            <w:right w:w="0" w:type="dxa"/>
          </w:tblCellMar>
        </w:tblPrEx>
        <w:trPr>
          <w:trHeight w:val="682" w:hRule="exact"/>
        </w:trPr>
        <w:tc>
          <w:tcPr>
            <w:tcW w:w="2127" w:type="dxa"/>
            <w:tcBorders>
              <w:top w:val="single" w:color="000000" w:sz="4" w:space="0"/>
              <w:left w:val="single" w:color="000000" w:sz="4" w:space="0"/>
              <w:bottom w:val="single" w:color="000000" w:sz="4" w:space="0"/>
              <w:right w:val="single" w:color="000000" w:sz="4" w:space="0"/>
            </w:tcBorders>
            <w:vAlign w:val="top"/>
          </w:tcPr>
          <w:p w14:paraId="4EA0C57C">
            <w:pPr>
              <w:spacing w:before="3" w:line="240" w:lineRule="auto"/>
              <w:jc w:val="left"/>
              <w:rPr>
                <w:rFonts w:ascii="黑体" w:hAnsi="黑体" w:eastAsia="黑体"/>
                <w:b/>
                <w:bCs/>
                <w:color w:val="auto"/>
                <w:kern w:val="0"/>
                <w:sz w:val="15"/>
                <w:szCs w:val="15"/>
              </w:rPr>
            </w:pPr>
          </w:p>
          <w:p w14:paraId="0E3B9945">
            <w:pPr>
              <w:spacing w:line="240" w:lineRule="auto"/>
              <w:ind w:left="1058"/>
              <w:jc w:val="left"/>
              <w:rPr>
                <w:rFonts w:ascii="宋体" w:hAnsi="宋体"/>
                <w:color w:val="auto"/>
                <w:kern w:val="0"/>
                <w:szCs w:val="21"/>
                <w:lang w:eastAsia="en-US"/>
              </w:rPr>
            </w:pPr>
            <w:r>
              <w:rPr>
                <w:rFonts w:ascii="宋体" w:hAnsi="宋体"/>
                <w:color w:val="auto"/>
                <w:kern w:val="0"/>
                <w:szCs w:val="21"/>
                <w:lang w:eastAsia="en-US"/>
              </w:rPr>
              <w:t>人员</w:t>
            </w:r>
          </w:p>
        </w:tc>
        <w:tc>
          <w:tcPr>
            <w:tcW w:w="852" w:type="dxa"/>
            <w:tcBorders>
              <w:top w:val="single" w:color="000000" w:sz="4" w:space="0"/>
              <w:left w:val="single" w:color="000000" w:sz="4" w:space="0"/>
              <w:bottom w:val="single" w:color="000000" w:sz="4" w:space="0"/>
              <w:right w:val="single" w:color="000000" w:sz="4" w:space="0"/>
            </w:tcBorders>
            <w:vAlign w:val="top"/>
          </w:tcPr>
          <w:p w14:paraId="7852C9BB">
            <w:pPr>
              <w:spacing w:before="3" w:line="240" w:lineRule="auto"/>
              <w:jc w:val="left"/>
              <w:rPr>
                <w:rFonts w:ascii="黑体" w:hAnsi="黑体" w:eastAsia="黑体"/>
                <w:b/>
                <w:bCs/>
                <w:color w:val="auto"/>
                <w:kern w:val="0"/>
                <w:sz w:val="15"/>
                <w:szCs w:val="15"/>
                <w:lang w:eastAsia="en-US"/>
              </w:rPr>
            </w:pPr>
          </w:p>
          <w:p w14:paraId="046B4E1A">
            <w:pPr>
              <w:spacing w:line="240" w:lineRule="auto"/>
              <w:ind w:left="211"/>
              <w:jc w:val="left"/>
              <w:rPr>
                <w:rFonts w:ascii="宋体" w:hAnsi="宋体"/>
                <w:color w:val="auto"/>
                <w:kern w:val="0"/>
                <w:szCs w:val="21"/>
                <w:lang w:eastAsia="en-US"/>
              </w:rPr>
            </w:pPr>
            <w:r>
              <w:rPr>
                <w:rFonts w:ascii="宋体" w:hAnsi="宋体"/>
                <w:color w:val="auto"/>
                <w:kern w:val="0"/>
                <w:szCs w:val="21"/>
                <w:lang w:eastAsia="en-US"/>
              </w:rPr>
              <w:t>数量</w:t>
            </w:r>
          </w:p>
        </w:tc>
        <w:tc>
          <w:tcPr>
            <w:tcW w:w="4935" w:type="dxa"/>
            <w:tcBorders>
              <w:top w:val="single" w:color="000000" w:sz="4" w:space="0"/>
              <w:left w:val="single" w:color="000000" w:sz="4" w:space="0"/>
              <w:bottom w:val="single" w:color="000000" w:sz="4" w:space="0"/>
              <w:right w:val="single" w:color="000000" w:sz="4" w:space="0"/>
            </w:tcBorders>
            <w:vAlign w:val="top"/>
          </w:tcPr>
          <w:p w14:paraId="02521F41">
            <w:pPr>
              <w:spacing w:before="3" w:line="240" w:lineRule="auto"/>
              <w:jc w:val="left"/>
              <w:rPr>
                <w:rFonts w:ascii="黑体" w:hAnsi="黑体" w:eastAsia="黑体"/>
                <w:b/>
                <w:bCs/>
                <w:color w:val="auto"/>
                <w:kern w:val="0"/>
                <w:sz w:val="15"/>
                <w:szCs w:val="15"/>
                <w:lang w:eastAsia="en-US"/>
              </w:rPr>
            </w:pPr>
          </w:p>
          <w:p w14:paraId="386258A1">
            <w:pPr>
              <w:spacing w:line="240" w:lineRule="auto"/>
              <w:jc w:val="center"/>
              <w:rPr>
                <w:rFonts w:ascii="宋体" w:hAnsi="宋体"/>
                <w:color w:val="auto"/>
                <w:kern w:val="0"/>
                <w:szCs w:val="21"/>
                <w:lang w:eastAsia="en-US"/>
              </w:rPr>
            </w:pPr>
            <w:r>
              <w:rPr>
                <w:rFonts w:ascii="宋体" w:hAnsi="宋体"/>
                <w:color w:val="auto"/>
                <w:kern w:val="0"/>
                <w:szCs w:val="21"/>
                <w:lang w:eastAsia="en-US"/>
              </w:rPr>
              <w:t>资格要求</w:t>
            </w:r>
          </w:p>
        </w:tc>
      </w:tr>
      <w:tr w14:paraId="061A9BA0">
        <w:tblPrEx>
          <w:tblCellMar>
            <w:top w:w="0" w:type="dxa"/>
            <w:left w:w="0" w:type="dxa"/>
            <w:bottom w:w="0" w:type="dxa"/>
            <w:right w:w="0" w:type="dxa"/>
          </w:tblCellMar>
        </w:tblPrEx>
        <w:trPr>
          <w:trHeight w:val="1370" w:hRule="exact"/>
        </w:trPr>
        <w:tc>
          <w:tcPr>
            <w:tcW w:w="2127" w:type="dxa"/>
            <w:tcBorders>
              <w:top w:val="single" w:color="000000" w:sz="4" w:space="0"/>
              <w:left w:val="single" w:color="000000" w:sz="4" w:space="0"/>
              <w:bottom w:val="single" w:color="000000" w:sz="4" w:space="0"/>
              <w:right w:val="single" w:color="000000" w:sz="4" w:space="0"/>
            </w:tcBorders>
            <w:vAlign w:val="top"/>
          </w:tcPr>
          <w:p w14:paraId="39CD62CC">
            <w:pPr>
              <w:spacing w:line="240" w:lineRule="auto"/>
              <w:jc w:val="left"/>
              <w:rPr>
                <w:rFonts w:ascii="黑体" w:hAnsi="黑体" w:eastAsia="黑体"/>
                <w:b/>
                <w:bCs/>
                <w:color w:val="auto"/>
                <w:kern w:val="0"/>
                <w:sz w:val="20"/>
                <w:szCs w:val="20"/>
                <w:lang w:eastAsia="en-US"/>
              </w:rPr>
            </w:pPr>
          </w:p>
          <w:p w14:paraId="3C00C654">
            <w:pPr>
              <w:spacing w:before="5" w:line="240" w:lineRule="auto"/>
              <w:jc w:val="left"/>
              <w:rPr>
                <w:rFonts w:ascii="黑体" w:hAnsi="黑体" w:eastAsia="黑体"/>
                <w:b/>
                <w:bCs/>
                <w:color w:val="auto"/>
                <w:kern w:val="0"/>
                <w:szCs w:val="21"/>
                <w:lang w:eastAsia="en-US"/>
              </w:rPr>
            </w:pPr>
          </w:p>
          <w:p w14:paraId="4100F08E">
            <w:pPr>
              <w:spacing w:line="240" w:lineRule="auto"/>
              <w:ind w:left="112"/>
              <w:jc w:val="center"/>
              <w:rPr>
                <w:rFonts w:ascii="宋体" w:hAnsi="宋体"/>
                <w:color w:val="auto"/>
                <w:kern w:val="0"/>
                <w:szCs w:val="21"/>
                <w:lang w:eastAsia="en-US"/>
              </w:rPr>
            </w:pPr>
            <w:r>
              <w:rPr>
                <w:rFonts w:ascii="宋体" w:hAnsi="宋体"/>
                <w:color w:val="auto"/>
                <w:kern w:val="0"/>
                <w:szCs w:val="21"/>
                <w:lang w:eastAsia="en-US"/>
              </w:rPr>
              <w:t>路基路面</w:t>
            </w:r>
            <w:r>
              <w:rPr>
                <w:rFonts w:hint="eastAsia" w:ascii="宋体" w:hAnsi="宋体"/>
                <w:color w:val="auto"/>
                <w:kern w:val="0"/>
                <w:szCs w:val="21"/>
              </w:rPr>
              <w:t>人员</w:t>
            </w:r>
          </w:p>
        </w:tc>
        <w:tc>
          <w:tcPr>
            <w:tcW w:w="852" w:type="dxa"/>
            <w:tcBorders>
              <w:top w:val="single" w:color="000000" w:sz="4" w:space="0"/>
              <w:left w:val="single" w:color="000000" w:sz="4" w:space="0"/>
              <w:bottom w:val="single" w:color="000000" w:sz="4" w:space="0"/>
              <w:right w:val="single" w:color="000000" w:sz="4" w:space="0"/>
            </w:tcBorders>
            <w:vAlign w:val="top"/>
          </w:tcPr>
          <w:p w14:paraId="5AD147EB">
            <w:pPr>
              <w:spacing w:line="240" w:lineRule="auto"/>
              <w:jc w:val="left"/>
              <w:rPr>
                <w:rFonts w:ascii="黑体" w:hAnsi="黑体" w:eastAsia="黑体"/>
                <w:b/>
                <w:bCs/>
                <w:color w:val="auto"/>
                <w:kern w:val="0"/>
                <w:sz w:val="20"/>
                <w:szCs w:val="20"/>
                <w:lang w:eastAsia="en-US"/>
              </w:rPr>
            </w:pPr>
          </w:p>
          <w:p w14:paraId="3E2B3930">
            <w:pPr>
              <w:spacing w:before="5" w:line="240" w:lineRule="auto"/>
              <w:jc w:val="left"/>
              <w:rPr>
                <w:rFonts w:ascii="黑体" w:hAnsi="黑体" w:eastAsia="黑体"/>
                <w:b/>
                <w:bCs/>
                <w:color w:val="auto"/>
                <w:kern w:val="0"/>
                <w:szCs w:val="21"/>
                <w:lang w:eastAsia="en-US"/>
              </w:rPr>
            </w:pPr>
          </w:p>
          <w:p w14:paraId="59342491">
            <w:pPr>
              <w:spacing w:line="240" w:lineRule="auto"/>
              <w:jc w:val="center"/>
              <w:rPr>
                <w:rFonts w:ascii="宋体" w:eastAsia="Calibri"/>
                <w:color w:val="auto"/>
                <w:kern w:val="0"/>
                <w:szCs w:val="22"/>
                <w:lang w:eastAsia="en-US"/>
              </w:rPr>
            </w:pPr>
            <w:r>
              <w:rPr>
                <w:rFonts w:ascii="宋体" w:eastAsia="Calibri"/>
                <w:color w:val="auto"/>
                <w:kern w:val="0"/>
                <w:szCs w:val="22"/>
                <w:lang w:eastAsia="en-US"/>
              </w:rPr>
              <w:t>1</w:t>
            </w:r>
          </w:p>
        </w:tc>
        <w:tc>
          <w:tcPr>
            <w:tcW w:w="4935" w:type="dxa"/>
            <w:tcBorders>
              <w:top w:val="single" w:color="000000" w:sz="4" w:space="0"/>
              <w:left w:val="single" w:color="000000" w:sz="4" w:space="0"/>
              <w:bottom w:val="single" w:color="000000" w:sz="4" w:space="0"/>
              <w:right w:val="single" w:color="000000" w:sz="4" w:space="0"/>
            </w:tcBorders>
            <w:vAlign w:val="top"/>
          </w:tcPr>
          <w:p w14:paraId="7AFFB7D9">
            <w:pPr>
              <w:spacing w:before="12" w:line="240" w:lineRule="auto"/>
              <w:jc w:val="left"/>
              <w:rPr>
                <w:rFonts w:ascii="黑体" w:hAnsi="黑体" w:eastAsia="黑体"/>
                <w:b/>
                <w:bCs/>
                <w:color w:val="auto"/>
                <w:kern w:val="0"/>
                <w:sz w:val="13"/>
                <w:szCs w:val="13"/>
              </w:rPr>
            </w:pPr>
          </w:p>
          <w:p w14:paraId="57A2C1B2">
            <w:pPr>
              <w:spacing w:line="240" w:lineRule="auto"/>
              <w:ind w:left="100" w:right="197"/>
              <w:rPr>
                <w:rFonts w:ascii="宋体" w:hAnsi="宋体"/>
                <w:color w:val="auto"/>
                <w:kern w:val="0"/>
                <w:szCs w:val="21"/>
              </w:rPr>
            </w:pPr>
            <w:r>
              <w:rPr>
                <w:rFonts w:ascii="宋体" w:hAnsi="宋体"/>
                <w:color w:val="auto"/>
                <w:kern w:val="0"/>
                <w:szCs w:val="21"/>
              </w:rPr>
              <w:t>担任过1个</w:t>
            </w:r>
            <w:r>
              <w:rPr>
                <w:rFonts w:hint="eastAsia" w:ascii="宋体" w:hAnsi="宋体"/>
                <w:color w:val="auto"/>
                <w:kern w:val="0"/>
                <w:szCs w:val="21"/>
              </w:rPr>
              <w:t>三级公路（含）以上</w:t>
            </w:r>
            <w:r>
              <w:rPr>
                <w:rFonts w:ascii="宋体" w:hAnsi="宋体"/>
                <w:color w:val="auto"/>
                <w:kern w:val="0"/>
                <w:szCs w:val="21"/>
              </w:rPr>
              <w:t>公路工程项目的路基路</w:t>
            </w:r>
            <w:r>
              <w:rPr>
                <w:rFonts w:ascii="宋体" w:hAnsi="宋体"/>
                <w:color w:val="auto"/>
                <w:spacing w:val="-2"/>
                <w:kern w:val="0"/>
                <w:szCs w:val="21"/>
              </w:rPr>
              <w:t>面</w:t>
            </w:r>
            <w:r>
              <w:rPr>
                <w:rFonts w:hint="eastAsia" w:ascii="宋体" w:hAnsi="宋体"/>
                <w:color w:val="auto"/>
                <w:spacing w:val="-2"/>
                <w:kern w:val="0"/>
                <w:szCs w:val="21"/>
              </w:rPr>
              <w:t>管理人员</w:t>
            </w:r>
            <w:r>
              <w:rPr>
                <w:rFonts w:ascii="宋体" w:hAnsi="宋体"/>
                <w:color w:val="auto"/>
                <w:spacing w:val="-2"/>
                <w:kern w:val="0"/>
                <w:szCs w:val="21"/>
              </w:rPr>
              <w:t>，具有</w:t>
            </w:r>
            <w:r>
              <w:rPr>
                <w:rFonts w:hint="eastAsia" w:ascii="宋体" w:hAnsi="宋体"/>
                <w:color w:val="auto"/>
                <w:spacing w:val="-2"/>
                <w:kern w:val="0"/>
                <w:szCs w:val="21"/>
              </w:rPr>
              <w:t>土建类专业助理工程师或以上职称</w:t>
            </w:r>
            <w:r>
              <w:rPr>
                <w:rFonts w:ascii="宋体" w:hAnsi="宋体"/>
                <w:color w:val="auto"/>
                <w:kern w:val="0"/>
                <w:szCs w:val="21"/>
              </w:rPr>
              <w:t>。</w:t>
            </w:r>
          </w:p>
        </w:tc>
      </w:tr>
      <w:tr w14:paraId="5B7F2B79">
        <w:tblPrEx>
          <w:tblCellMar>
            <w:top w:w="0" w:type="dxa"/>
            <w:left w:w="0" w:type="dxa"/>
            <w:bottom w:w="0" w:type="dxa"/>
            <w:right w:w="0" w:type="dxa"/>
          </w:tblCellMar>
        </w:tblPrEx>
        <w:trPr>
          <w:trHeight w:val="1302" w:hRule="exact"/>
        </w:trPr>
        <w:tc>
          <w:tcPr>
            <w:tcW w:w="2127" w:type="dxa"/>
            <w:tcBorders>
              <w:top w:val="single" w:color="000000" w:sz="4" w:space="0"/>
              <w:left w:val="single" w:color="000000" w:sz="4" w:space="0"/>
              <w:bottom w:val="single" w:color="000000" w:sz="4" w:space="0"/>
              <w:right w:val="single" w:color="000000" w:sz="4" w:space="0"/>
            </w:tcBorders>
            <w:vAlign w:val="top"/>
          </w:tcPr>
          <w:p w14:paraId="0F7F5006">
            <w:pPr>
              <w:spacing w:before="12" w:line="240" w:lineRule="auto"/>
              <w:jc w:val="left"/>
              <w:rPr>
                <w:rFonts w:ascii="黑体" w:hAnsi="黑体" w:eastAsia="黑体"/>
                <w:b/>
                <w:bCs/>
                <w:color w:val="auto"/>
                <w:kern w:val="0"/>
                <w:sz w:val="15"/>
                <w:szCs w:val="15"/>
              </w:rPr>
            </w:pPr>
          </w:p>
          <w:p w14:paraId="5DD2EE08">
            <w:pPr>
              <w:spacing w:line="240" w:lineRule="auto"/>
              <w:ind w:left="741" w:right="108" w:hanging="629"/>
              <w:jc w:val="center"/>
              <w:rPr>
                <w:rFonts w:ascii="宋体" w:hAnsi="宋体"/>
                <w:color w:val="auto"/>
                <w:kern w:val="0"/>
                <w:szCs w:val="21"/>
              </w:rPr>
            </w:pPr>
            <w:r>
              <w:rPr>
                <w:rFonts w:ascii="宋体" w:hAnsi="宋体"/>
                <w:color w:val="auto"/>
                <w:kern w:val="0"/>
                <w:szCs w:val="21"/>
              </w:rPr>
              <w:t>测量、计量</w:t>
            </w:r>
            <w:r>
              <w:rPr>
                <w:rFonts w:hint="eastAsia" w:ascii="宋体" w:hAnsi="宋体"/>
                <w:color w:val="auto"/>
                <w:kern w:val="0"/>
                <w:szCs w:val="21"/>
              </w:rPr>
              <w:t>人员</w:t>
            </w:r>
          </w:p>
        </w:tc>
        <w:tc>
          <w:tcPr>
            <w:tcW w:w="852" w:type="dxa"/>
            <w:tcBorders>
              <w:top w:val="single" w:color="000000" w:sz="4" w:space="0"/>
              <w:left w:val="single" w:color="000000" w:sz="4" w:space="0"/>
              <w:bottom w:val="single" w:color="000000" w:sz="4" w:space="0"/>
              <w:right w:val="single" w:color="000000" w:sz="4" w:space="0"/>
            </w:tcBorders>
            <w:vAlign w:val="top"/>
          </w:tcPr>
          <w:p w14:paraId="2BB8104F">
            <w:pPr>
              <w:spacing w:before="9" w:line="240" w:lineRule="auto"/>
              <w:jc w:val="left"/>
              <w:rPr>
                <w:rFonts w:ascii="黑体" w:hAnsi="黑体" w:eastAsia="黑体"/>
                <w:b/>
                <w:bCs/>
                <w:color w:val="auto"/>
                <w:kern w:val="0"/>
                <w:sz w:val="29"/>
                <w:szCs w:val="29"/>
              </w:rPr>
            </w:pPr>
          </w:p>
          <w:p w14:paraId="322A556D">
            <w:pPr>
              <w:spacing w:line="240" w:lineRule="auto"/>
              <w:jc w:val="center"/>
              <w:rPr>
                <w:rFonts w:ascii="宋体" w:eastAsia="Calibri"/>
                <w:color w:val="auto"/>
                <w:kern w:val="0"/>
                <w:szCs w:val="22"/>
                <w:lang w:eastAsia="en-US"/>
              </w:rPr>
            </w:pPr>
            <w:r>
              <w:rPr>
                <w:rFonts w:ascii="宋体" w:eastAsia="Calibri"/>
                <w:color w:val="auto"/>
                <w:kern w:val="0"/>
                <w:szCs w:val="22"/>
                <w:lang w:eastAsia="en-US"/>
              </w:rPr>
              <w:t>1</w:t>
            </w:r>
          </w:p>
        </w:tc>
        <w:tc>
          <w:tcPr>
            <w:tcW w:w="4935" w:type="dxa"/>
            <w:tcBorders>
              <w:top w:val="single" w:color="000000" w:sz="4" w:space="0"/>
              <w:left w:val="single" w:color="000000" w:sz="4" w:space="0"/>
              <w:bottom w:val="single" w:color="000000" w:sz="4" w:space="0"/>
              <w:right w:val="single" w:color="000000" w:sz="4" w:space="0"/>
            </w:tcBorders>
            <w:vAlign w:val="top"/>
          </w:tcPr>
          <w:p w14:paraId="52882E2E">
            <w:pPr>
              <w:spacing w:before="12" w:line="240" w:lineRule="auto"/>
              <w:jc w:val="left"/>
              <w:rPr>
                <w:rFonts w:ascii="黑体" w:hAnsi="黑体" w:eastAsia="黑体"/>
                <w:b/>
                <w:bCs/>
                <w:color w:val="auto"/>
                <w:kern w:val="0"/>
                <w:sz w:val="15"/>
                <w:szCs w:val="15"/>
              </w:rPr>
            </w:pPr>
          </w:p>
          <w:p w14:paraId="1703E5C4">
            <w:pPr>
              <w:spacing w:line="240" w:lineRule="auto"/>
              <w:ind w:left="100" w:right="-3"/>
              <w:jc w:val="left"/>
              <w:rPr>
                <w:rFonts w:ascii="宋体" w:hAnsi="宋体"/>
                <w:color w:val="auto"/>
                <w:kern w:val="0"/>
                <w:szCs w:val="21"/>
              </w:rPr>
            </w:pPr>
            <w:r>
              <w:rPr>
                <w:rFonts w:ascii="宋体" w:hAnsi="宋体"/>
                <w:color w:val="auto"/>
                <w:kern w:val="0"/>
                <w:szCs w:val="21"/>
              </w:rPr>
              <w:t>担任过1个</w:t>
            </w:r>
            <w:r>
              <w:rPr>
                <w:rFonts w:hint="eastAsia" w:ascii="宋体" w:hAnsi="宋体"/>
                <w:color w:val="auto"/>
                <w:kern w:val="0"/>
                <w:szCs w:val="21"/>
              </w:rPr>
              <w:t>三级公路（含）以上</w:t>
            </w:r>
            <w:r>
              <w:rPr>
                <w:rFonts w:ascii="宋体" w:hAnsi="宋体"/>
                <w:color w:val="auto"/>
                <w:kern w:val="0"/>
                <w:szCs w:val="21"/>
              </w:rPr>
              <w:t>公路工程项目的测量、</w:t>
            </w:r>
            <w:r>
              <w:rPr>
                <w:rFonts w:ascii="宋体" w:hAnsi="宋体"/>
                <w:color w:val="auto"/>
                <w:spacing w:val="-2"/>
                <w:kern w:val="0"/>
                <w:szCs w:val="21"/>
              </w:rPr>
              <w:t>计量</w:t>
            </w:r>
            <w:r>
              <w:rPr>
                <w:rFonts w:hint="eastAsia" w:ascii="宋体" w:hAnsi="宋体"/>
                <w:color w:val="auto"/>
                <w:spacing w:val="-2"/>
                <w:kern w:val="0"/>
                <w:szCs w:val="21"/>
              </w:rPr>
              <w:t>管理人员</w:t>
            </w:r>
            <w:r>
              <w:rPr>
                <w:rFonts w:ascii="宋体" w:hAnsi="宋体"/>
                <w:color w:val="auto"/>
                <w:spacing w:val="-2"/>
                <w:kern w:val="0"/>
                <w:szCs w:val="21"/>
              </w:rPr>
              <w:t>，具有</w:t>
            </w:r>
            <w:r>
              <w:rPr>
                <w:rFonts w:hint="eastAsia" w:ascii="宋体" w:hAnsi="宋体"/>
                <w:color w:val="auto"/>
                <w:spacing w:val="-2"/>
                <w:kern w:val="0"/>
                <w:szCs w:val="21"/>
              </w:rPr>
              <w:t>路桥类专业</w:t>
            </w:r>
            <w:r>
              <w:rPr>
                <w:rFonts w:ascii="宋体" w:hAnsi="宋体"/>
                <w:color w:val="auto"/>
                <w:spacing w:val="-2"/>
                <w:kern w:val="0"/>
                <w:szCs w:val="21"/>
              </w:rPr>
              <w:t>中级（含）以上职称。</w:t>
            </w:r>
          </w:p>
        </w:tc>
      </w:tr>
      <w:tr w14:paraId="756D8650">
        <w:tblPrEx>
          <w:tblCellMar>
            <w:top w:w="0" w:type="dxa"/>
            <w:left w:w="0" w:type="dxa"/>
            <w:bottom w:w="0" w:type="dxa"/>
            <w:right w:w="0" w:type="dxa"/>
          </w:tblCellMar>
        </w:tblPrEx>
        <w:trPr>
          <w:trHeight w:val="1124" w:hRule="exact"/>
        </w:trPr>
        <w:tc>
          <w:tcPr>
            <w:tcW w:w="2127" w:type="dxa"/>
            <w:tcBorders>
              <w:top w:val="single" w:color="000000" w:sz="4" w:space="0"/>
              <w:left w:val="single" w:color="000000" w:sz="4" w:space="0"/>
              <w:bottom w:val="single" w:color="000000" w:sz="4" w:space="0"/>
              <w:right w:val="single" w:color="000000" w:sz="4" w:space="0"/>
            </w:tcBorders>
            <w:vAlign w:val="top"/>
          </w:tcPr>
          <w:p w14:paraId="537DB71A">
            <w:pPr>
              <w:spacing w:line="240" w:lineRule="auto"/>
              <w:jc w:val="left"/>
              <w:rPr>
                <w:rFonts w:ascii="黑体" w:hAnsi="黑体" w:eastAsia="黑体"/>
                <w:b/>
                <w:bCs/>
                <w:color w:val="auto"/>
                <w:kern w:val="0"/>
                <w:sz w:val="20"/>
                <w:szCs w:val="20"/>
              </w:rPr>
            </w:pPr>
          </w:p>
          <w:p w14:paraId="41F4694D">
            <w:pPr>
              <w:spacing w:before="158" w:line="240" w:lineRule="auto"/>
              <w:ind w:left="532"/>
              <w:jc w:val="left"/>
              <w:rPr>
                <w:rFonts w:ascii="宋体" w:hAnsi="宋体"/>
                <w:color w:val="auto"/>
                <w:kern w:val="0"/>
                <w:szCs w:val="21"/>
                <w:lang w:eastAsia="en-US"/>
              </w:rPr>
            </w:pPr>
            <w:r>
              <w:rPr>
                <w:rFonts w:ascii="宋体" w:hAnsi="宋体"/>
                <w:color w:val="auto"/>
                <w:kern w:val="0"/>
                <w:szCs w:val="21"/>
                <w:lang w:eastAsia="en-US"/>
              </w:rPr>
              <w:t>财务负责人</w:t>
            </w:r>
          </w:p>
        </w:tc>
        <w:tc>
          <w:tcPr>
            <w:tcW w:w="852" w:type="dxa"/>
            <w:tcBorders>
              <w:top w:val="single" w:color="000000" w:sz="4" w:space="0"/>
              <w:left w:val="single" w:color="000000" w:sz="4" w:space="0"/>
              <w:bottom w:val="single" w:color="000000" w:sz="4" w:space="0"/>
              <w:right w:val="single" w:color="000000" w:sz="4" w:space="0"/>
            </w:tcBorders>
            <w:vAlign w:val="top"/>
          </w:tcPr>
          <w:p w14:paraId="320B8D54">
            <w:pPr>
              <w:spacing w:line="240" w:lineRule="auto"/>
              <w:jc w:val="left"/>
              <w:rPr>
                <w:rFonts w:ascii="黑体" w:hAnsi="黑体" w:eastAsia="黑体"/>
                <w:b/>
                <w:bCs/>
                <w:color w:val="auto"/>
                <w:kern w:val="0"/>
                <w:sz w:val="20"/>
                <w:szCs w:val="20"/>
                <w:lang w:eastAsia="en-US"/>
              </w:rPr>
            </w:pPr>
          </w:p>
          <w:p w14:paraId="4F900CC8">
            <w:pPr>
              <w:spacing w:before="158" w:line="240" w:lineRule="auto"/>
              <w:jc w:val="center"/>
              <w:rPr>
                <w:rFonts w:ascii="宋体" w:eastAsia="Calibri"/>
                <w:color w:val="auto"/>
                <w:kern w:val="0"/>
                <w:szCs w:val="22"/>
                <w:lang w:eastAsia="en-US"/>
              </w:rPr>
            </w:pPr>
            <w:r>
              <w:rPr>
                <w:rFonts w:ascii="宋体" w:eastAsia="Calibri"/>
                <w:color w:val="auto"/>
                <w:kern w:val="0"/>
                <w:szCs w:val="22"/>
                <w:lang w:eastAsia="en-US"/>
              </w:rPr>
              <w:t>1</w:t>
            </w:r>
          </w:p>
        </w:tc>
        <w:tc>
          <w:tcPr>
            <w:tcW w:w="4935" w:type="dxa"/>
            <w:tcBorders>
              <w:top w:val="single" w:color="000000" w:sz="4" w:space="0"/>
              <w:left w:val="single" w:color="000000" w:sz="4" w:space="0"/>
              <w:bottom w:val="single" w:color="000000" w:sz="4" w:space="0"/>
              <w:right w:val="single" w:color="000000" w:sz="4" w:space="0"/>
            </w:tcBorders>
            <w:vAlign w:val="top"/>
          </w:tcPr>
          <w:p w14:paraId="5389A0F8">
            <w:pPr>
              <w:spacing w:before="4" w:line="240" w:lineRule="auto"/>
              <w:jc w:val="left"/>
              <w:rPr>
                <w:rFonts w:ascii="黑体" w:hAnsi="黑体" w:eastAsia="黑体"/>
                <w:b/>
                <w:bCs/>
                <w:color w:val="auto"/>
                <w:kern w:val="0"/>
                <w:sz w:val="18"/>
                <w:szCs w:val="18"/>
              </w:rPr>
            </w:pPr>
          </w:p>
          <w:p w14:paraId="74C8F4DF">
            <w:pPr>
              <w:spacing w:line="240" w:lineRule="auto"/>
              <w:ind w:left="100" w:right="197"/>
              <w:jc w:val="left"/>
              <w:rPr>
                <w:rFonts w:ascii="宋体" w:hAnsi="宋体"/>
                <w:color w:val="auto"/>
                <w:kern w:val="0"/>
                <w:szCs w:val="21"/>
              </w:rPr>
            </w:pPr>
            <w:r>
              <w:rPr>
                <w:rFonts w:ascii="宋体" w:hAnsi="宋体"/>
                <w:color w:val="auto"/>
                <w:kern w:val="0"/>
                <w:szCs w:val="21"/>
              </w:rPr>
              <w:t>担任过1个</w:t>
            </w:r>
            <w:r>
              <w:rPr>
                <w:rFonts w:hint="eastAsia" w:ascii="宋体" w:hAnsi="宋体"/>
                <w:color w:val="auto"/>
                <w:kern w:val="0"/>
                <w:szCs w:val="21"/>
              </w:rPr>
              <w:t>三级公路（含）以上</w:t>
            </w:r>
            <w:r>
              <w:rPr>
                <w:rFonts w:ascii="宋体" w:hAnsi="宋体"/>
                <w:color w:val="auto"/>
                <w:kern w:val="0"/>
                <w:szCs w:val="21"/>
              </w:rPr>
              <w:t>公路工程项目的财务工作，具有助理会计师（含）以上职称。</w:t>
            </w:r>
          </w:p>
        </w:tc>
      </w:tr>
      <w:tr w14:paraId="1E81AD01">
        <w:tblPrEx>
          <w:tblCellMar>
            <w:top w:w="0" w:type="dxa"/>
            <w:left w:w="0" w:type="dxa"/>
            <w:bottom w:w="0" w:type="dxa"/>
            <w:right w:w="0" w:type="dxa"/>
          </w:tblCellMar>
        </w:tblPrEx>
        <w:trPr>
          <w:trHeight w:val="1423" w:hRule="exact"/>
        </w:trPr>
        <w:tc>
          <w:tcPr>
            <w:tcW w:w="2127" w:type="dxa"/>
            <w:tcBorders>
              <w:top w:val="single" w:color="000000" w:sz="4" w:space="0"/>
              <w:left w:val="single" w:color="000000" w:sz="4" w:space="0"/>
              <w:bottom w:val="single" w:color="000000" w:sz="4" w:space="0"/>
              <w:right w:val="single" w:color="000000" w:sz="4" w:space="0"/>
            </w:tcBorders>
            <w:vAlign w:val="top"/>
          </w:tcPr>
          <w:p w14:paraId="5246685A">
            <w:pPr>
              <w:spacing w:line="240" w:lineRule="auto"/>
              <w:jc w:val="left"/>
              <w:rPr>
                <w:rFonts w:ascii="黑体" w:hAnsi="黑体" w:eastAsia="黑体"/>
                <w:b/>
                <w:bCs/>
                <w:color w:val="auto"/>
                <w:kern w:val="0"/>
                <w:sz w:val="20"/>
                <w:szCs w:val="20"/>
              </w:rPr>
            </w:pPr>
          </w:p>
          <w:p w14:paraId="744EB2EF">
            <w:pPr>
              <w:spacing w:before="6" w:line="240" w:lineRule="auto"/>
              <w:jc w:val="left"/>
              <w:rPr>
                <w:rFonts w:ascii="黑体" w:hAnsi="黑体" w:eastAsia="黑体"/>
                <w:b/>
                <w:bCs/>
                <w:color w:val="auto"/>
                <w:kern w:val="0"/>
                <w:sz w:val="23"/>
                <w:szCs w:val="23"/>
              </w:rPr>
            </w:pPr>
          </w:p>
          <w:p w14:paraId="16F49C86">
            <w:pPr>
              <w:spacing w:line="240" w:lineRule="auto"/>
              <w:ind w:left="532"/>
              <w:jc w:val="left"/>
              <w:rPr>
                <w:rFonts w:ascii="宋体" w:hAnsi="宋体"/>
                <w:color w:val="auto"/>
                <w:kern w:val="0"/>
                <w:szCs w:val="21"/>
                <w:lang w:eastAsia="en-US"/>
              </w:rPr>
            </w:pPr>
            <w:r>
              <w:rPr>
                <w:rFonts w:ascii="宋体" w:hAnsi="宋体"/>
                <w:color w:val="auto"/>
                <w:kern w:val="0"/>
                <w:szCs w:val="21"/>
                <w:lang w:eastAsia="en-US"/>
              </w:rPr>
              <w:t>专职安全员</w:t>
            </w:r>
          </w:p>
        </w:tc>
        <w:tc>
          <w:tcPr>
            <w:tcW w:w="852" w:type="dxa"/>
            <w:tcBorders>
              <w:top w:val="single" w:color="000000" w:sz="4" w:space="0"/>
              <w:left w:val="single" w:color="000000" w:sz="4" w:space="0"/>
              <w:bottom w:val="single" w:color="000000" w:sz="4" w:space="0"/>
              <w:right w:val="single" w:color="000000" w:sz="4" w:space="0"/>
            </w:tcBorders>
            <w:vAlign w:val="top"/>
          </w:tcPr>
          <w:p w14:paraId="6057F11B">
            <w:pPr>
              <w:spacing w:line="240" w:lineRule="auto"/>
              <w:jc w:val="left"/>
              <w:rPr>
                <w:rFonts w:ascii="黑体" w:hAnsi="黑体" w:eastAsia="黑体"/>
                <w:b/>
                <w:bCs/>
                <w:color w:val="auto"/>
                <w:kern w:val="0"/>
                <w:sz w:val="20"/>
                <w:szCs w:val="20"/>
                <w:lang w:eastAsia="en-US"/>
              </w:rPr>
            </w:pPr>
          </w:p>
          <w:p w14:paraId="307FF898">
            <w:pPr>
              <w:spacing w:before="6" w:line="240" w:lineRule="auto"/>
              <w:jc w:val="left"/>
              <w:rPr>
                <w:rFonts w:ascii="黑体" w:hAnsi="黑体" w:eastAsia="黑体"/>
                <w:b/>
                <w:bCs/>
                <w:color w:val="auto"/>
                <w:kern w:val="0"/>
                <w:sz w:val="23"/>
                <w:szCs w:val="23"/>
                <w:lang w:eastAsia="en-US"/>
              </w:rPr>
            </w:pPr>
          </w:p>
          <w:p w14:paraId="7C506A4F">
            <w:pPr>
              <w:spacing w:line="240" w:lineRule="auto"/>
              <w:jc w:val="center"/>
              <w:rPr>
                <w:rFonts w:ascii="宋体" w:eastAsia="Calibri"/>
                <w:color w:val="auto"/>
                <w:kern w:val="0"/>
                <w:szCs w:val="22"/>
                <w:lang w:eastAsia="en-US"/>
              </w:rPr>
            </w:pPr>
            <w:r>
              <w:rPr>
                <w:rFonts w:ascii="宋体" w:eastAsia="Calibri"/>
                <w:color w:val="auto"/>
                <w:kern w:val="0"/>
                <w:szCs w:val="22"/>
                <w:lang w:eastAsia="en-US"/>
              </w:rPr>
              <w:t>1</w:t>
            </w:r>
          </w:p>
        </w:tc>
        <w:tc>
          <w:tcPr>
            <w:tcW w:w="4935" w:type="dxa"/>
            <w:tcBorders>
              <w:top w:val="single" w:color="000000" w:sz="4" w:space="0"/>
              <w:left w:val="single" w:color="000000" w:sz="4" w:space="0"/>
              <w:bottom w:val="single" w:color="000000" w:sz="4" w:space="0"/>
              <w:right w:val="single" w:color="000000" w:sz="4" w:space="0"/>
            </w:tcBorders>
            <w:vAlign w:val="top"/>
          </w:tcPr>
          <w:p w14:paraId="1B09BF77">
            <w:pPr>
              <w:spacing w:before="12" w:line="240" w:lineRule="auto"/>
              <w:jc w:val="left"/>
              <w:rPr>
                <w:rFonts w:ascii="黑体" w:hAnsi="黑体" w:eastAsia="黑体"/>
                <w:b/>
                <w:bCs/>
                <w:color w:val="auto"/>
                <w:kern w:val="0"/>
                <w:sz w:val="15"/>
                <w:szCs w:val="15"/>
              </w:rPr>
            </w:pPr>
          </w:p>
          <w:p w14:paraId="3CA1B251">
            <w:pPr>
              <w:spacing w:line="240" w:lineRule="auto"/>
              <w:ind w:left="100" w:right="197"/>
              <w:rPr>
                <w:rFonts w:ascii="宋体" w:hAnsi="宋体"/>
                <w:color w:val="auto"/>
                <w:kern w:val="0"/>
                <w:szCs w:val="21"/>
              </w:rPr>
            </w:pPr>
            <w:r>
              <w:rPr>
                <w:rFonts w:ascii="宋体" w:hAnsi="宋体"/>
                <w:color w:val="auto"/>
                <w:kern w:val="0"/>
                <w:szCs w:val="21"/>
              </w:rPr>
              <w:t>担任过1个</w:t>
            </w:r>
            <w:r>
              <w:rPr>
                <w:rFonts w:hint="eastAsia" w:ascii="宋体" w:hAnsi="宋体"/>
                <w:color w:val="auto"/>
                <w:kern w:val="0"/>
                <w:szCs w:val="21"/>
              </w:rPr>
              <w:t>三级公路（含）以上</w:t>
            </w:r>
            <w:r>
              <w:rPr>
                <w:rFonts w:ascii="宋体" w:hAnsi="宋体"/>
                <w:color w:val="auto"/>
                <w:kern w:val="0"/>
                <w:szCs w:val="21"/>
              </w:rPr>
              <w:t>公路工程项目的专职安</w:t>
            </w:r>
            <w:r>
              <w:rPr>
                <w:rFonts w:ascii="宋体" w:hAnsi="宋体"/>
                <w:color w:val="auto"/>
                <w:spacing w:val="-2"/>
                <w:kern w:val="0"/>
                <w:szCs w:val="21"/>
              </w:rPr>
              <w:t>全员工作，具有</w:t>
            </w:r>
            <w:r>
              <w:rPr>
                <w:rFonts w:hint="eastAsia" w:ascii="宋体" w:hAnsi="宋体"/>
                <w:color w:val="auto"/>
                <w:spacing w:val="-2"/>
                <w:kern w:val="0"/>
                <w:szCs w:val="21"/>
              </w:rPr>
              <w:t>有效</w:t>
            </w:r>
            <w:r>
              <w:rPr>
                <w:rFonts w:ascii="宋体" w:hAnsi="宋体"/>
                <w:color w:val="auto"/>
                <w:kern w:val="0"/>
                <w:szCs w:val="21"/>
              </w:rPr>
              <w:t>的《安全生产考核合格证书》C证。</w:t>
            </w:r>
          </w:p>
        </w:tc>
      </w:tr>
    </w:tbl>
    <w:p w14:paraId="506F8852">
      <w:pPr>
        <w:spacing w:line="240" w:lineRule="auto"/>
        <w:ind w:firstLine="562" w:firstLineChars="200"/>
        <w:rPr>
          <w:rFonts w:ascii="黑体" w:hAnsi="黑体" w:eastAsia="黑体"/>
          <w:b/>
          <w:bCs/>
          <w:color w:val="auto"/>
          <w:sz w:val="28"/>
          <w:szCs w:val="28"/>
        </w:rPr>
      </w:pPr>
    </w:p>
    <w:p w14:paraId="13FD5623">
      <w:pPr>
        <w:spacing w:after="120" w:line="240" w:lineRule="auto"/>
        <w:ind w:firstLine="408" w:firstLineChars="200"/>
        <w:rPr>
          <w:color w:val="auto"/>
          <w:spacing w:val="-3"/>
        </w:rPr>
      </w:pPr>
      <w:r>
        <w:rPr>
          <w:color w:val="auto"/>
          <w:spacing w:val="-3"/>
        </w:rPr>
        <w:t>注：招标人将在发出中标通知书之前要求中标人按照本表的最低要求填报派驻本标段的其他主要管</w:t>
      </w:r>
      <w:r>
        <w:rPr>
          <w:color w:val="auto"/>
        </w:rPr>
        <w:t>理人员和技术人员，在经招标人审批后，作为派驻本标段的项目管理机构主要人员且不允许更换。</w:t>
      </w:r>
    </w:p>
    <w:p w14:paraId="0D06FD0B">
      <w:pPr>
        <w:keepNext/>
        <w:keepLines/>
        <w:spacing w:before="120" w:after="120" w:line="240" w:lineRule="auto"/>
        <w:jc w:val="left"/>
        <w:outlineLvl w:val="3"/>
        <w:rPr>
          <w:rFonts w:ascii="Cambria" w:hAnsi="Cambria" w:eastAsia="黑体"/>
          <w:b/>
          <w:bCs/>
          <w:color w:val="auto"/>
          <w:sz w:val="28"/>
          <w:szCs w:val="28"/>
        </w:rPr>
      </w:pPr>
      <w:bookmarkStart w:id="163" w:name="_Toc98873432"/>
      <w:bookmarkEnd w:id="163"/>
      <w:r>
        <w:rPr>
          <w:rFonts w:ascii="Cambria" w:hAnsi="Cambria" w:eastAsia="黑体"/>
          <w:b/>
          <w:bCs/>
          <w:color w:val="auto"/>
          <w:sz w:val="28"/>
          <w:szCs w:val="28"/>
        </w:rPr>
        <w:br w:type="page"/>
      </w:r>
      <w:r>
        <w:rPr>
          <w:rFonts w:ascii="Cambria" w:hAnsi="Cambria" w:eastAsia="黑体"/>
          <w:b/>
          <w:bCs/>
          <w:color w:val="auto"/>
          <w:sz w:val="28"/>
          <w:szCs w:val="28"/>
        </w:rPr>
        <w:t>附件</w:t>
      </w:r>
      <w:r>
        <w:rPr>
          <w:rFonts w:hint="eastAsia" w:ascii="Cambria" w:hAnsi="Cambria" w:eastAsia="黑体"/>
          <w:b/>
          <w:bCs/>
          <w:color w:val="auto"/>
          <w:sz w:val="28"/>
          <w:szCs w:val="28"/>
        </w:rPr>
        <w:t>八</w:t>
      </w:r>
      <w:r>
        <w:rPr>
          <w:rFonts w:ascii="Cambria" w:hAnsi="Cambria" w:eastAsia="黑体"/>
          <w:b/>
          <w:bCs/>
          <w:color w:val="auto"/>
          <w:sz w:val="28"/>
          <w:szCs w:val="28"/>
        </w:rPr>
        <w:tab/>
      </w:r>
      <w:r>
        <w:rPr>
          <w:rFonts w:hint="eastAsia" w:ascii="Cambria" w:hAnsi="Cambria" w:eastAsia="黑体"/>
          <w:b/>
          <w:bCs/>
          <w:color w:val="auto"/>
          <w:sz w:val="28"/>
          <w:szCs w:val="28"/>
        </w:rPr>
        <w:t xml:space="preserve">  </w:t>
      </w:r>
      <w:r>
        <w:rPr>
          <w:rFonts w:ascii="Cambria" w:hAnsi="Cambria" w:eastAsia="黑体"/>
          <w:b/>
          <w:bCs/>
          <w:color w:val="auto"/>
          <w:sz w:val="28"/>
          <w:szCs w:val="28"/>
        </w:rPr>
        <w:t>主要机械设备和试验检测设备最低要求</w:t>
      </w:r>
    </w:p>
    <w:p w14:paraId="4ECB059E">
      <w:pPr>
        <w:spacing w:before="9" w:line="240" w:lineRule="auto"/>
        <w:ind w:firstLine="221" w:firstLineChars="200"/>
        <w:rPr>
          <w:rFonts w:ascii="黑体" w:hAnsi="黑体" w:eastAsia="黑体"/>
          <w:b/>
          <w:bCs/>
          <w:color w:val="auto"/>
          <w:sz w:val="11"/>
          <w:szCs w:val="11"/>
        </w:rPr>
      </w:pPr>
    </w:p>
    <w:p w14:paraId="19390522">
      <w:pPr>
        <w:keepNext/>
        <w:keepLines/>
        <w:spacing w:before="120" w:after="120" w:line="240" w:lineRule="auto"/>
        <w:jc w:val="left"/>
        <w:outlineLvl w:val="3"/>
        <w:rPr>
          <w:rFonts w:hint="eastAsia" w:ascii="宋体" w:hAnsi="宋体" w:eastAsia="黑体"/>
          <w:b/>
          <w:bCs/>
          <w:color w:val="auto"/>
          <w:kern w:val="0"/>
          <w:sz w:val="28"/>
          <w:szCs w:val="21"/>
        </w:rPr>
      </w:pPr>
      <w:r>
        <w:rPr>
          <w:rFonts w:hint="eastAsia" w:ascii="宋体" w:hAnsi="宋体" w:eastAsia="黑体"/>
          <w:b/>
          <w:bCs/>
          <w:color w:val="auto"/>
          <w:kern w:val="0"/>
          <w:sz w:val="28"/>
          <w:szCs w:val="21"/>
        </w:rPr>
        <w:t>（一）</w:t>
      </w:r>
      <w:r>
        <w:rPr>
          <w:rFonts w:ascii="Cambria" w:hAnsi="Cambria" w:eastAsia="黑体"/>
          <w:b/>
          <w:bCs/>
          <w:color w:val="auto"/>
          <w:sz w:val="28"/>
          <w:szCs w:val="28"/>
        </w:rPr>
        <w:t>主要机械设备和试验检测设备要求</w:t>
      </w: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3319"/>
        <w:gridCol w:w="2265"/>
        <w:gridCol w:w="813"/>
        <w:gridCol w:w="1947"/>
      </w:tblGrid>
      <w:tr w14:paraId="1631E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66" w:type="dxa"/>
            <w:vMerge w:val="restart"/>
            <w:vAlign w:val="center"/>
          </w:tcPr>
          <w:p w14:paraId="49BCAB33">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序号</w:t>
            </w:r>
          </w:p>
        </w:tc>
        <w:tc>
          <w:tcPr>
            <w:tcW w:w="3319" w:type="dxa"/>
            <w:vMerge w:val="restart"/>
            <w:vAlign w:val="center"/>
          </w:tcPr>
          <w:p w14:paraId="35087EC5">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设备名称</w:t>
            </w:r>
          </w:p>
        </w:tc>
        <w:tc>
          <w:tcPr>
            <w:tcW w:w="2265" w:type="dxa"/>
            <w:vMerge w:val="restart"/>
            <w:vAlign w:val="center"/>
          </w:tcPr>
          <w:p w14:paraId="1A6B613C">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规格、功率、容量</w:t>
            </w:r>
          </w:p>
        </w:tc>
        <w:tc>
          <w:tcPr>
            <w:tcW w:w="813" w:type="dxa"/>
            <w:vMerge w:val="restart"/>
            <w:vAlign w:val="center"/>
          </w:tcPr>
          <w:p w14:paraId="2DA378DD">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单 位</w:t>
            </w:r>
          </w:p>
        </w:tc>
        <w:tc>
          <w:tcPr>
            <w:tcW w:w="1947" w:type="dxa"/>
            <w:vMerge w:val="restart"/>
            <w:vAlign w:val="center"/>
          </w:tcPr>
          <w:p w14:paraId="7E40BCFC">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要求数量（单个标段）</w:t>
            </w:r>
          </w:p>
        </w:tc>
      </w:tr>
      <w:tr w14:paraId="64E90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66" w:type="dxa"/>
            <w:vMerge w:val="continue"/>
            <w:vAlign w:val="center"/>
          </w:tcPr>
          <w:p w14:paraId="75B84EE3">
            <w:pPr>
              <w:widowControl/>
              <w:spacing w:line="240" w:lineRule="auto"/>
              <w:jc w:val="left"/>
              <w:rPr>
                <w:rFonts w:ascii="宋体" w:hAnsi="宋体"/>
                <w:color w:val="auto"/>
                <w:kern w:val="0"/>
                <w:sz w:val="18"/>
                <w:szCs w:val="18"/>
              </w:rPr>
            </w:pPr>
          </w:p>
        </w:tc>
        <w:tc>
          <w:tcPr>
            <w:tcW w:w="3319" w:type="dxa"/>
            <w:vMerge w:val="continue"/>
            <w:vAlign w:val="center"/>
          </w:tcPr>
          <w:p w14:paraId="1C2B23C7">
            <w:pPr>
              <w:widowControl/>
              <w:spacing w:line="240" w:lineRule="auto"/>
              <w:jc w:val="left"/>
              <w:rPr>
                <w:rFonts w:ascii="宋体" w:hAnsi="宋体"/>
                <w:color w:val="auto"/>
                <w:kern w:val="0"/>
                <w:sz w:val="18"/>
                <w:szCs w:val="18"/>
              </w:rPr>
            </w:pPr>
          </w:p>
        </w:tc>
        <w:tc>
          <w:tcPr>
            <w:tcW w:w="2265" w:type="dxa"/>
            <w:vMerge w:val="continue"/>
            <w:vAlign w:val="center"/>
          </w:tcPr>
          <w:p w14:paraId="212527ED">
            <w:pPr>
              <w:widowControl/>
              <w:spacing w:line="240" w:lineRule="auto"/>
              <w:jc w:val="left"/>
              <w:rPr>
                <w:rFonts w:ascii="宋体" w:hAnsi="宋体"/>
                <w:color w:val="auto"/>
                <w:kern w:val="0"/>
                <w:sz w:val="18"/>
                <w:szCs w:val="18"/>
              </w:rPr>
            </w:pPr>
          </w:p>
        </w:tc>
        <w:tc>
          <w:tcPr>
            <w:tcW w:w="813" w:type="dxa"/>
            <w:vMerge w:val="continue"/>
            <w:vAlign w:val="center"/>
          </w:tcPr>
          <w:p w14:paraId="73227A9C">
            <w:pPr>
              <w:widowControl/>
              <w:spacing w:line="240" w:lineRule="auto"/>
              <w:jc w:val="left"/>
              <w:rPr>
                <w:rFonts w:ascii="宋体" w:hAnsi="宋体"/>
                <w:color w:val="auto"/>
                <w:kern w:val="0"/>
                <w:sz w:val="18"/>
                <w:szCs w:val="18"/>
              </w:rPr>
            </w:pPr>
          </w:p>
        </w:tc>
        <w:tc>
          <w:tcPr>
            <w:tcW w:w="1947" w:type="dxa"/>
            <w:vMerge w:val="continue"/>
            <w:vAlign w:val="center"/>
          </w:tcPr>
          <w:p w14:paraId="7B536D60">
            <w:pPr>
              <w:widowControl/>
              <w:spacing w:line="240" w:lineRule="auto"/>
              <w:jc w:val="left"/>
              <w:rPr>
                <w:rFonts w:ascii="宋体" w:hAnsi="宋体"/>
                <w:color w:val="auto"/>
                <w:kern w:val="0"/>
                <w:sz w:val="18"/>
                <w:szCs w:val="18"/>
              </w:rPr>
            </w:pPr>
          </w:p>
        </w:tc>
      </w:tr>
      <w:tr w14:paraId="1A64D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66" w:type="dxa"/>
            <w:vAlign w:val="center"/>
          </w:tcPr>
          <w:p w14:paraId="4AE153C4">
            <w:pPr>
              <w:widowControl/>
              <w:spacing w:line="240" w:lineRule="auto"/>
              <w:jc w:val="center"/>
              <w:rPr>
                <w:rFonts w:hint="eastAsia" w:ascii="宋体" w:hAnsi="宋体"/>
                <w:color w:val="auto"/>
                <w:kern w:val="0"/>
                <w:sz w:val="24"/>
              </w:rPr>
            </w:pPr>
            <w:r>
              <w:rPr>
                <w:rFonts w:hint="eastAsia" w:ascii="宋体" w:hAnsi="宋体"/>
                <w:color w:val="auto"/>
                <w:kern w:val="0"/>
                <w:sz w:val="24"/>
              </w:rPr>
              <w:t>1</w:t>
            </w:r>
          </w:p>
        </w:tc>
        <w:tc>
          <w:tcPr>
            <w:tcW w:w="3319" w:type="dxa"/>
            <w:vAlign w:val="center"/>
          </w:tcPr>
          <w:p w14:paraId="2EB6748A">
            <w:pPr>
              <w:widowControl/>
              <w:spacing w:line="240" w:lineRule="auto"/>
              <w:jc w:val="left"/>
              <w:rPr>
                <w:rFonts w:hint="eastAsia" w:ascii="宋体" w:hAnsi="宋体"/>
                <w:color w:val="auto"/>
                <w:kern w:val="0"/>
                <w:sz w:val="18"/>
                <w:szCs w:val="18"/>
              </w:rPr>
            </w:pPr>
            <w:r>
              <w:rPr>
                <w:rFonts w:hint="eastAsia" w:ascii="宋体" w:hAnsi="宋体"/>
                <w:color w:val="auto"/>
                <w:kern w:val="0"/>
                <w:sz w:val="18"/>
                <w:szCs w:val="18"/>
              </w:rPr>
              <w:t>轮胎式装载机</w:t>
            </w:r>
          </w:p>
        </w:tc>
        <w:tc>
          <w:tcPr>
            <w:tcW w:w="2265" w:type="dxa"/>
            <w:vAlign w:val="center"/>
          </w:tcPr>
          <w:p w14:paraId="3BF05E69">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斗容量</w:t>
            </w:r>
            <w:r>
              <w:rPr>
                <w:color w:val="auto"/>
                <w:kern w:val="0"/>
                <w:sz w:val="18"/>
                <w:szCs w:val="18"/>
              </w:rPr>
              <w:t>2.0</w:t>
            </w:r>
          </w:p>
        </w:tc>
        <w:tc>
          <w:tcPr>
            <w:tcW w:w="813" w:type="dxa"/>
            <w:vAlign w:val="center"/>
          </w:tcPr>
          <w:p w14:paraId="2CD84A48">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辆</w:t>
            </w:r>
          </w:p>
        </w:tc>
        <w:tc>
          <w:tcPr>
            <w:tcW w:w="1947" w:type="dxa"/>
            <w:vAlign w:val="center"/>
          </w:tcPr>
          <w:p w14:paraId="2A8C120C">
            <w:pPr>
              <w:widowControl/>
              <w:spacing w:line="240" w:lineRule="auto"/>
              <w:jc w:val="center"/>
              <w:rPr>
                <w:rFonts w:hint="eastAsia"/>
                <w:color w:val="auto"/>
                <w:kern w:val="0"/>
                <w:sz w:val="18"/>
                <w:szCs w:val="18"/>
              </w:rPr>
            </w:pPr>
          </w:p>
        </w:tc>
      </w:tr>
      <w:tr w14:paraId="3D84B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66" w:type="dxa"/>
            <w:vAlign w:val="center"/>
          </w:tcPr>
          <w:p w14:paraId="2C43F3B7">
            <w:pPr>
              <w:widowControl/>
              <w:spacing w:line="240" w:lineRule="auto"/>
              <w:jc w:val="center"/>
              <w:rPr>
                <w:rFonts w:hint="eastAsia" w:ascii="宋体" w:hAnsi="宋体"/>
                <w:color w:val="auto"/>
                <w:kern w:val="0"/>
                <w:sz w:val="24"/>
              </w:rPr>
            </w:pPr>
            <w:r>
              <w:rPr>
                <w:rFonts w:hint="eastAsia" w:ascii="宋体" w:hAnsi="宋体"/>
                <w:color w:val="auto"/>
                <w:kern w:val="0"/>
                <w:sz w:val="24"/>
              </w:rPr>
              <w:t>2</w:t>
            </w:r>
          </w:p>
        </w:tc>
        <w:tc>
          <w:tcPr>
            <w:tcW w:w="3319" w:type="dxa"/>
            <w:vAlign w:val="center"/>
          </w:tcPr>
          <w:p w14:paraId="640E9089">
            <w:pPr>
              <w:widowControl/>
              <w:spacing w:line="240" w:lineRule="auto"/>
              <w:jc w:val="left"/>
              <w:rPr>
                <w:rFonts w:hint="eastAsia" w:ascii="宋体" w:hAnsi="宋体"/>
                <w:color w:val="auto"/>
                <w:kern w:val="0"/>
                <w:sz w:val="18"/>
                <w:szCs w:val="18"/>
              </w:rPr>
            </w:pPr>
            <w:r>
              <w:rPr>
                <w:rFonts w:hint="eastAsia" w:ascii="宋体" w:hAnsi="宋体"/>
                <w:color w:val="auto"/>
                <w:kern w:val="0"/>
                <w:sz w:val="18"/>
                <w:szCs w:val="18"/>
              </w:rPr>
              <w:t>光轮压路机</w:t>
            </w:r>
          </w:p>
        </w:tc>
        <w:tc>
          <w:tcPr>
            <w:tcW w:w="2265" w:type="dxa"/>
            <w:vAlign w:val="center"/>
          </w:tcPr>
          <w:p w14:paraId="3F11C2C4">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机械自身质量</w:t>
            </w:r>
            <w:r>
              <w:rPr>
                <w:rFonts w:hint="eastAsia"/>
                <w:color w:val="auto"/>
                <w:kern w:val="0"/>
                <w:sz w:val="18"/>
                <w:szCs w:val="18"/>
              </w:rPr>
              <w:t>8</w:t>
            </w:r>
            <w:r>
              <w:rPr>
                <w:color w:val="auto"/>
                <w:kern w:val="0"/>
                <w:sz w:val="18"/>
                <w:szCs w:val="18"/>
              </w:rPr>
              <w:t>~</w:t>
            </w:r>
            <w:r>
              <w:rPr>
                <w:rFonts w:hint="eastAsia"/>
                <w:color w:val="auto"/>
                <w:kern w:val="0"/>
                <w:sz w:val="18"/>
                <w:szCs w:val="18"/>
              </w:rPr>
              <w:t>10</w:t>
            </w:r>
            <w:r>
              <w:rPr>
                <w:rFonts w:hint="eastAsia" w:ascii="宋体" w:hAnsi="宋体"/>
                <w:color w:val="auto"/>
                <w:kern w:val="0"/>
                <w:sz w:val="18"/>
                <w:szCs w:val="18"/>
              </w:rPr>
              <w:t>吨</w:t>
            </w:r>
          </w:p>
        </w:tc>
        <w:tc>
          <w:tcPr>
            <w:tcW w:w="813" w:type="dxa"/>
            <w:vAlign w:val="center"/>
          </w:tcPr>
          <w:p w14:paraId="4C110AF3">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辆</w:t>
            </w:r>
          </w:p>
        </w:tc>
        <w:tc>
          <w:tcPr>
            <w:tcW w:w="1947" w:type="dxa"/>
            <w:vAlign w:val="center"/>
          </w:tcPr>
          <w:p w14:paraId="17C6CA72">
            <w:pPr>
              <w:widowControl/>
              <w:spacing w:line="240" w:lineRule="auto"/>
              <w:jc w:val="center"/>
              <w:rPr>
                <w:rFonts w:hint="eastAsia"/>
                <w:color w:val="auto"/>
                <w:kern w:val="0"/>
                <w:sz w:val="18"/>
                <w:szCs w:val="18"/>
              </w:rPr>
            </w:pPr>
          </w:p>
        </w:tc>
      </w:tr>
      <w:tr w14:paraId="0039F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66" w:type="dxa"/>
            <w:vAlign w:val="center"/>
          </w:tcPr>
          <w:p w14:paraId="2526DEAE">
            <w:pPr>
              <w:widowControl/>
              <w:spacing w:line="240" w:lineRule="auto"/>
              <w:jc w:val="center"/>
              <w:rPr>
                <w:rFonts w:hint="eastAsia" w:ascii="宋体" w:hAnsi="宋体"/>
                <w:color w:val="auto"/>
                <w:kern w:val="0"/>
                <w:sz w:val="24"/>
              </w:rPr>
            </w:pPr>
            <w:r>
              <w:rPr>
                <w:rFonts w:hint="eastAsia" w:ascii="宋体" w:hAnsi="宋体"/>
                <w:color w:val="auto"/>
                <w:kern w:val="0"/>
                <w:sz w:val="24"/>
              </w:rPr>
              <w:t>3</w:t>
            </w:r>
          </w:p>
        </w:tc>
        <w:tc>
          <w:tcPr>
            <w:tcW w:w="3319" w:type="dxa"/>
            <w:vAlign w:val="top"/>
          </w:tcPr>
          <w:p w14:paraId="35DC57B4">
            <w:pPr>
              <w:spacing w:before="37" w:line="240" w:lineRule="auto"/>
              <w:rPr>
                <w:rFonts w:ascii="宋体" w:hAnsi="宋体"/>
                <w:color w:val="auto"/>
                <w:kern w:val="0"/>
                <w:sz w:val="18"/>
                <w:szCs w:val="18"/>
                <w:lang w:eastAsia="en-US"/>
              </w:rPr>
            </w:pPr>
            <w:r>
              <w:rPr>
                <w:rFonts w:ascii="宋体" w:hAnsi="宋体"/>
                <w:color w:val="auto"/>
                <w:kern w:val="0"/>
                <w:sz w:val="18"/>
                <w:szCs w:val="18"/>
                <w:lang w:eastAsia="en-US"/>
              </w:rPr>
              <w:t>挖掘机</w:t>
            </w:r>
          </w:p>
        </w:tc>
        <w:tc>
          <w:tcPr>
            <w:tcW w:w="2265" w:type="dxa"/>
            <w:vAlign w:val="top"/>
          </w:tcPr>
          <w:p w14:paraId="4BB41365">
            <w:pPr>
              <w:spacing w:before="37" w:line="240" w:lineRule="auto"/>
              <w:ind w:left="451"/>
              <w:jc w:val="left"/>
              <w:rPr>
                <w:rFonts w:ascii="宋体" w:hAnsi="宋体"/>
                <w:color w:val="auto"/>
                <w:kern w:val="0"/>
                <w:sz w:val="18"/>
                <w:szCs w:val="18"/>
                <w:lang w:eastAsia="en-US"/>
              </w:rPr>
            </w:pPr>
            <w:r>
              <w:rPr>
                <w:rFonts w:ascii="宋体" w:hAnsi="宋体"/>
                <w:color w:val="auto"/>
                <w:kern w:val="0"/>
                <w:sz w:val="18"/>
                <w:szCs w:val="18"/>
                <w:lang w:eastAsia="en-US"/>
              </w:rPr>
              <w:t>斗容量</w:t>
            </w:r>
            <w:r>
              <w:rPr>
                <w:rFonts w:eastAsia="Times New Roman"/>
                <w:color w:val="auto"/>
                <w:kern w:val="0"/>
                <w:sz w:val="18"/>
                <w:szCs w:val="18"/>
                <w:lang w:eastAsia="en-US"/>
              </w:rPr>
              <w:t>≥0.8m³</w:t>
            </w:r>
          </w:p>
        </w:tc>
        <w:tc>
          <w:tcPr>
            <w:tcW w:w="813" w:type="dxa"/>
            <w:vAlign w:val="top"/>
          </w:tcPr>
          <w:p w14:paraId="1F315DDA">
            <w:pPr>
              <w:spacing w:before="37" w:line="240" w:lineRule="auto"/>
              <w:jc w:val="center"/>
              <w:rPr>
                <w:rFonts w:ascii="宋体" w:hAnsi="宋体"/>
                <w:color w:val="auto"/>
                <w:kern w:val="0"/>
                <w:sz w:val="18"/>
                <w:szCs w:val="18"/>
                <w:lang w:eastAsia="en-US"/>
              </w:rPr>
            </w:pPr>
            <w:r>
              <w:rPr>
                <w:rFonts w:ascii="宋体" w:hAnsi="宋体"/>
                <w:color w:val="auto"/>
                <w:kern w:val="0"/>
                <w:sz w:val="18"/>
                <w:szCs w:val="18"/>
                <w:lang w:eastAsia="en-US"/>
              </w:rPr>
              <w:t>台</w:t>
            </w:r>
          </w:p>
        </w:tc>
        <w:tc>
          <w:tcPr>
            <w:tcW w:w="1947" w:type="dxa"/>
            <w:vAlign w:val="top"/>
          </w:tcPr>
          <w:p w14:paraId="00980566">
            <w:pPr>
              <w:spacing w:before="74" w:line="240" w:lineRule="auto"/>
              <w:ind w:left="356"/>
              <w:jc w:val="center"/>
              <w:rPr>
                <w:rFonts w:hint="eastAsia" w:eastAsia="Times New Roman"/>
                <w:color w:val="auto"/>
                <w:kern w:val="0"/>
                <w:sz w:val="18"/>
                <w:szCs w:val="18"/>
                <w:lang w:eastAsia="en-US"/>
              </w:rPr>
            </w:pPr>
          </w:p>
        </w:tc>
      </w:tr>
      <w:tr w14:paraId="4D873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66" w:type="dxa"/>
            <w:vAlign w:val="center"/>
          </w:tcPr>
          <w:p w14:paraId="2F4D57E9">
            <w:pPr>
              <w:widowControl/>
              <w:spacing w:line="240" w:lineRule="auto"/>
              <w:jc w:val="center"/>
              <w:rPr>
                <w:rFonts w:hint="eastAsia" w:ascii="宋体" w:hAnsi="宋体"/>
                <w:color w:val="auto"/>
                <w:kern w:val="0"/>
                <w:sz w:val="24"/>
              </w:rPr>
            </w:pPr>
            <w:r>
              <w:rPr>
                <w:rFonts w:hint="eastAsia" w:ascii="宋体" w:hAnsi="宋体"/>
                <w:color w:val="auto"/>
                <w:kern w:val="0"/>
                <w:sz w:val="24"/>
              </w:rPr>
              <w:t>4</w:t>
            </w:r>
          </w:p>
        </w:tc>
        <w:tc>
          <w:tcPr>
            <w:tcW w:w="3319" w:type="dxa"/>
            <w:vAlign w:val="center"/>
          </w:tcPr>
          <w:p w14:paraId="7D49D03F">
            <w:pPr>
              <w:widowControl/>
              <w:spacing w:line="240" w:lineRule="auto"/>
              <w:jc w:val="left"/>
              <w:rPr>
                <w:rFonts w:hint="eastAsia" w:ascii="宋体" w:hAnsi="宋体"/>
                <w:color w:val="auto"/>
                <w:kern w:val="0"/>
                <w:sz w:val="18"/>
                <w:szCs w:val="18"/>
              </w:rPr>
            </w:pPr>
            <w:r>
              <w:rPr>
                <w:rFonts w:hint="eastAsia" w:ascii="宋体" w:hAnsi="宋体"/>
                <w:color w:val="auto"/>
                <w:kern w:val="0"/>
                <w:sz w:val="18"/>
                <w:szCs w:val="18"/>
              </w:rPr>
              <w:t>路面清扫车</w:t>
            </w:r>
          </w:p>
        </w:tc>
        <w:tc>
          <w:tcPr>
            <w:tcW w:w="2265" w:type="dxa"/>
            <w:vAlign w:val="center"/>
          </w:tcPr>
          <w:p w14:paraId="7C302A15">
            <w:pPr>
              <w:widowControl/>
              <w:spacing w:line="240" w:lineRule="auto"/>
              <w:jc w:val="center"/>
              <w:rPr>
                <w:rFonts w:hint="eastAsia"/>
                <w:color w:val="auto"/>
                <w:kern w:val="0"/>
                <w:szCs w:val="21"/>
              </w:rPr>
            </w:pPr>
          </w:p>
        </w:tc>
        <w:tc>
          <w:tcPr>
            <w:tcW w:w="813" w:type="dxa"/>
            <w:vAlign w:val="center"/>
          </w:tcPr>
          <w:p w14:paraId="30F9F518">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辆</w:t>
            </w:r>
          </w:p>
        </w:tc>
        <w:tc>
          <w:tcPr>
            <w:tcW w:w="1947" w:type="dxa"/>
            <w:vAlign w:val="center"/>
          </w:tcPr>
          <w:p w14:paraId="28D0FB53">
            <w:pPr>
              <w:widowControl/>
              <w:spacing w:line="240" w:lineRule="auto"/>
              <w:jc w:val="center"/>
              <w:rPr>
                <w:rFonts w:hint="eastAsia"/>
                <w:color w:val="auto"/>
                <w:kern w:val="0"/>
                <w:sz w:val="18"/>
                <w:szCs w:val="18"/>
              </w:rPr>
            </w:pPr>
          </w:p>
        </w:tc>
      </w:tr>
      <w:tr w14:paraId="3B1F5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66" w:type="dxa"/>
            <w:vAlign w:val="center"/>
          </w:tcPr>
          <w:p w14:paraId="6AB7CF57">
            <w:pPr>
              <w:widowControl/>
              <w:spacing w:line="240" w:lineRule="auto"/>
              <w:jc w:val="center"/>
              <w:rPr>
                <w:rFonts w:hint="eastAsia" w:ascii="宋体" w:hAnsi="宋体"/>
                <w:color w:val="auto"/>
                <w:kern w:val="0"/>
                <w:sz w:val="24"/>
              </w:rPr>
            </w:pPr>
            <w:r>
              <w:rPr>
                <w:rFonts w:hint="eastAsia" w:ascii="宋体" w:hAnsi="宋体"/>
                <w:color w:val="auto"/>
                <w:kern w:val="0"/>
                <w:sz w:val="24"/>
              </w:rPr>
              <w:t>5</w:t>
            </w:r>
          </w:p>
        </w:tc>
        <w:tc>
          <w:tcPr>
            <w:tcW w:w="3319" w:type="dxa"/>
            <w:vAlign w:val="center"/>
          </w:tcPr>
          <w:p w14:paraId="4365980D">
            <w:pPr>
              <w:widowControl/>
              <w:spacing w:line="240" w:lineRule="auto"/>
              <w:jc w:val="left"/>
              <w:rPr>
                <w:rFonts w:hint="eastAsia" w:ascii="宋体" w:hAnsi="宋体"/>
                <w:color w:val="auto"/>
                <w:kern w:val="0"/>
                <w:sz w:val="18"/>
                <w:szCs w:val="18"/>
              </w:rPr>
            </w:pPr>
            <w:r>
              <w:rPr>
                <w:rFonts w:hint="eastAsia" w:ascii="宋体" w:hAnsi="宋体"/>
                <w:color w:val="auto"/>
                <w:kern w:val="0"/>
                <w:sz w:val="18"/>
                <w:szCs w:val="18"/>
              </w:rPr>
              <w:t>热沥青洒布车</w:t>
            </w:r>
          </w:p>
        </w:tc>
        <w:tc>
          <w:tcPr>
            <w:tcW w:w="2265" w:type="dxa"/>
            <w:vAlign w:val="center"/>
          </w:tcPr>
          <w:p w14:paraId="2A3E60D6">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容量</w:t>
            </w:r>
            <w:r>
              <w:rPr>
                <w:rFonts w:hint="eastAsia"/>
                <w:color w:val="auto"/>
                <w:kern w:val="0"/>
                <w:sz w:val="18"/>
                <w:szCs w:val="18"/>
              </w:rPr>
              <w:t>6</w:t>
            </w:r>
            <w:r>
              <w:rPr>
                <w:color w:val="auto"/>
                <w:kern w:val="0"/>
                <w:sz w:val="18"/>
                <w:szCs w:val="18"/>
              </w:rPr>
              <w:t>000L</w:t>
            </w:r>
            <w:r>
              <w:rPr>
                <w:rFonts w:hint="eastAsia" w:ascii="宋体" w:hAnsi="宋体"/>
                <w:color w:val="auto"/>
                <w:kern w:val="0"/>
                <w:sz w:val="18"/>
                <w:szCs w:val="18"/>
              </w:rPr>
              <w:t>以内</w:t>
            </w:r>
          </w:p>
        </w:tc>
        <w:tc>
          <w:tcPr>
            <w:tcW w:w="813" w:type="dxa"/>
            <w:vAlign w:val="center"/>
          </w:tcPr>
          <w:p w14:paraId="56654624">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辆</w:t>
            </w:r>
          </w:p>
        </w:tc>
        <w:tc>
          <w:tcPr>
            <w:tcW w:w="1947" w:type="dxa"/>
            <w:vAlign w:val="center"/>
          </w:tcPr>
          <w:p w14:paraId="60D3164C">
            <w:pPr>
              <w:widowControl/>
              <w:spacing w:line="240" w:lineRule="auto"/>
              <w:jc w:val="center"/>
              <w:rPr>
                <w:rFonts w:hint="eastAsia"/>
                <w:color w:val="auto"/>
                <w:kern w:val="0"/>
                <w:sz w:val="18"/>
                <w:szCs w:val="18"/>
              </w:rPr>
            </w:pPr>
          </w:p>
        </w:tc>
      </w:tr>
      <w:tr w14:paraId="2A27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66" w:type="dxa"/>
            <w:vAlign w:val="center"/>
          </w:tcPr>
          <w:p w14:paraId="44BDC9F8">
            <w:pPr>
              <w:widowControl/>
              <w:spacing w:line="240" w:lineRule="auto"/>
              <w:jc w:val="center"/>
              <w:rPr>
                <w:rFonts w:hint="eastAsia" w:ascii="宋体" w:hAnsi="宋体"/>
                <w:color w:val="auto"/>
                <w:kern w:val="0"/>
                <w:sz w:val="24"/>
              </w:rPr>
            </w:pPr>
            <w:r>
              <w:rPr>
                <w:rFonts w:hint="eastAsia" w:ascii="宋体" w:hAnsi="宋体"/>
                <w:color w:val="auto"/>
                <w:kern w:val="0"/>
                <w:sz w:val="24"/>
              </w:rPr>
              <w:t>6</w:t>
            </w:r>
          </w:p>
        </w:tc>
        <w:tc>
          <w:tcPr>
            <w:tcW w:w="3319" w:type="dxa"/>
            <w:vAlign w:val="center"/>
          </w:tcPr>
          <w:p w14:paraId="69C24751">
            <w:pPr>
              <w:widowControl/>
              <w:spacing w:line="240" w:lineRule="auto"/>
              <w:jc w:val="left"/>
              <w:rPr>
                <w:rFonts w:hint="eastAsia" w:ascii="宋体" w:hAnsi="宋体"/>
                <w:color w:val="auto"/>
                <w:kern w:val="0"/>
                <w:sz w:val="18"/>
                <w:szCs w:val="18"/>
              </w:rPr>
            </w:pPr>
            <w:r>
              <w:rPr>
                <w:rFonts w:hint="eastAsia" w:ascii="宋体" w:hAnsi="宋体"/>
                <w:color w:val="auto"/>
                <w:kern w:val="0"/>
                <w:sz w:val="18"/>
                <w:szCs w:val="18"/>
              </w:rPr>
              <w:t>沥青混合料拌和设备(LB800)</w:t>
            </w:r>
          </w:p>
        </w:tc>
        <w:tc>
          <w:tcPr>
            <w:tcW w:w="2265" w:type="dxa"/>
            <w:vAlign w:val="center"/>
          </w:tcPr>
          <w:p w14:paraId="2EAA3AA7">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生产能力60t/h以内</w:t>
            </w:r>
          </w:p>
        </w:tc>
        <w:tc>
          <w:tcPr>
            <w:tcW w:w="813" w:type="dxa"/>
            <w:vAlign w:val="center"/>
          </w:tcPr>
          <w:p w14:paraId="54613E88">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座</w:t>
            </w:r>
          </w:p>
        </w:tc>
        <w:tc>
          <w:tcPr>
            <w:tcW w:w="1947" w:type="dxa"/>
            <w:vAlign w:val="center"/>
          </w:tcPr>
          <w:p w14:paraId="13179FE9">
            <w:pPr>
              <w:widowControl/>
              <w:spacing w:line="240" w:lineRule="auto"/>
              <w:jc w:val="center"/>
              <w:rPr>
                <w:rFonts w:hint="eastAsia"/>
                <w:color w:val="auto"/>
                <w:kern w:val="0"/>
                <w:sz w:val="18"/>
                <w:szCs w:val="18"/>
              </w:rPr>
            </w:pPr>
          </w:p>
        </w:tc>
      </w:tr>
      <w:tr w14:paraId="6165A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66" w:type="dxa"/>
            <w:vAlign w:val="center"/>
          </w:tcPr>
          <w:p w14:paraId="0E4CC75A">
            <w:pPr>
              <w:widowControl/>
              <w:spacing w:line="240" w:lineRule="auto"/>
              <w:jc w:val="center"/>
              <w:rPr>
                <w:rFonts w:hint="eastAsia" w:ascii="宋体" w:hAnsi="宋体"/>
                <w:color w:val="auto"/>
                <w:kern w:val="0"/>
                <w:sz w:val="24"/>
              </w:rPr>
            </w:pPr>
            <w:r>
              <w:rPr>
                <w:rFonts w:hint="eastAsia" w:ascii="宋体" w:hAnsi="宋体"/>
                <w:color w:val="auto"/>
                <w:kern w:val="0"/>
                <w:sz w:val="24"/>
              </w:rPr>
              <w:t>7</w:t>
            </w:r>
          </w:p>
        </w:tc>
        <w:tc>
          <w:tcPr>
            <w:tcW w:w="3319" w:type="dxa"/>
            <w:vAlign w:val="center"/>
          </w:tcPr>
          <w:p w14:paraId="773BE4AF">
            <w:pPr>
              <w:widowControl/>
              <w:spacing w:line="240" w:lineRule="auto"/>
              <w:jc w:val="left"/>
              <w:rPr>
                <w:rFonts w:hint="eastAsia" w:ascii="宋体" w:hAnsi="宋体"/>
                <w:color w:val="auto"/>
                <w:kern w:val="0"/>
                <w:sz w:val="18"/>
                <w:szCs w:val="18"/>
              </w:rPr>
            </w:pPr>
            <w:r>
              <w:rPr>
                <w:rFonts w:hint="eastAsia" w:ascii="宋体" w:hAnsi="宋体"/>
                <w:color w:val="auto"/>
                <w:kern w:val="0"/>
                <w:sz w:val="18"/>
                <w:szCs w:val="18"/>
              </w:rPr>
              <w:t>沥青混合料摊铺机(带自动找平)</w:t>
            </w:r>
          </w:p>
        </w:tc>
        <w:tc>
          <w:tcPr>
            <w:tcW w:w="2265" w:type="dxa"/>
            <w:vAlign w:val="center"/>
          </w:tcPr>
          <w:p w14:paraId="76DD189F">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最大摊铺宽度</w:t>
            </w:r>
            <w:r>
              <w:rPr>
                <w:color w:val="auto"/>
                <w:kern w:val="0"/>
                <w:sz w:val="18"/>
                <w:szCs w:val="18"/>
              </w:rPr>
              <w:t>4.5m</w:t>
            </w:r>
            <w:r>
              <w:rPr>
                <w:rFonts w:hint="eastAsia" w:ascii="宋体" w:hAnsi="宋体"/>
                <w:color w:val="auto"/>
                <w:kern w:val="0"/>
                <w:sz w:val="18"/>
                <w:szCs w:val="18"/>
              </w:rPr>
              <w:t>以内</w:t>
            </w:r>
          </w:p>
        </w:tc>
        <w:tc>
          <w:tcPr>
            <w:tcW w:w="813" w:type="dxa"/>
            <w:vAlign w:val="center"/>
          </w:tcPr>
          <w:p w14:paraId="31355694">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辆</w:t>
            </w:r>
          </w:p>
        </w:tc>
        <w:tc>
          <w:tcPr>
            <w:tcW w:w="1947" w:type="dxa"/>
            <w:vAlign w:val="center"/>
          </w:tcPr>
          <w:p w14:paraId="3E91B6A0">
            <w:pPr>
              <w:widowControl/>
              <w:spacing w:line="240" w:lineRule="auto"/>
              <w:jc w:val="center"/>
              <w:rPr>
                <w:rFonts w:hint="eastAsia"/>
                <w:color w:val="auto"/>
                <w:kern w:val="0"/>
                <w:sz w:val="18"/>
                <w:szCs w:val="18"/>
              </w:rPr>
            </w:pPr>
          </w:p>
        </w:tc>
      </w:tr>
      <w:tr w14:paraId="77353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66" w:type="dxa"/>
            <w:vAlign w:val="center"/>
          </w:tcPr>
          <w:p w14:paraId="72A11AEA">
            <w:pPr>
              <w:widowControl/>
              <w:spacing w:line="240" w:lineRule="auto"/>
              <w:jc w:val="center"/>
              <w:rPr>
                <w:rFonts w:hint="eastAsia" w:ascii="宋体" w:hAnsi="宋体"/>
                <w:color w:val="auto"/>
                <w:kern w:val="0"/>
                <w:sz w:val="24"/>
              </w:rPr>
            </w:pPr>
            <w:r>
              <w:rPr>
                <w:rFonts w:hint="eastAsia" w:ascii="宋体" w:hAnsi="宋体"/>
                <w:color w:val="auto"/>
                <w:kern w:val="0"/>
                <w:sz w:val="24"/>
              </w:rPr>
              <w:t>8</w:t>
            </w:r>
          </w:p>
        </w:tc>
        <w:tc>
          <w:tcPr>
            <w:tcW w:w="3319" w:type="dxa"/>
            <w:vAlign w:val="top"/>
          </w:tcPr>
          <w:p w14:paraId="7C271E2F">
            <w:pPr>
              <w:spacing w:before="34" w:line="240" w:lineRule="auto"/>
              <w:jc w:val="left"/>
              <w:rPr>
                <w:rFonts w:ascii="宋体" w:hAnsi="宋体"/>
                <w:color w:val="auto"/>
                <w:kern w:val="0"/>
                <w:sz w:val="18"/>
                <w:szCs w:val="18"/>
                <w:lang w:eastAsia="en-US"/>
              </w:rPr>
            </w:pPr>
            <w:r>
              <w:rPr>
                <w:rFonts w:ascii="宋体" w:hAnsi="宋体"/>
                <w:color w:val="auto"/>
                <w:kern w:val="0"/>
                <w:sz w:val="18"/>
                <w:szCs w:val="18"/>
                <w:lang w:eastAsia="en-US"/>
              </w:rPr>
              <w:t>小型</w:t>
            </w:r>
            <w:r>
              <w:rPr>
                <w:rFonts w:hint="eastAsia" w:ascii="宋体" w:hAnsi="宋体"/>
                <w:color w:val="auto"/>
                <w:kern w:val="0"/>
                <w:sz w:val="18"/>
                <w:szCs w:val="18"/>
              </w:rPr>
              <w:t>混凝土</w:t>
            </w:r>
            <w:r>
              <w:rPr>
                <w:rFonts w:ascii="宋体" w:hAnsi="宋体"/>
                <w:color w:val="auto"/>
                <w:kern w:val="0"/>
                <w:sz w:val="18"/>
                <w:szCs w:val="18"/>
                <w:lang w:eastAsia="en-US"/>
              </w:rPr>
              <w:t>搅拌站</w:t>
            </w:r>
          </w:p>
        </w:tc>
        <w:tc>
          <w:tcPr>
            <w:tcW w:w="2265" w:type="dxa"/>
            <w:vAlign w:val="top"/>
          </w:tcPr>
          <w:p w14:paraId="661BEE8D">
            <w:pPr>
              <w:spacing w:before="34" w:line="240" w:lineRule="auto"/>
              <w:ind w:left="273"/>
              <w:jc w:val="left"/>
              <w:rPr>
                <w:rFonts w:ascii="宋体" w:hAnsi="宋体"/>
                <w:color w:val="auto"/>
                <w:kern w:val="0"/>
                <w:sz w:val="18"/>
                <w:szCs w:val="18"/>
                <w:lang w:eastAsia="en-US"/>
              </w:rPr>
            </w:pPr>
            <w:r>
              <w:rPr>
                <w:rFonts w:ascii="宋体" w:hAnsi="宋体"/>
                <w:color w:val="auto"/>
                <w:kern w:val="0"/>
                <w:sz w:val="18"/>
                <w:szCs w:val="18"/>
                <w:lang w:eastAsia="en-US"/>
              </w:rPr>
              <w:t>强制拌和，</w:t>
            </w:r>
            <w:r>
              <w:rPr>
                <w:rFonts w:hint="eastAsia"/>
                <w:color w:val="auto"/>
                <w:kern w:val="0"/>
                <w:sz w:val="18"/>
                <w:szCs w:val="18"/>
              </w:rPr>
              <w:t>10</w:t>
            </w:r>
            <w:r>
              <w:rPr>
                <w:rFonts w:eastAsia="Times New Roman"/>
                <w:color w:val="auto"/>
                <w:kern w:val="0"/>
                <w:sz w:val="18"/>
                <w:szCs w:val="18"/>
                <w:lang w:eastAsia="en-US"/>
              </w:rPr>
              <w:t>m³/h</w:t>
            </w:r>
          </w:p>
        </w:tc>
        <w:tc>
          <w:tcPr>
            <w:tcW w:w="813" w:type="dxa"/>
            <w:vAlign w:val="top"/>
          </w:tcPr>
          <w:p w14:paraId="5B42105B">
            <w:pPr>
              <w:spacing w:before="34" w:line="240" w:lineRule="auto"/>
              <w:jc w:val="center"/>
              <w:rPr>
                <w:rFonts w:ascii="宋体" w:hAnsi="宋体"/>
                <w:color w:val="auto"/>
                <w:kern w:val="0"/>
                <w:sz w:val="18"/>
                <w:szCs w:val="18"/>
                <w:lang w:eastAsia="en-US"/>
              </w:rPr>
            </w:pPr>
            <w:r>
              <w:rPr>
                <w:rFonts w:ascii="宋体" w:hAnsi="宋体"/>
                <w:color w:val="auto"/>
                <w:kern w:val="0"/>
                <w:sz w:val="18"/>
                <w:szCs w:val="18"/>
                <w:lang w:eastAsia="en-US"/>
              </w:rPr>
              <w:t>座</w:t>
            </w:r>
          </w:p>
        </w:tc>
        <w:tc>
          <w:tcPr>
            <w:tcW w:w="1947" w:type="dxa"/>
            <w:vAlign w:val="top"/>
          </w:tcPr>
          <w:p w14:paraId="067DC125">
            <w:pPr>
              <w:spacing w:before="72" w:line="240" w:lineRule="auto"/>
              <w:ind w:left="356"/>
              <w:jc w:val="center"/>
              <w:rPr>
                <w:rFonts w:hint="eastAsia" w:eastAsia="Times New Roman"/>
                <w:color w:val="auto"/>
                <w:kern w:val="0"/>
                <w:sz w:val="18"/>
                <w:szCs w:val="18"/>
                <w:lang w:eastAsia="en-US"/>
              </w:rPr>
            </w:pPr>
          </w:p>
        </w:tc>
      </w:tr>
      <w:tr w14:paraId="5503D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66" w:type="dxa"/>
            <w:vAlign w:val="center"/>
          </w:tcPr>
          <w:p w14:paraId="031016A3">
            <w:pPr>
              <w:widowControl/>
              <w:spacing w:line="240" w:lineRule="auto"/>
              <w:jc w:val="center"/>
              <w:rPr>
                <w:rFonts w:hint="eastAsia" w:ascii="宋体" w:hAnsi="宋体"/>
                <w:color w:val="auto"/>
                <w:kern w:val="0"/>
                <w:sz w:val="24"/>
              </w:rPr>
            </w:pPr>
            <w:r>
              <w:rPr>
                <w:rFonts w:hint="eastAsia" w:ascii="宋体" w:hAnsi="宋体"/>
                <w:color w:val="auto"/>
                <w:kern w:val="0"/>
                <w:sz w:val="24"/>
              </w:rPr>
              <w:t>9</w:t>
            </w:r>
          </w:p>
        </w:tc>
        <w:tc>
          <w:tcPr>
            <w:tcW w:w="3319" w:type="dxa"/>
            <w:vAlign w:val="center"/>
          </w:tcPr>
          <w:p w14:paraId="03C5F5F1">
            <w:pPr>
              <w:widowControl/>
              <w:spacing w:line="240" w:lineRule="auto"/>
              <w:jc w:val="left"/>
              <w:rPr>
                <w:rFonts w:hint="eastAsia" w:ascii="宋体" w:hAnsi="宋体"/>
                <w:color w:val="auto"/>
                <w:kern w:val="0"/>
                <w:sz w:val="18"/>
                <w:szCs w:val="18"/>
              </w:rPr>
            </w:pPr>
            <w:r>
              <w:rPr>
                <w:rFonts w:hint="eastAsia" w:ascii="宋体" w:hAnsi="宋体"/>
                <w:color w:val="auto"/>
                <w:kern w:val="0"/>
                <w:sz w:val="18"/>
                <w:szCs w:val="18"/>
              </w:rPr>
              <w:t>热熔标线设备</w:t>
            </w:r>
          </w:p>
        </w:tc>
        <w:tc>
          <w:tcPr>
            <w:tcW w:w="2265" w:type="dxa"/>
            <w:vAlign w:val="center"/>
          </w:tcPr>
          <w:p w14:paraId="3149CACF">
            <w:pPr>
              <w:widowControl/>
              <w:spacing w:line="240" w:lineRule="auto"/>
              <w:jc w:val="center"/>
              <w:rPr>
                <w:color w:val="auto"/>
                <w:kern w:val="0"/>
                <w:sz w:val="18"/>
                <w:szCs w:val="18"/>
              </w:rPr>
            </w:pPr>
            <w:r>
              <w:rPr>
                <w:color w:val="auto"/>
                <w:kern w:val="0"/>
                <w:sz w:val="18"/>
                <w:szCs w:val="18"/>
              </w:rPr>
              <w:t>　</w:t>
            </w:r>
          </w:p>
        </w:tc>
        <w:tc>
          <w:tcPr>
            <w:tcW w:w="813" w:type="dxa"/>
            <w:vAlign w:val="center"/>
          </w:tcPr>
          <w:p w14:paraId="5E05B088">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台</w:t>
            </w:r>
          </w:p>
        </w:tc>
        <w:tc>
          <w:tcPr>
            <w:tcW w:w="1947" w:type="dxa"/>
            <w:vAlign w:val="center"/>
          </w:tcPr>
          <w:p w14:paraId="69305F4B">
            <w:pPr>
              <w:widowControl/>
              <w:spacing w:line="240" w:lineRule="auto"/>
              <w:jc w:val="center"/>
              <w:rPr>
                <w:rFonts w:hint="eastAsia"/>
                <w:color w:val="auto"/>
                <w:kern w:val="0"/>
                <w:sz w:val="18"/>
                <w:szCs w:val="18"/>
              </w:rPr>
            </w:pPr>
          </w:p>
        </w:tc>
      </w:tr>
      <w:tr w14:paraId="6F93A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66" w:type="dxa"/>
            <w:vAlign w:val="center"/>
          </w:tcPr>
          <w:p w14:paraId="4B39BD54">
            <w:pPr>
              <w:widowControl/>
              <w:spacing w:line="240" w:lineRule="auto"/>
              <w:jc w:val="center"/>
              <w:rPr>
                <w:rFonts w:hint="eastAsia" w:ascii="宋体" w:hAnsi="宋体"/>
                <w:color w:val="auto"/>
                <w:kern w:val="0"/>
                <w:sz w:val="24"/>
              </w:rPr>
            </w:pPr>
            <w:r>
              <w:rPr>
                <w:rFonts w:hint="eastAsia" w:ascii="宋体" w:hAnsi="宋体"/>
                <w:color w:val="auto"/>
                <w:kern w:val="0"/>
                <w:sz w:val="24"/>
              </w:rPr>
              <w:t>10</w:t>
            </w:r>
          </w:p>
        </w:tc>
        <w:tc>
          <w:tcPr>
            <w:tcW w:w="3319" w:type="dxa"/>
            <w:vAlign w:val="center"/>
          </w:tcPr>
          <w:p w14:paraId="3D1A2F9C">
            <w:pPr>
              <w:widowControl/>
              <w:spacing w:line="240" w:lineRule="auto"/>
              <w:jc w:val="left"/>
              <w:rPr>
                <w:rFonts w:hint="eastAsia" w:ascii="宋体" w:hAnsi="宋体"/>
                <w:color w:val="auto"/>
                <w:kern w:val="0"/>
                <w:sz w:val="18"/>
                <w:szCs w:val="18"/>
              </w:rPr>
            </w:pPr>
            <w:r>
              <w:rPr>
                <w:rFonts w:hint="eastAsia" w:ascii="宋体" w:hAnsi="宋体"/>
                <w:color w:val="auto"/>
                <w:kern w:val="0"/>
                <w:sz w:val="18"/>
                <w:szCs w:val="18"/>
              </w:rPr>
              <w:t>凸起振动标线机</w:t>
            </w:r>
          </w:p>
        </w:tc>
        <w:tc>
          <w:tcPr>
            <w:tcW w:w="2265" w:type="dxa"/>
            <w:vAlign w:val="center"/>
          </w:tcPr>
          <w:p w14:paraId="2CEA85DE">
            <w:pPr>
              <w:widowControl/>
              <w:spacing w:line="240" w:lineRule="auto"/>
              <w:jc w:val="center"/>
              <w:rPr>
                <w:color w:val="auto"/>
                <w:kern w:val="0"/>
                <w:sz w:val="18"/>
                <w:szCs w:val="18"/>
              </w:rPr>
            </w:pPr>
            <w:r>
              <w:rPr>
                <w:color w:val="auto"/>
                <w:kern w:val="0"/>
                <w:sz w:val="18"/>
                <w:szCs w:val="18"/>
              </w:rPr>
              <w:t>　</w:t>
            </w:r>
          </w:p>
        </w:tc>
        <w:tc>
          <w:tcPr>
            <w:tcW w:w="813" w:type="dxa"/>
            <w:vAlign w:val="center"/>
          </w:tcPr>
          <w:p w14:paraId="48AC9D4F">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台</w:t>
            </w:r>
          </w:p>
        </w:tc>
        <w:tc>
          <w:tcPr>
            <w:tcW w:w="1947" w:type="dxa"/>
            <w:vAlign w:val="center"/>
          </w:tcPr>
          <w:p w14:paraId="2D5DA2DB">
            <w:pPr>
              <w:widowControl/>
              <w:spacing w:line="240" w:lineRule="auto"/>
              <w:jc w:val="center"/>
              <w:rPr>
                <w:rFonts w:hint="eastAsia"/>
                <w:color w:val="auto"/>
                <w:kern w:val="0"/>
                <w:sz w:val="18"/>
                <w:szCs w:val="18"/>
              </w:rPr>
            </w:pPr>
          </w:p>
        </w:tc>
      </w:tr>
      <w:tr w14:paraId="4ADDC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066" w:type="dxa"/>
            <w:vAlign w:val="center"/>
          </w:tcPr>
          <w:p w14:paraId="27BA44B2">
            <w:pPr>
              <w:widowControl/>
              <w:spacing w:line="240" w:lineRule="auto"/>
              <w:jc w:val="center"/>
              <w:rPr>
                <w:rFonts w:hint="eastAsia" w:ascii="宋体" w:hAnsi="宋体"/>
                <w:color w:val="auto"/>
                <w:kern w:val="0"/>
                <w:sz w:val="24"/>
              </w:rPr>
            </w:pPr>
            <w:r>
              <w:rPr>
                <w:rFonts w:hint="eastAsia" w:ascii="宋体" w:hAnsi="宋体"/>
                <w:color w:val="auto"/>
                <w:kern w:val="0"/>
                <w:sz w:val="24"/>
              </w:rPr>
              <w:t>11</w:t>
            </w:r>
          </w:p>
        </w:tc>
        <w:tc>
          <w:tcPr>
            <w:tcW w:w="3319" w:type="dxa"/>
            <w:vAlign w:val="center"/>
          </w:tcPr>
          <w:p w14:paraId="6C1E166C">
            <w:pPr>
              <w:widowControl/>
              <w:spacing w:line="240" w:lineRule="auto"/>
              <w:jc w:val="left"/>
              <w:rPr>
                <w:rFonts w:hint="eastAsia" w:ascii="宋体" w:hAnsi="宋体"/>
                <w:color w:val="auto"/>
                <w:kern w:val="0"/>
                <w:sz w:val="18"/>
                <w:szCs w:val="18"/>
              </w:rPr>
            </w:pPr>
            <w:r>
              <w:rPr>
                <w:rFonts w:hint="eastAsia" w:ascii="宋体" w:hAnsi="宋体"/>
                <w:color w:val="auto"/>
                <w:kern w:val="0"/>
                <w:sz w:val="18"/>
                <w:szCs w:val="18"/>
              </w:rPr>
              <w:t>护栏打桩机</w:t>
            </w:r>
          </w:p>
        </w:tc>
        <w:tc>
          <w:tcPr>
            <w:tcW w:w="2265" w:type="dxa"/>
            <w:vAlign w:val="center"/>
          </w:tcPr>
          <w:p w14:paraId="51550476">
            <w:pPr>
              <w:widowControl/>
              <w:spacing w:line="240" w:lineRule="auto"/>
              <w:jc w:val="center"/>
              <w:rPr>
                <w:rFonts w:hint="eastAsia"/>
                <w:color w:val="auto"/>
                <w:kern w:val="0"/>
                <w:sz w:val="18"/>
                <w:szCs w:val="18"/>
              </w:rPr>
            </w:pPr>
          </w:p>
        </w:tc>
        <w:tc>
          <w:tcPr>
            <w:tcW w:w="813" w:type="dxa"/>
            <w:vAlign w:val="center"/>
          </w:tcPr>
          <w:p w14:paraId="00B92562">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台</w:t>
            </w:r>
          </w:p>
        </w:tc>
        <w:tc>
          <w:tcPr>
            <w:tcW w:w="1947" w:type="dxa"/>
            <w:vAlign w:val="center"/>
          </w:tcPr>
          <w:p w14:paraId="68F58FA0">
            <w:pPr>
              <w:widowControl/>
              <w:spacing w:line="240" w:lineRule="auto"/>
              <w:jc w:val="center"/>
              <w:rPr>
                <w:rFonts w:hint="eastAsia"/>
                <w:color w:val="auto"/>
                <w:kern w:val="0"/>
                <w:sz w:val="18"/>
                <w:szCs w:val="18"/>
              </w:rPr>
            </w:pPr>
          </w:p>
        </w:tc>
      </w:tr>
      <w:tr w14:paraId="7F0A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66" w:type="dxa"/>
            <w:vAlign w:val="center"/>
          </w:tcPr>
          <w:p w14:paraId="0D30B848">
            <w:pPr>
              <w:widowControl/>
              <w:spacing w:line="240" w:lineRule="auto"/>
              <w:jc w:val="center"/>
              <w:rPr>
                <w:rFonts w:hint="eastAsia" w:ascii="宋体" w:hAnsi="宋体"/>
                <w:color w:val="auto"/>
                <w:kern w:val="0"/>
                <w:sz w:val="24"/>
              </w:rPr>
            </w:pPr>
            <w:r>
              <w:rPr>
                <w:rFonts w:hint="eastAsia" w:ascii="宋体" w:hAnsi="宋体"/>
                <w:color w:val="auto"/>
                <w:kern w:val="0"/>
                <w:sz w:val="24"/>
              </w:rPr>
              <w:t>12</w:t>
            </w:r>
          </w:p>
        </w:tc>
        <w:tc>
          <w:tcPr>
            <w:tcW w:w="3319" w:type="dxa"/>
            <w:vAlign w:val="center"/>
          </w:tcPr>
          <w:p w14:paraId="5EA9C6BC">
            <w:pPr>
              <w:widowControl/>
              <w:spacing w:line="240" w:lineRule="auto"/>
              <w:jc w:val="left"/>
              <w:rPr>
                <w:rFonts w:hint="eastAsia" w:ascii="宋体" w:hAnsi="宋体"/>
                <w:color w:val="auto"/>
                <w:kern w:val="0"/>
                <w:sz w:val="18"/>
                <w:szCs w:val="18"/>
              </w:rPr>
            </w:pPr>
            <w:r>
              <w:rPr>
                <w:rFonts w:hint="eastAsia" w:ascii="宋体" w:hAnsi="宋体"/>
                <w:color w:val="auto"/>
                <w:kern w:val="0"/>
                <w:sz w:val="18"/>
                <w:szCs w:val="18"/>
              </w:rPr>
              <w:t>护栏拔桩机</w:t>
            </w:r>
          </w:p>
        </w:tc>
        <w:tc>
          <w:tcPr>
            <w:tcW w:w="2265" w:type="dxa"/>
            <w:vAlign w:val="center"/>
          </w:tcPr>
          <w:p w14:paraId="01BEEB69">
            <w:pPr>
              <w:widowControl/>
              <w:spacing w:line="240" w:lineRule="auto"/>
              <w:jc w:val="center"/>
              <w:rPr>
                <w:rFonts w:hint="eastAsia" w:ascii="宋体" w:hAnsi="宋体"/>
                <w:color w:val="auto"/>
                <w:kern w:val="0"/>
                <w:sz w:val="18"/>
                <w:szCs w:val="18"/>
              </w:rPr>
            </w:pPr>
          </w:p>
        </w:tc>
        <w:tc>
          <w:tcPr>
            <w:tcW w:w="813" w:type="dxa"/>
            <w:vAlign w:val="center"/>
          </w:tcPr>
          <w:p w14:paraId="5C52ED55">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台</w:t>
            </w:r>
          </w:p>
        </w:tc>
        <w:tc>
          <w:tcPr>
            <w:tcW w:w="1947" w:type="dxa"/>
            <w:vAlign w:val="center"/>
          </w:tcPr>
          <w:p w14:paraId="7F6F5888">
            <w:pPr>
              <w:widowControl/>
              <w:spacing w:line="240" w:lineRule="auto"/>
              <w:jc w:val="center"/>
              <w:rPr>
                <w:rFonts w:hint="eastAsia"/>
                <w:color w:val="auto"/>
                <w:kern w:val="0"/>
                <w:sz w:val="18"/>
                <w:szCs w:val="18"/>
              </w:rPr>
            </w:pPr>
          </w:p>
        </w:tc>
      </w:tr>
      <w:tr w14:paraId="7FA93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66" w:type="dxa"/>
            <w:vAlign w:val="center"/>
          </w:tcPr>
          <w:p w14:paraId="4D3CA9B1">
            <w:pPr>
              <w:widowControl/>
              <w:spacing w:line="240" w:lineRule="auto"/>
              <w:jc w:val="center"/>
              <w:rPr>
                <w:rFonts w:hint="eastAsia" w:ascii="宋体" w:hAnsi="宋体"/>
                <w:color w:val="auto"/>
                <w:kern w:val="0"/>
                <w:sz w:val="24"/>
              </w:rPr>
            </w:pPr>
            <w:r>
              <w:rPr>
                <w:rFonts w:hint="eastAsia" w:ascii="宋体" w:hAnsi="宋体"/>
                <w:color w:val="auto"/>
                <w:kern w:val="0"/>
                <w:sz w:val="24"/>
              </w:rPr>
              <w:t>13</w:t>
            </w:r>
          </w:p>
        </w:tc>
        <w:tc>
          <w:tcPr>
            <w:tcW w:w="3319" w:type="dxa"/>
            <w:vAlign w:val="center"/>
          </w:tcPr>
          <w:p w14:paraId="5D20B58B">
            <w:pPr>
              <w:widowControl/>
              <w:spacing w:line="240" w:lineRule="auto"/>
              <w:jc w:val="left"/>
              <w:rPr>
                <w:rFonts w:hint="eastAsia" w:ascii="宋体" w:hAnsi="宋体"/>
                <w:color w:val="auto"/>
                <w:kern w:val="0"/>
                <w:sz w:val="18"/>
                <w:szCs w:val="18"/>
              </w:rPr>
            </w:pPr>
            <w:r>
              <w:rPr>
                <w:rFonts w:hint="eastAsia" w:ascii="宋体" w:hAnsi="宋体"/>
                <w:color w:val="auto"/>
                <w:kern w:val="0"/>
                <w:sz w:val="18"/>
                <w:szCs w:val="18"/>
              </w:rPr>
              <w:t>自卸汽车( T138, SX360 )</w:t>
            </w:r>
          </w:p>
        </w:tc>
        <w:tc>
          <w:tcPr>
            <w:tcW w:w="2265" w:type="dxa"/>
            <w:vAlign w:val="center"/>
          </w:tcPr>
          <w:p w14:paraId="20CD4A70">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装载质量12t以内</w:t>
            </w:r>
          </w:p>
        </w:tc>
        <w:tc>
          <w:tcPr>
            <w:tcW w:w="813" w:type="dxa"/>
            <w:vAlign w:val="center"/>
          </w:tcPr>
          <w:p w14:paraId="50B26092">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辆</w:t>
            </w:r>
          </w:p>
        </w:tc>
        <w:tc>
          <w:tcPr>
            <w:tcW w:w="1947" w:type="dxa"/>
            <w:vAlign w:val="center"/>
          </w:tcPr>
          <w:p w14:paraId="00BD1B51">
            <w:pPr>
              <w:widowControl/>
              <w:spacing w:line="240" w:lineRule="auto"/>
              <w:jc w:val="center"/>
              <w:rPr>
                <w:rFonts w:hint="eastAsia"/>
                <w:color w:val="auto"/>
                <w:kern w:val="0"/>
                <w:sz w:val="18"/>
                <w:szCs w:val="18"/>
              </w:rPr>
            </w:pPr>
          </w:p>
        </w:tc>
      </w:tr>
      <w:tr w14:paraId="06687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66" w:type="dxa"/>
            <w:vAlign w:val="center"/>
          </w:tcPr>
          <w:p w14:paraId="0D790833">
            <w:pPr>
              <w:widowControl/>
              <w:spacing w:line="240" w:lineRule="auto"/>
              <w:jc w:val="center"/>
              <w:rPr>
                <w:rFonts w:hint="eastAsia" w:ascii="宋体" w:hAnsi="宋体"/>
                <w:color w:val="auto"/>
                <w:kern w:val="0"/>
                <w:sz w:val="24"/>
              </w:rPr>
            </w:pPr>
            <w:r>
              <w:rPr>
                <w:rFonts w:hint="eastAsia" w:ascii="宋体" w:hAnsi="宋体"/>
                <w:color w:val="auto"/>
                <w:kern w:val="0"/>
                <w:sz w:val="24"/>
              </w:rPr>
              <w:t>14</w:t>
            </w:r>
          </w:p>
        </w:tc>
        <w:tc>
          <w:tcPr>
            <w:tcW w:w="3319" w:type="dxa"/>
            <w:vAlign w:val="center"/>
          </w:tcPr>
          <w:p w14:paraId="64059542">
            <w:pPr>
              <w:widowControl/>
              <w:spacing w:line="240" w:lineRule="auto"/>
              <w:jc w:val="left"/>
              <w:rPr>
                <w:rFonts w:hint="eastAsia" w:ascii="宋体" w:hAnsi="宋体"/>
                <w:color w:val="auto"/>
                <w:kern w:val="0"/>
                <w:sz w:val="18"/>
                <w:szCs w:val="18"/>
              </w:rPr>
            </w:pPr>
            <w:r>
              <w:rPr>
                <w:rFonts w:hint="eastAsia" w:ascii="宋体" w:hAnsi="宋体"/>
                <w:color w:val="auto"/>
                <w:kern w:val="0"/>
                <w:sz w:val="18"/>
                <w:szCs w:val="18"/>
              </w:rPr>
              <w:t>洒水汽车( YGJ51 02GSSEQ)</w:t>
            </w:r>
          </w:p>
        </w:tc>
        <w:tc>
          <w:tcPr>
            <w:tcW w:w="2265" w:type="dxa"/>
            <w:vAlign w:val="center"/>
          </w:tcPr>
          <w:p w14:paraId="553182FF">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容量6000L以内</w:t>
            </w:r>
          </w:p>
        </w:tc>
        <w:tc>
          <w:tcPr>
            <w:tcW w:w="813" w:type="dxa"/>
            <w:vAlign w:val="center"/>
          </w:tcPr>
          <w:p w14:paraId="322201BC">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辆</w:t>
            </w:r>
          </w:p>
        </w:tc>
        <w:tc>
          <w:tcPr>
            <w:tcW w:w="1947" w:type="dxa"/>
            <w:vAlign w:val="center"/>
          </w:tcPr>
          <w:p w14:paraId="3D62E533">
            <w:pPr>
              <w:widowControl/>
              <w:spacing w:line="240" w:lineRule="auto"/>
              <w:jc w:val="center"/>
              <w:rPr>
                <w:rFonts w:hint="eastAsia"/>
                <w:color w:val="auto"/>
                <w:kern w:val="0"/>
                <w:sz w:val="18"/>
                <w:szCs w:val="18"/>
              </w:rPr>
            </w:pPr>
          </w:p>
        </w:tc>
      </w:tr>
      <w:tr w14:paraId="043A7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66" w:type="dxa"/>
            <w:vAlign w:val="center"/>
          </w:tcPr>
          <w:p w14:paraId="1EC6C5F9">
            <w:pPr>
              <w:widowControl/>
              <w:spacing w:line="240" w:lineRule="auto"/>
              <w:jc w:val="center"/>
              <w:rPr>
                <w:rFonts w:hint="eastAsia" w:ascii="宋体" w:hAnsi="宋体"/>
                <w:color w:val="auto"/>
                <w:kern w:val="0"/>
                <w:sz w:val="24"/>
              </w:rPr>
            </w:pPr>
            <w:r>
              <w:rPr>
                <w:rFonts w:hint="eastAsia" w:ascii="宋体" w:hAnsi="宋体"/>
                <w:color w:val="auto"/>
                <w:kern w:val="0"/>
                <w:sz w:val="24"/>
              </w:rPr>
              <w:t>15</w:t>
            </w:r>
          </w:p>
        </w:tc>
        <w:tc>
          <w:tcPr>
            <w:tcW w:w="3319" w:type="dxa"/>
            <w:vAlign w:val="center"/>
          </w:tcPr>
          <w:p w14:paraId="68434131">
            <w:pPr>
              <w:widowControl/>
              <w:spacing w:line="240" w:lineRule="auto"/>
              <w:jc w:val="left"/>
              <w:rPr>
                <w:rFonts w:hint="eastAsia" w:ascii="宋体" w:hAnsi="宋体"/>
                <w:color w:val="auto"/>
                <w:kern w:val="0"/>
                <w:sz w:val="18"/>
                <w:szCs w:val="18"/>
              </w:rPr>
            </w:pPr>
            <w:r>
              <w:rPr>
                <w:rFonts w:hint="eastAsia" w:ascii="宋体" w:hAnsi="宋体"/>
                <w:color w:val="auto"/>
                <w:kern w:val="0"/>
                <w:sz w:val="18"/>
                <w:szCs w:val="18"/>
              </w:rPr>
              <w:t>路面铣刨机</w:t>
            </w:r>
          </w:p>
        </w:tc>
        <w:tc>
          <w:tcPr>
            <w:tcW w:w="2265" w:type="dxa"/>
            <w:vAlign w:val="center"/>
          </w:tcPr>
          <w:p w14:paraId="735AC949">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铣刨宽度</w:t>
            </w:r>
            <w:r>
              <w:rPr>
                <w:rFonts w:hint="eastAsia"/>
                <w:color w:val="auto"/>
                <w:kern w:val="0"/>
                <w:sz w:val="18"/>
                <w:szCs w:val="18"/>
              </w:rPr>
              <w:t>2000</w:t>
            </w:r>
            <w:r>
              <w:rPr>
                <w:color w:val="auto"/>
                <w:kern w:val="0"/>
                <w:sz w:val="18"/>
                <w:szCs w:val="18"/>
              </w:rPr>
              <w:t>mm</w:t>
            </w:r>
            <w:r>
              <w:rPr>
                <w:rFonts w:hint="eastAsia" w:ascii="宋体" w:hAnsi="宋体"/>
                <w:color w:val="auto"/>
                <w:kern w:val="0"/>
                <w:sz w:val="18"/>
                <w:szCs w:val="18"/>
              </w:rPr>
              <w:t>以内</w:t>
            </w:r>
          </w:p>
        </w:tc>
        <w:tc>
          <w:tcPr>
            <w:tcW w:w="813" w:type="dxa"/>
            <w:vAlign w:val="center"/>
          </w:tcPr>
          <w:p w14:paraId="6C265D91">
            <w:pPr>
              <w:widowControl/>
              <w:spacing w:line="240" w:lineRule="auto"/>
              <w:jc w:val="center"/>
              <w:rPr>
                <w:rFonts w:hint="eastAsia" w:ascii="宋体" w:hAnsi="宋体"/>
                <w:color w:val="auto"/>
                <w:kern w:val="0"/>
                <w:sz w:val="18"/>
                <w:szCs w:val="18"/>
              </w:rPr>
            </w:pPr>
            <w:r>
              <w:rPr>
                <w:rFonts w:hint="eastAsia" w:ascii="宋体" w:hAnsi="宋体"/>
                <w:color w:val="auto"/>
                <w:kern w:val="0"/>
                <w:sz w:val="18"/>
                <w:szCs w:val="18"/>
              </w:rPr>
              <w:t>辆</w:t>
            </w:r>
          </w:p>
        </w:tc>
        <w:tc>
          <w:tcPr>
            <w:tcW w:w="1947" w:type="dxa"/>
            <w:vAlign w:val="center"/>
          </w:tcPr>
          <w:p w14:paraId="57939A46">
            <w:pPr>
              <w:widowControl/>
              <w:spacing w:line="240" w:lineRule="auto"/>
              <w:jc w:val="center"/>
              <w:rPr>
                <w:rFonts w:hint="eastAsia"/>
                <w:color w:val="auto"/>
                <w:kern w:val="0"/>
                <w:sz w:val="18"/>
                <w:szCs w:val="18"/>
              </w:rPr>
            </w:pPr>
          </w:p>
        </w:tc>
      </w:tr>
    </w:tbl>
    <w:p w14:paraId="16C8E261">
      <w:pPr>
        <w:spacing w:line="240" w:lineRule="auto"/>
        <w:ind w:firstLine="402" w:firstLineChars="200"/>
        <w:rPr>
          <w:rFonts w:ascii="黑体" w:hAnsi="黑体" w:eastAsia="黑体"/>
          <w:b/>
          <w:bCs/>
          <w:color w:val="auto"/>
          <w:sz w:val="20"/>
          <w:szCs w:val="20"/>
        </w:rPr>
      </w:pPr>
    </w:p>
    <w:p w14:paraId="3274E014">
      <w:pPr>
        <w:spacing w:line="240" w:lineRule="auto"/>
        <w:ind w:firstLine="428" w:firstLineChars="200"/>
        <w:rPr>
          <w:rFonts w:hint="eastAsia"/>
          <w:color w:val="auto"/>
          <w:spacing w:val="2"/>
        </w:rPr>
      </w:pPr>
      <w:r>
        <w:rPr>
          <w:rFonts w:hint="eastAsia"/>
          <w:color w:val="auto"/>
          <w:spacing w:val="2"/>
        </w:rPr>
        <w:t>备</w:t>
      </w:r>
      <w:r>
        <w:rPr>
          <w:color w:val="auto"/>
          <w:spacing w:val="2"/>
        </w:rPr>
        <w:t>注：招标人将在发出中标通知书之前要求中标人按照本表的最低要求填报为本标段配备的主要设</w:t>
      </w:r>
      <w:r>
        <w:rPr>
          <w:color w:val="auto"/>
        </w:rPr>
        <w:t>备，在经招标人审批后作为投入本标段的主要设备且不允许更换。</w:t>
      </w:r>
    </w:p>
    <w:p w14:paraId="4B9DAD48">
      <w:pPr>
        <w:spacing w:line="240" w:lineRule="auto"/>
        <w:rPr>
          <w:rFonts w:hint="eastAsia"/>
          <w:color w:val="auto"/>
          <w:sz w:val="20"/>
          <w:szCs w:val="22"/>
        </w:rPr>
      </w:pPr>
      <w:r>
        <w:rPr>
          <w:rFonts w:hint="eastAsia"/>
          <w:color w:val="auto"/>
          <w:sz w:val="20"/>
          <w:szCs w:val="22"/>
        </w:rPr>
        <w:t xml:space="preserve"> </w:t>
      </w:r>
    </w:p>
    <w:p w14:paraId="636A1C05">
      <w:pPr>
        <w:spacing w:line="240" w:lineRule="auto"/>
        <w:rPr>
          <w:rFonts w:ascii="Calibri" w:hAnsi="Calibri"/>
          <w:color w:val="auto"/>
          <w:szCs w:val="22"/>
        </w:rPr>
      </w:pPr>
    </w:p>
    <w:p w14:paraId="7FE3D767">
      <w:pPr>
        <w:pStyle w:val="5"/>
        <w:spacing w:line="240" w:lineRule="auto"/>
        <w:jc w:val="center"/>
        <w:rPr>
          <w:color w:val="auto"/>
        </w:rPr>
      </w:pPr>
    </w:p>
    <w:p w14:paraId="1C99458D">
      <w:pPr>
        <w:pStyle w:val="5"/>
        <w:spacing w:line="240" w:lineRule="auto"/>
        <w:jc w:val="center"/>
        <w:rPr>
          <w:color w:val="auto"/>
        </w:rPr>
      </w:pPr>
    </w:p>
    <w:p w14:paraId="7DC857DB">
      <w:pPr>
        <w:spacing w:line="240" w:lineRule="auto"/>
        <w:rPr>
          <w:color w:val="auto"/>
        </w:rPr>
      </w:pPr>
    </w:p>
    <w:p w14:paraId="16D4E648">
      <w:pPr>
        <w:spacing w:line="240" w:lineRule="auto"/>
        <w:rPr>
          <w:color w:val="auto"/>
        </w:rPr>
      </w:pPr>
    </w:p>
    <w:p w14:paraId="6ABCBA6E">
      <w:pPr>
        <w:spacing w:line="240" w:lineRule="auto"/>
        <w:rPr>
          <w:color w:val="auto"/>
        </w:rPr>
      </w:pPr>
    </w:p>
    <w:p w14:paraId="2602804F">
      <w:pPr>
        <w:spacing w:line="240" w:lineRule="auto"/>
        <w:rPr>
          <w:color w:val="auto"/>
        </w:rPr>
      </w:pPr>
    </w:p>
    <w:p w14:paraId="19370B1F">
      <w:pPr>
        <w:spacing w:line="240" w:lineRule="auto"/>
        <w:rPr>
          <w:color w:val="auto"/>
        </w:rPr>
      </w:pPr>
    </w:p>
    <w:p w14:paraId="02C0A0DB">
      <w:pPr>
        <w:spacing w:line="240" w:lineRule="auto"/>
        <w:rPr>
          <w:color w:val="auto"/>
        </w:rPr>
      </w:pPr>
    </w:p>
    <w:p w14:paraId="18C9F5D1">
      <w:pPr>
        <w:spacing w:line="240" w:lineRule="auto"/>
        <w:rPr>
          <w:color w:val="auto"/>
        </w:rPr>
      </w:pPr>
    </w:p>
    <w:p w14:paraId="6163EAEE">
      <w:pPr>
        <w:spacing w:line="240" w:lineRule="auto"/>
        <w:rPr>
          <w:color w:val="auto"/>
        </w:rPr>
      </w:pPr>
    </w:p>
    <w:p w14:paraId="650426F7">
      <w:pPr>
        <w:pStyle w:val="5"/>
        <w:spacing w:line="240" w:lineRule="auto"/>
        <w:jc w:val="center"/>
        <w:rPr>
          <w:color w:val="auto"/>
        </w:rPr>
      </w:pPr>
    </w:p>
    <w:p w14:paraId="0E897C72">
      <w:pPr>
        <w:spacing w:line="240" w:lineRule="auto"/>
        <w:rPr>
          <w:color w:val="auto"/>
        </w:rPr>
      </w:pPr>
    </w:p>
    <w:p w14:paraId="779BADC4">
      <w:pPr>
        <w:pStyle w:val="4"/>
        <w:spacing w:line="240" w:lineRule="auto"/>
        <w:rPr>
          <w:rFonts w:hint="eastAsia"/>
          <w:color w:val="auto"/>
        </w:rPr>
      </w:pPr>
    </w:p>
    <w:p w14:paraId="3BAD148D">
      <w:pPr>
        <w:pStyle w:val="4"/>
        <w:spacing w:line="240" w:lineRule="auto"/>
        <w:jc w:val="center"/>
        <w:rPr>
          <w:rFonts w:hint="eastAsia"/>
          <w:color w:val="auto"/>
        </w:rPr>
      </w:pPr>
      <w:bookmarkStart w:id="164" w:name="_Toc26802"/>
      <w:bookmarkEnd w:id="164"/>
      <w:r>
        <w:rPr>
          <w:rFonts w:hint="eastAsia"/>
          <w:color w:val="auto"/>
        </w:rPr>
        <w:t>第六章 图纸</w:t>
      </w:r>
    </w:p>
    <w:p w14:paraId="034D430B">
      <w:pPr>
        <w:spacing w:line="240" w:lineRule="auto"/>
        <w:jc w:val="center"/>
        <w:rPr>
          <w:rFonts w:hint="eastAsia"/>
          <w:b/>
          <w:bCs/>
          <w:color w:val="auto"/>
          <w:sz w:val="44"/>
          <w:szCs w:val="44"/>
        </w:rPr>
      </w:pPr>
    </w:p>
    <w:p w14:paraId="11182A7B">
      <w:pPr>
        <w:spacing w:line="240" w:lineRule="auto"/>
        <w:jc w:val="center"/>
        <w:rPr>
          <w:rFonts w:hint="eastAsia"/>
          <w:b/>
          <w:bCs/>
          <w:color w:val="auto"/>
          <w:sz w:val="44"/>
          <w:szCs w:val="44"/>
        </w:rPr>
      </w:pPr>
    </w:p>
    <w:p w14:paraId="4FBE6D8E">
      <w:pPr>
        <w:spacing w:line="240" w:lineRule="auto"/>
        <w:jc w:val="center"/>
        <w:rPr>
          <w:rFonts w:hint="eastAsia" w:ascii="宋体" w:hAnsi="宋体"/>
          <w:b/>
          <w:bCs/>
          <w:color w:val="auto"/>
          <w:sz w:val="44"/>
          <w:szCs w:val="44"/>
        </w:rPr>
      </w:pPr>
      <w:r>
        <w:rPr>
          <w:rFonts w:hint="eastAsia" w:ascii="宋体" w:hAnsi="宋体"/>
          <w:b/>
          <w:bCs/>
          <w:color w:val="auto"/>
          <w:sz w:val="44"/>
          <w:szCs w:val="44"/>
        </w:rPr>
        <w:t>（另</w:t>
      </w:r>
      <w:r>
        <w:rPr>
          <w:rFonts w:hint="eastAsia" w:ascii="宋体" w:hAnsi="宋体"/>
          <w:b/>
          <w:bCs/>
          <w:color w:val="auto"/>
          <w:sz w:val="44"/>
          <w:szCs w:val="44"/>
        </w:rPr>
        <w:tab/>
      </w:r>
      <w:r>
        <w:rPr>
          <w:rFonts w:hint="eastAsia" w:ascii="宋体" w:hAnsi="宋体"/>
          <w:b/>
          <w:bCs/>
          <w:color w:val="auto"/>
          <w:sz w:val="44"/>
          <w:szCs w:val="44"/>
        </w:rPr>
        <w:t>册）</w:t>
      </w:r>
    </w:p>
    <w:p w14:paraId="6020E7B3">
      <w:pPr>
        <w:spacing w:line="240" w:lineRule="auto"/>
        <w:jc w:val="center"/>
        <w:rPr>
          <w:rFonts w:hint="eastAsia"/>
          <w:b/>
          <w:bCs/>
          <w:color w:val="auto"/>
          <w:sz w:val="44"/>
          <w:szCs w:val="44"/>
        </w:rPr>
      </w:pPr>
    </w:p>
    <w:p w14:paraId="66F4F206">
      <w:pPr>
        <w:spacing w:line="240" w:lineRule="auto"/>
        <w:jc w:val="center"/>
        <w:rPr>
          <w:rFonts w:hint="eastAsia"/>
          <w:b/>
          <w:bCs/>
          <w:color w:val="auto"/>
          <w:sz w:val="44"/>
          <w:szCs w:val="44"/>
        </w:rPr>
      </w:pPr>
    </w:p>
    <w:p w14:paraId="023B0D44">
      <w:pPr>
        <w:spacing w:line="240" w:lineRule="auto"/>
        <w:jc w:val="center"/>
        <w:rPr>
          <w:rFonts w:hint="eastAsia"/>
          <w:b/>
          <w:bCs/>
          <w:color w:val="auto"/>
          <w:sz w:val="44"/>
          <w:szCs w:val="44"/>
        </w:rPr>
      </w:pPr>
    </w:p>
    <w:p w14:paraId="75ECB4D8">
      <w:pPr>
        <w:spacing w:line="240" w:lineRule="auto"/>
        <w:jc w:val="center"/>
        <w:rPr>
          <w:rFonts w:hint="eastAsia"/>
          <w:b/>
          <w:bCs/>
          <w:color w:val="auto"/>
          <w:sz w:val="44"/>
          <w:szCs w:val="44"/>
        </w:rPr>
      </w:pPr>
    </w:p>
    <w:p w14:paraId="6DA3C2AA">
      <w:pPr>
        <w:spacing w:line="240" w:lineRule="auto"/>
        <w:jc w:val="center"/>
        <w:rPr>
          <w:rFonts w:hint="eastAsia"/>
          <w:b/>
          <w:bCs/>
          <w:color w:val="auto"/>
          <w:sz w:val="44"/>
          <w:szCs w:val="44"/>
        </w:rPr>
      </w:pPr>
    </w:p>
    <w:p w14:paraId="1D24F673">
      <w:pPr>
        <w:spacing w:line="240" w:lineRule="auto"/>
        <w:jc w:val="center"/>
        <w:rPr>
          <w:rFonts w:hint="eastAsia"/>
          <w:b/>
          <w:bCs/>
          <w:color w:val="auto"/>
          <w:sz w:val="44"/>
          <w:szCs w:val="44"/>
        </w:rPr>
      </w:pPr>
    </w:p>
    <w:p w14:paraId="1AE1BF88">
      <w:pPr>
        <w:spacing w:line="240" w:lineRule="auto"/>
        <w:jc w:val="center"/>
        <w:rPr>
          <w:rFonts w:hint="eastAsia"/>
          <w:b/>
          <w:bCs/>
          <w:color w:val="auto"/>
          <w:sz w:val="44"/>
          <w:szCs w:val="44"/>
        </w:rPr>
      </w:pPr>
    </w:p>
    <w:p w14:paraId="3691565E">
      <w:pPr>
        <w:spacing w:line="240" w:lineRule="auto"/>
        <w:jc w:val="center"/>
        <w:rPr>
          <w:rFonts w:hint="eastAsia"/>
          <w:b/>
          <w:bCs/>
          <w:color w:val="auto"/>
          <w:sz w:val="44"/>
          <w:szCs w:val="44"/>
        </w:rPr>
      </w:pPr>
    </w:p>
    <w:p w14:paraId="46D7C469">
      <w:pPr>
        <w:spacing w:line="240" w:lineRule="auto"/>
        <w:jc w:val="center"/>
        <w:rPr>
          <w:rFonts w:hint="eastAsia"/>
          <w:b/>
          <w:bCs/>
          <w:color w:val="auto"/>
          <w:sz w:val="44"/>
          <w:szCs w:val="44"/>
        </w:rPr>
      </w:pPr>
    </w:p>
    <w:p w14:paraId="4CA7A765">
      <w:pPr>
        <w:spacing w:line="240" w:lineRule="auto"/>
        <w:jc w:val="center"/>
        <w:rPr>
          <w:rFonts w:hint="eastAsia"/>
          <w:b/>
          <w:bCs/>
          <w:color w:val="auto"/>
          <w:sz w:val="44"/>
          <w:szCs w:val="44"/>
        </w:rPr>
      </w:pPr>
    </w:p>
    <w:p w14:paraId="2497457F">
      <w:pPr>
        <w:spacing w:line="240" w:lineRule="auto"/>
        <w:jc w:val="center"/>
        <w:rPr>
          <w:rFonts w:hint="eastAsia"/>
          <w:b/>
          <w:bCs/>
          <w:color w:val="auto"/>
          <w:sz w:val="44"/>
          <w:szCs w:val="44"/>
        </w:rPr>
      </w:pPr>
    </w:p>
    <w:p w14:paraId="525E73F7">
      <w:pPr>
        <w:spacing w:line="240" w:lineRule="auto"/>
        <w:jc w:val="center"/>
        <w:rPr>
          <w:rFonts w:hint="eastAsia"/>
          <w:b/>
          <w:bCs/>
          <w:color w:val="auto"/>
          <w:sz w:val="44"/>
          <w:szCs w:val="44"/>
        </w:rPr>
      </w:pPr>
    </w:p>
    <w:p w14:paraId="0AD9B81E">
      <w:pPr>
        <w:spacing w:line="240" w:lineRule="auto"/>
        <w:jc w:val="center"/>
        <w:rPr>
          <w:rFonts w:hint="eastAsia"/>
          <w:b/>
          <w:bCs/>
          <w:color w:val="auto"/>
          <w:sz w:val="44"/>
          <w:szCs w:val="44"/>
        </w:rPr>
      </w:pPr>
    </w:p>
    <w:p w14:paraId="16DCB0A6">
      <w:pPr>
        <w:spacing w:line="240" w:lineRule="auto"/>
        <w:jc w:val="center"/>
        <w:rPr>
          <w:rFonts w:hint="eastAsia"/>
          <w:b/>
          <w:bCs/>
          <w:color w:val="auto"/>
          <w:sz w:val="44"/>
          <w:szCs w:val="44"/>
        </w:rPr>
      </w:pPr>
    </w:p>
    <w:p w14:paraId="6D824151">
      <w:pPr>
        <w:spacing w:line="240" w:lineRule="auto"/>
        <w:jc w:val="center"/>
        <w:rPr>
          <w:rFonts w:hint="eastAsia"/>
          <w:b/>
          <w:bCs/>
          <w:color w:val="auto"/>
          <w:sz w:val="44"/>
          <w:szCs w:val="44"/>
        </w:rPr>
      </w:pPr>
    </w:p>
    <w:p w14:paraId="0F81EA9E">
      <w:pPr>
        <w:spacing w:line="240" w:lineRule="auto"/>
        <w:jc w:val="center"/>
        <w:rPr>
          <w:rFonts w:hint="eastAsia"/>
          <w:b/>
          <w:bCs/>
          <w:color w:val="auto"/>
          <w:sz w:val="44"/>
          <w:szCs w:val="44"/>
        </w:rPr>
      </w:pPr>
    </w:p>
    <w:p w14:paraId="511C9D86">
      <w:pPr>
        <w:spacing w:line="240" w:lineRule="auto"/>
        <w:jc w:val="center"/>
        <w:rPr>
          <w:rFonts w:hint="eastAsia"/>
          <w:b/>
          <w:bCs/>
          <w:color w:val="auto"/>
          <w:sz w:val="44"/>
          <w:szCs w:val="44"/>
        </w:rPr>
      </w:pPr>
    </w:p>
    <w:p w14:paraId="6FF858FF">
      <w:pPr>
        <w:spacing w:line="240" w:lineRule="auto"/>
        <w:rPr>
          <w:rFonts w:hint="eastAsia"/>
          <w:b/>
          <w:bCs/>
          <w:color w:val="auto"/>
          <w:sz w:val="44"/>
          <w:szCs w:val="44"/>
        </w:rPr>
      </w:pPr>
    </w:p>
    <w:p w14:paraId="0D1CC965">
      <w:pPr>
        <w:pStyle w:val="4"/>
        <w:spacing w:line="240" w:lineRule="auto"/>
        <w:jc w:val="center"/>
        <w:rPr>
          <w:rFonts w:hint="eastAsia"/>
          <w:color w:val="auto"/>
        </w:rPr>
      </w:pPr>
      <w:bookmarkStart w:id="165" w:name="_Toc27406"/>
      <w:bookmarkEnd w:id="165"/>
      <w:r>
        <w:rPr>
          <w:rFonts w:hint="eastAsia"/>
          <w:color w:val="auto"/>
        </w:rPr>
        <w:t>第七章 技术规范</w:t>
      </w:r>
    </w:p>
    <w:p w14:paraId="603D818F">
      <w:pPr>
        <w:spacing w:line="240" w:lineRule="auto"/>
        <w:jc w:val="center"/>
        <w:rPr>
          <w:rFonts w:hint="eastAsia"/>
          <w:b/>
          <w:bCs/>
          <w:color w:val="auto"/>
          <w:sz w:val="44"/>
          <w:szCs w:val="44"/>
        </w:rPr>
      </w:pPr>
    </w:p>
    <w:p w14:paraId="2CA38DEB">
      <w:pPr>
        <w:spacing w:line="240" w:lineRule="auto"/>
        <w:jc w:val="center"/>
        <w:rPr>
          <w:rFonts w:hint="eastAsia"/>
          <w:b/>
          <w:bCs/>
          <w:color w:val="auto"/>
          <w:sz w:val="44"/>
          <w:szCs w:val="44"/>
        </w:rPr>
      </w:pPr>
    </w:p>
    <w:p w14:paraId="02FAA716">
      <w:pPr>
        <w:spacing w:line="240" w:lineRule="auto"/>
        <w:jc w:val="center"/>
        <w:rPr>
          <w:rFonts w:hint="eastAsia"/>
          <w:b/>
          <w:bCs/>
          <w:color w:val="auto"/>
          <w:sz w:val="44"/>
          <w:szCs w:val="44"/>
        </w:rPr>
      </w:pPr>
    </w:p>
    <w:p w14:paraId="6B64D280">
      <w:pPr>
        <w:spacing w:line="240" w:lineRule="auto"/>
        <w:jc w:val="center"/>
        <w:rPr>
          <w:rFonts w:hint="eastAsia"/>
          <w:b/>
          <w:bCs/>
          <w:color w:val="auto"/>
          <w:sz w:val="44"/>
          <w:szCs w:val="44"/>
        </w:rPr>
      </w:pPr>
    </w:p>
    <w:p w14:paraId="3945A68F">
      <w:pPr>
        <w:spacing w:line="240" w:lineRule="auto"/>
        <w:jc w:val="center"/>
        <w:rPr>
          <w:rFonts w:hint="eastAsia"/>
          <w:b/>
          <w:bCs/>
          <w:color w:val="auto"/>
          <w:sz w:val="44"/>
          <w:szCs w:val="44"/>
        </w:rPr>
      </w:pPr>
    </w:p>
    <w:p w14:paraId="56F38B1D">
      <w:pPr>
        <w:spacing w:line="240" w:lineRule="auto"/>
        <w:jc w:val="center"/>
        <w:rPr>
          <w:rFonts w:hint="eastAsia"/>
          <w:b/>
          <w:bCs/>
          <w:color w:val="auto"/>
          <w:sz w:val="44"/>
          <w:szCs w:val="44"/>
        </w:rPr>
      </w:pPr>
    </w:p>
    <w:p w14:paraId="058B1F24">
      <w:pPr>
        <w:spacing w:line="240" w:lineRule="auto"/>
        <w:jc w:val="center"/>
        <w:rPr>
          <w:rFonts w:hint="eastAsia"/>
          <w:b/>
          <w:bCs/>
          <w:color w:val="auto"/>
          <w:sz w:val="44"/>
          <w:szCs w:val="44"/>
        </w:rPr>
      </w:pPr>
    </w:p>
    <w:p w14:paraId="2ECEDD8C">
      <w:pPr>
        <w:spacing w:line="240" w:lineRule="auto"/>
        <w:jc w:val="center"/>
        <w:rPr>
          <w:rFonts w:hint="eastAsia"/>
          <w:b/>
          <w:bCs/>
          <w:color w:val="auto"/>
          <w:sz w:val="44"/>
          <w:szCs w:val="44"/>
        </w:rPr>
      </w:pPr>
    </w:p>
    <w:p w14:paraId="42578831">
      <w:pPr>
        <w:spacing w:line="240" w:lineRule="auto"/>
        <w:jc w:val="center"/>
        <w:rPr>
          <w:rFonts w:hint="eastAsia"/>
          <w:b/>
          <w:bCs/>
          <w:color w:val="auto"/>
          <w:sz w:val="44"/>
          <w:szCs w:val="44"/>
        </w:rPr>
      </w:pPr>
    </w:p>
    <w:p w14:paraId="692BE770">
      <w:pPr>
        <w:spacing w:line="240" w:lineRule="auto"/>
        <w:jc w:val="center"/>
        <w:rPr>
          <w:rFonts w:hint="eastAsia"/>
          <w:b/>
          <w:bCs/>
          <w:color w:val="auto"/>
          <w:sz w:val="44"/>
          <w:szCs w:val="44"/>
        </w:rPr>
      </w:pPr>
    </w:p>
    <w:p w14:paraId="2908BD56">
      <w:pPr>
        <w:spacing w:line="240" w:lineRule="auto"/>
        <w:jc w:val="center"/>
        <w:rPr>
          <w:rFonts w:hint="eastAsia"/>
          <w:b/>
          <w:bCs/>
          <w:color w:val="auto"/>
          <w:sz w:val="44"/>
          <w:szCs w:val="44"/>
        </w:rPr>
      </w:pPr>
    </w:p>
    <w:p w14:paraId="13CBEB46">
      <w:pPr>
        <w:spacing w:line="240" w:lineRule="auto"/>
        <w:jc w:val="center"/>
        <w:rPr>
          <w:rFonts w:hint="eastAsia"/>
          <w:b/>
          <w:bCs/>
          <w:color w:val="auto"/>
          <w:sz w:val="44"/>
          <w:szCs w:val="44"/>
        </w:rPr>
      </w:pPr>
    </w:p>
    <w:p w14:paraId="1D03D927">
      <w:pPr>
        <w:spacing w:line="240" w:lineRule="auto"/>
        <w:jc w:val="center"/>
        <w:rPr>
          <w:rFonts w:hint="eastAsia"/>
          <w:b/>
          <w:bCs/>
          <w:color w:val="auto"/>
          <w:sz w:val="44"/>
          <w:szCs w:val="44"/>
        </w:rPr>
      </w:pPr>
    </w:p>
    <w:p w14:paraId="04F292F4">
      <w:pPr>
        <w:spacing w:line="240" w:lineRule="auto"/>
        <w:jc w:val="center"/>
        <w:rPr>
          <w:rFonts w:hint="eastAsia"/>
          <w:b/>
          <w:bCs/>
          <w:color w:val="auto"/>
          <w:sz w:val="44"/>
          <w:szCs w:val="44"/>
        </w:rPr>
      </w:pPr>
    </w:p>
    <w:p w14:paraId="3E0C265E">
      <w:pPr>
        <w:spacing w:line="240" w:lineRule="auto"/>
        <w:jc w:val="center"/>
        <w:rPr>
          <w:rFonts w:hint="eastAsia"/>
          <w:b/>
          <w:bCs/>
          <w:color w:val="auto"/>
          <w:sz w:val="44"/>
          <w:szCs w:val="44"/>
        </w:rPr>
      </w:pPr>
    </w:p>
    <w:p w14:paraId="459863C2">
      <w:pPr>
        <w:spacing w:line="240" w:lineRule="auto"/>
        <w:jc w:val="center"/>
        <w:rPr>
          <w:rFonts w:hint="eastAsia"/>
          <w:b/>
          <w:bCs/>
          <w:color w:val="auto"/>
          <w:sz w:val="44"/>
          <w:szCs w:val="44"/>
        </w:rPr>
      </w:pPr>
    </w:p>
    <w:p w14:paraId="00E2F00A">
      <w:pPr>
        <w:spacing w:line="240" w:lineRule="auto"/>
        <w:jc w:val="center"/>
        <w:rPr>
          <w:rFonts w:hint="eastAsia"/>
          <w:b/>
          <w:bCs/>
          <w:color w:val="auto"/>
          <w:sz w:val="44"/>
          <w:szCs w:val="44"/>
        </w:rPr>
      </w:pPr>
    </w:p>
    <w:p w14:paraId="60A7A675">
      <w:pPr>
        <w:spacing w:line="240" w:lineRule="auto"/>
        <w:rPr>
          <w:rFonts w:hint="eastAsia"/>
          <w:b/>
          <w:bCs/>
          <w:color w:val="auto"/>
          <w:sz w:val="44"/>
          <w:szCs w:val="44"/>
        </w:rPr>
      </w:pPr>
      <w:bookmarkStart w:id="166" w:name="_Toc16915"/>
      <w:bookmarkEnd w:id="166"/>
      <w:bookmarkStart w:id="167" w:name="_Toc25928"/>
      <w:bookmarkEnd w:id="167"/>
      <w:bookmarkStart w:id="168" w:name="_Toc26177982"/>
      <w:bookmarkEnd w:id="168"/>
      <w:bookmarkStart w:id="169" w:name="_Toc34838410"/>
      <w:bookmarkEnd w:id="169"/>
      <w:r>
        <w:rPr>
          <w:rFonts w:hint="eastAsia"/>
          <w:b/>
          <w:bCs/>
          <w:color w:val="auto"/>
          <w:sz w:val="44"/>
          <w:szCs w:val="44"/>
        </w:rPr>
        <w:br w:type="page"/>
      </w:r>
      <w:r>
        <w:rPr>
          <w:rFonts w:hint="eastAsia"/>
          <w:b/>
          <w:bCs/>
          <w:color w:val="auto"/>
          <w:sz w:val="44"/>
          <w:szCs w:val="44"/>
        </w:rPr>
        <w:t xml:space="preserve"> </w:t>
      </w:r>
      <w:r>
        <w:rPr>
          <w:rFonts w:ascii="宋体" w:hAnsi="宋体"/>
          <w:b/>
          <w:bCs/>
          <w:color w:val="auto"/>
          <w:szCs w:val="21"/>
        </w:rPr>
        <w:t>1</w:t>
      </w:r>
      <w:r>
        <w:rPr>
          <w:rFonts w:hint="eastAsia" w:ascii="宋体" w:hAnsi="宋体"/>
          <w:b/>
          <w:bCs/>
          <w:color w:val="auto"/>
          <w:szCs w:val="21"/>
        </w:rPr>
        <w:t xml:space="preserve">  材 料</w:t>
      </w:r>
    </w:p>
    <w:p w14:paraId="37DB1C94">
      <w:pPr>
        <w:spacing w:line="240" w:lineRule="auto"/>
        <w:rPr>
          <w:rFonts w:hint="eastAsia" w:ascii="宋体" w:hAnsi="宋体"/>
          <w:color w:val="auto"/>
          <w:szCs w:val="21"/>
        </w:rPr>
      </w:pPr>
      <w:r>
        <w:rPr>
          <w:rFonts w:hint="eastAsia" w:ascii="宋体" w:hAnsi="宋体"/>
          <w:color w:val="auto"/>
          <w:szCs w:val="21"/>
        </w:rPr>
        <w:t xml:space="preserve">  </w:t>
      </w:r>
      <w:r>
        <w:rPr>
          <w:rFonts w:ascii="宋体" w:hAnsi="宋体"/>
          <w:color w:val="auto"/>
          <w:szCs w:val="21"/>
        </w:rPr>
        <w:t>1</w:t>
      </w:r>
      <w:r>
        <w:rPr>
          <w:rFonts w:hint="eastAsia" w:ascii="宋体" w:hAnsi="宋体"/>
          <w:color w:val="auto"/>
          <w:szCs w:val="21"/>
        </w:rPr>
        <w:t xml:space="preserve">.1  </w:t>
      </w:r>
      <w:r>
        <w:rPr>
          <w:rFonts w:ascii="宋体" w:hAnsi="宋体"/>
          <w:color w:val="auto"/>
          <w:szCs w:val="21"/>
        </w:rPr>
        <w:t>路面标线所用</w:t>
      </w:r>
      <w:r>
        <w:rPr>
          <w:rFonts w:hint="eastAsia" w:ascii="宋体" w:hAnsi="宋体"/>
          <w:color w:val="auto"/>
          <w:szCs w:val="21"/>
        </w:rPr>
        <w:t>涂料</w:t>
      </w:r>
      <w:r>
        <w:rPr>
          <w:rFonts w:ascii="宋体" w:hAnsi="宋体"/>
          <w:color w:val="auto"/>
          <w:szCs w:val="21"/>
        </w:rPr>
        <w:t>应符合《路面标线涂料》</w:t>
      </w:r>
      <w:r>
        <w:rPr>
          <w:rFonts w:hint="eastAsia" w:ascii="宋体" w:hAnsi="宋体"/>
          <w:color w:val="auto"/>
          <w:szCs w:val="21"/>
        </w:rPr>
        <w:t>（JT/T 280</w:t>
      </w:r>
      <w:r>
        <w:rPr>
          <w:rFonts w:ascii="宋体" w:hAnsi="宋体"/>
          <w:color w:val="auto"/>
          <w:szCs w:val="21"/>
        </w:rPr>
        <w:t>-2004</w:t>
      </w:r>
      <w:r>
        <w:rPr>
          <w:rFonts w:hint="eastAsia" w:ascii="宋体" w:hAnsi="宋体"/>
          <w:color w:val="auto"/>
          <w:szCs w:val="21"/>
        </w:rPr>
        <w:t>）的规</w:t>
      </w:r>
      <w:r>
        <w:rPr>
          <w:rFonts w:ascii="宋体" w:hAnsi="宋体"/>
          <w:color w:val="auto"/>
          <w:szCs w:val="21"/>
        </w:rPr>
        <w:t>定</w:t>
      </w:r>
      <w:r>
        <w:rPr>
          <w:rFonts w:hint="eastAsia" w:ascii="宋体" w:hAnsi="宋体"/>
          <w:color w:val="auto"/>
          <w:szCs w:val="21"/>
        </w:rPr>
        <w:t>，</w:t>
      </w:r>
      <w:r>
        <w:rPr>
          <w:rFonts w:ascii="宋体" w:hAnsi="宋体"/>
          <w:color w:val="auto"/>
          <w:szCs w:val="21"/>
        </w:rPr>
        <w:t>应能满足在沥青混凝土、水泥混凝土路面上耐久使用的要求</w:t>
      </w:r>
      <w:r>
        <w:rPr>
          <w:rFonts w:hint="eastAsia" w:ascii="宋体" w:hAnsi="宋体"/>
          <w:color w:val="auto"/>
          <w:szCs w:val="21"/>
        </w:rPr>
        <w:t>，</w:t>
      </w:r>
      <w:r>
        <w:rPr>
          <w:rFonts w:ascii="宋体" w:hAnsi="宋体"/>
          <w:color w:val="auto"/>
          <w:szCs w:val="21"/>
        </w:rPr>
        <w:t>且应有合适的施工机械与之配套。</w:t>
      </w:r>
    </w:p>
    <w:p w14:paraId="4894E9B2">
      <w:pPr>
        <w:spacing w:line="240" w:lineRule="auto"/>
        <w:ind w:firstLine="210" w:firstLineChars="100"/>
        <w:rPr>
          <w:rFonts w:ascii="宋体" w:hAnsi="宋体"/>
          <w:color w:val="auto"/>
          <w:szCs w:val="21"/>
        </w:rPr>
      </w:pPr>
      <w:r>
        <w:rPr>
          <w:rFonts w:ascii="宋体" w:hAnsi="宋体"/>
          <w:color w:val="auto"/>
          <w:szCs w:val="21"/>
        </w:rPr>
        <w:t>1</w:t>
      </w:r>
      <w:r>
        <w:rPr>
          <w:rFonts w:hint="eastAsia" w:ascii="宋体" w:hAnsi="宋体"/>
          <w:color w:val="auto"/>
          <w:szCs w:val="21"/>
        </w:rPr>
        <w:t xml:space="preserve">.2 </w:t>
      </w:r>
      <w:r>
        <w:rPr>
          <w:rFonts w:ascii="宋体" w:hAnsi="宋体"/>
          <w:color w:val="auto"/>
          <w:szCs w:val="21"/>
        </w:rPr>
        <w:t>路面标线涂料的色度性能应符合</w:t>
      </w:r>
      <w:r>
        <w:rPr>
          <w:rFonts w:hint="eastAsia" w:ascii="宋体" w:hAnsi="宋体"/>
          <w:color w:val="auto"/>
          <w:szCs w:val="21"/>
        </w:rPr>
        <w:t>《安全色》（GB 2893</w:t>
      </w:r>
      <w:r>
        <w:rPr>
          <w:rFonts w:ascii="宋体" w:hAnsi="宋体"/>
          <w:color w:val="auto"/>
          <w:szCs w:val="21"/>
        </w:rPr>
        <w:t>-2008</w:t>
      </w:r>
      <w:r>
        <w:rPr>
          <w:rFonts w:hint="eastAsia" w:ascii="宋体" w:hAnsi="宋体"/>
          <w:color w:val="auto"/>
          <w:szCs w:val="21"/>
        </w:rPr>
        <w:t>）的</w:t>
      </w:r>
      <w:r>
        <w:rPr>
          <w:rFonts w:ascii="宋体" w:hAnsi="宋体"/>
          <w:color w:val="auto"/>
          <w:szCs w:val="21"/>
        </w:rPr>
        <w:t>要求，其色品坐标应符合《路面标线涂料》（JT/T 280-2004）表6</w:t>
      </w:r>
      <w:r>
        <w:rPr>
          <w:rFonts w:hint="eastAsia" w:ascii="宋体" w:hAnsi="宋体"/>
          <w:color w:val="auto"/>
          <w:szCs w:val="21"/>
        </w:rPr>
        <w:t>和</w:t>
      </w:r>
      <w:r>
        <w:rPr>
          <w:rFonts w:ascii="宋体" w:hAnsi="宋体"/>
          <w:color w:val="auto"/>
          <w:szCs w:val="21"/>
        </w:rPr>
        <w:t>图1中规定的范围。</w:t>
      </w:r>
    </w:p>
    <w:p w14:paraId="3FEB11EB">
      <w:pPr>
        <w:spacing w:line="240" w:lineRule="auto"/>
        <w:ind w:firstLine="210" w:firstLineChars="100"/>
        <w:rPr>
          <w:rFonts w:ascii="宋体" w:hAnsi="宋体"/>
          <w:color w:val="auto"/>
          <w:szCs w:val="21"/>
        </w:rPr>
      </w:pPr>
      <w:r>
        <w:rPr>
          <w:rFonts w:ascii="宋体" w:hAnsi="宋体"/>
          <w:color w:val="auto"/>
          <w:szCs w:val="21"/>
        </w:rPr>
        <w:t>1</w:t>
      </w:r>
      <w:r>
        <w:rPr>
          <w:rFonts w:hint="eastAsia" w:ascii="宋体" w:hAnsi="宋体"/>
          <w:color w:val="auto"/>
          <w:szCs w:val="21"/>
        </w:rPr>
        <w:t>.</w:t>
      </w:r>
      <w:r>
        <w:rPr>
          <w:rFonts w:ascii="宋体" w:hAnsi="宋体"/>
          <w:color w:val="auto"/>
          <w:szCs w:val="21"/>
        </w:rPr>
        <w:t xml:space="preserve">3 </w:t>
      </w:r>
      <w:r>
        <w:rPr>
          <w:rFonts w:hint="eastAsia" w:ascii="宋体" w:hAnsi="宋体"/>
          <w:color w:val="auto"/>
          <w:szCs w:val="21"/>
        </w:rPr>
        <w:t>宜用1号玻璃珠作为面撒玻璃珠、2号玻璃珠作为预混玻璃珠，玻璃珠</w:t>
      </w:r>
      <w:r>
        <w:rPr>
          <w:rFonts w:ascii="宋体" w:hAnsi="宋体"/>
          <w:color w:val="auto"/>
          <w:szCs w:val="21"/>
        </w:rPr>
        <w:t>的</w:t>
      </w:r>
      <w:r>
        <w:rPr>
          <w:rFonts w:hint="eastAsia" w:ascii="宋体" w:hAnsi="宋体"/>
          <w:color w:val="auto"/>
          <w:szCs w:val="21"/>
        </w:rPr>
        <w:t>各项</w:t>
      </w:r>
      <w:r>
        <w:rPr>
          <w:rFonts w:ascii="宋体" w:hAnsi="宋体"/>
          <w:color w:val="auto"/>
          <w:szCs w:val="21"/>
        </w:rPr>
        <w:t>指标应满足</w:t>
      </w:r>
      <w:r>
        <w:rPr>
          <w:rFonts w:hint="eastAsia" w:ascii="宋体" w:hAnsi="宋体"/>
          <w:color w:val="auto"/>
          <w:szCs w:val="21"/>
        </w:rPr>
        <w:t>《路面标线用玻璃珠》（GB/T 24722</w:t>
      </w:r>
      <w:r>
        <w:rPr>
          <w:rFonts w:ascii="宋体" w:hAnsi="宋体"/>
          <w:color w:val="auto"/>
          <w:szCs w:val="21"/>
        </w:rPr>
        <w:t>-2009</w:t>
      </w:r>
      <w:r>
        <w:rPr>
          <w:rFonts w:hint="eastAsia" w:ascii="宋体" w:hAnsi="宋体"/>
          <w:color w:val="auto"/>
          <w:szCs w:val="21"/>
        </w:rPr>
        <w:t>）的</w:t>
      </w:r>
      <w:r>
        <w:rPr>
          <w:rFonts w:ascii="宋体" w:hAnsi="宋体"/>
          <w:color w:val="auto"/>
          <w:szCs w:val="21"/>
        </w:rPr>
        <w:t>相关要求。</w:t>
      </w:r>
    </w:p>
    <w:p w14:paraId="41C8F964">
      <w:pPr>
        <w:spacing w:line="240" w:lineRule="auto"/>
        <w:ind w:firstLine="210" w:firstLineChars="100"/>
        <w:rPr>
          <w:rFonts w:ascii="宋体" w:hAnsi="宋体"/>
          <w:color w:val="auto"/>
          <w:szCs w:val="21"/>
        </w:rPr>
      </w:pPr>
      <w:r>
        <w:rPr>
          <w:rFonts w:ascii="宋体" w:hAnsi="宋体"/>
          <w:color w:val="auto"/>
          <w:szCs w:val="21"/>
        </w:rPr>
        <w:t>1</w:t>
      </w:r>
      <w:r>
        <w:rPr>
          <w:rFonts w:hint="eastAsia" w:ascii="宋体" w:hAnsi="宋体"/>
          <w:color w:val="auto"/>
          <w:szCs w:val="21"/>
        </w:rPr>
        <w:t>.</w:t>
      </w:r>
      <w:r>
        <w:rPr>
          <w:rFonts w:ascii="宋体" w:hAnsi="宋体"/>
          <w:color w:val="auto"/>
          <w:szCs w:val="21"/>
        </w:rPr>
        <w:t>4</w:t>
      </w:r>
      <w:r>
        <w:rPr>
          <w:rFonts w:hint="eastAsia" w:ascii="宋体" w:hAnsi="宋体"/>
          <w:color w:val="auto"/>
          <w:szCs w:val="21"/>
        </w:rPr>
        <w:t xml:space="preserve"> 所采用的热熔涂料及玻璃珠材料，在满足《路面标线涂料》（JT/T 280）、《路面标线用玻璃珠》（GB/T 24722）和《安全色》（GB 2893）标准的全部要求外，还应满足表</w:t>
      </w:r>
      <w:r>
        <w:rPr>
          <w:rFonts w:ascii="宋体" w:hAnsi="宋体"/>
          <w:color w:val="auto"/>
          <w:szCs w:val="21"/>
        </w:rPr>
        <w:t>1</w:t>
      </w:r>
      <w:r>
        <w:rPr>
          <w:rFonts w:hint="eastAsia" w:ascii="宋体" w:hAnsi="宋体"/>
          <w:color w:val="auto"/>
          <w:szCs w:val="21"/>
        </w:rPr>
        <w:t>、表</w:t>
      </w:r>
      <w:r>
        <w:rPr>
          <w:rFonts w:ascii="宋体" w:hAnsi="宋体"/>
          <w:color w:val="auto"/>
          <w:szCs w:val="21"/>
        </w:rPr>
        <w:t>2</w:t>
      </w:r>
      <w:r>
        <w:rPr>
          <w:rFonts w:hint="eastAsia" w:ascii="宋体" w:hAnsi="宋体"/>
          <w:color w:val="auto"/>
          <w:szCs w:val="21"/>
        </w:rPr>
        <w:t>规定的关键技术指标要求：</w:t>
      </w:r>
    </w:p>
    <w:p w14:paraId="35496A78">
      <w:pPr>
        <w:spacing w:line="240" w:lineRule="auto"/>
        <w:ind w:firstLine="420" w:firstLineChars="200"/>
        <w:rPr>
          <w:rFonts w:hint="eastAsia" w:ascii="宋体" w:hAnsi="宋体"/>
          <w:color w:val="auto"/>
          <w:szCs w:val="21"/>
        </w:rPr>
      </w:pPr>
      <w:r>
        <w:rPr>
          <w:rFonts w:hint="eastAsia" w:ascii="宋体" w:hAnsi="宋体"/>
          <w:color w:val="auto"/>
          <w:szCs w:val="21"/>
        </w:rPr>
        <w:t>表</w:t>
      </w:r>
      <w:r>
        <w:rPr>
          <w:rFonts w:ascii="宋体" w:hAnsi="宋体"/>
          <w:color w:val="auto"/>
          <w:szCs w:val="21"/>
        </w:rPr>
        <w:t xml:space="preserve">1 </w:t>
      </w:r>
      <w:r>
        <w:rPr>
          <w:rFonts w:hint="eastAsia" w:ascii="宋体" w:hAnsi="宋体"/>
          <w:color w:val="auto"/>
          <w:szCs w:val="21"/>
        </w:rPr>
        <w:t xml:space="preserve"> 热熔型涂料原材料关键技术指标</w:t>
      </w:r>
    </w:p>
    <w:tbl>
      <w:tblPr>
        <w:tblStyle w:val="2"/>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778"/>
        <w:gridCol w:w="2050"/>
        <w:gridCol w:w="5053"/>
      </w:tblGrid>
      <w:tr w14:paraId="6E1B09C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8" w:type="dxa"/>
            <w:vAlign w:val="center"/>
          </w:tcPr>
          <w:p w14:paraId="4D945A35">
            <w:pPr>
              <w:spacing w:line="240" w:lineRule="auto"/>
              <w:rPr>
                <w:rFonts w:hint="eastAsia" w:ascii="宋体" w:hAnsi="宋体"/>
                <w:color w:val="auto"/>
                <w:szCs w:val="21"/>
              </w:rPr>
            </w:pPr>
            <w:r>
              <w:rPr>
                <w:rFonts w:hint="eastAsia" w:ascii="宋体" w:hAnsi="宋体"/>
                <w:color w:val="auto"/>
                <w:szCs w:val="21"/>
              </w:rPr>
              <w:t>材料名称</w:t>
            </w:r>
          </w:p>
        </w:tc>
        <w:tc>
          <w:tcPr>
            <w:tcW w:w="2050" w:type="dxa"/>
            <w:vAlign w:val="center"/>
          </w:tcPr>
          <w:p w14:paraId="79B43F74">
            <w:pPr>
              <w:spacing w:line="240" w:lineRule="auto"/>
              <w:rPr>
                <w:rFonts w:hint="eastAsia" w:ascii="宋体" w:hAnsi="宋体"/>
                <w:color w:val="auto"/>
                <w:szCs w:val="21"/>
              </w:rPr>
            </w:pPr>
            <w:r>
              <w:rPr>
                <w:rFonts w:hint="eastAsia" w:ascii="宋体" w:hAnsi="宋体"/>
                <w:color w:val="auto"/>
                <w:szCs w:val="21"/>
              </w:rPr>
              <w:t>技术指标</w:t>
            </w:r>
          </w:p>
        </w:tc>
        <w:tc>
          <w:tcPr>
            <w:tcW w:w="5053" w:type="dxa"/>
            <w:vAlign w:val="center"/>
          </w:tcPr>
          <w:p w14:paraId="2214DC35">
            <w:pPr>
              <w:spacing w:line="240" w:lineRule="auto"/>
              <w:rPr>
                <w:rFonts w:hint="eastAsia" w:ascii="宋体" w:hAnsi="宋体"/>
                <w:color w:val="auto"/>
                <w:szCs w:val="21"/>
              </w:rPr>
            </w:pPr>
            <w:r>
              <w:rPr>
                <w:rFonts w:hint="eastAsia" w:ascii="宋体" w:hAnsi="宋体"/>
                <w:color w:val="auto"/>
                <w:szCs w:val="21"/>
              </w:rPr>
              <w:t>技术要求</w:t>
            </w:r>
          </w:p>
        </w:tc>
      </w:tr>
      <w:tr w14:paraId="6431E79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8" w:type="dxa"/>
            <w:vMerge w:val="restart"/>
            <w:vAlign w:val="center"/>
          </w:tcPr>
          <w:p w14:paraId="48F4A374">
            <w:pPr>
              <w:spacing w:line="240" w:lineRule="auto"/>
              <w:rPr>
                <w:rFonts w:hint="eastAsia" w:ascii="宋体" w:hAnsi="宋体"/>
                <w:color w:val="auto"/>
                <w:szCs w:val="21"/>
              </w:rPr>
            </w:pPr>
            <w:r>
              <w:rPr>
                <w:rFonts w:hint="eastAsia" w:ascii="宋体" w:hAnsi="宋体"/>
                <w:color w:val="auto"/>
                <w:szCs w:val="21"/>
              </w:rPr>
              <w:t>标线涂料</w:t>
            </w:r>
          </w:p>
        </w:tc>
        <w:tc>
          <w:tcPr>
            <w:tcW w:w="2050" w:type="dxa"/>
            <w:vAlign w:val="center"/>
          </w:tcPr>
          <w:p w14:paraId="176B3CB2">
            <w:pPr>
              <w:spacing w:line="240" w:lineRule="auto"/>
              <w:rPr>
                <w:rFonts w:hint="eastAsia" w:ascii="宋体" w:hAnsi="宋体"/>
                <w:color w:val="auto"/>
                <w:szCs w:val="21"/>
              </w:rPr>
            </w:pPr>
            <w:r>
              <w:rPr>
                <w:rFonts w:hint="eastAsia" w:ascii="宋体" w:hAnsi="宋体"/>
                <w:color w:val="auto"/>
                <w:szCs w:val="21"/>
              </w:rPr>
              <w:t>总有机物含量</w:t>
            </w:r>
          </w:p>
        </w:tc>
        <w:tc>
          <w:tcPr>
            <w:tcW w:w="5053" w:type="dxa"/>
            <w:vAlign w:val="center"/>
          </w:tcPr>
          <w:p w14:paraId="0B996563">
            <w:pPr>
              <w:spacing w:line="240" w:lineRule="auto"/>
              <w:rPr>
                <w:rFonts w:hint="eastAsia" w:ascii="宋体" w:hAnsi="宋体"/>
                <w:color w:val="auto"/>
                <w:szCs w:val="21"/>
              </w:rPr>
            </w:pPr>
            <w:r>
              <w:rPr>
                <w:rFonts w:hint="eastAsia" w:ascii="宋体" w:hAnsi="宋体"/>
                <w:color w:val="auto"/>
                <w:szCs w:val="21"/>
              </w:rPr>
              <w:t>≥19</w:t>
            </w:r>
            <w:r>
              <w:rPr>
                <w:rFonts w:ascii="宋体" w:hAnsi="宋体"/>
                <w:color w:val="auto"/>
                <w:szCs w:val="21"/>
              </w:rPr>
              <w:t>%</w:t>
            </w:r>
          </w:p>
        </w:tc>
      </w:tr>
      <w:tr w14:paraId="6C7DA5F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8" w:type="dxa"/>
            <w:vMerge w:val="continue"/>
            <w:vAlign w:val="center"/>
          </w:tcPr>
          <w:p w14:paraId="26206E53">
            <w:pPr>
              <w:spacing w:line="240" w:lineRule="auto"/>
              <w:rPr>
                <w:rFonts w:hint="eastAsia" w:ascii="宋体" w:hAnsi="宋体"/>
                <w:color w:val="auto"/>
                <w:szCs w:val="21"/>
              </w:rPr>
            </w:pPr>
          </w:p>
        </w:tc>
        <w:tc>
          <w:tcPr>
            <w:tcW w:w="2050" w:type="dxa"/>
            <w:vAlign w:val="center"/>
          </w:tcPr>
          <w:p w14:paraId="1EEB9912">
            <w:pPr>
              <w:spacing w:line="240" w:lineRule="auto"/>
              <w:rPr>
                <w:rFonts w:hint="eastAsia" w:ascii="宋体" w:hAnsi="宋体"/>
                <w:color w:val="auto"/>
                <w:szCs w:val="21"/>
              </w:rPr>
            </w:pPr>
            <w:r>
              <w:rPr>
                <w:rFonts w:hint="eastAsia" w:ascii="宋体" w:hAnsi="宋体"/>
                <w:color w:val="auto"/>
                <w:szCs w:val="21"/>
              </w:rPr>
              <w:t>钛白粉含量</w:t>
            </w:r>
          </w:p>
        </w:tc>
        <w:tc>
          <w:tcPr>
            <w:tcW w:w="5053" w:type="dxa"/>
            <w:vAlign w:val="center"/>
          </w:tcPr>
          <w:p w14:paraId="4222DA24">
            <w:pPr>
              <w:spacing w:line="240" w:lineRule="auto"/>
              <w:rPr>
                <w:rFonts w:hint="eastAsia" w:ascii="宋体" w:hAnsi="宋体"/>
                <w:color w:val="auto"/>
                <w:szCs w:val="21"/>
              </w:rPr>
            </w:pPr>
            <w:r>
              <w:rPr>
                <w:rFonts w:hint="eastAsia" w:ascii="宋体" w:hAnsi="宋体"/>
                <w:color w:val="auto"/>
                <w:szCs w:val="21"/>
              </w:rPr>
              <w:t>≥</w:t>
            </w:r>
            <w:r>
              <w:rPr>
                <w:rFonts w:ascii="宋体" w:hAnsi="宋体"/>
                <w:color w:val="auto"/>
                <w:szCs w:val="21"/>
              </w:rPr>
              <w:t>7</w:t>
            </w:r>
            <w:r>
              <w:rPr>
                <w:rFonts w:hint="eastAsia" w:ascii="宋体" w:hAnsi="宋体"/>
                <w:color w:val="auto"/>
                <w:szCs w:val="21"/>
              </w:rPr>
              <w:t>%（重量比）</w:t>
            </w:r>
          </w:p>
        </w:tc>
      </w:tr>
      <w:tr w14:paraId="1441109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8" w:type="dxa"/>
            <w:vAlign w:val="center"/>
          </w:tcPr>
          <w:p w14:paraId="6EC81B39">
            <w:pPr>
              <w:spacing w:line="240" w:lineRule="auto"/>
              <w:rPr>
                <w:rFonts w:hint="eastAsia" w:ascii="宋体" w:hAnsi="宋体"/>
                <w:color w:val="auto"/>
                <w:szCs w:val="21"/>
              </w:rPr>
            </w:pPr>
            <w:r>
              <w:rPr>
                <w:rFonts w:hint="eastAsia" w:ascii="宋体" w:hAnsi="宋体"/>
                <w:color w:val="auto"/>
                <w:szCs w:val="21"/>
              </w:rPr>
              <w:t>面撒及内混玻璃珠</w:t>
            </w:r>
          </w:p>
        </w:tc>
        <w:tc>
          <w:tcPr>
            <w:tcW w:w="2050" w:type="dxa"/>
            <w:vAlign w:val="center"/>
          </w:tcPr>
          <w:p w14:paraId="1B285BE4">
            <w:pPr>
              <w:spacing w:line="240" w:lineRule="auto"/>
              <w:rPr>
                <w:rFonts w:hint="eastAsia" w:ascii="宋体" w:hAnsi="宋体"/>
                <w:color w:val="auto"/>
                <w:szCs w:val="21"/>
              </w:rPr>
            </w:pPr>
            <w:r>
              <w:rPr>
                <w:rFonts w:hint="eastAsia" w:ascii="宋体" w:hAnsi="宋体"/>
                <w:color w:val="auto"/>
                <w:szCs w:val="21"/>
              </w:rPr>
              <w:t>成圆率</w:t>
            </w:r>
          </w:p>
        </w:tc>
        <w:tc>
          <w:tcPr>
            <w:tcW w:w="5053" w:type="dxa"/>
            <w:vAlign w:val="center"/>
          </w:tcPr>
          <w:p w14:paraId="475AFC05">
            <w:pPr>
              <w:spacing w:line="240" w:lineRule="auto"/>
              <w:rPr>
                <w:rFonts w:hint="eastAsia" w:ascii="宋体" w:hAnsi="宋体"/>
                <w:color w:val="auto"/>
                <w:szCs w:val="21"/>
              </w:rPr>
            </w:pPr>
            <w:r>
              <w:rPr>
                <w:rFonts w:hint="eastAsia" w:ascii="宋体" w:hAnsi="宋体"/>
                <w:color w:val="auto"/>
                <w:szCs w:val="21"/>
              </w:rPr>
              <w:t>≥90%（面撒</w:t>
            </w:r>
            <w:r>
              <w:rPr>
                <w:rFonts w:ascii="宋体" w:hAnsi="宋体"/>
                <w:color w:val="auto"/>
                <w:szCs w:val="21"/>
              </w:rPr>
              <w:t>玻璃珠）</w:t>
            </w:r>
            <w:r>
              <w:rPr>
                <w:rFonts w:hint="eastAsia" w:ascii="宋体" w:hAnsi="宋体"/>
                <w:color w:val="auto"/>
                <w:szCs w:val="21"/>
              </w:rPr>
              <w:t>、≥80%（内混</w:t>
            </w:r>
            <w:r>
              <w:rPr>
                <w:rFonts w:ascii="宋体" w:hAnsi="宋体"/>
                <w:color w:val="auto"/>
                <w:szCs w:val="21"/>
              </w:rPr>
              <w:t>玻璃珠）</w:t>
            </w:r>
          </w:p>
        </w:tc>
      </w:tr>
    </w:tbl>
    <w:p w14:paraId="48CCC1C8">
      <w:pPr>
        <w:spacing w:line="240" w:lineRule="auto"/>
        <w:ind w:firstLine="420" w:firstLineChars="200"/>
        <w:rPr>
          <w:rFonts w:hint="eastAsia" w:ascii="宋体" w:hAnsi="宋体"/>
          <w:color w:val="auto"/>
          <w:szCs w:val="21"/>
        </w:rPr>
      </w:pPr>
      <w:r>
        <w:rPr>
          <w:rFonts w:hint="eastAsia" w:ascii="宋体" w:hAnsi="宋体"/>
          <w:color w:val="auto"/>
          <w:szCs w:val="21"/>
        </w:rPr>
        <w:t>表</w:t>
      </w:r>
      <w:r>
        <w:rPr>
          <w:rFonts w:ascii="宋体" w:hAnsi="宋体"/>
          <w:color w:val="auto"/>
          <w:szCs w:val="21"/>
        </w:rPr>
        <w:t>2</w:t>
      </w:r>
      <w:r>
        <w:rPr>
          <w:rFonts w:hint="eastAsia" w:ascii="宋体" w:hAnsi="宋体"/>
          <w:color w:val="auto"/>
          <w:szCs w:val="21"/>
        </w:rPr>
        <w:t xml:space="preserve">  热熔型涂料混合料的性能</w:t>
      </w:r>
    </w:p>
    <w:tbl>
      <w:tblPr>
        <w:tblStyle w:val="2"/>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261"/>
        <w:gridCol w:w="1419"/>
        <w:gridCol w:w="3015"/>
        <w:gridCol w:w="242"/>
        <w:gridCol w:w="2972"/>
      </w:tblGrid>
      <w:tr w14:paraId="3D7CD31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2680" w:type="dxa"/>
            <w:gridSpan w:val="2"/>
            <w:vMerge w:val="restart"/>
            <w:vAlign w:val="center"/>
          </w:tcPr>
          <w:p w14:paraId="52399988">
            <w:pPr>
              <w:spacing w:line="240" w:lineRule="auto"/>
              <w:rPr>
                <w:rFonts w:ascii="宋体" w:hAnsi="宋体"/>
                <w:color w:val="auto"/>
                <w:szCs w:val="21"/>
              </w:rPr>
            </w:pPr>
            <w:r>
              <w:rPr>
                <w:rFonts w:ascii="宋体" w:hAnsi="宋体"/>
                <w:color w:val="auto"/>
                <w:szCs w:val="21"/>
              </w:rPr>
              <w:t>项目</w:t>
            </w:r>
          </w:p>
        </w:tc>
        <w:tc>
          <w:tcPr>
            <w:tcW w:w="6229" w:type="dxa"/>
            <w:gridSpan w:val="3"/>
            <w:vAlign w:val="center"/>
          </w:tcPr>
          <w:p w14:paraId="05790FD4">
            <w:pPr>
              <w:spacing w:line="240" w:lineRule="auto"/>
              <w:rPr>
                <w:rFonts w:hint="eastAsia" w:ascii="宋体" w:hAnsi="宋体"/>
                <w:color w:val="auto"/>
                <w:szCs w:val="21"/>
              </w:rPr>
            </w:pPr>
            <w:r>
              <w:rPr>
                <w:rFonts w:hint="eastAsia" w:ascii="宋体" w:hAnsi="宋体"/>
                <w:color w:val="auto"/>
                <w:szCs w:val="21"/>
              </w:rPr>
              <w:t xml:space="preserve">      热熔型</w:t>
            </w:r>
          </w:p>
        </w:tc>
      </w:tr>
      <w:tr w14:paraId="3A564BA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2680" w:type="dxa"/>
            <w:gridSpan w:val="2"/>
            <w:vMerge w:val="continue"/>
            <w:vAlign w:val="center"/>
          </w:tcPr>
          <w:p w14:paraId="7E667EAC">
            <w:pPr>
              <w:spacing w:line="240" w:lineRule="auto"/>
              <w:rPr>
                <w:rFonts w:ascii="宋体" w:hAnsi="宋体"/>
                <w:color w:val="auto"/>
                <w:szCs w:val="21"/>
              </w:rPr>
            </w:pPr>
          </w:p>
        </w:tc>
        <w:tc>
          <w:tcPr>
            <w:tcW w:w="3257" w:type="dxa"/>
            <w:gridSpan w:val="2"/>
            <w:vAlign w:val="center"/>
          </w:tcPr>
          <w:p w14:paraId="5B0D3047">
            <w:pPr>
              <w:spacing w:line="240" w:lineRule="auto"/>
              <w:rPr>
                <w:rFonts w:hint="eastAsia" w:ascii="宋体" w:hAnsi="宋体"/>
                <w:color w:val="auto"/>
                <w:szCs w:val="21"/>
              </w:rPr>
            </w:pPr>
            <w:r>
              <w:rPr>
                <w:rFonts w:hint="eastAsia" w:ascii="宋体" w:hAnsi="宋体"/>
                <w:color w:val="auto"/>
                <w:szCs w:val="21"/>
              </w:rPr>
              <w:t>反光型</w:t>
            </w:r>
          </w:p>
        </w:tc>
        <w:tc>
          <w:tcPr>
            <w:tcW w:w="2972" w:type="dxa"/>
            <w:vAlign w:val="center"/>
          </w:tcPr>
          <w:p w14:paraId="5CBE02C1">
            <w:pPr>
              <w:spacing w:line="240" w:lineRule="auto"/>
              <w:rPr>
                <w:rFonts w:ascii="宋体" w:hAnsi="宋体"/>
                <w:color w:val="auto"/>
                <w:szCs w:val="21"/>
              </w:rPr>
            </w:pPr>
            <w:r>
              <w:rPr>
                <w:rFonts w:ascii="宋体" w:hAnsi="宋体"/>
                <w:color w:val="auto"/>
                <w:szCs w:val="21"/>
              </w:rPr>
              <w:t>突起型</w:t>
            </w:r>
          </w:p>
        </w:tc>
      </w:tr>
      <w:tr w14:paraId="0C9A0E3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2680" w:type="dxa"/>
            <w:gridSpan w:val="2"/>
            <w:vAlign w:val="center"/>
          </w:tcPr>
          <w:p w14:paraId="400E6453">
            <w:pPr>
              <w:spacing w:line="240" w:lineRule="auto"/>
              <w:rPr>
                <w:rFonts w:ascii="宋体" w:hAnsi="宋体"/>
                <w:color w:val="auto"/>
                <w:szCs w:val="21"/>
              </w:rPr>
            </w:pPr>
            <w:r>
              <w:rPr>
                <w:rFonts w:ascii="宋体" w:hAnsi="宋体"/>
                <w:color w:val="auto"/>
                <w:szCs w:val="21"/>
              </w:rPr>
              <w:t>软化点(℃)</w:t>
            </w:r>
          </w:p>
        </w:tc>
        <w:tc>
          <w:tcPr>
            <w:tcW w:w="6229" w:type="dxa"/>
            <w:gridSpan w:val="3"/>
            <w:vAlign w:val="center"/>
          </w:tcPr>
          <w:p w14:paraId="2311C306">
            <w:pPr>
              <w:spacing w:line="240" w:lineRule="auto"/>
              <w:rPr>
                <w:rFonts w:hint="eastAsia" w:ascii="宋体" w:hAnsi="宋体"/>
                <w:color w:val="auto"/>
                <w:szCs w:val="21"/>
              </w:rPr>
            </w:pPr>
            <w:r>
              <w:rPr>
                <w:rFonts w:hint="eastAsia" w:ascii="宋体" w:hAnsi="宋体"/>
                <w:color w:val="auto"/>
                <w:szCs w:val="21"/>
              </w:rPr>
              <w:t>100</w:t>
            </w:r>
            <w:r>
              <w:rPr>
                <w:rFonts w:ascii="宋体" w:hAnsi="宋体"/>
                <w:color w:val="auto"/>
                <w:szCs w:val="21"/>
              </w:rPr>
              <w:t>～125</w:t>
            </w:r>
          </w:p>
          <w:p w14:paraId="4ED1E246">
            <w:pPr>
              <w:spacing w:line="240" w:lineRule="auto"/>
              <w:rPr>
                <w:rFonts w:ascii="宋体" w:hAnsi="宋体"/>
                <w:color w:val="auto"/>
                <w:szCs w:val="21"/>
              </w:rPr>
            </w:pPr>
            <w:r>
              <w:rPr>
                <w:rFonts w:ascii="宋体" w:hAnsi="宋体"/>
                <w:color w:val="auto"/>
                <w:szCs w:val="21"/>
              </w:rPr>
              <w:t>100</w:t>
            </w:r>
          </w:p>
        </w:tc>
      </w:tr>
      <w:tr w14:paraId="706EE69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2680" w:type="dxa"/>
            <w:gridSpan w:val="2"/>
            <w:vAlign w:val="center"/>
          </w:tcPr>
          <w:p w14:paraId="64E6F115">
            <w:pPr>
              <w:spacing w:line="240" w:lineRule="auto"/>
              <w:rPr>
                <w:rFonts w:hint="eastAsia" w:ascii="宋体" w:hAnsi="宋体"/>
                <w:color w:val="auto"/>
                <w:szCs w:val="21"/>
              </w:rPr>
            </w:pPr>
            <w:r>
              <w:rPr>
                <w:rFonts w:hint="eastAsia" w:ascii="宋体" w:hAnsi="宋体"/>
                <w:color w:val="auto"/>
                <w:szCs w:val="21"/>
              </w:rPr>
              <w:t>内混</w:t>
            </w:r>
            <w:r>
              <w:rPr>
                <w:rFonts w:ascii="宋体" w:hAnsi="宋体"/>
                <w:color w:val="auto"/>
                <w:szCs w:val="21"/>
              </w:rPr>
              <w:t>玻璃珠含量(%)</w:t>
            </w:r>
          </w:p>
        </w:tc>
        <w:tc>
          <w:tcPr>
            <w:tcW w:w="6229" w:type="dxa"/>
            <w:gridSpan w:val="3"/>
            <w:vAlign w:val="center"/>
          </w:tcPr>
          <w:p w14:paraId="009BED97">
            <w:pPr>
              <w:spacing w:line="240" w:lineRule="auto"/>
              <w:rPr>
                <w:rFonts w:hint="eastAsia" w:ascii="宋体" w:hAnsi="宋体"/>
                <w:color w:val="auto"/>
                <w:szCs w:val="21"/>
              </w:rPr>
            </w:pPr>
            <w:r>
              <w:rPr>
                <w:rFonts w:hint="eastAsia" w:ascii="宋体" w:hAnsi="宋体"/>
                <w:color w:val="auto"/>
                <w:szCs w:val="21"/>
              </w:rPr>
              <w:t>≥18</w:t>
            </w:r>
          </w:p>
        </w:tc>
      </w:tr>
      <w:tr w14:paraId="0644327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1261" w:type="dxa"/>
            <w:vMerge w:val="restart"/>
            <w:vAlign w:val="center"/>
          </w:tcPr>
          <w:p w14:paraId="7C63F2DE">
            <w:pPr>
              <w:spacing w:line="240" w:lineRule="auto"/>
              <w:rPr>
                <w:rFonts w:hint="eastAsia" w:ascii="宋体" w:hAnsi="宋体"/>
                <w:color w:val="auto"/>
                <w:szCs w:val="21"/>
              </w:rPr>
            </w:pPr>
            <w:r>
              <w:rPr>
                <w:rFonts w:hint="eastAsia" w:ascii="宋体" w:hAnsi="宋体"/>
                <w:color w:val="auto"/>
                <w:szCs w:val="21"/>
              </w:rPr>
              <w:t>亮度因素</w:t>
            </w:r>
          </w:p>
        </w:tc>
        <w:tc>
          <w:tcPr>
            <w:tcW w:w="1419" w:type="dxa"/>
            <w:vAlign w:val="center"/>
          </w:tcPr>
          <w:p w14:paraId="7E0FB327">
            <w:pPr>
              <w:spacing w:line="240" w:lineRule="auto"/>
              <w:rPr>
                <w:rFonts w:ascii="宋体" w:hAnsi="宋体"/>
                <w:color w:val="auto"/>
                <w:szCs w:val="21"/>
              </w:rPr>
            </w:pPr>
            <w:r>
              <w:rPr>
                <w:rFonts w:ascii="宋体" w:hAnsi="宋体"/>
                <w:color w:val="auto"/>
                <w:szCs w:val="21"/>
              </w:rPr>
              <w:t>白色</w:t>
            </w:r>
          </w:p>
        </w:tc>
        <w:tc>
          <w:tcPr>
            <w:tcW w:w="3015" w:type="dxa"/>
            <w:vAlign w:val="center"/>
          </w:tcPr>
          <w:p w14:paraId="69D448A2">
            <w:pPr>
              <w:spacing w:line="240" w:lineRule="auto"/>
              <w:rPr>
                <w:rFonts w:hint="eastAsia" w:ascii="宋体" w:hAnsi="宋体"/>
                <w:color w:val="auto"/>
                <w:szCs w:val="21"/>
              </w:rPr>
            </w:pPr>
            <w:r>
              <w:rPr>
                <w:rFonts w:hint="eastAsia" w:ascii="宋体" w:hAnsi="宋体"/>
                <w:color w:val="auto"/>
                <w:szCs w:val="21"/>
              </w:rPr>
              <w:t>≥0.82</w:t>
            </w:r>
          </w:p>
        </w:tc>
        <w:tc>
          <w:tcPr>
            <w:tcW w:w="3214" w:type="dxa"/>
            <w:gridSpan w:val="2"/>
            <w:vAlign w:val="center"/>
          </w:tcPr>
          <w:p w14:paraId="640D1CEE">
            <w:pPr>
              <w:spacing w:line="240" w:lineRule="auto"/>
              <w:rPr>
                <w:rFonts w:hint="eastAsia" w:ascii="宋体" w:hAnsi="宋体"/>
                <w:color w:val="auto"/>
                <w:szCs w:val="21"/>
              </w:rPr>
            </w:pPr>
            <w:r>
              <w:rPr>
                <w:rFonts w:hint="eastAsia" w:ascii="宋体" w:hAnsi="宋体"/>
                <w:color w:val="auto"/>
                <w:szCs w:val="21"/>
              </w:rPr>
              <w:t>≥0.8</w:t>
            </w:r>
            <w:r>
              <w:rPr>
                <w:rFonts w:ascii="宋体" w:hAnsi="宋体"/>
                <w:color w:val="auto"/>
                <w:szCs w:val="21"/>
              </w:rPr>
              <w:t>0</w:t>
            </w:r>
          </w:p>
        </w:tc>
      </w:tr>
      <w:tr w14:paraId="14705C6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1261" w:type="dxa"/>
            <w:vMerge w:val="continue"/>
            <w:vAlign w:val="center"/>
          </w:tcPr>
          <w:p w14:paraId="7A187172">
            <w:pPr>
              <w:spacing w:line="240" w:lineRule="auto"/>
              <w:rPr>
                <w:rFonts w:hint="eastAsia" w:ascii="宋体" w:hAnsi="宋体"/>
                <w:color w:val="auto"/>
                <w:szCs w:val="21"/>
              </w:rPr>
            </w:pPr>
          </w:p>
        </w:tc>
        <w:tc>
          <w:tcPr>
            <w:tcW w:w="1419" w:type="dxa"/>
            <w:vAlign w:val="center"/>
          </w:tcPr>
          <w:p w14:paraId="16F8DFAA">
            <w:pPr>
              <w:spacing w:line="240" w:lineRule="auto"/>
              <w:rPr>
                <w:rFonts w:ascii="宋体" w:hAnsi="宋体"/>
                <w:color w:val="auto"/>
                <w:szCs w:val="21"/>
              </w:rPr>
            </w:pPr>
            <w:r>
              <w:rPr>
                <w:rFonts w:ascii="宋体" w:hAnsi="宋体"/>
                <w:color w:val="auto"/>
                <w:szCs w:val="21"/>
              </w:rPr>
              <w:t>黄色</w:t>
            </w:r>
          </w:p>
        </w:tc>
        <w:tc>
          <w:tcPr>
            <w:tcW w:w="3015" w:type="dxa"/>
            <w:vAlign w:val="center"/>
          </w:tcPr>
          <w:p w14:paraId="3E78CAC7">
            <w:pPr>
              <w:spacing w:line="240" w:lineRule="auto"/>
              <w:rPr>
                <w:rFonts w:hint="eastAsia" w:ascii="宋体" w:hAnsi="宋体"/>
                <w:color w:val="auto"/>
                <w:szCs w:val="21"/>
              </w:rPr>
            </w:pPr>
            <w:r>
              <w:rPr>
                <w:rFonts w:hint="eastAsia" w:ascii="宋体" w:hAnsi="宋体"/>
                <w:color w:val="auto"/>
                <w:szCs w:val="21"/>
              </w:rPr>
              <w:t xml:space="preserve">≥0.45  </w:t>
            </w:r>
          </w:p>
        </w:tc>
        <w:tc>
          <w:tcPr>
            <w:tcW w:w="3214" w:type="dxa"/>
            <w:gridSpan w:val="2"/>
            <w:vAlign w:val="center"/>
          </w:tcPr>
          <w:p w14:paraId="51A2FDCD">
            <w:pPr>
              <w:spacing w:line="240" w:lineRule="auto"/>
              <w:rPr>
                <w:rFonts w:hint="eastAsia" w:ascii="宋体" w:hAnsi="宋体"/>
                <w:color w:val="auto"/>
                <w:szCs w:val="21"/>
              </w:rPr>
            </w:pPr>
            <w:r>
              <w:rPr>
                <w:rFonts w:hint="eastAsia" w:ascii="宋体" w:hAnsi="宋体"/>
                <w:color w:val="auto"/>
                <w:szCs w:val="21"/>
              </w:rPr>
              <w:t>≥0.45</w:t>
            </w:r>
          </w:p>
        </w:tc>
      </w:tr>
      <w:tr w14:paraId="0BF2922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90" w:hRule="exact"/>
          <w:jc w:val="center"/>
        </w:trPr>
        <w:tc>
          <w:tcPr>
            <w:tcW w:w="2680" w:type="dxa"/>
            <w:gridSpan w:val="2"/>
            <w:vAlign w:val="center"/>
          </w:tcPr>
          <w:p w14:paraId="55E1B61D">
            <w:pPr>
              <w:spacing w:line="240" w:lineRule="auto"/>
              <w:rPr>
                <w:rFonts w:ascii="宋体" w:hAnsi="宋体"/>
                <w:color w:val="auto"/>
                <w:szCs w:val="21"/>
              </w:rPr>
            </w:pPr>
            <w:r>
              <w:rPr>
                <w:rFonts w:ascii="宋体" w:hAnsi="宋体"/>
                <w:color w:val="auto"/>
                <w:szCs w:val="21"/>
              </w:rPr>
              <w:t>抗压强度(MPa)</w:t>
            </w:r>
          </w:p>
        </w:tc>
        <w:tc>
          <w:tcPr>
            <w:tcW w:w="3257" w:type="dxa"/>
            <w:gridSpan w:val="2"/>
            <w:vAlign w:val="center"/>
          </w:tcPr>
          <w:p w14:paraId="3A854B94">
            <w:pPr>
              <w:spacing w:line="240" w:lineRule="auto"/>
              <w:rPr>
                <w:rFonts w:ascii="宋体" w:hAnsi="宋体"/>
                <w:color w:val="auto"/>
                <w:szCs w:val="21"/>
              </w:rPr>
            </w:pPr>
            <w:r>
              <w:rPr>
                <w:rFonts w:ascii="宋体" w:hAnsi="宋体"/>
                <w:color w:val="auto"/>
                <w:szCs w:val="21"/>
              </w:rPr>
              <w:t>≥1</w:t>
            </w:r>
            <w:r>
              <w:rPr>
                <w:rFonts w:hint="eastAsia" w:ascii="宋体" w:hAnsi="宋体"/>
                <w:color w:val="auto"/>
                <w:szCs w:val="21"/>
              </w:rPr>
              <w:t>5.0</w:t>
            </w:r>
          </w:p>
        </w:tc>
        <w:tc>
          <w:tcPr>
            <w:tcW w:w="2972" w:type="dxa"/>
            <w:vAlign w:val="center"/>
          </w:tcPr>
          <w:p w14:paraId="64817312">
            <w:pPr>
              <w:spacing w:line="240" w:lineRule="auto"/>
              <w:rPr>
                <w:rFonts w:ascii="宋体" w:hAnsi="宋体"/>
                <w:color w:val="auto"/>
                <w:szCs w:val="21"/>
              </w:rPr>
            </w:pPr>
            <w:r>
              <w:rPr>
                <w:rFonts w:ascii="宋体" w:hAnsi="宋体"/>
                <w:color w:val="auto"/>
                <w:szCs w:val="21"/>
              </w:rPr>
              <w:t>23℃±1℃时，≥1</w:t>
            </w:r>
            <w:r>
              <w:rPr>
                <w:rFonts w:hint="eastAsia" w:ascii="宋体" w:hAnsi="宋体"/>
                <w:color w:val="auto"/>
                <w:szCs w:val="21"/>
              </w:rPr>
              <w:t>5.0</w:t>
            </w:r>
          </w:p>
          <w:p w14:paraId="5827F0A5">
            <w:pPr>
              <w:spacing w:line="240" w:lineRule="auto"/>
              <w:rPr>
                <w:rFonts w:hint="eastAsia" w:ascii="宋体" w:hAnsi="宋体"/>
                <w:color w:val="auto"/>
                <w:szCs w:val="21"/>
              </w:rPr>
            </w:pPr>
            <w:r>
              <w:rPr>
                <w:rFonts w:hint="eastAsia" w:ascii="宋体" w:hAnsi="宋体"/>
                <w:color w:val="auto"/>
                <w:szCs w:val="21"/>
              </w:rPr>
              <w:t>50</w:t>
            </w:r>
            <w:r>
              <w:rPr>
                <w:rFonts w:ascii="宋体" w:hAnsi="宋体"/>
                <w:color w:val="auto"/>
                <w:szCs w:val="21"/>
              </w:rPr>
              <w:t>℃±2℃时，≥2</w:t>
            </w:r>
            <w:r>
              <w:rPr>
                <w:rFonts w:hint="eastAsia" w:ascii="宋体" w:hAnsi="宋体"/>
                <w:color w:val="auto"/>
                <w:szCs w:val="21"/>
              </w:rPr>
              <w:t>.0</w:t>
            </w:r>
            <w:r>
              <w:rPr>
                <w:rFonts w:ascii="宋体" w:hAnsi="宋体"/>
                <w:color w:val="auto"/>
                <w:szCs w:val="21"/>
              </w:rPr>
              <w:t>（压下试块高度</w:t>
            </w:r>
            <w:r>
              <w:rPr>
                <w:rFonts w:hint="eastAsia" w:ascii="宋体" w:hAnsi="宋体"/>
                <w:color w:val="auto"/>
                <w:szCs w:val="21"/>
              </w:rPr>
              <w:t xml:space="preserve">  </w:t>
            </w:r>
            <w:r>
              <w:rPr>
                <w:rFonts w:ascii="宋体" w:hAnsi="宋体"/>
                <w:color w:val="auto"/>
                <w:szCs w:val="21"/>
              </w:rPr>
              <w:t>的20%）</w:t>
            </w:r>
          </w:p>
        </w:tc>
      </w:tr>
      <w:tr w14:paraId="10EF77D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00" w:hRule="exact"/>
          <w:jc w:val="center"/>
        </w:trPr>
        <w:tc>
          <w:tcPr>
            <w:tcW w:w="2680" w:type="dxa"/>
            <w:gridSpan w:val="2"/>
            <w:vAlign w:val="center"/>
          </w:tcPr>
          <w:p w14:paraId="4D3EFF71">
            <w:pPr>
              <w:spacing w:line="240" w:lineRule="auto"/>
              <w:rPr>
                <w:rFonts w:ascii="宋体" w:hAnsi="宋体"/>
                <w:color w:val="auto"/>
                <w:szCs w:val="21"/>
              </w:rPr>
            </w:pPr>
            <w:r>
              <w:rPr>
                <w:rFonts w:ascii="宋体" w:hAnsi="宋体"/>
                <w:color w:val="auto"/>
                <w:szCs w:val="21"/>
              </w:rPr>
              <w:t>耐磨性（mg）</w:t>
            </w:r>
          </w:p>
          <w:p w14:paraId="69AE5855">
            <w:pPr>
              <w:spacing w:line="240" w:lineRule="auto"/>
              <w:rPr>
                <w:rFonts w:ascii="宋体" w:hAnsi="宋体"/>
                <w:color w:val="auto"/>
                <w:szCs w:val="21"/>
              </w:rPr>
            </w:pPr>
            <w:r>
              <w:rPr>
                <w:rFonts w:ascii="宋体" w:hAnsi="宋体"/>
                <w:color w:val="auto"/>
                <w:szCs w:val="21"/>
              </w:rPr>
              <w:t>(200转/1000g后减重)</w:t>
            </w:r>
          </w:p>
        </w:tc>
        <w:tc>
          <w:tcPr>
            <w:tcW w:w="3257" w:type="dxa"/>
            <w:gridSpan w:val="2"/>
            <w:vAlign w:val="center"/>
          </w:tcPr>
          <w:p w14:paraId="0295F2D4">
            <w:pPr>
              <w:spacing w:line="240" w:lineRule="auto"/>
              <w:rPr>
                <w:rFonts w:ascii="宋体" w:hAnsi="宋体"/>
                <w:color w:val="auto"/>
                <w:szCs w:val="21"/>
              </w:rPr>
            </w:pPr>
            <w:r>
              <w:rPr>
                <w:rFonts w:ascii="宋体" w:hAnsi="宋体"/>
                <w:color w:val="auto"/>
                <w:szCs w:val="21"/>
              </w:rPr>
              <w:t></w:t>
            </w:r>
            <w:r>
              <w:rPr>
                <w:rFonts w:hint="eastAsia" w:ascii="宋体" w:hAnsi="宋体"/>
                <w:color w:val="auto"/>
                <w:szCs w:val="21"/>
              </w:rPr>
              <w:t>≤6</w:t>
            </w:r>
            <w:r>
              <w:rPr>
                <w:rFonts w:ascii="宋体" w:hAnsi="宋体"/>
                <w:color w:val="auto"/>
                <w:szCs w:val="21"/>
              </w:rPr>
              <w:t>0（JM-100橡胶砂轮）</w:t>
            </w:r>
          </w:p>
        </w:tc>
        <w:tc>
          <w:tcPr>
            <w:tcW w:w="2972" w:type="dxa"/>
            <w:vAlign w:val="center"/>
          </w:tcPr>
          <w:p w14:paraId="266E1F42">
            <w:pPr>
              <w:spacing w:line="240" w:lineRule="auto"/>
              <w:rPr>
                <w:rFonts w:ascii="宋体" w:hAnsi="宋体"/>
                <w:color w:val="auto"/>
                <w:szCs w:val="21"/>
              </w:rPr>
            </w:pPr>
            <w:r>
              <w:rPr>
                <w:rFonts w:ascii="宋体" w:hAnsi="宋体"/>
                <w:color w:val="auto"/>
                <w:szCs w:val="21"/>
              </w:rPr>
              <w:t>—</w:t>
            </w:r>
          </w:p>
        </w:tc>
      </w:tr>
    </w:tbl>
    <w:p w14:paraId="48132524">
      <w:pPr>
        <w:spacing w:line="240" w:lineRule="auto"/>
        <w:rPr>
          <w:rFonts w:ascii="宋体" w:hAnsi="宋体"/>
          <w:color w:val="auto"/>
          <w:szCs w:val="21"/>
        </w:rPr>
      </w:pP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1</w:t>
      </w:r>
      <w:r>
        <w:rPr>
          <w:rFonts w:hint="eastAsia" w:ascii="宋体" w:hAnsi="宋体"/>
          <w:color w:val="auto"/>
          <w:szCs w:val="21"/>
        </w:rPr>
        <w:t>.</w:t>
      </w:r>
      <w:r>
        <w:rPr>
          <w:rFonts w:ascii="宋体" w:hAnsi="宋体"/>
          <w:color w:val="auto"/>
          <w:szCs w:val="21"/>
        </w:rPr>
        <w:t>5</w:t>
      </w:r>
      <w:r>
        <w:rPr>
          <w:rFonts w:hint="eastAsia" w:ascii="宋体" w:hAnsi="宋体"/>
          <w:color w:val="auto"/>
          <w:szCs w:val="21"/>
        </w:rPr>
        <w:t xml:space="preserve"> 材料</w:t>
      </w:r>
      <w:r>
        <w:rPr>
          <w:rFonts w:ascii="宋体" w:hAnsi="宋体"/>
          <w:color w:val="auto"/>
          <w:szCs w:val="21"/>
        </w:rPr>
        <w:t>的检验、包装、运输和</w:t>
      </w:r>
      <w:r>
        <w:rPr>
          <w:rFonts w:hint="eastAsia" w:ascii="宋体" w:hAnsi="宋体"/>
          <w:color w:val="auto"/>
          <w:szCs w:val="21"/>
        </w:rPr>
        <w:t>储存以及</w:t>
      </w:r>
      <w:r>
        <w:rPr>
          <w:rFonts w:ascii="宋体" w:hAnsi="宋体"/>
          <w:color w:val="auto"/>
          <w:szCs w:val="21"/>
        </w:rPr>
        <w:t>涂料的试验</w:t>
      </w:r>
      <w:r>
        <w:rPr>
          <w:rFonts w:hint="eastAsia" w:ascii="宋体" w:hAnsi="宋体"/>
          <w:color w:val="auto"/>
          <w:szCs w:val="21"/>
        </w:rPr>
        <w:t>应满足《公路</w:t>
      </w:r>
      <w:r>
        <w:rPr>
          <w:rFonts w:ascii="宋体" w:hAnsi="宋体"/>
          <w:color w:val="auto"/>
          <w:szCs w:val="21"/>
        </w:rPr>
        <w:t>工程标准施工招标文件</w:t>
      </w:r>
      <w:r>
        <w:rPr>
          <w:rFonts w:hint="eastAsia" w:ascii="宋体" w:hAnsi="宋体"/>
          <w:color w:val="auto"/>
          <w:szCs w:val="21"/>
        </w:rPr>
        <w:t>》（2018年</w:t>
      </w:r>
      <w:r>
        <w:rPr>
          <w:rFonts w:ascii="宋体" w:hAnsi="宋体"/>
          <w:color w:val="auto"/>
          <w:szCs w:val="21"/>
        </w:rPr>
        <w:t>版</w:t>
      </w:r>
      <w:r>
        <w:rPr>
          <w:rFonts w:hint="eastAsia" w:ascii="宋体" w:hAnsi="宋体"/>
          <w:color w:val="auto"/>
          <w:szCs w:val="21"/>
        </w:rPr>
        <w:t>）的</w:t>
      </w:r>
      <w:r>
        <w:rPr>
          <w:rFonts w:ascii="宋体" w:hAnsi="宋体"/>
          <w:color w:val="auto"/>
          <w:szCs w:val="21"/>
        </w:rPr>
        <w:t>有关</w:t>
      </w:r>
      <w:r>
        <w:rPr>
          <w:rFonts w:hint="eastAsia" w:ascii="宋体" w:hAnsi="宋体"/>
          <w:color w:val="auto"/>
          <w:szCs w:val="21"/>
        </w:rPr>
        <w:t>要求</w:t>
      </w:r>
      <w:r>
        <w:rPr>
          <w:rFonts w:ascii="宋体" w:hAnsi="宋体"/>
          <w:color w:val="auto"/>
          <w:szCs w:val="21"/>
        </w:rPr>
        <w:t>。</w:t>
      </w:r>
    </w:p>
    <w:p w14:paraId="1FDA948E">
      <w:pPr>
        <w:spacing w:line="240" w:lineRule="auto"/>
        <w:rPr>
          <w:rFonts w:ascii="宋体" w:hAnsi="宋体"/>
          <w:color w:val="auto"/>
          <w:szCs w:val="21"/>
        </w:rPr>
      </w:pPr>
      <w:r>
        <w:rPr>
          <w:rFonts w:ascii="宋体" w:hAnsi="宋体"/>
          <w:color w:val="auto"/>
          <w:szCs w:val="21"/>
        </w:rPr>
        <w:t xml:space="preserve">   </w:t>
      </w:r>
      <w:r>
        <w:rPr>
          <w:rFonts w:ascii="宋体" w:hAnsi="宋体"/>
          <w:color w:val="auto"/>
          <w:szCs w:val="21"/>
          <w:u w:val="double"/>
        </w:rPr>
        <w:t xml:space="preserve"> 1</w:t>
      </w:r>
      <w:r>
        <w:rPr>
          <w:rFonts w:hint="eastAsia" w:ascii="宋体" w:hAnsi="宋体"/>
          <w:color w:val="auto"/>
          <w:szCs w:val="21"/>
          <w:u w:val="double"/>
        </w:rPr>
        <w:t>.</w:t>
      </w:r>
      <w:r>
        <w:rPr>
          <w:rFonts w:ascii="宋体" w:hAnsi="宋体"/>
          <w:color w:val="auto"/>
          <w:szCs w:val="21"/>
          <w:u w:val="double"/>
        </w:rPr>
        <w:t xml:space="preserve">6 </w:t>
      </w:r>
      <w:r>
        <w:rPr>
          <w:rFonts w:hint="eastAsia" w:ascii="宋体" w:hAnsi="宋体"/>
          <w:color w:val="auto"/>
          <w:szCs w:val="21"/>
          <w:u w:val="double"/>
        </w:rPr>
        <w:t>应</w:t>
      </w:r>
      <w:r>
        <w:rPr>
          <w:rFonts w:ascii="宋体" w:hAnsi="宋体"/>
          <w:color w:val="auto"/>
          <w:szCs w:val="21"/>
          <w:u w:val="double"/>
        </w:rPr>
        <w:t>对运至工地的涂料</w:t>
      </w:r>
      <w:r>
        <w:rPr>
          <w:rFonts w:hint="eastAsia" w:ascii="宋体" w:hAnsi="宋体"/>
          <w:color w:val="auto"/>
          <w:szCs w:val="21"/>
          <w:u w:val="double"/>
        </w:rPr>
        <w:t>和</w:t>
      </w:r>
      <w:r>
        <w:rPr>
          <w:rFonts w:ascii="宋体" w:hAnsi="宋体"/>
          <w:color w:val="auto"/>
          <w:szCs w:val="21"/>
          <w:u w:val="double"/>
        </w:rPr>
        <w:t>玻璃珠等材料进行抽样检验，不合格产品，</w:t>
      </w:r>
      <w:r>
        <w:rPr>
          <w:rFonts w:hint="eastAsia" w:ascii="宋体" w:hAnsi="宋体"/>
          <w:color w:val="auto"/>
          <w:szCs w:val="21"/>
          <w:u w:val="double"/>
        </w:rPr>
        <w:t>严禁</w:t>
      </w:r>
      <w:r>
        <w:rPr>
          <w:rFonts w:ascii="宋体" w:hAnsi="宋体"/>
          <w:color w:val="auto"/>
          <w:szCs w:val="21"/>
          <w:u w:val="double"/>
        </w:rPr>
        <w:t>使用</w:t>
      </w:r>
      <w:r>
        <w:rPr>
          <w:rFonts w:hint="eastAsia" w:ascii="宋体" w:hAnsi="宋体"/>
          <w:color w:val="auto"/>
          <w:szCs w:val="21"/>
          <w:u w:val="double"/>
        </w:rPr>
        <w:t>。</w:t>
      </w:r>
    </w:p>
    <w:p w14:paraId="16067371">
      <w:pPr>
        <w:spacing w:line="240" w:lineRule="auto"/>
        <w:rPr>
          <w:rFonts w:hint="eastAsia" w:ascii="宋体" w:hAnsi="宋体"/>
          <w:color w:val="auto"/>
          <w:szCs w:val="21"/>
        </w:rPr>
      </w:pPr>
      <w:bookmarkStart w:id="170" w:name="_Toc34838411"/>
      <w:bookmarkEnd w:id="170"/>
      <w:bookmarkStart w:id="171" w:name="_Toc17671"/>
      <w:bookmarkEnd w:id="171"/>
      <w:bookmarkStart w:id="172" w:name="_Toc26177988"/>
      <w:bookmarkEnd w:id="172"/>
      <w:bookmarkStart w:id="173" w:name="_Toc30984"/>
      <w:bookmarkEnd w:id="173"/>
      <w:r>
        <w:rPr>
          <w:rFonts w:hint="eastAsia" w:ascii="宋体" w:hAnsi="宋体"/>
          <w:color w:val="auto"/>
          <w:szCs w:val="21"/>
        </w:rPr>
        <w:t xml:space="preserve">    </w:t>
      </w:r>
      <w:r>
        <w:rPr>
          <w:rFonts w:ascii="宋体" w:hAnsi="宋体"/>
          <w:b/>
          <w:bCs/>
          <w:color w:val="auto"/>
          <w:szCs w:val="21"/>
        </w:rPr>
        <w:t>2</w:t>
      </w:r>
      <w:r>
        <w:rPr>
          <w:rFonts w:hint="eastAsia" w:ascii="宋体" w:hAnsi="宋体"/>
          <w:b/>
          <w:bCs/>
          <w:color w:val="auto"/>
          <w:szCs w:val="21"/>
        </w:rPr>
        <w:t xml:space="preserve">  施工要求</w:t>
      </w:r>
    </w:p>
    <w:p w14:paraId="67A190E9">
      <w:pPr>
        <w:spacing w:line="240" w:lineRule="auto"/>
        <w:rPr>
          <w:rFonts w:ascii="宋体" w:hAnsi="宋体"/>
          <w:color w:val="auto"/>
          <w:szCs w:val="21"/>
        </w:rPr>
      </w:pPr>
      <w:bookmarkStart w:id="174" w:name="_Toc34838412"/>
      <w:bookmarkEnd w:id="174"/>
      <w:r>
        <w:rPr>
          <w:rFonts w:ascii="宋体" w:hAnsi="宋体"/>
          <w:color w:val="auto"/>
          <w:szCs w:val="21"/>
        </w:rPr>
        <w:t>2</w:t>
      </w:r>
      <w:r>
        <w:rPr>
          <w:rFonts w:hint="eastAsia" w:ascii="宋体" w:hAnsi="宋体"/>
          <w:color w:val="auto"/>
          <w:szCs w:val="21"/>
        </w:rPr>
        <w:t>.1</w:t>
      </w:r>
      <w:r>
        <w:rPr>
          <w:rFonts w:ascii="宋体" w:hAnsi="宋体"/>
          <w:color w:val="auto"/>
          <w:szCs w:val="21"/>
        </w:rPr>
        <w:t xml:space="preserve"> </w:t>
      </w:r>
      <w:r>
        <w:rPr>
          <w:rFonts w:hint="eastAsia" w:ascii="宋体" w:hAnsi="宋体"/>
          <w:color w:val="auto"/>
          <w:szCs w:val="21"/>
        </w:rPr>
        <w:t xml:space="preserve"> 旧标线清除（如有）</w:t>
      </w:r>
    </w:p>
    <w:p w14:paraId="7C24D63A">
      <w:pPr>
        <w:spacing w:line="240" w:lineRule="auto"/>
        <w:rPr>
          <w:rFonts w:ascii="宋体" w:hAnsi="宋体"/>
          <w:color w:val="auto"/>
          <w:szCs w:val="21"/>
          <w:u w:val="double"/>
        </w:rPr>
      </w:pPr>
      <w:r>
        <w:rPr>
          <w:rFonts w:ascii="宋体" w:hAnsi="宋体"/>
          <w:color w:val="auto"/>
          <w:szCs w:val="21"/>
          <w:u w:val="double"/>
        </w:rPr>
        <w:t xml:space="preserve">2.1.1 </w:t>
      </w:r>
      <w:r>
        <w:rPr>
          <w:rFonts w:hint="eastAsia" w:ascii="宋体" w:hAnsi="宋体"/>
          <w:color w:val="auto"/>
          <w:szCs w:val="21"/>
          <w:u w:val="double"/>
        </w:rPr>
        <w:t>旧标线应采用除线机清除。除线机应运转正常，磨头损坏后应及时更换，以免在除线过程中损伤路面；</w:t>
      </w:r>
    </w:p>
    <w:p w14:paraId="03F8C1CA">
      <w:pPr>
        <w:spacing w:line="240" w:lineRule="auto"/>
        <w:rPr>
          <w:rFonts w:ascii="宋体" w:hAnsi="宋体"/>
          <w:color w:val="auto"/>
          <w:szCs w:val="21"/>
          <w:u w:val="double"/>
        </w:rPr>
      </w:pPr>
      <w:r>
        <w:rPr>
          <w:rFonts w:ascii="宋体" w:hAnsi="宋体"/>
          <w:color w:val="auto"/>
          <w:szCs w:val="21"/>
          <w:u w:val="double"/>
        </w:rPr>
        <w:t xml:space="preserve">2.1.2 </w:t>
      </w:r>
      <w:r>
        <w:rPr>
          <w:rFonts w:hint="eastAsia" w:ascii="宋体" w:hAnsi="宋体"/>
          <w:color w:val="auto"/>
          <w:szCs w:val="21"/>
          <w:u w:val="double"/>
        </w:rPr>
        <w:t>清除旧标线时，每处以打磨两遍为宜，清除掉的旧标线废弃物应及时回收不得</w:t>
      </w:r>
      <w:r>
        <w:rPr>
          <w:rFonts w:ascii="宋体" w:hAnsi="宋体"/>
          <w:color w:val="auto"/>
          <w:szCs w:val="21"/>
          <w:u w:val="double"/>
        </w:rPr>
        <w:t>随意丢弃，避免污染环境</w:t>
      </w:r>
      <w:r>
        <w:rPr>
          <w:rFonts w:hint="eastAsia" w:ascii="宋体" w:hAnsi="宋体"/>
          <w:color w:val="auto"/>
          <w:szCs w:val="21"/>
          <w:u w:val="double"/>
        </w:rPr>
        <w:t>；</w:t>
      </w:r>
    </w:p>
    <w:p w14:paraId="6A21FCA8">
      <w:pPr>
        <w:spacing w:line="240" w:lineRule="auto"/>
        <w:rPr>
          <w:rFonts w:ascii="宋体" w:hAnsi="宋体"/>
          <w:color w:val="auto"/>
          <w:szCs w:val="21"/>
          <w:u w:val="double"/>
        </w:rPr>
      </w:pPr>
      <w:r>
        <w:rPr>
          <w:rFonts w:ascii="宋体" w:hAnsi="宋体"/>
          <w:color w:val="auto"/>
          <w:szCs w:val="21"/>
          <w:u w:val="double"/>
        </w:rPr>
        <w:t xml:space="preserve">2.1.3 </w:t>
      </w:r>
      <w:r>
        <w:rPr>
          <w:rFonts w:hint="eastAsia" w:ascii="宋体" w:hAnsi="宋体"/>
          <w:color w:val="auto"/>
          <w:szCs w:val="21"/>
          <w:u w:val="double"/>
        </w:rPr>
        <w:t>旧标线清除后，应使用带钢丝刷的扫地机清扫已除标线部位，然后采用吹风机将路面上的标线废弃物、沙石、尘埃等清扫干净；</w:t>
      </w:r>
    </w:p>
    <w:p w14:paraId="6CD9EF68">
      <w:pPr>
        <w:spacing w:line="240" w:lineRule="auto"/>
        <w:rPr>
          <w:rFonts w:ascii="宋体" w:hAnsi="宋体"/>
          <w:color w:val="auto"/>
          <w:szCs w:val="21"/>
          <w:u w:val="double"/>
        </w:rPr>
      </w:pPr>
      <w:r>
        <w:rPr>
          <w:rFonts w:ascii="宋体" w:hAnsi="宋体"/>
          <w:color w:val="auto"/>
          <w:szCs w:val="21"/>
          <w:u w:val="double"/>
        </w:rPr>
        <w:t xml:space="preserve">2.1.4 </w:t>
      </w:r>
      <w:r>
        <w:rPr>
          <w:rFonts w:hint="eastAsia" w:ascii="宋体" w:hAnsi="宋体"/>
          <w:color w:val="auto"/>
          <w:szCs w:val="21"/>
          <w:u w:val="double"/>
        </w:rPr>
        <w:t>清除旧</w:t>
      </w:r>
      <w:r>
        <w:rPr>
          <w:rFonts w:ascii="宋体" w:hAnsi="宋体"/>
          <w:color w:val="auto"/>
          <w:szCs w:val="21"/>
          <w:u w:val="double"/>
        </w:rPr>
        <w:t>标线时</w:t>
      </w:r>
      <w:r>
        <w:rPr>
          <w:rFonts w:hint="eastAsia" w:ascii="宋体" w:hAnsi="宋体"/>
          <w:color w:val="auto"/>
          <w:szCs w:val="21"/>
          <w:u w:val="double"/>
        </w:rPr>
        <w:t>应</w:t>
      </w:r>
      <w:r>
        <w:rPr>
          <w:rFonts w:ascii="宋体" w:hAnsi="宋体"/>
          <w:color w:val="auto"/>
          <w:szCs w:val="21"/>
          <w:u w:val="double"/>
        </w:rPr>
        <w:t>以保护原路面不受损坏</w:t>
      </w:r>
      <w:r>
        <w:rPr>
          <w:rFonts w:hint="eastAsia" w:ascii="宋体" w:hAnsi="宋体"/>
          <w:color w:val="auto"/>
          <w:szCs w:val="21"/>
          <w:u w:val="double"/>
        </w:rPr>
        <w:t>为</w:t>
      </w:r>
      <w:r>
        <w:rPr>
          <w:rFonts w:ascii="宋体" w:hAnsi="宋体"/>
          <w:color w:val="auto"/>
          <w:szCs w:val="21"/>
          <w:u w:val="double"/>
        </w:rPr>
        <w:t>前提，清除面应保持与原路面相</w:t>
      </w:r>
      <w:r>
        <w:rPr>
          <w:rFonts w:hint="eastAsia" w:ascii="宋体" w:hAnsi="宋体"/>
          <w:color w:val="auto"/>
          <w:szCs w:val="21"/>
          <w:u w:val="double"/>
        </w:rPr>
        <w:t>平</w:t>
      </w:r>
      <w:r>
        <w:rPr>
          <w:rFonts w:ascii="宋体" w:hAnsi="宋体"/>
          <w:color w:val="auto"/>
          <w:szCs w:val="21"/>
          <w:u w:val="double"/>
        </w:rPr>
        <w:t>，</w:t>
      </w:r>
      <w:r>
        <w:rPr>
          <w:rFonts w:hint="eastAsia" w:ascii="宋体" w:hAnsi="宋体"/>
          <w:color w:val="auto"/>
          <w:szCs w:val="21"/>
          <w:u w:val="double"/>
        </w:rPr>
        <w:t>沥青</w:t>
      </w:r>
      <w:r>
        <w:rPr>
          <w:rFonts w:ascii="宋体" w:hAnsi="宋体"/>
          <w:color w:val="auto"/>
          <w:szCs w:val="21"/>
          <w:u w:val="double"/>
        </w:rPr>
        <w:t>路面清除面积应尽可能达到</w:t>
      </w:r>
      <w:r>
        <w:rPr>
          <w:rFonts w:hint="eastAsia" w:ascii="宋体" w:hAnsi="宋体"/>
          <w:color w:val="auto"/>
          <w:szCs w:val="21"/>
          <w:u w:val="double"/>
        </w:rPr>
        <w:t>80</w:t>
      </w:r>
      <w:r>
        <w:rPr>
          <w:rFonts w:ascii="宋体" w:hAnsi="宋体"/>
          <w:color w:val="auto"/>
          <w:szCs w:val="21"/>
          <w:u w:val="double"/>
        </w:rPr>
        <w:t>%以上，</w:t>
      </w:r>
      <w:r>
        <w:rPr>
          <w:rFonts w:hint="eastAsia" w:ascii="宋体" w:hAnsi="宋体"/>
          <w:color w:val="auto"/>
          <w:szCs w:val="21"/>
          <w:u w:val="double"/>
        </w:rPr>
        <w:t>水泥</w:t>
      </w:r>
      <w:r>
        <w:rPr>
          <w:rFonts w:ascii="宋体" w:hAnsi="宋体"/>
          <w:color w:val="auto"/>
          <w:szCs w:val="21"/>
          <w:u w:val="double"/>
        </w:rPr>
        <w:t>路面清除面积应尽可能达到95%以上，清除的</w:t>
      </w:r>
      <w:r>
        <w:rPr>
          <w:rFonts w:hint="eastAsia" w:ascii="宋体" w:hAnsi="宋体"/>
          <w:color w:val="auto"/>
          <w:szCs w:val="21"/>
          <w:u w:val="double"/>
        </w:rPr>
        <w:t>旧</w:t>
      </w:r>
      <w:r>
        <w:rPr>
          <w:rFonts w:ascii="宋体" w:hAnsi="宋体"/>
          <w:color w:val="auto"/>
          <w:szCs w:val="21"/>
          <w:u w:val="double"/>
        </w:rPr>
        <w:t>标线应清扫干净。</w:t>
      </w:r>
    </w:p>
    <w:p w14:paraId="68A32926">
      <w:pPr>
        <w:spacing w:line="240" w:lineRule="auto"/>
        <w:rPr>
          <w:rFonts w:hint="eastAsia" w:ascii="宋体" w:hAnsi="宋体"/>
          <w:color w:val="auto"/>
          <w:szCs w:val="21"/>
        </w:rPr>
      </w:pPr>
      <w:bookmarkStart w:id="175" w:name="_Toc26177990"/>
      <w:bookmarkEnd w:id="175"/>
      <w:bookmarkStart w:id="176" w:name="_Toc16836"/>
      <w:bookmarkEnd w:id="176"/>
      <w:bookmarkStart w:id="177" w:name="_Toc34838413"/>
      <w:bookmarkEnd w:id="177"/>
      <w:bookmarkStart w:id="178" w:name="_Toc25210"/>
      <w:bookmarkEnd w:id="178"/>
      <w:bookmarkStart w:id="179" w:name="_Toc17275"/>
      <w:bookmarkEnd w:id="179"/>
      <w:r>
        <w:rPr>
          <w:rFonts w:hint="eastAsia" w:ascii="宋体" w:hAnsi="宋体"/>
          <w:color w:val="auto"/>
          <w:szCs w:val="21"/>
        </w:rPr>
        <w:t xml:space="preserve">    </w:t>
      </w:r>
      <w:r>
        <w:rPr>
          <w:rFonts w:ascii="宋体" w:hAnsi="宋体"/>
          <w:color w:val="auto"/>
          <w:szCs w:val="21"/>
        </w:rPr>
        <w:t>2</w:t>
      </w:r>
      <w:r>
        <w:rPr>
          <w:rFonts w:hint="eastAsia" w:ascii="宋体" w:hAnsi="宋体"/>
          <w:color w:val="auto"/>
          <w:szCs w:val="21"/>
        </w:rPr>
        <w:t xml:space="preserve">.2  </w:t>
      </w:r>
      <w:r>
        <w:rPr>
          <w:rFonts w:ascii="宋体" w:hAnsi="宋体"/>
          <w:color w:val="auto"/>
          <w:szCs w:val="21"/>
        </w:rPr>
        <w:t>路面标线</w:t>
      </w:r>
      <w:r>
        <w:rPr>
          <w:rFonts w:hint="eastAsia" w:ascii="宋体" w:hAnsi="宋体"/>
          <w:color w:val="auto"/>
          <w:szCs w:val="21"/>
        </w:rPr>
        <w:t>施划</w:t>
      </w:r>
    </w:p>
    <w:p w14:paraId="0DE46050">
      <w:pPr>
        <w:spacing w:line="240" w:lineRule="auto"/>
        <w:rPr>
          <w:rFonts w:ascii="宋体" w:hAnsi="宋体"/>
          <w:color w:val="auto"/>
          <w:szCs w:val="21"/>
        </w:rPr>
      </w:pPr>
      <w:r>
        <w:rPr>
          <w:rFonts w:ascii="宋体" w:hAnsi="宋体"/>
          <w:color w:val="auto"/>
          <w:szCs w:val="21"/>
        </w:rPr>
        <w:t>2</w:t>
      </w:r>
      <w:r>
        <w:rPr>
          <w:rFonts w:hint="eastAsia" w:ascii="宋体" w:hAnsi="宋体"/>
          <w:color w:val="auto"/>
          <w:szCs w:val="21"/>
        </w:rPr>
        <w:t>.2.1  标线施划前的准备</w:t>
      </w:r>
    </w:p>
    <w:p w14:paraId="321DF271">
      <w:pPr>
        <w:spacing w:line="240" w:lineRule="auto"/>
        <w:rPr>
          <w:rFonts w:ascii="宋体" w:hAnsi="宋体"/>
          <w:color w:val="auto"/>
          <w:szCs w:val="21"/>
        </w:rPr>
      </w:pPr>
      <w:r>
        <w:rPr>
          <w:rFonts w:ascii="宋体" w:hAnsi="宋体"/>
          <w:color w:val="auto"/>
          <w:szCs w:val="21"/>
        </w:rPr>
        <w:t>2.2.1.1设置标线的路面表面应清洁干燥，无松散颗粒、灰尘、沥青、油污或其他有害物质</w:t>
      </w:r>
      <w:r>
        <w:rPr>
          <w:rFonts w:hint="eastAsia" w:ascii="宋体" w:hAnsi="宋体"/>
          <w:color w:val="auto"/>
          <w:szCs w:val="21"/>
        </w:rPr>
        <w:t>。</w:t>
      </w:r>
    </w:p>
    <w:p w14:paraId="23F9268D">
      <w:pPr>
        <w:spacing w:line="240" w:lineRule="auto"/>
        <w:rPr>
          <w:rFonts w:ascii="宋体" w:hAnsi="宋体"/>
          <w:color w:val="auto"/>
          <w:szCs w:val="21"/>
        </w:rPr>
      </w:pPr>
      <w:r>
        <w:rPr>
          <w:rFonts w:ascii="宋体" w:hAnsi="宋体"/>
          <w:color w:val="auto"/>
          <w:szCs w:val="21"/>
        </w:rPr>
        <w:t>2.2.1.2 应根据公路横断面的具体尺寸和设计文件的要求确定标线位置和标线宽度、长度，在路面上划出标线位置</w:t>
      </w:r>
      <w:r>
        <w:rPr>
          <w:rFonts w:hint="eastAsia" w:ascii="宋体" w:hAnsi="宋体"/>
          <w:color w:val="auto"/>
          <w:szCs w:val="21"/>
        </w:rPr>
        <w:t>，</w:t>
      </w:r>
      <w:r>
        <w:rPr>
          <w:rFonts w:hint="eastAsia" w:ascii="宋体" w:hAnsi="宋体"/>
          <w:color w:val="auto"/>
          <w:szCs w:val="21"/>
          <w:u w:val="double"/>
        </w:rPr>
        <w:t>保证线条顺直、流畅 ，线型美观。</w:t>
      </w:r>
    </w:p>
    <w:p w14:paraId="710E73FC">
      <w:pPr>
        <w:spacing w:line="240" w:lineRule="auto"/>
        <w:rPr>
          <w:rFonts w:ascii="宋体" w:hAnsi="宋体"/>
          <w:color w:val="auto"/>
          <w:szCs w:val="21"/>
        </w:rPr>
      </w:pPr>
      <w:r>
        <w:rPr>
          <w:rFonts w:ascii="宋体" w:hAnsi="宋体"/>
          <w:color w:val="auto"/>
          <w:szCs w:val="21"/>
        </w:rPr>
        <w:t>2</w:t>
      </w:r>
      <w:r>
        <w:rPr>
          <w:rFonts w:hint="eastAsia" w:ascii="宋体" w:hAnsi="宋体"/>
          <w:color w:val="auto"/>
          <w:szCs w:val="21"/>
        </w:rPr>
        <w:t>.2.2  涂刷底油</w:t>
      </w:r>
    </w:p>
    <w:p w14:paraId="5684F13E">
      <w:pPr>
        <w:spacing w:line="240" w:lineRule="auto"/>
        <w:rPr>
          <w:rFonts w:ascii="宋体" w:hAnsi="宋体"/>
          <w:color w:val="auto"/>
          <w:szCs w:val="21"/>
        </w:rPr>
      </w:pPr>
      <w:r>
        <w:rPr>
          <w:rFonts w:ascii="宋体" w:hAnsi="宋体"/>
          <w:color w:val="auto"/>
          <w:szCs w:val="21"/>
        </w:rPr>
        <w:t>2.2.2.1</w:t>
      </w:r>
      <w:r>
        <w:rPr>
          <w:rFonts w:hint="eastAsia" w:ascii="宋体" w:hAnsi="宋体"/>
          <w:color w:val="auto"/>
          <w:szCs w:val="21"/>
        </w:rPr>
        <w:t>在水泥</w:t>
      </w:r>
      <w:r>
        <w:rPr>
          <w:rFonts w:ascii="宋体" w:hAnsi="宋体"/>
          <w:color w:val="auto"/>
          <w:szCs w:val="21"/>
        </w:rPr>
        <w:t>路面和旧的沥青路面</w:t>
      </w:r>
      <w:r>
        <w:rPr>
          <w:rFonts w:hint="eastAsia" w:ascii="宋体" w:hAnsi="宋体"/>
          <w:color w:val="auto"/>
          <w:szCs w:val="21"/>
        </w:rPr>
        <w:t>施加</w:t>
      </w:r>
      <w:r>
        <w:rPr>
          <w:rFonts w:ascii="宋体" w:hAnsi="宋体"/>
          <w:color w:val="auto"/>
          <w:szCs w:val="21"/>
        </w:rPr>
        <w:t>标线需要预涂底油时，应先喷涂热熔底油下涂</w:t>
      </w:r>
      <w:r>
        <w:rPr>
          <w:rFonts w:hint="eastAsia" w:ascii="宋体" w:hAnsi="宋体"/>
          <w:color w:val="auto"/>
          <w:szCs w:val="21"/>
        </w:rPr>
        <w:t>剂</w:t>
      </w:r>
      <w:r>
        <w:rPr>
          <w:rFonts w:ascii="宋体" w:hAnsi="宋体"/>
          <w:color w:val="auto"/>
          <w:szCs w:val="21"/>
        </w:rPr>
        <w:t>，按试验决定的间隔时间喷涂热熔涂料，以提高其粘结力。</w:t>
      </w:r>
    </w:p>
    <w:p w14:paraId="439C2EF0">
      <w:pPr>
        <w:spacing w:line="240" w:lineRule="auto"/>
        <w:rPr>
          <w:rFonts w:ascii="宋体" w:hAnsi="宋体"/>
          <w:color w:val="auto"/>
          <w:szCs w:val="21"/>
        </w:rPr>
      </w:pPr>
      <w:r>
        <w:rPr>
          <w:rFonts w:ascii="宋体" w:hAnsi="宋体"/>
          <w:color w:val="auto"/>
          <w:szCs w:val="21"/>
        </w:rPr>
        <w:t>2.2.2.2为了确保标线涂料和路面材料完全相适应，底油的类型和用量应经监理人批准</w:t>
      </w:r>
      <w:r>
        <w:rPr>
          <w:rFonts w:hint="eastAsia" w:ascii="宋体" w:hAnsi="宋体"/>
          <w:color w:val="auto"/>
          <w:szCs w:val="21"/>
        </w:rPr>
        <w:t>，</w:t>
      </w:r>
      <w:r>
        <w:rPr>
          <w:rFonts w:hint="eastAsia" w:ascii="宋体" w:hAnsi="宋体"/>
          <w:color w:val="auto"/>
          <w:szCs w:val="21"/>
          <w:u w:val="double"/>
        </w:rPr>
        <w:t>原则</w:t>
      </w:r>
      <w:r>
        <w:rPr>
          <w:rFonts w:ascii="宋体" w:hAnsi="宋体"/>
          <w:color w:val="auto"/>
          <w:szCs w:val="21"/>
          <w:u w:val="double"/>
        </w:rPr>
        <w:t>上，</w:t>
      </w:r>
      <w:r>
        <w:rPr>
          <w:rFonts w:hint="eastAsia" w:ascii="宋体" w:hAnsi="宋体"/>
          <w:color w:val="auto"/>
          <w:szCs w:val="21"/>
          <w:u w:val="double"/>
        </w:rPr>
        <w:t>底油用量为0.15kg/㎡～0.20kg/㎡，应使用</w:t>
      </w:r>
      <w:r>
        <w:rPr>
          <w:rFonts w:ascii="宋体" w:hAnsi="宋体"/>
          <w:color w:val="auto"/>
          <w:szCs w:val="21"/>
          <w:u w:val="double"/>
        </w:rPr>
        <w:t>涂料厂家提供的底油</w:t>
      </w:r>
      <w:r>
        <w:rPr>
          <w:rFonts w:hint="eastAsia" w:ascii="宋体" w:hAnsi="宋体"/>
          <w:color w:val="auto"/>
          <w:szCs w:val="21"/>
          <w:u w:val="double"/>
        </w:rPr>
        <w:t>，严禁</w:t>
      </w:r>
      <w:r>
        <w:rPr>
          <w:rFonts w:ascii="宋体" w:hAnsi="宋体"/>
          <w:color w:val="auto"/>
          <w:szCs w:val="21"/>
          <w:u w:val="double"/>
        </w:rPr>
        <w:t>使用</w:t>
      </w:r>
      <w:r>
        <w:rPr>
          <w:rFonts w:hint="eastAsia" w:ascii="宋体" w:hAnsi="宋体"/>
          <w:color w:val="auto"/>
          <w:szCs w:val="21"/>
          <w:u w:val="double"/>
        </w:rPr>
        <w:t>废机油。</w:t>
      </w:r>
    </w:p>
    <w:p w14:paraId="7EAD269E">
      <w:pPr>
        <w:spacing w:line="240" w:lineRule="auto"/>
        <w:rPr>
          <w:rFonts w:ascii="宋体" w:hAnsi="宋体"/>
          <w:color w:val="auto"/>
          <w:szCs w:val="21"/>
          <w:u w:val="double"/>
        </w:rPr>
      </w:pPr>
      <w:r>
        <w:rPr>
          <w:rFonts w:ascii="宋体" w:hAnsi="宋体"/>
          <w:color w:val="auto"/>
          <w:szCs w:val="21"/>
          <w:u w:val="double"/>
        </w:rPr>
        <w:t>2.2.2.3</w:t>
      </w:r>
      <w:r>
        <w:rPr>
          <w:rFonts w:hint="eastAsia" w:ascii="宋体" w:hAnsi="宋体"/>
          <w:color w:val="auto"/>
          <w:szCs w:val="21"/>
          <w:u w:val="double"/>
        </w:rPr>
        <w:t>底油应使用底油喷涂机进行喷涂，喷涂的底油应完全覆盖待划标线部位，且其边缘应较标线宽约1</w:t>
      </w:r>
      <w:r>
        <w:rPr>
          <w:rFonts w:ascii="宋体" w:hAnsi="宋体"/>
          <w:color w:val="auto"/>
          <w:szCs w:val="21"/>
          <w:u w:val="double"/>
        </w:rPr>
        <w:t>cm</w:t>
      </w:r>
      <w:r>
        <w:rPr>
          <w:rFonts w:hint="eastAsia" w:ascii="宋体" w:hAnsi="宋体"/>
          <w:color w:val="auto"/>
          <w:szCs w:val="21"/>
          <w:u w:val="double"/>
        </w:rPr>
        <w:t>。</w:t>
      </w:r>
    </w:p>
    <w:p w14:paraId="002B1013">
      <w:pPr>
        <w:spacing w:line="240" w:lineRule="auto"/>
        <w:rPr>
          <w:rFonts w:ascii="宋体" w:hAnsi="宋体"/>
          <w:color w:val="auto"/>
          <w:szCs w:val="21"/>
        </w:rPr>
      </w:pPr>
      <w:r>
        <w:rPr>
          <w:rFonts w:ascii="宋体" w:hAnsi="宋体"/>
          <w:color w:val="auto"/>
          <w:szCs w:val="21"/>
        </w:rPr>
        <w:t>2.2.2.4</w:t>
      </w:r>
      <w:r>
        <w:rPr>
          <w:rFonts w:hint="eastAsia" w:ascii="宋体" w:hAnsi="宋体"/>
          <w:color w:val="auto"/>
          <w:szCs w:val="21"/>
        </w:rPr>
        <w:t>待底油彻底干燥，不粘附灰尘、沙土时，</w:t>
      </w:r>
      <w:r>
        <w:rPr>
          <w:rFonts w:ascii="宋体" w:hAnsi="宋体"/>
          <w:color w:val="auto"/>
          <w:szCs w:val="21"/>
        </w:rPr>
        <w:t>方可</w:t>
      </w:r>
      <w:r>
        <w:rPr>
          <w:rFonts w:hint="eastAsia" w:ascii="宋体" w:hAnsi="宋体"/>
          <w:color w:val="auto"/>
          <w:szCs w:val="21"/>
        </w:rPr>
        <w:t>进行标线施划，以避免产生气泡甚至脱落等严重质量问题。</w:t>
      </w:r>
    </w:p>
    <w:p w14:paraId="2DA34177">
      <w:pPr>
        <w:spacing w:line="240" w:lineRule="auto"/>
        <w:rPr>
          <w:rFonts w:ascii="宋体" w:hAnsi="宋体"/>
          <w:color w:val="auto"/>
          <w:szCs w:val="21"/>
        </w:rPr>
      </w:pPr>
      <w:r>
        <w:rPr>
          <w:rFonts w:ascii="宋体" w:hAnsi="宋体"/>
          <w:color w:val="auto"/>
          <w:szCs w:val="21"/>
        </w:rPr>
        <w:t>2</w:t>
      </w:r>
      <w:r>
        <w:rPr>
          <w:rFonts w:hint="eastAsia" w:ascii="宋体" w:hAnsi="宋体"/>
          <w:color w:val="auto"/>
          <w:szCs w:val="21"/>
        </w:rPr>
        <w:t>.2.3  涂料加热</w:t>
      </w:r>
    </w:p>
    <w:p w14:paraId="737EC4C7">
      <w:pPr>
        <w:spacing w:line="240" w:lineRule="auto"/>
        <w:rPr>
          <w:rFonts w:ascii="宋体" w:hAnsi="宋体"/>
          <w:color w:val="auto"/>
          <w:szCs w:val="21"/>
          <w:u w:val="double"/>
        </w:rPr>
      </w:pPr>
      <w:r>
        <w:rPr>
          <w:rFonts w:ascii="宋体" w:hAnsi="宋体"/>
          <w:color w:val="auto"/>
          <w:szCs w:val="21"/>
          <w:u w:val="double"/>
        </w:rPr>
        <w:t>2.2.3.1</w:t>
      </w:r>
      <w:r>
        <w:rPr>
          <w:rFonts w:hint="eastAsia" w:ascii="宋体" w:hAnsi="宋体"/>
          <w:color w:val="auto"/>
          <w:szCs w:val="21"/>
          <w:u w:val="double"/>
        </w:rPr>
        <w:t>根据环境气温和涂料特性，涂料熔融温度宜保持在215℃～240℃，涂料应在完全熔化，并搅拌均匀后方可使用，禁止使用烧焦的物料。</w:t>
      </w:r>
    </w:p>
    <w:p w14:paraId="5DD35D61">
      <w:pPr>
        <w:spacing w:line="240" w:lineRule="auto"/>
        <w:rPr>
          <w:rFonts w:ascii="宋体" w:hAnsi="宋体"/>
          <w:color w:val="auto"/>
          <w:szCs w:val="21"/>
        </w:rPr>
      </w:pPr>
      <w:r>
        <w:rPr>
          <w:rFonts w:ascii="宋体" w:hAnsi="宋体"/>
          <w:color w:val="auto"/>
          <w:szCs w:val="21"/>
        </w:rPr>
        <w:t>2.2.3.2涂料在容器内加热时，温度应控制在涂料生产商的使用说明规定值内，不得超过最高限制温度</w:t>
      </w:r>
      <w:r>
        <w:rPr>
          <w:rFonts w:hint="eastAsia" w:ascii="宋体" w:hAnsi="宋体"/>
          <w:color w:val="auto"/>
          <w:szCs w:val="21"/>
        </w:rPr>
        <w:t>。</w:t>
      </w:r>
      <w:r>
        <w:rPr>
          <w:rFonts w:ascii="宋体" w:hAnsi="宋体"/>
          <w:color w:val="auto"/>
          <w:szCs w:val="21"/>
        </w:rPr>
        <w:t>烃树脂类材料，保持在熔融状态的时间不</w:t>
      </w:r>
      <w:r>
        <w:rPr>
          <w:rFonts w:hint="eastAsia" w:ascii="宋体" w:hAnsi="宋体"/>
          <w:color w:val="auto"/>
          <w:szCs w:val="21"/>
        </w:rPr>
        <w:t>得</w:t>
      </w:r>
      <w:r>
        <w:rPr>
          <w:rFonts w:ascii="宋体" w:hAnsi="宋体"/>
          <w:color w:val="auto"/>
          <w:szCs w:val="21"/>
        </w:rPr>
        <w:t>大于6h，树胶树脂类材料，保持在熔融状态的时间不</w:t>
      </w:r>
      <w:r>
        <w:rPr>
          <w:rFonts w:hint="eastAsia" w:ascii="宋体" w:hAnsi="宋体"/>
          <w:color w:val="auto"/>
          <w:szCs w:val="21"/>
        </w:rPr>
        <w:t>得</w:t>
      </w:r>
      <w:r>
        <w:rPr>
          <w:rFonts w:ascii="宋体" w:hAnsi="宋体"/>
          <w:color w:val="auto"/>
          <w:szCs w:val="21"/>
        </w:rPr>
        <w:t>大于4h。</w:t>
      </w:r>
    </w:p>
    <w:p w14:paraId="0FB84021">
      <w:pPr>
        <w:spacing w:line="240" w:lineRule="auto"/>
        <w:rPr>
          <w:rFonts w:ascii="宋体" w:hAnsi="宋体"/>
          <w:color w:val="auto"/>
          <w:szCs w:val="21"/>
        </w:rPr>
      </w:pPr>
      <w:r>
        <w:rPr>
          <w:rFonts w:ascii="宋体" w:hAnsi="宋体"/>
          <w:color w:val="auto"/>
          <w:szCs w:val="21"/>
        </w:rPr>
        <w:t>2</w:t>
      </w:r>
      <w:r>
        <w:rPr>
          <w:rFonts w:hint="eastAsia" w:ascii="宋体" w:hAnsi="宋体"/>
          <w:color w:val="auto"/>
          <w:szCs w:val="21"/>
        </w:rPr>
        <w:t>.2.4  标线施划</w:t>
      </w:r>
    </w:p>
    <w:p w14:paraId="5D3BEE68">
      <w:pPr>
        <w:spacing w:line="240" w:lineRule="auto"/>
        <w:rPr>
          <w:rFonts w:ascii="宋体" w:hAnsi="宋体"/>
          <w:color w:val="auto"/>
          <w:szCs w:val="21"/>
        </w:rPr>
      </w:pPr>
      <w:r>
        <w:rPr>
          <w:rFonts w:ascii="宋体" w:hAnsi="宋体"/>
          <w:color w:val="auto"/>
          <w:szCs w:val="21"/>
        </w:rPr>
        <w:t>2.2.4.1</w:t>
      </w:r>
      <w:r>
        <w:rPr>
          <w:rFonts w:hint="eastAsia" w:ascii="宋体" w:hAnsi="宋体"/>
          <w:color w:val="auto"/>
          <w:szCs w:val="21"/>
        </w:rPr>
        <w:t>标线</w:t>
      </w:r>
      <w:r>
        <w:rPr>
          <w:rFonts w:ascii="宋体" w:hAnsi="宋体"/>
          <w:color w:val="auto"/>
          <w:szCs w:val="21"/>
        </w:rPr>
        <w:t>施工应在白天进行，雨天</w:t>
      </w:r>
      <w:r>
        <w:rPr>
          <w:rFonts w:hint="eastAsia" w:ascii="宋体" w:hAnsi="宋体"/>
          <w:color w:val="auto"/>
          <w:szCs w:val="21"/>
        </w:rPr>
        <w:t>、</w:t>
      </w:r>
      <w:r>
        <w:rPr>
          <w:rFonts w:ascii="宋体" w:hAnsi="宋体"/>
          <w:color w:val="auto"/>
          <w:szCs w:val="21"/>
        </w:rPr>
        <w:t>风大</w:t>
      </w:r>
      <w:r>
        <w:rPr>
          <w:rFonts w:hint="eastAsia" w:ascii="宋体" w:hAnsi="宋体"/>
          <w:color w:val="auto"/>
          <w:szCs w:val="21"/>
        </w:rPr>
        <w:t>、</w:t>
      </w:r>
      <w:r>
        <w:rPr>
          <w:rFonts w:ascii="宋体" w:hAnsi="宋体"/>
          <w:color w:val="auto"/>
          <w:szCs w:val="21"/>
        </w:rPr>
        <w:t>灰尘大</w:t>
      </w:r>
      <w:r>
        <w:rPr>
          <w:rFonts w:hint="eastAsia" w:ascii="宋体" w:hAnsi="宋体"/>
          <w:color w:val="auto"/>
          <w:szCs w:val="21"/>
        </w:rPr>
        <w:t>或</w:t>
      </w:r>
      <w:r>
        <w:rPr>
          <w:rFonts w:ascii="宋体" w:hAnsi="宋体"/>
          <w:color w:val="auto"/>
          <w:szCs w:val="21"/>
        </w:rPr>
        <w:t>气温低于10℃时应暂时停止施工。</w:t>
      </w:r>
    </w:p>
    <w:p w14:paraId="5F2B1CC1">
      <w:pPr>
        <w:spacing w:line="240" w:lineRule="auto"/>
        <w:rPr>
          <w:rFonts w:ascii="宋体" w:hAnsi="宋体"/>
          <w:color w:val="auto"/>
          <w:szCs w:val="21"/>
        </w:rPr>
      </w:pPr>
      <w:r>
        <w:rPr>
          <w:rFonts w:ascii="宋体" w:hAnsi="宋体"/>
          <w:color w:val="auto"/>
          <w:szCs w:val="21"/>
        </w:rPr>
        <w:t>2.2.4.2正式施划前应进行试划，以检验划线车的行驶速度、线宽、标线厚度、玻璃珠撒布量等能否满足要求。调试合格后才能开始正式施工。</w:t>
      </w:r>
    </w:p>
    <w:p w14:paraId="42105F79">
      <w:pPr>
        <w:spacing w:line="240" w:lineRule="auto"/>
        <w:rPr>
          <w:rFonts w:ascii="宋体" w:hAnsi="宋体"/>
          <w:color w:val="auto"/>
          <w:szCs w:val="21"/>
          <w:u w:val="double"/>
        </w:rPr>
      </w:pPr>
      <w:r>
        <w:rPr>
          <w:rFonts w:ascii="宋体" w:hAnsi="宋体"/>
          <w:color w:val="auto"/>
          <w:szCs w:val="21"/>
          <w:u w:val="double"/>
        </w:rPr>
        <w:t>2.2.4.3</w:t>
      </w:r>
      <w:r>
        <w:rPr>
          <w:rFonts w:hint="eastAsia" w:ascii="宋体" w:hAnsi="宋体"/>
          <w:color w:val="auto"/>
          <w:szCs w:val="21"/>
          <w:u w:val="double"/>
        </w:rPr>
        <w:t>应使用安装有玻璃珠双撒播器的热熔划线车施划热熔标线，撒布在标线涂层上的玻璃珠应分布均匀，其撒布量应大于0.5kg/㎡，</w:t>
      </w:r>
      <w:r>
        <w:rPr>
          <w:rFonts w:ascii="宋体" w:hAnsi="宋体"/>
          <w:color w:val="auto"/>
          <w:szCs w:val="21"/>
          <w:u w:val="double"/>
        </w:rPr>
        <w:t>玻璃珠的撒布应经试验</w:t>
      </w:r>
      <w:r>
        <w:rPr>
          <w:rFonts w:hint="eastAsia" w:ascii="宋体" w:hAnsi="宋体"/>
          <w:color w:val="auto"/>
          <w:szCs w:val="21"/>
          <w:u w:val="double"/>
        </w:rPr>
        <w:t>确认</w:t>
      </w:r>
      <w:r>
        <w:rPr>
          <w:rFonts w:ascii="宋体" w:hAnsi="宋体"/>
          <w:color w:val="auto"/>
          <w:szCs w:val="21"/>
          <w:u w:val="double"/>
        </w:rPr>
        <w:t>后方可实施。</w:t>
      </w:r>
      <w:r>
        <w:rPr>
          <w:rFonts w:hint="eastAsia" w:ascii="宋体" w:hAnsi="宋体"/>
          <w:color w:val="auto"/>
          <w:szCs w:val="21"/>
          <w:u w:val="double"/>
        </w:rPr>
        <w:t>施工时应根据环境气温和路面状况，将涂料粘度调整到适宜的状态，尽量使面撒的玻璃珠颗粒有约2/3的体积沉入到标线涂层中</w:t>
      </w:r>
      <w:r>
        <w:rPr>
          <w:rFonts w:ascii="宋体" w:hAnsi="宋体"/>
          <w:color w:val="auto"/>
          <w:szCs w:val="21"/>
          <w:u w:val="double"/>
        </w:rPr>
        <w:t>。</w:t>
      </w:r>
    </w:p>
    <w:p w14:paraId="0D1D2552">
      <w:pPr>
        <w:spacing w:line="240" w:lineRule="auto"/>
        <w:rPr>
          <w:rFonts w:ascii="宋体" w:hAnsi="宋体"/>
          <w:color w:val="auto"/>
          <w:szCs w:val="21"/>
        </w:rPr>
      </w:pPr>
      <w:r>
        <w:rPr>
          <w:rFonts w:ascii="宋体" w:hAnsi="宋体"/>
          <w:color w:val="auto"/>
          <w:szCs w:val="21"/>
        </w:rPr>
        <w:t>2.2.4.4连续设置的实线类标线，应每隔15m左右设置排水缝，其他标线有可能阻水时，应沿排水方向设置排水缝</w:t>
      </w:r>
      <w:r>
        <w:rPr>
          <w:rFonts w:hint="eastAsia" w:ascii="宋体" w:hAnsi="宋体"/>
          <w:color w:val="auto"/>
          <w:szCs w:val="21"/>
        </w:rPr>
        <w:t>。</w:t>
      </w:r>
      <w:r>
        <w:rPr>
          <w:rFonts w:ascii="宋体" w:hAnsi="宋体"/>
          <w:color w:val="auto"/>
          <w:szCs w:val="21"/>
        </w:rPr>
        <w:t>排水缝宽度一般为3cm-5cm</w:t>
      </w:r>
      <w:r>
        <w:rPr>
          <w:rFonts w:hint="eastAsia" w:ascii="宋体" w:hAnsi="宋体"/>
          <w:color w:val="auto"/>
          <w:szCs w:val="21"/>
        </w:rPr>
        <w:t>。</w:t>
      </w:r>
    </w:p>
    <w:p w14:paraId="472081F3">
      <w:pPr>
        <w:spacing w:line="240" w:lineRule="auto"/>
        <w:rPr>
          <w:rFonts w:ascii="宋体" w:hAnsi="宋体"/>
          <w:color w:val="auto"/>
          <w:szCs w:val="21"/>
        </w:rPr>
      </w:pPr>
      <w:r>
        <w:rPr>
          <w:rFonts w:ascii="宋体" w:hAnsi="宋体"/>
          <w:color w:val="auto"/>
          <w:szCs w:val="21"/>
        </w:rPr>
        <w:t>2.2.4.5有缺陷的、</w:t>
      </w:r>
      <w:r>
        <w:rPr>
          <w:rFonts w:hint="eastAsia" w:ascii="宋体" w:hAnsi="宋体"/>
          <w:color w:val="auto"/>
          <w:szCs w:val="21"/>
        </w:rPr>
        <w:t>施工</w:t>
      </w:r>
      <w:r>
        <w:rPr>
          <w:rFonts w:ascii="宋体" w:hAnsi="宋体"/>
          <w:color w:val="auto"/>
          <w:szCs w:val="21"/>
        </w:rPr>
        <w:t>不当、尺寸不正确或位置错误的标线均应清除，</w:t>
      </w:r>
      <w:r>
        <w:rPr>
          <w:rFonts w:hint="eastAsia" w:ascii="宋体" w:hAnsi="宋体"/>
          <w:color w:val="auto"/>
          <w:szCs w:val="21"/>
        </w:rPr>
        <w:t>重新施划</w:t>
      </w:r>
      <w:r>
        <w:rPr>
          <w:rFonts w:ascii="宋体" w:hAnsi="宋体"/>
          <w:color w:val="auto"/>
          <w:szCs w:val="21"/>
        </w:rPr>
        <w:t>。</w:t>
      </w:r>
    </w:p>
    <w:p w14:paraId="050CA0DA">
      <w:pPr>
        <w:spacing w:line="240" w:lineRule="auto"/>
        <w:rPr>
          <w:rFonts w:ascii="宋体" w:hAnsi="宋体"/>
          <w:color w:val="auto"/>
          <w:szCs w:val="21"/>
        </w:rPr>
      </w:pPr>
      <w:r>
        <w:rPr>
          <w:rFonts w:ascii="宋体" w:hAnsi="宋体"/>
          <w:color w:val="auto"/>
          <w:szCs w:val="21"/>
        </w:rPr>
        <w:t>2.2.4.6</w:t>
      </w:r>
      <w:r>
        <w:rPr>
          <w:rFonts w:hint="eastAsia" w:ascii="宋体" w:hAnsi="宋体"/>
          <w:color w:val="auto"/>
          <w:szCs w:val="21"/>
        </w:rPr>
        <w:t>道路施工时，</w:t>
      </w:r>
      <w:r>
        <w:rPr>
          <w:rFonts w:ascii="宋体" w:hAnsi="宋体"/>
          <w:color w:val="auto"/>
          <w:szCs w:val="21"/>
        </w:rPr>
        <w:t>应有交通安全措施，设置</w:t>
      </w:r>
      <w:r>
        <w:rPr>
          <w:rFonts w:hint="eastAsia" w:ascii="宋体" w:hAnsi="宋体"/>
          <w:color w:val="auto"/>
          <w:szCs w:val="21"/>
        </w:rPr>
        <w:t>适当</w:t>
      </w:r>
      <w:r>
        <w:rPr>
          <w:rFonts w:ascii="宋体" w:hAnsi="宋体"/>
          <w:color w:val="auto"/>
          <w:szCs w:val="21"/>
        </w:rPr>
        <w:t>警告标志，</w:t>
      </w:r>
      <w:r>
        <w:rPr>
          <w:rFonts w:hint="eastAsia" w:ascii="宋体" w:hAnsi="宋体"/>
          <w:color w:val="auto"/>
          <w:szCs w:val="21"/>
        </w:rPr>
        <w:t>阻止</w:t>
      </w:r>
      <w:r>
        <w:rPr>
          <w:rFonts w:ascii="宋体" w:hAnsi="宋体"/>
          <w:color w:val="auto"/>
          <w:szCs w:val="21"/>
        </w:rPr>
        <w:t>车辆及行人在作业区内通行，防止将涂料带出或形成车辙，直至标线充分干燥</w:t>
      </w:r>
      <w:r>
        <w:rPr>
          <w:rFonts w:hint="eastAsia" w:ascii="宋体" w:hAnsi="宋体"/>
          <w:color w:val="auto"/>
          <w:szCs w:val="21"/>
        </w:rPr>
        <w:t>，方可开放交通。</w:t>
      </w:r>
    </w:p>
    <w:p w14:paraId="26B5D943">
      <w:pPr>
        <w:spacing w:line="240" w:lineRule="auto"/>
        <w:rPr>
          <w:rFonts w:ascii="宋体" w:hAnsi="宋体"/>
          <w:b/>
          <w:bCs/>
          <w:color w:val="auto"/>
          <w:szCs w:val="21"/>
        </w:rPr>
      </w:pPr>
      <w:bookmarkStart w:id="180" w:name="_Toc26177995"/>
      <w:bookmarkEnd w:id="180"/>
      <w:bookmarkStart w:id="181" w:name="_Toc2130"/>
      <w:bookmarkEnd w:id="181"/>
      <w:bookmarkStart w:id="182" w:name="_Toc34838414"/>
      <w:bookmarkEnd w:id="182"/>
      <w:bookmarkStart w:id="183" w:name="_Toc28247"/>
      <w:bookmarkEnd w:id="183"/>
      <w:r>
        <w:rPr>
          <w:rFonts w:ascii="宋体" w:hAnsi="宋体"/>
          <w:b/>
          <w:bCs/>
          <w:color w:val="auto"/>
          <w:szCs w:val="21"/>
        </w:rPr>
        <w:t>3</w:t>
      </w:r>
      <w:r>
        <w:rPr>
          <w:rFonts w:hint="eastAsia" w:ascii="宋体" w:hAnsi="宋体"/>
          <w:b/>
          <w:bCs/>
          <w:color w:val="auto"/>
          <w:szCs w:val="21"/>
        </w:rPr>
        <w:t xml:space="preserve">  质量检验</w:t>
      </w:r>
    </w:p>
    <w:p w14:paraId="1E628C3C">
      <w:pPr>
        <w:spacing w:line="240" w:lineRule="auto"/>
        <w:rPr>
          <w:rFonts w:ascii="宋体" w:hAnsi="宋体"/>
          <w:color w:val="auto"/>
          <w:szCs w:val="21"/>
        </w:rPr>
      </w:pPr>
      <w:bookmarkStart w:id="184" w:name="_Toc32535"/>
      <w:bookmarkEnd w:id="184"/>
      <w:bookmarkStart w:id="185" w:name="_Toc7400"/>
      <w:bookmarkEnd w:id="185"/>
      <w:bookmarkStart w:id="186" w:name="_Toc34838415"/>
      <w:bookmarkEnd w:id="186"/>
      <w:bookmarkStart w:id="187" w:name="_Toc26177996"/>
      <w:bookmarkEnd w:id="187"/>
      <w:bookmarkStart w:id="188" w:name="_Toc5572"/>
      <w:bookmarkEnd w:id="188"/>
      <w:r>
        <w:rPr>
          <w:rFonts w:ascii="宋体" w:hAnsi="宋体"/>
          <w:color w:val="auto"/>
          <w:szCs w:val="21"/>
        </w:rPr>
        <w:t>3</w:t>
      </w:r>
      <w:r>
        <w:rPr>
          <w:rFonts w:hint="eastAsia" w:ascii="宋体" w:hAnsi="宋体"/>
          <w:color w:val="auto"/>
          <w:szCs w:val="21"/>
        </w:rPr>
        <w:t xml:space="preserve">.1 </w:t>
      </w:r>
      <w:r>
        <w:rPr>
          <w:rFonts w:ascii="宋体" w:hAnsi="宋体"/>
          <w:color w:val="auto"/>
          <w:szCs w:val="21"/>
        </w:rPr>
        <w:t>基本要求</w:t>
      </w:r>
    </w:p>
    <w:p w14:paraId="270C38EA">
      <w:pPr>
        <w:spacing w:line="240" w:lineRule="auto"/>
        <w:rPr>
          <w:rFonts w:hint="eastAsia" w:ascii="宋体" w:hAnsi="宋体"/>
          <w:color w:val="auto"/>
          <w:szCs w:val="21"/>
        </w:rPr>
      </w:pPr>
      <w:r>
        <w:rPr>
          <w:rFonts w:hint="eastAsia" w:ascii="宋体" w:hAnsi="宋体"/>
          <w:color w:val="auto"/>
          <w:szCs w:val="21"/>
        </w:rPr>
        <w:t xml:space="preserve"> </w:t>
      </w:r>
      <w:r>
        <w:rPr>
          <w:rFonts w:ascii="宋体" w:hAnsi="宋体"/>
          <w:color w:val="auto"/>
          <w:szCs w:val="21"/>
        </w:rPr>
        <w:t>3</w:t>
      </w:r>
      <w:r>
        <w:rPr>
          <w:rFonts w:hint="eastAsia" w:ascii="宋体" w:hAnsi="宋体"/>
          <w:color w:val="auto"/>
          <w:szCs w:val="21"/>
        </w:rPr>
        <w:t>.1.</w:t>
      </w:r>
      <w:r>
        <w:rPr>
          <w:rFonts w:ascii="宋体" w:hAnsi="宋体"/>
          <w:color w:val="auto"/>
          <w:szCs w:val="21"/>
        </w:rPr>
        <w:t>1</w:t>
      </w:r>
      <w:r>
        <w:rPr>
          <w:rFonts w:hint="eastAsia" w:ascii="宋体" w:hAnsi="宋体"/>
          <w:color w:val="auto"/>
          <w:szCs w:val="21"/>
        </w:rPr>
        <w:t xml:space="preserve">  </w:t>
      </w:r>
      <w:r>
        <w:rPr>
          <w:rFonts w:ascii="宋体" w:hAnsi="宋体"/>
          <w:color w:val="auto"/>
          <w:szCs w:val="21"/>
        </w:rPr>
        <w:t>标线的颜色</w:t>
      </w:r>
      <w:r>
        <w:rPr>
          <w:rFonts w:hint="eastAsia" w:ascii="宋体" w:hAnsi="宋体"/>
          <w:color w:val="auto"/>
          <w:szCs w:val="21"/>
        </w:rPr>
        <w:t>、形状和位置应符合《道路交通标志和标线》（GB 5768）的规定并满足设计要求。</w:t>
      </w:r>
    </w:p>
    <w:p w14:paraId="78E2A3BB">
      <w:pPr>
        <w:spacing w:line="240" w:lineRule="auto"/>
        <w:rPr>
          <w:rFonts w:ascii="宋体" w:hAnsi="宋体"/>
          <w:color w:val="auto"/>
          <w:szCs w:val="21"/>
        </w:rPr>
      </w:pPr>
      <w:r>
        <w:rPr>
          <w:rFonts w:ascii="宋体" w:hAnsi="宋体"/>
          <w:color w:val="auto"/>
          <w:szCs w:val="21"/>
        </w:rPr>
        <w:t>3</w:t>
      </w:r>
      <w:r>
        <w:rPr>
          <w:rFonts w:hint="eastAsia" w:ascii="宋体" w:hAnsi="宋体"/>
          <w:color w:val="auto"/>
          <w:szCs w:val="21"/>
        </w:rPr>
        <w:t>.1.</w:t>
      </w:r>
      <w:r>
        <w:rPr>
          <w:rFonts w:ascii="宋体" w:hAnsi="宋体"/>
          <w:color w:val="auto"/>
          <w:szCs w:val="21"/>
        </w:rPr>
        <w:t xml:space="preserve">2  </w:t>
      </w:r>
      <w:r>
        <w:rPr>
          <w:rFonts w:hint="eastAsia" w:ascii="宋体" w:hAnsi="宋体"/>
          <w:color w:val="auto"/>
          <w:szCs w:val="21"/>
        </w:rPr>
        <w:t>施划后的标线应具有良好的全天候视认性，颜色均匀、边缘整齐、线型规则、线条流畅。</w:t>
      </w:r>
    </w:p>
    <w:p w14:paraId="6013BFD1">
      <w:pPr>
        <w:spacing w:line="240" w:lineRule="auto"/>
        <w:rPr>
          <w:rFonts w:ascii="宋体" w:hAnsi="宋体"/>
          <w:color w:val="auto"/>
          <w:szCs w:val="21"/>
        </w:rPr>
      </w:pPr>
      <w:r>
        <w:rPr>
          <w:rFonts w:ascii="宋体" w:hAnsi="宋体"/>
          <w:color w:val="auto"/>
          <w:szCs w:val="21"/>
        </w:rPr>
        <w:t>3</w:t>
      </w:r>
      <w:r>
        <w:rPr>
          <w:rFonts w:hint="eastAsia" w:ascii="宋体" w:hAnsi="宋体"/>
          <w:color w:val="auto"/>
          <w:szCs w:val="21"/>
        </w:rPr>
        <w:t>.1.</w:t>
      </w:r>
      <w:r>
        <w:rPr>
          <w:rFonts w:ascii="宋体" w:hAnsi="宋体"/>
          <w:color w:val="auto"/>
          <w:szCs w:val="21"/>
        </w:rPr>
        <w:t>3</w:t>
      </w:r>
      <w:r>
        <w:rPr>
          <w:rFonts w:hint="eastAsia" w:ascii="宋体" w:hAnsi="宋体"/>
          <w:color w:val="auto"/>
          <w:szCs w:val="21"/>
        </w:rPr>
        <w:t xml:space="preserve">  </w:t>
      </w:r>
      <w:r>
        <w:rPr>
          <w:rFonts w:ascii="宋体" w:hAnsi="宋体"/>
          <w:color w:val="auto"/>
          <w:szCs w:val="21"/>
        </w:rPr>
        <w:t>标线</w:t>
      </w:r>
      <w:r>
        <w:rPr>
          <w:rFonts w:hint="eastAsia" w:ascii="宋体" w:hAnsi="宋体"/>
          <w:color w:val="auto"/>
          <w:szCs w:val="21"/>
        </w:rPr>
        <w:t>面撒</w:t>
      </w:r>
      <w:r>
        <w:rPr>
          <w:rFonts w:ascii="宋体" w:hAnsi="宋体"/>
          <w:color w:val="auto"/>
          <w:szCs w:val="21"/>
        </w:rPr>
        <w:t>玻璃珠应撒布均匀</w:t>
      </w:r>
      <w:r>
        <w:rPr>
          <w:rFonts w:hint="eastAsia" w:ascii="宋体" w:hAnsi="宋体"/>
          <w:color w:val="auto"/>
          <w:szCs w:val="21"/>
        </w:rPr>
        <w:t>。标线无明显起泡、皱纹、开裂、剥落等缺陷。</w:t>
      </w:r>
    </w:p>
    <w:p w14:paraId="0E2E86D6">
      <w:pPr>
        <w:spacing w:line="240" w:lineRule="auto"/>
        <w:rPr>
          <w:rFonts w:ascii="宋体" w:hAnsi="宋体"/>
          <w:color w:val="auto"/>
          <w:szCs w:val="21"/>
          <w:u w:val="double"/>
        </w:rPr>
      </w:pPr>
      <w:r>
        <w:rPr>
          <w:rFonts w:ascii="宋体" w:hAnsi="宋体"/>
          <w:color w:val="auto"/>
          <w:szCs w:val="21"/>
          <w:u w:val="double"/>
        </w:rPr>
        <w:t>3</w:t>
      </w:r>
      <w:r>
        <w:rPr>
          <w:rFonts w:hint="eastAsia" w:ascii="宋体" w:hAnsi="宋体"/>
          <w:color w:val="auto"/>
          <w:szCs w:val="21"/>
          <w:u w:val="double"/>
        </w:rPr>
        <w:t>.1.</w:t>
      </w:r>
      <w:r>
        <w:rPr>
          <w:rFonts w:ascii="宋体" w:hAnsi="宋体"/>
          <w:color w:val="auto"/>
          <w:szCs w:val="21"/>
          <w:u w:val="double"/>
        </w:rPr>
        <w:t>4  标线施工污染路面应及时清理。</w:t>
      </w:r>
    </w:p>
    <w:p w14:paraId="5ABE8AF4">
      <w:pPr>
        <w:spacing w:line="240" w:lineRule="auto"/>
        <w:rPr>
          <w:rFonts w:hint="eastAsia" w:ascii="宋体" w:hAnsi="宋体"/>
          <w:b/>
          <w:color w:val="auto"/>
          <w:szCs w:val="21"/>
        </w:rPr>
      </w:pPr>
      <w:bookmarkStart w:id="189" w:name="_Toc31345"/>
      <w:bookmarkEnd w:id="189"/>
      <w:bookmarkStart w:id="190" w:name="_Toc31844"/>
      <w:bookmarkEnd w:id="190"/>
      <w:bookmarkStart w:id="191" w:name="_Toc6679"/>
      <w:bookmarkEnd w:id="191"/>
      <w:r>
        <w:rPr>
          <w:rFonts w:hint="eastAsia" w:ascii="宋体" w:hAnsi="宋体"/>
          <w:b/>
          <w:color w:val="auto"/>
          <w:szCs w:val="21"/>
        </w:rPr>
        <w:t xml:space="preserve">   </w:t>
      </w:r>
      <w:r>
        <w:rPr>
          <w:rFonts w:ascii="宋体" w:hAnsi="宋体"/>
          <w:color w:val="auto"/>
          <w:szCs w:val="21"/>
        </w:rPr>
        <w:t>3</w:t>
      </w:r>
      <w:r>
        <w:rPr>
          <w:rFonts w:hint="eastAsia" w:ascii="宋体" w:hAnsi="宋体"/>
          <w:color w:val="auto"/>
          <w:szCs w:val="21"/>
        </w:rPr>
        <w:t>.2  实测</w:t>
      </w:r>
      <w:r>
        <w:rPr>
          <w:rFonts w:ascii="宋体" w:hAnsi="宋体"/>
          <w:color w:val="auto"/>
          <w:szCs w:val="21"/>
        </w:rPr>
        <w:t>项目</w:t>
      </w:r>
    </w:p>
    <w:p w14:paraId="2545EA52">
      <w:pPr>
        <w:spacing w:line="240" w:lineRule="auto"/>
        <w:rPr>
          <w:rFonts w:hint="eastAsia" w:ascii="宋体" w:hAnsi="宋体"/>
          <w:color w:val="auto"/>
          <w:szCs w:val="21"/>
        </w:rPr>
      </w:pPr>
      <w:r>
        <w:rPr>
          <w:rFonts w:hint="eastAsia" w:ascii="宋体" w:hAnsi="宋体"/>
          <w:color w:val="auto"/>
          <w:szCs w:val="21"/>
        </w:rPr>
        <w:t>热熔</w:t>
      </w:r>
      <w:r>
        <w:rPr>
          <w:rFonts w:ascii="宋体" w:hAnsi="宋体"/>
          <w:color w:val="auto"/>
          <w:szCs w:val="21"/>
        </w:rPr>
        <w:t>标线</w:t>
      </w:r>
      <w:r>
        <w:rPr>
          <w:rFonts w:hint="eastAsia" w:ascii="宋体" w:hAnsi="宋体"/>
          <w:color w:val="auto"/>
          <w:szCs w:val="21"/>
        </w:rPr>
        <w:t>实测</w:t>
      </w:r>
      <w:r>
        <w:rPr>
          <w:rFonts w:ascii="宋体" w:hAnsi="宋体"/>
          <w:color w:val="auto"/>
          <w:szCs w:val="21"/>
        </w:rPr>
        <w:t>项目见表3</w:t>
      </w:r>
      <w:r>
        <w:rPr>
          <w:rFonts w:hint="eastAsia" w:ascii="宋体" w:hAnsi="宋体"/>
          <w:color w:val="auto"/>
          <w:szCs w:val="21"/>
        </w:rPr>
        <w:t>和表4</w:t>
      </w:r>
      <w:r>
        <w:rPr>
          <w:rFonts w:ascii="宋体" w:hAnsi="宋体"/>
          <w:color w:val="auto"/>
          <w:szCs w:val="21"/>
        </w:rPr>
        <w:t>。</w:t>
      </w:r>
    </w:p>
    <w:p w14:paraId="4206DC2B">
      <w:pPr>
        <w:spacing w:line="240" w:lineRule="auto"/>
        <w:ind w:firstLine="420" w:firstLineChars="200"/>
        <w:rPr>
          <w:rFonts w:ascii="宋体" w:hAnsi="宋体"/>
          <w:color w:val="auto"/>
          <w:szCs w:val="21"/>
        </w:rPr>
      </w:pPr>
      <w:r>
        <w:rPr>
          <w:rFonts w:ascii="宋体" w:hAnsi="宋体"/>
          <w:color w:val="auto"/>
          <w:szCs w:val="21"/>
        </w:rPr>
        <w:t xml:space="preserve">表3 </w:t>
      </w:r>
      <w:r>
        <w:rPr>
          <w:rFonts w:hint="eastAsia" w:ascii="宋体" w:hAnsi="宋体"/>
          <w:color w:val="auto"/>
          <w:szCs w:val="21"/>
        </w:rPr>
        <w:t>热熔标线实测项目</w:t>
      </w:r>
    </w:p>
    <w:tbl>
      <w:tblPr>
        <w:tblStyle w:val="2"/>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29"/>
        <w:gridCol w:w="1580"/>
        <w:gridCol w:w="817"/>
        <w:gridCol w:w="1196"/>
        <w:gridCol w:w="2011"/>
        <w:gridCol w:w="2471"/>
      </w:tblGrid>
      <w:tr w14:paraId="5E349B1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19" w:hRule="exact"/>
          <w:jc w:val="center"/>
        </w:trPr>
        <w:tc>
          <w:tcPr>
            <w:tcW w:w="829" w:type="dxa"/>
            <w:vAlign w:val="center"/>
          </w:tcPr>
          <w:p w14:paraId="0B3BF107">
            <w:pPr>
              <w:spacing w:line="240" w:lineRule="auto"/>
              <w:rPr>
                <w:rFonts w:ascii="宋体" w:hAnsi="宋体"/>
                <w:color w:val="auto"/>
                <w:szCs w:val="21"/>
              </w:rPr>
            </w:pPr>
            <w:r>
              <w:rPr>
                <w:rFonts w:ascii="宋体" w:hAnsi="宋体"/>
                <w:color w:val="auto"/>
                <w:szCs w:val="21"/>
              </w:rPr>
              <w:t>项次</w:t>
            </w:r>
          </w:p>
        </w:tc>
        <w:tc>
          <w:tcPr>
            <w:tcW w:w="3593" w:type="dxa"/>
            <w:gridSpan w:val="3"/>
            <w:vAlign w:val="center"/>
          </w:tcPr>
          <w:p w14:paraId="70EB1130">
            <w:pPr>
              <w:spacing w:line="240" w:lineRule="auto"/>
              <w:rPr>
                <w:rFonts w:ascii="宋体" w:hAnsi="宋体"/>
                <w:color w:val="auto"/>
                <w:szCs w:val="21"/>
              </w:rPr>
            </w:pPr>
            <w:r>
              <w:rPr>
                <w:rFonts w:ascii="宋体" w:hAnsi="宋体"/>
                <w:color w:val="auto"/>
                <w:szCs w:val="21"/>
              </w:rPr>
              <w:t>检查项目</w:t>
            </w:r>
          </w:p>
        </w:tc>
        <w:tc>
          <w:tcPr>
            <w:tcW w:w="2011" w:type="dxa"/>
            <w:vAlign w:val="center"/>
          </w:tcPr>
          <w:p w14:paraId="6C9DFBCE">
            <w:pPr>
              <w:spacing w:line="240" w:lineRule="auto"/>
              <w:rPr>
                <w:rFonts w:ascii="宋体" w:hAnsi="宋体"/>
                <w:color w:val="auto"/>
                <w:szCs w:val="21"/>
              </w:rPr>
            </w:pPr>
            <w:r>
              <w:rPr>
                <w:rFonts w:ascii="宋体" w:hAnsi="宋体"/>
                <w:color w:val="auto"/>
                <w:szCs w:val="21"/>
              </w:rPr>
              <w:t>规定值或允许偏差</w:t>
            </w:r>
          </w:p>
        </w:tc>
        <w:tc>
          <w:tcPr>
            <w:tcW w:w="2471" w:type="dxa"/>
            <w:vAlign w:val="center"/>
          </w:tcPr>
          <w:p w14:paraId="0C3E2FC7">
            <w:pPr>
              <w:spacing w:line="240" w:lineRule="auto"/>
              <w:rPr>
                <w:rFonts w:ascii="宋体" w:hAnsi="宋体"/>
                <w:color w:val="auto"/>
                <w:szCs w:val="21"/>
              </w:rPr>
            </w:pPr>
            <w:r>
              <w:rPr>
                <w:rFonts w:ascii="宋体" w:hAnsi="宋体"/>
                <w:color w:val="auto"/>
                <w:szCs w:val="21"/>
              </w:rPr>
              <w:t>检查方法和频率</w:t>
            </w:r>
          </w:p>
        </w:tc>
      </w:tr>
      <w:tr w14:paraId="07DBD74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56" w:hRule="exact"/>
          <w:jc w:val="center"/>
        </w:trPr>
        <w:tc>
          <w:tcPr>
            <w:tcW w:w="829" w:type="dxa"/>
            <w:vMerge w:val="restart"/>
            <w:vAlign w:val="center"/>
          </w:tcPr>
          <w:p w14:paraId="01C7BF2E">
            <w:pPr>
              <w:spacing w:line="240" w:lineRule="auto"/>
              <w:jc w:val="center"/>
              <w:rPr>
                <w:rFonts w:ascii="宋体" w:hAnsi="宋体"/>
                <w:color w:val="auto"/>
                <w:szCs w:val="21"/>
              </w:rPr>
            </w:pPr>
            <w:r>
              <w:rPr>
                <w:rFonts w:ascii="宋体" w:hAnsi="宋体"/>
                <w:color w:val="auto"/>
                <w:szCs w:val="21"/>
              </w:rPr>
              <w:t>1</w:t>
            </w:r>
          </w:p>
        </w:tc>
        <w:tc>
          <w:tcPr>
            <w:tcW w:w="1580" w:type="dxa"/>
            <w:vMerge w:val="restart"/>
            <w:vAlign w:val="center"/>
          </w:tcPr>
          <w:p w14:paraId="60119C64">
            <w:pPr>
              <w:spacing w:line="240" w:lineRule="auto"/>
              <w:rPr>
                <w:rFonts w:ascii="宋体" w:hAnsi="宋体"/>
                <w:color w:val="auto"/>
                <w:szCs w:val="21"/>
              </w:rPr>
            </w:pPr>
            <w:r>
              <w:rPr>
                <w:rFonts w:ascii="宋体" w:hAnsi="宋体"/>
                <w:color w:val="auto"/>
                <w:szCs w:val="21"/>
              </w:rPr>
              <w:t>标线线段长度</w:t>
            </w:r>
          </w:p>
          <w:p w14:paraId="50F957E3">
            <w:pPr>
              <w:spacing w:line="240" w:lineRule="auto"/>
              <w:rPr>
                <w:rFonts w:ascii="宋体" w:hAnsi="宋体"/>
                <w:color w:val="auto"/>
                <w:szCs w:val="21"/>
              </w:rPr>
            </w:pPr>
            <w:r>
              <w:rPr>
                <w:rFonts w:ascii="宋体" w:hAnsi="宋体"/>
                <w:color w:val="auto"/>
                <w:szCs w:val="21"/>
              </w:rPr>
              <w:t>（mm）</w:t>
            </w:r>
          </w:p>
        </w:tc>
        <w:tc>
          <w:tcPr>
            <w:tcW w:w="2013" w:type="dxa"/>
            <w:gridSpan w:val="2"/>
            <w:vAlign w:val="center"/>
          </w:tcPr>
          <w:p w14:paraId="08952C0A">
            <w:pPr>
              <w:spacing w:line="240" w:lineRule="auto"/>
              <w:rPr>
                <w:rFonts w:ascii="宋体" w:hAnsi="宋体"/>
                <w:color w:val="auto"/>
                <w:szCs w:val="21"/>
              </w:rPr>
            </w:pPr>
            <w:r>
              <w:rPr>
                <w:rFonts w:ascii="宋体" w:hAnsi="宋体"/>
                <w:color w:val="auto"/>
                <w:szCs w:val="21"/>
              </w:rPr>
              <w:t>6000</w:t>
            </w:r>
          </w:p>
        </w:tc>
        <w:tc>
          <w:tcPr>
            <w:tcW w:w="2011" w:type="dxa"/>
            <w:vAlign w:val="center"/>
          </w:tcPr>
          <w:p w14:paraId="284C9CE6">
            <w:pPr>
              <w:spacing w:line="240" w:lineRule="auto"/>
              <w:rPr>
                <w:rFonts w:ascii="宋体" w:hAnsi="宋体"/>
                <w:color w:val="auto"/>
                <w:szCs w:val="21"/>
              </w:rPr>
            </w:pPr>
            <w:r>
              <w:rPr>
                <w:rFonts w:ascii="宋体" w:hAnsi="宋体"/>
                <w:color w:val="auto"/>
                <w:szCs w:val="21"/>
              </w:rPr>
              <w:t>±30</w:t>
            </w:r>
          </w:p>
        </w:tc>
        <w:tc>
          <w:tcPr>
            <w:tcW w:w="2471" w:type="dxa"/>
            <w:vMerge w:val="restart"/>
            <w:vAlign w:val="center"/>
          </w:tcPr>
          <w:p w14:paraId="464A452C">
            <w:pPr>
              <w:spacing w:line="240" w:lineRule="auto"/>
              <w:rPr>
                <w:rFonts w:ascii="宋体" w:hAnsi="宋体"/>
                <w:color w:val="auto"/>
                <w:szCs w:val="21"/>
              </w:rPr>
            </w:pPr>
            <w:r>
              <w:rPr>
                <w:rFonts w:ascii="宋体" w:hAnsi="宋体"/>
                <w:color w:val="auto"/>
                <w:szCs w:val="21"/>
              </w:rPr>
              <w:t>尺量：每1km测3处，每处测</w:t>
            </w:r>
          </w:p>
          <w:p w14:paraId="1B4C60A9">
            <w:pPr>
              <w:spacing w:line="240" w:lineRule="auto"/>
              <w:rPr>
                <w:rFonts w:ascii="宋体" w:hAnsi="宋体"/>
                <w:color w:val="auto"/>
                <w:szCs w:val="21"/>
              </w:rPr>
            </w:pPr>
            <w:r>
              <w:rPr>
                <w:rFonts w:ascii="宋体" w:hAnsi="宋体"/>
                <w:color w:val="auto"/>
                <w:szCs w:val="21"/>
              </w:rPr>
              <w:t>3个线段</w:t>
            </w:r>
          </w:p>
        </w:tc>
      </w:tr>
      <w:tr w14:paraId="3696553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56" w:hRule="exact"/>
          <w:jc w:val="center"/>
        </w:trPr>
        <w:tc>
          <w:tcPr>
            <w:tcW w:w="829" w:type="dxa"/>
            <w:vMerge w:val="continue"/>
            <w:vAlign w:val="center"/>
          </w:tcPr>
          <w:p w14:paraId="6D46321B">
            <w:pPr>
              <w:spacing w:line="240" w:lineRule="auto"/>
              <w:jc w:val="center"/>
              <w:rPr>
                <w:rFonts w:ascii="宋体" w:hAnsi="宋体"/>
                <w:color w:val="auto"/>
                <w:szCs w:val="21"/>
              </w:rPr>
            </w:pPr>
          </w:p>
        </w:tc>
        <w:tc>
          <w:tcPr>
            <w:tcW w:w="1580" w:type="dxa"/>
            <w:vMerge w:val="continue"/>
            <w:vAlign w:val="center"/>
          </w:tcPr>
          <w:p w14:paraId="07B48BDB">
            <w:pPr>
              <w:spacing w:line="240" w:lineRule="auto"/>
              <w:rPr>
                <w:rFonts w:ascii="宋体" w:hAnsi="宋体"/>
                <w:color w:val="auto"/>
                <w:szCs w:val="21"/>
              </w:rPr>
            </w:pPr>
          </w:p>
        </w:tc>
        <w:tc>
          <w:tcPr>
            <w:tcW w:w="2013" w:type="dxa"/>
            <w:gridSpan w:val="2"/>
            <w:vAlign w:val="center"/>
          </w:tcPr>
          <w:p w14:paraId="52E32E97">
            <w:pPr>
              <w:spacing w:line="240" w:lineRule="auto"/>
              <w:rPr>
                <w:rFonts w:ascii="宋体" w:hAnsi="宋体"/>
                <w:color w:val="auto"/>
                <w:szCs w:val="21"/>
              </w:rPr>
            </w:pPr>
            <w:r>
              <w:rPr>
                <w:rFonts w:ascii="宋体" w:hAnsi="宋体"/>
                <w:color w:val="auto"/>
                <w:szCs w:val="21"/>
              </w:rPr>
              <w:t>4000</w:t>
            </w:r>
          </w:p>
        </w:tc>
        <w:tc>
          <w:tcPr>
            <w:tcW w:w="2011" w:type="dxa"/>
            <w:vAlign w:val="center"/>
          </w:tcPr>
          <w:p w14:paraId="1A5B215C">
            <w:pPr>
              <w:spacing w:line="240" w:lineRule="auto"/>
              <w:rPr>
                <w:rFonts w:ascii="宋体" w:hAnsi="宋体"/>
                <w:color w:val="auto"/>
                <w:szCs w:val="21"/>
              </w:rPr>
            </w:pPr>
            <w:r>
              <w:rPr>
                <w:rFonts w:ascii="宋体" w:hAnsi="宋体"/>
                <w:color w:val="auto"/>
                <w:szCs w:val="21"/>
              </w:rPr>
              <w:t>±20</w:t>
            </w:r>
          </w:p>
        </w:tc>
        <w:tc>
          <w:tcPr>
            <w:tcW w:w="2471" w:type="dxa"/>
            <w:vMerge w:val="continue"/>
            <w:vAlign w:val="center"/>
          </w:tcPr>
          <w:p w14:paraId="32D247B2">
            <w:pPr>
              <w:spacing w:line="240" w:lineRule="auto"/>
              <w:rPr>
                <w:rFonts w:ascii="宋体" w:hAnsi="宋体"/>
                <w:color w:val="auto"/>
                <w:szCs w:val="21"/>
              </w:rPr>
            </w:pPr>
          </w:p>
        </w:tc>
      </w:tr>
      <w:tr w14:paraId="5EB862F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56" w:hRule="exact"/>
          <w:jc w:val="center"/>
        </w:trPr>
        <w:tc>
          <w:tcPr>
            <w:tcW w:w="829" w:type="dxa"/>
            <w:vMerge w:val="continue"/>
            <w:vAlign w:val="center"/>
          </w:tcPr>
          <w:p w14:paraId="79027974">
            <w:pPr>
              <w:spacing w:line="240" w:lineRule="auto"/>
              <w:jc w:val="center"/>
              <w:rPr>
                <w:rFonts w:ascii="宋体" w:hAnsi="宋体"/>
                <w:color w:val="auto"/>
                <w:szCs w:val="21"/>
              </w:rPr>
            </w:pPr>
          </w:p>
        </w:tc>
        <w:tc>
          <w:tcPr>
            <w:tcW w:w="1580" w:type="dxa"/>
            <w:vMerge w:val="continue"/>
            <w:vAlign w:val="center"/>
          </w:tcPr>
          <w:p w14:paraId="28EF8437">
            <w:pPr>
              <w:spacing w:line="240" w:lineRule="auto"/>
              <w:rPr>
                <w:rFonts w:ascii="宋体" w:hAnsi="宋体"/>
                <w:color w:val="auto"/>
                <w:szCs w:val="21"/>
              </w:rPr>
            </w:pPr>
          </w:p>
        </w:tc>
        <w:tc>
          <w:tcPr>
            <w:tcW w:w="2013" w:type="dxa"/>
            <w:gridSpan w:val="2"/>
            <w:vAlign w:val="center"/>
          </w:tcPr>
          <w:p w14:paraId="1BB0AF0B">
            <w:pPr>
              <w:spacing w:line="240" w:lineRule="auto"/>
              <w:rPr>
                <w:rFonts w:ascii="宋体" w:hAnsi="宋体"/>
                <w:color w:val="auto"/>
                <w:szCs w:val="21"/>
              </w:rPr>
            </w:pPr>
            <w:r>
              <w:rPr>
                <w:rFonts w:ascii="宋体" w:hAnsi="宋体"/>
                <w:color w:val="auto"/>
                <w:szCs w:val="21"/>
              </w:rPr>
              <w:t>3000</w:t>
            </w:r>
          </w:p>
        </w:tc>
        <w:tc>
          <w:tcPr>
            <w:tcW w:w="2011" w:type="dxa"/>
            <w:vAlign w:val="center"/>
          </w:tcPr>
          <w:p w14:paraId="166CE01D">
            <w:pPr>
              <w:spacing w:line="240" w:lineRule="auto"/>
              <w:rPr>
                <w:rFonts w:ascii="宋体" w:hAnsi="宋体"/>
                <w:color w:val="auto"/>
                <w:szCs w:val="21"/>
              </w:rPr>
            </w:pPr>
            <w:r>
              <w:rPr>
                <w:rFonts w:ascii="宋体" w:hAnsi="宋体"/>
                <w:color w:val="auto"/>
                <w:szCs w:val="21"/>
              </w:rPr>
              <w:t>±15</w:t>
            </w:r>
          </w:p>
        </w:tc>
        <w:tc>
          <w:tcPr>
            <w:tcW w:w="2471" w:type="dxa"/>
            <w:vMerge w:val="continue"/>
            <w:vAlign w:val="center"/>
          </w:tcPr>
          <w:p w14:paraId="346BAA58">
            <w:pPr>
              <w:spacing w:line="240" w:lineRule="auto"/>
              <w:rPr>
                <w:rFonts w:ascii="宋体" w:hAnsi="宋体"/>
                <w:color w:val="auto"/>
                <w:szCs w:val="21"/>
              </w:rPr>
            </w:pPr>
          </w:p>
        </w:tc>
      </w:tr>
      <w:tr w14:paraId="67D16FA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56" w:hRule="exact"/>
          <w:jc w:val="center"/>
        </w:trPr>
        <w:tc>
          <w:tcPr>
            <w:tcW w:w="829" w:type="dxa"/>
            <w:vMerge w:val="continue"/>
            <w:vAlign w:val="center"/>
          </w:tcPr>
          <w:p w14:paraId="2AEC03E3">
            <w:pPr>
              <w:spacing w:line="240" w:lineRule="auto"/>
              <w:jc w:val="center"/>
              <w:rPr>
                <w:rFonts w:ascii="宋体" w:hAnsi="宋体"/>
                <w:color w:val="auto"/>
                <w:szCs w:val="21"/>
              </w:rPr>
            </w:pPr>
          </w:p>
        </w:tc>
        <w:tc>
          <w:tcPr>
            <w:tcW w:w="1580" w:type="dxa"/>
            <w:vMerge w:val="continue"/>
            <w:vAlign w:val="center"/>
          </w:tcPr>
          <w:p w14:paraId="08BCA580">
            <w:pPr>
              <w:spacing w:line="240" w:lineRule="auto"/>
              <w:rPr>
                <w:rFonts w:ascii="宋体" w:hAnsi="宋体"/>
                <w:color w:val="auto"/>
                <w:szCs w:val="21"/>
              </w:rPr>
            </w:pPr>
          </w:p>
        </w:tc>
        <w:tc>
          <w:tcPr>
            <w:tcW w:w="2013" w:type="dxa"/>
            <w:gridSpan w:val="2"/>
            <w:vAlign w:val="center"/>
          </w:tcPr>
          <w:p w14:paraId="02C5CD65">
            <w:pPr>
              <w:spacing w:line="240" w:lineRule="auto"/>
              <w:rPr>
                <w:rFonts w:ascii="宋体" w:hAnsi="宋体"/>
                <w:color w:val="auto"/>
                <w:szCs w:val="21"/>
              </w:rPr>
            </w:pPr>
            <w:r>
              <w:rPr>
                <w:rFonts w:ascii="宋体" w:hAnsi="宋体"/>
                <w:color w:val="auto"/>
                <w:szCs w:val="21"/>
              </w:rPr>
              <w:t>2000</w:t>
            </w:r>
          </w:p>
        </w:tc>
        <w:tc>
          <w:tcPr>
            <w:tcW w:w="2011" w:type="dxa"/>
            <w:vAlign w:val="center"/>
          </w:tcPr>
          <w:p w14:paraId="7AA62C96">
            <w:pPr>
              <w:spacing w:line="240" w:lineRule="auto"/>
              <w:rPr>
                <w:rFonts w:ascii="宋体" w:hAnsi="宋体"/>
                <w:color w:val="auto"/>
                <w:szCs w:val="21"/>
              </w:rPr>
            </w:pPr>
            <w:r>
              <w:rPr>
                <w:rFonts w:ascii="宋体" w:hAnsi="宋体"/>
                <w:color w:val="auto"/>
                <w:szCs w:val="21"/>
              </w:rPr>
              <w:t>±10</w:t>
            </w:r>
          </w:p>
        </w:tc>
        <w:tc>
          <w:tcPr>
            <w:tcW w:w="2471" w:type="dxa"/>
            <w:vMerge w:val="continue"/>
            <w:vAlign w:val="center"/>
          </w:tcPr>
          <w:p w14:paraId="16E864FC">
            <w:pPr>
              <w:spacing w:line="240" w:lineRule="auto"/>
              <w:rPr>
                <w:rFonts w:ascii="宋体" w:hAnsi="宋体"/>
                <w:color w:val="auto"/>
                <w:szCs w:val="21"/>
              </w:rPr>
            </w:pPr>
          </w:p>
        </w:tc>
      </w:tr>
      <w:tr w14:paraId="6BAFEE0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56" w:hRule="exact"/>
          <w:jc w:val="center"/>
        </w:trPr>
        <w:tc>
          <w:tcPr>
            <w:tcW w:w="829" w:type="dxa"/>
            <w:vMerge w:val="continue"/>
            <w:vAlign w:val="center"/>
          </w:tcPr>
          <w:p w14:paraId="411FF126">
            <w:pPr>
              <w:spacing w:line="240" w:lineRule="auto"/>
              <w:jc w:val="center"/>
              <w:rPr>
                <w:rFonts w:ascii="宋体" w:hAnsi="宋体"/>
                <w:color w:val="auto"/>
                <w:szCs w:val="21"/>
              </w:rPr>
            </w:pPr>
          </w:p>
        </w:tc>
        <w:tc>
          <w:tcPr>
            <w:tcW w:w="1580" w:type="dxa"/>
            <w:vMerge w:val="continue"/>
            <w:vAlign w:val="center"/>
          </w:tcPr>
          <w:p w14:paraId="15A47BB0">
            <w:pPr>
              <w:spacing w:line="240" w:lineRule="auto"/>
              <w:rPr>
                <w:rFonts w:ascii="宋体" w:hAnsi="宋体"/>
                <w:color w:val="auto"/>
                <w:szCs w:val="21"/>
              </w:rPr>
            </w:pPr>
          </w:p>
        </w:tc>
        <w:tc>
          <w:tcPr>
            <w:tcW w:w="2013" w:type="dxa"/>
            <w:gridSpan w:val="2"/>
            <w:vAlign w:val="center"/>
          </w:tcPr>
          <w:p w14:paraId="64EE39B3">
            <w:pPr>
              <w:spacing w:line="240" w:lineRule="auto"/>
              <w:rPr>
                <w:rFonts w:ascii="宋体" w:hAnsi="宋体"/>
                <w:color w:val="auto"/>
                <w:szCs w:val="21"/>
              </w:rPr>
            </w:pPr>
            <w:r>
              <w:rPr>
                <w:rFonts w:ascii="宋体" w:hAnsi="宋体"/>
                <w:color w:val="auto"/>
                <w:szCs w:val="21"/>
              </w:rPr>
              <w:t>1000</w:t>
            </w:r>
          </w:p>
        </w:tc>
        <w:tc>
          <w:tcPr>
            <w:tcW w:w="2011" w:type="dxa"/>
            <w:vAlign w:val="center"/>
          </w:tcPr>
          <w:p w14:paraId="44A611C5">
            <w:pPr>
              <w:spacing w:line="240" w:lineRule="auto"/>
              <w:rPr>
                <w:rFonts w:ascii="宋体" w:hAnsi="宋体"/>
                <w:color w:val="auto"/>
                <w:szCs w:val="21"/>
              </w:rPr>
            </w:pPr>
            <w:r>
              <w:rPr>
                <w:rFonts w:ascii="宋体" w:hAnsi="宋体"/>
                <w:color w:val="auto"/>
                <w:szCs w:val="21"/>
              </w:rPr>
              <w:t>±10</w:t>
            </w:r>
          </w:p>
        </w:tc>
        <w:tc>
          <w:tcPr>
            <w:tcW w:w="2471" w:type="dxa"/>
            <w:vMerge w:val="continue"/>
            <w:vAlign w:val="center"/>
          </w:tcPr>
          <w:p w14:paraId="04B385D6">
            <w:pPr>
              <w:spacing w:line="240" w:lineRule="auto"/>
              <w:rPr>
                <w:rFonts w:ascii="宋体" w:hAnsi="宋体"/>
                <w:color w:val="auto"/>
                <w:szCs w:val="21"/>
              </w:rPr>
            </w:pPr>
          </w:p>
        </w:tc>
      </w:tr>
      <w:tr w14:paraId="4C84384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7" w:hRule="exact"/>
          <w:jc w:val="center"/>
        </w:trPr>
        <w:tc>
          <w:tcPr>
            <w:tcW w:w="829" w:type="dxa"/>
            <w:vAlign w:val="center"/>
          </w:tcPr>
          <w:p w14:paraId="12EAD6B7">
            <w:pPr>
              <w:spacing w:line="240" w:lineRule="auto"/>
              <w:jc w:val="center"/>
              <w:rPr>
                <w:rFonts w:ascii="宋体" w:hAnsi="宋体"/>
                <w:color w:val="auto"/>
                <w:szCs w:val="21"/>
              </w:rPr>
            </w:pPr>
            <w:r>
              <w:rPr>
                <w:rFonts w:ascii="宋体" w:hAnsi="宋体"/>
                <w:color w:val="auto"/>
                <w:szCs w:val="21"/>
              </w:rPr>
              <w:t>2</w:t>
            </w:r>
          </w:p>
        </w:tc>
        <w:tc>
          <w:tcPr>
            <w:tcW w:w="3593" w:type="dxa"/>
            <w:gridSpan w:val="3"/>
            <w:vAlign w:val="center"/>
          </w:tcPr>
          <w:p w14:paraId="521A9BB6">
            <w:pPr>
              <w:spacing w:line="240" w:lineRule="auto"/>
              <w:rPr>
                <w:rFonts w:ascii="宋体" w:hAnsi="宋体"/>
                <w:color w:val="auto"/>
                <w:szCs w:val="21"/>
              </w:rPr>
            </w:pPr>
            <w:r>
              <w:rPr>
                <w:rFonts w:ascii="宋体" w:hAnsi="宋体"/>
                <w:color w:val="auto"/>
                <w:szCs w:val="21"/>
              </w:rPr>
              <w:t>标线宽度（mm）</w:t>
            </w:r>
          </w:p>
        </w:tc>
        <w:tc>
          <w:tcPr>
            <w:tcW w:w="2011" w:type="dxa"/>
            <w:vAlign w:val="center"/>
          </w:tcPr>
          <w:p w14:paraId="33A8E204">
            <w:pPr>
              <w:spacing w:line="240" w:lineRule="auto"/>
              <w:rPr>
                <w:rFonts w:ascii="宋体" w:hAnsi="宋体"/>
                <w:color w:val="auto"/>
                <w:szCs w:val="21"/>
              </w:rPr>
            </w:pPr>
            <w:r>
              <w:rPr>
                <w:rFonts w:ascii="宋体" w:hAnsi="宋体"/>
                <w:color w:val="auto"/>
                <w:szCs w:val="21"/>
              </w:rPr>
              <w:t>+5，0</w:t>
            </w:r>
          </w:p>
        </w:tc>
        <w:tc>
          <w:tcPr>
            <w:tcW w:w="2471" w:type="dxa"/>
            <w:vAlign w:val="center"/>
          </w:tcPr>
          <w:p w14:paraId="06A4B047">
            <w:pPr>
              <w:spacing w:line="240" w:lineRule="auto"/>
              <w:rPr>
                <w:rFonts w:ascii="宋体" w:hAnsi="宋体"/>
                <w:color w:val="auto"/>
                <w:szCs w:val="21"/>
              </w:rPr>
            </w:pPr>
            <w:r>
              <w:rPr>
                <w:rFonts w:ascii="宋体" w:hAnsi="宋体"/>
                <w:color w:val="auto"/>
                <w:szCs w:val="21"/>
              </w:rPr>
              <w:t>尺量：每1km测3处，每处测</w:t>
            </w:r>
          </w:p>
          <w:p w14:paraId="1EBFEBCA">
            <w:pPr>
              <w:spacing w:line="240" w:lineRule="auto"/>
              <w:rPr>
                <w:rFonts w:ascii="宋体" w:hAnsi="宋体"/>
                <w:color w:val="auto"/>
                <w:szCs w:val="21"/>
              </w:rPr>
            </w:pPr>
            <w:r>
              <w:rPr>
                <w:rFonts w:ascii="宋体" w:hAnsi="宋体"/>
                <w:color w:val="auto"/>
                <w:szCs w:val="21"/>
              </w:rPr>
              <w:t>3点</w:t>
            </w:r>
          </w:p>
        </w:tc>
      </w:tr>
      <w:tr w14:paraId="6AFB862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31" w:hRule="exact"/>
          <w:jc w:val="center"/>
        </w:trPr>
        <w:tc>
          <w:tcPr>
            <w:tcW w:w="829" w:type="dxa"/>
            <w:vMerge w:val="restart"/>
            <w:vAlign w:val="center"/>
          </w:tcPr>
          <w:p w14:paraId="1F16E489">
            <w:pPr>
              <w:spacing w:line="240" w:lineRule="auto"/>
              <w:jc w:val="center"/>
              <w:rPr>
                <w:rFonts w:ascii="宋体" w:hAnsi="宋体"/>
                <w:color w:val="auto"/>
                <w:szCs w:val="21"/>
              </w:rPr>
            </w:pPr>
            <w:r>
              <w:rPr>
                <w:rFonts w:ascii="宋体" w:hAnsi="宋体"/>
                <w:color w:val="auto"/>
                <w:szCs w:val="21"/>
              </w:rPr>
              <w:t>3</w:t>
            </w:r>
          </w:p>
        </w:tc>
        <w:tc>
          <w:tcPr>
            <w:tcW w:w="1580" w:type="dxa"/>
            <w:vMerge w:val="restart"/>
            <w:vAlign w:val="center"/>
          </w:tcPr>
          <w:p w14:paraId="388E9861">
            <w:pPr>
              <w:spacing w:line="240" w:lineRule="auto"/>
              <w:rPr>
                <w:rFonts w:ascii="宋体" w:hAnsi="宋体"/>
                <w:color w:val="auto"/>
                <w:szCs w:val="21"/>
              </w:rPr>
            </w:pPr>
            <w:r>
              <w:rPr>
                <w:rFonts w:ascii="宋体" w:hAnsi="宋体"/>
                <w:color w:val="auto"/>
                <w:szCs w:val="21"/>
              </w:rPr>
              <w:t>标线厚度</w:t>
            </w:r>
          </w:p>
          <w:p w14:paraId="62016744">
            <w:pPr>
              <w:spacing w:line="240" w:lineRule="auto"/>
              <w:rPr>
                <w:rFonts w:ascii="宋体" w:hAnsi="宋体"/>
                <w:color w:val="auto"/>
                <w:szCs w:val="21"/>
              </w:rPr>
            </w:pPr>
            <w:r>
              <w:rPr>
                <w:rFonts w:ascii="宋体" w:hAnsi="宋体"/>
                <w:color w:val="auto"/>
                <w:szCs w:val="21"/>
              </w:rPr>
              <w:t>（干膜，mm）</w:t>
            </w:r>
          </w:p>
        </w:tc>
        <w:tc>
          <w:tcPr>
            <w:tcW w:w="2013" w:type="dxa"/>
            <w:gridSpan w:val="2"/>
            <w:vAlign w:val="center"/>
          </w:tcPr>
          <w:p w14:paraId="3F5AB5BF">
            <w:pPr>
              <w:spacing w:line="240" w:lineRule="auto"/>
              <w:rPr>
                <w:rFonts w:ascii="宋体" w:hAnsi="宋体"/>
                <w:color w:val="auto"/>
                <w:szCs w:val="21"/>
              </w:rPr>
            </w:pPr>
            <w:r>
              <w:rPr>
                <w:rFonts w:ascii="宋体" w:hAnsi="宋体"/>
                <w:color w:val="auto"/>
                <w:szCs w:val="21"/>
              </w:rPr>
              <w:t>热熔型</w:t>
            </w:r>
          </w:p>
        </w:tc>
        <w:tc>
          <w:tcPr>
            <w:tcW w:w="2011" w:type="dxa"/>
            <w:vAlign w:val="center"/>
          </w:tcPr>
          <w:p w14:paraId="5AA41EF6">
            <w:pPr>
              <w:spacing w:line="240" w:lineRule="auto"/>
              <w:rPr>
                <w:rFonts w:hint="eastAsia" w:ascii="宋体" w:hAnsi="宋体"/>
                <w:color w:val="auto"/>
                <w:szCs w:val="21"/>
              </w:rPr>
            </w:pPr>
            <w:r>
              <w:rPr>
                <w:rFonts w:hint="eastAsia" w:ascii="宋体" w:hAnsi="宋体"/>
                <w:color w:val="auto"/>
                <w:szCs w:val="21"/>
              </w:rPr>
              <w:t>2.0mm(0,+0.5)</w:t>
            </w:r>
          </w:p>
        </w:tc>
        <w:tc>
          <w:tcPr>
            <w:tcW w:w="2471" w:type="dxa"/>
            <w:vMerge w:val="restart"/>
            <w:vAlign w:val="center"/>
          </w:tcPr>
          <w:p w14:paraId="14710FD4">
            <w:pPr>
              <w:spacing w:line="240" w:lineRule="auto"/>
              <w:rPr>
                <w:rFonts w:ascii="宋体" w:hAnsi="宋体"/>
                <w:color w:val="auto"/>
                <w:szCs w:val="21"/>
              </w:rPr>
            </w:pPr>
            <w:r>
              <w:rPr>
                <w:rFonts w:ascii="宋体" w:hAnsi="宋体"/>
                <w:color w:val="auto"/>
                <w:szCs w:val="21"/>
              </w:rPr>
              <w:t>标线厚度测量仪或卡尺：每</w:t>
            </w:r>
          </w:p>
          <w:p w14:paraId="654EFC5E">
            <w:pPr>
              <w:spacing w:line="240" w:lineRule="auto"/>
              <w:rPr>
                <w:rFonts w:ascii="宋体" w:hAnsi="宋体"/>
                <w:color w:val="auto"/>
                <w:szCs w:val="21"/>
              </w:rPr>
            </w:pPr>
            <w:r>
              <w:rPr>
                <w:rFonts w:ascii="宋体" w:hAnsi="宋体"/>
                <w:color w:val="auto"/>
                <w:szCs w:val="21"/>
              </w:rPr>
              <w:t>1km测3处，每处测6点</w:t>
            </w:r>
          </w:p>
        </w:tc>
      </w:tr>
      <w:tr w14:paraId="4069BCF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56" w:hRule="exact"/>
          <w:jc w:val="center"/>
        </w:trPr>
        <w:tc>
          <w:tcPr>
            <w:tcW w:w="829" w:type="dxa"/>
            <w:vMerge w:val="continue"/>
            <w:vAlign w:val="center"/>
          </w:tcPr>
          <w:p w14:paraId="5DA644B0">
            <w:pPr>
              <w:spacing w:line="240" w:lineRule="auto"/>
              <w:jc w:val="center"/>
              <w:rPr>
                <w:rFonts w:ascii="宋体" w:hAnsi="宋体"/>
                <w:color w:val="auto"/>
                <w:szCs w:val="21"/>
              </w:rPr>
            </w:pPr>
          </w:p>
        </w:tc>
        <w:tc>
          <w:tcPr>
            <w:tcW w:w="1580" w:type="dxa"/>
            <w:vMerge w:val="continue"/>
            <w:vAlign w:val="center"/>
          </w:tcPr>
          <w:p w14:paraId="5A3434D2">
            <w:pPr>
              <w:spacing w:line="240" w:lineRule="auto"/>
              <w:rPr>
                <w:rFonts w:ascii="宋体" w:hAnsi="宋体"/>
                <w:color w:val="auto"/>
                <w:szCs w:val="21"/>
              </w:rPr>
            </w:pPr>
          </w:p>
        </w:tc>
        <w:tc>
          <w:tcPr>
            <w:tcW w:w="817" w:type="dxa"/>
            <w:vMerge w:val="restart"/>
            <w:vAlign w:val="center"/>
          </w:tcPr>
          <w:p w14:paraId="2A2B172C">
            <w:pPr>
              <w:spacing w:line="240" w:lineRule="auto"/>
              <w:rPr>
                <w:rFonts w:ascii="宋体" w:hAnsi="宋体"/>
                <w:color w:val="auto"/>
                <w:szCs w:val="21"/>
              </w:rPr>
            </w:pPr>
            <w:r>
              <w:rPr>
                <w:rFonts w:ascii="宋体" w:hAnsi="宋体"/>
                <w:color w:val="auto"/>
                <w:szCs w:val="21"/>
              </w:rPr>
              <w:t>突起型</w:t>
            </w:r>
          </w:p>
        </w:tc>
        <w:tc>
          <w:tcPr>
            <w:tcW w:w="1196" w:type="dxa"/>
            <w:vAlign w:val="center"/>
          </w:tcPr>
          <w:p w14:paraId="7D484DC1">
            <w:pPr>
              <w:spacing w:line="240" w:lineRule="auto"/>
              <w:rPr>
                <w:rFonts w:ascii="宋体" w:hAnsi="宋体"/>
                <w:color w:val="auto"/>
                <w:szCs w:val="21"/>
              </w:rPr>
            </w:pPr>
            <w:r>
              <w:rPr>
                <w:rFonts w:ascii="宋体" w:hAnsi="宋体"/>
                <w:color w:val="auto"/>
                <w:szCs w:val="21"/>
              </w:rPr>
              <w:t>突起高度</w:t>
            </w:r>
          </w:p>
        </w:tc>
        <w:tc>
          <w:tcPr>
            <w:tcW w:w="2011" w:type="dxa"/>
            <w:vAlign w:val="center"/>
          </w:tcPr>
          <w:p w14:paraId="18F6D9DF">
            <w:pPr>
              <w:spacing w:line="240" w:lineRule="auto"/>
              <w:rPr>
                <w:rFonts w:ascii="宋体" w:hAnsi="宋体"/>
                <w:color w:val="auto"/>
                <w:szCs w:val="21"/>
              </w:rPr>
            </w:pPr>
            <w:r>
              <w:rPr>
                <w:rFonts w:ascii="宋体" w:hAnsi="宋体"/>
                <w:color w:val="auto"/>
                <w:szCs w:val="21"/>
              </w:rPr>
              <w:t>不小于设计值</w:t>
            </w:r>
          </w:p>
        </w:tc>
        <w:tc>
          <w:tcPr>
            <w:tcW w:w="2471" w:type="dxa"/>
            <w:vMerge w:val="continue"/>
            <w:vAlign w:val="center"/>
          </w:tcPr>
          <w:p w14:paraId="23FD55CE">
            <w:pPr>
              <w:spacing w:line="240" w:lineRule="auto"/>
              <w:rPr>
                <w:rFonts w:ascii="宋体" w:hAnsi="宋体"/>
                <w:color w:val="auto"/>
                <w:szCs w:val="21"/>
              </w:rPr>
            </w:pPr>
          </w:p>
        </w:tc>
      </w:tr>
      <w:tr w14:paraId="49684F9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56" w:hRule="exact"/>
          <w:jc w:val="center"/>
        </w:trPr>
        <w:tc>
          <w:tcPr>
            <w:tcW w:w="829" w:type="dxa"/>
            <w:vMerge w:val="continue"/>
            <w:vAlign w:val="center"/>
          </w:tcPr>
          <w:p w14:paraId="6F220235">
            <w:pPr>
              <w:spacing w:line="240" w:lineRule="auto"/>
              <w:jc w:val="center"/>
              <w:rPr>
                <w:rFonts w:ascii="宋体" w:hAnsi="宋体"/>
                <w:color w:val="auto"/>
                <w:szCs w:val="21"/>
              </w:rPr>
            </w:pPr>
          </w:p>
        </w:tc>
        <w:tc>
          <w:tcPr>
            <w:tcW w:w="1580" w:type="dxa"/>
            <w:vMerge w:val="continue"/>
            <w:vAlign w:val="center"/>
          </w:tcPr>
          <w:p w14:paraId="08A9F0C2">
            <w:pPr>
              <w:spacing w:line="240" w:lineRule="auto"/>
              <w:rPr>
                <w:rFonts w:ascii="宋体" w:hAnsi="宋体"/>
                <w:color w:val="auto"/>
                <w:szCs w:val="21"/>
              </w:rPr>
            </w:pPr>
          </w:p>
        </w:tc>
        <w:tc>
          <w:tcPr>
            <w:tcW w:w="817" w:type="dxa"/>
            <w:vMerge w:val="continue"/>
            <w:vAlign w:val="center"/>
          </w:tcPr>
          <w:p w14:paraId="2FED6560">
            <w:pPr>
              <w:spacing w:line="240" w:lineRule="auto"/>
              <w:rPr>
                <w:rFonts w:ascii="宋体" w:hAnsi="宋体"/>
                <w:color w:val="auto"/>
                <w:szCs w:val="21"/>
              </w:rPr>
            </w:pPr>
          </w:p>
        </w:tc>
        <w:tc>
          <w:tcPr>
            <w:tcW w:w="1196" w:type="dxa"/>
            <w:vAlign w:val="center"/>
          </w:tcPr>
          <w:p w14:paraId="5AB96806">
            <w:pPr>
              <w:spacing w:line="240" w:lineRule="auto"/>
              <w:rPr>
                <w:rFonts w:ascii="宋体" w:hAnsi="宋体"/>
                <w:color w:val="auto"/>
                <w:szCs w:val="21"/>
              </w:rPr>
            </w:pPr>
            <w:r>
              <w:rPr>
                <w:rFonts w:ascii="宋体" w:hAnsi="宋体"/>
                <w:color w:val="auto"/>
                <w:szCs w:val="21"/>
              </w:rPr>
              <w:t>基线厚度</w:t>
            </w:r>
          </w:p>
        </w:tc>
        <w:tc>
          <w:tcPr>
            <w:tcW w:w="2011" w:type="dxa"/>
            <w:vAlign w:val="center"/>
          </w:tcPr>
          <w:p w14:paraId="22CBA8CA">
            <w:pPr>
              <w:spacing w:line="240" w:lineRule="auto"/>
              <w:rPr>
                <w:rFonts w:ascii="宋体" w:hAnsi="宋体"/>
                <w:color w:val="auto"/>
                <w:szCs w:val="21"/>
              </w:rPr>
            </w:pPr>
            <w:r>
              <w:rPr>
                <w:rFonts w:ascii="宋体" w:hAnsi="宋体"/>
                <w:color w:val="auto"/>
                <w:szCs w:val="21"/>
              </w:rPr>
              <w:t>不小于设计值</w:t>
            </w:r>
          </w:p>
        </w:tc>
        <w:tc>
          <w:tcPr>
            <w:tcW w:w="2471" w:type="dxa"/>
            <w:vMerge w:val="continue"/>
            <w:vAlign w:val="center"/>
          </w:tcPr>
          <w:p w14:paraId="7C1C7099">
            <w:pPr>
              <w:spacing w:line="240" w:lineRule="auto"/>
              <w:rPr>
                <w:rFonts w:ascii="宋体" w:hAnsi="宋体"/>
                <w:color w:val="auto"/>
                <w:szCs w:val="21"/>
              </w:rPr>
            </w:pPr>
          </w:p>
        </w:tc>
      </w:tr>
      <w:tr w14:paraId="1572EB0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9" w:hRule="exact"/>
          <w:jc w:val="center"/>
        </w:trPr>
        <w:tc>
          <w:tcPr>
            <w:tcW w:w="829" w:type="dxa"/>
            <w:vAlign w:val="center"/>
          </w:tcPr>
          <w:p w14:paraId="293B085A">
            <w:pPr>
              <w:spacing w:line="240" w:lineRule="auto"/>
              <w:jc w:val="center"/>
              <w:rPr>
                <w:rFonts w:ascii="宋体" w:hAnsi="宋体"/>
                <w:color w:val="auto"/>
                <w:szCs w:val="21"/>
              </w:rPr>
            </w:pPr>
            <w:r>
              <w:rPr>
                <w:rFonts w:ascii="宋体" w:hAnsi="宋体"/>
                <w:color w:val="auto"/>
                <w:szCs w:val="21"/>
              </w:rPr>
              <w:t>4</w:t>
            </w:r>
          </w:p>
        </w:tc>
        <w:tc>
          <w:tcPr>
            <w:tcW w:w="3593" w:type="dxa"/>
            <w:gridSpan w:val="3"/>
            <w:vAlign w:val="center"/>
          </w:tcPr>
          <w:p w14:paraId="144C1727">
            <w:pPr>
              <w:spacing w:line="240" w:lineRule="auto"/>
              <w:rPr>
                <w:rFonts w:ascii="宋体" w:hAnsi="宋体"/>
                <w:color w:val="auto"/>
                <w:szCs w:val="21"/>
              </w:rPr>
            </w:pPr>
            <w:r>
              <w:rPr>
                <w:rFonts w:ascii="宋体" w:hAnsi="宋体"/>
                <w:color w:val="auto"/>
                <w:szCs w:val="21"/>
              </w:rPr>
              <w:t>标线横向偏位（mm）</w:t>
            </w:r>
          </w:p>
        </w:tc>
        <w:tc>
          <w:tcPr>
            <w:tcW w:w="2011" w:type="dxa"/>
            <w:vAlign w:val="center"/>
          </w:tcPr>
          <w:p w14:paraId="042931B3">
            <w:pPr>
              <w:spacing w:line="240" w:lineRule="auto"/>
              <w:rPr>
                <w:rFonts w:ascii="宋体" w:hAnsi="宋体"/>
                <w:color w:val="auto"/>
                <w:szCs w:val="21"/>
              </w:rPr>
            </w:pPr>
            <w:r>
              <w:rPr>
                <w:rFonts w:ascii="宋体" w:hAnsi="宋体"/>
                <w:color w:val="auto"/>
                <w:szCs w:val="21"/>
              </w:rPr>
              <w:t>≤30</w:t>
            </w:r>
          </w:p>
        </w:tc>
        <w:tc>
          <w:tcPr>
            <w:tcW w:w="2471" w:type="dxa"/>
            <w:vAlign w:val="center"/>
          </w:tcPr>
          <w:p w14:paraId="00ECA49E">
            <w:pPr>
              <w:spacing w:line="240" w:lineRule="auto"/>
              <w:rPr>
                <w:rFonts w:ascii="宋体" w:hAnsi="宋体"/>
                <w:color w:val="auto"/>
                <w:szCs w:val="21"/>
              </w:rPr>
            </w:pPr>
            <w:r>
              <w:rPr>
                <w:rFonts w:ascii="宋体" w:hAnsi="宋体"/>
                <w:color w:val="auto"/>
                <w:szCs w:val="21"/>
              </w:rPr>
              <w:t>尺量：每1km测3处，每处测</w:t>
            </w:r>
          </w:p>
          <w:p w14:paraId="647BE29B">
            <w:pPr>
              <w:spacing w:line="240" w:lineRule="auto"/>
              <w:rPr>
                <w:rFonts w:ascii="宋体" w:hAnsi="宋体"/>
                <w:color w:val="auto"/>
                <w:szCs w:val="21"/>
              </w:rPr>
            </w:pPr>
            <w:r>
              <w:rPr>
                <w:rFonts w:ascii="宋体" w:hAnsi="宋体"/>
                <w:color w:val="auto"/>
                <w:szCs w:val="21"/>
              </w:rPr>
              <w:t>3点</w:t>
            </w:r>
          </w:p>
        </w:tc>
      </w:tr>
      <w:tr w14:paraId="571D8F1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56" w:hRule="exact"/>
          <w:jc w:val="center"/>
        </w:trPr>
        <w:tc>
          <w:tcPr>
            <w:tcW w:w="829" w:type="dxa"/>
            <w:vMerge w:val="restart"/>
            <w:vAlign w:val="center"/>
          </w:tcPr>
          <w:p w14:paraId="0B1655FC">
            <w:pPr>
              <w:spacing w:line="240" w:lineRule="auto"/>
              <w:jc w:val="center"/>
              <w:rPr>
                <w:rFonts w:ascii="宋体" w:hAnsi="宋体"/>
                <w:color w:val="auto"/>
                <w:szCs w:val="21"/>
              </w:rPr>
            </w:pPr>
            <w:r>
              <w:rPr>
                <w:rFonts w:ascii="宋体" w:hAnsi="宋体"/>
                <w:color w:val="auto"/>
                <w:szCs w:val="21"/>
              </w:rPr>
              <w:t>5</w:t>
            </w:r>
          </w:p>
        </w:tc>
        <w:tc>
          <w:tcPr>
            <w:tcW w:w="1580" w:type="dxa"/>
            <w:vMerge w:val="restart"/>
            <w:vAlign w:val="center"/>
          </w:tcPr>
          <w:p w14:paraId="20947B71">
            <w:pPr>
              <w:spacing w:line="240" w:lineRule="auto"/>
              <w:rPr>
                <w:rFonts w:ascii="宋体" w:hAnsi="宋体"/>
                <w:color w:val="auto"/>
                <w:szCs w:val="21"/>
              </w:rPr>
            </w:pPr>
            <w:r>
              <w:rPr>
                <w:rFonts w:ascii="宋体" w:hAnsi="宋体"/>
                <w:color w:val="auto"/>
                <w:szCs w:val="21"/>
              </w:rPr>
              <w:t>标线纵向间距</w:t>
            </w:r>
          </w:p>
          <w:p w14:paraId="45D193FD">
            <w:pPr>
              <w:spacing w:line="240" w:lineRule="auto"/>
              <w:rPr>
                <w:rFonts w:ascii="宋体" w:hAnsi="宋体"/>
                <w:color w:val="auto"/>
                <w:szCs w:val="21"/>
              </w:rPr>
            </w:pPr>
            <w:r>
              <w:rPr>
                <w:rFonts w:ascii="宋体" w:hAnsi="宋体"/>
                <w:color w:val="auto"/>
                <w:szCs w:val="21"/>
              </w:rPr>
              <w:t>（mm）</w:t>
            </w:r>
          </w:p>
        </w:tc>
        <w:tc>
          <w:tcPr>
            <w:tcW w:w="2013" w:type="dxa"/>
            <w:gridSpan w:val="2"/>
            <w:vAlign w:val="center"/>
          </w:tcPr>
          <w:p w14:paraId="6216BDCE">
            <w:pPr>
              <w:spacing w:line="240" w:lineRule="auto"/>
              <w:rPr>
                <w:rFonts w:ascii="宋体" w:hAnsi="宋体"/>
                <w:color w:val="auto"/>
                <w:szCs w:val="21"/>
              </w:rPr>
            </w:pPr>
            <w:r>
              <w:rPr>
                <w:rFonts w:ascii="宋体" w:hAnsi="宋体"/>
                <w:color w:val="auto"/>
                <w:szCs w:val="21"/>
              </w:rPr>
              <w:t>9000</w:t>
            </w:r>
          </w:p>
        </w:tc>
        <w:tc>
          <w:tcPr>
            <w:tcW w:w="2011" w:type="dxa"/>
            <w:vAlign w:val="center"/>
          </w:tcPr>
          <w:p w14:paraId="64586D96">
            <w:pPr>
              <w:spacing w:line="240" w:lineRule="auto"/>
              <w:rPr>
                <w:rFonts w:ascii="宋体" w:hAnsi="宋体"/>
                <w:color w:val="auto"/>
                <w:szCs w:val="21"/>
              </w:rPr>
            </w:pPr>
            <w:r>
              <w:rPr>
                <w:rFonts w:ascii="宋体" w:hAnsi="宋体"/>
                <w:color w:val="auto"/>
                <w:szCs w:val="21"/>
              </w:rPr>
              <w:t>±45</w:t>
            </w:r>
          </w:p>
        </w:tc>
        <w:tc>
          <w:tcPr>
            <w:tcW w:w="2471" w:type="dxa"/>
            <w:vMerge w:val="restart"/>
            <w:vAlign w:val="center"/>
          </w:tcPr>
          <w:p w14:paraId="536D36AC">
            <w:pPr>
              <w:spacing w:line="240" w:lineRule="auto"/>
              <w:rPr>
                <w:rFonts w:ascii="宋体" w:hAnsi="宋体"/>
                <w:color w:val="auto"/>
                <w:szCs w:val="21"/>
              </w:rPr>
            </w:pPr>
            <w:r>
              <w:rPr>
                <w:rFonts w:ascii="宋体" w:hAnsi="宋体"/>
                <w:color w:val="auto"/>
                <w:szCs w:val="21"/>
              </w:rPr>
              <w:t>尺量：每1km测3处，每处测</w:t>
            </w:r>
          </w:p>
          <w:p w14:paraId="2E805A1E">
            <w:pPr>
              <w:spacing w:line="240" w:lineRule="auto"/>
              <w:rPr>
                <w:rFonts w:ascii="宋体" w:hAnsi="宋体"/>
                <w:color w:val="auto"/>
                <w:szCs w:val="21"/>
              </w:rPr>
            </w:pPr>
            <w:r>
              <w:rPr>
                <w:rFonts w:ascii="宋体" w:hAnsi="宋体"/>
                <w:color w:val="auto"/>
                <w:szCs w:val="21"/>
              </w:rPr>
              <w:t>3个线段</w:t>
            </w:r>
          </w:p>
        </w:tc>
      </w:tr>
      <w:tr w14:paraId="15B0C3D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56" w:hRule="exact"/>
          <w:jc w:val="center"/>
        </w:trPr>
        <w:tc>
          <w:tcPr>
            <w:tcW w:w="829" w:type="dxa"/>
            <w:vMerge w:val="continue"/>
            <w:vAlign w:val="center"/>
          </w:tcPr>
          <w:p w14:paraId="3DFE9194">
            <w:pPr>
              <w:spacing w:line="240" w:lineRule="auto"/>
              <w:jc w:val="center"/>
              <w:rPr>
                <w:rFonts w:ascii="宋体" w:hAnsi="宋体"/>
                <w:color w:val="auto"/>
                <w:szCs w:val="21"/>
              </w:rPr>
            </w:pPr>
          </w:p>
        </w:tc>
        <w:tc>
          <w:tcPr>
            <w:tcW w:w="1580" w:type="dxa"/>
            <w:vMerge w:val="continue"/>
            <w:vAlign w:val="center"/>
          </w:tcPr>
          <w:p w14:paraId="4B146E3C">
            <w:pPr>
              <w:spacing w:line="240" w:lineRule="auto"/>
              <w:rPr>
                <w:rFonts w:ascii="宋体" w:hAnsi="宋体"/>
                <w:color w:val="auto"/>
                <w:szCs w:val="21"/>
              </w:rPr>
            </w:pPr>
          </w:p>
        </w:tc>
        <w:tc>
          <w:tcPr>
            <w:tcW w:w="2013" w:type="dxa"/>
            <w:gridSpan w:val="2"/>
            <w:vAlign w:val="center"/>
          </w:tcPr>
          <w:p w14:paraId="1C30701F">
            <w:pPr>
              <w:spacing w:line="240" w:lineRule="auto"/>
              <w:rPr>
                <w:rFonts w:ascii="宋体" w:hAnsi="宋体"/>
                <w:color w:val="auto"/>
                <w:szCs w:val="21"/>
              </w:rPr>
            </w:pPr>
            <w:r>
              <w:rPr>
                <w:rFonts w:ascii="宋体" w:hAnsi="宋体"/>
                <w:color w:val="auto"/>
                <w:szCs w:val="21"/>
              </w:rPr>
              <w:t>6000</w:t>
            </w:r>
          </w:p>
        </w:tc>
        <w:tc>
          <w:tcPr>
            <w:tcW w:w="2011" w:type="dxa"/>
            <w:vAlign w:val="center"/>
          </w:tcPr>
          <w:p w14:paraId="5904BE9A">
            <w:pPr>
              <w:spacing w:line="240" w:lineRule="auto"/>
              <w:rPr>
                <w:rFonts w:ascii="宋体" w:hAnsi="宋体"/>
                <w:color w:val="auto"/>
                <w:szCs w:val="21"/>
              </w:rPr>
            </w:pPr>
            <w:r>
              <w:rPr>
                <w:rFonts w:ascii="宋体" w:hAnsi="宋体"/>
                <w:color w:val="auto"/>
                <w:szCs w:val="21"/>
              </w:rPr>
              <w:t>±30</w:t>
            </w:r>
          </w:p>
        </w:tc>
        <w:tc>
          <w:tcPr>
            <w:tcW w:w="2471" w:type="dxa"/>
            <w:vMerge w:val="continue"/>
            <w:vAlign w:val="center"/>
          </w:tcPr>
          <w:p w14:paraId="221ED881">
            <w:pPr>
              <w:spacing w:line="240" w:lineRule="auto"/>
              <w:rPr>
                <w:rFonts w:ascii="宋体" w:hAnsi="宋体"/>
                <w:color w:val="auto"/>
                <w:szCs w:val="21"/>
              </w:rPr>
            </w:pPr>
          </w:p>
        </w:tc>
      </w:tr>
      <w:tr w14:paraId="1CA404C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56" w:hRule="exact"/>
          <w:jc w:val="center"/>
        </w:trPr>
        <w:tc>
          <w:tcPr>
            <w:tcW w:w="829" w:type="dxa"/>
            <w:vMerge w:val="continue"/>
            <w:vAlign w:val="center"/>
          </w:tcPr>
          <w:p w14:paraId="7091D8BE">
            <w:pPr>
              <w:spacing w:line="240" w:lineRule="auto"/>
              <w:jc w:val="center"/>
              <w:rPr>
                <w:rFonts w:ascii="宋体" w:hAnsi="宋体"/>
                <w:color w:val="auto"/>
                <w:szCs w:val="21"/>
              </w:rPr>
            </w:pPr>
          </w:p>
        </w:tc>
        <w:tc>
          <w:tcPr>
            <w:tcW w:w="1580" w:type="dxa"/>
            <w:vMerge w:val="continue"/>
            <w:vAlign w:val="center"/>
          </w:tcPr>
          <w:p w14:paraId="0E4072CD">
            <w:pPr>
              <w:spacing w:line="240" w:lineRule="auto"/>
              <w:rPr>
                <w:rFonts w:ascii="宋体" w:hAnsi="宋体"/>
                <w:color w:val="auto"/>
                <w:szCs w:val="21"/>
              </w:rPr>
            </w:pPr>
          </w:p>
        </w:tc>
        <w:tc>
          <w:tcPr>
            <w:tcW w:w="2013" w:type="dxa"/>
            <w:gridSpan w:val="2"/>
            <w:vAlign w:val="center"/>
          </w:tcPr>
          <w:p w14:paraId="42B13638">
            <w:pPr>
              <w:spacing w:line="240" w:lineRule="auto"/>
              <w:rPr>
                <w:rFonts w:ascii="宋体" w:hAnsi="宋体"/>
                <w:color w:val="auto"/>
                <w:szCs w:val="21"/>
              </w:rPr>
            </w:pPr>
            <w:r>
              <w:rPr>
                <w:rFonts w:ascii="宋体" w:hAnsi="宋体"/>
                <w:color w:val="auto"/>
                <w:szCs w:val="21"/>
              </w:rPr>
              <w:t>4000</w:t>
            </w:r>
          </w:p>
        </w:tc>
        <w:tc>
          <w:tcPr>
            <w:tcW w:w="2011" w:type="dxa"/>
            <w:vAlign w:val="center"/>
          </w:tcPr>
          <w:p w14:paraId="1C15B3A6">
            <w:pPr>
              <w:spacing w:line="240" w:lineRule="auto"/>
              <w:rPr>
                <w:rFonts w:ascii="宋体" w:hAnsi="宋体"/>
                <w:color w:val="auto"/>
                <w:szCs w:val="21"/>
              </w:rPr>
            </w:pPr>
            <w:r>
              <w:rPr>
                <w:rFonts w:ascii="宋体" w:hAnsi="宋体"/>
                <w:color w:val="auto"/>
                <w:szCs w:val="21"/>
              </w:rPr>
              <w:t>±20</w:t>
            </w:r>
          </w:p>
        </w:tc>
        <w:tc>
          <w:tcPr>
            <w:tcW w:w="2471" w:type="dxa"/>
            <w:vMerge w:val="continue"/>
            <w:vAlign w:val="center"/>
          </w:tcPr>
          <w:p w14:paraId="5BC585CB">
            <w:pPr>
              <w:spacing w:line="240" w:lineRule="auto"/>
              <w:rPr>
                <w:rFonts w:ascii="宋体" w:hAnsi="宋体"/>
                <w:color w:val="auto"/>
                <w:szCs w:val="21"/>
              </w:rPr>
            </w:pPr>
          </w:p>
        </w:tc>
      </w:tr>
      <w:tr w14:paraId="7B5B2FB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56" w:hRule="exact"/>
          <w:jc w:val="center"/>
        </w:trPr>
        <w:tc>
          <w:tcPr>
            <w:tcW w:w="829" w:type="dxa"/>
            <w:vMerge w:val="continue"/>
            <w:vAlign w:val="center"/>
          </w:tcPr>
          <w:p w14:paraId="32D95D90">
            <w:pPr>
              <w:spacing w:line="240" w:lineRule="auto"/>
              <w:jc w:val="center"/>
              <w:rPr>
                <w:rFonts w:ascii="宋体" w:hAnsi="宋体"/>
                <w:color w:val="auto"/>
                <w:szCs w:val="21"/>
              </w:rPr>
            </w:pPr>
          </w:p>
        </w:tc>
        <w:tc>
          <w:tcPr>
            <w:tcW w:w="1580" w:type="dxa"/>
            <w:vMerge w:val="continue"/>
            <w:vAlign w:val="center"/>
          </w:tcPr>
          <w:p w14:paraId="5A13AD5B">
            <w:pPr>
              <w:spacing w:line="240" w:lineRule="auto"/>
              <w:rPr>
                <w:rFonts w:ascii="宋体" w:hAnsi="宋体"/>
                <w:color w:val="auto"/>
                <w:szCs w:val="21"/>
              </w:rPr>
            </w:pPr>
          </w:p>
        </w:tc>
        <w:tc>
          <w:tcPr>
            <w:tcW w:w="2013" w:type="dxa"/>
            <w:gridSpan w:val="2"/>
            <w:vAlign w:val="center"/>
          </w:tcPr>
          <w:p w14:paraId="011B1D2C">
            <w:pPr>
              <w:spacing w:line="240" w:lineRule="auto"/>
              <w:rPr>
                <w:rFonts w:ascii="宋体" w:hAnsi="宋体"/>
                <w:color w:val="auto"/>
                <w:szCs w:val="21"/>
              </w:rPr>
            </w:pPr>
            <w:r>
              <w:rPr>
                <w:rFonts w:ascii="宋体" w:hAnsi="宋体"/>
                <w:color w:val="auto"/>
                <w:szCs w:val="21"/>
              </w:rPr>
              <w:t>3000</w:t>
            </w:r>
          </w:p>
        </w:tc>
        <w:tc>
          <w:tcPr>
            <w:tcW w:w="2011" w:type="dxa"/>
            <w:vAlign w:val="center"/>
          </w:tcPr>
          <w:p w14:paraId="4C37211D">
            <w:pPr>
              <w:spacing w:line="240" w:lineRule="auto"/>
              <w:rPr>
                <w:rFonts w:ascii="宋体" w:hAnsi="宋体"/>
                <w:color w:val="auto"/>
                <w:szCs w:val="21"/>
              </w:rPr>
            </w:pPr>
            <w:r>
              <w:rPr>
                <w:rFonts w:ascii="宋体" w:hAnsi="宋体"/>
                <w:color w:val="auto"/>
                <w:szCs w:val="21"/>
              </w:rPr>
              <w:t>±15</w:t>
            </w:r>
          </w:p>
        </w:tc>
        <w:tc>
          <w:tcPr>
            <w:tcW w:w="2471" w:type="dxa"/>
            <w:vMerge w:val="continue"/>
            <w:vAlign w:val="center"/>
          </w:tcPr>
          <w:p w14:paraId="134CF18F">
            <w:pPr>
              <w:spacing w:line="240" w:lineRule="auto"/>
              <w:rPr>
                <w:rFonts w:ascii="宋体" w:hAnsi="宋体"/>
                <w:color w:val="auto"/>
                <w:szCs w:val="21"/>
              </w:rPr>
            </w:pPr>
          </w:p>
        </w:tc>
      </w:tr>
      <w:tr w14:paraId="518AF51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94" w:hRule="exact"/>
          <w:jc w:val="center"/>
        </w:trPr>
        <w:tc>
          <w:tcPr>
            <w:tcW w:w="829" w:type="dxa"/>
            <w:vAlign w:val="center"/>
          </w:tcPr>
          <w:p w14:paraId="04F1D9D3">
            <w:pPr>
              <w:spacing w:line="240" w:lineRule="auto"/>
              <w:jc w:val="center"/>
              <w:rPr>
                <w:rFonts w:hint="eastAsia" w:ascii="宋体" w:hAnsi="宋体"/>
                <w:color w:val="auto"/>
                <w:szCs w:val="21"/>
              </w:rPr>
            </w:pPr>
            <w:r>
              <w:rPr>
                <w:rFonts w:hint="eastAsia" w:ascii="宋体" w:hAnsi="宋体"/>
                <w:color w:val="auto"/>
                <w:szCs w:val="21"/>
              </w:rPr>
              <w:t>6</w:t>
            </w:r>
          </w:p>
        </w:tc>
        <w:tc>
          <w:tcPr>
            <w:tcW w:w="1580" w:type="dxa"/>
            <w:vAlign w:val="center"/>
          </w:tcPr>
          <w:p w14:paraId="323AC142">
            <w:pPr>
              <w:spacing w:line="240" w:lineRule="auto"/>
              <w:rPr>
                <w:rFonts w:ascii="宋体" w:hAnsi="宋体"/>
                <w:color w:val="auto"/>
                <w:szCs w:val="21"/>
              </w:rPr>
            </w:pPr>
            <w:r>
              <w:rPr>
                <w:rFonts w:ascii="宋体" w:hAnsi="宋体"/>
                <w:color w:val="auto"/>
                <w:szCs w:val="21"/>
              </w:rPr>
              <w:t>抗滑值</w:t>
            </w:r>
          </w:p>
          <w:p w14:paraId="172C50DF">
            <w:pPr>
              <w:spacing w:line="240" w:lineRule="auto"/>
              <w:rPr>
                <w:rFonts w:ascii="宋体" w:hAnsi="宋体"/>
                <w:color w:val="auto"/>
                <w:szCs w:val="21"/>
              </w:rPr>
            </w:pPr>
            <w:r>
              <w:rPr>
                <w:rFonts w:ascii="宋体" w:hAnsi="宋体"/>
                <w:color w:val="auto"/>
                <w:szCs w:val="21"/>
              </w:rPr>
              <w:t>（BPN）</w:t>
            </w:r>
          </w:p>
        </w:tc>
        <w:tc>
          <w:tcPr>
            <w:tcW w:w="2013" w:type="dxa"/>
            <w:gridSpan w:val="2"/>
            <w:vAlign w:val="center"/>
          </w:tcPr>
          <w:p w14:paraId="4A0C0BAF">
            <w:pPr>
              <w:spacing w:line="240" w:lineRule="auto"/>
              <w:rPr>
                <w:rFonts w:hint="eastAsia" w:ascii="宋体" w:hAnsi="宋体"/>
                <w:color w:val="auto"/>
                <w:szCs w:val="21"/>
              </w:rPr>
            </w:pPr>
            <w:r>
              <w:rPr>
                <w:rFonts w:hint="eastAsia" w:ascii="宋体" w:hAnsi="宋体"/>
                <w:color w:val="auto"/>
                <w:szCs w:val="21"/>
              </w:rPr>
              <w:t>防</w:t>
            </w:r>
            <w:r>
              <w:rPr>
                <w:rFonts w:ascii="宋体" w:hAnsi="宋体"/>
                <w:color w:val="auto"/>
                <w:szCs w:val="21"/>
              </w:rPr>
              <w:t>滑标线</w:t>
            </w:r>
          </w:p>
        </w:tc>
        <w:tc>
          <w:tcPr>
            <w:tcW w:w="2011" w:type="dxa"/>
            <w:vAlign w:val="center"/>
          </w:tcPr>
          <w:p w14:paraId="32ED2811">
            <w:pPr>
              <w:spacing w:line="240" w:lineRule="auto"/>
              <w:rPr>
                <w:rFonts w:ascii="宋体" w:hAnsi="宋体"/>
                <w:color w:val="auto"/>
                <w:szCs w:val="21"/>
              </w:rPr>
            </w:pPr>
            <w:r>
              <w:rPr>
                <w:rFonts w:ascii="宋体" w:hAnsi="宋体"/>
                <w:color w:val="auto"/>
                <w:szCs w:val="21"/>
              </w:rPr>
              <w:t>≥45</w:t>
            </w:r>
          </w:p>
        </w:tc>
        <w:tc>
          <w:tcPr>
            <w:tcW w:w="2471" w:type="dxa"/>
            <w:vAlign w:val="center"/>
          </w:tcPr>
          <w:p w14:paraId="74FF1F17">
            <w:pPr>
              <w:spacing w:line="240" w:lineRule="auto"/>
              <w:rPr>
                <w:rFonts w:ascii="宋体" w:hAnsi="宋体"/>
                <w:color w:val="auto"/>
                <w:szCs w:val="21"/>
              </w:rPr>
            </w:pPr>
            <w:r>
              <w:rPr>
                <w:rFonts w:ascii="宋体" w:hAnsi="宋体"/>
                <w:color w:val="auto"/>
                <w:szCs w:val="21"/>
              </w:rPr>
              <w:t>摆式摩擦系数测试仪：每</w:t>
            </w:r>
          </w:p>
          <w:p w14:paraId="5EB37F01">
            <w:pPr>
              <w:spacing w:line="240" w:lineRule="auto"/>
              <w:rPr>
                <w:rFonts w:ascii="宋体" w:hAnsi="宋体"/>
                <w:color w:val="auto"/>
                <w:szCs w:val="21"/>
              </w:rPr>
            </w:pPr>
            <w:r>
              <w:rPr>
                <w:rFonts w:ascii="宋体" w:hAnsi="宋体"/>
                <w:color w:val="auto"/>
                <w:szCs w:val="21"/>
              </w:rPr>
              <w:t>1km测3处</w:t>
            </w:r>
          </w:p>
        </w:tc>
      </w:tr>
    </w:tbl>
    <w:p w14:paraId="5F0C9929">
      <w:pPr>
        <w:spacing w:line="240" w:lineRule="auto"/>
        <w:rPr>
          <w:rFonts w:hint="eastAsia" w:ascii="宋体" w:hAnsi="宋体"/>
          <w:color w:val="auto"/>
          <w:szCs w:val="21"/>
        </w:rPr>
      </w:pPr>
      <w:r>
        <w:rPr>
          <w:rFonts w:hint="eastAsia" w:ascii="宋体" w:hAnsi="宋体"/>
          <w:color w:val="auto"/>
          <w:szCs w:val="21"/>
        </w:rPr>
        <w:t xml:space="preserve">       表</w:t>
      </w:r>
      <w:r>
        <w:rPr>
          <w:rFonts w:ascii="宋体" w:hAnsi="宋体"/>
          <w:color w:val="auto"/>
          <w:szCs w:val="21"/>
        </w:rPr>
        <w:t xml:space="preserve">4 </w:t>
      </w:r>
      <w:r>
        <w:rPr>
          <w:rFonts w:hint="eastAsia" w:ascii="宋体" w:hAnsi="宋体"/>
          <w:color w:val="auto"/>
          <w:szCs w:val="21"/>
        </w:rPr>
        <w:t>热熔标线逆反射亮度系数RL技术要求</w:t>
      </w:r>
    </w:p>
    <w:tbl>
      <w:tblPr>
        <w:tblStyle w:val="2"/>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979"/>
        <w:gridCol w:w="3262"/>
        <w:gridCol w:w="2598"/>
      </w:tblGrid>
      <w:tr w14:paraId="68C8A8F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979" w:type="dxa"/>
            <w:vAlign w:val="center"/>
          </w:tcPr>
          <w:p w14:paraId="65FA5AC2">
            <w:pPr>
              <w:spacing w:line="240" w:lineRule="auto"/>
              <w:rPr>
                <w:rFonts w:hint="eastAsia" w:ascii="宋体" w:hAnsi="宋体"/>
                <w:color w:val="auto"/>
                <w:szCs w:val="21"/>
              </w:rPr>
            </w:pPr>
            <w:r>
              <w:rPr>
                <w:rFonts w:hint="eastAsia" w:ascii="宋体" w:hAnsi="宋体"/>
                <w:color w:val="auto"/>
                <w:szCs w:val="21"/>
              </w:rPr>
              <w:t>检测项目</w:t>
            </w:r>
          </w:p>
        </w:tc>
        <w:tc>
          <w:tcPr>
            <w:tcW w:w="3262" w:type="dxa"/>
            <w:vAlign w:val="center"/>
          </w:tcPr>
          <w:p w14:paraId="19ED113C">
            <w:pPr>
              <w:spacing w:line="240" w:lineRule="auto"/>
              <w:rPr>
                <w:rFonts w:hint="eastAsia" w:ascii="宋体" w:hAnsi="宋体"/>
                <w:color w:val="auto"/>
                <w:szCs w:val="21"/>
              </w:rPr>
            </w:pPr>
            <w:r>
              <w:rPr>
                <w:rFonts w:hint="eastAsia" w:ascii="宋体" w:hAnsi="宋体"/>
                <w:color w:val="auto"/>
                <w:szCs w:val="21"/>
              </w:rPr>
              <w:t>检测时间</w:t>
            </w:r>
          </w:p>
        </w:tc>
        <w:tc>
          <w:tcPr>
            <w:tcW w:w="2598" w:type="dxa"/>
            <w:vAlign w:val="center"/>
          </w:tcPr>
          <w:p w14:paraId="19AED1EA">
            <w:pPr>
              <w:spacing w:line="240" w:lineRule="auto"/>
              <w:rPr>
                <w:rFonts w:hint="eastAsia" w:ascii="宋体" w:hAnsi="宋体"/>
                <w:color w:val="auto"/>
                <w:szCs w:val="21"/>
              </w:rPr>
            </w:pPr>
            <w:r>
              <w:rPr>
                <w:rFonts w:hint="eastAsia" w:ascii="宋体" w:hAnsi="宋体"/>
                <w:color w:val="auto"/>
                <w:szCs w:val="21"/>
              </w:rPr>
              <w:t>合格标准</w:t>
            </w:r>
          </w:p>
        </w:tc>
      </w:tr>
      <w:tr w14:paraId="41DD6C0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2979" w:type="dxa"/>
            <w:vMerge w:val="restart"/>
            <w:vAlign w:val="center"/>
          </w:tcPr>
          <w:p w14:paraId="3A348D56">
            <w:pPr>
              <w:spacing w:line="240" w:lineRule="auto"/>
              <w:rPr>
                <w:rFonts w:hint="eastAsia" w:ascii="宋体" w:hAnsi="宋体"/>
                <w:color w:val="auto"/>
                <w:szCs w:val="21"/>
              </w:rPr>
            </w:pPr>
            <w:r>
              <w:rPr>
                <w:rFonts w:hint="eastAsia" w:ascii="宋体" w:hAnsi="宋体"/>
                <w:color w:val="auto"/>
                <w:szCs w:val="21"/>
              </w:rPr>
              <w:t>白色标线R</w:t>
            </w:r>
            <w:r>
              <w:rPr>
                <w:rFonts w:hint="eastAsia" w:ascii="宋体" w:hAnsi="宋体"/>
                <w:color w:val="auto"/>
                <w:szCs w:val="21"/>
                <w:vertAlign w:val="subscript"/>
              </w:rPr>
              <w:t>L</w:t>
            </w:r>
            <w:r>
              <w:rPr>
                <w:rFonts w:hint="eastAsia" w:ascii="宋体" w:hAnsi="宋体"/>
                <w:color w:val="auto"/>
                <w:szCs w:val="21"/>
              </w:rPr>
              <w:t>（干态））</w:t>
            </w:r>
            <w:r>
              <w:rPr>
                <w:rFonts w:ascii="宋体" w:hAnsi="宋体"/>
                <w:color w:val="auto"/>
                <w:szCs w:val="21"/>
              </w:rPr>
              <w:t xml:space="preserve"> </w:t>
            </w:r>
          </w:p>
          <w:p w14:paraId="3DE6A0C8">
            <w:pPr>
              <w:spacing w:line="240" w:lineRule="auto"/>
              <w:rPr>
                <w:rFonts w:hint="eastAsia" w:ascii="宋体" w:hAnsi="宋体"/>
                <w:color w:val="auto"/>
                <w:szCs w:val="21"/>
              </w:rPr>
            </w:pPr>
            <w:r>
              <w:rPr>
                <w:rFonts w:hint="eastAsia" w:ascii="宋体" w:hAnsi="宋体"/>
                <w:color w:val="auto"/>
                <w:szCs w:val="21"/>
              </w:rPr>
              <w:t>mcd• m</w:t>
            </w:r>
            <w:r>
              <w:rPr>
                <w:rFonts w:hint="eastAsia" w:ascii="宋体" w:hAnsi="宋体"/>
                <w:color w:val="auto"/>
                <w:szCs w:val="21"/>
                <w:vertAlign w:val="superscript"/>
              </w:rPr>
              <w:t>-2</w:t>
            </w:r>
            <w:r>
              <w:rPr>
                <w:rFonts w:hint="eastAsia" w:ascii="宋体" w:hAnsi="宋体"/>
                <w:color w:val="auto"/>
                <w:szCs w:val="21"/>
              </w:rPr>
              <w:t>•lx</w:t>
            </w:r>
            <w:r>
              <w:rPr>
                <w:rFonts w:hint="eastAsia" w:ascii="宋体" w:hAnsi="宋体"/>
                <w:color w:val="auto"/>
                <w:szCs w:val="21"/>
                <w:vertAlign w:val="superscript"/>
              </w:rPr>
              <w:t>-1</w:t>
            </w:r>
          </w:p>
        </w:tc>
        <w:tc>
          <w:tcPr>
            <w:tcW w:w="3262" w:type="dxa"/>
            <w:vAlign w:val="center"/>
          </w:tcPr>
          <w:p w14:paraId="20B0FCB2">
            <w:pPr>
              <w:spacing w:line="240" w:lineRule="auto"/>
              <w:rPr>
                <w:rFonts w:hint="eastAsia" w:ascii="宋体" w:hAnsi="宋体"/>
                <w:color w:val="auto"/>
                <w:szCs w:val="21"/>
              </w:rPr>
            </w:pPr>
            <w:r>
              <w:rPr>
                <w:rFonts w:hint="eastAsia" w:ascii="宋体" w:hAnsi="宋体"/>
                <w:color w:val="auto"/>
                <w:szCs w:val="21"/>
              </w:rPr>
              <w:t>交工验收前的任何时间</w:t>
            </w:r>
          </w:p>
        </w:tc>
        <w:tc>
          <w:tcPr>
            <w:tcW w:w="2598" w:type="dxa"/>
            <w:vAlign w:val="center"/>
          </w:tcPr>
          <w:p w14:paraId="402F24F4">
            <w:pPr>
              <w:spacing w:line="240" w:lineRule="auto"/>
              <w:rPr>
                <w:rFonts w:hint="eastAsia" w:ascii="宋体" w:hAnsi="宋体"/>
                <w:color w:val="auto"/>
                <w:szCs w:val="21"/>
              </w:rPr>
            </w:pPr>
            <w:r>
              <w:rPr>
                <w:rFonts w:hint="eastAsia" w:ascii="宋体" w:hAnsi="宋体"/>
                <w:color w:val="auto"/>
                <w:szCs w:val="21"/>
              </w:rPr>
              <w:t>≥15</w:t>
            </w:r>
            <w:r>
              <w:rPr>
                <w:rFonts w:ascii="宋体" w:hAnsi="宋体"/>
                <w:color w:val="auto"/>
                <w:szCs w:val="21"/>
              </w:rPr>
              <w:t>0</w:t>
            </w:r>
            <w:r>
              <w:rPr>
                <w:rFonts w:hint="eastAsia" w:ascii="宋体" w:hAnsi="宋体"/>
                <w:color w:val="auto"/>
                <w:szCs w:val="21"/>
              </w:rPr>
              <w:t xml:space="preserve"> </w:t>
            </w:r>
          </w:p>
        </w:tc>
      </w:tr>
      <w:tr w14:paraId="3097989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979" w:type="dxa"/>
            <w:vMerge w:val="continue"/>
            <w:vAlign w:val="center"/>
          </w:tcPr>
          <w:p w14:paraId="75BADAB5">
            <w:pPr>
              <w:spacing w:line="240" w:lineRule="auto"/>
              <w:rPr>
                <w:rFonts w:ascii="宋体" w:hAnsi="宋体"/>
                <w:color w:val="auto"/>
                <w:szCs w:val="21"/>
              </w:rPr>
            </w:pPr>
          </w:p>
        </w:tc>
        <w:tc>
          <w:tcPr>
            <w:tcW w:w="3262" w:type="dxa"/>
            <w:vAlign w:val="center"/>
          </w:tcPr>
          <w:p w14:paraId="6EC7450F">
            <w:pPr>
              <w:spacing w:line="240" w:lineRule="auto"/>
              <w:rPr>
                <w:rFonts w:hint="eastAsia" w:ascii="宋体" w:hAnsi="宋体"/>
                <w:color w:val="auto"/>
                <w:szCs w:val="21"/>
              </w:rPr>
            </w:pPr>
            <w:r>
              <w:rPr>
                <w:rFonts w:hint="eastAsia" w:ascii="宋体" w:hAnsi="宋体"/>
                <w:color w:val="auto"/>
                <w:szCs w:val="21"/>
              </w:rPr>
              <w:t>正常使用一年后</w:t>
            </w:r>
          </w:p>
        </w:tc>
        <w:tc>
          <w:tcPr>
            <w:tcW w:w="2598" w:type="dxa"/>
            <w:vAlign w:val="center"/>
          </w:tcPr>
          <w:p w14:paraId="3857561E">
            <w:pPr>
              <w:spacing w:line="240" w:lineRule="auto"/>
              <w:rPr>
                <w:rFonts w:hint="eastAsia" w:ascii="宋体" w:hAnsi="宋体"/>
                <w:color w:val="auto"/>
                <w:szCs w:val="21"/>
              </w:rPr>
            </w:pPr>
            <w:r>
              <w:rPr>
                <w:rFonts w:hint="eastAsia" w:ascii="宋体" w:hAnsi="宋体"/>
                <w:color w:val="auto"/>
                <w:szCs w:val="21"/>
              </w:rPr>
              <w:t>≥8</w:t>
            </w:r>
            <w:r>
              <w:rPr>
                <w:rFonts w:ascii="宋体" w:hAnsi="宋体"/>
                <w:color w:val="auto"/>
                <w:szCs w:val="21"/>
              </w:rPr>
              <w:t>0</w:t>
            </w:r>
          </w:p>
        </w:tc>
      </w:tr>
      <w:tr w14:paraId="38FC47D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2979" w:type="dxa"/>
            <w:vMerge w:val="restart"/>
            <w:vAlign w:val="center"/>
          </w:tcPr>
          <w:p w14:paraId="118910BF">
            <w:pPr>
              <w:spacing w:line="240" w:lineRule="auto"/>
              <w:rPr>
                <w:rFonts w:ascii="宋体" w:hAnsi="宋体"/>
                <w:color w:val="auto"/>
                <w:szCs w:val="21"/>
              </w:rPr>
            </w:pPr>
          </w:p>
          <w:p w14:paraId="520B0D74">
            <w:pPr>
              <w:spacing w:line="240" w:lineRule="auto"/>
              <w:rPr>
                <w:rFonts w:hint="eastAsia" w:ascii="宋体" w:hAnsi="宋体"/>
                <w:color w:val="auto"/>
                <w:szCs w:val="21"/>
              </w:rPr>
            </w:pPr>
            <w:r>
              <w:rPr>
                <w:rFonts w:hint="eastAsia" w:ascii="宋体" w:hAnsi="宋体"/>
                <w:color w:val="auto"/>
                <w:szCs w:val="21"/>
              </w:rPr>
              <w:t xml:space="preserve">黄色标线RL（干态）） </w:t>
            </w:r>
          </w:p>
          <w:p w14:paraId="0BC51B0E">
            <w:pPr>
              <w:spacing w:line="240" w:lineRule="auto"/>
              <w:rPr>
                <w:rFonts w:hint="eastAsia" w:ascii="宋体" w:hAnsi="宋体"/>
                <w:color w:val="auto"/>
                <w:szCs w:val="21"/>
              </w:rPr>
            </w:pPr>
            <w:r>
              <w:rPr>
                <w:rFonts w:hint="eastAsia" w:ascii="宋体" w:hAnsi="宋体"/>
                <w:color w:val="auto"/>
                <w:szCs w:val="21"/>
              </w:rPr>
              <w:t xml:space="preserve">mcd• m-2•lx-1 </w:t>
            </w:r>
          </w:p>
          <w:p w14:paraId="4FEAD3CA">
            <w:pPr>
              <w:spacing w:line="240" w:lineRule="auto"/>
              <w:rPr>
                <w:rFonts w:ascii="宋体" w:hAnsi="宋体"/>
                <w:color w:val="auto"/>
                <w:szCs w:val="21"/>
              </w:rPr>
            </w:pPr>
          </w:p>
        </w:tc>
        <w:tc>
          <w:tcPr>
            <w:tcW w:w="3262" w:type="dxa"/>
            <w:vAlign w:val="center"/>
          </w:tcPr>
          <w:p w14:paraId="500436ED">
            <w:pPr>
              <w:spacing w:line="240" w:lineRule="auto"/>
              <w:rPr>
                <w:rFonts w:hint="eastAsia" w:ascii="宋体" w:hAnsi="宋体"/>
                <w:color w:val="auto"/>
                <w:szCs w:val="21"/>
              </w:rPr>
            </w:pPr>
            <w:r>
              <w:rPr>
                <w:rFonts w:hint="eastAsia" w:ascii="宋体" w:hAnsi="宋体"/>
                <w:color w:val="auto"/>
                <w:szCs w:val="21"/>
              </w:rPr>
              <w:t>交工验收前的任何时间</w:t>
            </w:r>
          </w:p>
        </w:tc>
        <w:tc>
          <w:tcPr>
            <w:tcW w:w="2598" w:type="dxa"/>
            <w:vAlign w:val="center"/>
          </w:tcPr>
          <w:p w14:paraId="79AF2096">
            <w:pPr>
              <w:spacing w:line="240" w:lineRule="auto"/>
              <w:rPr>
                <w:rFonts w:hint="eastAsia" w:ascii="宋体" w:hAnsi="宋体"/>
                <w:color w:val="auto"/>
                <w:szCs w:val="21"/>
              </w:rPr>
            </w:pPr>
            <w:r>
              <w:rPr>
                <w:rFonts w:hint="eastAsia" w:ascii="宋体" w:hAnsi="宋体"/>
                <w:color w:val="auto"/>
                <w:szCs w:val="21"/>
              </w:rPr>
              <w:t>≥100</w:t>
            </w:r>
          </w:p>
        </w:tc>
      </w:tr>
      <w:tr w14:paraId="783F72C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474" w:hRule="atLeast"/>
          <w:jc w:val="center"/>
        </w:trPr>
        <w:tc>
          <w:tcPr>
            <w:tcW w:w="2979" w:type="dxa"/>
            <w:vMerge w:val="continue"/>
            <w:vAlign w:val="center"/>
          </w:tcPr>
          <w:p w14:paraId="0096A261">
            <w:pPr>
              <w:spacing w:line="240" w:lineRule="auto"/>
              <w:rPr>
                <w:rFonts w:ascii="宋体" w:hAnsi="宋体"/>
                <w:color w:val="auto"/>
                <w:szCs w:val="21"/>
              </w:rPr>
            </w:pPr>
          </w:p>
        </w:tc>
        <w:tc>
          <w:tcPr>
            <w:tcW w:w="3262" w:type="dxa"/>
            <w:vAlign w:val="center"/>
          </w:tcPr>
          <w:p w14:paraId="0007CD08">
            <w:pPr>
              <w:spacing w:line="240" w:lineRule="auto"/>
              <w:rPr>
                <w:rFonts w:hint="eastAsia" w:ascii="宋体" w:hAnsi="宋体"/>
                <w:color w:val="auto"/>
                <w:szCs w:val="21"/>
              </w:rPr>
            </w:pPr>
            <w:r>
              <w:rPr>
                <w:rFonts w:hint="eastAsia" w:ascii="宋体" w:hAnsi="宋体"/>
                <w:color w:val="auto"/>
                <w:szCs w:val="21"/>
              </w:rPr>
              <w:t>正常使用一年后</w:t>
            </w:r>
          </w:p>
        </w:tc>
        <w:tc>
          <w:tcPr>
            <w:tcW w:w="2598" w:type="dxa"/>
            <w:vAlign w:val="center"/>
          </w:tcPr>
          <w:p w14:paraId="67F6D5CA">
            <w:pPr>
              <w:spacing w:line="240" w:lineRule="auto"/>
              <w:rPr>
                <w:rFonts w:hint="eastAsia" w:ascii="宋体" w:hAnsi="宋体"/>
                <w:color w:val="auto"/>
                <w:szCs w:val="21"/>
              </w:rPr>
            </w:pPr>
            <w:r>
              <w:rPr>
                <w:rFonts w:hint="eastAsia" w:ascii="宋体" w:hAnsi="宋体"/>
                <w:color w:val="auto"/>
                <w:szCs w:val="21"/>
              </w:rPr>
              <w:t>≥50</w:t>
            </w:r>
          </w:p>
        </w:tc>
      </w:tr>
    </w:tbl>
    <w:p w14:paraId="6658E6EE">
      <w:pPr>
        <w:spacing w:line="240" w:lineRule="auto"/>
        <w:rPr>
          <w:rFonts w:hint="eastAsia" w:ascii="宋体" w:hAnsi="宋体"/>
          <w:b/>
          <w:bCs/>
          <w:color w:val="auto"/>
          <w:szCs w:val="21"/>
        </w:rPr>
      </w:pPr>
      <w:r>
        <w:rPr>
          <w:rFonts w:hint="eastAsia" w:ascii="宋体" w:hAnsi="宋体"/>
          <w:b/>
          <w:bCs/>
          <w:color w:val="auto"/>
          <w:szCs w:val="21"/>
        </w:rPr>
        <w:t>4.</w:t>
      </w:r>
      <w:r>
        <w:rPr>
          <w:rFonts w:hint="eastAsia" w:ascii="宋体" w:hAnsi="宋体"/>
          <w:b/>
          <w:color w:val="auto"/>
          <w:szCs w:val="21"/>
        </w:rPr>
        <w:t>交（竣）工验收前对标线质量（包括逆反射亮度系数）进行验证性检测，白色反光标线的逆反射亮度系数不得低于</w:t>
      </w:r>
      <w:r>
        <w:rPr>
          <w:rFonts w:ascii="宋体" w:hAnsi="宋体"/>
          <w:b/>
          <w:color w:val="auto"/>
          <w:szCs w:val="21"/>
        </w:rPr>
        <w:t>80mcd.m-2.lx-1</w:t>
      </w:r>
      <w:r>
        <w:rPr>
          <w:rFonts w:hint="eastAsia" w:ascii="宋体" w:hAnsi="宋体"/>
          <w:b/>
          <w:color w:val="auto"/>
          <w:szCs w:val="21"/>
        </w:rPr>
        <w:t>，黄色反光标线的逆反射亮度系数不得低于</w:t>
      </w:r>
      <w:r>
        <w:rPr>
          <w:rFonts w:ascii="宋体" w:hAnsi="宋体"/>
          <w:b/>
          <w:color w:val="auto"/>
          <w:szCs w:val="21"/>
        </w:rPr>
        <w:t xml:space="preserve"> 50mcd.m-2.lx-1</w:t>
      </w:r>
      <w:r>
        <w:rPr>
          <w:rFonts w:hint="eastAsia" w:ascii="宋体" w:hAnsi="宋体"/>
          <w:b/>
          <w:color w:val="auto"/>
          <w:szCs w:val="21"/>
        </w:rPr>
        <w:t>。不满足的，一律返工处理。</w:t>
      </w:r>
    </w:p>
    <w:p w14:paraId="27892B03">
      <w:pPr>
        <w:spacing w:line="240" w:lineRule="auto"/>
        <w:jc w:val="center"/>
        <w:rPr>
          <w:rFonts w:hint="eastAsia"/>
          <w:b/>
          <w:bCs/>
          <w:color w:val="auto"/>
          <w:sz w:val="44"/>
          <w:szCs w:val="44"/>
        </w:rPr>
      </w:pPr>
      <w:r>
        <w:rPr>
          <w:rFonts w:hint="eastAsia"/>
          <w:b/>
          <w:bCs/>
          <w:color w:val="auto"/>
          <w:sz w:val="44"/>
          <w:szCs w:val="44"/>
        </w:rPr>
        <w:br w:type="page"/>
      </w:r>
    </w:p>
    <w:p w14:paraId="6AC03D74">
      <w:pPr>
        <w:spacing w:line="240" w:lineRule="auto"/>
        <w:jc w:val="center"/>
        <w:rPr>
          <w:rFonts w:hint="eastAsia"/>
          <w:b/>
          <w:bCs/>
          <w:color w:val="auto"/>
          <w:sz w:val="44"/>
          <w:szCs w:val="44"/>
        </w:rPr>
      </w:pPr>
    </w:p>
    <w:p w14:paraId="679B0442">
      <w:pPr>
        <w:spacing w:line="240" w:lineRule="auto"/>
        <w:rPr>
          <w:rFonts w:hint="eastAsia"/>
          <w:b/>
          <w:bCs/>
          <w:color w:val="auto"/>
          <w:sz w:val="44"/>
          <w:szCs w:val="44"/>
        </w:rPr>
      </w:pPr>
    </w:p>
    <w:p w14:paraId="6832ECEF">
      <w:pPr>
        <w:pStyle w:val="4"/>
        <w:spacing w:line="240" w:lineRule="auto"/>
        <w:jc w:val="center"/>
        <w:rPr>
          <w:rFonts w:hint="eastAsia"/>
          <w:color w:val="auto"/>
        </w:rPr>
      </w:pPr>
      <w:bookmarkStart w:id="192" w:name="_Toc22913"/>
      <w:bookmarkEnd w:id="192"/>
      <w:r>
        <w:rPr>
          <w:rFonts w:hint="eastAsia"/>
          <w:color w:val="auto"/>
        </w:rPr>
        <w:t>第八章 工程量清单报价说明</w:t>
      </w:r>
    </w:p>
    <w:p w14:paraId="7876F1AD">
      <w:pPr>
        <w:spacing w:line="240" w:lineRule="auto"/>
        <w:jc w:val="center"/>
        <w:rPr>
          <w:rFonts w:hint="eastAsia"/>
          <w:b/>
          <w:bCs/>
          <w:color w:val="auto"/>
          <w:sz w:val="44"/>
          <w:szCs w:val="44"/>
        </w:rPr>
      </w:pPr>
    </w:p>
    <w:p w14:paraId="3DFE4141">
      <w:pPr>
        <w:spacing w:line="240" w:lineRule="auto"/>
        <w:jc w:val="center"/>
        <w:rPr>
          <w:rFonts w:hint="eastAsia" w:ascii="宋体" w:hAnsi="宋体"/>
          <w:b/>
          <w:bCs/>
          <w:color w:val="auto"/>
          <w:sz w:val="44"/>
          <w:szCs w:val="44"/>
        </w:rPr>
      </w:pPr>
      <w:r>
        <w:rPr>
          <w:rFonts w:hint="eastAsia" w:ascii="宋体" w:hAnsi="宋体"/>
          <w:b/>
          <w:bCs/>
          <w:color w:val="auto"/>
          <w:sz w:val="44"/>
          <w:szCs w:val="44"/>
        </w:rPr>
        <w:t>（另</w:t>
      </w:r>
      <w:r>
        <w:rPr>
          <w:rFonts w:hint="eastAsia" w:ascii="宋体" w:hAnsi="宋体"/>
          <w:b/>
          <w:bCs/>
          <w:color w:val="auto"/>
          <w:sz w:val="44"/>
          <w:szCs w:val="44"/>
        </w:rPr>
        <w:tab/>
      </w:r>
      <w:r>
        <w:rPr>
          <w:rFonts w:hint="eastAsia" w:ascii="宋体" w:hAnsi="宋体"/>
          <w:b/>
          <w:bCs/>
          <w:color w:val="auto"/>
          <w:sz w:val="44"/>
          <w:szCs w:val="44"/>
        </w:rPr>
        <w:t>册）</w:t>
      </w:r>
    </w:p>
    <w:p w14:paraId="5F32ABC1">
      <w:pPr>
        <w:pStyle w:val="4"/>
        <w:spacing w:line="240" w:lineRule="auto"/>
        <w:jc w:val="center"/>
        <w:rPr>
          <w:rFonts w:hint="eastAsia"/>
          <w:color w:val="auto"/>
        </w:rPr>
      </w:pPr>
    </w:p>
    <w:p w14:paraId="25B2E4B4">
      <w:pPr>
        <w:pStyle w:val="4"/>
        <w:spacing w:line="240" w:lineRule="auto"/>
        <w:jc w:val="center"/>
        <w:rPr>
          <w:rFonts w:hint="eastAsia"/>
          <w:color w:val="auto"/>
        </w:rPr>
      </w:pPr>
    </w:p>
    <w:p w14:paraId="3F81B3DD">
      <w:pPr>
        <w:pStyle w:val="4"/>
        <w:spacing w:line="240" w:lineRule="auto"/>
        <w:jc w:val="center"/>
        <w:rPr>
          <w:rFonts w:hint="eastAsia"/>
          <w:color w:val="auto"/>
        </w:rPr>
      </w:pPr>
    </w:p>
    <w:p w14:paraId="1DAC1FB5">
      <w:pPr>
        <w:pStyle w:val="4"/>
        <w:spacing w:line="240" w:lineRule="auto"/>
        <w:jc w:val="center"/>
        <w:rPr>
          <w:rFonts w:hint="eastAsia"/>
          <w:color w:val="auto"/>
        </w:rPr>
      </w:pPr>
    </w:p>
    <w:p w14:paraId="1B43B2F1">
      <w:pPr>
        <w:spacing w:line="240" w:lineRule="auto"/>
        <w:rPr>
          <w:rFonts w:hint="eastAsia"/>
          <w:color w:val="auto"/>
        </w:rPr>
      </w:pPr>
    </w:p>
    <w:p w14:paraId="1D85CE53">
      <w:pPr>
        <w:spacing w:line="240" w:lineRule="auto"/>
        <w:rPr>
          <w:rFonts w:hint="eastAsia"/>
          <w:color w:val="auto"/>
        </w:rPr>
      </w:pPr>
    </w:p>
    <w:p w14:paraId="7888A152">
      <w:pPr>
        <w:spacing w:line="240" w:lineRule="auto"/>
        <w:rPr>
          <w:rFonts w:hint="eastAsia"/>
          <w:color w:val="auto"/>
        </w:rPr>
      </w:pPr>
    </w:p>
    <w:p w14:paraId="376F2FEE">
      <w:pPr>
        <w:spacing w:line="240" w:lineRule="auto"/>
        <w:rPr>
          <w:rFonts w:hint="eastAsia"/>
          <w:color w:val="auto"/>
        </w:rPr>
      </w:pPr>
    </w:p>
    <w:p w14:paraId="2C613CE2">
      <w:pPr>
        <w:spacing w:line="240" w:lineRule="auto"/>
        <w:rPr>
          <w:rFonts w:hint="eastAsia"/>
          <w:color w:val="auto"/>
        </w:rPr>
      </w:pPr>
    </w:p>
    <w:p w14:paraId="557520A8">
      <w:pPr>
        <w:spacing w:line="240" w:lineRule="auto"/>
        <w:rPr>
          <w:rFonts w:hint="eastAsia"/>
          <w:color w:val="auto"/>
        </w:rPr>
      </w:pPr>
    </w:p>
    <w:p w14:paraId="320D9FDF">
      <w:pPr>
        <w:spacing w:line="240" w:lineRule="auto"/>
        <w:rPr>
          <w:rFonts w:hint="eastAsia"/>
          <w:color w:val="auto"/>
        </w:rPr>
      </w:pPr>
    </w:p>
    <w:p w14:paraId="29A18E49">
      <w:pPr>
        <w:spacing w:line="240" w:lineRule="auto"/>
        <w:rPr>
          <w:rFonts w:hint="eastAsia"/>
          <w:color w:val="auto"/>
        </w:rPr>
      </w:pPr>
    </w:p>
    <w:p w14:paraId="00E7C2F7">
      <w:pPr>
        <w:spacing w:line="240" w:lineRule="auto"/>
        <w:rPr>
          <w:rFonts w:hint="eastAsia"/>
          <w:color w:val="auto"/>
        </w:rPr>
      </w:pPr>
    </w:p>
    <w:p w14:paraId="4983DB23">
      <w:pPr>
        <w:spacing w:line="240" w:lineRule="auto"/>
        <w:rPr>
          <w:rFonts w:hint="eastAsia"/>
          <w:color w:val="auto"/>
        </w:rPr>
      </w:pPr>
    </w:p>
    <w:p w14:paraId="51F000EE">
      <w:pPr>
        <w:spacing w:line="240" w:lineRule="auto"/>
        <w:rPr>
          <w:rFonts w:hint="eastAsia"/>
          <w:color w:val="auto"/>
        </w:rPr>
      </w:pPr>
    </w:p>
    <w:p w14:paraId="20811AAC">
      <w:pPr>
        <w:spacing w:line="240" w:lineRule="auto"/>
        <w:rPr>
          <w:rFonts w:hint="eastAsia"/>
          <w:color w:val="auto"/>
        </w:rPr>
      </w:pPr>
    </w:p>
    <w:p w14:paraId="7A011B78">
      <w:pPr>
        <w:spacing w:line="240" w:lineRule="auto"/>
        <w:rPr>
          <w:rFonts w:hint="eastAsia"/>
          <w:color w:val="auto"/>
        </w:rPr>
      </w:pPr>
    </w:p>
    <w:p w14:paraId="20246329">
      <w:pPr>
        <w:spacing w:line="240" w:lineRule="auto"/>
        <w:rPr>
          <w:rFonts w:hint="eastAsia"/>
          <w:color w:val="auto"/>
        </w:rPr>
      </w:pPr>
    </w:p>
    <w:p w14:paraId="0C34CF8E">
      <w:pPr>
        <w:spacing w:line="240" w:lineRule="auto"/>
        <w:rPr>
          <w:rFonts w:hint="eastAsia"/>
          <w:color w:val="auto"/>
        </w:rPr>
      </w:pPr>
    </w:p>
    <w:p w14:paraId="64E5AEE3">
      <w:pPr>
        <w:spacing w:line="240" w:lineRule="auto"/>
        <w:rPr>
          <w:rFonts w:hint="eastAsia"/>
          <w:color w:val="auto"/>
        </w:rPr>
      </w:pPr>
    </w:p>
    <w:p w14:paraId="20EBBC46">
      <w:pPr>
        <w:spacing w:line="240" w:lineRule="auto"/>
        <w:rPr>
          <w:rFonts w:hint="eastAsia"/>
          <w:color w:val="auto"/>
        </w:rPr>
      </w:pPr>
    </w:p>
    <w:p w14:paraId="49A70643">
      <w:pPr>
        <w:pStyle w:val="4"/>
        <w:spacing w:line="240" w:lineRule="auto"/>
        <w:jc w:val="center"/>
        <w:rPr>
          <w:rFonts w:hint="eastAsia"/>
          <w:color w:val="auto"/>
        </w:rPr>
      </w:pPr>
    </w:p>
    <w:p w14:paraId="56FBE9D5">
      <w:pPr>
        <w:pStyle w:val="4"/>
        <w:spacing w:line="240" w:lineRule="auto"/>
        <w:jc w:val="center"/>
        <w:rPr>
          <w:rFonts w:hint="eastAsia"/>
          <w:color w:val="auto"/>
        </w:rPr>
        <w:sectPr>
          <w:headerReference r:id="rId4" w:type="first"/>
          <w:footerReference r:id="rId6" w:type="first"/>
          <w:headerReference r:id="rId3" w:type="default"/>
          <w:footerReference r:id="rId5" w:type="default"/>
          <w:pgSz w:w="11911" w:h="16838"/>
          <w:pgMar w:top="1134" w:right="1134" w:bottom="1134" w:left="1134" w:header="720" w:footer="720" w:gutter="0"/>
          <w:cols w:space="720" w:num="1"/>
          <w:titlePg/>
          <w:docGrid w:linePitch="0" w:charSpace="0"/>
        </w:sectPr>
      </w:pPr>
      <w:r>
        <w:rPr>
          <w:rFonts w:hint="eastAsia"/>
          <w:color w:val="auto"/>
        </w:rPr>
        <w:t>第九章 响应文件格式</w:t>
      </w:r>
    </w:p>
    <w:p w14:paraId="16D4DB2F">
      <w:pPr>
        <w:keepNext/>
        <w:keepLines/>
        <w:spacing w:before="260" w:after="260" w:line="240" w:lineRule="auto"/>
        <w:jc w:val="center"/>
        <w:outlineLvl w:val="1"/>
        <w:rPr>
          <w:rFonts w:hint="eastAsia" w:ascii="宋体" w:hAnsi="宋体"/>
          <w:bCs/>
          <w:color w:val="auto"/>
          <w:sz w:val="32"/>
          <w:szCs w:val="32"/>
        </w:rPr>
      </w:pPr>
      <w:bookmarkStart w:id="193" w:name="_Toc19197"/>
      <w:bookmarkEnd w:id="193"/>
      <w:bookmarkStart w:id="194" w:name="_Toc10536"/>
      <w:bookmarkEnd w:id="194"/>
      <w:bookmarkStart w:id="195" w:name="_Toc80205938"/>
      <w:bookmarkEnd w:id="195"/>
      <w:r>
        <w:rPr>
          <w:rFonts w:hint="eastAsia" w:ascii="宋体" w:hAnsi="宋体"/>
          <w:bCs/>
          <w:color w:val="auto"/>
          <w:sz w:val="32"/>
          <w:szCs w:val="32"/>
        </w:rPr>
        <w:t>第一节 封面格式</w:t>
      </w:r>
    </w:p>
    <w:p w14:paraId="4C02C8F9">
      <w:pPr>
        <w:spacing w:line="240" w:lineRule="auto"/>
        <w:rPr>
          <w:rFonts w:hint="eastAsia" w:ascii="宋体" w:hAnsi="宋体"/>
          <w:b/>
          <w:color w:val="auto"/>
          <w:sz w:val="32"/>
          <w:szCs w:val="32"/>
        </w:rPr>
      </w:pPr>
      <w:r>
        <w:rPr>
          <w:rFonts w:hint="eastAsia" w:ascii="宋体" w:hAnsi="宋体"/>
          <w:b/>
          <w:color w:val="auto"/>
          <w:sz w:val="32"/>
          <w:szCs w:val="32"/>
        </w:rPr>
        <w:t>（</w:t>
      </w:r>
      <w:r>
        <w:rPr>
          <w:rFonts w:hint="eastAsia" w:ascii="宋体" w:hAnsi="宋体"/>
          <w:b/>
          <w:bCs/>
          <w:color w:val="auto"/>
          <w:sz w:val="32"/>
          <w:szCs w:val="32"/>
        </w:rPr>
        <w:t>响应文件外层包装封面格式</w:t>
      </w:r>
      <w:r>
        <w:rPr>
          <w:rFonts w:hint="eastAsia" w:ascii="宋体" w:hAnsi="宋体"/>
          <w:b/>
          <w:color w:val="auto"/>
          <w:sz w:val="32"/>
          <w:szCs w:val="32"/>
        </w:rPr>
        <w:t xml:space="preserve"> ）</w:t>
      </w:r>
    </w:p>
    <w:p w14:paraId="03C53719">
      <w:pPr>
        <w:snapToGrid w:val="0"/>
        <w:spacing w:before="120" w:after="50" w:line="240" w:lineRule="auto"/>
        <w:rPr>
          <w:rFonts w:ascii="宋体" w:hAnsi="宋体"/>
          <w:color w:val="auto"/>
          <w:sz w:val="24"/>
          <w:szCs w:val="20"/>
        </w:rPr>
      </w:pPr>
    </w:p>
    <w:p w14:paraId="339047CE">
      <w:pPr>
        <w:snapToGrid w:val="0"/>
        <w:spacing w:before="120" w:after="50" w:line="240" w:lineRule="auto"/>
        <w:jc w:val="center"/>
        <w:rPr>
          <w:rFonts w:ascii="宋体" w:hAnsi="宋体"/>
          <w:bCs/>
          <w:color w:val="auto"/>
          <w:sz w:val="24"/>
          <w:szCs w:val="20"/>
        </w:rPr>
      </w:pPr>
    </w:p>
    <w:p w14:paraId="4A9A0E53">
      <w:pPr>
        <w:snapToGrid w:val="0"/>
        <w:spacing w:before="120" w:after="50" w:line="240" w:lineRule="auto"/>
        <w:jc w:val="center"/>
        <w:rPr>
          <w:rFonts w:hint="eastAsia" w:ascii="方正小标宋简体" w:hAnsi="方正小标宋简体" w:eastAsia="方正小标宋简体"/>
          <w:bCs/>
          <w:color w:val="auto"/>
          <w:sz w:val="44"/>
          <w:szCs w:val="44"/>
        </w:rPr>
      </w:pPr>
      <w:r>
        <w:rPr>
          <w:rFonts w:hint="eastAsia" w:ascii="方正小标宋简体" w:hAnsi="方正小标宋简体" w:eastAsia="方正小标宋简体"/>
          <w:bCs/>
          <w:color w:val="auto"/>
          <w:sz w:val="44"/>
          <w:szCs w:val="44"/>
        </w:rPr>
        <w:t>响  应  文  件</w:t>
      </w:r>
    </w:p>
    <w:p w14:paraId="60661212">
      <w:pPr>
        <w:snapToGrid w:val="0"/>
        <w:spacing w:before="120" w:after="50" w:line="240" w:lineRule="auto"/>
        <w:rPr>
          <w:rFonts w:ascii="宋体" w:hAnsi="宋体"/>
          <w:bCs/>
          <w:color w:val="auto"/>
          <w:sz w:val="24"/>
          <w:szCs w:val="20"/>
        </w:rPr>
      </w:pPr>
    </w:p>
    <w:p w14:paraId="1EA9BAE6">
      <w:pPr>
        <w:snapToGrid w:val="0"/>
        <w:spacing w:before="120" w:after="50" w:line="240" w:lineRule="auto"/>
        <w:rPr>
          <w:rFonts w:ascii="宋体" w:hAnsi="宋体"/>
          <w:bCs/>
          <w:color w:val="auto"/>
          <w:sz w:val="24"/>
          <w:szCs w:val="20"/>
        </w:rPr>
      </w:pPr>
    </w:p>
    <w:p w14:paraId="4F9AF04A">
      <w:pPr>
        <w:snapToGrid w:val="0"/>
        <w:spacing w:before="120" w:after="50" w:line="240" w:lineRule="auto"/>
        <w:rPr>
          <w:rFonts w:ascii="仿宋_GB2312" w:hAnsi="仿宋_GB2312" w:eastAsia="仿宋_GB2312"/>
          <w:bCs/>
          <w:color w:val="auto"/>
          <w:sz w:val="32"/>
          <w:szCs w:val="32"/>
        </w:rPr>
      </w:pPr>
    </w:p>
    <w:p w14:paraId="6B10FE44">
      <w:pPr>
        <w:snapToGrid w:val="0"/>
        <w:spacing w:before="120" w:after="50" w:line="240" w:lineRule="auto"/>
        <w:ind w:firstLine="640" w:firstLineChars="200"/>
        <w:rPr>
          <w:rFonts w:hint="eastAsia" w:ascii="宋体" w:hAnsi="宋体"/>
          <w:bCs/>
          <w:color w:val="auto"/>
          <w:sz w:val="32"/>
          <w:szCs w:val="32"/>
        </w:rPr>
      </w:pPr>
      <w:r>
        <w:rPr>
          <w:rFonts w:hint="eastAsia" w:ascii="宋体" w:hAnsi="宋体"/>
          <w:bCs/>
          <w:color w:val="auto"/>
          <w:sz w:val="32"/>
          <w:szCs w:val="32"/>
        </w:rPr>
        <w:t>项目名称：</w:t>
      </w:r>
    </w:p>
    <w:p w14:paraId="07C39A3E">
      <w:pPr>
        <w:snapToGrid w:val="0"/>
        <w:spacing w:before="120" w:after="50" w:line="240" w:lineRule="auto"/>
        <w:ind w:firstLine="480" w:firstLineChars="150"/>
        <w:rPr>
          <w:rFonts w:ascii="宋体" w:hAnsi="宋体"/>
          <w:bCs/>
          <w:color w:val="auto"/>
          <w:sz w:val="32"/>
          <w:szCs w:val="32"/>
        </w:rPr>
      </w:pPr>
    </w:p>
    <w:p w14:paraId="72053AC9">
      <w:pPr>
        <w:snapToGrid w:val="0"/>
        <w:spacing w:before="120" w:after="50" w:line="240" w:lineRule="auto"/>
        <w:ind w:firstLine="640" w:firstLineChars="200"/>
        <w:rPr>
          <w:rFonts w:hint="eastAsia" w:ascii="宋体" w:hAnsi="宋体"/>
          <w:bCs/>
          <w:color w:val="auto"/>
          <w:sz w:val="32"/>
          <w:szCs w:val="32"/>
        </w:rPr>
      </w:pPr>
      <w:r>
        <w:rPr>
          <w:rFonts w:hint="eastAsia" w:ascii="宋体" w:hAnsi="宋体"/>
          <w:bCs/>
          <w:color w:val="auto"/>
          <w:sz w:val="32"/>
          <w:szCs w:val="32"/>
        </w:rPr>
        <w:t>项目编号：</w:t>
      </w:r>
    </w:p>
    <w:p w14:paraId="7CEF4B81">
      <w:pPr>
        <w:snapToGrid w:val="0"/>
        <w:spacing w:before="120" w:after="50" w:line="240" w:lineRule="auto"/>
        <w:ind w:firstLine="480" w:firstLineChars="150"/>
        <w:rPr>
          <w:rFonts w:ascii="宋体" w:hAnsi="宋体"/>
          <w:bCs/>
          <w:color w:val="auto"/>
          <w:sz w:val="32"/>
          <w:szCs w:val="32"/>
        </w:rPr>
      </w:pPr>
    </w:p>
    <w:p w14:paraId="31B9E5F5">
      <w:pPr>
        <w:snapToGrid w:val="0"/>
        <w:spacing w:before="120" w:after="50" w:line="240" w:lineRule="auto"/>
        <w:ind w:firstLine="640" w:firstLineChars="200"/>
        <w:rPr>
          <w:rFonts w:hint="eastAsia" w:ascii="宋体" w:hAnsi="宋体"/>
          <w:bCs/>
          <w:color w:val="auto"/>
          <w:sz w:val="32"/>
          <w:szCs w:val="32"/>
        </w:rPr>
      </w:pPr>
      <w:r>
        <w:rPr>
          <w:rFonts w:hint="eastAsia" w:ascii="宋体" w:hAnsi="宋体"/>
          <w:bCs/>
          <w:color w:val="auto"/>
          <w:sz w:val="32"/>
          <w:szCs w:val="32"/>
        </w:rPr>
        <w:t>所竞分标（如有则填写，无分标时填写“无”或者留空）：</w:t>
      </w:r>
    </w:p>
    <w:p w14:paraId="0211CDEA">
      <w:pPr>
        <w:snapToGrid w:val="0"/>
        <w:spacing w:before="120" w:after="50" w:line="240" w:lineRule="auto"/>
        <w:rPr>
          <w:rFonts w:ascii="宋体" w:hAnsi="宋体"/>
          <w:bCs/>
          <w:color w:val="auto"/>
          <w:sz w:val="32"/>
          <w:szCs w:val="32"/>
        </w:rPr>
      </w:pPr>
    </w:p>
    <w:p w14:paraId="5B69FA59">
      <w:pPr>
        <w:snapToGrid w:val="0"/>
        <w:spacing w:before="120" w:after="50" w:line="240" w:lineRule="auto"/>
        <w:ind w:firstLine="640" w:firstLineChars="200"/>
        <w:rPr>
          <w:rFonts w:hint="eastAsia" w:ascii="宋体" w:hAnsi="宋体"/>
          <w:bCs/>
          <w:color w:val="auto"/>
          <w:sz w:val="32"/>
          <w:szCs w:val="32"/>
        </w:rPr>
      </w:pPr>
      <w:r>
        <w:rPr>
          <w:rFonts w:hint="eastAsia" w:ascii="宋体" w:hAnsi="宋体"/>
          <w:bCs/>
          <w:color w:val="auto"/>
          <w:sz w:val="32"/>
          <w:szCs w:val="32"/>
        </w:rPr>
        <w:t>供应商名称：</w:t>
      </w:r>
    </w:p>
    <w:p w14:paraId="2391005F">
      <w:pPr>
        <w:snapToGrid w:val="0"/>
        <w:spacing w:before="120" w:after="50" w:line="240" w:lineRule="auto"/>
        <w:rPr>
          <w:rFonts w:ascii="宋体" w:hAnsi="宋体"/>
          <w:bCs/>
          <w:color w:val="auto"/>
          <w:sz w:val="32"/>
          <w:szCs w:val="32"/>
        </w:rPr>
      </w:pPr>
    </w:p>
    <w:p w14:paraId="1EEB0B05">
      <w:pPr>
        <w:snapToGrid w:val="0"/>
        <w:spacing w:before="120" w:after="50" w:line="240" w:lineRule="auto"/>
        <w:ind w:firstLine="480" w:firstLineChars="150"/>
        <w:jc w:val="center"/>
        <w:rPr>
          <w:rFonts w:hint="eastAsia" w:ascii="宋体" w:hAnsi="宋体"/>
          <w:bCs/>
          <w:color w:val="auto"/>
          <w:sz w:val="32"/>
          <w:szCs w:val="32"/>
        </w:rPr>
      </w:pPr>
      <w:r>
        <w:rPr>
          <w:rFonts w:hint="eastAsia" w:ascii="宋体" w:hAnsi="宋体"/>
          <w:bCs/>
          <w:color w:val="auto"/>
          <w:sz w:val="32"/>
          <w:szCs w:val="32"/>
        </w:rPr>
        <w:t>首次响应文件提交截止时间前不得解密</w:t>
      </w:r>
    </w:p>
    <w:p w14:paraId="33F3728D">
      <w:pPr>
        <w:snapToGrid w:val="0"/>
        <w:spacing w:before="120" w:after="50" w:line="240" w:lineRule="auto"/>
        <w:ind w:firstLine="5440" w:firstLineChars="1700"/>
        <w:jc w:val="center"/>
        <w:rPr>
          <w:rFonts w:ascii="宋体" w:hAnsi="宋体"/>
          <w:bCs/>
          <w:color w:val="auto"/>
          <w:sz w:val="32"/>
          <w:szCs w:val="32"/>
        </w:rPr>
      </w:pPr>
    </w:p>
    <w:p w14:paraId="6891B565">
      <w:pPr>
        <w:snapToGrid w:val="0"/>
        <w:spacing w:before="120" w:after="50" w:line="240" w:lineRule="auto"/>
        <w:ind w:firstLine="645"/>
        <w:jc w:val="center"/>
        <w:rPr>
          <w:rFonts w:hint="eastAsia" w:ascii="宋体" w:hAnsi="宋体"/>
          <w:bCs/>
          <w:color w:val="auto"/>
          <w:sz w:val="32"/>
          <w:szCs w:val="32"/>
        </w:rPr>
      </w:pPr>
      <w:r>
        <w:rPr>
          <w:rFonts w:hint="eastAsia" w:ascii="宋体" w:hAnsi="宋体"/>
          <w:bCs/>
          <w:color w:val="auto"/>
          <w:sz w:val="32"/>
          <w:szCs w:val="32"/>
        </w:rPr>
        <w:t>年    月    日</w:t>
      </w:r>
    </w:p>
    <w:p w14:paraId="106B2163">
      <w:pPr>
        <w:spacing w:line="240" w:lineRule="auto"/>
        <w:rPr>
          <w:color w:val="auto"/>
        </w:rPr>
        <w:sectPr>
          <w:pgSz w:w="11911" w:h="16838"/>
          <w:pgMar w:top="1134" w:right="1134" w:bottom="1134" w:left="1134" w:header="720" w:footer="720" w:gutter="0"/>
          <w:cols w:space="720" w:num="1"/>
          <w:titlePg/>
          <w:docGrid w:linePitch="0" w:charSpace="0"/>
        </w:sectPr>
      </w:pPr>
    </w:p>
    <w:p w14:paraId="308388A7">
      <w:pPr>
        <w:keepNext/>
        <w:keepLines/>
        <w:spacing w:before="260" w:after="260" w:line="240" w:lineRule="auto"/>
        <w:jc w:val="center"/>
        <w:outlineLvl w:val="1"/>
        <w:rPr>
          <w:rFonts w:hint="eastAsia" w:ascii="宋体" w:hAnsi="宋体"/>
          <w:b/>
          <w:color w:val="auto"/>
          <w:sz w:val="32"/>
          <w:szCs w:val="32"/>
          <w:lang w:val="zh-CN"/>
        </w:rPr>
      </w:pPr>
      <w:bookmarkStart w:id="196" w:name="_Toc80205939"/>
      <w:bookmarkEnd w:id="196"/>
      <w:bookmarkStart w:id="197" w:name="_Toc10809"/>
      <w:bookmarkEnd w:id="197"/>
      <w:bookmarkStart w:id="198" w:name="_Toc84"/>
      <w:bookmarkEnd w:id="198"/>
      <w:r>
        <w:rPr>
          <w:rFonts w:hint="eastAsia" w:ascii="宋体" w:hAnsi="宋体"/>
          <w:b/>
          <w:color w:val="auto"/>
          <w:sz w:val="32"/>
          <w:szCs w:val="32"/>
          <w:lang w:val="zh-CN"/>
        </w:rPr>
        <w:t>第二节 资格证明文件格式</w:t>
      </w:r>
    </w:p>
    <w:p w14:paraId="58F504D3">
      <w:pPr>
        <w:snapToGrid w:val="0"/>
        <w:spacing w:before="120" w:after="50" w:line="240" w:lineRule="auto"/>
        <w:rPr>
          <w:rFonts w:hint="eastAsia" w:ascii="宋体" w:hAnsi="宋体"/>
          <w:color w:val="auto"/>
          <w:sz w:val="24"/>
        </w:rPr>
      </w:pPr>
      <w:r>
        <w:rPr>
          <w:rFonts w:hint="eastAsia" w:ascii="宋体" w:hAnsi="宋体"/>
          <w:color w:val="auto"/>
          <w:sz w:val="24"/>
        </w:rPr>
        <w:t xml:space="preserve">                                                    </w:t>
      </w:r>
      <w:r>
        <w:rPr>
          <w:rFonts w:hint="eastAsia" w:ascii="宋体" w:hAnsi="宋体"/>
          <w:bCs/>
          <w:color w:val="auto"/>
        </w:rPr>
        <w:t>全流程电子文件</w:t>
      </w:r>
    </w:p>
    <w:p w14:paraId="71D54B25">
      <w:pPr>
        <w:snapToGrid w:val="0"/>
        <w:spacing w:before="120" w:after="50" w:line="240" w:lineRule="auto"/>
        <w:rPr>
          <w:rFonts w:ascii="宋体" w:hAnsi="宋体"/>
          <w:color w:val="auto"/>
          <w:sz w:val="24"/>
          <w:szCs w:val="20"/>
        </w:rPr>
      </w:pPr>
    </w:p>
    <w:p w14:paraId="7647CA2D">
      <w:pPr>
        <w:snapToGrid w:val="0"/>
        <w:spacing w:before="120" w:after="50" w:line="240" w:lineRule="auto"/>
        <w:rPr>
          <w:rFonts w:ascii="宋体" w:hAnsi="宋体"/>
          <w:color w:val="auto"/>
          <w:sz w:val="24"/>
          <w:szCs w:val="20"/>
        </w:rPr>
      </w:pPr>
    </w:p>
    <w:p w14:paraId="380B998B">
      <w:pPr>
        <w:snapToGrid w:val="0"/>
        <w:spacing w:before="120" w:after="50" w:line="240" w:lineRule="auto"/>
        <w:jc w:val="center"/>
        <w:rPr>
          <w:rFonts w:hint="eastAsia" w:ascii="方正小标宋简体" w:hAnsi="方正小标宋简体" w:eastAsia="方正小标宋简体"/>
          <w:bCs/>
          <w:color w:val="auto"/>
          <w:sz w:val="44"/>
          <w:szCs w:val="44"/>
        </w:rPr>
      </w:pPr>
      <w:r>
        <w:rPr>
          <w:rFonts w:hint="eastAsia" w:ascii="方正小标宋简体" w:hAnsi="方正小标宋简体" w:eastAsia="方正小标宋简体"/>
          <w:bCs/>
          <w:color w:val="auto"/>
          <w:sz w:val="44"/>
          <w:szCs w:val="44"/>
        </w:rPr>
        <w:t>资  格  证  明  文  件（封面）</w:t>
      </w:r>
    </w:p>
    <w:p w14:paraId="2D0CE0F0">
      <w:pPr>
        <w:snapToGrid w:val="0"/>
        <w:spacing w:before="120" w:after="50" w:line="240" w:lineRule="auto"/>
        <w:rPr>
          <w:rFonts w:ascii="宋体" w:hAnsi="宋体"/>
          <w:bCs/>
          <w:color w:val="auto"/>
          <w:sz w:val="24"/>
          <w:szCs w:val="20"/>
        </w:rPr>
      </w:pPr>
    </w:p>
    <w:p w14:paraId="78A09D6C">
      <w:pPr>
        <w:snapToGrid w:val="0"/>
        <w:spacing w:before="120" w:after="50" w:line="240" w:lineRule="auto"/>
        <w:rPr>
          <w:rFonts w:ascii="宋体" w:hAnsi="宋体"/>
          <w:bCs/>
          <w:color w:val="auto"/>
          <w:sz w:val="24"/>
          <w:szCs w:val="20"/>
        </w:rPr>
      </w:pPr>
    </w:p>
    <w:p w14:paraId="0B13AF2A">
      <w:pPr>
        <w:snapToGrid w:val="0"/>
        <w:spacing w:before="120" w:after="50" w:line="240" w:lineRule="auto"/>
        <w:rPr>
          <w:rFonts w:ascii="宋体" w:hAnsi="宋体"/>
          <w:bCs/>
          <w:color w:val="auto"/>
          <w:sz w:val="24"/>
          <w:szCs w:val="20"/>
        </w:rPr>
      </w:pPr>
    </w:p>
    <w:p w14:paraId="2F95A7AB">
      <w:pPr>
        <w:snapToGrid w:val="0"/>
        <w:spacing w:before="120" w:after="50" w:line="240" w:lineRule="auto"/>
        <w:rPr>
          <w:rFonts w:ascii="宋体" w:hAnsi="宋体"/>
          <w:bCs/>
          <w:color w:val="auto"/>
          <w:sz w:val="24"/>
          <w:szCs w:val="20"/>
        </w:rPr>
      </w:pPr>
    </w:p>
    <w:p w14:paraId="0FFB8D1B">
      <w:pPr>
        <w:snapToGrid w:val="0"/>
        <w:spacing w:before="120" w:after="50" w:line="240" w:lineRule="auto"/>
        <w:rPr>
          <w:rFonts w:ascii="宋体" w:hAnsi="宋体"/>
          <w:bCs/>
          <w:color w:val="auto"/>
          <w:sz w:val="24"/>
          <w:szCs w:val="20"/>
        </w:rPr>
      </w:pPr>
    </w:p>
    <w:p w14:paraId="023B7631">
      <w:pPr>
        <w:snapToGrid w:val="0"/>
        <w:spacing w:before="120" w:after="50" w:line="240" w:lineRule="auto"/>
        <w:ind w:firstLine="640" w:firstLineChars="200"/>
        <w:rPr>
          <w:rFonts w:hint="eastAsia" w:ascii="宋体" w:hAnsi="宋体"/>
          <w:bCs/>
          <w:color w:val="auto"/>
          <w:sz w:val="32"/>
          <w:szCs w:val="32"/>
        </w:rPr>
      </w:pPr>
      <w:r>
        <w:rPr>
          <w:rFonts w:hint="eastAsia" w:ascii="宋体" w:hAnsi="宋体"/>
          <w:bCs/>
          <w:color w:val="auto"/>
          <w:sz w:val="32"/>
          <w:szCs w:val="32"/>
        </w:rPr>
        <w:t>项目名称：</w:t>
      </w:r>
    </w:p>
    <w:p w14:paraId="500140A4">
      <w:pPr>
        <w:snapToGrid w:val="0"/>
        <w:spacing w:before="120" w:after="50" w:line="240" w:lineRule="auto"/>
        <w:ind w:firstLine="720" w:firstLineChars="225"/>
        <w:rPr>
          <w:rFonts w:ascii="宋体" w:hAnsi="宋体"/>
          <w:bCs/>
          <w:color w:val="auto"/>
          <w:sz w:val="32"/>
          <w:szCs w:val="32"/>
        </w:rPr>
      </w:pPr>
    </w:p>
    <w:p w14:paraId="6D9C5836">
      <w:pPr>
        <w:snapToGrid w:val="0"/>
        <w:spacing w:before="120" w:after="50" w:line="240" w:lineRule="auto"/>
        <w:ind w:firstLine="720" w:firstLineChars="225"/>
        <w:rPr>
          <w:rFonts w:hint="eastAsia" w:ascii="宋体" w:hAnsi="宋体"/>
          <w:bCs/>
          <w:color w:val="auto"/>
          <w:sz w:val="32"/>
          <w:szCs w:val="32"/>
        </w:rPr>
      </w:pPr>
      <w:r>
        <w:rPr>
          <w:rFonts w:hint="eastAsia" w:ascii="宋体" w:hAnsi="宋体"/>
          <w:bCs/>
          <w:color w:val="auto"/>
          <w:sz w:val="32"/>
          <w:szCs w:val="32"/>
        </w:rPr>
        <w:t>项目编号：</w:t>
      </w:r>
    </w:p>
    <w:p w14:paraId="737D73C6">
      <w:pPr>
        <w:snapToGrid w:val="0"/>
        <w:spacing w:before="120" w:after="50" w:line="240" w:lineRule="auto"/>
        <w:ind w:firstLine="720" w:firstLineChars="225"/>
        <w:rPr>
          <w:rFonts w:hint="eastAsia" w:ascii="宋体" w:hAnsi="宋体"/>
          <w:bCs/>
          <w:color w:val="auto"/>
          <w:sz w:val="32"/>
          <w:szCs w:val="32"/>
        </w:rPr>
      </w:pPr>
      <w:r>
        <w:rPr>
          <w:rFonts w:hint="eastAsia" w:ascii="宋体" w:hAnsi="宋体"/>
          <w:bCs/>
          <w:color w:val="auto"/>
          <w:sz w:val="32"/>
          <w:szCs w:val="32"/>
        </w:rPr>
        <w:t xml:space="preserve"> </w:t>
      </w:r>
    </w:p>
    <w:p w14:paraId="0E19439A">
      <w:pPr>
        <w:snapToGrid w:val="0"/>
        <w:spacing w:before="120" w:after="50" w:line="240" w:lineRule="auto"/>
        <w:ind w:firstLine="720" w:firstLineChars="225"/>
        <w:rPr>
          <w:rFonts w:hint="eastAsia" w:ascii="宋体" w:hAnsi="宋体"/>
          <w:bCs/>
          <w:color w:val="auto"/>
          <w:sz w:val="32"/>
          <w:szCs w:val="32"/>
        </w:rPr>
      </w:pPr>
      <w:r>
        <w:rPr>
          <w:rFonts w:hint="eastAsia" w:ascii="宋体" w:hAnsi="宋体"/>
          <w:bCs/>
          <w:color w:val="auto"/>
          <w:sz w:val="32"/>
          <w:szCs w:val="32"/>
        </w:rPr>
        <w:t>所竞分标（如有则填写，无分标时填写“无”或者留空）：</w:t>
      </w:r>
    </w:p>
    <w:p w14:paraId="53863AE2">
      <w:pPr>
        <w:snapToGrid w:val="0"/>
        <w:spacing w:before="120" w:after="50" w:line="240" w:lineRule="auto"/>
        <w:ind w:firstLine="720" w:firstLineChars="225"/>
        <w:rPr>
          <w:rFonts w:ascii="宋体" w:hAnsi="宋体"/>
          <w:bCs/>
          <w:color w:val="auto"/>
          <w:sz w:val="32"/>
          <w:szCs w:val="32"/>
        </w:rPr>
      </w:pPr>
    </w:p>
    <w:p w14:paraId="70F812E6">
      <w:pPr>
        <w:snapToGrid w:val="0"/>
        <w:spacing w:before="50" w:after="50" w:line="240" w:lineRule="auto"/>
        <w:ind w:firstLine="720" w:firstLineChars="225"/>
        <w:rPr>
          <w:rFonts w:hint="eastAsia" w:ascii="宋体" w:hAnsi="宋体"/>
          <w:bCs/>
          <w:color w:val="auto"/>
          <w:sz w:val="32"/>
          <w:szCs w:val="32"/>
        </w:rPr>
      </w:pPr>
      <w:r>
        <w:rPr>
          <w:rFonts w:hint="eastAsia" w:ascii="宋体" w:hAnsi="宋体"/>
          <w:bCs/>
          <w:color w:val="auto"/>
          <w:sz w:val="32"/>
          <w:szCs w:val="32"/>
        </w:rPr>
        <w:t>供应商名称：</w:t>
      </w:r>
    </w:p>
    <w:p w14:paraId="44FCF7BF">
      <w:pPr>
        <w:snapToGrid w:val="0"/>
        <w:spacing w:before="50" w:after="50" w:line="240" w:lineRule="auto"/>
        <w:ind w:firstLine="720" w:firstLineChars="225"/>
        <w:rPr>
          <w:rFonts w:ascii="宋体" w:hAnsi="宋体"/>
          <w:bCs/>
          <w:color w:val="auto"/>
          <w:sz w:val="32"/>
          <w:szCs w:val="32"/>
        </w:rPr>
      </w:pPr>
    </w:p>
    <w:p w14:paraId="6DEF5635">
      <w:pPr>
        <w:snapToGrid w:val="0"/>
        <w:spacing w:before="50" w:after="50" w:line="240" w:lineRule="auto"/>
        <w:ind w:firstLine="720" w:firstLineChars="225"/>
        <w:rPr>
          <w:rFonts w:ascii="宋体" w:hAnsi="宋体"/>
          <w:bCs/>
          <w:color w:val="auto"/>
          <w:sz w:val="32"/>
          <w:szCs w:val="32"/>
        </w:rPr>
      </w:pPr>
    </w:p>
    <w:p w14:paraId="61205E7B">
      <w:pPr>
        <w:snapToGrid w:val="0"/>
        <w:spacing w:before="50" w:after="50" w:line="240" w:lineRule="auto"/>
        <w:ind w:firstLine="720" w:firstLineChars="225"/>
        <w:rPr>
          <w:rFonts w:ascii="宋体" w:hAnsi="宋体"/>
          <w:bCs/>
          <w:color w:val="auto"/>
          <w:sz w:val="32"/>
          <w:szCs w:val="32"/>
        </w:rPr>
      </w:pPr>
    </w:p>
    <w:p w14:paraId="2EDC7A77">
      <w:pPr>
        <w:snapToGrid w:val="0"/>
        <w:spacing w:before="50" w:after="50" w:line="240" w:lineRule="auto"/>
        <w:ind w:firstLine="1280" w:firstLineChars="400"/>
        <w:rPr>
          <w:rFonts w:ascii="宋体" w:hAnsi="宋体"/>
          <w:bCs/>
          <w:color w:val="auto"/>
          <w:sz w:val="32"/>
          <w:szCs w:val="32"/>
        </w:rPr>
      </w:pPr>
    </w:p>
    <w:p w14:paraId="5B0FA521">
      <w:pPr>
        <w:snapToGrid w:val="0"/>
        <w:spacing w:before="120" w:after="50" w:line="240" w:lineRule="auto"/>
        <w:jc w:val="center"/>
        <w:rPr>
          <w:rFonts w:hint="eastAsia" w:ascii="宋体" w:hAnsi="宋体"/>
          <w:color w:val="auto"/>
          <w:sz w:val="32"/>
          <w:szCs w:val="32"/>
        </w:rPr>
      </w:pPr>
      <w:r>
        <w:rPr>
          <w:rFonts w:hint="eastAsia" w:ascii="宋体" w:hAnsi="宋体"/>
          <w:color w:val="auto"/>
          <w:sz w:val="32"/>
          <w:szCs w:val="32"/>
        </w:rPr>
        <w:t>年    月    日</w:t>
      </w:r>
    </w:p>
    <w:p w14:paraId="26140236">
      <w:pPr>
        <w:snapToGrid w:val="0"/>
        <w:spacing w:before="120" w:after="50" w:line="240" w:lineRule="auto"/>
        <w:ind w:firstLine="480" w:firstLineChars="200"/>
        <w:rPr>
          <w:rFonts w:ascii="宋体" w:hAnsi="宋体"/>
          <w:color w:val="auto"/>
          <w:sz w:val="24"/>
        </w:rPr>
      </w:pPr>
      <w:r>
        <w:rPr>
          <w:rFonts w:ascii="宋体" w:hAnsi="宋体"/>
          <w:color w:val="auto"/>
          <w:sz w:val="24"/>
        </w:rPr>
        <w:br w:type="page"/>
      </w:r>
      <w:r>
        <w:rPr>
          <w:rFonts w:hint="eastAsia" w:ascii="宋体" w:hAnsi="宋体"/>
          <w:b/>
          <w:bCs/>
          <w:color w:val="auto"/>
          <w:sz w:val="32"/>
          <w:szCs w:val="32"/>
        </w:rPr>
        <w:t xml:space="preserve"> </w:t>
      </w:r>
    </w:p>
    <w:p w14:paraId="00618DE8">
      <w:pPr>
        <w:snapToGrid w:val="0"/>
        <w:spacing w:before="120" w:after="50" w:line="240" w:lineRule="auto"/>
        <w:jc w:val="center"/>
        <w:rPr>
          <w:rFonts w:hint="eastAsia" w:ascii="宋体" w:hAnsi="宋体"/>
          <w:bCs/>
          <w:color w:val="auto"/>
          <w:sz w:val="32"/>
          <w:szCs w:val="32"/>
        </w:rPr>
      </w:pPr>
      <w:r>
        <w:rPr>
          <w:rFonts w:hint="eastAsia" w:ascii="宋体" w:hAnsi="宋体"/>
          <w:bCs/>
          <w:color w:val="auto"/>
          <w:sz w:val="32"/>
          <w:szCs w:val="32"/>
        </w:rPr>
        <w:t>资格明文件目录</w:t>
      </w:r>
    </w:p>
    <w:p w14:paraId="643C9402">
      <w:pPr>
        <w:snapToGrid w:val="0"/>
        <w:spacing w:line="240" w:lineRule="auto"/>
        <w:rPr>
          <w:rFonts w:ascii="仿宋_GB2312" w:hAnsi="仿宋" w:eastAsia="仿宋_GB2312"/>
          <w:color w:val="auto"/>
          <w:kern w:val="0"/>
          <w:sz w:val="24"/>
        </w:rPr>
      </w:pPr>
    </w:p>
    <w:p w14:paraId="23728361">
      <w:pPr>
        <w:snapToGrid w:val="0"/>
        <w:spacing w:before="120" w:after="50" w:line="240" w:lineRule="auto"/>
        <w:ind w:firstLine="645"/>
        <w:rPr>
          <w:rFonts w:hint="eastAsia" w:ascii="宋体" w:hAnsi="宋体"/>
          <w:color w:val="auto"/>
          <w:sz w:val="32"/>
          <w:szCs w:val="32"/>
        </w:rPr>
      </w:pPr>
      <w:r>
        <w:rPr>
          <w:rFonts w:hint="eastAsia" w:ascii="宋体" w:hAnsi="宋体"/>
          <w:color w:val="auto"/>
          <w:sz w:val="32"/>
          <w:szCs w:val="32"/>
        </w:rPr>
        <w:t>根据磋商文件规定及供应商提供的材料自行编写目录（部分格式后附）。</w:t>
      </w:r>
    </w:p>
    <w:p w14:paraId="48113498">
      <w:pPr>
        <w:spacing w:line="240" w:lineRule="auto"/>
        <w:rPr>
          <w:rFonts w:ascii="宋体" w:hAnsi="宋体"/>
          <w:color w:val="auto"/>
          <w:szCs w:val="21"/>
        </w:rPr>
      </w:pPr>
    </w:p>
    <w:p w14:paraId="027E8AE4">
      <w:pPr>
        <w:spacing w:line="240" w:lineRule="auto"/>
        <w:rPr>
          <w:rFonts w:ascii="宋体" w:hAnsi="宋体"/>
          <w:color w:val="auto"/>
          <w:szCs w:val="21"/>
        </w:rPr>
      </w:pPr>
    </w:p>
    <w:p w14:paraId="56E43E1D">
      <w:pPr>
        <w:spacing w:line="240" w:lineRule="auto"/>
        <w:rPr>
          <w:rFonts w:ascii="宋体" w:hAnsi="宋体"/>
          <w:color w:val="auto"/>
          <w:szCs w:val="21"/>
        </w:rPr>
      </w:pPr>
    </w:p>
    <w:p w14:paraId="12233A9F">
      <w:pPr>
        <w:spacing w:line="240" w:lineRule="auto"/>
        <w:rPr>
          <w:rFonts w:ascii="宋体" w:hAnsi="宋体"/>
          <w:color w:val="auto"/>
          <w:szCs w:val="21"/>
        </w:rPr>
      </w:pPr>
    </w:p>
    <w:p w14:paraId="1F44E781">
      <w:pPr>
        <w:spacing w:line="240" w:lineRule="auto"/>
        <w:rPr>
          <w:rFonts w:ascii="宋体" w:hAnsi="宋体"/>
          <w:color w:val="auto"/>
          <w:szCs w:val="21"/>
        </w:rPr>
      </w:pPr>
    </w:p>
    <w:p w14:paraId="601A948B">
      <w:pPr>
        <w:spacing w:line="240" w:lineRule="auto"/>
        <w:rPr>
          <w:rFonts w:ascii="宋体" w:hAnsi="宋体"/>
          <w:color w:val="auto"/>
          <w:szCs w:val="21"/>
        </w:rPr>
      </w:pPr>
    </w:p>
    <w:p w14:paraId="2EC8EC44">
      <w:pPr>
        <w:spacing w:line="240" w:lineRule="auto"/>
        <w:rPr>
          <w:rFonts w:ascii="宋体" w:hAnsi="宋体"/>
          <w:color w:val="auto"/>
          <w:szCs w:val="21"/>
        </w:rPr>
      </w:pPr>
    </w:p>
    <w:p w14:paraId="1BE77D99">
      <w:pPr>
        <w:snapToGrid w:val="0"/>
        <w:spacing w:line="240" w:lineRule="auto"/>
        <w:rPr>
          <w:rFonts w:hint="eastAsia" w:ascii="宋体" w:hAnsi="宋体"/>
          <w:color w:val="auto"/>
          <w:kern w:val="0"/>
          <w:sz w:val="20"/>
          <w:szCs w:val="21"/>
          <w:lang w:val="zh-CN"/>
        </w:rPr>
      </w:pPr>
      <w:r>
        <w:rPr>
          <w:rFonts w:hint="eastAsia" w:ascii="宋体" w:hAnsi="宋体"/>
          <w:color w:val="auto"/>
          <w:kern w:val="0"/>
          <w:sz w:val="20"/>
          <w:szCs w:val="21"/>
          <w:lang w:val="zh-CN"/>
        </w:rPr>
        <w:t xml:space="preserve"> </w:t>
      </w:r>
      <w:r>
        <w:rPr>
          <w:rFonts w:hint="eastAsia" w:ascii="宋体" w:hAnsi="宋体"/>
          <w:color w:val="auto"/>
          <w:lang w:val="zh-CN"/>
        </w:rPr>
        <w:t xml:space="preserve">  </w:t>
      </w:r>
    </w:p>
    <w:p w14:paraId="42931134">
      <w:pPr>
        <w:snapToGrid w:val="0"/>
        <w:spacing w:line="240" w:lineRule="auto"/>
        <w:jc w:val="left"/>
        <w:rPr>
          <w:rFonts w:hint="eastAsia" w:ascii="宋体" w:hAnsi="宋体"/>
          <w:color w:val="auto"/>
          <w:lang w:val="zh-CN"/>
        </w:rPr>
      </w:pPr>
      <w:r>
        <w:rPr>
          <w:rFonts w:hint="eastAsia" w:ascii="宋体" w:hAnsi="宋体"/>
          <w:color w:val="auto"/>
          <w:lang w:val="zh-CN"/>
        </w:rPr>
        <w:br w:type="page"/>
      </w:r>
    </w:p>
    <w:p w14:paraId="203C0B89">
      <w:pPr>
        <w:spacing w:line="240" w:lineRule="auto"/>
        <w:jc w:val="center"/>
        <w:rPr>
          <w:rFonts w:hint="eastAsia" w:ascii="宋体" w:hAnsi="宋体"/>
          <w:b/>
          <w:color w:val="auto"/>
          <w:sz w:val="32"/>
          <w:szCs w:val="32"/>
        </w:rPr>
      </w:pPr>
      <w:r>
        <w:rPr>
          <w:rFonts w:hint="eastAsia" w:ascii="宋体" w:hAnsi="宋体"/>
          <w:b/>
          <w:color w:val="auto"/>
          <w:sz w:val="32"/>
          <w:szCs w:val="32"/>
        </w:rPr>
        <w:t>供应商直接控股、管理关系信息表</w:t>
      </w:r>
    </w:p>
    <w:p w14:paraId="63406F5D">
      <w:pPr>
        <w:snapToGrid w:val="0"/>
        <w:spacing w:before="120" w:after="50" w:line="240" w:lineRule="auto"/>
        <w:jc w:val="center"/>
        <w:rPr>
          <w:rFonts w:hint="eastAsia" w:ascii="宋体" w:hAnsi="宋体"/>
          <w:b/>
          <w:color w:val="auto"/>
          <w:sz w:val="24"/>
        </w:rPr>
      </w:pPr>
    </w:p>
    <w:p w14:paraId="073F2E88">
      <w:pPr>
        <w:spacing w:line="240" w:lineRule="auto"/>
        <w:jc w:val="center"/>
        <w:rPr>
          <w:rFonts w:hint="eastAsia" w:ascii="宋体" w:hAnsi="宋体"/>
          <w:b/>
          <w:color w:val="auto"/>
          <w:sz w:val="32"/>
          <w:szCs w:val="32"/>
        </w:rPr>
      </w:pPr>
      <w:r>
        <w:rPr>
          <w:rFonts w:hint="eastAsia" w:ascii="宋体" w:hAnsi="宋体"/>
          <w:b/>
          <w:color w:val="auto"/>
          <w:sz w:val="32"/>
          <w:szCs w:val="32"/>
        </w:rPr>
        <w:t>供应商直接控股股东信息表</w:t>
      </w:r>
    </w:p>
    <w:p w14:paraId="04ED2E65">
      <w:pPr>
        <w:snapToGrid w:val="0"/>
        <w:spacing w:line="240" w:lineRule="auto"/>
        <w:rPr>
          <w:rFonts w:hint="eastAsia" w:ascii="宋体" w:hAnsi="宋体"/>
          <w:color w:val="auto"/>
        </w:rPr>
      </w:pPr>
    </w:p>
    <w:tbl>
      <w:tblPr>
        <w:tblStyle w:val="2"/>
        <w:tblW w:w="0" w:type="auto"/>
        <w:jc w:val="center"/>
        <w:shd w:val="clear" w:color="auto" w:fill="FBFBFB"/>
        <w:tblLayout w:type="fixed"/>
        <w:tblCellMar>
          <w:top w:w="120" w:type="dxa"/>
          <w:left w:w="120" w:type="dxa"/>
          <w:bottom w:w="120" w:type="dxa"/>
          <w:right w:w="120" w:type="dxa"/>
        </w:tblCellMar>
      </w:tblPr>
      <w:tblGrid>
        <w:gridCol w:w="880"/>
        <w:gridCol w:w="2655"/>
        <w:gridCol w:w="1455"/>
        <w:gridCol w:w="4287"/>
        <w:gridCol w:w="870"/>
      </w:tblGrid>
      <w:tr w14:paraId="22C238BF">
        <w:tblPrEx>
          <w:tblCellMar>
            <w:top w:w="120" w:type="dxa"/>
            <w:left w:w="120" w:type="dxa"/>
            <w:bottom w:w="120" w:type="dxa"/>
            <w:right w:w="12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5755AFE">
            <w:pPr>
              <w:widowControl/>
              <w:spacing w:line="240" w:lineRule="auto"/>
              <w:contextualSpacing/>
              <w:jc w:val="center"/>
              <w:rPr>
                <w:rFonts w:hint="eastAsia" w:ascii="宋体" w:hAnsi="宋体"/>
                <w:b/>
                <w:bCs/>
                <w:color w:val="auto"/>
                <w:kern w:val="0"/>
                <w:sz w:val="24"/>
              </w:rPr>
            </w:pPr>
            <w:r>
              <w:rPr>
                <w:rFonts w:hint="eastAsia" w:ascii="宋体" w:hAnsi="宋体"/>
                <w:b/>
                <w:bCs/>
                <w:color w:val="auto"/>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264EB0F">
            <w:pPr>
              <w:widowControl/>
              <w:spacing w:line="240" w:lineRule="auto"/>
              <w:contextualSpacing/>
              <w:jc w:val="center"/>
              <w:rPr>
                <w:rFonts w:hint="eastAsia" w:ascii="宋体" w:hAnsi="宋体"/>
                <w:b/>
                <w:bCs/>
                <w:color w:val="auto"/>
                <w:kern w:val="0"/>
                <w:sz w:val="24"/>
              </w:rPr>
            </w:pPr>
            <w:r>
              <w:rPr>
                <w:rFonts w:hint="eastAsia" w:ascii="宋体" w:hAnsi="宋体"/>
                <w:b/>
                <w:bCs/>
                <w:color w:val="auto"/>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C36663C">
            <w:pPr>
              <w:widowControl/>
              <w:spacing w:line="240" w:lineRule="auto"/>
              <w:contextualSpacing/>
              <w:jc w:val="center"/>
              <w:rPr>
                <w:rFonts w:hint="eastAsia" w:ascii="宋体" w:hAnsi="宋体"/>
                <w:b/>
                <w:bCs/>
                <w:color w:val="auto"/>
                <w:kern w:val="0"/>
                <w:sz w:val="24"/>
              </w:rPr>
            </w:pPr>
            <w:r>
              <w:rPr>
                <w:rFonts w:hint="eastAsia" w:ascii="宋体" w:hAnsi="宋体"/>
                <w:b/>
                <w:bCs/>
                <w:color w:val="auto"/>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D866DD8">
            <w:pPr>
              <w:widowControl/>
              <w:spacing w:line="240" w:lineRule="auto"/>
              <w:contextualSpacing/>
              <w:jc w:val="center"/>
              <w:rPr>
                <w:rFonts w:hint="eastAsia" w:ascii="宋体" w:hAnsi="宋体"/>
                <w:b/>
                <w:bCs/>
                <w:color w:val="auto"/>
                <w:kern w:val="0"/>
                <w:sz w:val="24"/>
              </w:rPr>
            </w:pPr>
            <w:r>
              <w:rPr>
                <w:rFonts w:hint="eastAsia" w:ascii="宋体" w:hAnsi="宋体"/>
                <w:b/>
                <w:bCs/>
                <w:color w:val="auto"/>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EB29E3E">
            <w:pPr>
              <w:widowControl/>
              <w:spacing w:line="240" w:lineRule="auto"/>
              <w:contextualSpacing/>
              <w:jc w:val="center"/>
              <w:rPr>
                <w:rFonts w:hint="eastAsia" w:ascii="宋体" w:hAnsi="宋体"/>
                <w:b/>
                <w:bCs/>
                <w:color w:val="auto"/>
                <w:kern w:val="0"/>
                <w:sz w:val="24"/>
              </w:rPr>
            </w:pPr>
            <w:r>
              <w:rPr>
                <w:rFonts w:hint="eastAsia" w:ascii="宋体" w:hAnsi="宋体"/>
                <w:b/>
                <w:bCs/>
                <w:color w:val="auto"/>
                <w:kern w:val="0"/>
                <w:sz w:val="24"/>
              </w:rPr>
              <w:t>备注</w:t>
            </w:r>
          </w:p>
        </w:tc>
      </w:tr>
      <w:tr w14:paraId="37744F3E">
        <w:tblPrEx>
          <w:tblCellMar>
            <w:top w:w="120" w:type="dxa"/>
            <w:left w:w="120" w:type="dxa"/>
            <w:bottom w:w="120" w:type="dxa"/>
            <w:right w:w="12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950896B">
            <w:pPr>
              <w:widowControl/>
              <w:spacing w:line="240" w:lineRule="auto"/>
              <w:contextualSpacing/>
              <w:jc w:val="center"/>
              <w:rPr>
                <w:rFonts w:hint="eastAsia" w:ascii="宋体" w:hAnsi="宋体"/>
                <w:color w:val="auto"/>
                <w:kern w:val="0"/>
                <w:sz w:val="24"/>
              </w:rPr>
            </w:pPr>
            <w:r>
              <w:rPr>
                <w:rFonts w:hint="eastAsia" w:ascii="宋体" w:hAnsi="宋体"/>
                <w:color w:val="auto"/>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002791D">
            <w:pPr>
              <w:widowControl/>
              <w:spacing w:line="240" w:lineRule="auto"/>
              <w:contextualSpacing/>
              <w:jc w:val="center"/>
              <w:rPr>
                <w:rFonts w:ascii="宋体" w:hAnsi="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ADE5651">
            <w:pPr>
              <w:widowControl/>
              <w:spacing w:line="240" w:lineRule="auto"/>
              <w:contextualSpacing/>
              <w:jc w:val="center"/>
              <w:rPr>
                <w:rFonts w:ascii="宋体" w:hAnsi="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95E2577">
            <w:pPr>
              <w:widowControl/>
              <w:spacing w:line="240" w:lineRule="auto"/>
              <w:contextualSpacing/>
              <w:jc w:val="center"/>
              <w:rPr>
                <w:rFonts w:ascii="宋体" w:hAnsi="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915FC02">
            <w:pPr>
              <w:widowControl/>
              <w:spacing w:line="240" w:lineRule="auto"/>
              <w:contextualSpacing/>
              <w:jc w:val="center"/>
              <w:rPr>
                <w:rFonts w:ascii="宋体" w:hAnsi="宋体"/>
                <w:color w:val="auto"/>
                <w:kern w:val="0"/>
                <w:sz w:val="24"/>
              </w:rPr>
            </w:pPr>
          </w:p>
        </w:tc>
      </w:tr>
      <w:tr w14:paraId="43CB6CBE">
        <w:tblPrEx>
          <w:shd w:val="clear" w:color="auto" w:fill="FBFBFB"/>
          <w:tblCellMar>
            <w:top w:w="120" w:type="dxa"/>
            <w:left w:w="120" w:type="dxa"/>
            <w:bottom w:w="120" w:type="dxa"/>
            <w:right w:w="12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4B025E4">
            <w:pPr>
              <w:widowControl/>
              <w:spacing w:line="240" w:lineRule="auto"/>
              <w:contextualSpacing/>
              <w:jc w:val="center"/>
              <w:rPr>
                <w:rFonts w:hint="eastAsia" w:ascii="宋体" w:hAnsi="宋体"/>
                <w:color w:val="auto"/>
                <w:kern w:val="0"/>
                <w:sz w:val="24"/>
              </w:rPr>
            </w:pPr>
            <w:r>
              <w:rPr>
                <w:rFonts w:hint="eastAsia" w:ascii="宋体" w:hAnsi="宋体"/>
                <w:color w:val="auto"/>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8F6B725">
            <w:pPr>
              <w:widowControl/>
              <w:spacing w:line="240" w:lineRule="auto"/>
              <w:contextualSpacing/>
              <w:jc w:val="center"/>
              <w:rPr>
                <w:rFonts w:ascii="宋体" w:hAnsi="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F1B539F">
            <w:pPr>
              <w:widowControl/>
              <w:spacing w:line="240" w:lineRule="auto"/>
              <w:contextualSpacing/>
              <w:jc w:val="center"/>
              <w:rPr>
                <w:rFonts w:ascii="宋体" w:hAnsi="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5E065AD">
            <w:pPr>
              <w:widowControl/>
              <w:spacing w:line="240" w:lineRule="auto"/>
              <w:contextualSpacing/>
              <w:jc w:val="center"/>
              <w:rPr>
                <w:rFonts w:ascii="宋体" w:hAnsi="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F6A55FA">
            <w:pPr>
              <w:widowControl/>
              <w:spacing w:line="240" w:lineRule="auto"/>
              <w:contextualSpacing/>
              <w:jc w:val="center"/>
              <w:rPr>
                <w:rFonts w:ascii="宋体" w:hAnsi="宋体"/>
                <w:color w:val="auto"/>
                <w:kern w:val="0"/>
                <w:sz w:val="24"/>
              </w:rPr>
            </w:pPr>
          </w:p>
        </w:tc>
      </w:tr>
      <w:tr w14:paraId="2FCD840B">
        <w:tblPrEx>
          <w:shd w:val="clear" w:color="auto" w:fill="FBFBFB"/>
          <w:tblCellMar>
            <w:top w:w="120" w:type="dxa"/>
            <w:left w:w="120" w:type="dxa"/>
            <w:bottom w:w="120" w:type="dxa"/>
            <w:right w:w="12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40B90AC">
            <w:pPr>
              <w:widowControl/>
              <w:spacing w:line="240" w:lineRule="auto"/>
              <w:contextualSpacing/>
              <w:jc w:val="center"/>
              <w:rPr>
                <w:rFonts w:hint="eastAsia" w:ascii="宋体" w:hAnsi="宋体"/>
                <w:color w:val="auto"/>
                <w:kern w:val="0"/>
                <w:sz w:val="24"/>
              </w:rPr>
            </w:pPr>
            <w:r>
              <w:rPr>
                <w:rFonts w:hint="eastAsia" w:ascii="宋体" w:hAnsi="宋体"/>
                <w:color w:val="auto"/>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1485521">
            <w:pPr>
              <w:widowControl/>
              <w:spacing w:line="240" w:lineRule="auto"/>
              <w:contextualSpacing/>
              <w:jc w:val="center"/>
              <w:rPr>
                <w:rFonts w:ascii="宋体" w:hAnsi="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291B4F6">
            <w:pPr>
              <w:widowControl/>
              <w:spacing w:line="240" w:lineRule="auto"/>
              <w:contextualSpacing/>
              <w:jc w:val="center"/>
              <w:rPr>
                <w:rFonts w:ascii="宋体" w:hAnsi="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B1E5436">
            <w:pPr>
              <w:widowControl/>
              <w:spacing w:line="240" w:lineRule="auto"/>
              <w:contextualSpacing/>
              <w:jc w:val="center"/>
              <w:rPr>
                <w:rFonts w:ascii="宋体" w:hAnsi="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D8B4F63">
            <w:pPr>
              <w:widowControl/>
              <w:spacing w:line="240" w:lineRule="auto"/>
              <w:contextualSpacing/>
              <w:jc w:val="center"/>
              <w:rPr>
                <w:rFonts w:ascii="宋体" w:hAnsi="宋体"/>
                <w:color w:val="auto"/>
                <w:kern w:val="0"/>
                <w:sz w:val="24"/>
              </w:rPr>
            </w:pPr>
          </w:p>
        </w:tc>
      </w:tr>
      <w:tr w14:paraId="632518BD">
        <w:tblPrEx>
          <w:shd w:val="clear" w:color="auto" w:fill="FBFBFB"/>
          <w:tblCellMar>
            <w:top w:w="120" w:type="dxa"/>
            <w:left w:w="120" w:type="dxa"/>
            <w:bottom w:w="120" w:type="dxa"/>
            <w:right w:w="12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9C3AD64">
            <w:pPr>
              <w:widowControl/>
              <w:spacing w:line="240" w:lineRule="auto"/>
              <w:contextualSpacing/>
              <w:jc w:val="center"/>
              <w:rPr>
                <w:rFonts w:hint="eastAsia" w:ascii="宋体" w:hAnsi="宋体"/>
                <w:color w:val="auto"/>
                <w:kern w:val="0"/>
                <w:sz w:val="24"/>
              </w:rPr>
            </w:pPr>
            <w:r>
              <w:rPr>
                <w:rFonts w:hint="eastAsia" w:ascii="宋体" w:hAnsi="宋体"/>
                <w:color w:val="auto"/>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42A341E">
            <w:pPr>
              <w:widowControl/>
              <w:spacing w:line="240" w:lineRule="auto"/>
              <w:contextualSpacing/>
              <w:jc w:val="center"/>
              <w:rPr>
                <w:rFonts w:ascii="宋体" w:hAnsi="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98C6748">
            <w:pPr>
              <w:widowControl/>
              <w:spacing w:line="240" w:lineRule="auto"/>
              <w:contextualSpacing/>
              <w:jc w:val="center"/>
              <w:rPr>
                <w:rFonts w:ascii="宋体" w:hAnsi="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7F1FCEC">
            <w:pPr>
              <w:widowControl/>
              <w:spacing w:line="240" w:lineRule="auto"/>
              <w:contextualSpacing/>
              <w:jc w:val="center"/>
              <w:rPr>
                <w:rFonts w:ascii="宋体" w:hAnsi="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59EA1A4">
            <w:pPr>
              <w:widowControl/>
              <w:spacing w:line="240" w:lineRule="auto"/>
              <w:contextualSpacing/>
              <w:jc w:val="center"/>
              <w:rPr>
                <w:rFonts w:ascii="宋体" w:hAnsi="宋体"/>
                <w:color w:val="auto"/>
                <w:kern w:val="0"/>
                <w:sz w:val="24"/>
              </w:rPr>
            </w:pPr>
          </w:p>
        </w:tc>
      </w:tr>
    </w:tbl>
    <w:p w14:paraId="2F8A66B7">
      <w:pPr>
        <w:snapToGrid w:val="0"/>
        <w:spacing w:line="240" w:lineRule="auto"/>
        <w:rPr>
          <w:rFonts w:hint="eastAsia" w:ascii="宋体" w:hAnsi="宋体"/>
          <w:color w:val="auto"/>
          <w:sz w:val="24"/>
        </w:rPr>
      </w:pPr>
      <w:r>
        <w:rPr>
          <w:rFonts w:hint="eastAsia" w:ascii="宋体" w:hAnsi="宋体"/>
          <w:color w:val="auto"/>
          <w:sz w:val="24"/>
        </w:rPr>
        <w:t>注：</w:t>
      </w:r>
    </w:p>
    <w:p w14:paraId="37C06681">
      <w:pPr>
        <w:snapToGrid w:val="0"/>
        <w:spacing w:line="240" w:lineRule="auto"/>
        <w:ind w:firstLine="480" w:firstLineChars="200"/>
        <w:rPr>
          <w:rFonts w:hint="eastAsia" w:ascii="宋体" w:hAnsi="宋体"/>
          <w:color w:val="auto"/>
          <w:sz w:val="24"/>
        </w:rPr>
      </w:pPr>
      <w:r>
        <w:rPr>
          <w:rFonts w:hint="eastAsia" w:ascii="宋体" w:hAnsi="宋体"/>
          <w:color w:val="auto"/>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C0F5F70">
      <w:pPr>
        <w:snapToGrid w:val="0"/>
        <w:spacing w:line="240" w:lineRule="auto"/>
        <w:ind w:firstLine="480" w:firstLineChars="200"/>
        <w:rPr>
          <w:rFonts w:hint="eastAsia" w:ascii="宋体" w:hAnsi="宋体"/>
          <w:color w:val="auto"/>
          <w:sz w:val="24"/>
        </w:rPr>
      </w:pPr>
      <w:r>
        <w:rPr>
          <w:rFonts w:hint="eastAsia" w:ascii="宋体" w:hAnsi="宋体"/>
          <w:color w:val="auto"/>
          <w:sz w:val="24"/>
        </w:rPr>
        <w:t>2.本表所指的控股关系仅限于直接控股关系，不包括间接的控股关系。公司实际控制人与公司之间的关系不属于本表所指的直接控股关系。</w:t>
      </w:r>
    </w:p>
    <w:p w14:paraId="4E711609">
      <w:pPr>
        <w:snapToGrid w:val="0"/>
        <w:spacing w:line="240" w:lineRule="auto"/>
        <w:ind w:firstLine="480" w:firstLineChars="200"/>
        <w:rPr>
          <w:rFonts w:hint="eastAsia" w:ascii="宋体" w:hAnsi="宋体"/>
          <w:color w:val="auto"/>
          <w:sz w:val="24"/>
        </w:rPr>
      </w:pPr>
      <w:r>
        <w:rPr>
          <w:rFonts w:hint="eastAsia" w:ascii="宋体" w:hAnsi="宋体"/>
          <w:color w:val="auto"/>
          <w:sz w:val="24"/>
        </w:rPr>
        <w:t>3.供应商不存在直接控股股东的，则填“无”。</w:t>
      </w:r>
    </w:p>
    <w:p w14:paraId="734E1253">
      <w:pPr>
        <w:snapToGrid w:val="0"/>
        <w:spacing w:line="240" w:lineRule="auto"/>
        <w:rPr>
          <w:rFonts w:hint="eastAsia" w:ascii="宋体" w:hAnsi="宋体"/>
          <w:color w:val="auto"/>
          <w:sz w:val="24"/>
        </w:rPr>
      </w:pPr>
    </w:p>
    <w:p w14:paraId="470998D1">
      <w:pPr>
        <w:snapToGrid w:val="0"/>
        <w:spacing w:line="240" w:lineRule="auto"/>
        <w:rPr>
          <w:rFonts w:hint="eastAsia" w:ascii="宋体" w:hAnsi="宋体"/>
          <w:color w:val="auto"/>
          <w:sz w:val="24"/>
        </w:rPr>
      </w:pPr>
    </w:p>
    <w:p w14:paraId="158A7309">
      <w:pPr>
        <w:snapToGrid w:val="0"/>
        <w:spacing w:line="240" w:lineRule="auto"/>
        <w:rPr>
          <w:rFonts w:hint="eastAsia" w:ascii="宋体" w:hAnsi="宋体"/>
          <w:color w:val="auto"/>
          <w:sz w:val="24"/>
        </w:rPr>
      </w:pPr>
    </w:p>
    <w:p w14:paraId="2C1449D7">
      <w:pPr>
        <w:snapToGrid w:val="0"/>
        <w:spacing w:line="240" w:lineRule="auto"/>
        <w:ind w:firstLine="5280" w:firstLineChars="2200"/>
        <w:rPr>
          <w:rFonts w:hint="eastAsia" w:ascii="宋体" w:hAnsi="宋体"/>
          <w:color w:val="auto"/>
          <w:sz w:val="24"/>
        </w:rPr>
      </w:pPr>
      <w:r>
        <w:rPr>
          <w:rFonts w:hint="eastAsia" w:ascii="宋体" w:hAnsi="宋体"/>
          <w:color w:val="auto"/>
          <w:sz w:val="24"/>
        </w:rPr>
        <w:t>供应商名称（电子签章）：</w:t>
      </w:r>
    </w:p>
    <w:p w14:paraId="5A5FFB76">
      <w:pPr>
        <w:snapToGrid w:val="0"/>
        <w:spacing w:line="240" w:lineRule="auto"/>
        <w:ind w:firstLine="5280" w:firstLineChars="2200"/>
        <w:rPr>
          <w:rFonts w:hint="eastAsia" w:ascii="宋体" w:hAnsi="宋体"/>
          <w:color w:val="auto"/>
          <w:sz w:val="24"/>
          <w:lang w:val="zh-CN"/>
        </w:rPr>
      </w:pPr>
      <w:r>
        <w:rPr>
          <w:rFonts w:hint="eastAsia" w:ascii="宋体" w:hAnsi="宋体"/>
          <w:color w:val="auto"/>
          <w:sz w:val="24"/>
          <w:lang w:val="zh-CN"/>
        </w:rPr>
        <w:t>日期：  年  月   日</w:t>
      </w:r>
    </w:p>
    <w:p w14:paraId="32265E2F">
      <w:pPr>
        <w:snapToGrid w:val="0"/>
        <w:spacing w:line="240" w:lineRule="auto"/>
        <w:rPr>
          <w:rFonts w:ascii="仿宋" w:hAnsi="仿宋" w:eastAsia="仿宋"/>
          <w:b/>
          <w:color w:val="auto"/>
          <w:kern w:val="0"/>
          <w:sz w:val="30"/>
          <w:szCs w:val="30"/>
          <w:lang w:val="zh-CN"/>
        </w:rPr>
      </w:pPr>
    </w:p>
    <w:p w14:paraId="5C70AB86">
      <w:pPr>
        <w:snapToGrid w:val="0"/>
        <w:spacing w:line="240" w:lineRule="auto"/>
        <w:rPr>
          <w:rFonts w:ascii="仿宋" w:hAnsi="仿宋" w:eastAsia="仿宋"/>
          <w:b/>
          <w:color w:val="auto"/>
          <w:kern w:val="0"/>
          <w:sz w:val="30"/>
          <w:szCs w:val="30"/>
          <w:lang w:val="zh-CN"/>
        </w:rPr>
      </w:pPr>
    </w:p>
    <w:p w14:paraId="29FB505E">
      <w:pPr>
        <w:snapToGrid w:val="0"/>
        <w:spacing w:line="240" w:lineRule="auto"/>
        <w:rPr>
          <w:rFonts w:ascii="仿宋" w:hAnsi="仿宋" w:eastAsia="仿宋"/>
          <w:b/>
          <w:color w:val="auto"/>
          <w:kern w:val="0"/>
          <w:sz w:val="30"/>
          <w:szCs w:val="30"/>
          <w:lang w:val="zh-CN"/>
        </w:rPr>
      </w:pPr>
    </w:p>
    <w:p w14:paraId="7644AC0A">
      <w:pPr>
        <w:snapToGrid w:val="0"/>
        <w:spacing w:line="240" w:lineRule="auto"/>
        <w:rPr>
          <w:rFonts w:ascii="仿宋" w:hAnsi="仿宋" w:eastAsia="仿宋"/>
          <w:b/>
          <w:color w:val="auto"/>
          <w:kern w:val="0"/>
          <w:sz w:val="30"/>
          <w:szCs w:val="30"/>
          <w:lang w:val="zh-CN"/>
        </w:rPr>
      </w:pPr>
    </w:p>
    <w:p w14:paraId="04C92324">
      <w:pPr>
        <w:snapToGrid w:val="0"/>
        <w:spacing w:line="240" w:lineRule="auto"/>
        <w:rPr>
          <w:rFonts w:ascii="仿宋" w:hAnsi="仿宋" w:eastAsia="仿宋"/>
          <w:b/>
          <w:color w:val="auto"/>
          <w:kern w:val="0"/>
          <w:sz w:val="30"/>
          <w:szCs w:val="30"/>
          <w:lang w:val="zh-CN"/>
        </w:rPr>
      </w:pPr>
    </w:p>
    <w:p w14:paraId="66B8A495">
      <w:pPr>
        <w:snapToGrid w:val="0"/>
        <w:spacing w:line="240" w:lineRule="auto"/>
        <w:jc w:val="left"/>
        <w:rPr>
          <w:rFonts w:hint="eastAsia" w:ascii="宋体" w:hAnsi="宋体"/>
          <w:color w:val="auto"/>
          <w:sz w:val="30"/>
          <w:szCs w:val="30"/>
          <w:lang w:val="zh-CN"/>
        </w:rPr>
      </w:pPr>
    </w:p>
    <w:p w14:paraId="2A2B3873">
      <w:pPr>
        <w:snapToGrid w:val="0"/>
        <w:spacing w:line="240" w:lineRule="auto"/>
        <w:jc w:val="left"/>
        <w:rPr>
          <w:rFonts w:hint="eastAsia" w:ascii="宋体" w:hAnsi="宋体"/>
          <w:color w:val="auto"/>
          <w:sz w:val="30"/>
          <w:szCs w:val="30"/>
          <w:lang w:val="zh-CN"/>
        </w:rPr>
      </w:pPr>
    </w:p>
    <w:p w14:paraId="791467C5">
      <w:pPr>
        <w:spacing w:line="240" w:lineRule="auto"/>
        <w:jc w:val="center"/>
        <w:rPr>
          <w:rFonts w:hint="eastAsia" w:ascii="宋体" w:hAnsi="宋体"/>
          <w:b/>
          <w:color w:val="auto"/>
          <w:sz w:val="32"/>
          <w:szCs w:val="32"/>
        </w:rPr>
      </w:pPr>
      <w:r>
        <w:rPr>
          <w:rFonts w:hint="eastAsia" w:ascii="宋体" w:hAnsi="宋体"/>
          <w:b/>
          <w:color w:val="auto"/>
          <w:sz w:val="32"/>
          <w:szCs w:val="32"/>
        </w:rPr>
        <w:t>供应商直接管理关系信息表</w:t>
      </w:r>
    </w:p>
    <w:p w14:paraId="3235B1B1">
      <w:pPr>
        <w:snapToGrid w:val="0"/>
        <w:spacing w:line="240" w:lineRule="auto"/>
        <w:jc w:val="center"/>
        <w:rPr>
          <w:rFonts w:hint="eastAsia" w:ascii="宋体" w:hAnsi="宋体"/>
          <w:b/>
          <w:color w:val="auto"/>
          <w:sz w:val="24"/>
        </w:rPr>
      </w:pPr>
    </w:p>
    <w:tbl>
      <w:tblPr>
        <w:tblStyle w:val="2"/>
        <w:tblW w:w="0" w:type="auto"/>
        <w:jc w:val="center"/>
        <w:shd w:val="clear" w:color="auto" w:fill="FBFBFB"/>
        <w:tblLayout w:type="fixed"/>
        <w:tblCellMar>
          <w:top w:w="120" w:type="dxa"/>
          <w:left w:w="120" w:type="dxa"/>
          <w:bottom w:w="120" w:type="dxa"/>
          <w:right w:w="120" w:type="dxa"/>
        </w:tblCellMar>
      </w:tblPr>
      <w:tblGrid>
        <w:gridCol w:w="808"/>
        <w:gridCol w:w="3600"/>
        <w:gridCol w:w="3555"/>
        <w:gridCol w:w="1689"/>
      </w:tblGrid>
      <w:tr w14:paraId="38F2A5B7">
        <w:tblPrEx>
          <w:shd w:val="clear" w:color="auto" w:fill="FBFBFB"/>
          <w:tblCellMar>
            <w:top w:w="120" w:type="dxa"/>
            <w:left w:w="120" w:type="dxa"/>
            <w:bottom w:w="120" w:type="dxa"/>
            <w:right w:w="12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ADE8D3A">
            <w:pPr>
              <w:widowControl/>
              <w:spacing w:line="240" w:lineRule="auto"/>
              <w:jc w:val="center"/>
              <w:rPr>
                <w:rFonts w:hint="eastAsia" w:ascii="宋体" w:hAnsi="宋体"/>
                <w:b/>
                <w:bCs/>
                <w:color w:val="auto"/>
                <w:kern w:val="0"/>
                <w:sz w:val="24"/>
              </w:rPr>
            </w:pPr>
            <w:r>
              <w:rPr>
                <w:rFonts w:hint="eastAsia" w:ascii="宋体" w:hAnsi="宋体"/>
                <w:b/>
                <w:bCs/>
                <w:color w:val="auto"/>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E4B43A8">
            <w:pPr>
              <w:widowControl/>
              <w:spacing w:line="240" w:lineRule="auto"/>
              <w:jc w:val="center"/>
              <w:rPr>
                <w:rFonts w:hint="eastAsia" w:ascii="宋体" w:hAnsi="宋体"/>
                <w:b/>
                <w:bCs/>
                <w:color w:val="auto"/>
                <w:kern w:val="0"/>
                <w:sz w:val="24"/>
              </w:rPr>
            </w:pPr>
            <w:r>
              <w:rPr>
                <w:rFonts w:hint="eastAsia" w:ascii="宋体" w:hAnsi="宋体"/>
                <w:b/>
                <w:bCs/>
                <w:color w:val="auto"/>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49CECC8">
            <w:pPr>
              <w:widowControl/>
              <w:spacing w:line="240" w:lineRule="auto"/>
              <w:jc w:val="center"/>
              <w:rPr>
                <w:rFonts w:hint="eastAsia" w:ascii="宋体" w:hAnsi="宋体"/>
                <w:b/>
                <w:bCs/>
                <w:color w:val="auto"/>
                <w:kern w:val="0"/>
                <w:sz w:val="24"/>
              </w:rPr>
            </w:pPr>
            <w:r>
              <w:rPr>
                <w:rFonts w:hint="eastAsia" w:ascii="宋体" w:hAnsi="宋体"/>
                <w:b/>
                <w:bCs/>
                <w:color w:val="auto"/>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2A7D625">
            <w:pPr>
              <w:widowControl/>
              <w:spacing w:line="240" w:lineRule="auto"/>
              <w:jc w:val="center"/>
              <w:rPr>
                <w:rFonts w:hint="eastAsia" w:ascii="宋体" w:hAnsi="宋体"/>
                <w:b/>
                <w:bCs/>
                <w:color w:val="auto"/>
                <w:kern w:val="0"/>
                <w:sz w:val="24"/>
              </w:rPr>
            </w:pPr>
            <w:r>
              <w:rPr>
                <w:rFonts w:hint="eastAsia" w:ascii="宋体" w:hAnsi="宋体"/>
                <w:b/>
                <w:bCs/>
                <w:color w:val="auto"/>
                <w:kern w:val="0"/>
                <w:sz w:val="24"/>
              </w:rPr>
              <w:t>备注</w:t>
            </w:r>
          </w:p>
        </w:tc>
      </w:tr>
      <w:tr w14:paraId="53B1D544">
        <w:tblPrEx>
          <w:shd w:val="clear" w:color="auto" w:fill="FBFBFB"/>
          <w:tblCellMar>
            <w:top w:w="120" w:type="dxa"/>
            <w:left w:w="120" w:type="dxa"/>
            <w:bottom w:w="120" w:type="dxa"/>
            <w:right w:w="12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1E3CC72">
            <w:pPr>
              <w:widowControl/>
              <w:spacing w:line="240" w:lineRule="auto"/>
              <w:jc w:val="center"/>
              <w:rPr>
                <w:rFonts w:hint="eastAsia" w:ascii="宋体" w:hAnsi="宋体"/>
                <w:color w:val="auto"/>
                <w:kern w:val="0"/>
                <w:sz w:val="24"/>
              </w:rPr>
            </w:pPr>
            <w:r>
              <w:rPr>
                <w:rFonts w:hint="eastAsia" w:ascii="宋体" w:hAnsi="宋体"/>
                <w:color w:val="auto"/>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5F15934">
            <w:pPr>
              <w:widowControl/>
              <w:spacing w:line="240" w:lineRule="auto"/>
              <w:jc w:val="center"/>
              <w:rPr>
                <w:rFonts w:ascii="宋体" w:hAnsi="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7DE75F5">
            <w:pPr>
              <w:widowControl/>
              <w:spacing w:line="240" w:lineRule="auto"/>
              <w:jc w:val="center"/>
              <w:rPr>
                <w:rFonts w:ascii="宋体" w:hAnsi="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D13A2F6">
            <w:pPr>
              <w:widowControl/>
              <w:spacing w:line="240" w:lineRule="auto"/>
              <w:jc w:val="center"/>
              <w:rPr>
                <w:rFonts w:ascii="宋体" w:hAnsi="宋体"/>
                <w:color w:val="auto"/>
                <w:kern w:val="0"/>
                <w:sz w:val="24"/>
              </w:rPr>
            </w:pPr>
          </w:p>
        </w:tc>
      </w:tr>
      <w:tr w14:paraId="0B66E316">
        <w:tblPrEx>
          <w:shd w:val="clear" w:color="auto" w:fill="FBFBFB"/>
          <w:tblCellMar>
            <w:top w:w="120" w:type="dxa"/>
            <w:left w:w="120" w:type="dxa"/>
            <w:bottom w:w="120" w:type="dxa"/>
            <w:right w:w="12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B59B175">
            <w:pPr>
              <w:widowControl/>
              <w:spacing w:line="240" w:lineRule="auto"/>
              <w:jc w:val="center"/>
              <w:rPr>
                <w:rFonts w:hint="eastAsia" w:ascii="宋体" w:hAnsi="宋体"/>
                <w:color w:val="auto"/>
                <w:kern w:val="0"/>
                <w:sz w:val="24"/>
              </w:rPr>
            </w:pPr>
            <w:r>
              <w:rPr>
                <w:rFonts w:hint="eastAsia" w:ascii="宋体" w:hAnsi="宋体"/>
                <w:color w:val="auto"/>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27BBB55">
            <w:pPr>
              <w:widowControl/>
              <w:spacing w:line="240" w:lineRule="auto"/>
              <w:jc w:val="center"/>
              <w:rPr>
                <w:rFonts w:ascii="宋体" w:hAnsi="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D04706B">
            <w:pPr>
              <w:widowControl/>
              <w:spacing w:line="240" w:lineRule="auto"/>
              <w:jc w:val="center"/>
              <w:rPr>
                <w:rFonts w:ascii="宋体" w:hAnsi="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9ACB5B0">
            <w:pPr>
              <w:widowControl/>
              <w:spacing w:line="240" w:lineRule="auto"/>
              <w:jc w:val="center"/>
              <w:rPr>
                <w:rFonts w:ascii="宋体" w:hAnsi="宋体"/>
                <w:color w:val="auto"/>
                <w:kern w:val="0"/>
                <w:sz w:val="24"/>
              </w:rPr>
            </w:pPr>
          </w:p>
        </w:tc>
      </w:tr>
      <w:tr w14:paraId="22B945A9">
        <w:tblPrEx>
          <w:shd w:val="clear" w:color="auto" w:fill="FBFBFB"/>
          <w:tblCellMar>
            <w:top w:w="120" w:type="dxa"/>
            <w:left w:w="120" w:type="dxa"/>
            <w:bottom w:w="120" w:type="dxa"/>
            <w:right w:w="12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A129401">
            <w:pPr>
              <w:widowControl/>
              <w:spacing w:line="240" w:lineRule="auto"/>
              <w:jc w:val="center"/>
              <w:rPr>
                <w:rFonts w:hint="eastAsia" w:ascii="宋体" w:hAnsi="宋体"/>
                <w:color w:val="auto"/>
                <w:kern w:val="0"/>
                <w:sz w:val="24"/>
              </w:rPr>
            </w:pPr>
            <w:r>
              <w:rPr>
                <w:rFonts w:hint="eastAsia" w:ascii="宋体" w:hAnsi="宋体"/>
                <w:color w:val="auto"/>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73B7BF8">
            <w:pPr>
              <w:widowControl/>
              <w:spacing w:line="240" w:lineRule="auto"/>
              <w:jc w:val="center"/>
              <w:rPr>
                <w:rFonts w:ascii="宋体" w:hAnsi="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7DFCA0A">
            <w:pPr>
              <w:widowControl/>
              <w:spacing w:line="240" w:lineRule="auto"/>
              <w:jc w:val="center"/>
              <w:rPr>
                <w:rFonts w:ascii="宋体" w:hAnsi="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41CED6D">
            <w:pPr>
              <w:widowControl/>
              <w:spacing w:line="240" w:lineRule="auto"/>
              <w:jc w:val="center"/>
              <w:rPr>
                <w:rFonts w:ascii="宋体" w:hAnsi="宋体"/>
                <w:color w:val="auto"/>
                <w:kern w:val="0"/>
                <w:sz w:val="24"/>
              </w:rPr>
            </w:pPr>
          </w:p>
        </w:tc>
      </w:tr>
      <w:tr w14:paraId="572475F2">
        <w:tblPrEx>
          <w:shd w:val="clear" w:color="auto" w:fill="FBFBFB"/>
          <w:tblCellMar>
            <w:top w:w="120" w:type="dxa"/>
            <w:left w:w="120" w:type="dxa"/>
            <w:bottom w:w="120" w:type="dxa"/>
            <w:right w:w="12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C2C3CAC">
            <w:pPr>
              <w:widowControl/>
              <w:spacing w:line="240" w:lineRule="auto"/>
              <w:jc w:val="center"/>
              <w:rPr>
                <w:rFonts w:hint="eastAsia" w:ascii="宋体" w:hAnsi="宋体"/>
                <w:color w:val="auto"/>
                <w:kern w:val="0"/>
                <w:sz w:val="24"/>
              </w:rPr>
            </w:pPr>
            <w:r>
              <w:rPr>
                <w:rFonts w:hint="eastAsia" w:ascii="宋体" w:hAnsi="宋体"/>
                <w:color w:val="auto"/>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48E4CCD">
            <w:pPr>
              <w:widowControl/>
              <w:spacing w:line="240" w:lineRule="auto"/>
              <w:jc w:val="center"/>
              <w:rPr>
                <w:rFonts w:ascii="宋体" w:hAnsi="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71C919B">
            <w:pPr>
              <w:widowControl/>
              <w:spacing w:line="240" w:lineRule="auto"/>
              <w:jc w:val="center"/>
              <w:rPr>
                <w:rFonts w:ascii="宋体" w:hAnsi="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4CA5FF1">
            <w:pPr>
              <w:widowControl/>
              <w:spacing w:line="240" w:lineRule="auto"/>
              <w:jc w:val="center"/>
              <w:rPr>
                <w:rFonts w:ascii="宋体" w:hAnsi="宋体"/>
                <w:color w:val="auto"/>
                <w:kern w:val="0"/>
                <w:sz w:val="24"/>
              </w:rPr>
            </w:pPr>
          </w:p>
        </w:tc>
      </w:tr>
    </w:tbl>
    <w:p w14:paraId="23F2AD99">
      <w:pPr>
        <w:snapToGrid w:val="0"/>
        <w:spacing w:line="240" w:lineRule="auto"/>
        <w:jc w:val="left"/>
        <w:rPr>
          <w:rFonts w:hint="eastAsia" w:ascii="宋体" w:hAnsi="宋体"/>
          <w:color w:val="auto"/>
          <w:sz w:val="24"/>
        </w:rPr>
      </w:pPr>
      <w:r>
        <w:rPr>
          <w:rFonts w:hint="eastAsia" w:ascii="宋体" w:hAnsi="宋体"/>
          <w:color w:val="auto"/>
          <w:sz w:val="24"/>
        </w:rPr>
        <w:t>注：</w:t>
      </w:r>
    </w:p>
    <w:p w14:paraId="46EA87C1">
      <w:pPr>
        <w:snapToGrid w:val="0"/>
        <w:spacing w:line="240" w:lineRule="auto"/>
        <w:ind w:firstLine="480" w:firstLineChars="200"/>
        <w:jc w:val="left"/>
        <w:rPr>
          <w:rFonts w:hint="eastAsia" w:ascii="宋体" w:hAnsi="宋体"/>
          <w:color w:val="auto"/>
          <w:sz w:val="24"/>
        </w:rPr>
      </w:pPr>
      <w:r>
        <w:rPr>
          <w:rFonts w:hint="eastAsia" w:ascii="宋体" w:hAnsi="宋体"/>
          <w:color w:val="auto"/>
          <w:sz w:val="24"/>
        </w:rPr>
        <w:t>1.管理关系：是指不具有出资持股关系的其他单位之间存在的管理与被管理关系，如一些上下级关系的事业单位和团体组织。</w:t>
      </w:r>
    </w:p>
    <w:p w14:paraId="554DE158">
      <w:pPr>
        <w:snapToGrid w:val="0"/>
        <w:spacing w:line="240" w:lineRule="auto"/>
        <w:ind w:firstLine="480" w:firstLineChars="200"/>
        <w:jc w:val="left"/>
        <w:rPr>
          <w:rFonts w:hint="eastAsia" w:ascii="宋体" w:hAnsi="宋体"/>
          <w:color w:val="auto"/>
          <w:sz w:val="24"/>
        </w:rPr>
      </w:pPr>
      <w:r>
        <w:rPr>
          <w:rFonts w:hint="eastAsia" w:ascii="宋体" w:hAnsi="宋体"/>
          <w:color w:val="auto"/>
          <w:sz w:val="24"/>
        </w:rPr>
        <w:t>2.</w:t>
      </w:r>
      <w:r>
        <w:rPr>
          <w:rFonts w:hint="eastAsia" w:ascii="宋体" w:hAnsi="宋体"/>
          <w:color w:val="auto"/>
          <w:spacing w:val="-6"/>
          <w:sz w:val="24"/>
        </w:rPr>
        <w:t>本表所指的管理关系仅限于直接管理关系，不包括间接的管理关系。</w:t>
      </w:r>
    </w:p>
    <w:p w14:paraId="14B697E8">
      <w:pPr>
        <w:snapToGrid w:val="0"/>
        <w:spacing w:line="240" w:lineRule="auto"/>
        <w:ind w:firstLine="480" w:firstLineChars="200"/>
        <w:jc w:val="left"/>
        <w:rPr>
          <w:rFonts w:hint="eastAsia" w:ascii="宋体" w:hAnsi="宋体"/>
          <w:color w:val="auto"/>
          <w:sz w:val="24"/>
        </w:rPr>
      </w:pPr>
      <w:r>
        <w:rPr>
          <w:rFonts w:hint="eastAsia" w:ascii="宋体" w:hAnsi="宋体"/>
          <w:color w:val="auto"/>
          <w:sz w:val="24"/>
        </w:rPr>
        <w:t>3.供应商不存在直接管理关系的，则填“无”。</w:t>
      </w:r>
    </w:p>
    <w:p w14:paraId="7B8AC9AE">
      <w:pPr>
        <w:snapToGrid w:val="0"/>
        <w:spacing w:line="240" w:lineRule="auto"/>
        <w:jc w:val="left"/>
        <w:rPr>
          <w:rFonts w:hint="eastAsia" w:ascii="宋体" w:hAnsi="宋体"/>
          <w:color w:val="auto"/>
          <w:sz w:val="24"/>
        </w:rPr>
      </w:pPr>
    </w:p>
    <w:p w14:paraId="113D2C8B">
      <w:pPr>
        <w:snapToGrid w:val="0"/>
        <w:spacing w:line="240" w:lineRule="auto"/>
        <w:jc w:val="left"/>
        <w:rPr>
          <w:rFonts w:hint="eastAsia" w:ascii="宋体" w:hAnsi="宋体"/>
          <w:color w:val="auto"/>
          <w:sz w:val="24"/>
        </w:rPr>
      </w:pPr>
    </w:p>
    <w:p w14:paraId="58D652FD">
      <w:pPr>
        <w:snapToGrid w:val="0"/>
        <w:spacing w:line="240" w:lineRule="auto"/>
        <w:jc w:val="left"/>
        <w:rPr>
          <w:rFonts w:hint="eastAsia"/>
          <w:color w:val="auto"/>
          <w:sz w:val="24"/>
        </w:rPr>
      </w:pPr>
    </w:p>
    <w:p w14:paraId="17056FA4">
      <w:pPr>
        <w:snapToGrid w:val="0"/>
        <w:spacing w:line="240" w:lineRule="auto"/>
        <w:jc w:val="left"/>
        <w:rPr>
          <w:rFonts w:hint="eastAsia"/>
          <w:color w:val="auto"/>
          <w:sz w:val="24"/>
        </w:rPr>
      </w:pPr>
    </w:p>
    <w:p w14:paraId="19C2D41C">
      <w:pPr>
        <w:snapToGrid w:val="0"/>
        <w:spacing w:line="240" w:lineRule="auto"/>
        <w:jc w:val="left"/>
        <w:rPr>
          <w:rFonts w:hint="eastAsia"/>
          <w:color w:val="auto"/>
          <w:sz w:val="24"/>
        </w:rPr>
      </w:pPr>
    </w:p>
    <w:p w14:paraId="2C2ABDB4">
      <w:pPr>
        <w:snapToGrid w:val="0"/>
        <w:spacing w:line="240" w:lineRule="auto"/>
        <w:jc w:val="left"/>
        <w:rPr>
          <w:rFonts w:hint="eastAsia" w:ascii="宋体" w:hAnsi="宋体"/>
          <w:color w:val="auto"/>
          <w:sz w:val="24"/>
        </w:rPr>
      </w:pPr>
    </w:p>
    <w:p w14:paraId="6FE1A865">
      <w:pPr>
        <w:snapToGrid w:val="0"/>
        <w:spacing w:before="120" w:line="240" w:lineRule="auto"/>
        <w:ind w:right="480" w:firstLine="2160" w:firstLineChars="900"/>
        <w:rPr>
          <w:rFonts w:hint="eastAsia" w:ascii="宋体" w:hAnsi="宋体"/>
          <w:color w:val="auto"/>
          <w:sz w:val="24"/>
        </w:rPr>
      </w:pPr>
      <w:r>
        <w:rPr>
          <w:rFonts w:hint="eastAsia" w:ascii="宋体" w:hAnsi="宋体"/>
          <w:color w:val="auto"/>
          <w:sz w:val="24"/>
        </w:rPr>
        <w:t>法定代表人或者委托代理人签字：</w:t>
      </w:r>
      <w:r>
        <w:rPr>
          <w:rFonts w:hint="eastAsia" w:ascii="宋体" w:hAnsi="宋体"/>
          <w:color w:val="auto"/>
          <w:sz w:val="24"/>
          <w:u w:val="single"/>
        </w:rPr>
        <w:t xml:space="preserve">               </w:t>
      </w:r>
    </w:p>
    <w:p w14:paraId="0A5D44CC">
      <w:pPr>
        <w:snapToGrid w:val="0"/>
        <w:spacing w:before="120" w:after="50" w:line="240" w:lineRule="auto"/>
        <w:ind w:right="480" w:firstLine="3360" w:firstLineChars="1400"/>
        <w:rPr>
          <w:rFonts w:hint="eastAsia" w:ascii="宋体" w:hAnsi="宋体"/>
          <w:color w:val="auto"/>
          <w:sz w:val="24"/>
        </w:rPr>
      </w:pPr>
      <w:r>
        <w:rPr>
          <w:rFonts w:hint="eastAsia" w:ascii="宋体" w:hAnsi="宋体"/>
          <w:color w:val="auto"/>
          <w:sz w:val="24"/>
        </w:rPr>
        <w:t>供应商（盖公章）：</w:t>
      </w:r>
      <w:r>
        <w:rPr>
          <w:rFonts w:hint="eastAsia" w:ascii="宋体" w:hAnsi="宋体"/>
          <w:color w:val="auto"/>
          <w:sz w:val="24"/>
          <w:u w:val="single"/>
        </w:rPr>
        <w:t xml:space="preserve">                </w:t>
      </w:r>
    </w:p>
    <w:p w14:paraId="34BEEE2C">
      <w:pPr>
        <w:snapToGrid w:val="0"/>
        <w:spacing w:before="120" w:after="50" w:line="240" w:lineRule="auto"/>
        <w:ind w:right="480" w:firstLine="240" w:firstLineChars="100"/>
        <w:jc w:val="center"/>
        <w:rPr>
          <w:rFonts w:hint="eastAsia" w:ascii="宋体" w:hAnsi="宋体"/>
          <w:color w:val="auto"/>
          <w:sz w:val="24"/>
        </w:rPr>
      </w:pPr>
      <w:r>
        <w:rPr>
          <w:rFonts w:hint="eastAsia" w:ascii="宋体" w:hAnsi="宋体"/>
          <w:color w:val="auto"/>
          <w:sz w:val="24"/>
        </w:rPr>
        <w:t xml:space="preserve">                                        年    月    日</w:t>
      </w:r>
    </w:p>
    <w:p w14:paraId="62EC4860">
      <w:pPr>
        <w:spacing w:line="240" w:lineRule="auto"/>
        <w:ind w:right="480" w:firstLine="240" w:firstLineChars="100"/>
        <w:contextualSpacing/>
        <w:jc w:val="center"/>
        <w:rPr>
          <w:rFonts w:hint="eastAsia" w:ascii="宋体" w:hAnsi="宋体"/>
          <w:color w:val="auto"/>
          <w:sz w:val="24"/>
        </w:rPr>
      </w:pPr>
      <w:r>
        <w:rPr>
          <w:rFonts w:hint="eastAsia" w:ascii="宋体" w:hAnsi="宋体"/>
          <w:color w:val="auto"/>
          <w:sz w:val="24"/>
        </w:rPr>
        <w:t xml:space="preserve">                                  </w:t>
      </w:r>
    </w:p>
    <w:p w14:paraId="2C1B7346">
      <w:pPr>
        <w:spacing w:line="240" w:lineRule="auto"/>
        <w:jc w:val="left"/>
        <w:rPr>
          <w:rFonts w:ascii="宋体" w:hAnsi="宋体"/>
          <w:color w:val="auto"/>
          <w:sz w:val="28"/>
          <w:szCs w:val="28"/>
        </w:rPr>
      </w:pPr>
    </w:p>
    <w:p w14:paraId="00B1AA0E">
      <w:pPr>
        <w:spacing w:line="240" w:lineRule="auto"/>
        <w:jc w:val="left"/>
        <w:rPr>
          <w:rFonts w:ascii="宋体" w:hAnsi="宋体"/>
          <w:color w:val="auto"/>
          <w:sz w:val="28"/>
          <w:szCs w:val="28"/>
        </w:rPr>
      </w:pPr>
    </w:p>
    <w:p w14:paraId="0B01BE45">
      <w:pPr>
        <w:spacing w:line="240" w:lineRule="auto"/>
        <w:jc w:val="left"/>
        <w:rPr>
          <w:rFonts w:ascii="宋体" w:hAnsi="宋体"/>
          <w:color w:val="auto"/>
          <w:sz w:val="28"/>
          <w:szCs w:val="28"/>
        </w:rPr>
      </w:pPr>
    </w:p>
    <w:p w14:paraId="3F6543E4">
      <w:pPr>
        <w:spacing w:line="240" w:lineRule="auto"/>
        <w:jc w:val="left"/>
        <w:rPr>
          <w:rFonts w:ascii="宋体" w:hAnsi="宋体"/>
          <w:color w:val="auto"/>
          <w:sz w:val="28"/>
          <w:szCs w:val="28"/>
        </w:rPr>
      </w:pPr>
    </w:p>
    <w:p w14:paraId="349C54C4">
      <w:pPr>
        <w:spacing w:line="240" w:lineRule="auto"/>
        <w:jc w:val="left"/>
        <w:rPr>
          <w:rFonts w:ascii="宋体" w:hAnsi="宋体"/>
          <w:color w:val="auto"/>
          <w:sz w:val="28"/>
          <w:szCs w:val="28"/>
        </w:rPr>
      </w:pPr>
    </w:p>
    <w:p w14:paraId="5585A9F1">
      <w:pPr>
        <w:spacing w:line="240" w:lineRule="auto"/>
        <w:jc w:val="left"/>
        <w:rPr>
          <w:rFonts w:ascii="宋体" w:hAnsi="宋体"/>
          <w:color w:val="auto"/>
          <w:sz w:val="28"/>
          <w:szCs w:val="28"/>
        </w:rPr>
      </w:pPr>
    </w:p>
    <w:p w14:paraId="7D387CEA">
      <w:pPr>
        <w:spacing w:line="240" w:lineRule="auto"/>
        <w:rPr>
          <w:rFonts w:ascii="宋体" w:hAnsi="宋体"/>
          <w:b/>
          <w:color w:val="auto"/>
          <w:sz w:val="32"/>
          <w:szCs w:val="32"/>
        </w:rPr>
      </w:pPr>
    </w:p>
    <w:p w14:paraId="15686720">
      <w:pPr>
        <w:spacing w:line="240" w:lineRule="auto"/>
        <w:jc w:val="center"/>
        <w:rPr>
          <w:rFonts w:hint="eastAsia" w:ascii="宋体" w:hAnsi="宋体"/>
          <w:b/>
          <w:color w:val="auto"/>
          <w:sz w:val="32"/>
          <w:szCs w:val="32"/>
        </w:rPr>
      </w:pPr>
      <w:r>
        <w:rPr>
          <w:rFonts w:hint="eastAsia" w:ascii="宋体" w:hAnsi="宋体"/>
          <w:b/>
          <w:color w:val="auto"/>
          <w:sz w:val="32"/>
          <w:szCs w:val="32"/>
        </w:rPr>
        <w:t>资格声明函</w:t>
      </w:r>
    </w:p>
    <w:p w14:paraId="43A2E5B3">
      <w:pPr>
        <w:spacing w:line="240" w:lineRule="auto"/>
        <w:jc w:val="center"/>
        <w:rPr>
          <w:rFonts w:ascii="宋体" w:hAnsi="宋体"/>
          <w:color w:val="auto"/>
          <w:sz w:val="24"/>
          <w:szCs w:val="20"/>
        </w:rPr>
      </w:pPr>
    </w:p>
    <w:p w14:paraId="2A01650E">
      <w:pPr>
        <w:snapToGrid w:val="0"/>
        <w:spacing w:line="240" w:lineRule="auto"/>
        <w:rPr>
          <w:rFonts w:hint="eastAsia" w:ascii="仿宋_GB2312" w:hAnsi="宋体" w:eastAsia="仿宋_GB2312"/>
          <w:color w:val="auto"/>
          <w:sz w:val="24"/>
        </w:rPr>
      </w:pPr>
      <w:r>
        <w:rPr>
          <w:rFonts w:hint="eastAsia" w:ascii="仿宋_GB2312" w:hAnsi="宋体" w:eastAsia="仿宋_GB2312"/>
          <w:color w:val="auto"/>
          <w:sz w:val="24"/>
        </w:rPr>
        <w:t>致</w:t>
      </w:r>
      <w:r>
        <w:rPr>
          <w:rFonts w:hint="eastAsia" w:ascii="宋体" w:hAnsi="宋体"/>
          <w:color w:val="auto"/>
        </w:rPr>
        <w:t>：</w:t>
      </w:r>
      <w:r>
        <w:rPr>
          <w:rFonts w:hint="eastAsia" w:ascii="宋体" w:hAnsi="宋体"/>
          <w:color w:val="auto"/>
          <w:u w:val="single"/>
        </w:rPr>
        <w:t>（采购代理机构名称）</w:t>
      </w:r>
    </w:p>
    <w:p w14:paraId="0E60281F">
      <w:pPr>
        <w:snapToGrid w:val="0"/>
        <w:spacing w:line="240" w:lineRule="auto"/>
        <w:ind w:firstLine="840" w:firstLineChars="400"/>
        <w:rPr>
          <w:rFonts w:hint="eastAsia" w:ascii="宋体" w:hAnsi="宋体"/>
          <w:color w:val="auto"/>
          <w:u w:val="single"/>
        </w:rPr>
      </w:pPr>
      <w:r>
        <w:rPr>
          <w:rFonts w:hint="eastAsia" w:ascii="宋体" w:hAnsi="宋体"/>
          <w:color w:val="auto"/>
          <w:u w:val="single"/>
        </w:rPr>
        <w:t xml:space="preserve">             （供应商名称）</w:t>
      </w:r>
      <w:r>
        <w:rPr>
          <w:rFonts w:hint="eastAsia" w:ascii="宋体" w:hAnsi="宋体"/>
          <w:color w:val="auto"/>
        </w:rPr>
        <w:t>系中华人民共和国合法供应商，经营地址</w:t>
      </w:r>
      <w:r>
        <w:rPr>
          <w:rFonts w:hint="eastAsia" w:ascii="宋体" w:hAnsi="宋体"/>
          <w:color w:val="auto"/>
          <w:u w:val="single"/>
        </w:rPr>
        <w:t xml:space="preserve">                              。</w:t>
      </w:r>
    </w:p>
    <w:p w14:paraId="40B7F1CA">
      <w:pPr>
        <w:snapToGrid w:val="0"/>
        <w:spacing w:line="240" w:lineRule="auto"/>
        <w:ind w:firstLine="420" w:firstLineChars="200"/>
        <w:rPr>
          <w:rFonts w:hint="eastAsia" w:ascii="宋体" w:hAnsi="宋体"/>
          <w:color w:val="auto"/>
        </w:rPr>
      </w:pPr>
      <w:r>
        <w:rPr>
          <w:rFonts w:hint="eastAsia" w:ascii="宋体" w:hAnsi="宋体"/>
          <w:color w:val="auto"/>
        </w:rPr>
        <w:t>我方愿意参加贵方组织的（项目名称）项目的竞标，为便于贵方公正、择优地确定成交供应商及其竞标产品和服务，我方就本次竞标有关事项郑重声明如下：</w:t>
      </w:r>
    </w:p>
    <w:p w14:paraId="6CE2FF04">
      <w:pPr>
        <w:snapToGrid w:val="0"/>
        <w:spacing w:line="240" w:lineRule="auto"/>
        <w:ind w:firstLine="420" w:firstLineChars="200"/>
        <w:rPr>
          <w:rFonts w:hint="eastAsia" w:ascii="宋体" w:hAnsi="宋体"/>
          <w:color w:val="auto"/>
        </w:rPr>
      </w:pPr>
      <w:r>
        <w:rPr>
          <w:rFonts w:hint="eastAsia" w:ascii="宋体" w:hAnsi="宋体"/>
          <w:color w:val="auto"/>
        </w:rPr>
        <w:t>1.我方向贵方提交的所有响应文件、资料都是准确的和真实的。</w:t>
      </w:r>
    </w:p>
    <w:p w14:paraId="353FDDDC">
      <w:pPr>
        <w:snapToGrid w:val="0"/>
        <w:spacing w:line="240" w:lineRule="auto"/>
        <w:ind w:firstLine="420" w:firstLineChars="200"/>
        <w:rPr>
          <w:rFonts w:hint="eastAsia" w:ascii="宋体" w:hAnsi="宋体"/>
          <w:color w:val="auto"/>
        </w:rPr>
      </w:pPr>
      <w:r>
        <w:rPr>
          <w:rFonts w:hint="eastAsia" w:ascii="宋体" w:hAnsi="宋体"/>
          <w:color w:val="auto"/>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663BF265">
      <w:pPr>
        <w:snapToGrid w:val="0"/>
        <w:spacing w:line="240" w:lineRule="auto"/>
        <w:ind w:firstLine="420" w:firstLineChars="200"/>
        <w:rPr>
          <w:rFonts w:hint="eastAsia" w:ascii="宋体" w:hAnsi="宋体"/>
          <w:color w:val="auto"/>
        </w:rPr>
      </w:pPr>
      <w:r>
        <w:rPr>
          <w:rFonts w:hint="eastAsia" w:ascii="宋体" w:hAnsi="宋体"/>
          <w:color w:val="auto"/>
        </w:rPr>
        <w:t>3.在此，我方宣布同意如下：</w:t>
      </w:r>
    </w:p>
    <w:p w14:paraId="4CEC3411">
      <w:pPr>
        <w:snapToGrid w:val="0"/>
        <w:spacing w:line="240" w:lineRule="auto"/>
        <w:ind w:firstLine="420" w:firstLineChars="200"/>
        <w:rPr>
          <w:rFonts w:hint="eastAsia" w:ascii="宋体" w:hAnsi="宋体"/>
          <w:color w:val="auto"/>
        </w:rPr>
      </w:pPr>
      <w:r>
        <w:rPr>
          <w:rFonts w:hint="eastAsia" w:ascii="宋体" w:hAnsi="宋体"/>
          <w:color w:val="auto"/>
        </w:rPr>
        <w:t>（1）将按磋商文件的约定履行合同责任和义务；</w:t>
      </w:r>
    </w:p>
    <w:p w14:paraId="1721CAE4">
      <w:pPr>
        <w:snapToGrid w:val="0"/>
        <w:spacing w:line="240" w:lineRule="auto"/>
        <w:ind w:firstLine="420" w:firstLineChars="200"/>
        <w:rPr>
          <w:rFonts w:hint="eastAsia" w:ascii="宋体" w:hAnsi="宋体"/>
          <w:color w:val="auto"/>
        </w:rPr>
      </w:pPr>
      <w:r>
        <w:rPr>
          <w:rFonts w:hint="eastAsia" w:ascii="宋体" w:hAnsi="宋体"/>
          <w:color w:val="auto"/>
        </w:rPr>
        <w:t>（2）已详细审查全部磋商文件，包括澄清或者更正公告（如有）；</w:t>
      </w:r>
    </w:p>
    <w:p w14:paraId="38890BDE">
      <w:pPr>
        <w:snapToGrid w:val="0"/>
        <w:spacing w:line="240" w:lineRule="auto"/>
        <w:ind w:firstLine="420" w:firstLineChars="200"/>
        <w:rPr>
          <w:rFonts w:hint="eastAsia" w:ascii="宋体" w:hAnsi="宋体"/>
          <w:color w:val="auto"/>
        </w:rPr>
      </w:pPr>
      <w:r>
        <w:rPr>
          <w:rFonts w:hint="eastAsia" w:ascii="宋体" w:hAnsi="宋体"/>
          <w:color w:val="auto"/>
        </w:rPr>
        <w:t>（3）同意提供按照贵方可能要求的与谈判有关的一切数据或者资料；</w:t>
      </w:r>
    </w:p>
    <w:p w14:paraId="01D45E39">
      <w:pPr>
        <w:snapToGrid w:val="0"/>
        <w:spacing w:line="240" w:lineRule="auto"/>
        <w:ind w:firstLine="420" w:firstLineChars="200"/>
        <w:rPr>
          <w:rFonts w:hint="eastAsia" w:ascii="宋体" w:hAnsi="宋体"/>
          <w:color w:val="auto"/>
        </w:rPr>
      </w:pPr>
      <w:r>
        <w:rPr>
          <w:rFonts w:hint="eastAsia" w:ascii="宋体" w:hAnsi="宋体"/>
          <w:color w:val="auto"/>
        </w:rPr>
        <w:t>（4）响应磋商文件规定的竞标有效期。</w:t>
      </w:r>
    </w:p>
    <w:p w14:paraId="41CFF7C6">
      <w:pPr>
        <w:snapToGrid w:val="0"/>
        <w:spacing w:line="240" w:lineRule="auto"/>
        <w:ind w:firstLine="420" w:firstLineChars="200"/>
        <w:rPr>
          <w:rFonts w:hint="eastAsia" w:ascii="宋体" w:hAnsi="宋体"/>
          <w:color w:val="auto"/>
        </w:rPr>
      </w:pPr>
      <w:r>
        <w:rPr>
          <w:rFonts w:hint="eastAsia" w:ascii="宋体" w:hAnsi="宋体"/>
          <w:color w:val="auto"/>
        </w:rPr>
        <w:t>4.我方承诺符合《中华人民共和国政府采购法》第二十二条规定：</w:t>
      </w:r>
    </w:p>
    <w:p w14:paraId="7935677C">
      <w:pPr>
        <w:snapToGrid w:val="0"/>
        <w:spacing w:line="240" w:lineRule="auto"/>
        <w:ind w:firstLine="420" w:firstLineChars="200"/>
        <w:rPr>
          <w:rFonts w:hint="eastAsia" w:ascii="宋体" w:hAnsi="宋体"/>
          <w:color w:val="auto"/>
        </w:rPr>
      </w:pPr>
      <w:r>
        <w:rPr>
          <w:rFonts w:hint="eastAsia" w:ascii="宋体" w:hAnsi="宋体"/>
          <w:color w:val="auto"/>
        </w:rPr>
        <w:t>（1）具有独立承担民事责任的能力；</w:t>
      </w:r>
    </w:p>
    <w:p w14:paraId="55B8A94E">
      <w:pPr>
        <w:snapToGrid w:val="0"/>
        <w:spacing w:line="240" w:lineRule="auto"/>
        <w:ind w:firstLine="420" w:firstLineChars="200"/>
        <w:rPr>
          <w:rFonts w:hint="eastAsia" w:ascii="宋体" w:hAnsi="宋体"/>
          <w:color w:val="auto"/>
        </w:rPr>
      </w:pPr>
      <w:r>
        <w:rPr>
          <w:rFonts w:hint="eastAsia" w:ascii="宋体" w:hAnsi="宋体"/>
          <w:color w:val="auto"/>
        </w:rPr>
        <w:t>（2）具有良好的商业信誉和健全的财务会计制度；</w:t>
      </w:r>
    </w:p>
    <w:p w14:paraId="1FBAAC49">
      <w:pPr>
        <w:snapToGrid w:val="0"/>
        <w:spacing w:line="240" w:lineRule="auto"/>
        <w:ind w:firstLine="420" w:firstLineChars="200"/>
        <w:rPr>
          <w:rFonts w:hint="eastAsia" w:ascii="宋体" w:hAnsi="宋体"/>
          <w:color w:val="auto"/>
        </w:rPr>
      </w:pPr>
      <w:r>
        <w:rPr>
          <w:rFonts w:hint="eastAsia" w:ascii="宋体" w:hAnsi="宋体"/>
          <w:color w:val="auto"/>
        </w:rPr>
        <w:t>（3）具有履行合同所必需的设备和专业技术能力；</w:t>
      </w:r>
    </w:p>
    <w:p w14:paraId="696A2870">
      <w:pPr>
        <w:snapToGrid w:val="0"/>
        <w:spacing w:line="240" w:lineRule="auto"/>
        <w:ind w:firstLine="420" w:firstLineChars="200"/>
        <w:rPr>
          <w:rFonts w:hint="eastAsia" w:ascii="宋体" w:hAnsi="宋体"/>
          <w:color w:val="auto"/>
        </w:rPr>
      </w:pPr>
      <w:r>
        <w:rPr>
          <w:rFonts w:hint="eastAsia" w:ascii="宋体" w:hAnsi="宋体"/>
          <w:color w:val="auto"/>
        </w:rPr>
        <w:t>（4）有依法缴纳税收和社会保障资金的良好记录；</w:t>
      </w:r>
    </w:p>
    <w:p w14:paraId="3ACADE06">
      <w:pPr>
        <w:snapToGrid w:val="0"/>
        <w:spacing w:line="240" w:lineRule="auto"/>
        <w:ind w:firstLine="420" w:firstLineChars="200"/>
        <w:rPr>
          <w:rFonts w:hint="eastAsia" w:ascii="宋体" w:hAnsi="宋体"/>
          <w:color w:val="auto"/>
        </w:rPr>
      </w:pPr>
      <w:r>
        <w:rPr>
          <w:rFonts w:hint="eastAsia" w:ascii="宋体" w:hAnsi="宋体"/>
          <w:color w:val="auto"/>
        </w:rPr>
        <w:t>（5）参加政府采购活动前三年内，在经营活动中没有重大违法记录；</w:t>
      </w:r>
    </w:p>
    <w:p w14:paraId="16576649">
      <w:pPr>
        <w:snapToGrid w:val="0"/>
        <w:spacing w:line="240" w:lineRule="auto"/>
        <w:ind w:firstLine="420" w:firstLineChars="200"/>
        <w:rPr>
          <w:rFonts w:hint="eastAsia" w:ascii="宋体" w:hAnsi="宋体"/>
          <w:color w:val="auto"/>
        </w:rPr>
      </w:pPr>
      <w:r>
        <w:rPr>
          <w:rFonts w:hint="eastAsia" w:ascii="宋体" w:hAnsi="宋体"/>
          <w:color w:val="auto"/>
        </w:rPr>
        <w:t>（6）法律、行政法规规定的其他条件。</w:t>
      </w:r>
    </w:p>
    <w:p w14:paraId="2533C156">
      <w:pPr>
        <w:snapToGrid w:val="0"/>
        <w:spacing w:line="240" w:lineRule="auto"/>
        <w:ind w:firstLine="420" w:firstLineChars="200"/>
        <w:rPr>
          <w:rFonts w:hint="eastAsia" w:ascii="宋体" w:hAnsi="宋体"/>
          <w:color w:val="auto"/>
        </w:rPr>
      </w:pPr>
      <w:r>
        <w:rPr>
          <w:rFonts w:hint="eastAsia" w:ascii="宋体" w:hAnsi="宋体"/>
          <w:color w:val="auto"/>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019D2928">
      <w:pPr>
        <w:snapToGrid w:val="0"/>
        <w:spacing w:line="240" w:lineRule="auto"/>
        <w:ind w:firstLine="420" w:firstLineChars="200"/>
        <w:rPr>
          <w:rFonts w:hint="eastAsia" w:ascii="宋体" w:hAnsi="宋体"/>
          <w:color w:val="auto"/>
        </w:rPr>
      </w:pPr>
      <w:r>
        <w:rPr>
          <w:rFonts w:hint="eastAsia" w:ascii="宋体" w:hAnsi="宋体"/>
          <w:color w:val="auto"/>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2E72A7DD">
      <w:pPr>
        <w:snapToGrid w:val="0"/>
        <w:spacing w:line="240" w:lineRule="auto"/>
        <w:ind w:firstLine="420" w:firstLineChars="200"/>
        <w:rPr>
          <w:rFonts w:hint="eastAsia" w:ascii="宋体" w:hAnsi="宋体"/>
          <w:color w:val="auto"/>
        </w:rPr>
      </w:pPr>
      <w:r>
        <w:rPr>
          <w:rFonts w:hint="eastAsia" w:ascii="宋体" w:hAnsi="宋体"/>
          <w:color w:val="auto"/>
        </w:rPr>
        <w:t>□我方本次响应文件内容中未涉及商业秘密；</w:t>
      </w:r>
    </w:p>
    <w:p w14:paraId="73D33026">
      <w:pPr>
        <w:snapToGrid w:val="0"/>
        <w:spacing w:line="240" w:lineRule="auto"/>
        <w:ind w:firstLine="420" w:firstLineChars="200"/>
        <w:rPr>
          <w:rFonts w:hint="eastAsia" w:ascii="宋体" w:hAnsi="宋体"/>
          <w:color w:val="auto"/>
        </w:rPr>
      </w:pPr>
      <w:r>
        <w:rPr>
          <w:rFonts w:hint="eastAsia" w:ascii="宋体" w:hAnsi="宋体"/>
          <w:color w:val="auto"/>
        </w:rPr>
        <w:t>□我方本次响应文件涉及商业秘密的内容有：                         ；</w:t>
      </w:r>
    </w:p>
    <w:p w14:paraId="2303E09C">
      <w:pPr>
        <w:numPr>
          <w:ilvl w:val="0"/>
          <w:numId w:val="19"/>
        </w:numPr>
        <w:tabs>
          <w:tab w:val="clear" w:pos="312"/>
        </w:tabs>
        <w:snapToGrid w:val="0"/>
        <w:spacing w:line="240" w:lineRule="auto"/>
        <w:ind w:firstLine="420" w:firstLineChars="200"/>
        <w:rPr>
          <w:rFonts w:hint="eastAsia" w:ascii="宋体" w:hAnsi="宋体"/>
          <w:color w:val="auto"/>
          <w:lang w:val="zh-CN"/>
        </w:rPr>
      </w:pPr>
      <w:r>
        <w:rPr>
          <w:rFonts w:hint="eastAsia" w:ascii="宋体" w:hAnsi="宋体"/>
          <w:color w:val="auto"/>
          <w:lang w:val="zh-CN"/>
        </w:rPr>
        <w:t xml:space="preserve">与本磋商有关的一切正式往来信函请寄：                </w:t>
      </w:r>
    </w:p>
    <w:p w14:paraId="3229C687">
      <w:pPr>
        <w:snapToGrid w:val="0"/>
        <w:spacing w:line="240" w:lineRule="auto"/>
        <w:rPr>
          <w:rFonts w:hint="eastAsia" w:ascii="宋体" w:hAnsi="宋体"/>
          <w:color w:val="auto"/>
          <w:lang w:val="zh-CN"/>
        </w:rPr>
      </w:pPr>
      <w:r>
        <w:rPr>
          <w:rFonts w:hint="eastAsia" w:ascii="宋体" w:hAnsi="宋体"/>
          <w:color w:val="auto"/>
          <w:lang w:val="zh-CN"/>
        </w:rPr>
        <w:t xml:space="preserve">  邮政编号：        </w:t>
      </w:r>
    </w:p>
    <w:p w14:paraId="5B56DF8C">
      <w:pPr>
        <w:snapToGrid w:val="0"/>
        <w:spacing w:line="240" w:lineRule="auto"/>
        <w:ind w:firstLine="420" w:firstLineChars="200"/>
        <w:rPr>
          <w:rFonts w:hint="eastAsia" w:ascii="宋体" w:hAnsi="宋体"/>
          <w:color w:val="auto"/>
          <w:lang w:val="zh-CN"/>
        </w:rPr>
      </w:pPr>
      <w:r>
        <w:rPr>
          <w:rFonts w:hint="eastAsia" w:ascii="宋体" w:hAnsi="宋体"/>
          <w:color w:val="auto"/>
          <w:lang w:val="zh-CN"/>
        </w:rPr>
        <w:t xml:space="preserve">电话/传真：                         电子函件：                                </w:t>
      </w:r>
    </w:p>
    <w:p w14:paraId="7336EF60">
      <w:pPr>
        <w:snapToGrid w:val="0"/>
        <w:spacing w:line="240" w:lineRule="auto"/>
        <w:ind w:firstLine="420" w:firstLineChars="200"/>
        <w:rPr>
          <w:rFonts w:hint="eastAsia" w:ascii="宋体" w:hAnsi="宋体"/>
          <w:color w:val="auto"/>
        </w:rPr>
      </w:pPr>
      <w:r>
        <w:rPr>
          <w:rFonts w:hint="eastAsia" w:ascii="宋体" w:hAnsi="宋体"/>
          <w:color w:val="auto"/>
        </w:rPr>
        <w:t xml:space="preserve">开户银行：                           帐号：                               </w:t>
      </w:r>
    </w:p>
    <w:p w14:paraId="7E5FAB94">
      <w:pPr>
        <w:snapToGrid w:val="0"/>
        <w:spacing w:line="240" w:lineRule="auto"/>
        <w:ind w:firstLine="420" w:firstLineChars="200"/>
        <w:rPr>
          <w:rFonts w:hint="eastAsia" w:ascii="宋体" w:hAnsi="宋体"/>
          <w:color w:val="auto"/>
        </w:rPr>
      </w:pPr>
      <w:r>
        <w:rPr>
          <w:rFonts w:hint="eastAsia" w:ascii="宋体" w:hAnsi="宋体"/>
          <w:color w:val="auto"/>
        </w:rPr>
        <w:t>8.以上事项如有虚假或者隐瞒，我方愿意承担一切后果，并不再寻求任何旨在减轻或者免除法律责任的辩解。</w:t>
      </w:r>
    </w:p>
    <w:p w14:paraId="694FF097">
      <w:pPr>
        <w:snapToGrid w:val="0"/>
        <w:spacing w:line="240" w:lineRule="auto"/>
        <w:ind w:firstLine="420" w:firstLineChars="200"/>
        <w:rPr>
          <w:rFonts w:hint="eastAsia" w:ascii="宋体" w:hAnsi="宋体"/>
          <w:color w:val="auto"/>
        </w:rPr>
      </w:pPr>
      <w:r>
        <w:rPr>
          <w:rFonts w:hint="eastAsia" w:ascii="宋体" w:hAnsi="宋体"/>
          <w:color w:val="auto"/>
        </w:rPr>
        <w:t>特此承诺。</w:t>
      </w:r>
    </w:p>
    <w:p w14:paraId="67FE9437">
      <w:pPr>
        <w:snapToGrid w:val="0"/>
        <w:spacing w:line="240" w:lineRule="auto"/>
        <w:ind w:firstLine="420" w:firstLineChars="200"/>
        <w:rPr>
          <w:rFonts w:hint="eastAsia" w:ascii="宋体" w:hAnsi="宋体"/>
          <w:color w:val="auto"/>
        </w:rPr>
      </w:pPr>
      <w:r>
        <w:rPr>
          <w:rFonts w:hint="eastAsia" w:ascii="宋体" w:hAnsi="宋体"/>
          <w:color w:val="auto"/>
        </w:rPr>
        <w:t>注：如为联合体竞标，盖章处须加盖联合体各方公章并由联合体各方法定代表人签署，否则其响应文件按无效响应处理。</w:t>
      </w:r>
    </w:p>
    <w:p w14:paraId="30DB58EA">
      <w:pPr>
        <w:snapToGrid w:val="0"/>
        <w:spacing w:line="240" w:lineRule="auto"/>
        <w:ind w:firstLine="420" w:firstLineChars="200"/>
        <w:rPr>
          <w:rFonts w:hint="eastAsia" w:ascii="宋体" w:hAnsi="宋体"/>
          <w:color w:val="auto"/>
        </w:rPr>
      </w:pPr>
    </w:p>
    <w:p w14:paraId="7C9623B6">
      <w:pPr>
        <w:pStyle w:val="102"/>
        <w:spacing w:after="50" w:line="240" w:lineRule="auto"/>
        <w:ind w:firstLine="5670" w:firstLineChars="2700"/>
        <w:rPr>
          <w:rFonts w:hint="eastAsia" w:hAnsi="宋体"/>
          <w:color w:val="auto"/>
        </w:rPr>
      </w:pPr>
      <w:r>
        <w:rPr>
          <w:rFonts w:hint="eastAsia" w:hAnsi="宋体"/>
          <w:color w:val="auto"/>
        </w:rPr>
        <w:t>供应商名称</w:t>
      </w:r>
      <w:r>
        <w:rPr>
          <w:rFonts w:hint="eastAsia" w:hAnsi="宋体"/>
          <w:color w:val="auto"/>
          <w:kern w:val="0"/>
          <w:szCs w:val="21"/>
        </w:rPr>
        <w:t>（电子签章）</w:t>
      </w:r>
      <w:r>
        <w:rPr>
          <w:rFonts w:hint="eastAsia" w:hAnsi="宋体"/>
          <w:color w:val="auto"/>
        </w:rPr>
        <w:t>：</w:t>
      </w:r>
    </w:p>
    <w:p w14:paraId="73E499E4">
      <w:pPr>
        <w:snapToGrid w:val="0"/>
        <w:spacing w:line="240" w:lineRule="auto"/>
        <w:ind w:firstLine="5880" w:firstLineChars="2800"/>
        <w:rPr>
          <w:rFonts w:hint="eastAsia" w:ascii="宋体" w:hAnsi="宋体"/>
          <w:color w:val="auto"/>
          <w:lang w:val="zh-CN"/>
        </w:rPr>
        <w:sectPr>
          <w:pgSz w:w="11911" w:h="16838"/>
          <w:pgMar w:top="1134" w:right="1134" w:bottom="1134" w:left="1134" w:header="720" w:footer="720" w:gutter="0"/>
          <w:cols w:space="720" w:num="1"/>
          <w:titlePg/>
          <w:docGrid w:linePitch="0" w:charSpace="0"/>
        </w:sectPr>
      </w:pPr>
      <w:r>
        <w:rPr>
          <w:rFonts w:hint="eastAsia" w:ascii="宋体" w:hAnsi="宋体"/>
          <w:color w:val="auto"/>
          <w:lang w:val="zh-CN"/>
        </w:rPr>
        <w:t>日期：  年  月  日</w:t>
      </w:r>
    </w:p>
    <w:p w14:paraId="200AE558">
      <w:pPr>
        <w:pStyle w:val="101"/>
        <w:spacing w:line="240" w:lineRule="auto"/>
        <w:rPr>
          <w:rFonts w:hint="eastAsia"/>
          <w:color w:val="auto"/>
        </w:rPr>
      </w:pPr>
    </w:p>
    <w:p w14:paraId="1E7112F6">
      <w:pPr>
        <w:pStyle w:val="32"/>
        <w:snapToGrid w:val="0"/>
        <w:spacing w:line="240" w:lineRule="auto"/>
        <w:jc w:val="center"/>
        <w:rPr>
          <w:rFonts w:hint="eastAsia" w:ascii="黑体" w:eastAsia="黑体"/>
          <w:color w:val="auto"/>
          <w:sz w:val="28"/>
          <w:szCs w:val="28"/>
        </w:rPr>
      </w:pPr>
    </w:p>
    <w:p w14:paraId="287990B4">
      <w:pPr>
        <w:pStyle w:val="32"/>
        <w:snapToGrid w:val="0"/>
        <w:spacing w:line="240" w:lineRule="auto"/>
        <w:jc w:val="center"/>
        <w:rPr>
          <w:rFonts w:hint="eastAsia" w:ascii="黑体" w:eastAsia="黑体"/>
          <w:color w:val="auto"/>
          <w:sz w:val="28"/>
          <w:szCs w:val="28"/>
        </w:rPr>
      </w:pPr>
      <w:r>
        <w:rPr>
          <w:rFonts w:hint="eastAsia" w:ascii="黑体" w:eastAsia="黑体"/>
          <w:color w:val="auto"/>
          <w:sz w:val="28"/>
          <w:szCs w:val="28"/>
        </w:rPr>
        <w:t>农</w:t>
      </w:r>
      <w:r>
        <w:rPr>
          <w:rFonts w:ascii="黑体" w:eastAsia="黑体"/>
          <w:color w:val="auto"/>
          <w:sz w:val="28"/>
          <w:szCs w:val="28"/>
        </w:rPr>
        <w:t>民工工资保</w:t>
      </w:r>
      <w:r>
        <w:rPr>
          <w:rFonts w:hint="eastAsia" w:ascii="黑体" w:eastAsia="黑体"/>
          <w:color w:val="auto"/>
          <w:sz w:val="28"/>
          <w:szCs w:val="28"/>
        </w:rPr>
        <w:t>证</w:t>
      </w:r>
      <w:r>
        <w:rPr>
          <w:rFonts w:ascii="黑体" w:eastAsia="黑体"/>
          <w:color w:val="auto"/>
          <w:sz w:val="28"/>
          <w:szCs w:val="28"/>
        </w:rPr>
        <w:t>金承诺书</w:t>
      </w:r>
    </w:p>
    <w:p w14:paraId="6EF98596">
      <w:pPr>
        <w:pStyle w:val="32"/>
        <w:spacing w:after="50" w:line="240" w:lineRule="auto"/>
        <w:rPr>
          <w:rFonts w:hint="eastAsia" w:hAnsi="Times New Roman"/>
          <w:b/>
          <w:color w:val="auto"/>
          <w:sz w:val="28"/>
        </w:rPr>
      </w:pPr>
    </w:p>
    <w:p w14:paraId="30F63E59">
      <w:pPr>
        <w:spacing w:after="50" w:line="240" w:lineRule="auto"/>
        <w:ind w:firstLine="480" w:firstLineChars="200"/>
        <w:rPr>
          <w:rFonts w:hint="eastAsia" w:ascii="宋体" w:hAnsi="宋体"/>
          <w:bCs/>
          <w:color w:val="auto"/>
          <w:sz w:val="24"/>
        </w:rPr>
      </w:pPr>
      <w:r>
        <w:rPr>
          <w:rFonts w:hint="eastAsia" w:ascii="宋体" w:hAnsi="宋体"/>
          <w:bCs/>
          <w:color w:val="auto"/>
          <w:sz w:val="24"/>
        </w:rPr>
        <w:t>致：</w:t>
      </w:r>
      <w:r>
        <w:rPr>
          <w:rFonts w:hint="eastAsia" w:ascii="宋体" w:hAnsi="宋体"/>
          <w:bCs/>
          <w:color w:val="auto"/>
          <w:sz w:val="24"/>
          <w:u w:val="single"/>
        </w:rPr>
        <w:t xml:space="preserve">  （采购人）  </w:t>
      </w:r>
    </w:p>
    <w:p w14:paraId="0754D8DD">
      <w:pPr>
        <w:spacing w:after="50" w:line="240" w:lineRule="auto"/>
        <w:ind w:firstLine="480" w:firstLineChars="200"/>
        <w:rPr>
          <w:rFonts w:hint="eastAsia" w:ascii="宋体" w:hAnsi="宋体"/>
          <w:bCs/>
          <w:color w:val="auto"/>
          <w:sz w:val="24"/>
        </w:rPr>
      </w:pPr>
      <w:r>
        <w:rPr>
          <w:rFonts w:hint="eastAsia" w:ascii="宋体" w:hAnsi="宋体"/>
          <w:bCs/>
          <w:color w:val="auto"/>
          <w:sz w:val="24"/>
        </w:rPr>
        <w:t>根据《关于建立交通行业农民工工资保证金制度的通知》（桂劳社发﹝2007﹞147号）、《关于明确农民工工资保证金制度有关问题的通知》（桂薪联发﹝2016﹞2号）、根据人力资源社会保障部、住房和城乡建设部、交通运输部、水利部、银保监会、铁路局、民航局关于印发《工程建设领域农民工工资保证金规定》的通知（人社部发[2021]65号），在  （项目名称）  施工合同的磋商成交中，我单位对农民工工资的支付作出以下郑重承诺：</w:t>
      </w:r>
    </w:p>
    <w:p w14:paraId="7C0E1D30">
      <w:pPr>
        <w:spacing w:after="50" w:line="240" w:lineRule="auto"/>
        <w:ind w:firstLine="480" w:firstLineChars="200"/>
        <w:rPr>
          <w:rFonts w:hint="eastAsia" w:ascii="宋体" w:hAnsi="宋体"/>
          <w:bCs/>
          <w:color w:val="auto"/>
          <w:sz w:val="24"/>
        </w:rPr>
      </w:pPr>
      <w:r>
        <w:rPr>
          <w:rFonts w:hint="eastAsia" w:ascii="宋体" w:hAnsi="宋体"/>
          <w:bCs/>
          <w:color w:val="auto"/>
          <w:sz w:val="24"/>
        </w:rPr>
        <w:t>（一）我单位在本项目响应文件递交截止时间</w:t>
      </w:r>
      <w:r>
        <w:rPr>
          <w:rFonts w:hint="eastAsia" w:ascii="宋体" w:hAnsi="宋体"/>
          <w:bCs/>
          <w:color w:val="auto"/>
          <w:sz w:val="24"/>
          <w:u w:val="single"/>
        </w:rPr>
        <w:t xml:space="preserve">    </w:t>
      </w:r>
      <w:r>
        <w:rPr>
          <w:rFonts w:hint="eastAsia" w:ascii="宋体" w:hAnsi="宋体"/>
          <w:bCs/>
          <w:color w:val="auto"/>
          <w:sz w:val="24"/>
        </w:rPr>
        <w:t>年</w:t>
      </w:r>
      <w:r>
        <w:rPr>
          <w:rFonts w:hint="eastAsia" w:ascii="宋体" w:hAnsi="宋体"/>
          <w:bCs/>
          <w:color w:val="auto"/>
          <w:sz w:val="24"/>
          <w:u w:val="single"/>
        </w:rPr>
        <w:t xml:space="preserve">  </w:t>
      </w:r>
      <w:r>
        <w:rPr>
          <w:rFonts w:hint="eastAsia" w:ascii="宋体" w:hAnsi="宋体"/>
          <w:bCs/>
          <w:color w:val="auto"/>
          <w:sz w:val="24"/>
        </w:rPr>
        <w:t>月</w:t>
      </w:r>
      <w:r>
        <w:rPr>
          <w:rFonts w:hint="eastAsia" w:ascii="宋体" w:hAnsi="宋体"/>
          <w:bCs/>
          <w:color w:val="auto"/>
          <w:sz w:val="24"/>
          <w:u w:val="single"/>
        </w:rPr>
        <w:t xml:space="preserve">   </w:t>
      </w:r>
      <w:r>
        <w:rPr>
          <w:rFonts w:hint="eastAsia" w:ascii="宋体" w:hAnsi="宋体"/>
          <w:bCs/>
          <w:color w:val="auto"/>
          <w:sz w:val="24"/>
        </w:rPr>
        <w:t>日（开标日）前所承建的工程项目，不存在拖欠或克扣农民工工资的行为。</w:t>
      </w:r>
    </w:p>
    <w:p w14:paraId="4E5C2C6E">
      <w:pPr>
        <w:spacing w:after="50" w:line="240" w:lineRule="auto"/>
        <w:ind w:firstLine="480" w:firstLineChars="200"/>
        <w:rPr>
          <w:rFonts w:hint="eastAsia" w:ascii="宋体" w:hAnsi="宋体"/>
          <w:bCs/>
          <w:color w:val="auto"/>
          <w:sz w:val="24"/>
        </w:rPr>
      </w:pPr>
      <w:r>
        <w:rPr>
          <w:rFonts w:hint="eastAsia" w:ascii="宋体" w:hAnsi="宋体"/>
          <w:bCs/>
          <w:color w:val="auto"/>
          <w:sz w:val="24"/>
        </w:rPr>
        <w:t>（二）响应成交后，我单位同意在签订合同后向采购人基本账户转入农民工工资保证金，并按竞争性磋商文件规定的农民工工资保证金额度预存一定数额的资金作为农民工工资保证金或向发包人提供由工程项目所在地（工程项目所在省区范围内）商业银行出具同等金额农民工工资保证金银行保函，并到工程项目所在地具有管辖权的人力资源社会保障部门备案。</w:t>
      </w:r>
    </w:p>
    <w:p w14:paraId="55631EC6">
      <w:pPr>
        <w:spacing w:after="50" w:line="240" w:lineRule="auto"/>
        <w:ind w:firstLine="480" w:firstLineChars="200"/>
        <w:rPr>
          <w:rFonts w:hint="eastAsia" w:ascii="宋体" w:hAnsi="宋体"/>
          <w:bCs/>
          <w:color w:val="auto"/>
          <w:sz w:val="24"/>
        </w:rPr>
      </w:pPr>
      <w:r>
        <w:rPr>
          <w:rFonts w:hint="eastAsia" w:ascii="宋体" w:hAnsi="宋体"/>
          <w:bCs/>
          <w:color w:val="auto"/>
          <w:sz w:val="24"/>
        </w:rPr>
        <w:t>（三）在项目实施过程中，若出现成交价与结算价不一致时，以实际结算金额按竞争性磋商文件规定的计算额度存入农民工工资保证金。</w:t>
      </w:r>
    </w:p>
    <w:p w14:paraId="493877A5">
      <w:pPr>
        <w:spacing w:after="50" w:line="240" w:lineRule="auto"/>
        <w:ind w:firstLine="480" w:firstLineChars="200"/>
        <w:rPr>
          <w:rFonts w:hint="eastAsia" w:ascii="宋体" w:hAnsi="宋体"/>
          <w:bCs/>
          <w:color w:val="auto"/>
          <w:sz w:val="24"/>
        </w:rPr>
      </w:pPr>
      <w:r>
        <w:rPr>
          <w:rFonts w:hint="eastAsia" w:ascii="宋体" w:hAnsi="宋体"/>
          <w:bCs/>
          <w:color w:val="auto"/>
          <w:sz w:val="24"/>
        </w:rPr>
        <w:t>（四）我单位向建设单位承诺依法足额支付农民工工资，一旦我单位（包含我单位的分包商）承建的（项目名称）  施工合同中出现拖欠农民工工资情况的，可由劳动保障、交通主管部门（或授权机构）及建设单位根据相关规定从其农民工工资保证金中先予支取。</w:t>
      </w:r>
    </w:p>
    <w:p w14:paraId="397614F9">
      <w:pPr>
        <w:spacing w:after="50" w:line="240" w:lineRule="auto"/>
        <w:ind w:firstLine="480" w:firstLineChars="200"/>
        <w:rPr>
          <w:rFonts w:hint="eastAsia" w:ascii="宋体" w:hAnsi="宋体"/>
          <w:bCs/>
          <w:color w:val="auto"/>
          <w:sz w:val="24"/>
        </w:rPr>
      </w:pPr>
      <w:r>
        <w:rPr>
          <w:rFonts w:hint="eastAsia" w:ascii="宋体" w:hAnsi="宋体"/>
          <w:bCs/>
          <w:color w:val="auto"/>
          <w:sz w:val="24"/>
        </w:rPr>
        <w:t>（五）其它未尽事宜按《关于建立交通行业农民工工资保证金制度的通知》（桂劳社发﹝2007﹞147号）、《关于明确农民工工资保证金制度有关问题的通知》（桂薪联发﹝2016﹞2号）的有关规定执行。</w:t>
      </w:r>
    </w:p>
    <w:p w14:paraId="14E9F12E">
      <w:pPr>
        <w:spacing w:after="50" w:line="240" w:lineRule="auto"/>
        <w:rPr>
          <w:rFonts w:hint="eastAsia" w:ascii="宋体" w:hAnsi="宋体"/>
          <w:bCs/>
          <w:color w:val="auto"/>
          <w:sz w:val="24"/>
        </w:rPr>
      </w:pPr>
    </w:p>
    <w:p w14:paraId="667112E2">
      <w:pPr>
        <w:spacing w:after="50" w:line="240" w:lineRule="auto"/>
        <w:rPr>
          <w:rFonts w:hint="eastAsia" w:ascii="宋体" w:hAnsi="宋体"/>
          <w:bCs/>
          <w:color w:val="auto"/>
          <w:sz w:val="24"/>
        </w:rPr>
      </w:pPr>
    </w:p>
    <w:p w14:paraId="0A3E90CD">
      <w:pPr>
        <w:pStyle w:val="102"/>
        <w:spacing w:after="50" w:line="240" w:lineRule="auto"/>
        <w:ind w:firstLine="2640" w:firstLineChars="1100"/>
        <w:rPr>
          <w:rFonts w:hint="eastAsia" w:hAnsi="宋体"/>
          <w:bCs/>
          <w:color w:val="auto"/>
          <w:kern w:val="0"/>
          <w:sz w:val="24"/>
          <w:szCs w:val="24"/>
        </w:rPr>
      </w:pPr>
      <w:r>
        <w:rPr>
          <w:rFonts w:hint="eastAsia" w:hAnsi="宋体"/>
          <w:bCs/>
          <w:color w:val="auto"/>
          <w:kern w:val="0"/>
          <w:sz w:val="24"/>
          <w:szCs w:val="24"/>
        </w:rPr>
        <w:t>供应商名称：</w:t>
      </w:r>
      <w:r>
        <w:rPr>
          <w:rFonts w:hint="eastAsia" w:hAnsi="宋体"/>
          <w:color w:val="auto"/>
          <w:kern w:val="0"/>
          <w:szCs w:val="21"/>
        </w:rPr>
        <w:t>（电子签章）</w:t>
      </w:r>
    </w:p>
    <w:p w14:paraId="791FE039">
      <w:pPr>
        <w:pStyle w:val="102"/>
        <w:spacing w:after="50" w:line="240" w:lineRule="auto"/>
        <w:ind w:firstLine="2640" w:firstLineChars="1100"/>
        <w:rPr>
          <w:rFonts w:hint="eastAsia" w:hAnsi="宋体"/>
          <w:bCs/>
          <w:color w:val="auto"/>
          <w:kern w:val="0"/>
          <w:sz w:val="24"/>
          <w:szCs w:val="24"/>
        </w:rPr>
      </w:pPr>
      <w:r>
        <w:rPr>
          <w:rFonts w:hint="eastAsia" w:hAnsi="宋体"/>
          <w:bCs/>
          <w:color w:val="auto"/>
          <w:kern w:val="0"/>
          <w:sz w:val="24"/>
          <w:szCs w:val="24"/>
        </w:rPr>
        <w:t>法定代表人或授权委托代理人：（签字或盖章）</w:t>
      </w:r>
    </w:p>
    <w:p w14:paraId="33762872">
      <w:pPr>
        <w:snapToGrid w:val="0"/>
        <w:spacing w:line="240" w:lineRule="auto"/>
        <w:ind w:firstLine="2640" w:firstLineChars="1100"/>
        <w:rPr>
          <w:rFonts w:hint="eastAsia" w:ascii="宋体" w:hAnsi="宋体"/>
          <w:bCs/>
          <w:color w:val="auto"/>
          <w:kern w:val="0"/>
          <w:sz w:val="24"/>
        </w:rPr>
      </w:pPr>
      <w:r>
        <w:rPr>
          <w:rFonts w:hint="eastAsia" w:ascii="宋体" w:hAnsi="宋体"/>
          <w:bCs/>
          <w:color w:val="auto"/>
          <w:kern w:val="0"/>
          <w:sz w:val="24"/>
        </w:rPr>
        <w:t>日期：  年  月   日</w:t>
      </w:r>
    </w:p>
    <w:p w14:paraId="134E8AB9">
      <w:pPr>
        <w:pStyle w:val="32"/>
        <w:spacing w:line="240" w:lineRule="auto"/>
        <w:rPr>
          <w:rFonts w:hint="eastAsia"/>
          <w:color w:val="auto"/>
        </w:rPr>
      </w:pPr>
    </w:p>
    <w:p w14:paraId="12EDD6E3">
      <w:pPr>
        <w:spacing w:after="50" w:line="240" w:lineRule="auto"/>
        <w:rPr>
          <w:rFonts w:hint="eastAsia"/>
          <w:color w:val="auto"/>
        </w:rPr>
      </w:pPr>
    </w:p>
    <w:p w14:paraId="5674C285">
      <w:pPr>
        <w:pStyle w:val="101"/>
        <w:spacing w:line="240" w:lineRule="auto"/>
        <w:rPr>
          <w:rFonts w:hint="eastAsia" w:ascii="仿宋_GB2312" w:hAnsi="仿宋" w:eastAsia="仿宋_GB2312"/>
          <w:color w:val="auto"/>
        </w:rPr>
      </w:pPr>
    </w:p>
    <w:p w14:paraId="56B72CF5">
      <w:pPr>
        <w:pStyle w:val="101"/>
        <w:spacing w:line="240" w:lineRule="auto"/>
        <w:rPr>
          <w:rFonts w:hint="eastAsia" w:ascii="仿宋_GB2312" w:hAnsi="仿宋" w:eastAsia="仿宋_GB2312"/>
          <w:color w:val="auto"/>
        </w:rPr>
      </w:pPr>
    </w:p>
    <w:p w14:paraId="0FEA2DAC">
      <w:pPr>
        <w:spacing w:line="240" w:lineRule="auto"/>
        <w:jc w:val="center"/>
        <w:rPr>
          <w:rFonts w:ascii="黑体" w:eastAsia="黑体"/>
          <w:color w:val="auto"/>
          <w:sz w:val="28"/>
          <w:szCs w:val="28"/>
        </w:rPr>
      </w:pPr>
    </w:p>
    <w:p w14:paraId="03FF82C8">
      <w:pPr>
        <w:spacing w:line="240" w:lineRule="auto"/>
        <w:jc w:val="center"/>
        <w:rPr>
          <w:rFonts w:ascii="黑体" w:eastAsia="黑体"/>
          <w:color w:val="auto"/>
          <w:sz w:val="28"/>
          <w:szCs w:val="28"/>
        </w:rPr>
      </w:pPr>
      <w:r>
        <w:rPr>
          <w:rFonts w:ascii="黑体" w:eastAsia="黑体"/>
          <w:color w:val="auto"/>
          <w:sz w:val="28"/>
          <w:szCs w:val="28"/>
        </w:rPr>
        <w:t>安全防护、文明施工措施方案的承诺书</w:t>
      </w:r>
    </w:p>
    <w:p w14:paraId="1B4E44F3">
      <w:pPr>
        <w:spacing w:line="240" w:lineRule="auto"/>
        <w:jc w:val="left"/>
        <w:rPr>
          <w:rFonts w:hint="eastAsia" w:ascii="宋体" w:hAnsi="宋体"/>
          <w:color w:val="auto"/>
        </w:rPr>
      </w:pPr>
    </w:p>
    <w:p w14:paraId="14619D35">
      <w:pPr>
        <w:spacing w:line="240" w:lineRule="auto"/>
        <w:jc w:val="left"/>
        <w:rPr>
          <w:rFonts w:hint="eastAsia" w:ascii="宋体" w:hAnsi="宋体"/>
          <w:color w:val="auto"/>
          <w:sz w:val="24"/>
        </w:rPr>
      </w:pPr>
      <w:r>
        <w:rPr>
          <w:rFonts w:hint="eastAsia" w:ascii="宋体" w:hAnsi="宋体"/>
          <w:color w:val="auto"/>
          <w:sz w:val="24"/>
        </w:rPr>
        <w:t>致</w:t>
      </w:r>
      <w:r>
        <w:rPr>
          <w:rFonts w:hint="eastAsia" w:ascii="宋体" w:hAnsi="宋体"/>
          <w:color w:val="auto"/>
          <w:sz w:val="24"/>
          <w:u w:val="single"/>
        </w:rPr>
        <w:t xml:space="preserve">      （采购人名称）     </w:t>
      </w:r>
      <w:r>
        <w:rPr>
          <w:rFonts w:hint="eastAsia" w:ascii="宋体" w:hAnsi="宋体"/>
          <w:color w:val="auto"/>
          <w:sz w:val="24"/>
        </w:rPr>
        <w:t>：</w:t>
      </w:r>
    </w:p>
    <w:p w14:paraId="69339D46">
      <w:pPr>
        <w:spacing w:line="240" w:lineRule="auto"/>
        <w:ind w:firstLine="482" w:firstLineChars="201"/>
        <w:jc w:val="left"/>
        <w:rPr>
          <w:rFonts w:hint="eastAsia" w:ascii="宋体" w:hAnsi="宋体"/>
          <w:color w:val="auto"/>
          <w:sz w:val="24"/>
        </w:rPr>
      </w:pPr>
      <w:r>
        <w:rPr>
          <w:rFonts w:hint="eastAsia" w:ascii="宋体" w:hAnsi="宋体"/>
          <w:color w:val="auto"/>
          <w:sz w:val="24"/>
        </w:rPr>
        <w:t>根据桂</w:t>
      </w:r>
      <w:r>
        <w:rPr>
          <w:rFonts w:ascii="宋体" w:hAnsi="宋体"/>
          <w:color w:val="auto"/>
          <w:sz w:val="24"/>
        </w:rPr>
        <w:t>建质安[2006]</w:t>
      </w:r>
      <w:r>
        <w:rPr>
          <w:rFonts w:hint="eastAsia" w:ascii="宋体" w:hAnsi="宋体"/>
          <w:color w:val="auto"/>
          <w:sz w:val="24"/>
        </w:rPr>
        <w:t>22</w:t>
      </w:r>
      <w:r>
        <w:rPr>
          <w:rFonts w:ascii="宋体" w:hAnsi="宋体"/>
          <w:color w:val="auto"/>
          <w:sz w:val="24"/>
        </w:rPr>
        <w:t>号</w:t>
      </w:r>
      <w:r>
        <w:rPr>
          <w:rFonts w:hint="eastAsia" w:ascii="宋体" w:hAnsi="宋体"/>
          <w:color w:val="auto"/>
          <w:sz w:val="24"/>
        </w:rPr>
        <w:t>文件规定，我方在此向采购人承诺：</w:t>
      </w:r>
    </w:p>
    <w:p w14:paraId="20DAC55D">
      <w:pPr>
        <w:spacing w:line="240" w:lineRule="auto"/>
        <w:ind w:left="-10" w:firstLine="520" w:firstLineChars="217"/>
        <w:jc w:val="left"/>
        <w:rPr>
          <w:rFonts w:hint="eastAsia" w:ascii="宋体" w:hAnsi="宋体"/>
          <w:color w:val="auto"/>
          <w:sz w:val="24"/>
        </w:rPr>
      </w:pPr>
      <w:r>
        <w:rPr>
          <w:rFonts w:hint="eastAsia" w:ascii="宋体" w:hAnsi="宋体"/>
          <w:color w:val="auto"/>
          <w:sz w:val="24"/>
        </w:rPr>
        <w:t>1．我方参与投标的</w:t>
      </w:r>
      <w:r>
        <w:rPr>
          <w:rFonts w:hint="eastAsia" w:ascii="宋体" w:hAnsi="宋体"/>
          <w:color w:val="auto"/>
          <w:sz w:val="24"/>
          <w:u w:val="single"/>
        </w:rPr>
        <w:t xml:space="preserve">    （工程名称）   </w:t>
      </w:r>
      <w:r>
        <w:rPr>
          <w:rFonts w:hint="eastAsia" w:ascii="宋体" w:hAnsi="宋体"/>
          <w:color w:val="auto"/>
          <w:sz w:val="24"/>
        </w:rPr>
        <w:t>项目，一旦成交，我方保证在施工过程中，严格执行《广西壮族自治区建设工程安全防护、文明施工措施费及使用管理细则》（桂</w:t>
      </w:r>
      <w:r>
        <w:rPr>
          <w:rFonts w:ascii="宋体" w:hAnsi="宋体"/>
          <w:color w:val="auto"/>
          <w:sz w:val="24"/>
        </w:rPr>
        <w:t>建质安[2006]</w:t>
      </w:r>
      <w:r>
        <w:rPr>
          <w:rFonts w:hint="eastAsia" w:ascii="宋体" w:hAnsi="宋体"/>
          <w:color w:val="auto"/>
          <w:sz w:val="24"/>
        </w:rPr>
        <w:t>22</w:t>
      </w:r>
      <w:r>
        <w:rPr>
          <w:rFonts w:ascii="宋体" w:hAnsi="宋体"/>
          <w:color w:val="auto"/>
          <w:sz w:val="24"/>
        </w:rPr>
        <w:t>号</w:t>
      </w:r>
      <w:r>
        <w:rPr>
          <w:rFonts w:hint="eastAsia" w:ascii="宋体" w:hAnsi="宋体"/>
          <w:color w:val="auto"/>
          <w:sz w:val="24"/>
        </w:rPr>
        <w:t>文）的有关规定，确保建设工程各项安全防护、文明施工措施落实到位。</w:t>
      </w:r>
    </w:p>
    <w:p w14:paraId="7C3E2C8D">
      <w:pPr>
        <w:spacing w:line="240" w:lineRule="auto"/>
        <w:ind w:left="-10" w:firstLine="520" w:firstLineChars="217"/>
        <w:jc w:val="left"/>
        <w:rPr>
          <w:rFonts w:hint="eastAsia" w:ascii="宋体" w:hAnsi="宋体"/>
          <w:color w:val="auto"/>
          <w:sz w:val="24"/>
        </w:rPr>
      </w:pPr>
      <w:r>
        <w:rPr>
          <w:rFonts w:hint="eastAsia" w:ascii="宋体" w:hAnsi="宋体"/>
          <w:color w:val="auto"/>
          <w:sz w:val="24"/>
        </w:rPr>
        <w:t>2．如我方在承包的</w:t>
      </w:r>
      <w:r>
        <w:rPr>
          <w:rFonts w:hint="eastAsia" w:ascii="宋体" w:hAnsi="宋体"/>
          <w:color w:val="auto"/>
          <w:sz w:val="24"/>
          <w:u w:val="single"/>
        </w:rPr>
        <w:t xml:space="preserve">    （工程名称）    </w:t>
      </w:r>
      <w:r>
        <w:rPr>
          <w:rFonts w:hint="eastAsia" w:ascii="宋体" w:hAnsi="宋体"/>
          <w:color w:val="auto"/>
          <w:sz w:val="24"/>
        </w:rPr>
        <w:t>项目中出现未按桂</w:t>
      </w:r>
      <w:r>
        <w:rPr>
          <w:rFonts w:ascii="宋体" w:hAnsi="宋体"/>
          <w:color w:val="auto"/>
          <w:sz w:val="24"/>
        </w:rPr>
        <w:t>建质安[2006]</w:t>
      </w:r>
      <w:r>
        <w:rPr>
          <w:rFonts w:hint="eastAsia" w:ascii="宋体" w:hAnsi="宋体"/>
          <w:color w:val="auto"/>
          <w:sz w:val="24"/>
        </w:rPr>
        <w:t>22</w:t>
      </w:r>
      <w:r>
        <w:rPr>
          <w:rFonts w:ascii="宋体" w:hAnsi="宋体"/>
          <w:color w:val="auto"/>
          <w:sz w:val="24"/>
        </w:rPr>
        <w:t>号</w:t>
      </w:r>
      <w:r>
        <w:rPr>
          <w:rFonts w:hint="eastAsia" w:ascii="宋体" w:hAnsi="宋体"/>
          <w:color w:val="auto"/>
          <w:sz w:val="24"/>
        </w:rPr>
        <w:t>文附件一规定执行的情形，我方愿意按照相关规定接受建设单位及有关主管部门的处罚。</w:t>
      </w:r>
    </w:p>
    <w:p w14:paraId="5CC41007">
      <w:pPr>
        <w:spacing w:line="240" w:lineRule="auto"/>
        <w:jc w:val="left"/>
        <w:rPr>
          <w:rFonts w:hint="eastAsia" w:ascii="宋体" w:hAnsi="宋体"/>
          <w:color w:val="auto"/>
          <w:sz w:val="24"/>
        </w:rPr>
      </w:pPr>
    </w:p>
    <w:p w14:paraId="4EF76E47">
      <w:pPr>
        <w:spacing w:line="240" w:lineRule="auto"/>
        <w:jc w:val="left"/>
        <w:rPr>
          <w:rFonts w:hint="eastAsia" w:ascii="宋体" w:hAnsi="宋体"/>
          <w:color w:val="auto"/>
          <w:sz w:val="24"/>
        </w:rPr>
      </w:pPr>
    </w:p>
    <w:p w14:paraId="4198A629">
      <w:pPr>
        <w:pStyle w:val="102"/>
        <w:spacing w:after="50" w:line="240" w:lineRule="auto"/>
        <w:ind w:firstLine="2640" w:firstLineChars="1100"/>
        <w:rPr>
          <w:rFonts w:hint="eastAsia" w:hAnsi="宋体"/>
          <w:bCs/>
          <w:color w:val="auto"/>
          <w:kern w:val="0"/>
          <w:sz w:val="24"/>
          <w:szCs w:val="24"/>
        </w:rPr>
      </w:pPr>
      <w:r>
        <w:rPr>
          <w:rFonts w:hint="eastAsia" w:hAnsi="宋体"/>
          <w:bCs/>
          <w:color w:val="auto"/>
          <w:kern w:val="0"/>
          <w:sz w:val="24"/>
          <w:szCs w:val="24"/>
        </w:rPr>
        <w:t>供应商名称：</w:t>
      </w:r>
      <w:r>
        <w:rPr>
          <w:rFonts w:hint="eastAsia" w:hAnsi="宋体"/>
          <w:color w:val="auto"/>
          <w:kern w:val="0"/>
          <w:szCs w:val="21"/>
        </w:rPr>
        <w:t>（电子签章）</w:t>
      </w:r>
    </w:p>
    <w:p w14:paraId="38E4B279">
      <w:pPr>
        <w:pStyle w:val="102"/>
        <w:spacing w:after="50" w:line="240" w:lineRule="auto"/>
        <w:ind w:firstLine="2640" w:firstLineChars="1100"/>
        <w:rPr>
          <w:rFonts w:hint="eastAsia" w:hAnsi="宋体"/>
          <w:bCs/>
          <w:color w:val="auto"/>
          <w:kern w:val="0"/>
          <w:sz w:val="24"/>
          <w:szCs w:val="24"/>
        </w:rPr>
      </w:pPr>
      <w:r>
        <w:rPr>
          <w:rFonts w:hint="eastAsia" w:hAnsi="宋体"/>
          <w:bCs/>
          <w:color w:val="auto"/>
          <w:kern w:val="0"/>
          <w:sz w:val="24"/>
          <w:szCs w:val="24"/>
        </w:rPr>
        <w:t>法定代表人或授权委托代理人：（签字或盖章）</w:t>
      </w:r>
    </w:p>
    <w:p w14:paraId="15DD28F0">
      <w:pPr>
        <w:snapToGrid w:val="0"/>
        <w:spacing w:line="240" w:lineRule="auto"/>
        <w:ind w:firstLine="2640" w:firstLineChars="1100"/>
        <w:rPr>
          <w:rFonts w:hint="eastAsia" w:ascii="宋体" w:hAnsi="宋体"/>
          <w:bCs/>
          <w:color w:val="auto"/>
          <w:kern w:val="0"/>
          <w:sz w:val="24"/>
        </w:rPr>
      </w:pPr>
      <w:r>
        <w:rPr>
          <w:rFonts w:hint="eastAsia" w:ascii="宋体" w:hAnsi="宋体"/>
          <w:bCs/>
          <w:color w:val="auto"/>
          <w:kern w:val="0"/>
          <w:sz w:val="24"/>
        </w:rPr>
        <w:t>日期：  年  月   日</w:t>
      </w:r>
    </w:p>
    <w:p w14:paraId="015ABADD">
      <w:pPr>
        <w:pStyle w:val="101"/>
        <w:spacing w:line="240" w:lineRule="auto"/>
        <w:rPr>
          <w:rFonts w:hint="eastAsia" w:ascii="仿宋_GB2312" w:hAnsi="仿宋" w:eastAsia="仿宋_GB2312"/>
          <w:color w:val="auto"/>
        </w:rPr>
      </w:pPr>
    </w:p>
    <w:p w14:paraId="498D2D7D">
      <w:pPr>
        <w:pStyle w:val="101"/>
        <w:spacing w:line="240" w:lineRule="auto"/>
        <w:rPr>
          <w:rFonts w:hint="eastAsia" w:ascii="仿宋_GB2312" w:hAnsi="仿宋" w:eastAsia="仿宋_GB2312"/>
          <w:color w:val="auto"/>
        </w:rPr>
      </w:pPr>
    </w:p>
    <w:p w14:paraId="3A4243A0">
      <w:pPr>
        <w:pStyle w:val="101"/>
        <w:spacing w:line="240" w:lineRule="auto"/>
        <w:rPr>
          <w:rFonts w:hint="eastAsia" w:ascii="仿宋_GB2312" w:hAnsi="仿宋" w:eastAsia="仿宋_GB2312"/>
          <w:color w:val="auto"/>
        </w:rPr>
      </w:pPr>
    </w:p>
    <w:p w14:paraId="20303314">
      <w:pPr>
        <w:pStyle w:val="101"/>
        <w:spacing w:line="240" w:lineRule="auto"/>
        <w:rPr>
          <w:rFonts w:hint="eastAsia" w:ascii="仿宋_GB2312" w:hAnsi="仿宋" w:eastAsia="仿宋_GB2312"/>
          <w:color w:val="auto"/>
        </w:rPr>
      </w:pPr>
    </w:p>
    <w:p w14:paraId="70F1CEB4">
      <w:pPr>
        <w:pStyle w:val="101"/>
        <w:spacing w:line="240" w:lineRule="auto"/>
        <w:rPr>
          <w:rFonts w:hint="eastAsia" w:ascii="仿宋_GB2312" w:hAnsi="仿宋" w:eastAsia="仿宋_GB2312"/>
          <w:color w:val="auto"/>
        </w:rPr>
      </w:pPr>
    </w:p>
    <w:p w14:paraId="3519BCFF">
      <w:pPr>
        <w:pStyle w:val="101"/>
        <w:spacing w:line="240" w:lineRule="auto"/>
        <w:rPr>
          <w:rFonts w:hint="eastAsia" w:ascii="仿宋_GB2312" w:hAnsi="仿宋" w:eastAsia="仿宋_GB2312"/>
          <w:color w:val="auto"/>
        </w:rPr>
      </w:pPr>
    </w:p>
    <w:p w14:paraId="1BE48502">
      <w:pPr>
        <w:pStyle w:val="101"/>
        <w:spacing w:line="240" w:lineRule="auto"/>
        <w:rPr>
          <w:rFonts w:hint="eastAsia" w:ascii="仿宋_GB2312" w:hAnsi="仿宋" w:eastAsia="仿宋_GB2312"/>
          <w:color w:val="auto"/>
        </w:rPr>
      </w:pPr>
    </w:p>
    <w:p w14:paraId="19156BEB">
      <w:pPr>
        <w:pStyle w:val="101"/>
        <w:spacing w:line="240" w:lineRule="auto"/>
        <w:rPr>
          <w:rFonts w:hint="eastAsia" w:ascii="仿宋_GB2312" w:hAnsi="仿宋" w:eastAsia="仿宋_GB2312"/>
          <w:color w:val="auto"/>
        </w:rPr>
      </w:pPr>
    </w:p>
    <w:p w14:paraId="786F3FBF">
      <w:pPr>
        <w:pStyle w:val="101"/>
        <w:spacing w:line="240" w:lineRule="auto"/>
        <w:rPr>
          <w:rFonts w:hint="eastAsia" w:ascii="仿宋_GB2312" w:hAnsi="仿宋" w:eastAsia="仿宋_GB2312"/>
          <w:color w:val="auto"/>
        </w:rPr>
      </w:pPr>
    </w:p>
    <w:p w14:paraId="5EC36962">
      <w:pPr>
        <w:pStyle w:val="101"/>
        <w:spacing w:line="240" w:lineRule="auto"/>
        <w:rPr>
          <w:rFonts w:hint="eastAsia" w:ascii="仿宋_GB2312" w:hAnsi="仿宋" w:eastAsia="仿宋_GB2312"/>
          <w:color w:val="auto"/>
        </w:rPr>
      </w:pPr>
    </w:p>
    <w:p w14:paraId="05FC942F">
      <w:pPr>
        <w:pStyle w:val="101"/>
        <w:spacing w:line="240" w:lineRule="auto"/>
        <w:rPr>
          <w:rFonts w:hint="eastAsia" w:ascii="仿宋_GB2312" w:hAnsi="仿宋" w:eastAsia="仿宋_GB2312"/>
          <w:color w:val="auto"/>
        </w:rPr>
      </w:pPr>
    </w:p>
    <w:p w14:paraId="5D4DA29E">
      <w:pPr>
        <w:pStyle w:val="101"/>
        <w:spacing w:line="240" w:lineRule="auto"/>
        <w:rPr>
          <w:rFonts w:hint="eastAsia" w:ascii="仿宋_GB2312" w:hAnsi="仿宋" w:eastAsia="仿宋_GB2312"/>
          <w:color w:val="auto"/>
        </w:rPr>
      </w:pPr>
    </w:p>
    <w:p w14:paraId="1C267B8E">
      <w:pPr>
        <w:pStyle w:val="101"/>
        <w:spacing w:line="240" w:lineRule="auto"/>
        <w:rPr>
          <w:rFonts w:hint="eastAsia" w:ascii="仿宋_GB2312" w:hAnsi="仿宋" w:eastAsia="仿宋_GB2312"/>
          <w:color w:val="auto"/>
        </w:rPr>
      </w:pPr>
    </w:p>
    <w:p w14:paraId="631C855A">
      <w:pPr>
        <w:pStyle w:val="101"/>
        <w:spacing w:line="240" w:lineRule="auto"/>
        <w:rPr>
          <w:rFonts w:hint="eastAsia" w:ascii="仿宋_GB2312" w:hAnsi="仿宋" w:eastAsia="仿宋_GB2312"/>
          <w:color w:val="auto"/>
        </w:rPr>
      </w:pPr>
    </w:p>
    <w:p w14:paraId="65427471">
      <w:pPr>
        <w:pStyle w:val="101"/>
        <w:spacing w:line="240" w:lineRule="auto"/>
        <w:rPr>
          <w:rFonts w:hint="eastAsia" w:ascii="仿宋_GB2312" w:hAnsi="仿宋" w:eastAsia="仿宋_GB2312"/>
          <w:color w:val="auto"/>
        </w:rPr>
      </w:pPr>
    </w:p>
    <w:p w14:paraId="79A33437">
      <w:pPr>
        <w:pStyle w:val="101"/>
        <w:spacing w:line="240" w:lineRule="auto"/>
        <w:rPr>
          <w:rFonts w:hint="eastAsia" w:ascii="仿宋_GB2312" w:hAnsi="仿宋" w:eastAsia="仿宋_GB2312"/>
          <w:color w:val="auto"/>
        </w:rPr>
      </w:pPr>
    </w:p>
    <w:p w14:paraId="3736D209">
      <w:pPr>
        <w:pStyle w:val="101"/>
        <w:spacing w:line="240" w:lineRule="auto"/>
        <w:rPr>
          <w:rFonts w:hint="eastAsia" w:ascii="仿宋_GB2312" w:hAnsi="仿宋" w:eastAsia="仿宋_GB2312"/>
          <w:color w:val="auto"/>
        </w:rPr>
      </w:pPr>
    </w:p>
    <w:p w14:paraId="04AD5AD3">
      <w:pPr>
        <w:pStyle w:val="101"/>
        <w:spacing w:line="240" w:lineRule="auto"/>
        <w:rPr>
          <w:rFonts w:hint="eastAsia" w:ascii="仿宋_GB2312" w:hAnsi="仿宋" w:eastAsia="仿宋_GB2312"/>
          <w:color w:val="auto"/>
        </w:rPr>
      </w:pPr>
    </w:p>
    <w:p w14:paraId="21C148B3">
      <w:pPr>
        <w:pStyle w:val="101"/>
        <w:spacing w:line="240" w:lineRule="auto"/>
        <w:rPr>
          <w:rFonts w:hint="eastAsia" w:ascii="仿宋_GB2312" w:hAnsi="仿宋" w:eastAsia="仿宋_GB2312"/>
          <w:color w:val="auto"/>
        </w:rPr>
      </w:pPr>
    </w:p>
    <w:p w14:paraId="6F2E39D1">
      <w:pPr>
        <w:pStyle w:val="101"/>
        <w:spacing w:line="240" w:lineRule="auto"/>
        <w:rPr>
          <w:rFonts w:hint="eastAsia" w:ascii="仿宋_GB2312" w:hAnsi="仿宋" w:eastAsia="仿宋_GB2312"/>
          <w:color w:val="auto"/>
        </w:rPr>
      </w:pPr>
    </w:p>
    <w:p w14:paraId="45F823AC">
      <w:pPr>
        <w:pStyle w:val="101"/>
        <w:spacing w:line="240" w:lineRule="auto"/>
        <w:rPr>
          <w:rFonts w:hint="eastAsia" w:ascii="仿宋_GB2312" w:hAnsi="仿宋" w:eastAsia="仿宋_GB2312"/>
          <w:color w:val="auto"/>
        </w:rPr>
      </w:pPr>
    </w:p>
    <w:p w14:paraId="3B70CDE0">
      <w:pPr>
        <w:pStyle w:val="101"/>
        <w:spacing w:line="240" w:lineRule="auto"/>
        <w:rPr>
          <w:rFonts w:hint="eastAsia" w:ascii="仿宋_GB2312" w:hAnsi="仿宋" w:eastAsia="仿宋_GB2312"/>
          <w:color w:val="auto"/>
        </w:rPr>
      </w:pPr>
    </w:p>
    <w:p w14:paraId="73DB59C7">
      <w:pPr>
        <w:pStyle w:val="101"/>
        <w:spacing w:line="240" w:lineRule="auto"/>
        <w:rPr>
          <w:rFonts w:hint="eastAsia" w:ascii="仿宋_GB2312" w:hAnsi="仿宋" w:eastAsia="仿宋_GB2312"/>
          <w:color w:val="auto"/>
        </w:rPr>
      </w:pPr>
    </w:p>
    <w:p w14:paraId="683D44EC">
      <w:pPr>
        <w:spacing w:after="120" w:line="240" w:lineRule="auto"/>
        <w:jc w:val="center"/>
        <w:rPr>
          <w:rFonts w:hint="eastAsia" w:ascii="黑体" w:eastAsia="黑体"/>
          <w:color w:val="auto"/>
          <w:sz w:val="24"/>
        </w:rPr>
      </w:pPr>
      <w:r>
        <w:rPr>
          <w:rFonts w:hint="eastAsia" w:ascii="黑体" w:eastAsia="黑体"/>
          <w:color w:val="auto"/>
          <w:sz w:val="24"/>
        </w:rPr>
        <w:t>项目管理机构及机械设备承诺函</w:t>
      </w:r>
    </w:p>
    <w:p w14:paraId="1BD23D69">
      <w:pPr>
        <w:spacing w:after="120" w:line="240" w:lineRule="auto"/>
        <w:rPr>
          <w:rFonts w:hint="eastAsia"/>
          <w:color w:val="auto"/>
          <w:szCs w:val="21"/>
        </w:rPr>
      </w:pPr>
    </w:p>
    <w:p w14:paraId="6586C5EF">
      <w:pPr>
        <w:spacing w:before="240" w:after="240" w:line="240" w:lineRule="auto"/>
        <w:rPr>
          <w:rFonts w:hint="eastAsia" w:ascii="宋体" w:hAnsi="宋体"/>
          <w:color w:val="auto"/>
          <w:szCs w:val="21"/>
          <w:u w:val="single"/>
        </w:rPr>
      </w:pPr>
      <w:r>
        <w:rPr>
          <w:rFonts w:hint="eastAsia" w:ascii="宋体" w:hAnsi="宋体"/>
          <w:color w:val="auto"/>
          <w:szCs w:val="21"/>
          <w:u w:val="single"/>
        </w:rPr>
        <w:t xml:space="preserve">             </w:t>
      </w:r>
      <w:r>
        <w:rPr>
          <w:rFonts w:hint="eastAsia" w:ascii="宋体" w:hAnsi="宋体"/>
          <w:color w:val="auto"/>
          <w:szCs w:val="21"/>
        </w:rPr>
        <w:t>（采购人名称）：</w:t>
      </w:r>
    </w:p>
    <w:p w14:paraId="4CB30954">
      <w:pPr>
        <w:spacing w:line="240" w:lineRule="auto"/>
        <w:ind w:firstLine="420" w:firstLineChars="200"/>
        <w:rPr>
          <w:rFonts w:hint="eastAsia" w:ascii="宋体" w:hAnsi="宋体"/>
          <w:color w:val="auto"/>
          <w:szCs w:val="21"/>
        </w:rPr>
      </w:pPr>
      <w:r>
        <w:rPr>
          <w:rFonts w:hint="eastAsia" w:ascii="宋体" w:hAnsi="宋体"/>
          <w:color w:val="auto"/>
          <w:szCs w:val="21"/>
        </w:rPr>
        <w:t>我方参加了</w:t>
      </w:r>
      <w:r>
        <w:rPr>
          <w:rFonts w:hint="eastAsia" w:ascii="宋体" w:hAnsi="宋体"/>
          <w:color w:val="auto"/>
          <w:szCs w:val="21"/>
          <w:u w:val="single"/>
        </w:rPr>
        <w:t xml:space="preserve">       </w:t>
      </w:r>
      <w:r>
        <w:rPr>
          <w:rFonts w:hint="eastAsia" w:ascii="宋体" w:hAnsi="宋体"/>
          <w:color w:val="auto"/>
          <w:szCs w:val="21"/>
        </w:rPr>
        <w:t>（项目名称）施工投标，若我方成交，我方在此承诺：</w:t>
      </w:r>
    </w:p>
    <w:p w14:paraId="2A1E0B1A">
      <w:pPr>
        <w:spacing w:line="240" w:lineRule="auto"/>
        <w:ind w:firstLine="420" w:firstLineChars="200"/>
        <w:rPr>
          <w:rFonts w:hint="eastAsia" w:ascii="宋体" w:hAnsi="宋体"/>
          <w:color w:val="auto"/>
          <w:szCs w:val="21"/>
        </w:rPr>
      </w:pPr>
      <w:r>
        <w:rPr>
          <w:rFonts w:hint="eastAsia" w:ascii="宋体" w:hAnsi="宋体"/>
          <w:color w:val="auto"/>
          <w:szCs w:val="21"/>
        </w:rPr>
        <w:t>若本项目资格预审文件或竞争性谈判文件未要求我方在资格预审申请文件或竞标文件中填报派驻本工程的其他主要管理人员和技术人员及主要机械设备，在采购人向我方发出成交通知书之前，我方将按照合同附件提出的最低要求填报派驻本工程的其他主要管理人员和技术人员及主要机械设备，在经采购人审批后作为派驻本工程的项目管理机构主要人员和主要设备且不进行更换。</w:t>
      </w:r>
    </w:p>
    <w:p w14:paraId="4B33D897">
      <w:pPr>
        <w:spacing w:line="240" w:lineRule="auto"/>
        <w:ind w:firstLine="420" w:firstLineChars="200"/>
        <w:rPr>
          <w:rFonts w:hint="eastAsia" w:ascii="宋体" w:hAnsi="宋体"/>
          <w:color w:val="auto"/>
          <w:szCs w:val="21"/>
        </w:rPr>
      </w:pPr>
      <w:r>
        <w:rPr>
          <w:rFonts w:hint="eastAsia" w:ascii="宋体" w:hAnsi="宋体"/>
          <w:color w:val="auto"/>
          <w:szCs w:val="21"/>
        </w:rPr>
        <w:t>若我方已按本项目资格预审文件或竞争性谈判文件要求在资格预审申请文件或竞标文件中填报派驻本标段的其他主要管理人员和技术人员及主要机械设备，我方将严格按照在资格预审申请文件或竞标文件中填报的其他主要管理人员和技术人员及主要机械设备组织进场施工，且不进行更换。</w:t>
      </w:r>
    </w:p>
    <w:p w14:paraId="35BE5967">
      <w:pPr>
        <w:spacing w:line="240" w:lineRule="auto"/>
        <w:ind w:firstLine="420" w:firstLineChars="200"/>
        <w:rPr>
          <w:rFonts w:hint="eastAsia" w:ascii="宋体" w:hAnsi="宋体"/>
          <w:color w:val="auto"/>
          <w:szCs w:val="21"/>
        </w:rPr>
      </w:pPr>
      <w:r>
        <w:rPr>
          <w:rFonts w:hint="eastAsia" w:ascii="宋体" w:hAnsi="宋体"/>
          <w:color w:val="auto"/>
          <w:szCs w:val="21"/>
        </w:rPr>
        <w:t>如我方违背了上述承诺，本项目采购人有权取消我方的成交资格，并由采购人将我方的违约行为上报省级主管部门，作为不良记录纳入建设市场信息管理系统。</w:t>
      </w:r>
    </w:p>
    <w:p w14:paraId="4058950A">
      <w:pPr>
        <w:spacing w:line="240" w:lineRule="auto"/>
        <w:rPr>
          <w:rFonts w:hint="eastAsia" w:ascii="宋体" w:hAnsi="宋体"/>
          <w:color w:val="auto"/>
          <w:szCs w:val="21"/>
        </w:rPr>
      </w:pPr>
    </w:p>
    <w:p w14:paraId="5897F09F">
      <w:pPr>
        <w:pStyle w:val="101"/>
        <w:spacing w:line="240" w:lineRule="auto"/>
        <w:rPr>
          <w:rFonts w:hint="eastAsia" w:ascii="仿宋_GB2312" w:hAnsi="仿宋" w:eastAsia="仿宋_GB2312"/>
          <w:color w:val="auto"/>
        </w:rPr>
      </w:pPr>
    </w:p>
    <w:p w14:paraId="49E6EA10">
      <w:pPr>
        <w:pStyle w:val="101"/>
        <w:spacing w:line="240" w:lineRule="auto"/>
        <w:rPr>
          <w:rFonts w:hint="eastAsia" w:ascii="宋体" w:hAnsi="宋体"/>
          <w:color w:val="auto"/>
          <w:kern w:val="2"/>
          <w:sz w:val="21"/>
          <w:szCs w:val="21"/>
        </w:rPr>
      </w:pPr>
    </w:p>
    <w:p w14:paraId="67FD3C02">
      <w:pPr>
        <w:pStyle w:val="102"/>
        <w:spacing w:after="50" w:line="240" w:lineRule="auto"/>
        <w:ind w:firstLine="5460" w:firstLineChars="2600"/>
        <w:rPr>
          <w:rFonts w:hint="eastAsia" w:hAnsi="宋体"/>
          <w:color w:val="auto"/>
          <w:szCs w:val="21"/>
        </w:rPr>
      </w:pPr>
      <w:r>
        <w:rPr>
          <w:rFonts w:hint="eastAsia" w:hAnsi="宋体"/>
          <w:color w:val="auto"/>
          <w:szCs w:val="21"/>
        </w:rPr>
        <w:t>供应商名称：</w:t>
      </w:r>
      <w:r>
        <w:rPr>
          <w:rFonts w:hint="eastAsia" w:hAnsi="宋体"/>
          <w:color w:val="auto"/>
          <w:kern w:val="0"/>
          <w:szCs w:val="21"/>
        </w:rPr>
        <w:t>（电子签章）</w:t>
      </w:r>
    </w:p>
    <w:p w14:paraId="086F0B5E">
      <w:pPr>
        <w:pStyle w:val="102"/>
        <w:spacing w:after="50" w:line="240" w:lineRule="auto"/>
        <w:ind w:firstLine="3780" w:firstLineChars="1800"/>
        <w:rPr>
          <w:rFonts w:hint="eastAsia" w:hAnsi="宋体"/>
          <w:color w:val="auto"/>
          <w:szCs w:val="21"/>
        </w:rPr>
      </w:pPr>
      <w:r>
        <w:rPr>
          <w:rFonts w:hint="eastAsia" w:hAnsi="宋体"/>
          <w:color w:val="auto"/>
          <w:szCs w:val="21"/>
        </w:rPr>
        <w:t>法定代表人或授权委托代理人：（签字或盖章）</w:t>
      </w:r>
    </w:p>
    <w:p w14:paraId="782A6473">
      <w:pPr>
        <w:pStyle w:val="32"/>
        <w:spacing w:line="240" w:lineRule="auto"/>
        <w:rPr>
          <w:rFonts w:hint="eastAsia" w:hAnsi="宋体"/>
          <w:color w:val="auto"/>
          <w:kern w:val="2"/>
          <w:sz w:val="21"/>
        </w:rPr>
      </w:pPr>
    </w:p>
    <w:p w14:paraId="79CB1CAF">
      <w:pPr>
        <w:snapToGrid w:val="0"/>
        <w:spacing w:line="240" w:lineRule="auto"/>
        <w:ind w:firstLine="5460" w:firstLineChars="2600"/>
        <w:rPr>
          <w:rFonts w:hint="eastAsia" w:ascii="宋体" w:hAnsi="宋体"/>
          <w:color w:val="auto"/>
          <w:szCs w:val="21"/>
        </w:rPr>
      </w:pPr>
      <w:r>
        <w:rPr>
          <w:rFonts w:hint="eastAsia" w:ascii="宋体" w:hAnsi="宋体"/>
          <w:color w:val="auto"/>
          <w:szCs w:val="21"/>
        </w:rPr>
        <w:t>日期：  年  月   日</w:t>
      </w:r>
    </w:p>
    <w:p w14:paraId="154EACA3">
      <w:pPr>
        <w:pStyle w:val="101"/>
        <w:spacing w:line="240" w:lineRule="auto"/>
        <w:rPr>
          <w:rFonts w:hint="eastAsia" w:ascii="仿宋_GB2312" w:hAnsi="仿宋" w:eastAsia="仿宋_GB2312"/>
          <w:color w:val="auto"/>
        </w:rPr>
      </w:pPr>
    </w:p>
    <w:p w14:paraId="59BD4F8A">
      <w:pPr>
        <w:pStyle w:val="101"/>
        <w:spacing w:line="240" w:lineRule="auto"/>
        <w:rPr>
          <w:rFonts w:hint="eastAsia" w:ascii="仿宋_GB2312" w:hAnsi="仿宋" w:eastAsia="仿宋_GB2312"/>
          <w:color w:val="auto"/>
        </w:rPr>
      </w:pPr>
    </w:p>
    <w:p w14:paraId="71BBC126">
      <w:pPr>
        <w:pStyle w:val="101"/>
        <w:spacing w:line="240" w:lineRule="auto"/>
        <w:rPr>
          <w:rFonts w:hint="eastAsia" w:ascii="仿宋_GB2312" w:hAnsi="仿宋" w:eastAsia="仿宋_GB2312"/>
          <w:color w:val="auto"/>
        </w:rPr>
      </w:pPr>
    </w:p>
    <w:p w14:paraId="0442239A">
      <w:pPr>
        <w:autoSpaceDE w:val="0"/>
        <w:autoSpaceDN w:val="0"/>
        <w:spacing w:line="240" w:lineRule="auto"/>
        <w:rPr>
          <w:rFonts w:hint="eastAsia" w:ascii="仿宋_GB2312" w:hAnsi="仿宋" w:eastAsia="仿宋_GB2312"/>
          <w:color w:val="auto"/>
          <w:kern w:val="0"/>
          <w:sz w:val="24"/>
        </w:rPr>
      </w:pPr>
      <w:r>
        <w:rPr>
          <w:rFonts w:hint="eastAsia" w:ascii="仿宋_GB2312" w:hAnsi="仿宋" w:eastAsia="仿宋_GB2312"/>
          <w:color w:val="auto"/>
          <w:kern w:val="0"/>
          <w:sz w:val="24"/>
        </w:rPr>
        <w:t xml:space="preserve"> </w:t>
      </w:r>
    </w:p>
    <w:p w14:paraId="6A1F00B5">
      <w:pPr>
        <w:autoSpaceDE w:val="0"/>
        <w:autoSpaceDN w:val="0"/>
        <w:spacing w:line="240" w:lineRule="auto"/>
        <w:ind w:firstLine="6120" w:firstLineChars="2550"/>
        <w:rPr>
          <w:rFonts w:hint="eastAsia" w:ascii="仿宋_GB2312" w:hAnsi="仿宋" w:eastAsia="仿宋_GB2312"/>
          <w:color w:val="auto"/>
          <w:kern w:val="0"/>
          <w:sz w:val="24"/>
        </w:rPr>
      </w:pPr>
      <w:r>
        <w:rPr>
          <w:rFonts w:hint="eastAsia" w:ascii="仿宋_GB2312" w:hAnsi="仿宋" w:eastAsia="仿宋_GB2312"/>
          <w:color w:val="auto"/>
          <w:kern w:val="0"/>
          <w:sz w:val="24"/>
        </w:rPr>
        <w:br w:type="page"/>
      </w:r>
      <w:r>
        <w:rPr>
          <w:rFonts w:hint="eastAsia" w:ascii="仿宋_GB2312" w:hAnsi="仿宋" w:eastAsia="仿宋_GB2312"/>
          <w:color w:val="auto"/>
          <w:kern w:val="0"/>
          <w:sz w:val="24"/>
        </w:rPr>
        <w:t xml:space="preserve"> </w:t>
      </w:r>
    </w:p>
    <w:p w14:paraId="61CDA770">
      <w:pPr>
        <w:keepNext/>
        <w:keepLines/>
        <w:spacing w:before="260" w:after="260" w:line="240" w:lineRule="auto"/>
        <w:jc w:val="center"/>
        <w:outlineLvl w:val="1"/>
        <w:rPr>
          <w:rFonts w:hint="eastAsia" w:ascii="宋体" w:hAnsi="宋体"/>
          <w:color w:val="auto"/>
          <w:sz w:val="32"/>
          <w:szCs w:val="32"/>
          <w:lang w:val="zh-CN"/>
        </w:rPr>
      </w:pPr>
      <w:bookmarkStart w:id="199" w:name="_Toc80205940"/>
      <w:bookmarkEnd w:id="199"/>
      <w:bookmarkStart w:id="200" w:name="_Toc23769"/>
      <w:bookmarkEnd w:id="200"/>
      <w:bookmarkStart w:id="201" w:name="_Toc9978"/>
      <w:bookmarkEnd w:id="201"/>
      <w:r>
        <w:rPr>
          <w:rFonts w:hint="eastAsia" w:ascii="宋体" w:hAnsi="宋体"/>
          <w:color w:val="auto"/>
          <w:sz w:val="32"/>
          <w:szCs w:val="32"/>
          <w:lang w:val="zh-CN"/>
        </w:rPr>
        <w:t xml:space="preserve">第三节 </w:t>
      </w:r>
      <w:r>
        <w:rPr>
          <w:rFonts w:hint="eastAsia" w:ascii="宋体" w:hAnsi="宋体"/>
          <w:bCs/>
          <w:color w:val="auto"/>
          <w:sz w:val="32"/>
          <w:szCs w:val="32"/>
          <w:lang w:val="zh-CN"/>
        </w:rPr>
        <w:t>商务技术文件格式</w:t>
      </w:r>
    </w:p>
    <w:p w14:paraId="6AE723A8">
      <w:pPr>
        <w:snapToGrid w:val="0"/>
        <w:spacing w:before="120" w:after="50" w:line="240" w:lineRule="auto"/>
        <w:rPr>
          <w:rFonts w:hint="eastAsia" w:ascii="宋体" w:hAnsi="宋体"/>
          <w:color w:val="auto"/>
          <w:sz w:val="24"/>
        </w:rPr>
      </w:pPr>
      <w:r>
        <w:rPr>
          <w:rFonts w:hint="eastAsia" w:ascii="宋体" w:hAnsi="宋体"/>
          <w:color w:val="auto"/>
          <w:sz w:val="24"/>
        </w:rPr>
        <w:t xml:space="preserve">                                                    </w:t>
      </w:r>
      <w:r>
        <w:rPr>
          <w:rFonts w:hint="eastAsia" w:ascii="宋体" w:hAnsi="宋体"/>
          <w:bCs/>
          <w:color w:val="auto"/>
        </w:rPr>
        <w:t>全流程电子文件</w:t>
      </w:r>
    </w:p>
    <w:p w14:paraId="4E044716">
      <w:pPr>
        <w:snapToGrid w:val="0"/>
        <w:spacing w:before="120" w:after="50" w:line="240" w:lineRule="auto"/>
        <w:rPr>
          <w:rFonts w:ascii="宋体" w:hAnsi="宋体"/>
          <w:color w:val="auto"/>
          <w:sz w:val="24"/>
          <w:szCs w:val="20"/>
        </w:rPr>
      </w:pPr>
    </w:p>
    <w:p w14:paraId="5F6B80CB">
      <w:pPr>
        <w:snapToGrid w:val="0"/>
        <w:spacing w:before="120" w:after="50" w:line="240" w:lineRule="auto"/>
        <w:rPr>
          <w:rFonts w:ascii="宋体" w:hAnsi="宋体"/>
          <w:color w:val="auto"/>
          <w:sz w:val="24"/>
          <w:szCs w:val="20"/>
        </w:rPr>
      </w:pPr>
    </w:p>
    <w:p w14:paraId="5F68B994">
      <w:pPr>
        <w:snapToGrid w:val="0"/>
        <w:spacing w:before="120" w:after="50" w:line="240" w:lineRule="auto"/>
        <w:rPr>
          <w:rFonts w:ascii="宋体" w:hAnsi="宋体"/>
          <w:color w:val="auto"/>
          <w:sz w:val="24"/>
          <w:szCs w:val="20"/>
        </w:rPr>
      </w:pPr>
    </w:p>
    <w:p w14:paraId="742AEAA8">
      <w:pPr>
        <w:snapToGrid w:val="0"/>
        <w:spacing w:before="120" w:after="50" w:line="240" w:lineRule="auto"/>
        <w:jc w:val="center"/>
        <w:rPr>
          <w:rFonts w:hint="eastAsia" w:ascii="方正小标宋简体" w:hAnsi="方正小标宋简体" w:eastAsia="方正小标宋简体"/>
          <w:bCs/>
          <w:color w:val="auto"/>
          <w:sz w:val="44"/>
          <w:szCs w:val="44"/>
        </w:rPr>
      </w:pPr>
      <w:r>
        <w:rPr>
          <w:rFonts w:hint="eastAsia" w:ascii="方正小标宋简体" w:hAnsi="方正小标宋简体" w:eastAsia="方正小标宋简体"/>
          <w:bCs/>
          <w:color w:val="auto"/>
          <w:sz w:val="44"/>
          <w:szCs w:val="44"/>
        </w:rPr>
        <w:t>商  务  技  术  文  件（封面）</w:t>
      </w:r>
    </w:p>
    <w:p w14:paraId="704A1AD4">
      <w:pPr>
        <w:snapToGrid w:val="0"/>
        <w:spacing w:before="120" w:after="50" w:line="240" w:lineRule="auto"/>
        <w:rPr>
          <w:rFonts w:ascii="宋体" w:hAnsi="宋体"/>
          <w:bCs/>
          <w:color w:val="auto"/>
          <w:sz w:val="24"/>
          <w:szCs w:val="20"/>
        </w:rPr>
      </w:pPr>
    </w:p>
    <w:p w14:paraId="5545B98F">
      <w:pPr>
        <w:snapToGrid w:val="0"/>
        <w:spacing w:before="120" w:after="50" w:line="240" w:lineRule="auto"/>
        <w:rPr>
          <w:rFonts w:ascii="宋体" w:hAnsi="宋体"/>
          <w:bCs/>
          <w:color w:val="auto"/>
          <w:sz w:val="24"/>
          <w:szCs w:val="20"/>
        </w:rPr>
      </w:pPr>
    </w:p>
    <w:p w14:paraId="49F0BE1C">
      <w:pPr>
        <w:snapToGrid w:val="0"/>
        <w:spacing w:before="120" w:after="50" w:line="240" w:lineRule="auto"/>
        <w:rPr>
          <w:rFonts w:ascii="宋体" w:hAnsi="宋体"/>
          <w:bCs/>
          <w:color w:val="auto"/>
          <w:sz w:val="24"/>
          <w:szCs w:val="20"/>
        </w:rPr>
      </w:pPr>
    </w:p>
    <w:p w14:paraId="76E3D003">
      <w:pPr>
        <w:snapToGrid w:val="0"/>
        <w:spacing w:before="120" w:after="50" w:line="240" w:lineRule="auto"/>
        <w:rPr>
          <w:rFonts w:ascii="宋体" w:hAnsi="宋体"/>
          <w:bCs/>
          <w:color w:val="auto"/>
          <w:sz w:val="24"/>
          <w:szCs w:val="20"/>
        </w:rPr>
      </w:pPr>
    </w:p>
    <w:p w14:paraId="2BEE6E77">
      <w:pPr>
        <w:snapToGrid w:val="0"/>
        <w:spacing w:before="120" w:after="50" w:line="240" w:lineRule="auto"/>
        <w:rPr>
          <w:rFonts w:ascii="宋体" w:hAnsi="宋体"/>
          <w:bCs/>
          <w:color w:val="auto"/>
          <w:sz w:val="24"/>
          <w:szCs w:val="20"/>
        </w:rPr>
      </w:pPr>
    </w:p>
    <w:p w14:paraId="7925AFE7">
      <w:pPr>
        <w:snapToGrid w:val="0"/>
        <w:spacing w:before="120" w:after="50" w:line="240" w:lineRule="auto"/>
        <w:ind w:firstLine="640" w:firstLineChars="200"/>
        <w:rPr>
          <w:rFonts w:hint="eastAsia" w:ascii="宋体" w:hAnsi="宋体"/>
          <w:bCs/>
          <w:color w:val="auto"/>
          <w:sz w:val="32"/>
          <w:szCs w:val="32"/>
        </w:rPr>
      </w:pPr>
      <w:r>
        <w:rPr>
          <w:rFonts w:hint="eastAsia" w:ascii="宋体" w:hAnsi="宋体"/>
          <w:bCs/>
          <w:color w:val="auto"/>
          <w:sz w:val="32"/>
          <w:szCs w:val="32"/>
        </w:rPr>
        <w:t>项目名称：</w:t>
      </w:r>
    </w:p>
    <w:p w14:paraId="444E6D7F">
      <w:pPr>
        <w:snapToGrid w:val="0"/>
        <w:spacing w:before="120" w:after="50" w:line="240" w:lineRule="auto"/>
        <w:ind w:firstLine="720" w:firstLineChars="225"/>
        <w:rPr>
          <w:rFonts w:ascii="宋体" w:hAnsi="宋体"/>
          <w:bCs/>
          <w:color w:val="auto"/>
          <w:sz w:val="32"/>
          <w:szCs w:val="32"/>
        </w:rPr>
      </w:pPr>
    </w:p>
    <w:p w14:paraId="03AE3677">
      <w:pPr>
        <w:snapToGrid w:val="0"/>
        <w:spacing w:before="120" w:after="50" w:line="240" w:lineRule="auto"/>
        <w:ind w:firstLine="640" w:firstLineChars="200"/>
        <w:rPr>
          <w:rFonts w:hint="eastAsia" w:ascii="宋体" w:hAnsi="宋体"/>
          <w:bCs/>
          <w:color w:val="auto"/>
          <w:sz w:val="32"/>
          <w:szCs w:val="32"/>
        </w:rPr>
      </w:pPr>
      <w:r>
        <w:rPr>
          <w:rFonts w:hint="eastAsia" w:ascii="宋体" w:hAnsi="宋体"/>
          <w:bCs/>
          <w:color w:val="auto"/>
          <w:sz w:val="32"/>
          <w:szCs w:val="32"/>
        </w:rPr>
        <w:t>项目编号：</w:t>
      </w:r>
    </w:p>
    <w:p w14:paraId="1B94E3AC">
      <w:pPr>
        <w:snapToGrid w:val="0"/>
        <w:spacing w:before="120" w:after="50" w:line="240" w:lineRule="auto"/>
        <w:ind w:firstLine="720" w:firstLineChars="225"/>
        <w:rPr>
          <w:rFonts w:hint="eastAsia" w:ascii="宋体" w:hAnsi="宋体"/>
          <w:bCs/>
          <w:color w:val="auto"/>
          <w:sz w:val="32"/>
          <w:szCs w:val="32"/>
        </w:rPr>
      </w:pPr>
      <w:r>
        <w:rPr>
          <w:rFonts w:hint="eastAsia" w:ascii="宋体" w:hAnsi="宋体"/>
          <w:bCs/>
          <w:color w:val="auto"/>
          <w:sz w:val="32"/>
          <w:szCs w:val="32"/>
        </w:rPr>
        <w:t xml:space="preserve"> </w:t>
      </w:r>
    </w:p>
    <w:p w14:paraId="36A76C45">
      <w:pPr>
        <w:snapToGrid w:val="0"/>
        <w:spacing w:before="120" w:after="50" w:line="240" w:lineRule="auto"/>
        <w:ind w:firstLine="640" w:firstLineChars="200"/>
        <w:rPr>
          <w:rFonts w:hint="eastAsia" w:ascii="宋体" w:hAnsi="宋体"/>
          <w:bCs/>
          <w:color w:val="auto"/>
          <w:sz w:val="32"/>
          <w:szCs w:val="32"/>
        </w:rPr>
      </w:pPr>
      <w:r>
        <w:rPr>
          <w:rFonts w:hint="eastAsia" w:ascii="宋体" w:hAnsi="宋体"/>
          <w:bCs/>
          <w:color w:val="auto"/>
          <w:sz w:val="32"/>
          <w:szCs w:val="32"/>
        </w:rPr>
        <w:t>所竞分标（如有则填写，无分标时填写“无”或者留空）：</w:t>
      </w:r>
    </w:p>
    <w:p w14:paraId="07DAA270">
      <w:pPr>
        <w:snapToGrid w:val="0"/>
        <w:spacing w:before="120" w:after="50" w:line="240" w:lineRule="auto"/>
        <w:ind w:firstLine="720" w:firstLineChars="225"/>
        <w:rPr>
          <w:rFonts w:ascii="宋体" w:hAnsi="宋体"/>
          <w:bCs/>
          <w:color w:val="auto"/>
          <w:sz w:val="32"/>
          <w:szCs w:val="32"/>
        </w:rPr>
      </w:pPr>
    </w:p>
    <w:p w14:paraId="0613F18F">
      <w:pPr>
        <w:snapToGrid w:val="0"/>
        <w:spacing w:before="50" w:after="50" w:line="240" w:lineRule="auto"/>
        <w:ind w:firstLine="640" w:firstLineChars="200"/>
        <w:rPr>
          <w:rFonts w:hint="eastAsia" w:ascii="宋体" w:hAnsi="宋体"/>
          <w:bCs/>
          <w:color w:val="auto"/>
          <w:sz w:val="32"/>
          <w:szCs w:val="32"/>
        </w:rPr>
      </w:pPr>
      <w:r>
        <w:rPr>
          <w:rFonts w:hint="eastAsia" w:ascii="宋体" w:hAnsi="宋体"/>
          <w:bCs/>
          <w:color w:val="auto"/>
          <w:sz w:val="32"/>
          <w:szCs w:val="32"/>
        </w:rPr>
        <w:t>供应商名称：</w:t>
      </w:r>
    </w:p>
    <w:p w14:paraId="676F520A">
      <w:pPr>
        <w:snapToGrid w:val="0"/>
        <w:spacing w:before="50" w:after="50" w:line="240" w:lineRule="auto"/>
        <w:ind w:firstLine="720" w:firstLineChars="225"/>
        <w:rPr>
          <w:rFonts w:ascii="宋体" w:hAnsi="宋体"/>
          <w:bCs/>
          <w:color w:val="auto"/>
          <w:sz w:val="32"/>
          <w:szCs w:val="32"/>
        </w:rPr>
      </w:pPr>
    </w:p>
    <w:p w14:paraId="041595C7">
      <w:pPr>
        <w:snapToGrid w:val="0"/>
        <w:spacing w:before="50" w:after="50" w:line="240" w:lineRule="auto"/>
        <w:ind w:firstLine="720" w:firstLineChars="225"/>
        <w:rPr>
          <w:rFonts w:ascii="宋体" w:hAnsi="宋体"/>
          <w:bCs/>
          <w:color w:val="auto"/>
          <w:sz w:val="32"/>
          <w:szCs w:val="32"/>
        </w:rPr>
      </w:pPr>
    </w:p>
    <w:p w14:paraId="28BCB31C">
      <w:pPr>
        <w:snapToGrid w:val="0"/>
        <w:spacing w:before="50" w:after="50" w:line="240" w:lineRule="auto"/>
        <w:ind w:firstLine="1280" w:firstLineChars="400"/>
        <w:rPr>
          <w:rFonts w:ascii="宋体" w:hAnsi="宋体"/>
          <w:bCs/>
          <w:color w:val="auto"/>
          <w:sz w:val="32"/>
          <w:szCs w:val="32"/>
        </w:rPr>
      </w:pPr>
    </w:p>
    <w:p w14:paraId="77173A7B">
      <w:pPr>
        <w:snapToGrid w:val="0"/>
        <w:spacing w:before="120" w:after="50" w:line="240" w:lineRule="auto"/>
        <w:jc w:val="center"/>
        <w:rPr>
          <w:rFonts w:hint="eastAsia" w:ascii="宋体" w:hAnsi="宋体"/>
          <w:color w:val="auto"/>
          <w:sz w:val="32"/>
          <w:szCs w:val="32"/>
        </w:rPr>
      </w:pPr>
      <w:r>
        <w:rPr>
          <w:rFonts w:hint="eastAsia" w:ascii="宋体" w:hAnsi="宋体"/>
          <w:color w:val="auto"/>
          <w:sz w:val="32"/>
          <w:szCs w:val="32"/>
        </w:rPr>
        <w:t>年    月    日</w:t>
      </w:r>
    </w:p>
    <w:p w14:paraId="03AA0868">
      <w:pPr>
        <w:snapToGrid w:val="0"/>
        <w:spacing w:before="120" w:after="50" w:line="240" w:lineRule="auto"/>
        <w:ind w:left="142" w:firstLine="643" w:firstLineChars="200"/>
        <w:jc w:val="left"/>
        <w:rPr>
          <w:rFonts w:ascii="宋体" w:hAnsi="宋体"/>
          <w:b/>
          <w:bCs/>
          <w:color w:val="auto"/>
          <w:sz w:val="32"/>
          <w:szCs w:val="32"/>
        </w:rPr>
        <w:sectPr>
          <w:pgSz w:w="11911" w:h="16838"/>
          <w:pgMar w:top="1134" w:right="1134" w:bottom="1134" w:left="1134" w:header="720" w:footer="720" w:gutter="0"/>
          <w:cols w:space="720" w:num="1"/>
          <w:titlePg/>
          <w:docGrid w:linePitch="0" w:charSpace="0"/>
        </w:sectPr>
      </w:pPr>
    </w:p>
    <w:p w14:paraId="50C15194">
      <w:pPr>
        <w:spacing w:line="240" w:lineRule="auto"/>
        <w:jc w:val="center"/>
        <w:rPr>
          <w:rFonts w:hint="eastAsia" w:ascii="仿宋_GB2312" w:hAnsi="仿宋" w:eastAsia="仿宋_GB2312"/>
          <w:b/>
          <w:color w:val="auto"/>
          <w:kern w:val="0"/>
          <w:sz w:val="32"/>
          <w:szCs w:val="32"/>
        </w:rPr>
      </w:pPr>
      <w:r>
        <w:rPr>
          <w:rFonts w:hint="eastAsia" w:ascii="仿宋_GB2312" w:hAnsi="仿宋" w:eastAsia="仿宋_GB2312"/>
          <w:b/>
          <w:color w:val="auto"/>
          <w:kern w:val="0"/>
          <w:sz w:val="32"/>
          <w:szCs w:val="32"/>
        </w:rPr>
        <w:t>商务技术文件目录</w:t>
      </w:r>
    </w:p>
    <w:p w14:paraId="6E6E82BD">
      <w:pPr>
        <w:spacing w:line="240" w:lineRule="auto"/>
        <w:ind w:firstLine="420" w:firstLineChars="200"/>
        <w:rPr>
          <w:rFonts w:hint="eastAsia" w:ascii="宋体" w:hAnsi="宋体"/>
          <w:color w:val="auto"/>
          <w:szCs w:val="21"/>
        </w:rPr>
      </w:pPr>
    </w:p>
    <w:p w14:paraId="549E5B94">
      <w:pPr>
        <w:snapToGrid w:val="0"/>
        <w:spacing w:before="120" w:after="50" w:line="240" w:lineRule="auto"/>
        <w:ind w:firstLine="640" w:firstLineChars="200"/>
        <w:rPr>
          <w:rFonts w:hint="eastAsia" w:ascii="宋体" w:hAnsi="宋体"/>
          <w:color w:val="auto"/>
          <w:sz w:val="32"/>
          <w:szCs w:val="32"/>
        </w:rPr>
      </w:pPr>
      <w:r>
        <w:rPr>
          <w:rFonts w:hint="eastAsia" w:ascii="宋体" w:hAnsi="宋体"/>
          <w:color w:val="auto"/>
          <w:sz w:val="32"/>
          <w:szCs w:val="32"/>
        </w:rPr>
        <w:t>根据磋商文件规定及供应商提供的材料自行编写目录（部分格式后附）。</w:t>
      </w:r>
    </w:p>
    <w:p w14:paraId="26A00186">
      <w:pPr>
        <w:spacing w:line="240" w:lineRule="auto"/>
        <w:rPr>
          <w:rFonts w:ascii="仿宋_GB2312" w:hAnsi="仿宋_GB2312" w:eastAsia="仿宋_GB2312"/>
          <w:color w:val="auto"/>
          <w:sz w:val="32"/>
          <w:szCs w:val="32"/>
        </w:rPr>
      </w:pPr>
    </w:p>
    <w:p w14:paraId="7A4E3736">
      <w:pPr>
        <w:spacing w:line="240" w:lineRule="auto"/>
        <w:rPr>
          <w:rFonts w:ascii="方正小标宋简体" w:hAnsi="方正小标宋简体" w:eastAsia="方正小标宋简体"/>
          <w:color w:val="auto"/>
          <w:sz w:val="44"/>
          <w:szCs w:val="44"/>
        </w:rPr>
      </w:pPr>
    </w:p>
    <w:p w14:paraId="3DF3193B">
      <w:pPr>
        <w:spacing w:line="240" w:lineRule="auto"/>
        <w:rPr>
          <w:rFonts w:ascii="方正小标宋简体" w:hAnsi="方正小标宋简体" w:eastAsia="方正小标宋简体"/>
          <w:color w:val="auto"/>
          <w:sz w:val="44"/>
          <w:szCs w:val="44"/>
        </w:rPr>
      </w:pPr>
    </w:p>
    <w:p w14:paraId="74046234">
      <w:pPr>
        <w:spacing w:line="240" w:lineRule="auto"/>
        <w:rPr>
          <w:rFonts w:ascii="方正小标宋简体" w:hAnsi="方正小标宋简体" w:eastAsia="方正小标宋简体"/>
          <w:color w:val="auto"/>
          <w:sz w:val="44"/>
          <w:szCs w:val="44"/>
        </w:rPr>
      </w:pPr>
    </w:p>
    <w:p w14:paraId="370E780D">
      <w:pPr>
        <w:spacing w:line="240" w:lineRule="auto"/>
        <w:rPr>
          <w:rFonts w:ascii="方正小标宋简体" w:hAnsi="方正小标宋简体" w:eastAsia="方正小标宋简体"/>
          <w:color w:val="auto"/>
          <w:sz w:val="44"/>
          <w:szCs w:val="44"/>
        </w:rPr>
      </w:pPr>
    </w:p>
    <w:p w14:paraId="5409BDAC">
      <w:pPr>
        <w:spacing w:line="240" w:lineRule="auto"/>
        <w:rPr>
          <w:rFonts w:ascii="方正小标宋简体" w:hAnsi="方正小标宋简体" w:eastAsia="方正小标宋简体"/>
          <w:color w:val="auto"/>
          <w:sz w:val="44"/>
          <w:szCs w:val="44"/>
        </w:rPr>
      </w:pPr>
    </w:p>
    <w:p w14:paraId="7E82F266">
      <w:pPr>
        <w:spacing w:line="240" w:lineRule="auto"/>
        <w:rPr>
          <w:rFonts w:ascii="方正小标宋简体" w:hAnsi="方正小标宋简体" w:eastAsia="方正小标宋简体"/>
          <w:color w:val="auto"/>
          <w:sz w:val="44"/>
          <w:szCs w:val="44"/>
        </w:rPr>
      </w:pPr>
    </w:p>
    <w:p w14:paraId="02BB43BB">
      <w:pPr>
        <w:spacing w:line="240" w:lineRule="auto"/>
        <w:rPr>
          <w:rFonts w:ascii="方正小标宋简体" w:hAnsi="方正小标宋简体" w:eastAsia="方正小标宋简体"/>
          <w:color w:val="auto"/>
          <w:sz w:val="44"/>
          <w:szCs w:val="44"/>
        </w:rPr>
      </w:pPr>
    </w:p>
    <w:p w14:paraId="0FE1AC91">
      <w:pPr>
        <w:spacing w:line="240" w:lineRule="auto"/>
        <w:rPr>
          <w:rFonts w:ascii="方正小标宋简体" w:hAnsi="方正小标宋简体" w:eastAsia="方正小标宋简体"/>
          <w:color w:val="auto"/>
          <w:sz w:val="44"/>
          <w:szCs w:val="44"/>
        </w:rPr>
      </w:pPr>
    </w:p>
    <w:p w14:paraId="6DE65F30">
      <w:pPr>
        <w:spacing w:line="240" w:lineRule="auto"/>
        <w:rPr>
          <w:rFonts w:ascii="方正小标宋简体" w:hAnsi="方正小标宋简体" w:eastAsia="方正小标宋简体"/>
          <w:color w:val="auto"/>
          <w:sz w:val="44"/>
          <w:szCs w:val="44"/>
        </w:rPr>
      </w:pPr>
    </w:p>
    <w:p w14:paraId="78B83A8A">
      <w:pPr>
        <w:spacing w:line="240" w:lineRule="auto"/>
        <w:rPr>
          <w:rFonts w:ascii="方正小标宋简体" w:hAnsi="方正小标宋简体" w:eastAsia="方正小标宋简体"/>
          <w:color w:val="auto"/>
          <w:sz w:val="44"/>
          <w:szCs w:val="44"/>
        </w:rPr>
      </w:pPr>
    </w:p>
    <w:p w14:paraId="60026D40">
      <w:pPr>
        <w:spacing w:line="240" w:lineRule="auto"/>
        <w:rPr>
          <w:rFonts w:ascii="方正小标宋简体" w:hAnsi="方正小标宋简体" w:eastAsia="方正小标宋简体"/>
          <w:color w:val="auto"/>
          <w:sz w:val="44"/>
          <w:szCs w:val="44"/>
        </w:rPr>
      </w:pPr>
    </w:p>
    <w:p w14:paraId="155AB0D4">
      <w:pPr>
        <w:spacing w:line="240" w:lineRule="auto"/>
        <w:rPr>
          <w:rFonts w:ascii="方正小标宋简体" w:hAnsi="方正小标宋简体" w:eastAsia="方正小标宋简体"/>
          <w:color w:val="auto"/>
          <w:sz w:val="44"/>
          <w:szCs w:val="44"/>
        </w:rPr>
      </w:pPr>
    </w:p>
    <w:p w14:paraId="13FD5B48">
      <w:pPr>
        <w:spacing w:line="240" w:lineRule="auto"/>
        <w:rPr>
          <w:rFonts w:ascii="方正小标宋简体" w:hAnsi="方正小标宋简体" w:eastAsia="方正小标宋简体"/>
          <w:color w:val="auto"/>
          <w:sz w:val="44"/>
          <w:szCs w:val="44"/>
        </w:rPr>
      </w:pPr>
    </w:p>
    <w:p w14:paraId="29978266">
      <w:pPr>
        <w:spacing w:line="240" w:lineRule="auto"/>
        <w:rPr>
          <w:rFonts w:ascii="方正小标宋简体" w:hAnsi="方正小标宋简体" w:eastAsia="方正小标宋简体"/>
          <w:color w:val="auto"/>
          <w:sz w:val="44"/>
          <w:szCs w:val="44"/>
        </w:rPr>
      </w:pPr>
    </w:p>
    <w:p w14:paraId="3E7FC1C2">
      <w:pPr>
        <w:spacing w:line="240" w:lineRule="auto"/>
        <w:rPr>
          <w:rFonts w:ascii="方正小标宋简体" w:hAnsi="方正小标宋简体" w:eastAsia="方正小标宋简体"/>
          <w:color w:val="auto"/>
          <w:sz w:val="44"/>
          <w:szCs w:val="44"/>
        </w:rPr>
      </w:pPr>
    </w:p>
    <w:p w14:paraId="5922D610">
      <w:pPr>
        <w:spacing w:line="240" w:lineRule="auto"/>
        <w:rPr>
          <w:rFonts w:ascii="方正小标宋简体" w:hAnsi="方正小标宋简体" w:eastAsia="方正小标宋简体"/>
          <w:color w:val="auto"/>
          <w:sz w:val="44"/>
          <w:szCs w:val="44"/>
        </w:rPr>
      </w:pPr>
    </w:p>
    <w:p w14:paraId="6DCFA7F9">
      <w:pPr>
        <w:spacing w:line="240" w:lineRule="auto"/>
        <w:rPr>
          <w:rFonts w:ascii="方正小标宋简体" w:hAnsi="方正小标宋简体" w:eastAsia="方正小标宋简体"/>
          <w:color w:val="auto"/>
          <w:sz w:val="44"/>
          <w:szCs w:val="44"/>
        </w:rPr>
      </w:pPr>
    </w:p>
    <w:p w14:paraId="5C835044">
      <w:pPr>
        <w:spacing w:line="240" w:lineRule="auto"/>
        <w:rPr>
          <w:rFonts w:ascii="方正小标宋简体" w:hAnsi="方正小标宋简体" w:eastAsia="方正小标宋简体"/>
          <w:color w:val="auto"/>
          <w:sz w:val="44"/>
          <w:szCs w:val="44"/>
        </w:rPr>
      </w:pPr>
    </w:p>
    <w:p w14:paraId="68419445">
      <w:pPr>
        <w:spacing w:line="240" w:lineRule="auto"/>
        <w:rPr>
          <w:rFonts w:ascii="方正小标宋简体" w:hAnsi="方正小标宋简体" w:eastAsia="方正小标宋简体"/>
          <w:color w:val="auto"/>
          <w:sz w:val="44"/>
          <w:szCs w:val="44"/>
        </w:rPr>
      </w:pPr>
    </w:p>
    <w:p w14:paraId="3A3C9A08">
      <w:pPr>
        <w:spacing w:line="240" w:lineRule="auto"/>
        <w:rPr>
          <w:rFonts w:ascii="方正小标宋简体" w:hAnsi="方正小标宋简体" w:eastAsia="方正小标宋简体"/>
          <w:color w:val="auto"/>
          <w:sz w:val="44"/>
          <w:szCs w:val="44"/>
        </w:rPr>
      </w:pPr>
    </w:p>
    <w:p w14:paraId="29AD1976">
      <w:pPr>
        <w:spacing w:line="240" w:lineRule="auto"/>
        <w:rPr>
          <w:rFonts w:ascii="方正小标宋简体" w:hAnsi="方正小标宋简体" w:eastAsia="方正小标宋简体"/>
          <w:color w:val="auto"/>
          <w:sz w:val="44"/>
          <w:szCs w:val="44"/>
        </w:rPr>
      </w:pPr>
    </w:p>
    <w:p w14:paraId="15725E04">
      <w:pPr>
        <w:spacing w:line="240" w:lineRule="auto"/>
        <w:jc w:val="center"/>
        <w:rPr>
          <w:rFonts w:ascii="方正小标宋简体" w:hAnsi="方正小标宋简体" w:eastAsia="方正小标宋简体"/>
          <w:color w:val="auto"/>
          <w:sz w:val="44"/>
          <w:szCs w:val="44"/>
        </w:rPr>
      </w:pPr>
    </w:p>
    <w:p w14:paraId="5E4754FC">
      <w:pPr>
        <w:spacing w:line="240" w:lineRule="auto"/>
        <w:jc w:val="center"/>
        <w:rPr>
          <w:rFonts w:hint="eastAsia" w:ascii="方正小标宋简体" w:hAnsi="方正小标宋简体" w:eastAsia="方正小标宋简体"/>
          <w:color w:val="auto"/>
          <w:sz w:val="44"/>
          <w:szCs w:val="44"/>
        </w:rPr>
      </w:pPr>
      <w:r>
        <w:rPr>
          <w:rFonts w:hint="eastAsia" w:ascii="方正小标宋简体" w:hAnsi="方正小标宋简体" w:eastAsia="方正小标宋简体"/>
          <w:color w:val="auto"/>
          <w:sz w:val="44"/>
          <w:szCs w:val="44"/>
        </w:rPr>
        <w:t>无串通竞标行为的承诺函</w:t>
      </w:r>
    </w:p>
    <w:p w14:paraId="1B2E87C4">
      <w:pPr>
        <w:spacing w:line="240" w:lineRule="auto"/>
        <w:ind w:firstLine="640" w:firstLineChars="200"/>
        <w:rPr>
          <w:rFonts w:ascii="仿宋_GB2312" w:hAnsi="仿宋_GB2312" w:eastAsia="仿宋_GB2312"/>
          <w:color w:val="auto"/>
          <w:sz w:val="32"/>
          <w:szCs w:val="32"/>
        </w:rPr>
      </w:pPr>
    </w:p>
    <w:p w14:paraId="01D89079">
      <w:pPr>
        <w:spacing w:line="240" w:lineRule="auto"/>
        <w:ind w:firstLine="482" w:firstLineChars="200"/>
        <w:contextualSpacing/>
        <w:rPr>
          <w:rFonts w:hint="eastAsia" w:ascii="宋体" w:hAnsi="宋体"/>
          <w:b/>
          <w:bCs/>
          <w:color w:val="auto"/>
          <w:sz w:val="24"/>
        </w:rPr>
      </w:pPr>
      <w:r>
        <w:rPr>
          <w:rFonts w:hint="eastAsia" w:ascii="宋体" w:hAnsi="宋体"/>
          <w:b/>
          <w:bCs/>
          <w:color w:val="auto"/>
          <w:sz w:val="24"/>
        </w:rPr>
        <w:t>一、我方承诺无下列相互串通竞标的情形：</w:t>
      </w:r>
    </w:p>
    <w:p w14:paraId="6F0076B7">
      <w:pPr>
        <w:spacing w:line="240" w:lineRule="auto"/>
        <w:ind w:firstLine="480" w:firstLineChars="200"/>
        <w:contextualSpacing/>
        <w:rPr>
          <w:rFonts w:hint="eastAsia" w:ascii="宋体" w:hAnsi="宋体"/>
          <w:color w:val="auto"/>
          <w:sz w:val="24"/>
        </w:rPr>
      </w:pPr>
      <w:r>
        <w:rPr>
          <w:rFonts w:hint="eastAsia" w:ascii="宋体" w:hAnsi="宋体"/>
          <w:color w:val="auto"/>
          <w:sz w:val="24"/>
        </w:rPr>
        <w:t xml:space="preserve">1.不同供应商的响应文件由同一单位或者个人编制； </w:t>
      </w:r>
    </w:p>
    <w:p w14:paraId="6A54C0FA">
      <w:pPr>
        <w:spacing w:line="240" w:lineRule="auto"/>
        <w:ind w:firstLine="480" w:firstLineChars="200"/>
        <w:contextualSpacing/>
        <w:rPr>
          <w:rFonts w:hint="eastAsia" w:ascii="宋体" w:hAnsi="宋体"/>
          <w:color w:val="auto"/>
          <w:sz w:val="24"/>
        </w:rPr>
      </w:pPr>
      <w:r>
        <w:rPr>
          <w:rFonts w:hint="eastAsia" w:ascii="宋体" w:hAnsi="宋体"/>
          <w:color w:val="auto"/>
          <w:sz w:val="24"/>
        </w:rPr>
        <w:t>2.不同供应商委托同一单位或者个人办理竞标事宜；</w:t>
      </w:r>
    </w:p>
    <w:p w14:paraId="6B6CA357">
      <w:pPr>
        <w:spacing w:line="240" w:lineRule="auto"/>
        <w:ind w:firstLine="480" w:firstLineChars="200"/>
        <w:contextualSpacing/>
        <w:rPr>
          <w:rFonts w:hint="eastAsia" w:ascii="宋体" w:hAnsi="宋体"/>
          <w:color w:val="auto"/>
          <w:sz w:val="24"/>
        </w:rPr>
      </w:pPr>
      <w:r>
        <w:rPr>
          <w:rFonts w:hint="eastAsia" w:ascii="宋体" w:hAnsi="宋体"/>
          <w:color w:val="auto"/>
          <w:sz w:val="24"/>
        </w:rPr>
        <w:t>3.不同供应商的响应文件载明的项目管理员为同一个人；</w:t>
      </w:r>
    </w:p>
    <w:p w14:paraId="3C14E12B">
      <w:pPr>
        <w:spacing w:line="240" w:lineRule="auto"/>
        <w:ind w:firstLine="480" w:firstLineChars="200"/>
        <w:contextualSpacing/>
        <w:rPr>
          <w:rFonts w:hint="eastAsia" w:ascii="宋体" w:hAnsi="宋体"/>
          <w:color w:val="auto"/>
          <w:sz w:val="24"/>
        </w:rPr>
      </w:pPr>
      <w:r>
        <w:rPr>
          <w:rFonts w:hint="eastAsia" w:ascii="宋体" w:hAnsi="宋体"/>
          <w:color w:val="auto"/>
          <w:sz w:val="24"/>
        </w:rPr>
        <w:t>4.不</w:t>
      </w:r>
      <w:r>
        <w:rPr>
          <w:rFonts w:hint="eastAsia" w:ascii="宋体" w:hAnsi="宋体"/>
          <w:color w:val="auto"/>
          <w:spacing w:val="-6"/>
          <w:sz w:val="24"/>
        </w:rPr>
        <w:t>同供应商的响应文件异常一致或者响应报价呈规律性差异；</w:t>
      </w:r>
    </w:p>
    <w:p w14:paraId="5C82AB1E">
      <w:pPr>
        <w:spacing w:line="240" w:lineRule="auto"/>
        <w:ind w:firstLine="480" w:firstLineChars="200"/>
        <w:contextualSpacing/>
        <w:rPr>
          <w:rFonts w:hint="eastAsia" w:ascii="宋体" w:hAnsi="宋体"/>
          <w:color w:val="auto"/>
          <w:sz w:val="24"/>
        </w:rPr>
      </w:pPr>
      <w:r>
        <w:rPr>
          <w:rFonts w:hint="eastAsia" w:ascii="宋体" w:hAnsi="宋体"/>
          <w:color w:val="auto"/>
          <w:sz w:val="24"/>
        </w:rPr>
        <w:t>5.不同供应商的响应文件相互混装；</w:t>
      </w:r>
    </w:p>
    <w:p w14:paraId="5B51BD8D">
      <w:pPr>
        <w:spacing w:line="240" w:lineRule="auto"/>
        <w:ind w:firstLine="480" w:firstLineChars="200"/>
        <w:contextualSpacing/>
        <w:rPr>
          <w:rFonts w:hint="eastAsia" w:ascii="宋体" w:hAnsi="宋体"/>
          <w:color w:val="auto"/>
          <w:sz w:val="24"/>
        </w:rPr>
      </w:pPr>
      <w:r>
        <w:rPr>
          <w:rFonts w:hint="eastAsia" w:ascii="宋体" w:hAnsi="宋体"/>
          <w:color w:val="auto"/>
          <w:sz w:val="24"/>
        </w:rPr>
        <w:t>6.不同供应商的磋商保证金从同一单位或者个人账户转出。</w:t>
      </w:r>
    </w:p>
    <w:p w14:paraId="333FF543">
      <w:pPr>
        <w:spacing w:line="240" w:lineRule="auto"/>
        <w:ind w:firstLine="482" w:firstLineChars="200"/>
        <w:contextualSpacing/>
        <w:rPr>
          <w:rFonts w:hint="eastAsia" w:ascii="宋体" w:hAnsi="宋体"/>
          <w:b/>
          <w:bCs/>
          <w:color w:val="auto"/>
          <w:sz w:val="24"/>
        </w:rPr>
      </w:pPr>
      <w:r>
        <w:rPr>
          <w:rFonts w:hint="eastAsia" w:ascii="宋体" w:hAnsi="宋体"/>
          <w:b/>
          <w:bCs/>
          <w:color w:val="auto"/>
          <w:sz w:val="24"/>
        </w:rPr>
        <w:t>二、我方承诺无下列恶意串通的情形：</w:t>
      </w:r>
    </w:p>
    <w:p w14:paraId="40735CEA">
      <w:pPr>
        <w:spacing w:line="240" w:lineRule="auto"/>
        <w:ind w:firstLine="480" w:firstLineChars="200"/>
        <w:contextualSpacing/>
        <w:rPr>
          <w:rFonts w:hint="eastAsia" w:ascii="宋体" w:hAnsi="宋体"/>
          <w:color w:val="auto"/>
          <w:sz w:val="24"/>
        </w:rPr>
      </w:pPr>
      <w:r>
        <w:rPr>
          <w:rFonts w:hint="eastAsia" w:ascii="宋体" w:hAnsi="宋体"/>
          <w:color w:val="auto"/>
          <w:sz w:val="24"/>
        </w:rPr>
        <w:t>1.供应商直接或者间接从采购人或者采购代理机构处获得其他供应商的相关信息并修改其响应文件；</w:t>
      </w:r>
    </w:p>
    <w:p w14:paraId="3E78D9E5">
      <w:pPr>
        <w:spacing w:line="240" w:lineRule="auto"/>
        <w:ind w:firstLine="480" w:firstLineChars="200"/>
        <w:contextualSpacing/>
        <w:rPr>
          <w:rFonts w:hint="eastAsia" w:ascii="宋体" w:hAnsi="宋体"/>
          <w:color w:val="auto"/>
          <w:sz w:val="24"/>
        </w:rPr>
      </w:pPr>
      <w:r>
        <w:rPr>
          <w:rFonts w:hint="eastAsia" w:ascii="宋体" w:hAnsi="宋体"/>
          <w:color w:val="auto"/>
          <w:sz w:val="24"/>
        </w:rPr>
        <w:t>2.供应商按照采购人或者采购代理机构的授意撤换、修改响应文件；</w:t>
      </w:r>
    </w:p>
    <w:p w14:paraId="102C57AD">
      <w:pPr>
        <w:spacing w:line="240" w:lineRule="auto"/>
        <w:ind w:firstLine="480" w:firstLineChars="200"/>
        <w:contextualSpacing/>
        <w:rPr>
          <w:rFonts w:hint="eastAsia" w:ascii="宋体" w:hAnsi="宋体"/>
          <w:color w:val="auto"/>
          <w:sz w:val="24"/>
        </w:rPr>
      </w:pPr>
      <w:r>
        <w:rPr>
          <w:rFonts w:hint="eastAsia" w:ascii="宋体" w:hAnsi="宋体"/>
          <w:color w:val="auto"/>
          <w:sz w:val="24"/>
        </w:rPr>
        <w:t>3.供</w:t>
      </w:r>
      <w:r>
        <w:rPr>
          <w:rFonts w:hint="eastAsia" w:ascii="宋体" w:hAnsi="宋体"/>
          <w:color w:val="auto"/>
          <w:spacing w:val="-6"/>
          <w:sz w:val="24"/>
        </w:rPr>
        <w:t>应商之间协商报价、技术方案等响应文件的实质性内容；</w:t>
      </w:r>
    </w:p>
    <w:p w14:paraId="0BE98F41">
      <w:pPr>
        <w:spacing w:line="240" w:lineRule="auto"/>
        <w:ind w:firstLine="480" w:firstLineChars="200"/>
        <w:contextualSpacing/>
        <w:rPr>
          <w:rFonts w:hint="eastAsia" w:ascii="宋体" w:hAnsi="宋体"/>
          <w:color w:val="auto"/>
          <w:sz w:val="24"/>
        </w:rPr>
      </w:pPr>
      <w:r>
        <w:rPr>
          <w:rFonts w:hint="eastAsia" w:ascii="宋体" w:hAnsi="宋体"/>
          <w:color w:val="auto"/>
          <w:sz w:val="24"/>
        </w:rPr>
        <w:t>4.属于同一集团、协会、商会等组织成员的供应商按照该组织要求协同参加政府采购活动；</w:t>
      </w:r>
    </w:p>
    <w:p w14:paraId="2995EA8E">
      <w:pPr>
        <w:spacing w:line="240" w:lineRule="auto"/>
        <w:ind w:firstLine="480" w:firstLineChars="200"/>
        <w:contextualSpacing/>
        <w:rPr>
          <w:rFonts w:hint="eastAsia" w:ascii="宋体" w:hAnsi="宋体"/>
          <w:color w:val="auto"/>
          <w:sz w:val="24"/>
        </w:rPr>
      </w:pPr>
      <w:r>
        <w:rPr>
          <w:rFonts w:hint="eastAsia" w:ascii="宋体" w:hAnsi="宋体"/>
          <w:color w:val="auto"/>
          <w:sz w:val="24"/>
        </w:rPr>
        <w:t>5.供应商之间事先约定一致抬高或者压低响应报价，或者在竞争性磋商项目中事先约定轮流以高价位或者低价位成交，或者事先约定由某一特定供应商成交，然后再参加竞标；</w:t>
      </w:r>
    </w:p>
    <w:p w14:paraId="0251CA2A">
      <w:pPr>
        <w:spacing w:line="240" w:lineRule="auto"/>
        <w:ind w:firstLine="480" w:firstLineChars="200"/>
        <w:contextualSpacing/>
        <w:rPr>
          <w:rFonts w:hint="eastAsia" w:ascii="宋体" w:hAnsi="宋体"/>
          <w:color w:val="auto"/>
          <w:sz w:val="24"/>
        </w:rPr>
      </w:pPr>
      <w:r>
        <w:rPr>
          <w:rFonts w:hint="eastAsia" w:ascii="宋体" w:hAnsi="宋体"/>
          <w:color w:val="auto"/>
          <w:sz w:val="24"/>
        </w:rPr>
        <w:t>6.供应商之间商定部分供应商放弃参加政府采购活动或者放弃成交；</w:t>
      </w:r>
    </w:p>
    <w:p w14:paraId="1E864237">
      <w:pPr>
        <w:spacing w:line="240" w:lineRule="auto"/>
        <w:ind w:firstLine="480" w:firstLineChars="200"/>
        <w:contextualSpacing/>
        <w:rPr>
          <w:rFonts w:hint="eastAsia" w:ascii="宋体" w:hAnsi="宋体"/>
          <w:color w:val="auto"/>
          <w:sz w:val="24"/>
        </w:rPr>
      </w:pPr>
      <w:r>
        <w:rPr>
          <w:rFonts w:hint="eastAsia" w:ascii="宋体" w:hAnsi="宋体"/>
          <w:color w:val="auto"/>
          <w:sz w:val="24"/>
        </w:rPr>
        <w:t>7.供应商与采购人或者采购代理机构之间、供应商相互之间，为</w:t>
      </w:r>
      <w:r>
        <w:rPr>
          <w:rFonts w:hint="eastAsia" w:ascii="宋体" w:hAnsi="宋体"/>
          <w:color w:val="auto"/>
          <w:spacing w:val="-6"/>
          <w:sz w:val="24"/>
        </w:rPr>
        <w:t>谋求特定供应商成交或者排斥其他供应商的其他串通行为。</w:t>
      </w:r>
    </w:p>
    <w:p w14:paraId="5AADB917">
      <w:pPr>
        <w:spacing w:line="240" w:lineRule="auto"/>
        <w:ind w:firstLine="480" w:firstLineChars="200"/>
        <w:contextualSpacing/>
        <w:rPr>
          <w:rFonts w:ascii="宋体" w:hAnsi="宋体"/>
          <w:color w:val="auto"/>
          <w:sz w:val="24"/>
        </w:rPr>
      </w:pPr>
    </w:p>
    <w:p w14:paraId="783E4222">
      <w:pPr>
        <w:spacing w:line="240" w:lineRule="auto"/>
        <w:ind w:firstLine="482" w:firstLineChars="200"/>
        <w:contextualSpacing/>
        <w:rPr>
          <w:rFonts w:hint="eastAsia" w:ascii="宋体" w:hAnsi="宋体"/>
          <w:b/>
          <w:bCs/>
          <w:color w:val="auto"/>
          <w:sz w:val="24"/>
        </w:rPr>
      </w:pPr>
      <w:r>
        <w:rPr>
          <w:rFonts w:hint="eastAsia" w:ascii="宋体" w:hAnsi="宋体"/>
          <w:b/>
          <w:bCs/>
          <w:color w:val="auto"/>
          <w:sz w:val="24"/>
        </w:rPr>
        <w:t>以上情形一经核查属实，我方愿意承担一切后果，并不再寻求任何旨在减轻或者免除法律责任的辩解。</w:t>
      </w:r>
    </w:p>
    <w:p w14:paraId="35178E23">
      <w:pPr>
        <w:autoSpaceDE w:val="0"/>
        <w:autoSpaceDN w:val="0"/>
        <w:spacing w:line="240" w:lineRule="auto"/>
        <w:ind w:left="4335" w:leftChars="1950" w:hanging="240" w:hangingChars="100"/>
        <w:rPr>
          <w:rFonts w:hint="eastAsia" w:ascii="宋体" w:hAnsi="宋体"/>
          <w:color w:val="auto"/>
          <w:sz w:val="24"/>
        </w:rPr>
      </w:pPr>
    </w:p>
    <w:p w14:paraId="1193D763">
      <w:pPr>
        <w:autoSpaceDE w:val="0"/>
        <w:autoSpaceDN w:val="0"/>
        <w:spacing w:line="240" w:lineRule="auto"/>
        <w:ind w:left="4335" w:leftChars="1950" w:hanging="240" w:hangingChars="100"/>
        <w:rPr>
          <w:rFonts w:hint="eastAsia" w:ascii="宋体" w:hAnsi="宋体"/>
          <w:color w:val="auto"/>
          <w:sz w:val="24"/>
        </w:rPr>
      </w:pPr>
      <w:r>
        <w:rPr>
          <w:rFonts w:hint="eastAsia" w:ascii="宋体" w:hAnsi="宋体"/>
          <w:color w:val="auto"/>
          <w:sz w:val="24"/>
        </w:rPr>
        <w:t>供应商名称</w:t>
      </w:r>
      <w:r>
        <w:rPr>
          <w:rFonts w:hint="eastAsia" w:ascii="宋体" w:hAnsi="宋体"/>
          <w:color w:val="auto"/>
          <w:kern w:val="0"/>
          <w:sz w:val="24"/>
        </w:rPr>
        <w:t>（电子签章）</w:t>
      </w:r>
      <w:r>
        <w:rPr>
          <w:rFonts w:hint="eastAsia" w:ascii="宋体" w:hAnsi="宋体"/>
          <w:color w:val="auto"/>
          <w:sz w:val="24"/>
        </w:rPr>
        <w:t>：</w:t>
      </w:r>
    </w:p>
    <w:p w14:paraId="2EF8E8DF">
      <w:pPr>
        <w:autoSpaceDE w:val="0"/>
        <w:autoSpaceDN w:val="0"/>
        <w:spacing w:line="240" w:lineRule="auto"/>
        <w:ind w:left="4095" w:leftChars="1950"/>
        <w:jc w:val="left"/>
        <w:rPr>
          <w:rFonts w:hint="eastAsia" w:ascii="宋体" w:hAnsi="宋体"/>
          <w:color w:val="auto"/>
          <w:sz w:val="24"/>
          <w:lang w:val="zh-CN"/>
        </w:rPr>
      </w:pPr>
      <w:r>
        <w:rPr>
          <w:rFonts w:hint="eastAsia" w:ascii="宋体" w:hAnsi="宋体"/>
          <w:color w:val="auto"/>
          <w:sz w:val="24"/>
          <w:lang w:val="zh-CN"/>
        </w:rPr>
        <w:t>日期：  年  月   日</w:t>
      </w:r>
      <w:r>
        <w:rPr>
          <w:rFonts w:hint="eastAsia" w:ascii="仿宋_GB2312" w:hAnsi="仿宋" w:eastAsia="仿宋_GB2312"/>
          <w:color w:val="auto"/>
          <w:kern w:val="0"/>
          <w:sz w:val="24"/>
          <w:lang w:val="zh-CN"/>
        </w:rPr>
        <w:t xml:space="preserve">   </w:t>
      </w:r>
    </w:p>
    <w:p w14:paraId="6696E620">
      <w:pPr>
        <w:autoSpaceDE w:val="0"/>
        <w:autoSpaceDN w:val="0"/>
        <w:spacing w:line="240" w:lineRule="auto"/>
        <w:ind w:left="4095" w:leftChars="1950"/>
        <w:jc w:val="left"/>
        <w:rPr>
          <w:rFonts w:hint="eastAsia" w:ascii="仿宋_GB2312" w:hAnsi="仿宋" w:eastAsia="仿宋_GB2312"/>
          <w:color w:val="auto"/>
          <w:kern w:val="0"/>
          <w:sz w:val="24"/>
          <w:lang w:val="zh-CN"/>
        </w:rPr>
      </w:pPr>
    </w:p>
    <w:p w14:paraId="54976B61">
      <w:pPr>
        <w:autoSpaceDE w:val="0"/>
        <w:autoSpaceDN w:val="0"/>
        <w:spacing w:line="240" w:lineRule="auto"/>
        <w:ind w:left="4095" w:leftChars="1950"/>
        <w:jc w:val="left"/>
        <w:rPr>
          <w:rFonts w:hint="eastAsia" w:ascii="仿宋_GB2312" w:hAnsi="仿宋" w:eastAsia="仿宋_GB2312"/>
          <w:color w:val="auto"/>
          <w:kern w:val="0"/>
          <w:sz w:val="24"/>
          <w:lang w:val="zh-CN"/>
        </w:rPr>
      </w:pPr>
    </w:p>
    <w:p w14:paraId="6DD2566D">
      <w:pPr>
        <w:autoSpaceDE w:val="0"/>
        <w:autoSpaceDN w:val="0"/>
        <w:spacing w:line="240" w:lineRule="auto"/>
        <w:ind w:left="4095" w:leftChars="1950"/>
        <w:jc w:val="left"/>
        <w:rPr>
          <w:rFonts w:hint="eastAsia" w:ascii="仿宋_GB2312" w:hAnsi="仿宋" w:eastAsia="仿宋_GB2312"/>
          <w:color w:val="auto"/>
          <w:kern w:val="0"/>
          <w:sz w:val="24"/>
          <w:lang w:val="zh-CN"/>
        </w:rPr>
      </w:pPr>
    </w:p>
    <w:p w14:paraId="0FD61DEB">
      <w:pPr>
        <w:spacing w:line="240" w:lineRule="auto"/>
        <w:jc w:val="center"/>
        <w:rPr>
          <w:rFonts w:hint="eastAsia" w:ascii="方正小标宋简体" w:hAnsi="方正小标宋简体" w:eastAsia="方正小标宋简体"/>
          <w:bCs/>
          <w:color w:val="auto"/>
          <w:sz w:val="44"/>
          <w:szCs w:val="44"/>
        </w:rPr>
      </w:pPr>
      <w:r>
        <w:rPr>
          <w:rFonts w:hint="eastAsia" w:ascii="方正小标宋简体" w:hAnsi="方正小标宋简体" w:eastAsia="方正小标宋简体"/>
          <w:bCs/>
          <w:color w:val="auto"/>
          <w:sz w:val="44"/>
          <w:szCs w:val="44"/>
        </w:rPr>
        <w:t>法定代表人证明书</w:t>
      </w:r>
    </w:p>
    <w:p w14:paraId="2071FB08">
      <w:pPr>
        <w:spacing w:line="240" w:lineRule="auto"/>
        <w:ind w:left="540"/>
        <w:contextualSpacing/>
        <w:rPr>
          <w:rFonts w:ascii="仿宋_GB2312" w:hAnsi="仿宋_GB2312" w:eastAsia="仿宋_GB2312"/>
          <w:color w:val="auto"/>
          <w:sz w:val="32"/>
          <w:szCs w:val="32"/>
        </w:rPr>
      </w:pPr>
    </w:p>
    <w:p w14:paraId="2C26C81A">
      <w:pPr>
        <w:spacing w:line="240" w:lineRule="auto"/>
        <w:ind w:left="540"/>
        <w:contextualSpacing/>
        <w:rPr>
          <w:rFonts w:hint="eastAsia" w:ascii="宋体" w:hAnsi="宋体"/>
          <w:color w:val="auto"/>
          <w:sz w:val="24"/>
        </w:rPr>
      </w:pPr>
      <w:r>
        <w:rPr>
          <w:rFonts w:hint="eastAsia" w:ascii="宋体" w:hAnsi="宋体"/>
          <w:color w:val="auto"/>
          <w:sz w:val="24"/>
        </w:rPr>
        <w:t>供应商名称：</w:t>
      </w:r>
      <w:r>
        <w:rPr>
          <w:rFonts w:hint="eastAsia" w:ascii="宋体" w:hAnsi="宋体"/>
          <w:color w:val="auto"/>
          <w:sz w:val="24"/>
          <w:u w:val="single"/>
        </w:rPr>
        <w:t xml:space="preserve">                                                        </w:t>
      </w:r>
    </w:p>
    <w:p w14:paraId="3DBEFB35">
      <w:pPr>
        <w:spacing w:line="240" w:lineRule="auto"/>
        <w:ind w:left="540"/>
        <w:contextualSpacing/>
        <w:rPr>
          <w:rFonts w:hint="eastAsia" w:ascii="宋体" w:hAnsi="宋体"/>
          <w:color w:val="auto"/>
          <w:sz w:val="24"/>
        </w:rPr>
      </w:pPr>
      <w:r>
        <w:rPr>
          <w:rFonts w:hint="eastAsia" w:ascii="宋体" w:hAnsi="宋体"/>
          <w:color w:val="auto"/>
          <w:sz w:val="24"/>
        </w:rPr>
        <w:t>地    址：</w:t>
      </w:r>
      <w:r>
        <w:rPr>
          <w:rFonts w:hint="eastAsia" w:ascii="宋体" w:hAnsi="宋体"/>
          <w:color w:val="auto"/>
          <w:sz w:val="24"/>
          <w:u w:val="single"/>
        </w:rPr>
        <w:t xml:space="preserve">                                                        </w:t>
      </w:r>
    </w:p>
    <w:p w14:paraId="43A0F851">
      <w:pPr>
        <w:spacing w:line="240" w:lineRule="auto"/>
        <w:ind w:left="540"/>
        <w:contextualSpacing/>
        <w:rPr>
          <w:rFonts w:hint="eastAsia" w:ascii="宋体" w:hAnsi="宋体"/>
          <w:color w:val="auto"/>
          <w:sz w:val="24"/>
        </w:rPr>
      </w:pPr>
      <w:r>
        <w:rPr>
          <w:rFonts w:hint="eastAsia" w:ascii="宋体" w:hAnsi="宋体"/>
          <w:color w:val="auto"/>
          <w:sz w:val="24"/>
        </w:rPr>
        <w:t>姓    名：</w:t>
      </w:r>
      <w:r>
        <w:rPr>
          <w:rFonts w:hint="eastAsia" w:ascii="宋体" w:hAnsi="宋体"/>
          <w:color w:val="auto"/>
          <w:sz w:val="24"/>
          <w:u w:val="single"/>
        </w:rPr>
        <w:t xml:space="preserve">                </w:t>
      </w:r>
      <w:r>
        <w:rPr>
          <w:rFonts w:hint="eastAsia" w:ascii="宋体" w:hAnsi="宋体"/>
          <w:color w:val="auto"/>
          <w:sz w:val="24"/>
        </w:rPr>
        <w:t>性     别：</w:t>
      </w:r>
      <w:r>
        <w:rPr>
          <w:rFonts w:hint="eastAsia" w:ascii="宋体" w:hAnsi="宋体"/>
          <w:color w:val="auto"/>
          <w:sz w:val="24"/>
          <w:u w:val="single"/>
        </w:rPr>
        <w:t xml:space="preserve">                </w:t>
      </w:r>
    </w:p>
    <w:p w14:paraId="508310B3">
      <w:pPr>
        <w:spacing w:line="240" w:lineRule="auto"/>
        <w:ind w:left="540"/>
        <w:contextualSpacing/>
        <w:rPr>
          <w:rFonts w:hint="eastAsia" w:ascii="宋体" w:hAnsi="宋体"/>
          <w:color w:val="auto"/>
          <w:sz w:val="24"/>
        </w:rPr>
      </w:pPr>
      <w:r>
        <w:rPr>
          <w:rFonts w:hint="eastAsia" w:ascii="宋体" w:hAnsi="宋体"/>
          <w:color w:val="auto"/>
          <w:sz w:val="24"/>
        </w:rPr>
        <w:t>年    龄：</w:t>
      </w:r>
      <w:r>
        <w:rPr>
          <w:rFonts w:hint="eastAsia" w:ascii="宋体" w:hAnsi="宋体"/>
          <w:color w:val="auto"/>
          <w:sz w:val="24"/>
          <w:u w:val="single"/>
        </w:rPr>
        <w:t xml:space="preserve">                </w:t>
      </w:r>
      <w:r>
        <w:rPr>
          <w:rFonts w:hint="eastAsia" w:ascii="宋体" w:hAnsi="宋体"/>
          <w:color w:val="auto"/>
          <w:sz w:val="24"/>
        </w:rPr>
        <w:t>职     务：</w:t>
      </w:r>
      <w:r>
        <w:rPr>
          <w:rFonts w:hint="eastAsia" w:ascii="宋体" w:hAnsi="宋体"/>
          <w:color w:val="auto"/>
          <w:sz w:val="24"/>
          <w:u w:val="single"/>
        </w:rPr>
        <w:t xml:space="preserve">                </w:t>
      </w:r>
    </w:p>
    <w:p w14:paraId="52EDA5AF">
      <w:pPr>
        <w:spacing w:line="240" w:lineRule="auto"/>
        <w:ind w:left="540"/>
        <w:contextualSpacing/>
        <w:rPr>
          <w:rFonts w:hint="eastAsia" w:ascii="宋体" w:hAnsi="宋体"/>
          <w:color w:val="auto"/>
          <w:sz w:val="24"/>
        </w:rPr>
      </w:pPr>
      <w:r>
        <w:rPr>
          <w:rFonts w:hint="eastAsia" w:ascii="宋体" w:hAnsi="宋体"/>
          <w:color w:val="auto"/>
          <w:sz w:val="24"/>
        </w:rPr>
        <w:t>身份证号码：</w:t>
      </w:r>
      <w:r>
        <w:rPr>
          <w:rFonts w:hint="eastAsia" w:ascii="宋体" w:hAnsi="宋体"/>
          <w:color w:val="auto"/>
          <w:sz w:val="24"/>
          <w:u w:val="single"/>
        </w:rPr>
        <w:t xml:space="preserve">                                        </w:t>
      </w:r>
    </w:p>
    <w:p w14:paraId="6436B479">
      <w:pPr>
        <w:spacing w:line="240" w:lineRule="auto"/>
        <w:ind w:firstLine="480" w:firstLineChars="200"/>
        <w:contextualSpacing/>
        <w:rPr>
          <w:rFonts w:hint="eastAsia" w:ascii="宋体" w:hAnsi="宋体"/>
          <w:color w:val="auto"/>
          <w:sz w:val="24"/>
        </w:rPr>
      </w:pPr>
      <w:r>
        <w:rPr>
          <w:rFonts w:hint="eastAsia" w:ascii="宋体" w:hAnsi="宋体"/>
          <w:color w:val="auto"/>
          <w:sz w:val="24"/>
        </w:rPr>
        <w:t>系</w:t>
      </w:r>
      <w:r>
        <w:rPr>
          <w:rFonts w:hint="eastAsia" w:ascii="宋体" w:hAnsi="宋体"/>
          <w:color w:val="auto"/>
          <w:sz w:val="24"/>
          <w:u w:val="single"/>
        </w:rPr>
        <w:t>（供应商名称）</w:t>
      </w:r>
      <w:r>
        <w:rPr>
          <w:rFonts w:hint="eastAsia" w:ascii="宋体" w:hAnsi="宋体"/>
          <w:color w:val="auto"/>
          <w:sz w:val="24"/>
        </w:rPr>
        <w:t>的法定代表人。</w:t>
      </w:r>
    </w:p>
    <w:p w14:paraId="5DF7745F">
      <w:pPr>
        <w:spacing w:line="240" w:lineRule="auto"/>
        <w:ind w:left="540"/>
        <w:contextualSpacing/>
        <w:rPr>
          <w:rFonts w:hint="eastAsia" w:ascii="宋体" w:hAnsi="宋体"/>
          <w:color w:val="auto"/>
          <w:sz w:val="24"/>
        </w:rPr>
      </w:pPr>
      <w:r>
        <w:rPr>
          <w:rFonts w:hint="eastAsia" w:ascii="宋体" w:hAnsi="宋体"/>
          <w:color w:val="auto"/>
          <w:sz w:val="24"/>
        </w:rPr>
        <w:t>特此证明。</w:t>
      </w:r>
    </w:p>
    <w:p w14:paraId="71592C0C">
      <w:pPr>
        <w:spacing w:line="240" w:lineRule="auto"/>
        <w:ind w:left="540"/>
        <w:contextualSpacing/>
        <w:rPr>
          <w:rFonts w:ascii="宋体" w:hAnsi="宋体"/>
          <w:color w:val="auto"/>
          <w:sz w:val="24"/>
        </w:rPr>
      </w:pPr>
    </w:p>
    <w:p w14:paraId="36387831">
      <w:pPr>
        <w:spacing w:line="240" w:lineRule="auto"/>
        <w:ind w:left="540"/>
        <w:contextualSpacing/>
        <w:rPr>
          <w:rFonts w:ascii="宋体" w:hAnsi="宋体"/>
          <w:color w:val="auto"/>
          <w:sz w:val="24"/>
        </w:rPr>
      </w:pPr>
    </w:p>
    <w:p w14:paraId="128FA67D">
      <w:pPr>
        <w:spacing w:line="240" w:lineRule="auto"/>
        <w:ind w:left="540"/>
        <w:contextualSpacing/>
        <w:rPr>
          <w:rFonts w:ascii="宋体" w:hAnsi="宋体"/>
          <w:color w:val="auto"/>
          <w:sz w:val="24"/>
        </w:rPr>
      </w:pPr>
    </w:p>
    <w:p w14:paraId="314D36C3">
      <w:pPr>
        <w:spacing w:line="240" w:lineRule="auto"/>
        <w:ind w:left="540"/>
        <w:contextualSpacing/>
        <w:rPr>
          <w:rFonts w:hint="eastAsia" w:ascii="宋体" w:hAnsi="宋体"/>
          <w:color w:val="auto"/>
          <w:sz w:val="24"/>
        </w:rPr>
      </w:pPr>
      <w:r>
        <w:rPr>
          <w:rFonts w:hint="eastAsia" w:ascii="宋体" w:hAnsi="宋体"/>
          <w:color w:val="auto"/>
          <w:sz w:val="24"/>
        </w:rPr>
        <w:t>附件：法定代表人有效身份证正反面复印件</w:t>
      </w:r>
    </w:p>
    <w:p w14:paraId="1BEEE61D">
      <w:pPr>
        <w:spacing w:line="240" w:lineRule="auto"/>
        <w:ind w:left="540"/>
        <w:contextualSpacing/>
        <w:rPr>
          <w:rFonts w:ascii="宋体" w:hAnsi="宋体"/>
          <w:color w:val="auto"/>
          <w:sz w:val="24"/>
        </w:rPr>
      </w:pPr>
    </w:p>
    <w:p w14:paraId="20E78137">
      <w:pPr>
        <w:autoSpaceDE w:val="0"/>
        <w:autoSpaceDN w:val="0"/>
        <w:spacing w:line="240" w:lineRule="auto"/>
        <w:ind w:left="4335" w:leftChars="1950" w:hanging="240" w:hangingChars="100"/>
        <w:rPr>
          <w:rFonts w:hint="eastAsia" w:ascii="仿宋_GB2312" w:hAnsi="仿宋" w:eastAsia="仿宋_GB2312"/>
          <w:color w:val="auto"/>
          <w:kern w:val="0"/>
          <w:sz w:val="24"/>
        </w:rPr>
      </w:pPr>
      <w:r>
        <w:rPr>
          <w:rFonts w:hint="eastAsia" w:ascii="仿宋_GB2312" w:hAnsi="仿宋" w:eastAsia="仿宋_GB2312"/>
          <w:color w:val="auto"/>
          <w:kern w:val="0"/>
          <w:sz w:val="24"/>
        </w:rPr>
        <w:t>供</w:t>
      </w:r>
      <w:r>
        <w:rPr>
          <w:rFonts w:hint="eastAsia" w:ascii="宋体" w:hAnsi="宋体"/>
          <w:color w:val="auto"/>
          <w:szCs w:val="21"/>
        </w:rPr>
        <w:t>应商名称</w:t>
      </w:r>
      <w:r>
        <w:rPr>
          <w:rFonts w:hint="eastAsia" w:ascii="宋体" w:hAnsi="宋体"/>
          <w:color w:val="auto"/>
          <w:kern w:val="0"/>
          <w:szCs w:val="21"/>
        </w:rPr>
        <w:t>（电子签章）</w:t>
      </w:r>
      <w:r>
        <w:rPr>
          <w:rFonts w:hint="eastAsia" w:ascii="宋体" w:hAnsi="宋体"/>
          <w:color w:val="auto"/>
          <w:szCs w:val="21"/>
        </w:rPr>
        <w:t>：</w:t>
      </w:r>
    </w:p>
    <w:p w14:paraId="04E270D7">
      <w:pPr>
        <w:autoSpaceDE w:val="0"/>
        <w:autoSpaceDN w:val="0"/>
        <w:spacing w:line="240" w:lineRule="auto"/>
        <w:ind w:left="4305" w:leftChars="1950" w:hanging="210" w:hangingChars="100"/>
        <w:rPr>
          <w:rFonts w:hint="eastAsia" w:ascii="宋体" w:hAnsi="宋体"/>
          <w:color w:val="auto"/>
          <w:szCs w:val="21"/>
          <w:lang w:val="zh-CN"/>
        </w:rPr>
      </w:pPr>
      <w:r>
        <w:rPr>
          <w:rFonts w:hint="eastAsia" w:ascii="宋体" w:hAnsi="宋体"/>
          <w:color w:val="auto"/>
          <w:szCs w:val="21"/>
          <w:lang w:val="zh-CN"/>
        </w:rPr>
        <w:t xml:space="preserve">                                                   日期：  年  月   日</w:t>
      </w:r>
    </w:p>
    <w:p w14:paraId="7CA3E882">
      <w:pPr>
        <w:spacing w:line="240" w:lineRule="auto"/>
        <w:contextualSpacing/>
        <w:jc w:val="left"/>
        <w:rPr>
          <w:rFonts w:ascii="宋体" w:hAnsi="宋体"/>
          <w:color w:val="auto"/>
          <w:sz w:val="24"/>
        </w:rPr>
      </w:pPr>
    </w:p>
    <w:p w14:paraId="70CAA2A5">
      <w:pPr>
        <w:spacing w:line="240" w:lineRule="auto"/>
        <w:contextualSpacing/>
        <w:jc w:val="left"/>
        <w:rPr>
          <w:rFonts w:hint="eastAsia" w:ascii="宋体" w:hAnsi="宋体"/>
          <w:color w:val="auto"/>
          <w:sz w:val="24"/>
        </w:rPr>
      </w:pPr>
      <w:r>
        <w:rPr>
          <w:rFonts w:hint="eastAsia" w:ascii="宋体" w:hAnsi="宋体"/>
          <w:color w:val="auto"/>
          <w:sz w:val="24"/>
        </w:rPr>
        <w:t>注：1</w:t>
      </w:r>
      <w:r>
        <w:rPr>
          <w:rFonts w:ascii="宋体" w:hAnsi="宋体"/>
          <w:color w:val="auto"/>
          <w:sz w:val="24"/>
        </w:rPr>
        <w:t>.</w:t>
      </w:r>
      <w:r>
        <w:rPr>
          <w:rFonts w:hint="eastAsia" w:ascii="宋体" w:hAnsi="宋体"/>
          <w:color w:val="auto"/>
          <w:sz w:val="24"/>
        </w:rPr>
        <w:t>自然人竞标的无需提供，联合体竞标的只需牵头人出具。</w:t>
      </w:r>
    </w:p>
    <w:p w14:paraId="2C6856AC">
      <w:pPr>
        <w:spacing w:line="240" w:lineRule="auto"/>
        <w:ind w:firstLine="480" w:firstLineChars="200"/>
        <w:contextualSpacing/>
        <w:jc w:val="left"/>
        <w:rPr>
          <w:rFonts w:hint="eastAsia" w:ascii="宋体" w:hAnsi="宋体"/>
          <w:color w:val="auto"/>
          <w:sz w:val="24"/>
        </w:rPr>
        <w:sectPr>
          <w:pgSz w:w="11911" w:h="16838"/>
          <w:pgMar w:top="1134" w:right="1134" w:bottom="1134" w:left="1134" w:header="720" w:footer="720" w:gutter="0"/>
          <w:cols w:space="720" w:num="1"/>
          <w:titlePg/>
          <w:docGrid w:linePitch="0" w:charSpace="0"/>
        </w:sectPr>
      </w:pPr>
      <w:r>
        <w:rPr>
          <w:rFonts w:hint="eastAsia" w:ascii="宋体" w:hAnsi="宋体"/>
          <w:color w:val="auto"/>
          <w:sz w:val="24"/>
        </w:rPr>
        <w:t>2</w:t>
      </w:r>
      <w:r>
        <w:rPr>
          <w:rFonts w:ascii="宋体" w:hAnsi="宋体"/>
          <w:color w:val="auto"/>
          <w:sz w:val="24"/>
        </w:rPr>
        <w:t>.</w:t>
      </w:r>
      <w:r>
        <w:rPr>
          <w:rFonts w:hint="eastAsia" w:ascii="宋体" w:hAnsi="宋体"/>
          <w:color w:val="auto"/>
          <w:sz w:val="24"/>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AB58601">
      <w:pPr>
        <w:spacing w:line="240" w:lineRule="auto"/>
        <w:jc w:val="left"/>
        <w:rPr>
          <w:rFonts w:ascii="方正小标宋简体" w:hAnsi="方正小标宋简体" w:eastAsia="方正小标宋简体"/>
          <w:color w:val="auto"/>
          <w:sz w:val="44"/>
          <w:szCs w:val="44"/>
        </w:rPr>
      </w:pPr>
    </w:p>
    <w:p w14:paraId="2FE8541D">
      <w:pPr>
        <w:spacing w:line="240" w:lineRule="auto"/>
        <w:jc w:val="center"/>
        <w:rPr>
          <w:rFonts w:hint="eastAsia" w:ascii="方正小标宋简体" w:hAnsi="方正小标宋简体" w:eastAsia="方正小标宋简体"/>
          <w:color w:val="auto"/>
          <w:sz w:val="44"/>
          <w:szCs w:val="44"/>
        </w:rPr>
      </w:pPr>
      <w:r>
        <w:rPr>
          <w:rFonts w:hint="eastAsia" w:ascii="方正小标宋简体" w:hAnsi="方正小标宋简体" w:eastAsia="方正小标宋简体"/>
          <w:color w:val="auto"/>
          <w:sz w:val="44"/>
          <w:szCs w:val="44"/>
        </w:rPr>
        <w:t>授权委托书（非联合体竞标格式）</w:t>
      </w:r>
    </w:p>
    <w:p w14:paraId="6A9A9455">
      <w:pPr>
        <w:spacing w:line="240" w:lineRule="auto"/>
        <w:jc w:val="center"/>
        <w:rPr>
          <w:rFonts w:hint="eastAsia" w:ascii="方正小标宋简体" w:hAnsi="方正小标宋简体" w:eastAsia="方正小标宋简体"/>
          <w:color w:val="auto"/>
          <w:sz w:val="44"/>
          <w:szCs w:val="44"/>
        </w:rPr>
      </w:pPr>
      <w:r>
        <w:rPr>
          <w:rFonts w:hint="eastAsia" w:ascii="方正小标宋简体" w:hAnsi="方正小标宋简体" w:eastAsia="方正小标宋简体"/>
          <w:color w:val="auto"/>
          <w:sz w:val="44"/>
          <w:szCs w:val="44"/>
        </w:rPr>
        <w:t>（如有委托时）</w:t>
      </w:r>
    </w:p>
    <w:p w14:paraId="3B860BA2">
      <w:pPr>
        <w:spacing w:line="240" w:lineRule="auto"/>
        <w:rPr>
          <w:rFonts w:ascii="仿宋_GB2312" w:hAnsi="仿宋_GB2312" w:eastAsia="仿宋_GB2312"/>
          <w:color w:val="auto"/>
          <w:sz w:val="32"/>
          <w:szCs w:val="32"/>
        </w:rPr>
      </w:pPr>
    </w:p>
    <w:p w14:paraId="6CB0F0B8">
      <w:pPr>
        <w:spacing w:line="240" w:lineRule="auto"/>
        <w:rPr>
          <w:rFonts w:hint="eastAsia" w:ascii="宋体" w:hAnsi="宋体"/>
          <w:color w:val="auto"/>
          <w:sz w:val="24"/>
        </w:rPr>
      </w:pPr>
      <w:r>
        <w:rPr>
          <w:rFonts w:hint="eastAsia" w:ascii="宋体" w:hAnsi="宋体"/>
          <w:color w:val="auto"/>
          <w:sz w:val="24"/>
        </w:rPr>
        <w:t>致：</w:t>
      </w:r>
      <w:r>
        <w:rPr>
          <w:rFonts w:hint="eastAsia" w:ascii="宋体" w:hAnsi="宋体"/>
          <w:color w:val="auto"/>
          <w:sz w:val="24"/>
          <w:u w:val="single"/>
        </w:rPr>
        <w:t>（采购人名称）</w:t>
      </w:r>
      <w:r>
        <w:rPr>
          <w:rFonts w:hint="eastAsia" w:ascii="宋体" w:hAnsi="宋体"/>
          <w:color w:val="auto"/>
          <w:sz w:val="24"/>
        </w:rPr>
        <w:t>：</w:t>
      </w:r>
    </w:p>
    <w:p w14:paraId="29F276C1">
      <w:pPr>
        <w:spacing w:line="240" w:lineRule="auto"/>
        <w:ind w:firstLine="480" w:firstLineChars="200"/>
        <w:rPr>
          <w:rFonts w:hint="eastAsia" w:ascii="宋体" w:hAnsi="宋体"/>
          <w:color w:val="auto"/>
          <w:sz w:val="24"/>
        </w:rPr>
      </w:pPr>
      <w:r>
        <w:rPr>
          <w:rFonts w:hint="eastAsia" w:ascii="宋体" w:hAnsi="宋体"/>
          <w:color w:val="auto"/>
          <w:sz w:val="24"/>
        </w:rPr>
        <w:t>我</w:t>
      </w:r>
      <w:r>
        <w:rPr>
          <w:rFonts w:hint="eastAsia" w:ascii="宋体" w:hAnsi="宋体"/>
          <w:color w:val="auto"/>
          <w:sz w:val="24"/>
          <w:u w:val="single"/>
        </w:rPr>
        <w:t xml:space="preserve">  （姓名）  </w:t>
      </w:r>
      <w:r>
        <w:rPr>
          <w:rFonts w:hint="eastAsia" w:ascii="宋体" w:hAnsi="宋体"/>
          <w:color w:val="auto"/>
          <w:sz w:val="24"/>
        </w:rPr>
        <w:t>系</w:t>
      </w:r>
      <w:r>
        <w:rPr>
          <w:rFonts w:hint="eastAsia" w:ascii="宋体" w:hAnsi="宋体"/>
          <w:color w:val="auto"/>
          <w:sz w:val="24"/>
          <w:u w:val="single"/>
        </w:rPr>
        <w:t xml:space="preserve">  （供应商名称）  </w:t>
      </w:r>
      <w:r>
        <w:rPr>
          <w:rFonts w:hint="eastAsia" w:ascii="宋体" w:hAnsi="宋体"/>
          <w:color w:val="auto"/>
          <w:sz w:val="24"/>
        </w:rPr>
        <w:t>的（</w:t>
      </w:r>
      <w:r>
        <w:rPr>
          <w:rFonts w:hint="eastAsia" w:ascii="宋体" w:hAnsi="宋体"/>
          <w:color w:val="auto"/>
          <w:sz w:val="24"/>
          <w:u w:val="single"/>
        </w:rPr>
        <w:t>□法定代表人/□负责人/□自然人本人</w:t>
      </w:r>
      <w:r>
        <w:rPr>
          <w:rFonts w:hint="eastAsia" w:ascii="宋体" w:hAnsi="宋体"/>
          <w:color w:val="auto"/>
          <w:sz w:val="24"/>
        </w:rPr>
        <w:t>），现授权</w:t>
      </w:r>
      <w:r>
        <w:rPr>
          <w:rFonts w:hint="eastAsia" w:ascii="宋体" w:hAnsi="宋体"/>
          <w:color w:val="auto"/>
          <w:sz w:val="24"/>
          <w:u w:val="single"/>
        </w:rPr>
        <w:t xml:space="preserve"> （姓名） </w:t>
      </w:r>
      <w:r>
        <w:rPr>
          <w:rFonts w:hint="eastAsia" w:ascii="宋体" w:hAnsi="宋体"/>
          <w:color w:val="auto"/>
          <w:sz w:val="24"/>
        </w:rPr>
        <w:t>以我方的名义参加</w:t>
      </w:r>
      <w:r>
        <w:rPr>
          <w:rFonts w:hint="eastAsia" w:ascii="宋体" w:hAnsi="宋体"/>
          <w:color w:val="auto"/>
          <w:sz w:val="24"/>
          <w:u w:val="single"/>
        </w:rPr>
        <w:t xml:space="preserve">              </w:t>
      </w:r>
      <w:r>
        <w:rPr>
          <w:rFonts w:hint="eastAsia" w:ascii="宋体" w:hAnsi="宋体"/>
          <w:color w:val="auto"/>
          <w:sz w:val="24"/>
        </w:rPr>
        <w:t>项目的竞标活动，并代表我方全权办理针对上述项目的所有采购程序和环节的具体事务和签署相关文件。</w:t>
      </w:r>
    </w:p>
    <w:p w14:paraId="5303D9B0">
      <w:pPr>
        <w:spacing w:line="240" w:lineRule="auto"/>
        <w:rPr>
          <w:rFonts w:hint="eastAsia" w:ascii="宋体" w:hAnsi="宋体"/>
          <w:color w:val="auto"/>
          <w:sz w:val="24"/>
        </w:rPr>
      </w:pPr>
      <w:r>
        <w:rPr>
          <w:rFonts w:hint="eastAsia" w:ascii="宋体" w:hAnsi="宋体"/>
          <w:color w:val="auto"/>
          <w:sz w:val="24"/>
        </w:rPr>
        <w:t xml:space="preserve">    我方对委托代理人的签字事项负全部责任。</w:t>
      </w:r>
    </w:p>
    <w:p w14:paraId="74AF31FF">
      <w:pPr>
        <w:spacing w:line="240" w:lineRule="auto"/>
        <w:ind w:firstLine="480" w:firstLineChars="200"/>
        <w:rPr>
          <w:rFonts w:hint="eastAsia" w:ascii="宋体" w:hAnsi="宋体"/>
          <w:color w:val="auto"/>
          <w:sz w:val="24"/>
        </w:rPr>
      </w:pPr>
      <w:r>
        <w:rPr>
          <w:rFonts w:hint="eastAsia" w:ascii="宋体" w:hAnsi="宋体"/>
          <w:color w:val="auto"/>
          <w:sz w:val="24"/>
        </w:rPr>
        <w:t>本授权书自签署之日起生效，在撤销授权的书面通知以前，本授权书一直有效。委托代理人在授权书有效期内签署的所有文件不因授权的撤销而失效。</w:t>
      </w:r>
    </w:p>
    <w:p w14:paraId="0014B5C7">
      <w:pPr>
        <w:spacing w:line="240" w:lineRule="auto"/>
        <w:ind w:firstLine="480" w:firstLineChars="200"/>
        <w:rPr>
          <w:rFonts w:hint="eastAsia" w:ascii="宋体" w:hAnsi="宋体"/>
          <w:color w:val="auto"/>
          <w:sz w:val="24"/>
        </w:rPr>
      </w:pPr>
      <w:r>
        <w:rPr>
          <w:rFonts w:hint="eastAsia" w:ascii="宋体" w:hAnsi="宋体"/>
          <w:color w:val="auto"/>
          <w:sz w:val="24"/>
        </w:rPr>
        <w:t>委托代理人无转委托权，特此委托。</w:t>
      </w:r>
    </w:p>
    <w:p w14:paraId="78EB57B1">
      <w:pPr>
        <w:spacing w:line="240" w:lineRule="auto"/>
        <w:ind w:firstLine="480" w:firstLineChars="200"/>
        <w:rPr>
          <w:rFonts w:hint="eastAsia" w:ascii="宋体" w:hAnsi="宋体"/>
          <w:color w:val="auto"/>
          <w:sz w:val="24"/>
        </w:rPr>
      </w:pPr>
      <w:r>
        <w:rPr>
          <w:rFonts w:hint="eastAsia" w:ascii="宋体" w:hAnsi="宋体"/>
          <w:color w:val="auto"/>
          <w:sz w:val="24"/>
        </w:rPr>
        <w:t>附：法定代表人身份证明书及委托代理人有效身份证正反面复印件</w:t>
      </w:r>
    </w:p>
    <w:p w14:paraId="11E4B5EE">
      <w:pPr>
        <w:spacing w:line="240" w:lineRule="auto"/>
        <w:rPr>
          <w:rFonts w:ascii="宋体" w:hAnsi="宋体"/>
          <w:color w:val="auto"/>
          <w:sz w:val="24"/>
        </w:rPr>
      </w:pPr>
    </w:p>
    <w:p w14:paraId="184F70DA">
      <w:pPr>
        <w:spacing w:line="240" w:lineRule="auto"/>
        <w:rPr>
          <w:rFonts w:hint="eastAsia" w:ascii="宋体" w:hAnsi="宋体"/>
          <w:color w:val="auto"/>
          <w:sz w:val="24"/>
        </w:rPr>
      </w:pPr>
      <w:r>
        <w:rPr>
          <w:rFonts w:hint="eastAsia" w:ascii="宋体" w:hAnsi="宋体"/>
          <w:color w:val="auto"/>
          <w:sz w:val="24"/>
        </w:rPr>
        <w:t xml:space="preserve">委托代理人（签字）：         法定代表人（签字或盖章）：                    </w:t>
      </w:r>
    </w:p>
    <w:p w14:paraId="34FF4A94">
      <w:pPr>
        <w:spacing w:line="240" w:lineRule="auto"/>
        <w:rPr>
          <w:rFonts w:hint="eastAsia" w:ascii="宋体" w:hAnsi="宋体"/>
          <w:color w:val="auto"/>
          <w:sz w:val="24"/>
        </w:rPr>
      </w:pPr>
      <w:r>
        <w:rPr>
          <w:rFonts w:hint="eastAsia" w:ascii="宋体" w:hAnsi="宋体"/>
          <w:color w:val="auto"/>
          <w:sz w:val="24"/>
        </w:rPr>
        <w:t xml:space="preserve">委托代理人身份证号码：                              </w:t>
      </w:r>
    </w:p>
    <w:p w14:paraId="5100FE40">
      <w:pPr>
        <w:autoSpaceDE w:val="0"/>
        <w:autoSpaceDN w:val="0"/>
        <w:spacing w:line="240" w:lineRule="auto"/>
        <w:ind w:left="4335" w:leftChars="1950" w:hanging="240" w:hangingChars="100"/>
        <w:rPr>
          <w:rFonts w:hint="eastAsia" w:ascii="宋体" w:hAnsi="宋体"/>
          <w:color w:val="auto"/>
          <w:sz w:val="24"/>
        </w:rPr>
      </w:pPr>
      <w:r>
        <w:rPr>
          <w:rFonts w:hint="eastAsia" w:ascii="宋体" w:hAnsi="宋体"/>
          <w:color w:val="auto"/>
          <w:sz w:val="24"/>
        </w:rPr>
        <w:t xml:space="preserve">                                </w:t>
      </w:r>
    </w:p>
    <w:p w14:paraId="59CABAA1">
      <w:pPr>
        <w:autoSpaceDE w:val="0"/>
        <w:autoSpaceDN w:val="0"/>
        <w:spacing w:line="240" w:lineRule="auto"/>
        <w:ind w:left="4335" w:leftChars="1950" w:hanging="240" w:hangingChars="100"/>
        <w:rPr>
          <w:rFonts w:hint="eastAsia" w:ascii="宋体" w:hAnsi="宋体"/>
          <w:color w:val="auto"/>
          <w:sz w:val="24"/>
        </w:rPr>
      </w:pPr>
      <w:r>
        <w:rPr>
          <w:rFonts w:hint="eastAsia" w:ascii="宋体" w:hAnsi="宋体"/>
          <w:color w:val="auto"/>
          <w:sz w:val="24"/>
        </w:rPr>
        <w:t>供应商名称</w:t>
      </w:r>
      <w:r>
        <w:rPr>
          <w:rFonts w:hint="eastAsia" w:ascii="宋体" w:hAnsi="宋体"/>
          <w:color w:val="auto"/>
          <w:kern w:val="0"/>
          <w:sz w:val="24"/>
        </w:rPr>
        <w:t>（电子签章）</w:t>
      </w:r>
      <w:r>
        <w:rPr>
          <w:rFonts w:hint="eastAsia" w:ascii="宋体" w:hAnsi="宋体"/>
          <w:color w:val="auto"/>
          <w:sz w:val="24"/>
        </w:rPr>
        <w:t>：</w:t>
      </w:r>
    </w:p>
    <w:p w14:paraId="3446C302">
      <w:pPr>
        <w:spacing w:line="240" w:lineRule="auto"/>
        <w:ind w:firstLine="4080" w:firstLineChars="1700"/>
        <w:rPr>
          <w:rFonts w:hint="eastAsia" w:ascii="宋体" w:hAnsi="宋体"/>
          <w:color w:val="auto"/>
          <w:sz w:val="24"/>
          <w:lang w:val="zh-CN"/>
        </w:rPr>
      </w:pPr>
      <w:r>
        <w:rPr>
          <w:rFonts w:hint="eastAsia" w:ascii="宋体" w:hAnsi="宋体"/>
          <w:color w:val="auto"/>
          <w:sz w:val="24"/>
          <w:lang w:val="zh-CN"/>
        </w:rPr>
        <w:t>日期：  年  月   日</w:t>
      </w:r>
    </w:p>
    <w:p w14:paraId="5403DADF">
      <w:pPr>
        <w:spacing w:line="240" w:lineRule="auto"/>
        <w:ind w:firstLine="4080" w:firstLineChars="1700"/>
        <w:rPr>
          <w:rFonts w:hint="eastAsia" w:ascii="仿宋_GB2312" w:hAnsi="仿宋" w:eastAsia="仿宋_GB2312"/>
          <w:color w:val="auto"/>
          <w:kern w:val="0"/>
          <w:sz w:val="24"/>
          <w:lang w:val="zh-CN"/>
        </w:rPr>
      </w:pPr>
      <w:r>
        <w:rPr>
          <w:rFonts w:hint="eastAsia" w:ascii="仿宋_GB2312" w:hAnsi="仿宋" w:eastAsia="仿宋_GB2312"/>
          <w:color w:val="auto"/>
          <w:kern w:val="0"/>
          <w:sz w:val="24"/>
          <w:lang w:val="zh-CN"/>
        </w:rPr>
        <w:t xml:space="preserve"> </w:t>
      </w:r>
    </w:p>
    <w:p w14:paraId="59783591">
      <w:pPr>
        <w:spacing w:line="240" w:lineRule="auto"/>
        <w:rPr>
          <w:rFonts w:hint="eastAsia" w:ascii="宋体" w:hAnsi="宋体"/>
          <w:color w:val="auto"/>
          <w:sz w:val="24"/>
        </w:rPr>
      </w:pPr>
      <w:r>
        <w:rPr>
          <w:rFonts w:hint="eastAsia" w:ascii="宋体" w:hAnsi="宋体"/>
          <w:color w:val="auto"/>
          <w:sz w:val="24"/>
        </w:rPr>
        <w:t>注：1. 法定代表人必须在授权委托书上亲笔签字或盖章，委托代理人必须在授权委托书上亲笔签字，</w:t>
      </w:r>
      <w:r>
        <w:rPr>
          <w:rFonts w:hint="eastAsia" w:ascii="宋体" w:hAnsi="宋体"/>
          <w:bCs/>
          <w:color w:val="auto"/>
          <w:sz w:val="24"/>
        </w:rPr>
        <w:t>否则其响应文件按无效响应处理。</w:t>
      </w:r>
    </w:p>
    <w:p w14:paraId="13DD74FB">
      <w:pPr>
        <w:spacing w:line="240" w:lineRule="auto"/>
        <w:ind w:firstLine="480" w:firstLineChars="200"/>
        <w:jc w:val="left"/>
        <w:rPr>
          <w:rFonts w:ascii="宋体" w:hAnsi="宋体"/>
          <w:color w:val="auto"/>
          <w:sz w:val="24"/>
        </w:rPr>
      </w:pPr>
      <w:r>
        <w:rPr>
          <w:rFonts w:ascii="宋体" w:hAnsi="宋体"/>
          <w:color w:val="auto"/>
          <w:sz w:val="24"/>
        </w:rPr>
        <w:t>2.</w:t>
      </w:r>
      <w:r>
        <w:rPr>
          <w:rFonts w:hint="eastAsia" w:ascii="宋体" w:hAnsi="宋体"/>
          <w:color w:val="auto"/>
          <w:sz w:val="24"/>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0CE8A45">
      <w:pPr>
        <w:spacing w:line="240" w:lineRule="auto"/>
        <w:ind w:firstLine="480" w:firstLineChars="200"/>
        <w:jc w:val="left"/>
        <w:rPr>
          <w:rFonts w:hint="eastAsia" w:ascii="宋体" w:hAnsi="宋体"/>
          <w:color w:val="auto"/>
          <w:sz w:val="24"/>
        </w:rPr>
      </w:pPr>
      <w:r>
        <w:rPr>
          <w:rFonts w:hint="eastAsia" w:ascii="宋体" w:hAnsi="宋体"/>
          <w:color w:val="auto"/>
          <w:sz w:val="24"/>
        </w:rPr>
        <w:t>3</w:t>
      </w:r>
      <w:r>
        <w:rPr>
          <w:rFonts w:ascii="宋体" w:hAnsi="宋体"/>
          <w:color w:val="auto"/>
          <w:sz w:val="24"/>
        </w:rPr>
        <w:t>.</w:t>
      </w:r>
      <w:r>
        <w:rPr>
          <w:rFonts w:hint="eastAsia" w:ascii="宋体" w:hAnsi="宋体"/>
          <w:color w:val="auto"/>
          <w:sz w:val="24"/>
        </w:rPr>
        <w:t xml:space="preserve"> 法人、其他组织竞标时“我方”是指“我单位”，自然人竞标时“我方”是指“本人”。</w:t>
      </w:r>
    </w:p>
    <w:p w14:paraId="3B72727A">
      <w:pPr>
        <w:spacing w:line="240" w:lineRule="auto"/>
        <w:ind w:firstLine="480" w:firstLineChars="200"/>
        <w:jc w:val="left"/>
        <w:rPr>
          <w:rFonts w:ascii="宋体" w:hAnsi="宋体"/>
          <w:color w:val="auto"/>
          <w:sz w:val="24"/>
        </w:rPr>
      </w:pPr>
      <w:r>
        <w:rPr>
          <w:rFonts w:ascii="宋体" w:hAnsi="宋体"/>
          <w:color w:val="auto"/>
          <w:sz w:val="24"/>
        </w:rPr>
        <w:t>4.</w:t>
      </w:r>
      <w:r>
        <w:rPr>
          <w:rFonts w:hint="eastAsia" w:ascii="宋体" w:hAnsi="宋体"/>
          <w:color w:val="auto"/>
          <w:sz w:val="24"/>
        </w:rPr>
        <w:t>附法定代表人有效身份证正反面复印件及委托代理人身份证正反面。</w:t>
      </w:r>
    </w:p>
    <w:p w14:paraId="64106953">
      <w:pPr>
        <w:spacing w:line="240" w:lineRule="auto"/>
        <w:jc w:val="center"/>
        <w:rPr>
          <w:rFonts w:hint="eastAsia" w:ascii="方正小标宋简体" w:hAnsi="方正小标宋简体" w:eastAsia="方正小标宋简体"/>
          <w:color w:val="auto"/>
          <w:sz w:val="44"/>
          <w:szCs w:val="44"/>
        </w:rPr>
      </w:pPr>
    </w:p>
    <w:p w14:paraId="4DDE6966">
      <w:pPr>
        <w:spacing w:line="240" w:lineRule="auto"/>
        <w:jc w:val="center"/>
        <w:rPr>
          <w:rFonts w:hint="eastAsia" w:ascii="方正小标宋简体" w:hAnsi="方正小标宋简体" w:eastAsia="方正小标宋简体"/>
          <w:color w:val="auto"/>
          <w:sz w:val="44"/>
          <w:szCs w:val="44"/>
        </w:rPr>
      </w:pPr>
    </w:p>
    <w:p w14:paraId="37E7B842">
      <w:pPr>
        <w:spacing w:line="240" w:lineRule="auto"/>
        <w:jc w:val="center"/>
        <w:rPr>
          <w:rFonts w:hint="eastAsia" w:ascii="方正小标宋简体" w:hAnsi="方正小标宋简体" w:eastAsia="方正小标宋简体"/>
          <w:color w:val="auto"/>
          <w:sz w:val="44"/>
          <w:szCs w:val="44"/>
        </w:rPr>
      </w:pPr>
    </w:p>
    <w:p w14:paraId="5FFBCDF3">
      <w:pPr>
        <w:spacing w:line="240" w:lineRule="auto"/>
        <w:jc w:val="center"/>
        <w:rPr>
          <w:rFonts w:hint="eastAsia" w:ascii="方正小标宋简体" w:hAnsi="方正小标宋简体" w:eastAsia="方正小标宋简体"/>
          <w:color w:val="auto"/>
          <w:sz w:val="44"/>
          <w:szCs w:val="44"/>
        </w:rPr>
      </w:pPr>
    </w:p>
    <w:p w14:paraId="15E53D5B">
      <w:pPr>
        <w:spacing w:line="240" w:lineRule="auto"/>
        <w:jc w:val="center"/>
        <w:rPr>
          <w:rFonts w:hint="eastAsia" w:ascii="方正小标宋简体" w:hAnsi="方正小标宋简体" w:eastAsia="方正小标宋简体"/>
          <w:color w:val="auto"/>
          <w:sz w:val="44"/>
          <w:szCs w:val="44"/>
        </w:rPr>
      </w:pPr>
      <w:r>
        <w:rPr>
          <w:rFonts w:hint="eastAsia" w:ascii="方正小标宋简体" w:hAnsi="方正小标宋简体" w:eastAsia="方正小标宋简体"/>
          <w:color w:val="auto"/>
          <w:sz w:val="44"/>
          <w:szCs w:val="44"/>
        </w:rPr>
        <w:t>授权委托书（联合体竞标格式）</w:t>
      </w:r>
    </w:p>
    <w:p w14:paraId="24B3B23D">
      <w:pPr>
        <w:spacing w:line="240" w:lineRule="auto"/>
        <w:jc w:val="center"/>
        <w:rPr>
          <w:rFonts w:hint="eastAsia" w:ascii="方正小标宋简体" w:hAnsi="方正小标宋简体" w:eastAsia="方正小标宋简体"/>
          <w:color w:val="auto"/>
          <w:sz w:val="44"/>
          <w:szCs w:val="44"/>
        </w:rPr>
      </w:pPr>
      <w:r>
        <w:rPr>
          <w:rFonts w:hint="eastAsia" w:ascii="方正小标宋简体" w:hAnsi="方正小标宋简体" w:eastAsia="方正小标宋简体"/>
          <w:color w:val="auto"/>
          <w:sz w:val="44"/>
          <w:szCs w:val="44"/>
        </w:rPr>
        <w:t>（如有委托时）</w:t>
      </w:r>
    </w:p>
    <w:p w14:paraId="680445BF">
      <w:pPr>
        <w:spacing w:line="240" w:lineRule="auto"/>
        <w:jc w:val="center"/>
        <w:rPr>
          <w:rFonts w:ascii="方正小标宋简体" w:hAnsi="方正小标宋简体" w:eastAsia="方正小标宋简体"/>
          <w:color w:val="auto"/>
          <w:sz w:val="44"/>
          <w:szCs w:val="44"/>
        </w:rPr>
      </w:pPr>
    </w:p>
    <w:p w14:paraId="54B90907">
      <w:pPr>
        <w:spacing w:line="240" w:lineRule="auto"/>
        <w:jc w:val="center"/>
        <w:rPr>
          <w:rFonts w:ascii="仿宋_GB2312" w:hAnsi="仿宋_GB2312" w:eastAsia="仿宋_GB2312"/>
          <w:color w:val="auto"/>
          <w:sz w:val="32"/>
          <w:szCs w:val="32"/>
        </w:rPr>
      </w:pPr>
    </w:p>
    <w:p w14:paraId="72F25214">
      <w:pPr>
        <w:spacing w:line="240" w:lineRule="auto"/>
        <w:ind w:firstLine="480" w:firstLineChars="200"/>
        <w:jc w:val="left"/>
        <w:rPr>
          <w:rFonts w:hint="eastAsia" w:ascii="宋体" w:hAnsi="宋体"/>
          <w:color w:val="auto"/>
          <w:sz w:val="24"/>
        </w:rPr>
      </w:pPr>
      <w:r>
        <w:rPr>
          <w:rFonts w:hint="eastAsia" w:ascii="宋体" w:hAnsi="宋体"/>
          <w:color w:val="auto"/>
          <w:sz w:val="24"/>
        </w:rPr>
        <w:t>本授权委托书声明：根据</w:t>
      </w:r>
      <w:r>
        <w:rPr>
          <w:rFonts w:hint="eastAsia" w:ascii="宋体" w:hAnsi="宋体"/>
          <w:color w:val="auto"/>
          <w:sz w:val="24"/>
          <w:u w:val="single"/>
        </w:rPr>
        <w:t xml:space="preserve">                </w:t>
      </w:r>
      <w:r>
        <w:rPr>
          <w:rFonts w:hint="eastAsia" w:ascii="宋体" w:hAnsi="宋体"/>
          <w:color w:val="auto"/>
          <w:sz w:val="24"/>
        </w:rPr>
        <w:t>（牵头人名称）与</w:t>
      </w:r>
      <w:r>
        <w:rPr>
          <w:rFonts w:hint="eastAsia" w:ascii="宋体" w:hAnsi="宋体"/>
          <w:color w:val="auto"/>
          <w:sz w:val="24"/>
          <w:u w:val="single"/>
        </w:rPr>
        <w:t xml:space="preserve">              </w:t>
      </w:r>
      <w:r>
        <w:rPr>
          <w:rFonts w:hint="eastAsia" w:ascii="宋体" w:hAnsi="宋体"/>
          <w:color w:val="auto"/>
          <w:sz w:val="24"/>
        </w:rPr>
        <w:t>（联合体其他成员名称）签订的《联合体竞标协议书》的内容，</w:t>
      </w:r>
      <w:r>
        <w:rPr>
          <w:rFonts w:hint="eastAsia" w:ascii="宋体" w:hAnsi="宋体"/>
          <w:color w:val="auto"/>
          <w:sz w:val="24"/>
          <w:u w:val="single"/>
        </w:rPr>
        <w:t xml:space="preserve">                       </w:t>
      </w:r>
      <w:r>
        <w:rPr>
          <w:rFonts w:hint="eastAsia" w:ascii="宋体" w:hAnsi="宋体"/>
          <w:color w:val="auto"/>
          <w:sz w:val="24"/>
        </w:rPr>
        <w:t>（牵头人名称）的法定代表人</w:t>
      </w:r>
      <w:r>
        <w:rPr>
          <w:rFonts w:hint="eastAsia" w:ascii="宋体" w:hAnsi="宋体"/>
          <w:color w:val="auto"/>
          <w:sz w:val="24"/>
          <w:u w:val="single"/>
        </w:rPr>
        <w:t xml:space="preserve">      </w:t>
      </w:r>
      <w:r>
        <w:rPr>
          <w:rFonts w:hint="eastAsia" w:ascii="宋体" w:hAnsi="宋体"/>
          <w:color w:val="auto"/>
          <w:sz w:val="24"/>
        </w:rPr>
        <w:t>（姓名）现授权</w:t>
      </w:r>
      <w:r>
        <w:rPr>
          <w:rFonts w:hint="eastAsia" w:ascii="宋体" w:hAnsi="宋体"/>
          <w:color w:val="auto"/>
          <w:sz w:val="24"/>
          <w:u w:val="single"/>
        </w:rPr>
        <w:t xml:space="preserve">      </w:t>
      </w:r>
      <w:r>
        <w:rPr>
          <w:rFonts w:hint="eastAsia" w:ascii="宋体" w:hAnsi="宋体"/>
          <w:color w:val="auto"/>
          <w:sz w:val="24"/>
        </w:rPr>
        <w:t>（姓名）为联合委托代理人，并代表我方全权办理针对上述项目的所有采购程序和环节的具体事务和签署相关文件。</w:t>
      </w:r>
    </w:p>
    <w:p w14:paraId="21ACA48A">
      <w:pPr>
        <w:spacing w:line="240" w:lineRule="auto"/>
        <w:ind w:firstLine="480" w:firstLineChars="200"/>
        <w:rPr>
          <w:rFonts w:hint="eastAsia" w:ascii="宋体" w:hAnsi="宋体"/>
          <w:color w:val="auto"/>
          <w:sz w:val="24"/>
        </w:rPr>
      </w:pPr>
      <w:r>
        <w:rPr>
          <w:rFonts w:hint="eastAsia" w:ascii="宋体" w:hAnsi="宋体"/>
          <w:color w:val="auto"/>
          <w:sz w:val="24"/>
        </w:rPr>
        <w:t>我方对委托代理人的签字事项负全部责任。</w:t>
      </w:r>
    </w:p>
    <w:p w14:paraId="1DE79938">
      <w:pPr>
        <w:spacing w:line="240" w:lineRule="auto"/>
        <w:ind w:firstLine="480" w:firstLineChars="200"/>
        <w:rPr>
          <w:rFonts w:hint="eastAsia" w:ascii="宋体" w:hAnsi="宋体"/>
          <w:color w:val="auto"/>
          <w:sz w:val="24"/>
        </w:rPr>
      </w:pPr>
      <w:r>
        <w:rPr>
          <w:rFonts w:hint="eastAsia" w:ascii="宋体" w:hAnsi="宋体"/>
          <w:color w:val="auto"/>
          <w:sz w:val="24"/>
        </w:rPr>
        <w:t>本授权书自签署之日起生效，在撤销授权的书面通知以前，本授权书一直有效。委托代理人在授权书有效期内签署的所有文件不因授权的撤销而失效。</w:t>
      </w:r>
    </w:p>
    <w:p w14:paraId="10309D72">
      <w:pPr>
        <w:spacing w:line="240" w:lineRule="auto"/>
        <w:ind w:firstLine="480" w:firstLineChars="200"/>
        <w:rPr>
          <w:rFonts w:hint="eastAsia" w:ascii="宋体" w:hAnsi="宋体"/>
          <w:color w:val="auto"/>
          <w:sz w:val="24"/>
        </w:rPr>
      </w:pPr>
      <w:r>
        <w:rPr>
          <w:rFonts w:hint="eastAsia" w:ascii="宋体" w:hAnsi="宋体"/>
          <w:color w:val="auto"/>
          <w:sz w:val="24"/>
        </w:rPr>
        <w:t>委托代理人无转委托权，特此委托。</w:t>
      </w:r>
    </w:p>
    <w:p w14:paraId="77453412">
      <w:pPr>
        <w:spacing w:line="240" w:lineRule="auto"/>
        <w:rPr>
          <w:rFonts w:hint="eastAsia" w:ascii="宋体" w:hAnsi="宋体"/>
          <w:color w:val="auto"/>
          <w:sz w:val="24"/>
        </w:rPr>
      </w:pPr>
      <w:r>
        <w:rPr>
          <w:rFonts w:hint="eastAsia" w:ascii="宋体" w:hAnsi="宋体"/>
          <w:color w:val="auto"/>
          <w:sz w:val="24"/>
        </w:rPr>
        <w:t xml:space="preserve">    </w:t>
      </w:r>
    </w:p>
    <w:p w14:paraId="03DF8A55">
      <w:pPr>
        <w:spacing w:line="240" w:lineRule="auto"/>
        <w:ind w:firstLine="1560" w:firstLineChars="650"/>
        <w:rPr>
          <w:rFonts w:hint="eastAsia" w:ascii="宋体" w:hAnsi="宋体"/>
          <w:color w:val="auto"/>
          <w:sz w:val="24"/>
        </w:rPr>
      </w:pPr>
      <w:r>
        <w:rPr>
          <w:rFonts w:hint="eastAsia" w:ascii="宋体" w:hAnsi="宋体"/>
          <w:color w:val="auto"/>
          <w:sz w:val="24"/>
        </w:rPr>
        <w:t>牵头人法定代表人（签字或盖章）：</w:t>
      </w:r>
    </w:p>
    <w:p w14:paraId="633BF7C9">
      <w:pPr>
        <w:spacing w:line="240" w:lineRule="auto"/>
        <w:ind w:firstLine="3120" w:firstLineChars="1300"/>
        <w:rPr>
          <w:rFonts w:hint="eastAsia" w:ascii="宋体" w:hAnsi="宋体"/>
          <w:color w:val="auto"/>
          <w:sz w:val="24"/>
        </w:rPr>
      </w:pPr>
      <w:r>
        <w:rPr>
          <w:rFonts w:hint="eastAsia" w:ascii="宋体" w:hAnsi="宋体"/>
          <w:color w:val="auto"/>
          <w:sz w:val="24"/>
        </w:rPr>
        <w:t>牵头人</w:t>
      </w:r>
      <w:r>
        <w:rPr>
          <w:rFonts w:hint="eastAsia" w:ascii="宋体" w:hAnsi="宋体"/>
          <w:color w:val="auto"/>
          <w:kern w:val="0"/>
          <w:sz w:val="24"/>
        </w:rPr>
        <w:t>（电子签章）</w:t>
      </w:r>
      <w:r>
        <w:rPr>
          <w:rFonts w:hint="eastAsia" w:ascii="宋体" w:hAnsi="宋体"/>
          <w:color w:val="auto"/>
          <w:sz w:val="24"/>
        </w:rPr>
        <w:t>：</w:t>
      </w:r>
    </w:p>
    <w:p w14:paraId="4627A73B">
      <w:pPr>
        <w:spacing w:line="240" w:lineRule="auto"/>
        <w:ind w:firstLine="3840" w:firstLineChars="1600"/>
        <w:rPr>
          <w:rFonts w:hint="eastAsia" w:ascii="宋体" w:hAnsi="宋体"/>
          <w:color w:val="auto"/>
          <w:sz w:val="24"/>
        </w:rPr>
      </w:pPr>
      <w:r>
        <w:rPr>
          <w:rFonts w:hint="eastAsia" w:ascii="宋体" w:hAnsi="宋体"/>
          <w:color w:val="auto"/>
          <w:sz w:val="24"/>
        </w:rPr>
        <w:t>日期：    年   月   日</w:t>
      </w:r>
    </w:p>
    <w:p w14:paraId="27073AB5">
      <w:pPr>
        <w:spacing w:line="240" w:lineRule="auto"/>
        <w:rPr>
          <w:rFonts w:ascii="宋体" w:hAnsi="宋体"/>
          <w:color w:val="auto"/>
          <w:sz w:val="24"/>
        </w:rPr>
      </w:pPr>
    </w:p>
    <w:p w14:paraId="56AF9897">
      <w:pPr>
        <w:spacing w:line="240" w:lineRule="auto"/>
        <w:ind w:firstLine="3120" w:firstLineChars="1300"/>
        <w:rPr>
          <w:rFonts w:hint="eastAsia" w:ascii="宋体" w:hAnsi="宋体"/>
          <w:color w:val="auto"/>
          <w:sz w:val="24"/>
        </w:rPr>
      </w:pPr>
      <w:r>
        <w:rPr>
          <w:rFonts w:hint="eastAsia" w:ascii="宋体" w:hAnsi="宋体"/>
          <w:color w:val="auto"/>
          <w:sz w:val="24"/>
        </w:rPr>
        <w:t>被授权人（签字）：</w:t>
      </w:r>
    </w:p>
    <w:p w14:paraId="5F21C34C">
      <w:pPr>
        <w:spacing w:line="240" w:lineRule="auto"/>
        <w:ind w:firstLine="3840" w:firstLineChars="1600"/>
        <w:rPr>
          <w:rFonts w:hint="eastAsia" w:ascii="宋体" w:hAnsi="宋体"/>
          <w:color w:val="auto"/>
          <w:sz w:val="24"/>
        </w:rPr>
      </w:pPr>
      <w:r>
        <w:rPr>
          <w:rFonts w:hint="eastAsia" w:ascii="宋体" w:hAnsi="宋体"/>
          <w:color w:val="auto"/>
          <w:sz w:val="24"/>
        </w:rPr>
        <w:t>日期：    年   月   日</w:t>
      </w:r>
    </w:p>
    <w:p w14:paraId="45D5C7B6">
      <w:pPr>
        <w:spacing w:line="240" w:lineRule="auto"/>
        <w:rPr>
          <w:rFonts w:ascii="宋体" w:hAnsi="宋体"/>
          <w:color w:val="auto"/>
          <w:sz w:val="24"/>
        </w:rPr>
      </w:pPr>
    </w:p>
    <w:p w14:paraId="033597C1">
      <w:pPr>
        <w:spacing w:line="240" w:lineRule="auto"/>
        <w:rPr>
          <w:rFonts w:hint="eastAsia" w:ascii="宋体" w:hAnsi="宋体"/>
          <w:color w:val="auto"/>
          <w:sz w:val="24"/>
        </w:rPr>
      </w:pPr>
      <w:r>
        <w:rPr>
          <w:rFonts w:hint="eastAsia" w:ascii="宋体" w:hAnsi="宋体"/>
          <w:color w:val="auto"/>
          <w:sz w:val="24"/>
        </w:rPr>
        <w:t>注：1. 法定代表人必须在授权委托书上亲笔签字或盖章，委托代理人必须在授权委托书上亲笔签字，</w:t>
      </w:r>
      <w:r>
        <w:rPr>
          <w:rFonts w:hint="eastAsia" w:ascii="宋体" w:hAnsi="宋体"/>
          <w:bCs/>
          <w:color w:val="auto"/>
          <w:sz w:val="24"/>
        </w:rPr>
        <w:t>否则其响应文件按无效响应处理。</w:t>
      </w:r>
    </w:p>
    <w:p w14:paraId="78ECC1F6">
      <w:pPr>
        <w:spacing w:line="240" w:lineRule="auto"/>
        <w:ind w:firstLine="480" w:firstLineChars="200"/>
        <w:jc w:val="left"/>
        <w:rPr>
          <w:rFonts w:hint="eastAsia" w:ascii="宋体" w:hAnsi="宋体"/>
          <w:color w:val="auto"/>
          <w:sz w:val="24"/>
        </w:rPr>
      </w:pPr>
      <w:r>
        <w:rPr>
          <w:rFonts w:hint="eastAsia" w:ascii="宋体" w:hAnsi="宋体"/>
          <w:color w:val="auto"/>
          <w:sz w:val="24"/>
        </w:rPr>
        <w:t>2.本授权委托书应由联合体牵头人的法定代表人按上述规定签署。</w:t>
      </w:r>
    </w:p>
    <w:p w14:paraId="2417FEB2">
      <w:pPr>
        <w:spacing w:line="240" w:lineRule="auto"/>
        <w:ind w:firstLine="480" w:firstLineChars="200"/>
        <w:jc w:val="left"/>
        <w:rPr>
          <w:rFonts w:hint="eastAsia" w:ascii="宋体" w:hAnsi="宋体"/>
          <w:color w:val="auto"/>
          <w:sz w:val="24"/>
        </w:rPr>
      </w:pPr>
      <w:r>
        <w:rPr>
          <w:rFonts w:hint="eastAsia" w:ascii="宋体" w:hAnsi="宋体"/>
          <w:color w:val="auto"/>
          <w:sz w:val="24"/>
        </w:rPr>
        <w:t>3</w:t>
      </w:r>
      <w:r>
        <w:rPr>
          <w:rFonts w:ascii="宋体" w:hAnsi="宋体"/>
          <w:color w:val="auto"/>
          <w:sz w:val="24"/>
        </w:rPr>
        <w:t>.</w:t>
      </w:r>
      <w:r>
        <w:rPr>
          <w:rFonts w:hint="eastAsia" w:ascii="宋体" w:hAnsi="宋体"/>
          <w:color w:val="auto"/>
          <w:sz w:val="24"/>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CD7B534">
      <w:pPr>
        <w:spacing w:line="240" w:lineRule="auto"/>
        <w:ind w:firstLine="480" w:firstLineChars="200"/>
        <w:jc w:val="left"/>
        <w:rPr>
          <w:rFonts w:hint="eastAsia" w:ascii="宋体" w:hAnsi="宋体"/>
          <w:color w:val="auto"/>
          <w:sz w:val="24"/>
        </w:rPr>
      </w:pPr>
      <w:r>
        <w:rPr>
          <w:rFonts w:hint="eastAsia" w:ascii="宋体" w:hAnsi="宋体"/>
          <w:color w:val="auto"/>
          <w:sz w:val="24"/>
        </w:rPr>
        <w:t>4</w:t>
      </w:r>
      <w:r>
        <w:rPr>
          <w:rFonts w:ascii="宋体" w:hAnsi="宋体"/>
          <w:color w:val="auto"/>
          <w:sz w:val="24"/>
        </w:rPr>
        <w:t>.</w:t>
      </w:r>
      <w:r>
        <w:rPr>
          <w:rFonts w:hint="eastAsia" w:ascii="宋体" w:hAnsi="宋体"/>
          <w:color w:val="auto"/>
          <w:sz w:val="24"/>
        </w:rPr>
        <w:t>法人、其他组织竞标时“我方”是指“我单位”，自然人竞标时“我方”是指“本人”。</w:t>
      </w:r>
    </w:p>
    <w:p w14:paraId="3D84186D">
      <w:pPr>
        <w:spacing w:line="240" w:lineRule="auto"/>
        <w:ind w:firstLine="480" w:firstLineChars="200"/>
        <w:jc w:val="left"/>
        <w:rPr>
          <w:rFonts w:hint="eastAsia" w:ascii="宋体" w:hAnsi="宋体"/>
          <w:color w:val="auto"/>
          <w:sz w:val="24"/>
        </w:rPr>
      </w:pPr>
      <w:r>
        <w:rPr>
          <w:rFonts w:hint="eastAsia" w:ascii="宋体" w:hAnsi="宋体"/>
          <w:color w:val="auto"/>
          <w:sz w:val="24"/>
        </w:rPr>
        <w:t>5.附法定代表人有效身份证正反面复印件及委托代理人身份证正反面。</w:t>
      </w:r>
    </w:p>
    <w:p w14:paraId="421C0DC9">
      <w:pPr>
        <w:spacing w:line="240" w:lineRule="auto"/>
        <w:rPr>
          <w:rFonts w:hint="eastAsia" w:ascii="宋体" w:hAnsi="宋体"/>
          <w:b/>
          <w:bCs/>
          <w:color w:val="auto"/>
          <w:sz w:val="30"/>
          <w:szCs w:val="30"/>
        </w:rPr>
      </w:pPr>
    </w:p>
    <w:p w14:paraId="1B5FDCD0">
      <w:pPr>
        <w:spacing w:line="240" w:lineRule="auto"/>
        <w:rPr>
          <w:rFonts w:hint="eastAsia" w:ascii="宋体" w:hAnsi="宋体"/>
          <w:b/>
          <w:bCs/>
          <w:color w:val="auto"/>
          <w:sz w:val="30"/>
          <w:szCs w:val="30"/>
        </w:rPr>
      </w:pPr>
      <w:r>
        <w:rPr>
          <w:rFonts w:hint="eastAsia" w:ascii="宋体" w:hAnsi="宋体"/>
          <w:b/>
          <w:bCs/>
          <w:color w:val="auto"/>
          <w:sz w:val="30"/>
          <w:szCs w:val="30"/>
        </w:rPr>
        <w:t>一、施工组织设计</w:t>
      </w:r>
    </w:p>
    <w:p w14:paraId="6E2D912F">
      <w:pPr>
        <w:spacing w:line="240" w:lineRule="auto"/>
        <w:jc w:val="center"/>
        <w:rPr>
          <w:rFonts w:hint="eastAsia" w:ascii="仿宋_GB2312" w:eastAsia="仿宋_GB2312"/>
          <w:color w:val="auto"/>
          <w:sz w:val="32"/>
          <w:szCs w:val="32"/>
        </w:rPr>
      </w:pPr>
      <w:r>
        <w:rPr>
          <w:rFonts w:hint="eastAsia" w:ascii="仿宋_GB2312" w:eastAsia="仿宋_GB2312"/>
          <w:color w:val="auto"/>
          <w:sz w:val="32"/>
          <w:szCs w:val="32"/>
        </w:rPr>
        <w:t xml:space="preserve"> </w:t>
      </w:r>
      <w:r>
        <w:rPr>
          <w:rFonts w:hint="eastAsia" w:ascii="黑体" w:eastAsia="黑体"/>
          <w:color w:val="auto"/>
          <w:sz w:val="28"/>
          <w:szCs w:val="28"/>
        </w:rPr>
        <w:t>施工组织设计</w:t>
      </w:r>
    </w:p>
    <w:p w14:paraId="40A1AE36">
      <w:pPr>
        <w:spacing w:line="240" w:lineRule="auto"/>
        <w:rPr>
          <w:rFonts w:hint="eastAsia" w:ascii="宋体" w:hAnsi="宋体"/>
          <w:color w:val="auto"/>
        </w:rPr>
      </w:pPr>
    </w:p>
    <w:p w14:paraId="30B6946E">
      <w:pPr>
        <w:spacing w:after="50" w:line="240" w:lineRule="auto"/>
        <w:ind w:firstLine="420" w:firstLineChars="200"/>
        <w:rPr>
          <w:rFonts w:hint="eastAsia" w:ascii="宋体" w:hAnsi="宋体"/>
          <w:color w:val="auto"/>
        </w:rPr>
      </w:pPr>
      <w:r>
        <w:rPr>
          <w:rFonts w:hint="eastAsia" w:ascii="宋体" w:hAnsi="宋体"/>
          <w:color w:val="auto"/>
        </w:rPr>
        <w:t>1.竞标人应编制施工组织设计。编制具体要求是：编制时应采用文字并结合图表形式说明施工方法；拟投入的主要施工机械设备情况、劳动力计划等；结合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14:paraId="72A02F1C">
      <w:pPr>
        <w:spacing w:after="50" w:line="240" w:lineRule="auto"/>
        <w:ind w:firstLine="420" w:firstLineChars="200"/>
        <w:rPr>
          <w:rFonts w:hint="eastAsia" w:ascii="宋体" w:hAnsi="宋体"/>
          <w:color w:val="auto"/>
        </w:rPr>
      </w:pPr>
      <w:r>
        <w:rPr>
          <w:rFonts w:hint="eastAsia" w:ascii="宋体" w:hAnsi="宋体"/>
          <w:color w:val="auto"/>
        </w:rPr>
        <w:t>2.施工组织设计除采用文字表述外可附下列图表，图表及格式要求附后，表格可扩展。</w:t>
      </w:r>
    </w:p>
    <w:p w14:paraId="50B6F4DC">
      <w:pPr>
        <w:spacing w:after="50" w:line="240" w:lineRule="auto"/>
        <w:ind w:firstLine="420" w:firstLineChars="200"/>
        <w:rPr>
          <w:rFonts w:hint="eastAsia" w:ascii="宋体" w:hAnsi="宋体"/>
          <w:color w:val="auto"/>
        </w:rPr>
      </w:pPr>
      <w:r>
        <w:rPr>
          <w:rFonts w:hint="eastAsia" w:ascii="宋体" w:hAnsi="宋体"/>
          <w:color w:val="auto"/>
        </w:rPr>
        <w:t>附表一  拟投入的主要施工设备表</w:t>
      </w:r>
    </w:p>
    <w:p w14:paraId="6F3655E2">
      <w:pPr>
        <w:spacing w:after="50" w:line="240" w:lineRule="auto"/>
        <w:ind w:firstLine="420" w:firstLineChars="200"/>
        <w:rPr>
          <w:rFonts w:hint="eastAsia" w:ascii="宋体" w:hAnsi="宋体"/>
          <w:color w:val="auto"/>
        </w:rPr>
      </w:pPr>
      <w:r>
        <w:rPr>
          <w:rFonts w:hint="eastAsia" w:ascii="宋体" w:hAnsi="宋体"/>
          <w:color w:val="auto"/>
        </w:rPr>
        <w:t>附表二  劳动力计划表</w:t>
      </w:r>
    </w:p>
    <w:p w14:paraId="1132B8AF">
      <w:pPr>
        <w:spacing w:after="50" w:line="240" w:lineRule="auto"/>
        <w:ind w:firstLine="420" w:firstLineChars="200"/>
        <w:rPr>
          <w:rFonts w:hint="eastAsia" w:ascii="宋体" w:hAnsi="宋体"/>
          <w:color w:val="auto"/>
        </w:rPr>
      </w:pPr>
      <w:r>
        <w:rPr>
          <w:rFonts w:hint="eastAsia" w:ascii="宋体" w:hAnsi="宋体"/>
          <w:color w:val="auto"/>
        </w:rPr>
        <w:t>附表三  计划开、竣工日期和施工进度网络图</w:t>
      </w:r>
    </w:p>
    <w:p w14:paraId="130CE0EB">
      <w:pPr>
        <w:spacing w:after="50" w:line="240" w:lineRule="auto"/>
        <w:ind w:firstLine="420" w:firstLineChars="200"/>
        <w:rPr>
          <w:rFonts w:hint="eastAsia" w:ascii="宋体" w:hAnsi="宋体"/>
          <w:color w:val="auto"/>
        </w:rPr>
      </w:pPr>
      <w:r>
        <w:rPr>
          <w:rFonts w:hint="eastAsia" w:ascii="宋体" w:hAnsi="宋体"/>
          <w:color w:val="auto"/>
        </w:rPr>
        <w:t>附表四  临时用地表</w:t>
      </w:r>
    </w:p>
    <w:p w14:paraId="64D6420D">
      <w:pPr>
        <w:spacing w:after="50" w:line="240" w:lineRule="auto"/>
        <w:rPr>
          <w:rFonts w:hint="eastAsia"/>
          <w:b/>
          <w:bCs/>
          <w:color w:val="auto"/>
          <w:sz w:val="32"/>
        </w:rPr>
      </w:pPr>
    </w:p>
    <w:p w14:paraId="61AEA798">
      <w:pPr>
        <w:spacing w:line="240" w:lineRule="auto"/>
        <w:rPr>
          <w:rFonts w:hint="eastAsia" w:ascii="仿宋_GB2312" w:eastAsia="仿宋_GB2312"/>
          <w:color w:val="auto"/>
          <w:sz w:val="32"/>
          <w:szCs w:val="32"/>
        </w:rPr>
      </w:pPr>
    </w:p>
    <w:p w14:paraId="1BAF72FC">
      <w:pPr>
        <w:spacing w:line="240" w:lineRule="auto"/>
        <w:rPr>
          <w:rFonts w:hint="eastAsia" w:ascii="仿宋_GB2312" w:eastAsia="仿宋_GB2312"/>
          <w:color w:val="auto"/>
          <w:sz w:val="32"/>
          <w:szCs w:val="32"/>
        </w:rPr>
      </w:pPr>
      <w:r>
        <w:rPr>
          <w:rFonts w:hint="eastAsia" w:ascii="仿宋_GB2312" w:eastAsia="仿宋_GB2312"/>
          <w:color w:val="auto"/>
          <w:sz w:val="32"/>
          <w:szCs w:val="32"/>
        </w:rPr>
        <w:t xml:space="preserve"> </w:t>
      </w:r>
    </w:p>
    <w:p w14:paraId="07E162B7">
      <w:pPr>
        <w:spacing w:line="240" w:lineRule="auto"/>
        <w:ind w:firstLine="3360" w:firstLineChars="1600"/>
        <w:rPr>
          <w:rFonts w:hint="eastAsia" w:ascii="宋体" w:hAnsi="宋体"/>
          <w:color w:val="auto"/>
          <w:szCs w:val="21"/>
        </w:rPr>
      </w:pPr>
      <w:r>
        <w:rPr>
          <w:rFonts w:hint="eastAsia" w:ascii="宋体" w:hAnsi="宋体"/>
          <w:color w:val="auto"/>
          <w:szCs w:val="21"/>
        </w:rPr>
        <w:t>供应商名称（（电子签章））：</w:t>
      </w:r>
    </w:p>
    <w:p w14:paraId="7950D157">
      <w:pPr>
        <w:spacing w:line="240" w:lineRule="auto"/>
        <w:ind w:firstLine="3360" w:firstLineChars="1600"/>
        <w:rPr>
          <w:rFonts w:hint="eastAsia" w:ascii="宋体" w:hAnsi="宋体"/>
          <w:color w:val="auto"/>
          <w:szCs w:val="21"/>
        </w:rPr>
      </w:pPr>
      <w:r>
        <w:rPr>
          <w:rFonts w:hint="eastAsia" w:ascii="宋体" w:hAnsi="宋体"/>
          <w:color w:val="auto"/>
          <w:szCs w:val="21"/>
        </w:rPr>
        <w:t>日期：  年  月   日</w:t>
      </w:r>
    </w:p>
    <w:p w14:paraId="4B49052F">
      <w:pPr>
        <w:snapToGrid w:val="0"/>
        <w:spacing w:line="240" w:lineRule="auto"/>
        <w:ind w:firstLine="602" w:firstLineChars="200"/>
        <w:rPr>
          <w:rFonts w:hint="eastAsia" w:ascii="仿宋" w:hAnsi="仿宋" w:eastAsia="仿宋"/>
          <w:b/>
          <w:color w:val="auto"/>
          <w:sz w:val="30"/>
          <w:szCs w:val="30"/>
        </w:rPr>
      </w:pPr>
    </w:p>
    <w:p w14:paraId="4FB9D61A">
      <w:pPr>
        <w:snapToGrid w:val="0"/>
        <w:spacing w:line="240" w:lineRule="auto"/>
        <w:ind w:firstLine="602" w:firstLineChars="200"/>
        <w:rPr>
          <w:rFonts w:hint="eastAsia" w:ascii="仿宋" w:hAnsi="仿宋" w:eastAsia="仿宋"/>
          <w:b/>
          <w:color w:val="auto"/>
          <w:sz w:val="30"/>
          <w:szCs w:val="30"/>
        </w:rPr>
      </w:pPr>
    </w:p>
    <w:p w14:paraId="19701D0A">
      <w:pPr>
        <w:snapToGrid w:val="0"/>
        <w:spacing w:line="240" w:lineRule="auto"/>
        <w:ind w:firstLine="602" w:firstLineChars="200"/>
        <w:rPr>
          <w:rFonts w:hint="eastAsia" w:ascii="仿宋" w:hAnsi="仿宋" w:eastAsia="仿宋"/>
          <w:b/>
          <w:color w:val="auto"/>
          <w:sz w:val="30"/>
          <w:szCs w:val="30"/>
        </w:rPr>
      </w:pPr>
    </w:p>
    <w:p w14:paraId="1EBC4C7B">
      <w:pPr>
        <w:snapToGrid w:val="0"/>
        <w:spacing w:line="240" w:lineRule="auto"/>
        <w:ind w:firstLine="602" w:firstLineChars="200"/>
        <w:rPr>
          <w:rFonts w:hint="eastAsia" w:ascii="仿宋" w:hAnsi="仿宋" w:eastAsia="仿宋"/>
          <w:b/>
          <w:color w:val="auto"/>
          <w:sz w:val="30"/>
          <w:szCs w:val="30"/>
        </w:rPr>
      </w:pPr>
    </w:p>
    <w:p w14:paraId="6F4EED5C">
      <w:pPr>
        <w:snapToGrid w:val="0"/>
        <w:spacing w:line="240" w:lineRule="auto"/>
        <w:ind w:firstLine="602" w:firstLineChars="200"/>
        <w:rPr>
          <w:rFonts w:hint="eastAsia" w:ascii="仿宋" w:hAnsi="仿宋" w:eastAsia="仿宋"/>
          <w:b/>
          <w:color w:val="auto"/>
          <w:sz w:val="30"/>
          <w:szCs w:val="30"/>
        </w:rPr>
      </w:pPr>
    </w:p>
    <w:p w14:paraId="15D3A140">
      <w:pPr>
        <w:snapToGrid w:val="0"/>
        <w:spacing w:line="240" w:lineRule="auto"/>
        <w:rPr>
          <w:rFonts w:hint="eastAsia" w:ascii="仿宋" w:hAnsi="仿宋" w:eastAsia="仿宋"/>
          <w:b/>
          <w:color w:val="auto"/>
          <w:sz w:val="30"/>
          <w:szCs w:val="30"/>
        </w:rPr>
      </w:pPr>
    </w:p>
    <w:p w14:paraId="67EB6854">
      <w:pPr>
        <w:snapToGrid w:val="0"/>
        <w:spacing w:line="240" w:lineRule="auto"/>
        <w:rPr>
          <w:rFonts w:hint="eastAsia" w:ascii="仿宋" w:hAnsi="仿宋" w:eastAsia="仿宋"/>
          <w:b/>
          <w:color w:val="auto"/>
          <w:sz w:val="30"/>
          <w:szCs w:val="30"/>
        </w:rPr>
      </w:pPr>
    </w:p>
    <w:p w14:paraId="1DEBF0B5">
      <w:pPr>
        <w:snapToGrid w:val="0"/>
        <w:spacing w:line="240" w:lineRule="auto"/>
        <w:rPr>
          <w:rFonts w:hint="eastAsia" w:ascii="仿宋" w:hAnsi="仿宋" w:eastAsia="仿宋"/>
          <w:b/>
          <w:color w:val="auto"/>
          <w:sz w:val="30"/>
          <w:szCs w:val="30"/>
        </w:rPr>
      </w:pPr>
    </w:p>
    <w:p w14:paraId="222C6E02">
      <w:pPr>
        <w:snapToGrid w:val="0"/>
        <w:spacing w:line="240" w:lineRule="auto"/>
        <w:rPr>
          <w:rFonts w:hint="eastAsia" w:ascii="仿宋" w:hAnsi="仿宋" w:eastAsia="仿宋"/>
          <w:b/>
          <w:color w:val="auto"/>
          <w:sz w:val="30"/>
          <w:szCs w:val="30"/>
        </w:rPr>
      </w:pPr>
    </w:p>
    <w:p w14:paraId="395D9E9A">
      <w:pPr>
        <w:snapToGrid w:val="0"/>
        <w:spacing w:line="240" w:lineRule="auto"/>
        <w:rPr>
          <w:rFonts w:hint="eastAsia" w:ascii="仿宋" w:hAnsi="仿宋" w:eastAsia="仿宋"/>
          <w:b/>
          <w:color w:val="auto"/>
          <w:sz w:val="30"/>
          <w:szCs w:val="30"/>
        </w:rPr>
      </w:pPr>
    </w:p>
    <w:p w14:paraId="4051D791">
      <w:pPr>
        <w:spacing w:after="50" w:line="240" w:lineRule="auto"/>
        <w:rPr>
          <w:rFonts w:hint="eastAsia"/>
          <w:b/>
          <w:bCs/>
          <w:color w:val="auto"/>
          <w:sz w:val="24"/>
        </w:rPr>
      </w:pPr>
      <w:r>
        <w:rPr>
          <w:rFonts w:hint="eastAsia"/>
          <w:b/>
          <w:bCs/>
          <w:color w:val="auto"/>
          <w:sz w:val="24"/>
        </w:rPr>
        <w:t xml:space="preserve">附表一 </w:t>
      </w:r>
      <w:r>
        <w:rPr>
          <w:rFonts w:hint="eastAsia" w:ascii="宋体" w:hAnsi="宋体"/>
          <w:b/>
          <w:bCs/>
          <w:color w:val="auto"/>
          <w:sz w:val="24"/>
        </w:rPr>
        <w:t xml:space="preserve"> ⑴</w:t>
      </w:r>
      <w:r>
        <w:rPr>
          <w:rFonts w:hint="eastAsia"/>
          <w:b/>
          <w:bCs/>
          <w:color w:val="auto"/>
          <w:sz w:val="24"/>
        </w:rPr>
        <w:t>拟投入的主要施工机械设备表</w:t>
      </w:r>
    </w:p>
    <w:p w14:paraId="07B38EFD">
      <w:pPr>
        <w:spacing w:after="50" w:line="240" w:lineRule="auto"/>
        <w:rPr>
          <w:rFonts w:hint="eastAsia"/>
          <w:color w:val="auto"/>
          <w:sz w:val="36"/>
        </w:rPr>
      </w:pP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661"/>
        <w:gridCol w:w="1287"/>
        <w:gridCol w:w="602"/>
        <w:gridCol w:w="891"/>
        <w:gridCol w:w="949"/>
        <w:gridCol w:w="1493"/>
        <w:gridCol w:w="890"/>
        <w:gridCol w:w="1049"/>
      </w:tblGrid>
      <w:tr w14:paraId="0DA4B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67" w:type="dxa"/>
            <w:vAlign w:val="center"/>
          </w:tcPr>
          <w:p w14:paraId="75B2847B">
            <w:pPr>
              <w:spacing w:after="50" w:line="240" w:lineRule="auto"/>
              <w:jc w:val="center"/>
              <w:rPr>
                <w:rFonts w:hint="eastAsia"/>
                <w:color w:val="auto"/>
              </w:rPr>
            </w:pPr>
            <w:r>
              <w:rPr>
                <w:rFonts w:hint="eastAsia"/>
                <w:color w:val="auto"/>
              </w:rPr>
              <w:t>序号</w:t>
            </w:r>
          </w:p>
        </w:tc>
        <w:tc>
          <w:tcPr>
            <w:tcW w:w="1661" w:type="dxa"/>
            <w:vAlign w:val="center"/>
          </w:tcPr>
          <w:p w14:paraId="20D268B6">
            <w:pPr>
              <w:spacing w:after="50" w:line="240" w:lineRule="auto"/>
              <w:jc w:val="center"/>
              <w:rPr>
                <w:rFonts w:hint="eastAsia"/>
                <w:color w:val="auto"/>
              </w:rPr>
            </w:pPr>
            <w:r>
              <w:rPr>
                <w:rFonts w:hint="eastAsia"/>
                <w:color w:val="auto"/>
              </w:rPr>
              <w:t>机械或设备名称</w:t>
            </w:r>
          </w:p>
        </w:tc>
        <w:tc>
          <w:tcPr>
            <w:tcW w:w="1287" w:type="dxa"/>
            <w:vAlign w:val="center"/>
          </w:tcPr>
          <w:p w14:paraId="53B4DD94">
            <w:pPr>
              <w:spacing w:after="50" w:line="240" w:lineRule="auto"/>
              <w:jc w:val="center"/>
              <w:rPr>
                <w:rFonts w:hint="eastAsia"/>
                <w:color w:val="auto"/>
              </w:rPr>
            </w:pPr>
            <w:r>
              <w:rPr>
                <w:rFonts w:hint="eastAsia"/>
                <w:color w:val="auto"/>
              </w:rPr>
              <w:t>型号规格</w:t>
            </w:r>
          </w:p>
        </w:tc>
        <w:tc>
          <w:tcPr>
            <w:tcW w:w="602" w:type="dxa"/>
            <w:vAlign w:val="center"/>
          </w:tcPr>
          <w:p w14:paraId="185B90E3">
            <w:pPr>
              <w:spacing w:after="50" w:line="240" w:lineRule="auto"/>
              <w:jc w:val="center"/>
              <w:rPr>
                <w:rFonts w:hint="eastAsia"/>
                <w:color w:val="auto"/>
              </w:rPr>
            </w:pPr>
            <w:r>
              <w:rPr>
                <w:rFonts w:hint="eastAsia"/>
                <w:color w:val="auto"/>
              </w:rPr>
              <w:t>数量</w:t>
            </w:r>
          </w:p>
        </w:tc>
        <w:tc>
          <w:tcPr>
            <w:tcW w:w="891" w:type="dxa"/>
            <w:vAlign w:val="center"/>
          </w:tcPr>
          <w:p w14:paraId="24A8172D">
            <w:pPr>
              <w:spacing w:after="50" w:line="240" w:lineRule="auto"/>
              <w:jc w:val="center"/>
              <w:rPr>
                <w:rFonts w:hint="eastAsia"/>
                <w:color w:val="auto"/>
              </w:rPr>
            </w:pPr>
            <w:r>
              <w:rPr>
                <w:rFonts w:hint="eastAsia"/>
                <w:color w:val="auto"/>
              </w:rPr>
              <w:t>国别产地</w:t>
            </w:r>
          </w:p>
        </w:tc>
        <w:tc>
          <w:tcPr>
            <w:tcW w:w="949" w:type="dxa"/>
            <w:vAlign w:val="center"/>
          </w:tcPr>
          <w:p w14:paraId="271DE157">
            <w:pPr>
              <w:spacing w:after="50" w:line="240" w:lineRule="auto"/>
              <w:jc w:val="center"/>
              <w:rPr>
                <w:rFonts w:hint="eastAsia"/>
                <w:color w:val="auto"/>
              </w:rPr>
            </w:pPr>
            <w:r>
              <w:rPr>
                <w:rFonts w:hint="eastAsia"/>
                <w:color w:val="auto"/>
              </w:rPr>
              <w:t>制造年份</w:t>
            </w:r>
          </w:p>
        </w:tc>
        <w:tc>
          <w:tcPr>
            <w:tcW w:w="1493" w:type="dxa"/>
            <w:vAlign w:val="center"/>
          </w:tcPr>
          <w:p w14:paraId="1E054A7C">
            <w:pPr>
              <w:spacing w:after="50" w:line="240" w:lineRule="auto"/>
              <w:jc w:val="center"/>
              <w:rPr>
                <w:rFonts w:hint="eastAsia"/>
                <w:color w:val="auto"/>
              </w:rPr>
            </w:pPr>
            <w:r>
              <w:rPr>
                <w:rFonts w:hint="eastAsia"/>
                <w:color w:val="auto"/>
              </w:rPr>
              <w:t>额定功率（KW）</w:t>
            </w:r>
          </w:p>
        </w:tc>
        <w:tc>
          <w:tcPr>
            <w:tcW w:w="890" w:type="dxa"/>
            <w:vAlign w:val="center"/>
          </w:tcPr>
          <w:p w14:paraId="329D678D">
            <w:pPr>
              <w:spacing w:after="50" w:line="240" w:lineRule="auto"/>
              <w:jc w:val="center"/>
              <w:rPr>
                <w:rFonts w:hint="eastAsia"/>
                <w:color w:val="auto"/>
              </w:rPr>
            </w:pPr>
            <w:r>
              <w:rPr>
                <w:rFonts w:hint="eastAsia"/>
                <w:color w:val="auto"/>
              </w:rPr>
              <w:t>生产能力</w:t>
            </w:r>
          </w:p>
        </w:tc>
        <w:tc>
          <w:tcPr>
            <w:tcW w:w="1049" w:type="dxa"/>
            <w:vAlign w:val="center"/>
          </w:tcPr>
          <w:p w14:paraId="504B5860">
            <w:pPr>
              <w:spacing w:after="50" w:line="240" w:lineRule="auto"/>
              <w:jc w:val="center"/>
              <w:rPr>
                <w:rFonts w:hint="eastAsia"/>
                <w:color w:val="auto"/>
              </w:rPr>
            </w:pPr>
            <w:r>
              <w:rPr>
                <w:rFonts w:hint="eastAsia"/>
                <w:color w:val="auto"/>
              </w:rPr>
              <w:t>备注</w:t>
            </w:r>
          </w:p>
        </w:tc>
      </w:tr>
      <w:tr w14:paraId="57BE8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67" w:type="dxa"/>
            <w:vAlign w:val="top"/>
          </w:tcPr>
          <w:p w14:paraId="13DDA57E">
            <w:pPr>
              <w:spacing w:after="50" w:line="240" w:lineRule="auto"/>
              <w:rPr>
                <w:rFonts w:hint="eastAsia"/>
                <w:color w:val="auto"/>
              </w:rPr>
            </w:pPr>
          </w:p>
        </w:tc>
        <w:tc>
          <w:tcPr>
            <w:tcW w:w="1661" w:type="dxa"/>
            <w:vAlign w:val="top"/>
          </w:tcPr>
          <w:p w14:paraId="2CA0A221">
            <w:pPr>
              <w:spacing w:after="50" w:line="240" w:lineRule="auto"/>
              <w:rPr>
                <w:rFonts w:hint="eastAsia"/>
                <w:color w:val="auto"/>
              </w:rPr>
            </w:pPr>
          </w:p>
        </w:tc>
        <w:tc>
          <w:tcPr>
            <w:tcW w:w="1287" w:type="dxa"/>
            <w:vAlign w:val="top"/>
          </w:tcPr>
          <w:p w14:paraId="619E8ECD">
            <w:pPr>
              <w:spacing w:after="50" w:line="240" w:lineRule="auto"/>
              <w:rPr>
                <w:rFonts w:hint="eastAsia"/>
                <w:color w:val="auto"/>
              </w:rPr>
            </w:pPr>
          </w:p>
        </w:tc>
        <w:tc>
          <w:tcPr>
            <w:tcW w:w="602" w:type="dxa"/>
            <w:vAlign w:val="top"/>
          </w:tcPr>
          <w:p w14:paraId="7AB391DC">
            <w:pPr>
              <w:spacing w:after="50" w:line="240" w:lineRule="auto"/>
              <w:rPr>
                <w:rFonts w:hint="eastAsia"/>
                <w:color w:val="auto"/>
              </w:rPr>
            </w:pPr>
          </w:p>
        </w:tc>
        <w:tc>
          <w:tcPr>
            <w:tcW w:w="891" w:type="dxa"/>
            <w:vAlign w:val="top"/>
          </w:tcPr>
          <w:p w14:paraId="5EF775B4">
            <w:pPr>
              <w:spacing w:after="50" w:line="240" w:lineRule="auto"/>
              <w:rPr>
                <w:rFonts w:hint="eastAsia"/>
                <w:color w:val="auto"/>
              </w:rPr>
            </w:pPr>
          </w:p>
        </w:tc>
        <w:tc>
          <w:tcPr>
            <w:tcW w:w="949" w:type="dxa"/>
            <w:vAlign w:val="top"/>
          </w:tcPr>
          <w:p w14:paraId="3060BEDF">
            <w:pPr>
              <w:spacing w:after="50" w:line="240" w:lineRule="auto"/>
              <w:rPr>
                <w:rFonts w:hint="eastAsia"/>
                <w:color w:val="auto"/>
              </w:rPr>
            </w:pPr>
          </w:p>
        </w:tc>
        <w:tc>
          <w:tcPr>
            <w:tcW w:w="1493" w:type="dxa"/>
            <w:vAlign w:val="top"/>
          </w:tcPr>
          <w:p w14:paraId="471F8874">
            <w:pPr>
              <w:spacing w:after="50" w:line="240" w:lineRule="auto"/>
              <w:rPr>
                <w:rFonts w:hint="eastAsia"/>
                <w:color w:val="auto"/>
              </w:rPr>
            </w:pPr>
          </w:p>
        </w:tc>
        <w:tc>
          <w:tcPr>
            <w:tcW w:w="890" w:type="dxa"/>
            <w:vAlign w:val="top"/>
          </w:tcPr>
          <w:p w14:paraId="57A2F5A7">
            <w:pPr>
              <w:spacing w:after="50" w:line="240" w:lineRule="auto"/>
              <w:rPr>
                <w:rFonts w:hint="eastAsia"/>
                <w:color w:val="auto"/>
              </w:rPr>
            </w:pPr>
          </w:p>
        </w:tc>
        <w:tc>
          <w:tcPr>
            <w:tcW w:w="1049" w:type="dxa"/>
            <w:vAlign w:val="top"/>
          </w:tcPr>
          <w:p w14:paraId="34A15BDF">
            <w:pPr>
              <w:spacing w:after="50" w:line="240" w:lineRule="auto"/>
              <w:rPr>
                <w:rFonts w:hint="eastAsia"/>
                <w:color w:val="auto"/>
              </w:rPr>
            </w:pPr>
          </w:p>
        </w:tc>
      </w:tr>
      <w:tr w14:paraId="0986B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67" w:type="dxa"/>
            <w:vAlign w:val="top"/>
          </w:tcPr>
          <w:p w14:paraId="5212F05A">
            <w:pPr>
              <w:spacing w:after="50" w:line="240" w:lineRule="auto"/>
              <w:rPr>
                <w:rFonts w:hint="eastAsia"/>
                <w:color w:val="auto"/>
              </w:rPr>
            </w:pPr>
          </w:p>
        </w:tc>
        <w:tc>
          <w:tcPr>
            <w:tcW w:w="1661" w:type="dxa"/>
            <w:vAlign w:val="top"/>
          </w:tcPr>
          <w:p w14:paraId="6CAC20BA">
            <w:pPr>
              <w:spacing w:after="50" w:line="240" w:lineRule="auto"/>
              <w:rPr>
                <w:rFonts w:hint="eastAsia"/>
                <w:color w:val="auto"/>
              </w:rPr>
            </w:pPr>
          </w:p>
        </w:tc>
        <w:tc>
          <w:tcPr>
            <w:tcW w:w="1287" w:type="dxa"/>
            <w:vAlign w:val="top"/>
          </w:tcPr>
          <w:p w14:paraId="217935D1">
            <w:pPr>
              <w:spacing w:after="50" w:line="240" w:lineRule="auto"/>
              <w:rPr>
                <w:rFonts w:hint="eastAsia"/>
                <w:color w:val="auto"/>
              </w:rPr>
            </w:pPr>
          </w:p>
        </w:tc>
        <w:tc>
          <w:tcPr>
            <w:tcW w:w="602" w:type="dxa"/>
            <w:vAlign w:val="top"/>
          </w:tcPr>
          <w:p w14:paraId="40756A69">
            <w:pPr>
              <w:spacing w:after="50" w:line="240" w:lineRule="auto"/>
              <w:rPr>
                <w:rFonts w:hint="eastAsia"/>
                <w:color w:val="auto"/>
              </w:rPr>
            </w:pPr>
          </w:p>
        </w:tc>
        <w:tc>
          <w:tcPr>
            <w:tcW w:w="891" w:type="dxa"/>
            <w:vAlign w:val="top"/>
          </w:tcPr>
          <w:p w14:paraId="296D2BC3">
            <w:pPr>
              <w:spacing w:after="50" w:line="240" w:lineRule="auto"/>
              <w:rPr>
                <w:rFonts w:hint="eastAsia"/>
                <w:color w:val="auto"/>
              </w:rPr>
            </w:pPr>
          </w:p>
        </w:tc>
        <w:tc>
          <w:tcPr>
            <w:tcW w:w="949" w:type="dxa"/>
            <w:vAlign w:val="top"/>
          </w:tcPr>
          <w:p w14:paraId="4796E7D8">
            <w:pPr>
              <w:spacing w:after="50" w:line="240" w:lineRule="auto"/>
              <w:rPr>
                <w:rFonts w:hint="eastAsia"/>
                <w:color w:val="auto"/>
              </w:rPr>
            </w:pPr>
          </w:p>
        </w:tc>
        <w:tc>
          <w:tcPr>
            <w:tcW w:w="1493" w:type="dxa"/>
            <w:vAlign w:val="top"/>
          </w:tcPr>
          <w:p w14:paraId="33AE8C06">
            <w:pPr>
              <w:spacing w:after="50" w:line="240" w:lineRule="auto"/>
              <w:rPr>
                <w:rFonts w:hint="eastAsia"/>
                <w:color w:val="auto"/>
              </w:rPr>
            </w:pPr>
          </w:p>
        </w:tc>
        <w:tc>
          <w:tcPr>
            <w:tcW w:w="890" w:type="dxa"/>
            <w:vAlign w:val="top"/>
          </w:tcPr>
          <w:p w14:paraId="48255903">
            <w:pPr>
              <w:spacing w:after="50" w:line="240" w:lineRule="auto"/>
              <w:rPr>
                <w:rFonts w:hint="eastAsia"/>
                <w:color w:val="auto"/>
              </w:rPr>
            </w:pPr>
          </w:p>
        </w:tc>
        <w:tc>
          <w:tcPr>
            <w:tcW w:w="1049" w:type="dxa"/>
            <w:vAlign w:val="top"/>
          </w:tcPr>
          <w:p w14:paraId="0A8DCE15">
            <w:pPr>
              <w:spacing w:after="50" w:line="240" w:lineRule="auto"/>
              <w:rPr>
                <w:rFonts w:hint="eastAsia"/>
                <w:color w:val="auto"/>
              </w:rPr>
            </w:pPr>
          </w:p>
        </w:tc>
      </w:tr>
      <w:tr w14:paraId="3DE5E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67" w:type="dxa"/>
            <w:vAlign w:val="top"/>
          </w:tcPr>
          <w:p w14:paraId="059022FC">
            <w:pPr>
              <w:spacing w:after="50" w:line="240" w:lineRule="auto"/>
              <w:rPr>
                <w:rFonts w:hint="eastAsia"/>
                <w:color w:val="auto"/>
              </w:rPr>
            </w:pPr>
          </w:p>
        </w:tc>
        <w:tc>
          <w:tcPr>
            <w:tcW w:w="1661" w:type="dxa"/>
            <w:vAlign w:val="top"/>
          </w:tcPr>
          <w:p w14:paraId="7350D4C8">
            <w:pPr>
              <w:spacing w:after="50" w:line="240" w:lineRule="auto"/>
              <w:rPr>
                <w:rFonts w:hint="eastAsia"/>
                <w:color w:val="auto"/>
              </w:rPr>
            </w:pPr>
          </w:p>
        </w:tc>
        <w:tc>
          <w:tcPr>
            <w:tcW w:w="1287" w:type="dxa"/>
            <w:vAlign w:val="top"/>
          </w:tcPr>
          <w:p w14:paraId="567F0F7B">
            <w:pPr>
              <w:spacing w:after="50" w:line="240" w:lineRule="auto"/>
              <w:rPr>
                <w:rFonts w:hint="eastAsia"/>
                <w:color w:val="auto"/>
              </w:rPr>
            </w:pPr>
          </w:p>
        </w:tc>
        <w:tc>
          <w:tcPr>
            <w:tcW w:w="602" w:type="dxa"/>
            <w:vAlign w:val="top"/>
          </w:tcPr>
          <w:p w14:paraId="526ED949">
            <w:pPr>
              <w:spacing w:after="50" w:line="240" w:lineRule="auto"/>
              <w:rPr>
                <w:rFonts w:hint="eastAsia"/>
                <w:color w:val="auto"/>
              </w:rPr>
            </w:pPr>
          </w:p>
        </w:tc>
        <w:tc>
          <w:tcPr>
            <w:tcW w:w="891" w:type="dxa"/>
            <w:vAlign w:val="top"/>
          </w:tcPr>
          <w:p w14:paraId="5D6E1AE2">
            <w:pPr>
              <w:spacing w:after="50" w:line="240" w:lineRule="auto"/>
              <w:rPr>
                <w:rFonts w:hint="eastAsia"/>
                <w:color w:val="auto"/>
              </w:rPr>
            </w:pPr>
          </w:p>
        </w:tc>
        <w:tc>
          <w:tcPr>
            <w:tcW w:w="949" w:type="dxa"/>
            <w:vAlign w:val="top"/>
          </w:tcPr>
          <w:p w14:paraId="28989D8C">
            <w:pPr>
              <w:spacing w:after="50" w:line="240" w:lineRule="auto"/>
              <w:rPr>
                <w:rFonts w:hint="eastAsia"/>
                <w:color w:val="auto"/>
              </w:rPr>
            </w:pPr>
          </w:p>
        </w:tc>
        <w:tc>
          <w:tcPr>
            <w:tcW w:w="1493" w:type="dxa"/>
            <w:vAlign w:val="top"/>
          </w:tcPr>
          <w:p w14:paraId="36C46E71">
            <w:pPr>
              <w:pStyle w:val="102"/>
              <w:spacing w:after="50" w:line="240" w:lineRule="auto"/>
              <w:rPr>
                <w:rFonts w:hint="eastAsia" w:ascii="Times New Roman" w:hAnsi="Times New Roman"/>
                <w:color w:val="auto"/>
                <w:szCs w:val="24"/>
              </w:rPr>
            </w:pPr>
          </w:p>
        </w:tc>
        <w:tc>
          <w:tcPr>
            <w:tcW w:w="890" w:type="dxa"/>
            <w:vAlign w:val="top"/>
          </w:tcPr>
          <w:p w14:paraId="0AF88057">
            <w:pPr>
              <w:spacing w:after="50" w:line="240" w:lineRule="auto"/>
              <w:rPr>
                <w:rFonts w:hint="eastAsia"/>
                <w:color w:val="auto"/>
              </w:rPr>
            </w:pPr>
          </w:p>
        </w:tc>
        <w:tc>
          <w:tcPr>
            <w:tcW w:w="1049" w:type="dxa"/>
            <w:vAlign w:val="top"/>
          </w:tcPr>
          <w:p w14:paraId="5CFAFCDC">
            <w:pPr>
              <w:spacing w:after="50" w:line="240" w:lineRule="auto"/>
              <w:rPr>
                <w:rFonts w:hint="eastAsia"/>
                <w:color w:val="auto"/>
              </w:rPr>
            </w:pPr>
          </w:p>
        </w:tc>
      </w:tr>
      <w:tr w14:paraId="5419D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67" w:type="dxa"/>
            <w:vAlign w:val="top"/>
          </w:tcPr>
          <w:p w14:paraId="2374D3B2">
            <w:pPr>
              <w:spacing w:after="50" w:line="240" w:lineRule="auto"/>
              <w:rPr>
                <w:rFonts w:hint="eastAsia"/>
                <w:color w:val="auto"/>
              </w:rPr>
            </w:pPr>
          </w:p>
        </w:tc>
        <w:tc>
          <w:tcPr>
            <w:tcW w:w="1661" w:type="dxa"/>
            <w:vAlign w:val="top"/>
          </w:tcPr>
          <w:p w14:paraId="1CD1EDB0">
            <w:pPr>
              <w:spacing w:after="50" w:line="240" w:lineRule="auto"/>
              <w:rPr>
                <w:rFonts w:hint="eastAsia"/>
                <w:color w:val="auto"/>
              </w:rPr>
            </w:pPr>
          </w:p>
        </w:tc>
        <w:tc>
          <w:tcPr>
            <w:tcW w:w="1287" w:type="dxa"/>
            <w:vAlign w:val="top"/>
          </w:tcPr>
          <w:p w14:paraId="26D5891E">
            <w:pPr>
              <w:spacing w:after="50" w:line="240" w:lineRule="auto"/>
              <w:rPr>
                <w:rFonts w:hint="eastAsia"/>
                <w:color w:val="auto"/>
              </w:rPr>
            </w:pPr>
          </w:p>
        </w:tc>
        <w:tc>
          <w:tcPr>
            <w:tcW w:w="602" w:type="dxa"/>
            <w:vAlign w:val="top"/>
          </w:tcPr>
          <w:p w14:paraId="36E61C62">
            <w:pPr>
              <w:spacing w:after="50" w:line="240" w:lineRule="auto"/>
              <w:rPr>
                <w:rFonts w:hint="eastAsia"/>
                <w:color w:val="auto"/>
              </w:rPr>
            </w:pPr>
          </w:p>
        </w:tc>
        <w:tc>
          <w:tcPr>
            <w:tcW w:w="891" w:type="dxa"/>
            <w:vAlign w:val="top"/>
          </w:tcPr>
          <w:p w14:paraId="1673AF33">
            <w:pPr>
              <w:spacing w:after="50" w:line="240" w:lineRule="auto"/>
              <w:rPr>
                <w:rFonts w:hint="eastAsia"/>
                <w:color w:val="auto"/>
              </w:rPr>
            </w:pPr>
          </w:p>
        </w:tc>
        <w:tc>
          <w:tcPr>
            <w:tcW w:w="949" w:type="dxa"/>
            <w:vAlign w:val="top"/>
          </w:tcPr>
          <w:p w14:paraId="4336DD1D">
            <w:pPr>
              <w:spacing w:after="50" w:line="240" w:lineRule="auto"/>
              <w:rPr>
                <w:rFonts w:hint="eastAsia"/>
                <w:color w:val="auto"/>
              </w:rPr>
            </w:pPr>
          </w:p>
        </w:tc>
        <w:tc>
          <w:tcPr>
            <w:tcW w:w="1493" w:type="dxa"/>
            <w:vAlign w:val="top"/>
          </w:tcPr>
          <w:p w14:paraId="6E00A070">
            <w:pPr>
              <w:pStyle w:val="102"/>
              <w:spacing w:after="50" w:line="240" w:lineRule="auto"/>
              <w:rPr>
                <w:rFonts w:hint="eastAsia" w:ascii="Times New Roman" w:hAnsi="Times New Roman"/>
                <w:color w:val="auto"/>
                <w:szCs w:val="24"/>
              </w:rPr>
            </w:pPr>
          </w:p>
        </w:tc>
        <w:tc>
          <w:tcPr>
            <w:tcW w:w="890" w:type="dxa"/>
            <w:vAlign w:val="top"/>
          </w:tcPr>
          <w:p w14:paraId="505FF92C">
            <w:pPr>
              <w:spacing w:after="50" w:line="240" w:lineRule="auto"/>
              <w:rPr>
                <w:rFonts w:hint="eastAsia"/>
                <w:color w:val="auto"/>
              </w:rPr>
            </w:pPr>
          </w:p>
        </w:tc>
        <w:tc>
          <w:tcPr>
            <w:tcW w:w="1049" w:type="dxa"/>
            <w:vAlign w:val="top"/>
          </w:tcPr>
          <w:p w14:paraId="400BDE78">
            <w:pPr>
              <w:spacing w:after="50" w:line="240" w:lineRule="auto"/>
              <w:rPr>
                <w:rFonts w:hint="eastAsia"/>
                <w:color w:val="auto"/>
              </w:rPr>
            </w:pPr>
          </w:p>
        </w:tc>
      </w:tr>
      <w:tr w14:paraId="02747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67" w:type="dxa"/>
            <w:vAlign w:val="top"/>
          </w:tcPr>
          <w:p w14:paraId="203BF516">
            <w:pPr>
              <w:spacing w:after="50" w:line="240" w:lineRule="auto"/>
              <w:rPr>
                <w:rFonts w:hint="eastAsia"/>
                <w:color w:val="auto"/>
              </w:rPr>
            </w:pPr>
          </w:p>
        </w:tc>
        <w:tc>
          <w:tcPr>
            <w:tcW w:w="1661" w:type="dxa"/>
            <w:vAlign w:val="top"/>
          </w:tcPr>
          <w:p w14:paraId="6DD55CA2">
            <w:pPr>
              <w:spacing w:after="50" w:line="240" w:lineRule="auto"/>
              <w:rPr>
                <w:rFonts w:hint="eastAsia"/>
                <w:color w:val="auto"/>
              </w:rPr>
            </w:pPr>
          </w:p>
        </w:tc>
        <w:tc>
          <w:tcPr>
            <w:tcW w:w="1287" w:type="dxa"/>
            <w:vAlign w:val="top"/>
          </w:tcPr>
          <w:p w14:paraId="2DD31DF1">
            <w:pPr>
              <w:spacing w:after="50" w:line="240" w:lineRule="auto"/>
              <w:rPr>
                <w:rFonts w:hint="eastAsia"/>
                <w:color w:val="auto"/>
              </w:rPr>
            </w:pPr>
          </w:p>
        </w:tc>
        <w:tc>
          <w:tcPr>
            <w:tcW w:w="602" w:type="dxa"/>
            <w:vAlign w:val="top"/>
          </w:tcPr>
          <w:p w14:paraId="209D7CA7">
            <w:pPr>
              <w:spacing w:after="50" w:line="240" w:lineRule="auto"/>
              <w:rPr>
                <w:rFonts w:hint="eastAsia"/>
                <w:color w:val="auto"/>
              </w:rPr>
            </w:pPr>
          </w:p>
        </w:tc>
        <w:tc>
          <w:tcPr>
            <w:tcW w:w="891" w:type="dxa"/>
            <w:vAlign w:val="top"/>
          </w:tcPr>
          <w:p w14:paraId="3D283418">
            <w:pPr>
              <w:spacing w:after="50" w:line="240" w:lineRule="auto"/>
              <w:rPr>
                <w:rFonts w:hint="eastAsia"/>
                <w:color w:val="auto"/>
              </w:rPr>
            </w:pPr>
          </w:p>
        </w:tc>
        <w:tc>
          <w:tcPr>
            <w:tcW w:w="949" w:type="dxa"/>
            <w:vAlign w:val="top"/>
          </w:tcPr>
          <w:p w14:paraId="04B451AD">
            <w:pPr>
              <w:spacing w:after="50" w:line="240" w:lineRule="auto"/>
              <w:rPr>
                <w:rFonts w:hint="eastAsia"/>
                <w:color w:val="auto"/>
              </w:rPr>
            </w:pPr>
          </w:p>
        </w:tc>
        <w:tc>
          <w:tcPr>
            <w:tcW w:w="1493" w:type="dxa"/>
            <w:vAlign w:val="top"/>
          </w:tcPr>
          <w:p w14:paraId="21634C68">
            <w:pPr>
              <w:pStyle w:val="102"/>
              <w:spacing w:after="50" w:line="240" w:lineRule="auto"/>
              <w:rPr>
                <w:rFonts w:hint="eastAsia" w:ascii="Times New Roman" w:hAnsi="Times New Roman"/>
                <w:color w:val="auto"/>
                <w:szCs w:val="24"/>
              </w:rPr>
            </w:pPr>
          </w:p>
        </w:tc>
        <w:tc>
          <w:tcPr>
            <w:tcW w:w="890" w:type="dxa"/>
            <w:vAlign w:val="top"/>
          </w:tcPr>
          <w:p w14:paraId="11D915EA">
            <w:pPr>
              <w:spacing w:after="50" w:line="240" w:lineRule="auto"/>
              <w:rPr>
                <w:rFonts w:hint="eastAsia"/>
                <w:color w:val="auto"/>
              </w:rPr>
            </w:pPr>
          </w:p>
        </w:tc>
        <w:tc>
          <w:tcPr>
            <w:tcW w:w="1049" w:type="dxa"/>
            <w:vAlign w:val="top"/>
          </w:tcPr>
          <w:p w14:paraId="55688728">
            <w:pPr>
              <w:spacing w:after="50" w:line="240" w:lineRule="auto"/>
              <w:rPr>
                <w:rFonts w:hint="eastAsia"/>
                <w:color w:val="auto"/>
              </w:rPr>
            </w:pPr>
          </w:p>
        </w:tc>
      </w:tr>
    </w:tbl>
    <w:p w14:paraId="743FF185">
      <w:pPr>
        <w:spacing w:after="50" w:line="240" w:lineRule="auto"/>
        <w:rPr>
          <w:rFonts w:hint="eastAsia"/>
          <w:b/>
          <w:bCs/>
          <w:color w:val="auto"/>
          <w:sz w:val="32"/>
        </w:rPr>
      </w:pPr>
    </w:p>
    <w:p w14:paraId="19BEA6B1">
      <w:pPr>
        <w:spacing w:after="50" w:line="240" w:lineRule="auto"/>
        <w:rPr>
          <w:rFonts w:hint="eastAsia"/>
          <w:b/>
          <w:bCs/>
          <w:color w:val="auto"/>
          <w:sz w:val="28"/>
          <w:szCs w:val="28"/>
        </w:rPr>
      </w:pPr>
    </w:p>
    <w:p w14:paraId="7250E105">
      <w:pPr>
        <w:spacing w:after="50" w:line="240" w:lineRule="auto"/>
        <w:rPr>
          <w:rFonts w:hint="eastAsia"/>
          <w:b/>
          <w:bCs/>
          <w:color w:val="auto"/>
          <w:sz w:val="24"/>
        </w:rPr>
      </w:pPr>
      <w:r>
        <w:rPr>
          <w:rFonts w:hint="eastAsia"/>
          <w:b/>
          <w:bCs/>
          <w:color w:val="auto"/>
          <w:sz w:val="24"/>
        </w:rPr>
        <w:t xml:space="preserve">附表二 </w:t>
      </w:r>
      <w:r>
        <w:rPr>
          <w:rFonts w:hint="eastAsia" w:ascii="宋体" w:hAnsi="宋体"/>
          <w:b/>
          <w:bCs/>
          <w:color w:val="auto"/>
          <w:sz w:val="24"/>
        </w:rPr>
        <w:t xml:space="preserve"> ⑵</w:t>
      </w:r>
      <w:r>
        <w:rPr>
          <w:rFonts w:hint="eastAsia"/>
          <w:b/>
          <w:bCs/>
          <w:color w:val="auto"/>
          <w:sz w:val="24"/>
        </w:rPr>
        <w:t>劳动力计划表</w:t>
      </w:r>
    </w:p>
    <w:p w14:paraId="594DCC7E">
      <w:pPr>
        <w:spacing w:after="50" w:line="240" w:lineRule="auto"/>
        <w:ind w:firstLine="3120" w:firstLineChars="1300"/>
        <w:rPr>
          <w:rFonts w:hint="eastAsia"/>
          <w:color w:val="auto"/>
          <w:sz w:val="24"/>
        </w:rPr>
      </w:pPr>
      <w:r>
        <w:rPr>
          <w:rFonts w:hint="eastAsia"/>
          <w:color w:val="auto"/>
          <w:sz w:val="24"/>
        </w:rPr>
        <w:t xml:space="preserve">                                       单位： 人  </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1103"/>
        <w:gridCol w:w="1103"/>
        <w:gridCol w:w="1103"/>
        <w:gridCol w:w="1103"/>
        <w:gridCol w:w="1286"/>
        <w:gridCol w:w="1286"/>
        <w:gridCol w:w="1388"/>
      </w:tblGrid>
      <w:tr w14:paraId="0150C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8" w:type="dxa"/>
            <w:vMerge w:val="restart"/>
            <w:vAlign w:val="center"/>
          </w:tcPr>
          <w:p w14:paraId="3F8BCB85">
            <w:pPr>
              <w:spacing w:after="50" w:line="240" w:lineRule="auto"/>
              <w:rPr>
                <w:rFonts w:hint="eastAsia"/>
                <w:color w:val="auto"/>
              </w:rPr>
            </w:pPr>
            <w:r>
              <w:rPr>
                <w:rFonts w:hint="eastAsia"/>
                <w:color w:val="auto"/>
              </w:rPr>
              <w:t>工种</w:t>
            </w:r>
          </w:p>
        </w:tc>
        <w:tc>
          <w:tcPr>
            <w:tcW w:w="8372" w:type="dxa"/>
            <w:gridSpan w:val="7"/>
            <w:vAlign w:val="center"/>
          </w:tcPr>
          <w:p w14:paraId="1A658C7E">
            <w:pPr>
              <w:spacing w:after="50" w:line="240" w:lineRule="auto"/>
              <w:rPr>
                <w:rFonts w:hint="eastAsia"/>
                <w:color w:val="auto"/>
              </w:rPr>
            </w:pPr>
            <w:r>
              <w:rPr>
                <w:rFonts w:hint="eastAsia"/>
                <w:color w:val="auto"/>
              </w:rPr>
              <w:t>按</w:t>
            </w:r>
            <w:r>
              <w:rPr>
                <w:rFonts w:hint="eastAsia" w:ascii="宋体" w:hAnsi="Courier New"/>
                <w:color w:val="auto"/>
                <w:szCs w:val="20"/>
              </w:rPr>
              <w:t>项目</w:t>
            </w:r>
            <w:r>
              <w:rPr>
                <w:rFonts w:hint="eastAsia"/>
                <w:color w:val="auto"/>
              </w:rPr>
              <w:t>施工阶段投入劳动力情况</w:t>
            </w:r>
          </w:p>
        </w:tc>
      </w:tr>
      <w:tr w14:paraId="6F7D3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8" w:type="dxa"/>
            <w:vMerge w:val="continue"/>
            <w:vAlign w:val="center"/>
          </w:tcPr>
          <w:p w14:paraId="6DC861A9">
            <w:pPr>
              <w:spacing w:after="50" w:line="240" w:lineRule="auto"/>
              <w:rPr>
                <w:rFonts w:hint="eastAsia"/>
                <w:color w:val="auto"/>
                <w:sz w:val="24"/>
              </w:rPr>
            </w:pPr>
          </w:p>
        </w:tc>
        <w:tc>
          <w:tcPr>
            <w:tcW w:w="1103" w:type="dxa"/>
            <w:vAlign w:val="center"/>
          </w:tcPr>
          <w:p w14:paraId="579842CD">
            <w:pPr>
              <w:spacing w:after="50" w:line="240" w:lineRule="auto"/>
              <w:rPr>
                <w:rFonts w:hint="eastAsia"/>
                <w:color w:val="auto"/>
                <w:sz w:val="24"/>
              </w:rPr>
            </w:pPr>
          </w:p>
        </w:tc>
        <w:tc>
          <w:tcPr>
            <w:tcW w:w="1103" w:type="dxa"/>
            <w:vAlign w:val="center"/>
          </w:tcPr>
          <w:p w14:paraId="5D2C080F">
            <w:pPr>
              <w:spacing w:after="50" w:line="240" w:lineRule="auto"/>
              <w:rPr>
                <w:rFonts w:hint="eastAsia"/>
                <w:color w:val="auto"/>
                <w:sz w:val="24"/>
              </w:rPr>
            </w:pPr>
          </w:p>
        </w:tc>
        <w:tc>
          <w:tcPr>
            <w:tcW w:w="1103" w:type="dxa"/>
            <w:vAlign w:val="center"/>
          </w:tcPr>
          <w:p w14:paraId="7563C87D">
            <w:pPr>
              <w:spacing w:after="50" w:line="240" w:lineRule="auto"/>
              <w:rPr>
                <w:rFonts w:hint="eastAsia"/>
                <w:color w:val="auto"/>
                <w:sz w:val="24"/>
              </w:rPr>
            </w:pPr>
          </w:p>
        </w:tc>
        <w:tc>
          <w:tcPr>
            <w:tcW w:w="1103" w:type="dxa"/>
            <w:vAlign w:val="center"/>
          </w:tcPr>
          <w:p w14:paraId="4BC1ABBE">
            <w:pPr>
              <w:spacing w:after="50" w:line="240" w:lineRule="auto"/>
              <w:rPr>
                <w:rFonts w:hint="eastAsia"/>
                <w:color w:val="auto"/>
                <w:sz w:val="24"/>
              </w:rPr>
            </w:pPr>
          </w:p>
        </w:tc>
        <w:tc>
          <w:tcPr>
            <w:tcW w:w="1286" w:type="dxa"/>
            <w:vAlign w:val="center"/>
          </w:tcPr>
          <w:p w14:paraId="6609F841">
            <w:pPr>
              <w:spacing w:after="50" w:line="240" w:lineRule="auto"/>
              <w:rPr>
                <w:rFonts w:hint="eastAsia"/>
                <w:color w:val="auto"/>
                <w:sz w:val="24"/>
              </w:rPr>
            </w:pPr>
          </w:p>
        </w:tc>
        <w:tc>
          <w:tcPr>
            <w:tcW w:w="1286" w:type="dxa"/>
            <w:vAlign w:val="center"/>
          </w:tcPr>
          <w:p w14:paraId="488909C6">
            <w:pPr>
              <w:spacing w:after="50" w:line="240" w:lineRule="auto"/>
              <w:rPr>
                <w:rFonts w:hint="eastAsia"/>
                <w:color w:val="auto"/>
                <w:sz w:val="24"/>
              </w:rPr>
            </w:pPr>
          </w:p>
        </w:tc>
        <w:tc>
          <w:tcPr>
            <w:tcW w:w="1388" w:type="dxa"/>
            <w:vAlign w:val="center"/>
          </w:tcPr>
          <w:p w14:paraId="7BEC773E">
            <w:pPr>
              <w:spacing w:after="50" w:line="240" w:lineRule="auto"/>
              <w:rPr>
                <w:rFonts w:hint="eastAsia"/>
                <w:color w:val="auto"/>
                <w:sz w:val="24"/>
              </w:rPr>
            </w:pPr>
          </w:p>
        </w:tc>
      </w:tr>
      <w:tr w14:paraId="37A3B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8" w:type="dxa"/>
            <w:vAlign w:val="top"/>
          </w:tcPr>
          <w:p w14:paraId="79AAAE11">
            <w:pPr>
              <w:spacing w:after="50" w:line="240" w:lineRule="auto"/>
              <w:rPr>
                <w:rFonts w:hint="eastAsia"/>
                <w:color w:val="auto"/>
                <w:sz w:val="24"/>
              </w:rPr>
            </w:pPr>
          </w:p>
        </w:tc>
        <w:tc>
          <w:tcPr>
            <w:tcW w:w="1103" w:type="dxa"/>
            <w:vAlign w:val="top"/>
          </w:tcPr>
          <w:p w14:paraId="79F1320B">
            <w:pPr>
              <w:spacing w:after="50" w:line="240" w:lineRule="auto"/>
              <w:rPr>
                <w:rFonts w:hint="eastAsia"/>
                <w:color w:val="auto"/>
                <w:sz w:val="24"/>
              </w:rPr>
            </w:pPr>
          </w:p>
        </w:tc>
        <w:tc>
          <w:tcPr>
            <w:tcW w:w="1103" w:type="dxa"/>
            <w:vAlign w:val="top"/>
          </w:tcPr>
          <w:p w14:paraId="03C9EAB0">
            <w:pPr>
              <w:spacing w:after="50" w:line="240" w:lineRule="auto"/>
              <w:rPr>
                <w:rFonts w:hint="eastAsia"/>
                <w:color w:val="auto"/>
                <w:sz w:val="24"/>
              </w:rPr>
            </w:pPr>
          </w:p>
        </w:tc>
        <w:tc>
          <w:tcPr>
            <w:tcW w:w="1103" w:type="dxa"/>
            <w:vAlign w:val="top"/>
          </w:tcPr>
          <w:p w14:paraId="3DCA00A6">
            <w:pPr>
              <w:spacing w:after="50" w:line="240" w:lineRule="auto"/>
              <w:rPr>
                <w:rFonts w:hint="eastAsia"/>
                <w:color w:val="auto"/>
                <w:sz w:val="24"/>
              </w:rPr>
            </w:pPr>
          </w:p>
        </w:tc>
        <w:tc>
          <w:tcPr>
            <w:tcW w:w="1103" w:type="dxa"/>
            <w:vAlign w:val="top"/>
          </w:tcPr>
          <w:p w14:paraId="5BD3F0D5">
            <w:pPr>
              <w:spacing w:after="50" w:line="240" w:lineRule="auto"/>
              <w:rPr>
                <w:rFonts w:hint="eastAsia"/>
                <w:color w:val="auto"/>
                <w:sz w:val="24"/>
              </w:rPr>
            </w:pPr>
          </w:p>
        </w:tc>
        <w:tc>
          <w:tcPr>
            <w:tcW w:w="1286" w:type="dxa"/>
            <w:vAlign w:val="top"/>
          </w:tcPr>
          <w:p w14:paraId="51109DA7">
            <w:pPr>
              <w:spacing w:after="50" w:line="240" w:lineRule="auto"/>
              <w:rPr>
                <w:rFonts w:hint="eastAsia"/>
                <w:color w:val="auto"/>
                <w:sz w:val="24"/>
              </w:rPr>
            </w:pPr>
          </w:p>
        </w:tc>
        <w:tc>
          <w:tcPr>
            <w:tcW w:w="1286" w:type="dxa"/>
            <w:vAlign w:val="top"/>
          </w:tcPr>
          <w:p w14:paraId="433CF31E">
            <w:pPr>
              <w:spacing w:after="50" w:line="240" w:lineRule="auto"/>
              <w:rPr>
                <w:rFonts w:hint="eastAsia"/>
                <w:color w:val="auto"/>
                <w:sz w:val="24"/>
              </w:rPr>
            </w:pPr>
          </w:p>
        </w:tc>
        <w:tc>
          <w:tcPr>
            <w:tcW w:w="1388" w:type="dxa"/>
            <w:vAlign w:val="top"/>
          </w:tcPr>
          <w:p w14:paraId="4A46583E">
            <w:pPr>
              <w:spacing w:after="50" w:line="240" w:lineRule="auto"/>
              <w:rPr>
                <w:rFonts w:hint="eastAsia"/>
                <w:color w:val="auto"/>
                <w:sz w:val="24"/>
              </w:rPr>
            </w:pPr>
          </w:p>
        </w:tc>
      </w:tr>
      <w:tr w14:paraId="40F7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8" w:type="dxa"/>
            <w:vAlign w:val="top"/>
          </w:tcPr>
          <w:p w14:paraId="37286BB6">
            <w:pPr>
              <w:spacing w:after="50" w:line="240" w:lineRule="auto"/>
              <w:rPr>
                <w:rFonts w:hint="eastAsia"/>
                <w:color w:val="auto"/>
                <w:sz w:val="24"/>
              </w:rPr>
            </w:pPr>
          </w:p>
        </w:tc>
        <w:tc>
          <w:tcPr>
            <w:tcW w:w="1103" w:type="dxa"/>
            <w:vAlign w:val="top"/>
          </w:tcPr>
          <w:p w14:paraId="45101635">
            <w:pPr>
              <w:spacing w:after="50" w:line="240" w:lineRule="auto"/>
              <w:rPr>
                <w:rFonts w:hint="eastAsia"/>
                <w:color w:val="auto"/>
                <w:sz w:val="24"/>
              </w:rPr>
            </w:pPr>
          </w:p>
        </w:tc>
        <w:tc>
          <w:tcPr>
            <w:tcW w:w="1103" w:type="dxa"/>
            <w:vAlign w:val="top"/>
          </w:tcPr>
          <w:p w14:paraId="3711D4EA">
            <w:pPr>
              <w:spacing w:after="50" w:line="240" w:lineRule="auto"/>
              <w:rPr>
                <w:rFonts w:hint="eastAsia"/>
                <w:color w:val="auto"/>
                <w:sz w:val="24"/>
              </w:rPr>
            </w:pPr>
          </w:p>
        </w:tc>
        <w:tc>
          <w:tcPr>
            <w:tcW w:w="1103" w:type="dxa"/>
            <w:vAlign w:val="top"/>
          </w:tcPr>
          <w:p w14:paraId="45966CEB">
            <w:pPr>
              <w:spacing w:after="50" w:line="240" w:lineRule="auto"/>
              <w:rPr>
                <w:rFonts w:hint="eastAsia"/>
                <w:color w:val="auto"/>
                <w:sz w:val="24"/>
              </w:rPr>
            </w:pPr>
          </w:p>
        </w:tc>
        <w:tc>
          <w:tcPr>
            <w:tcW w:w="1103" w:type="dxa"/>
            <w:vAlign w:val="top"/>
          </w:tcPr>
          <w:p w14:paraId="5359E09B">
            <w:pPr>
              <w:spacing w:after="50" w:line="240" w:lineRule="auto"/>
              <w:rPr>
                <w:rFonts w:hint="eastAsia"/>
                <w:color w:val="auto"/>
                <w:sz w:val="24"/>
              </w:rPr>
            </w:pPr>
          </w:p>
        </w:tc>
        <w:tc>
          <w:tcPr>
            <w:tcW w:w="1286" w:type="dxa"/>
            <w:vAlign w:val="top"/>
          </w:tcPr>
          <w:p w14:paraId="33F40CF5">
            <w:pPr>
              <w:pStyle w:val="41"/>
              <w:tabs>
                <w:tab w:val="right" w:leader="dot" w:pos="9174"/>
              </w:tabs>
              <w:spacing w:line="240" w:lineRule="auto"/>
              <w:rPr>
                <w:rFonts w:hint="eastAsia"/>
                <w:color w:val="auto"/>
              </w:rPr>
            </w:pPr>
          </w:p>
        </w:tc>
        <w:tc>
          <w:tcPr>
            <w:tcW w:w="1286" w:type="dxa"/>
            <w:vAlign w:val="top"/>
          </w:tcPr>
          <w:p w14:paraId="5237A060">
            <w:pPr>
              <w:spacing w:after="50" w:line="240" w:lineRule="auto"/>
              <w:rPr>
                <w:rFonts w:hint="eastAsia"/>
                <w:color w:val="auto"/>
                <w:sz w:val="24"/>
              </w:rPr>
            </w:pPr>
          </w:p>
        </w:tc>
        <w:tc>
          <w:tcPr>
            <w:tcW w:w="1388" w:type="dxa"/>
            <w:vAlign w:val="top"/>
          </w:tcPr>
          <w:p w14:paraId="0B1958FA">
            <w:pPr>
              <w:spacing w:after="50" w:line="240" w:lineRule="auto"/>
              <w:rPr>
                <w:rFonts w:hint="eastAsia"/>
                <w:color w:val="auto"/>
                <w:sz w:val="24"/>
              </w:rPr>
            </w:pPr>
          </w:p>
        </w:tc>
      </w:tr>
      <w:tr w14:paraId="79D10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8" w:type="dxa"/>
            <w:vAlign w:val="top"/>
          </w:tcPr>
          <w:p w14:paraId="3390EABC">
            <w:pPr>
              <w:spacing w:after="50" w:line="240" w:lineRule="auto"/>
              <w:rPr>
                <w:rFonts w:hint="eastAsia"/>
                <w:color w:val="auto"/>
                <w:sz w:val="24"/>
              </w:rPr>
            </w:pPr>
          </w:p>
        </w:tc>
        <w:tc>
          <w:tcPr>
            <w:tcW w:w="1103" w:type="dxa"/>
            <w:vAlign w:val="top"/>
          </w:tcPr>
          <w:p w14:paraId="4ED5EC92">
            <w:pPr>
              <w:spacing w:after="50" w:line="240" w:lineRule="auto"/>
              <w:rPr>
                <w:rFonts w:hint="eastAsia"/>
                <w:color w:val="auto"/>
                <w:sz w:val="24"/>
              </w:rPr>
            </w:pPr>
          </w:p>
        </w:tc>
        <w:tc>
          <w:tcPr>
            <w:tcW w:w="1103" w:type="dxa"/>
            <w:vAlign w:val="top"/>
          </w:tcPr>
          <w:p w14:paraId="32075A71">
            <w:pPr>
              <w:spacing w:after="50" w:line="240" w:lineRule="auto"/>
              <w:rPr>
                <w:rFonts w:hint="eastAsia"/>
                <w:color w:val="auto"/>
                <w:sz w:val="24"/>
              </w:rPr>
            </w:pPr>
          </w:p>
        </w:tc>
        <w:tc>
          <w:tcPr>
            <w:tcW w:w="1103" w:type="dxa"/>
            <w:vAlign w:val="top"/>
          </w:tcPr>
          <w:p w14:paraId="5904FAF9">
            <w:pPr>
              <w:spacing w:after="50" w:line="240" w:lineRule="auto"/>
              <w:rPr>
                <w:rFonts w:hint="eastAsia"/>
                <w:color w:val="auto"/>
                <w:sz w:val="24"/>
              </w:rPr>
            </w:pPr>
          </w:p>
        </w:tc>
        <w:tc>
          <w:tcPr>
            <w:tcW w:w="1103" w:type="dxa"/>
            <w:vAlign w:val="top"/>
          </w:tcPr>
          <w:p w14:paraId="22461548">
            <w:pPr>
              <w:spacing w:after="50" w:line="240" w:lineRule="auto"/>
              <w:rPr>
                <w:rFonts w:hint="eastAsia"/>
                <w:color w:val="auto"/>
                <w:sz w:val="24"/>
              </w:rPr>
            </w:pPr>
          </w:p>
        </w:tc>
        <w:tc>
          <w:tcPr>
            <w:tcW w:w="1286" w:type="dxa"/>
            <w:vAlign w:val="top"/>
          </w:tcPr>
          <w:p w14:paraId="1AD0CA49">
            <w:pPr>
              <w:spacing w:after="50" w:line="240" w:lineRule="auto"/>
              <w:rPr>
                <w:rFonts w:hint="eastAsia"/>
                <w:color w:val="auto"/>
                <w:sz w:val="24"/>
              </w:rPr>
            </w:pPr>
          </w:p>
        </w:tc>
        <w:tc>
          <w:tcPr>
            <w:tcW w:w="1286" w:type="dxa"/>
            <w:vAlign w:val="top"/>
          </w:tcPr>
          <w:p w14:paraId="22C6F6CD">
            <w:pPr>
              <w:spacing w:after="50" w:line="240" w:lineRule="auto"/>
              <w:rPr>
                <w:rFonts w:hint="eastAsia"/>
                <w:color w:val="auto"/>
                <w:sz w:val="24"/>
              </w:rPr>
            </w:pPr>
          </w:p>
        </w:tc>
        <w:tc>
          <w:tcPr>
            <w:tcW w:w="1388" w:type="dxa"/>
            <w:vAlign w:val="top"/>
          </w:tcPr>
          <w:p w14:paraId="04A51E3B">
            <w:pPr>
              <w:spacing w:after="50" w:line="240" w:lineRule="auto"/>
              <w:rPr>
                <w:rFonts w:hint="eastAsia"/>
                <w:color w:val="auto"/>
                <w:sz w:val="24"/>
              </w:rPr>
            </w:pPr>
          </w:p>
        </w:tc>
      </w:tr>
      <w:tr w14:paraId="35BF5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8" w:type="dxa"/>
            <w:vAlign w:val="top"/>
          </w:tcPr>
          <w:p w14:paraId="58D67FD1">
            <w:pPr>
              <w:spacing w:after="50" w:line="240" w:lineRule="auto"/>
              <w:rPr>
                <w:rFonts w:hint="eastAsia"/>
                <w:color w:val="auto"/>
                <w:sz w:val="24"/>
              </w:rPr>
            </w:pPr>
          </w:p>
        </w:tc>
        <w:tc>
          <w:tcPr>
            <w:tcW w:w="1103" w:type="dxa"/>
            <w:vAlign w:val="top"/>
          </w:tcPr>
          <w:p w14:paraId="77182BBE">
            <w:pPr>
              <w:spacing w:after="50" w:line="240" w:lineRule="auto"/>
              <w:rPr>
                <w:rFonts w:hint="eastAsia"/>
                <w:color w:val="auto"/>
                <w:sz w:val="24"/>
              </w:rPr>
            </w:pPr>
          </w:p>
        </w:tc>
        <w:tc>
          <w:tcPr>
            <w:tcW w:w="1103" w:type="dxa"/>
            <w:vAlign w:val="top"/>
          </w:tcPr>
          <w:p w14:paraId="2716ABC6">
            <w:pPr>
              <w:spacing w:after="50" w:line="240" w:lineRule="auto"/>
              <w:rPr>
                <w:rFonts w:hint="eastAsia"/>
                <w:color w:val="auto"/>
                <w:sz w:val="24"/>
              </w:rPr>
            </w:pPr>
          </w:p>
        </w:tc>
        <w:tc>
          <w:tcPr>
            <w:tcW w:w="1103" w:type="dxa"/>
            <w:vAlign w:val="top"/>
          </w:tcPr>
          <w:p w14:paraId="2AEDEBD6">
            <w:pPr>
              <w:spacing w:after="50" w:line="240" w:lineRule="auto"/>
              <w:rPr>
                <w:rFonts w:hint="eastAsia"/>
                <w:color w:val="auto"/>
                <w:sz w:val="24"/>
              </w:rPr>
            </w:pPr>
          </w:p>
        </w:tc>
        <w:tc>
          <w:tcPr>
            <w:tcW w:w="1103" w:type="dxa"/>
            <w:vAlign w:val="top"/>
          </w:tcPr>
          <w:p w14:paraId="6E6DEB97">
            <w:pPr>
              <w:spacing w:after="50" w:line="240" w:lineRule="auto"/>
              <w:rPr>
                <w:rFonts w:hint="eastAsia"/>
                <w:color w:val="auto"/>
                <w:sz w:val="24"/>
              </w:rPr>
            </w:pPr>
          </w:p>
        </w:tc>
        <w:tc>
          <w:tcPr>
            <w:tcW w:w="1286" w:type="dxa"/>
            <w:vAlign w:val="top"/>
          </w:tcPr>
          <w:p w14:paraId="69B91C7F">
            <w:pPr>
              <w:spacing w:after="50" w:line="240" w:lineRule="auto"/>
              <w:rPr>
                <w:rFonts w:hint="eastAsia"/>
                <w:color w:val="auto"/>
                <w:sz w:val="24"/>
              </w:rPr>
            </w:pPr>
          </w:p>
        </w:tc>
        <w:tc>
          <w:tcPr>
            <w:tcW w:w="1286" w:type="dxa"/>
            <w:vAlign w:val="top"/>
          </w:tcPr>
          <w:p w14:paraId="4B4A33D0">
            <w:pPr>
              <w:spacing w:after="50" w:line="240" w:lineRule="auto"/>
              <w:rPr>
                <w:rFonts w:hint="eastAsia"/>
                <w:color w:val="auto"/>
                <w:sz w:val="24"/>
              </w:rPr>
            </w:pPr>
          </w:p>
        </w:tc>
        <w:tc>
          <w:tcPr>
            <w:tcW w:w="1388" w:type="dxa"/>
            <w:vAlign w:val="top"/>
          </w:tcPr>
          <w:p w14:paraId="62AAE8CC">
            <w:pPr>
              <w:spacing w:after="50" w:line="240" w:lineRule="auto"/>
              <w:rPr>
                <w:rFonts w:hint="eastAsia"/>
                <w:color w:val="auto"/>
                <w:sz w:val="24"/>
              </w:rPr>
            </w:pPr>
          </w:p>
        </w:tc>
      </w:tr>
      <w:tr w14:paraId="00618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8" w:type="dxa"/>
            <w:vAlign w:val="top"/>
          </w:tcPr>
          <w:p w14:paraId="6F0F9D35">
            <w:pPr>
              <w:spacing w:after="50" w:line="240" w:lineRule="auto"/>
              <w:rPr>
                <w:rFonts w:hint="eastAsia"/>
                <w:color w:val="auto"/>
                <w:sz w:val="24"/>
              </w:rPr>
            </w:pPr>
          </w:p>
        </w:tc>
        <w:tc>
          <w:tcPr>
            <w:tcW w:w="1103" w:type="dxa"/>
            <w:vAlign w:val="top"/>
          </w:tcPr>
          <w:p w14:paraId="45BB7C60">
            <w:pPr>
              <w:spacing w:after="50" w:line="240" w:lineRule="auto"/>
              <w:rPr>
                <w:rFonts w:hint="eastAsia"/>
                <w:color w:val="auto"/>
                <w:sz w:val="24"/>
              </w:rPr>
            </w:pPr>
          </w:p>
        </w:tc>
        <w:tc>
          <w:tcPr>
            <w:tcW w:w="1103" w:type="dxa"/>
            <w:vAlign w:val="top"/>
          </w:tcPr>
          <w:p w14:paraId="5657FCF9">
            <w:pPr>
              <w:spacing w:after="50" w:line="240" w:lineRule="auto"/>
              <w:rPr>
                <w:rFonts w:hint="eastAsia"/>
                <w:color w:val="auto"/>
                <w:sz w:val="24"/>
              </w:rPr>
            </w:pPr>
          </w:p>
        </w:tc>
        <w:tc>
          <w:tcPr>
            <w:tcW w:w="1103" w:type="dxa"/>
            <w:vAlign w:val="top"/>
          </w:tcPr>
          <w:p w14:paraId="5AAA10EE">
            <w:pPr>
              <w:spacing w:after="50" w:line="240" w:lineRule="auto"/>
              <w:rPr>
                <w:rFonts w:hint="eastAsia"/>
                <w:color w:val="auto"/>
                <w:sz w:val="24"/>
              </w:rPr>
            </w:pPr>
          </w:p>
        </w:tc>
        <w:tc>
          <w:tcPr>
            <w:tcW w:w="1103" w:type="dxa"/>
            <w:vAlign w:val="top"/>
          </w:tcPr>
          <w:p w14:paraId="6BA9D7A1">
            <w:pPr>
              <w:spacing w:after="50" w:line="240" w:lineRule="auto"/>
              <w:rPr>
                <w:rFonts w:hint="eastAsia"/>
                <w:color w:val="auto"/>
                <w:sz w:val="24"/>
              </w:rPr>
            </w:pPr>
          </w:p>
        </w:tc>
        <w:tc>
          <w:tcPr>
            <w:tcW w:w="1286" w:type="dxa"/>
            <w:vAlign w:val="top"/>
          </w:tcPr>
          <w:p w14:paraId="7732D6A0">
            <w:pPr>
              <w:spacing w:after="50" w:line="240" w:lineRule="auto"/>
              <w:rPr>
                <w:rFonts w:hint="eastAsia"/>
                <w:color w:val="auto"/>
                <w:sz w:val="24"/>
              </w:rPr>
            </w:pPr>
          </w:p>
        </w:tc>
        <w:tc>
          <w:tcPr>
            <w:tcW w:w="1286" w:type="dxa"/>
            <w:vAlign w:val="top"/>
          </w:tcPr>
          <w:p w14:paraId="0988DE7B">
            <w:pPr>
              <w:spacing w:after="50" w:line="240" w:lineRule="auto"/>
              <w:rPr>
                <w:rFonts w:hint="eastAsia"/>
                <w:color w:val="auto"/>
                <w:sz w:val="24"/>
              </w:rPr>
            </w:pPr>
          </w:p>
        </w:tc>
        <w:tc>
          <w:tcPr>
            <w:tcW w:w="1388" w:type="dxa"/>
            <w:vAlign w:val="top"/>
          </w:tcPr>
          <w:p w14:paraId="77A240FE">
            <w:pPr>
              <w:spacing w:after="50" w:line="240" w:lineRule="auto"/>
              <w:rPr>
                <w:rFonts w:hint="eastAsia"/>
                <w:color w:val="auto"/>
                <w:sz w:val="24"/>
              </w:rPr>
            </w:pPr>
          </w:p>
        </w:tc>
      </w:tr>
    </w:tbl>
    <w:p w14:paraId="656092C9">
      <w:pPr>
        <w:spacing w:after="50" w:line="240" w:lineRule="auto"/>
        <w:rPr>
          <w:rFonts w:hint="eastAsia"/>
          <w:color w:val="auto"/>
          <w:kern w:val="0"/>
        </w:rPr>
      </w:pPr>
      <w:r>
        <w:rPr>
          <w:rFonts w:hint="eastAsia"/>
          <w:color w:val="auto"/>
          <w:kern w:val="0"/>
        </w:rPr>
        <w:t>注：1.竞标人应按所列格式提交包括分包人在内的估计劳动力计划表。</w:t>
      </w:r>
    </w:p>
    <w:p w14:paraId="4311FBB3">
      <w:pPr>
        <w:spacing w:after="50" w:line="240" w:lineRule="auto"/>
        <w:ind w:firstLine="424" w:firstLineChars="200"/>
        <w:rPr>
          <w:rFonts w:hint="eastAsia"/>
          <w:color w:val="auto"/>
          <w:spacing w:val="1"/>
        </w:rPr>
      </w:pPr>
      <w:r>
        <w:rPr>
          <w:rFonts w:hint="eastAsia"/>
          <w:color w:val="auto"/>
          <w:spacing w:val="1"/>
        </w:rPr>
        <w:t>2.本计划表是以每班八小时工作制为基础编制</w:t>
      </w:r>
      <w:r>
        <w:rPr>
          <w:rFonts w:hint="eastAsia"/>
          <w:color w:val="auto"/>
          <w:spacing w:val="-7"/>
        </w:rPr>
        <w:t>的</w:t>
      </w:r>
      <w:r>
        <w:rPr>
          <w:rFonts w:hint="eastAsia"/>
          <w:color w:val="auto"/>
        </w:rPr>
        <w:t>。</w:t>
      </w:r>
    </w:p>
    <w:p w14:paraId="6E7D5F35">
      <w:pPr>
        <w:spacing w:after="50" w:line="240" w:lineRule="auto"/>
        <w:rPr>
          <w:color w:val="auto"/>
        </w:rPr>
      </w:pPr>
      <w:r>
        <w:rPr>
          <w:color w:val="auto"/>
        </w:rPr>
        <w:br w:type="page"/>
      </w:r>
    </w:p>
    <w:p w14:paraId="564A561F">
      <w:pPr>
        <w:spacing w:after="50" w:line="240" w:lineRule="auto"/>
        <w:rPr>
          <w:rFonts w:hint="eastAsia"/>
          <w:b/>
          <w:color w:val="auto"/>
          <w:sz w:val="24"/>
        </w:rPr>
      </w:pPr>
      <w:r>
        <w:rPr>
          <w:rFonts w:hint="eastAsia"/>
          <w:b/>
          <w:color w:val="auto"/>
          <w:sz w:val="24"/>
        </w:rPr>
        <w:t xml:space="preserve">附表三 </w:t>
      </w:r>
      <w:r>
        <w:rPr>
          <w:rFonts w:hint="eastAsia" w:ascii="宋体" w:hAnsi="宋体"/>
          <w:b/>
          <w:color w:val="auto"/>
          <w:sz w:val="24"/>
        </w:rPr>
        <w:t xml:space="preserve"> ⑶</w:t>
      </w:r>
      <w:r>
        <w:rPr>
          <w:rFonts w:hint="eastAsia"/>
          <w:b/>
          <w:bCs/>
          <w:color w:val="auto"/>
          <w:sz w:val="24"/>
        </w:rPr>
        <w:t>计划开、竣工日期和施工进度横道图（或网络网）</w:t>
      </w:r>
    </w:p>
    <w:p w14:paraId="4D4BB19D">
      <w:pPr>
        <w:snapToGrid w:val="0"/>
        <w:spacing w:after="50" w:line="240" w:lineRule="auto"/>
        <w:rPr>
          <w:rFonts w:hint="eastAsia"/>
          <w:color w:val="auto"/>
          <w:sz w:val="24"/>
        </w:rPr>
      </w:pPr>
    </w:p>
    <w:p w14:paraId="75A1ECC2">
      <w:pPr>
        <w:spacing w:after="120" w:line="240" w:lineRule="auto"/>
        <w:ind w:firstLine="420" w:firstLineChars="200"/>
        <w:rPr>
          <w:rFonts w:hint="eastAsia"/>
          <w:color w:val="auto"/>
        </w:rPr>
      </w:pPr>
      <w:r>
        <w:rPr>
          <w:rFonts w:hint="eastAsia"/>
          <w:color w:val="auto"/>
        </w:rPr>
        <w:t>1.竞标人应提交施工进度横道图（或网络网）或施工进度表，说明按</w:t>
      </w:r>
      <w:r>
        <w:rPr>
          <w:rFonts w:hint="eastAsia" w:ascii="宋体"/>
          <w:color w:val="auto"/>
        </w:rPr>
        <w:t>竞争性谈判文件</w:t>
      </w:r>
      <w:r>
        <w:rPr>
          <w:rFonts w:hint="eastAsia"/>
          <w:color w:val="auto"/>
        </w:rPr>
        <w:t>要求的工期进行施工的各个关键日期。成交的竞标人还应按合同条件有关条款的要求提交详细的施工进度计划。</w:t>
      </w:r>
    </w:p>
    <w:p w14:paraId="2348B761">
      <w:pPr>
        <w:spacing w:after="120" w:line="240" w:lineRule="auto"/>
        <w:ind w:firstLine="420" w:firstLineChars="200"/>
        <w:rPr>
          <w:rFonts w:hint="eastAsia"/>
          <w:color w:val="auto"/>
        </w:rPr>
      </w:pPr>
      <w:r>
        <w:rPr>
          <w:rFonts w:hint="eastAsia"/>
          <w:color w:val="auto"/>
        </w:rPr>
        <w:t>2.施工进度表可采用横道图（或网络网）表示，说明计划开工日期和各分项工程各阶段的完工日期和分包合同签订的日期。</w:t>
      </w:r>
    </w:p>
    <w:p w14:paraId="1FC99D39">
      <w:pPr>
        <w:spacing w:after="120" w:line="240" w:lineRule="auto"/>
        <w:ind w:firstLine="420" w:firstLineChars="200"/>
        <w:rPr>
          <w:rFonts w:hint="eastAsia"/>
          <w:color w:val="auto"/>
        </w:rPr>
      </w:pPr>
      <w:r>
        <w:rPr>
          <w:rFonts w:hint="eastAsia"/>
          <w:color w:val="auto"/>
        </w:rPr>
        <w:t>3.施工进度计划应与施工组织设计相适应。</w:t>
      </w:r>
    </w:p>
    <w:p w14:paraId="78A755EE">
      <w:pPr>
        <w:spacing w:after="50" w:line="240" w:lineRule="auto"/>
        <w:rPr>
          <w:rFonts w:hint="eastAsia"/>
          <w:color w:val="auto"/>
        </w:rPr>
      </w:pPr>
    </w:p>
    <w:p w14:paraId="482899A5">
      <w:pPr>
        <w:spacing w:after="50" w:line="240" w:lineRule="auto"/>
        <w:rPr>
          <w:rFonts w:hint="eastAsia"/>
          <w:color w:val="auto"/>
        </w:rPr>
      </w:pPr>
    </w:p>
    <w:p w14:paraId="7D8CAA1C">
      <w:pPr>
        <w:spacing w:after="50" w:line="240" w:lineRule="auto"/>
        <w:rPr>
          <w:rFonts w:hint="eastAsia"/>
          <w:color w:val="auto"/>
        </w:rPr>
      </w:pPr>
    </w:p>
    <w:p w14:paraId="77A37D7B">
      <w:pPr>
        <w:spacing w:after="50" w:line="240" w:lineRule="auto"/>
        <w:rPr>
          <w:rFonts w:hint="eastAsia"/>
          <w:color w:val="auto"/>
        </w:rPr>
      </w:pPr>
    </w:p>
    <w:p w14:paraId="7C9EBAFC">
      <w:pPr>
        <w:spacing w:after="50" w:line="240" w:lineRule="auto"/>
        <w:rPr>
          <w:rFonts w:hint="eastAsia"/>
          <w:b/>
          <w:bCs/>
          <w:color w:val="auto"/>
          <w:sz w:val="24"/>
        </w:rPr>
      </w:pPr>
      <w:r>
        <w:rPr>
          <w:rFonts w:hint="eastAsia"/>
          <w:b/>
          <w:bCs/>
          <w:color w:val="auto"/>
          <w:sz w:val="24"/>
        </w:rPr>
        <w:t xml:space="preserve">附表四  </w:t>
      </w:r>
      <w:r>
        <w:rPr>
          <w:rFonts w:hint="eastAsia" w:ascii="宋体" w:hAnsi="宋体"/>
          <w:b/>
          <w:bCs/>
          <w:color w:val="auto"/>
          <w:sz w:val="24"/>
        </w:rPr>
        <w:t>（4）</w:t>
      </w:r>
      <w:r>
        <w:rPr>
          <w:rFonts w:hint="eastAsia"/>
          <w:b/>
          <w:bCs/>
          <w:color w:val="auto"/>
          <w:sz w:val="24"/>
        </w:rPr>
        <w:t>临时用地表</w:t>
      </w:r>
    </w:p>
    <w:p w14:paraId="46660F0F">
      <w:pPr>
        <w:spacing w:after="50" w:line="240" w:lineRule="auto"/>
        <w:rPr>
          <w:rFonts w:hint="eastAsia"/>
          <w:color w:val="auto"/>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2"/>
        <w:gridCol w:w="2372"/>
        <w:gridCol w:w="2343"/>
        <w:gridCol w:w="2343"/>
      </w:tblGrid>
      <w:tr w14:paraId="13237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342" w:type="dxa"/>
            <w:vAlign w:val="center"/>
          </w:tcPr>
          <w:p w14:paraId="1C614DAE">
            <w:pPr>
              <w:spacing w:after="50" w:line="240" w:lineRule="auto"/>
              <w:jc w:val="center"/>
              <w:rPr>
                <w:rFonts w:hint="eastAsia"/>
                <w:color w:val="auto"/>
              </w:rPr>
            </w:pPr>
            <w:r>
              <w:rPr>
                <w:rFonts w:hint="eastAsia"/>
                <w:color w:val="auto"/>
              </w:rPr>
              <w:t>用 途</w:t>
            </w:r>
          </w:p>
        </w:tc>
        <w:tc>
          <w:tcPr>
            <w:tcW w:w="2372" w:type="dxa"/>
            <w:vAlign w:val="center"/>
          </w:tcPr>
          <w:p w14:paraId="7EC0C854">
            <w:pPr>
              <w:spacing w:after="50" w:line="240" w:lineRule="auto"/>
              <w:jc w:val="center"/>
              <w:rPr>
                <w:rFonts w:hint="eastAsia"/>
                <w:color w:val="auto"/>
              </w:rPr>
            </w:pPr>
            <w:r>
              <w:rPr>
                <w:rFonts w:hint="eastAsia"/>
                <w:color w:val="auto"/>
              </w:rPr>
              <w:t>面 积（平方米）</w:t>
            </w:r>
          </w:p>
        </w:tc>
        <w:tc>
          <w:tcPr>
            <w:tcW w:w="2343" w:type="dxa"/>
            <w:vAlign w:val="center"/>
          </w:tcPr>
          <w:p w14:paraId="24E25044">
            <w:pPr>
              <w:spacing w:after="50" w:line="240" w:lineRule="auto"/>
              <w:jc w:val="center"/>
              <w:rPr>
                <w:rFonts w:hint="eastAsia"/>
                <w:color w:val="auto"/>
              </w:rPr>
            </w:pPr>
            <w:r>
              <w:rPr>
                <w:rFonts w:hint="eastAsia"/>
                <w:color w:val="auto"/>
              </w:rPr>
              <w:t>位 置</w:t>
            </w:r>
          </w:p>
        </w:tc>
        <w:tc>
          <w:tcPr>
            <w:tcW w:w="2343" w:type="dxa"/>
            <w:vAlign w:val="center"/>
          </w:tcPr>
          <w:p w14:paraId="3B079866">
            <w:pPr>
              <w:spacing w:after="50" w:line="240" w:lineRule="auto"/>
              <w:jc w:val="center"/>
              <w:rPr>
                <w:rFonts w:hint="eastAsia"/>
                <w:color w:val="auto"/>
              </w:rPr>
            </w:pPr>
            <w:r>
              <w:rPr>
                <w:rFonts w:hint="eastAsia"/>
                <w:color w:val="auto"/>
              </w:rPr>
              <w:t>需用时间</w:t>
            </w:r>
          </w:p>
        </w:tc>
      </w:tr>
      <w:tr w14:paraId="011B8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342" w:type="dxa"/>
            <w:vAlign w:val="center"/>
          </w:tcPr>
          <w:p w14:paraId="042B3D2E">
            <w:pPr>
              <w:spacing w:after="50" w:line="240" w:lineRule="auto"/>
              <w:rPr>
                <w:rFonts w:hint="eastAsia"/>
                <w:color w:val="auto"/>
              </w:rPr>
            </w:pPr>
          </w:p>
        </w:tc>
        <w:tc>
          <w:tcPr>
            <w:tcW w:w="2372" w:type="dxa"/>
            <w:vAlign w:val="center"/>
          </w:tcPr>
          <w:p w14:paraId="2828328F">
            <w:pPr>
              <w:spacing w:after="50" w:line="240" w:lineRule="auto"/>
              <w:rPr>
                <w:rFonts w:hint="eastAsia"/>
                <w:color w:val="auto"/>
              </w:rPr>
            </w:pPr>
          </w:p>
        </w:tc>
        <w:tc>
          <w:tcPr>
            <w:tcW w:w="2343" w:type="dxa"/>
            <w:vAlign w:val="center"/>
          </w:tcPr>
          <w:p w14:paraId="3DC0BF61">
            <w:pPr>
              <w:spacing w:after="50" w:line="240" w:lineRule="auto"/>
              <w:rPr>
                <w:rFonts w:hint="eastAsia"/>
                <w:color w:val="auto"/>
              </w:rPr>
            </w:pPr>
          </w:p>
        </w:tc>
        <w:tc>
          <w:tcPr>
            <w:tcW w:w="2343" w:type="dxa"/>
            <w:vAlign w:val="center"/>
          </w:tcPr>
          <w:p w14:paraId="10406C75">
            <w:pPr>
              <w:spacing w:after="50" w:line="240" w:lineRule="auto"/>
              <w:rPr>
                <w:rFonts w:hint="eastAsia"/>
                <w:color w:val="auto"/>
              </w:rPr>
            </w:pPr>
          </w:p>
        </w:tc>
      </w:tr>
      <w:tr w14:paraId="2C4BF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342" w:type="dxa"/>
            <w:vAlign w:val="center"/>
          </w:tcPr>
          <w:p w14:paraId="71F744A3">
            <w:pPr>
              <w:spacing w:after="50" w:line="240" w:lineRule="auto"/>
              <w:rPr>
                <w:rFonts w:hint="eastAsia"/>
                <w:color w:val="auto"/>
              </w:rPr>
            </w:pPr>
          </w:p>
        </w:tc>
        <w:tc>
          <w:tcPr>
            <w:tcW w:w="2372" w:type="dxa"/>
            <w:vAlign w:val="center"/>
          </w:tcPr>
          <w:p w14:paraId="01F4E392">
            <w:pPr>
              <w:spacing w:after="50" w:line="240" w:lineRule="auto"/>
              <w:rPr>
                <w:rFonts w:hint="eastAsia"/>
                <w:color w:val="auto"/>
              </w:rPr>
            </w:pPr>
          </w:p>
        </w:tc>
        <w:tc>
          <w:tcPr>
            <w:tcW w:w="2343" w:type="dxa"/>
            <w:vAlign w:val="center"/>
          </w:tcPr>
          <w:p w14:paraId="6D4E6F45">
            <w:pPr>
              <w:spacing w:after="50" w:line="240" w:lineRule="auto"/>
              <w:rPr>
                <w:rFonts w:hint="eastAsia"/>
                <w:color w:val="auto"/>
              </w:rPr>
            </w:pPr>
          </w:p>
        </w:tc>
        <w:tc>
          <w:tcPr>
            <w:tcW w:w="2343" w:type="dxa"/>
            <w:vAlign w:val="center"/>
          </w:tcPr>
          <w:p w14:paraId="0D95AD98">
            <w:pPr>
              <w:spacing w:after="50" w:line="240" w:lineRule="auto"/>
              <w:rPr>
                <w:rFonts w:hint="eastAsia"/>
                <w:color w:val="auto"/>
              </w:rPr>
            </w:pPr>
          </w:p>
        </w:tc>
      </w:tr>
      <w:tr w14:paraId="1ECC0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342" w:type="dxa"/>
            <w:vAlign w:val="center"/>
          </w:tcPr>
          <w:p w14:paraId="0294DEEE">
            <w:pPr>
              <w:spacing w:after="50" w:line="240" w:lineRule="auto"/>
              <w:rPr>
                <w:rFonts w:hint="eastAsia"/>
                <w:color w:val="auto"/>
              </w:rPr>
            </w:pPr>
          </w:p>
        </w:tc>
        <w:tc>
          <w:tcPr>
            <w:tcW w:w="2372" w:type="dxa"/>
            <w:vAlign w:val="center"/>
          </w:tcPr>
          <w:p w14:paraId="2DE5C02C">
            <w:pPr>
              <w:spacing w:after="50" w:line="240" w:lineRule="auto"/>
              <w:rPr>
                <w:rFonts w:hint="eastAsia"/>
                <w:color w:val="auto"/>
              </w:rPr>
            </w:pPr>
          </w:p>
        </w:tc>
        <w:tc>
          <w:tcPr>
            <w:tcW w:w="2343" w:type="dxa"/>
            <w:vAlign w:val="center"/>
          </w:tcPr>
          <w:p w14:paraId="39C79EC7">
            <w:pPr>
              <w:spacing w:after="50" w:line="240" w:lineRule="auto"/>
              <w:rPr>
                <w:rFonts w:hint="eastAsia"/>
                <w:color w:val="auto"/>
              </w:rPr>
            </w:pPr>
          </w:p>
        </w:tc>
        <w:tc>
          <w:tcPr>
            <w:tcW w:w="2343" w:type="dxa"/>
            <w:vAlign w:val="center"/>
          </w:tcPr>
          <w:p w14:paraId="61FD8134">
            <w:pPr>
              <w:spacing w:after="50" w:line="240" w:lineRule="auto"/>
              <w:rPr>
                <w:rFonts w:hint="eastAsia"/>
                <w:color w:val="auto"/>
              </w:rPr>
            </w:pPr>
          </w:p>
        </w:tc>
      </w:tr>
      <w:tr w14:paraId="5C526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342" w:type="dxa"/>
            <w:vAlign w:val="center"/>
          </w:tcPr>
          <w:p w14:paraId="718BE26C">
            <w:pPr>
              <w:spacing w:after="50" w:line="240" w:lineRule="auto"/>
              <w:jc w:val="center"/>
              <w:rPr>
                <w:rFonts w:hint="eastAsia"/>
                <w:color w:val="auto"/>
              </w:rPr>
            </w:pPr>
            <w:r>
              <w:rPr>
                <w:rFonts w:hint="eastAsia"/>
                <w:color w:val="auto"/>
              </w:rPr>
              <w:t>合 计</w:t>
            </w:r>
          </w:p>
        </w:tc>
        <w:tc>
          <w:tcPr>
            <w:tcW w:w="2372" w:type="dxa"/>
            <w:vAlign w:val="center"/>
          </w:tcPr>
          <w:p w14:paraId="38957CA2">
            <w:pPr>
              <w:spacing w:after="50" w:line="240" w:lineRule="auto"/>
              <w:rPr>
                <w:rFonts w:hint="eastAsia"/>
                <w:color w:val="auto"/>
              </w:rPr>
            </w:pPr>
          </w:p>
        </w:tc>
        <w:tc>
          <w:tcPr>
            <w:tcW w:w="2343" w:type="dxa"/>
            <w:vAlign w:val="center"/>
          </w:tcPr>
          <w:p w14:paraId="22C82AAD">
            <w:pPr>
              <w:spacing w:after="50" w:line="240" w:lineRule="auto"/>
              <w:rPr>
                <w:rFonts w:hint="eastAsia"/>
                <w:color w:val="auto"/>
              </w:rPr>
            </w:pPr>
          </w:p>
        </w:tc>
        <w:tc>
          <w:tcPr>
            <w:tcW w:w="2343" w:type="dxa"/>
            <w:vAlign w:val="center"/>
          </w:tcPr>
          <w:p w14:paraId="3E1E4A2A">
            <w:pPr>
              <w:spacing w:after="50" w:line="240" w:lineRule="auto"/>
              <w:rPr>
                <w:rFonts w:hint="eastAsia"/>
                <w:color w:val="auto"/>
              </w:rPr>
            </w:pPr>
          </w:p>
        </w:tc>
      </w:tr>
    </w:tbl>
    <w:p w14:paraId="3D775316">
      <w:pPr>
        <w:spacing w:after="120" w:line="240" w:lineRule="auto"/>
        <w:rPr>
          <w:rFonts w:hint="eastAsia"/>
          <w:color w:val="auto"/>
        </w:rPr>
      </w:pPr>
      <w:r>
        <w:rPr>
          <w:rFonts w:hint="eastAsia"/>
          <w:color w:val="auto"/>
        </w:rPr>
        <w:t>注：1.竞标人应逐项填写本表，指出全部临时设施用地面积以及详细用途。</w:t>
      </w:r>
    </w:p>
    <w:p w14:paraId="0AF7DB72">
      <w:pPr>
        <w:spacing w:after="120" w:line="240" w:lineRule="auto"/>
        <w:ind w:firstLine="420" w:firstLineChars="200"/>
        <w:rPr>
          <w:rFonts w:hint="eastAsia"/>
          <w:color w:val="auto"/>
        </w:rPr>
      </w:pPr>
      <w:r>
        <w:rPr>
          <w:rFonts w:hint="eastAsia"/>
          <w:color w:val="auto"/>
        </w:rPr>
        <w:t>2.若本表不够，可加附页。</w:t>
      </w:r>
    </w:p>
    <w:p w14:paraId="4D83E7F5">
      <w:pPr>
        <w:pStyle w:val="101"/>
        <w:spacing w:line="240" w:lineRule="auto"/>
        <w:rPr>
          <w:rFonts w:hint="eastAsia" w:ascii="仿宋_GB2312" w:hAnsi="仿宋" w:eastAsia="仿宋_GB2312"/>
          <w:b/>
          <w:bCs/>
          <w:color w:val="auto"/>
        </w:rPr>
      </w:pPr>
    </w:p>
    <w:p w14:paraId="59576685">
      <w:pPr>
        <w:pStyle w:val="101"/>
        <w:spacing w:line="240" w:lineRule="auto"/>
        <w:rPr>
          <w:rFonts w:hint="eastAsia" w:ascii="仿宋_GB2312" w:hAnsi="仿宋" w:eastAsia="仿宋_GB2312"/>
          <w:b/>
          <w:bCs/>
          <w:color w:val="auto"/>
        </w:rPr>
      </w:pPr>
    </w:p>
    <w:p w14:paraId="2EA71FFC">
      <w:pPr>
        <w:pStyle w:val="101"/>
        <w:spacing w:line="240" w:lineRule="auto"/>
        <w:rPr>
          <w:rFonts w:hint="eastAsia" w:ascii="仿宋_GB2312" w:hAnsi="仿宋" w:eastAsia="仿宋_GB2312"/>
          <w:b/>
          <w:bCs/>
          <w:color w:val="auto"/>
        </w:rPr>
      </w:pPr>
    </w:p>
    <w:p w14:paraId="6FE5A6B4">
      <w:pPr>
        <w:pStyle w:val="101"/>
        <w:spacing w:line="240" w:lineRule="auto"/>
        <w:rPr>
          <w:rFonts w:hint="eastAsia" w:ascii="仿宋_GB2312" w:hAnsi="仿宋" w:eastAsia="仿宋_GB2312"/>
          <w:b/>
          <w:bCs/>
          <w:color w:val="auto"/>
        </w:rPr>
      </w:pPr>
    </w:p>
    <w:p w14:paraId="1813B6E8">
      <w:pPr>
        <w:spacing w:line="240" w:lineRule="auto"/>
        <w:ind w:firstLine="3855" w:firstLineChars="1600"/>
        <w:rPr>
          <w:rFonts w:hint="eastAsia" w:ascii="仿宋_GB2312" w:hAnsi="仿宋" w:eastAsia="仿宋_GB2312"/>
          <w:b/>
          <w:bCs/>
          <w:color w:val="auto"/>
          <w:sz w:val="24"/>
        </w:rPr>
      </w:pPr>
    </w:p>
    <w:p w14:paraId="1BE42476">
      <w:pPr>
        <w:pStyle w:val="101"/>
        <w:spacing w:line="240" w:lineRule="auto"/>
        <w:rPr>
          <w:rFonts w:hint="eastAsia" w:ascii="仿宋_GB2312" w:hAnsi="仿宋" w:eastAsia="仿宋_GB2312"/>
          <w:b/>
          <w:bCs/>
          <w:color w:val="auto"/>
        </w:rPr>
      </w:pPr>
    </w:p>
    <w:p w14:paraId="01B25B9B">
      <w:pPr>
        <w:pStyle w:val="101"/>
        <w:spacing w:line="240" w:lineRule="auto"/>
        <w:rPr>
          <w:rFonts w:hint="eastAsia" w:ascii="仿宋_GB2312" w:hAnsi="仿宋" w:eastAsia="仿宋_GB2312"/>
          <w:b/>
          <w:bCs/>
          <w:color w:val="auto"/>
        </w:rPr>
      </w:pPr>
    </w:p>
    <w:p w14:paraId="7B8A28B7">
      <w:pPr>
        <w:pStyle w:val="101"/>
        <w:spacing w:line="240" w:lineRule="auto"/>
        <w:rPr>
          <w:rFonts w:hint="eastAsia" w:ascii="仿宋_GB2312" w:hAnsi="仿宋" w:eastAsia="仿宋_GB2312"/>
          <w:b/>
          <w:bCs/>
          <w:color w:val="auto"/>
        </w:rPr>
      </w:pPr>
    </w:p>
    <w:p w14:paraId="725A0EFD">
      <w:pPr>
        <w:pStyle w:val="101"/>
        <w:spacing w:line="240" w:lineRule="auto"/>
        <w:rPr>
          <w:rFonts w:hint="eastAsia" w:ascii="仿宋_GB2312" w:hAnsi="仿宋" w:eastAsia="仿宋_GB2312"/>
          <w:b/>
          <w:bCs/>
          <w:color w:val="auto"/>
        </w:rPr>
      </w:pPr>
    </w:p>
    <w:p w14:paraId="4AE86434">
      <w:pPr>
        <w:pStyle w:val="101"/>
        <w:spacing w:line="240" w:lineRule="auto"/>
        <w:rPr>
          <w:rFonts w:hint="eastAsia" w:ascii="仿宋_GB2312" w:hAnsi="仿宋" w:eastAsia="仿宋_GB2312"/>
          <w:b/>
          <w:bCs/>
          <w:color w:val="auto"/>
        </w:rPr>
      </w:pPr>
    </w:p>
    <w:p w14:paraId="1305A547">
      <w:pPr>
        <w:pStyle w:val="101"/>
        <w:spacing w:line="240" w:lineRule="auto"/>
        <w:rPr>
          <w:rFonts w:hint="eastAsia" w:ascii="宋体" w:hAnsi="宋体"/>
          <w:b/>
          <w:bCs/>
          <w:color w:val="auto"/>
          <w:kern w:val="2"/>
          <w:sz w:val="30"/>
          <w:szCs w:val="30"/>
        </w:rPr>
      </w:pPr>
    </w:p>
    <w:p w14:paraId="1D5A71D7">
      <w:pPr>
        <w:snapToGrid w:val="0"/>
        <w:spacing w:line="240" w:lineRule="auto"/>
        <w:rPr>
          <w:rFonts w:hint="eastAsia" w:ascii="宋体" w:hAnsi="宋体"/>
          <w:b/>
          <w:bCs/>
          <w:color w:val="auto"/>
          <w:sz w:val="30"/>
          <w:szCs w:val="30"/>
        </w:rPr>
      </w:pPr>
      <w:r>
        <w:rPr>
          <w:rFonts w:hint="eastAsia" w:ascii="宋体" w:hAnsi="宋体"/>
          <w:b/>
          <w:bCs/>
          <w:color w:val="auto"/>
          <w:sz w:val="30"/>
          <w:szCs w:val="30"/>
        </w:rPr>
        <w:t xml:space="preserve">二、项目管理机构 </w:t>
      </w:r>
    </w:p>
    <w:p w14:paraId="34F7FCE9">
      <w:pPr>
        <w:autoSpaceDE w:val="0"/>
        <w:autoSpaceDN w:val="0"/>
        <w:spacing w:line="240" w:lineRule="auto"/>
        <w:ind w:left="4335" w:leftChars="1950" w:hanging="240" w:hangingChars="100"/>
        <w:jc w:val="right"/>
        <w:rPr>
          <w:rFonts w:hint="eastAsia" w:ascii="仿宋_GB2312" w:hAnsi="仿宋" w:eastAsia="仿宋_GB2312"/>
          <w:color w:val="auto"/>
          <w:kern w:val="0"/>
          <w:sz w:val="24"/>
        </w:rPr>
      </w:pPr>
    </w:p>
    <w:p w14:paraId="61F6AC9E">
      <w:pPr>
        <w:spacing w:line="240" w:lineRule="auto"/>
        <w:jc w:val="center"/>
        <w:rPr>
          <w:rFonts w:hint="eastAsia" w:ascii="黑体" w:eastAsia="黑体"/>
          <w:color w:val="auto"/>
          <w:sz w:val="24"/>
        </w:rPr>
      </w:pPr>
      <w:r>
        <w:rPr>
          <w:rFonts w:hint="eastAsia" w:ascii="黑体" w:eastAsia="黑体"/>
          <w:color w:val="auto"/>
          <w:sz w:val="24"/>
        </w:rPr>
        <w:t>㈠项目管理机构配备情况表</w:t>
      </w:r>
    </w:p>
    <w:p w14:paraId="36A3A79F">
      <w:pPr>
        <w:spacing w:after="50" w:line="240" w:lineRule="auto"/>
        <w:rPr>
          <w:rFonts w:hint="eastAsia"/>
          <w:color w:val="auto"/>
          <w:sz w:val="24"/>
        </w:rPr>
      </w:pP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275"/>
        <w:gridCol w:w="1169"/>
        <w:gridCol w:w="1488"/>
        <w:gridCol w:w="1488"/>
        <w:gridCol w:w="1488"/>
        <w:gridCol w:w="1532"/>
      </w:tblGrid>
      <w:tr w14:paraId="60E7F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960" w:type="dxa"/>
            <w:vMerge w:val="restart"/>
            <w:vAlign w:val="center"/>
          </w:tcPr>
          <w:p w14:paraId="459142D0">
            <w:pPr>
              <w:spacing w:after="50" w:line="240" w:lineRule="auto"/>
              <w:jc w:val="center"/>
              <w:rPr>
                <w:rFonts w:hint="eastAsia"/>
                <w:color w:val="auto"/>
              </w:rPr>
            </w:pPr>
            <w:r>
              <w:rPr>
                <w:rFonts w:hint="eastAsia"/>
                <w:color w:val="auto"/>
              </w:rPr>
              <w:t>职务</w:t>
            </w:r>
          </w:p>
        </w:tc>
        <w:tc>
          <w:tcPr>
            <w:tcW w:w="1275" w:type="dxa"/>
            <w:vMerge w:val="restart"/>
            <w:vAlign w:val="center"/>
          </w:tcPr>
          <w:p w14:paraId="662A7E5D">
            <w:pPr>
              <w:spacing w:after="50" w:line="240" w:lineRule="auto"/>
              <w:jc w:val="center"/>
              <w:rPr>
                <w:rFonts w:hint="eastAsia"/>
                <w:color w:val="auto"/>
              </w:rPr>
            </w:pPr>
            <w:r>
              <w:rPr>
                <w:rFonts w:hint="eastAsia"/>
                <w:color w:val="auto"/>
              </w:rPr>
              <w:t>姓名</w:t>
            </w:r>
          </w:p>
        </w:tc>
        <w:tc>
          <w:tcPr>
            <w:tcW w:w="1169" w:type="dxa"/>
            <w:vMerge w:val="restart"/>
            <w:vAlign w:val="center"/>
          </w:tcPr>
          <w:p w14:paraId="24EB1ED5">
            <w:pPr>
              <w:spacing w:after="50" w:line="240" w:lineRule="auto"/>
              <w:jc w:val="center"/>
              <w:rPr>
                <w:rFonts w:hint="eastAsia"/>
                <w:color w:val="auto"/>
              </w:rPr>
            </w:pPr>
            <w:r>
              <w:rPr>
                <w:rFonts w:hint="eastAsia"/>
                <w:color w:val="auto"/>
              </w:rPr>
              <w:t>职称</w:t>
            </w:r>
          </w:p>
        </w:tc>
        <w:tc>
          <w:tcPr>
            <w:tcW w:w="5996" w:type="dxa"/>
            <w:gridSpan w:val="4"/>
            <w:vAlign w:val="center"/>
          </w:tcPr>
          <w:p w14:paraId="64E79BC6">
            <w:pPr>
              <w:spacing w:after="50" w:line="240" w:lineRule="auto"/>
              <w:jc w:val="center"/>
              <w:rPr>
                <w:rFonts w:hint="eastAsia"/>
                <w:color w:val="auto"/>
              </w:rPr>
            </w:pPr>
            <w:r>
              <w:rPr>
                <w:rFonts w:hint="eastAsia"/>
                <w:color w:val="auto"/>
              </w:rPr>
              <w:t>执业或职业资格证明</w:t>
            </w:r>
          </w:p>
        </w:tc>
      </w:tr>
      <w:tr w14:paraId="10859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960" w:type="dxa"/>
            <w:vMerge w:val="continue"/>
            <w:vAlign w:val="center"/>
          </w:tcPr>
          <w:p w14:paraId="477E69A5">
            <w:pPr>
              <w:spacing w:after="50" w:line="240" w:lineRule="auto"/>
              <w:jc w:val="center"/>
              <w:rPr>
                <w:rFonts w:hint="eastAsia"/>
                <w:color w:val="auto"/>
              </w:rPr>
            </w:pPr>
          </w:p>
        </w:tc>
        <w:tc>
          <w:tcPr>
            <w:tcW w:w="1275" w:type="dxa"/>
            <w:vMerge w:val="continue"/>
            <w:vAlign w:val="center"/>
          </w:tcPr>
          <w:p w14:paraId="316F3EDD">
            <w:pPr>
              <w:spacing w:after="50" w:line="240" w:lineRule="auto"/>
              <w:jc w:val="center"/>
              <w:rPr>
                <w:rFonts w:hint="eastAsia"/>
                <w:color w:val="auto"/>
              </w:rPr>
            </w:pPr>
          </w:p>
        </w:tc>
        <w:tc>
          <w:tcPr>
            <w:tcW w:w="1169" w:type="dxa"/>
            <w:vMerge w:val="continue"/>
            <w:vAlign w:val="center"/>
          </w:tcPr>
          <w:p w14:paraId="3363FF51">
            <w:pPr>
              <w:spacing w:after="50" w:line="240" w:lineRule="auto"/>
              <w:jc w:val="center"/>
              <w:rPr>
                <w:rFonts w:hint="eastAsia"/>
                <w:color w:val="auto"/>
              </w:rPr>
            </w:pPr>
          </w:p>
        </w:tc>
        <w:tc>
          <w:tcPr>
            <w:tcW w:w="1488" w:type="dxa"/>
            <w:vAlign w:val="center"/>
          </w:tcPr>
          <w:p w14:paraId="5E1BA0BB">
            <w:pPr>
              <w:spacing w:after="50" w:line="240" w:lineRule="auto"/>
              <w:jc w:val="center"/>
              <w:rPr>
                <w:rFonts w:hint="eastAsia"/>
                <w:color w:val="auto"/>
              </w:rPr>
            </w:pPr>
            <w:r>
              <w:rPr>
                <w:rFonts w:hint="eastAsia"/>
                <w:color w:val="auto"/>
              </w:rPr>
              <w:t>证书名称</w:t>
            </w:r>
          </w:p>
        </w:tc>
        <w:tc>
          <w:tcPr>
            <w:tcW w:w="1488" w:type="dxa"/>
            <w:vAlign w:val="center"/>
          </w:tcPr>
          <w:p w14:paraId="4D5EF401">
            <w:pPr>
              <w:spacing w:after="50" w:line="240" w:lineRule="auto"/>
              <w:jc w:val="center"/>
              <w:rPr>
                <w:rFonts w:hint="eastAsia"/>
                <w:color w:val="auto"/>
              </w:rPr>
            </w:pPr>
            <w:r>
              <w:rPr>
                <w:rFonts w:hint="eastAsia"/>
                <w:color w:val="auto"/>
              </w:rPr>
              <w:t>级别</w:t>
            </w:r>
          </w:p>
        </w:tc>
        <w:tc>
          <w:tcPr>
            <w:tcW w:w="1488" w:type="dxa"/>
            <w:vAlign w:val="center"/>
          </w:tcPr>
          <w:p w14:paraId="5878A899">
            <w:pPr>
              <w:spacing w:after="50" w:line="240" w:lineRule="auto"/>
              <w:jc w:val="center"/>
              <w:rPr>
                <w:rFonts w:hint="eastAsia"/>
                <w:color w:val="auto"/>
              </w:rPr>
            </w:pPr>
            <w:r>
              <w:rPr>
                <w:rFonts w:hint="eastAsia"/>
                <w:color w:val="auto"/>
              </w:rPr>
              <w:t>证号</w:t>
            </w:r>
          </w:p>
        </w:tc>
        <w:tc>
          <w:tcPr>
            <w:tcW w:w="1532" w:type="dxa"/>
            <w:vAlign w:val="center"/>
          </w:tcPr>
          <w:p w14:paraId="37B0CE1D">
            <w:pPr>
              <w:spacing w:after="50" w:line="240" w:lineRule="auto"/>
              <w:jc w:val="center"/>
              <w:rPr>
                <w:rFonts w:hint="eastAsia"/>
                <w:color w:val="auto"/>
              </w:rPr>
            </w:pPr>
            <w:r>
              <w:rPr>
                <w:rFonts w:hint="eastAsia"/>
                <w:color w:val="auto"/>
              </w:rPr>
              <w:t>专业</w:t>
            </w:r>
          </w:p>
        </w:tc>
      </w:tr>
      <w:tr w14:paraId="3CD57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960" w:type="dxa"/>
            <w:vAlign w:val="top"/>
          </w:tcPr>
          <w:p w14:paraId="31050A4D">
            <w:pPr>
              <w:spacing w:after="50" w:line="240" w:lineRule="auto"/>
              <w:rPr>
                <w:rFonts w:hint="eastAsia"/>
                <w:color w:val="auto"/>
              </w:rPr>
            </w:pPr>
          </w:p>
        </w:tc>
        <w:tc>
          <w:tcPr>
            <w:tcW w:w="1275" w:type="dxa"/>
            <w:vAlign w:val="top"/>
          </w:tcPr>
          <w:p w14:paraId="04D42115">
            <w:pPr>
              <w:spacing w:after="50" w:line="240" w:lineRule="auto"/>
              <w:rPr>
                <w:rFonts w:hint="eastAsia"/>
                <w:color w:val="auto"/>
              </w:rPr>
            </w:pPr>
          </w:p>
        </w:tc>
        <w:tc>
          <w:tcPr>
            <w:tcW w:w="1169" w:type="dxa"/>
            <w:vAlign w:val="top"/>
          </w:tcPr>
          <w:p w14:paraId="15733769">
            <w:pPr>
              <w:spacing w:after="50" w:line="240" w:lineRule="auto"/>
              <w:rPr>
                <w:rFonts w:hint="eastAsia"/>
                <w:color w:val="auto"/>
              </w:rPr>
            </w:pPr>
          </w:p>
        </w:tc>
        <w:tc>
          <w:tcPr>
            <w:tcW w:w="1488" w:type="dxa"/>
            <w:vAlign w:val="top"/>
          </w:tcPr>
          <w:p w14:paraId="45B75D06">
            <w:pPr>
              <w:spacing w:after="50" w:line="240" w:lineRule="auto"/>
              <w:rPr>
                <w:rFonts w:hint="eastAsia"/>
                <w:color w:val="auto"/>
              </w:rPr>
            </w:pPr>
          </w:p>
        </w:tc>
        <w:tc>
          <w:tcPr>
            <w:tcW w:w="1488" w:type="dxa"/>
            <w:vAlign w:val="top"/>
          </w:tcPr>
          <w:p w14:paraId="65BCE243">
            <w:pPr>
              <w:spacing w:after="50" w:line="240" w:lineRule="auto"/>
              <w:rPr>
                <w:rFonts w:hint="eastAsia"/>
                <w:color w:val="auto"/>
              </w:rPr>
            </w:pPr>
          </w:p>
        </w:tc>
        <w:tc>
          <w:tcPr>
            <w:tcW w:w="1488" w:type="dxa"/>
            <w:vAlign w:val="top"/>
          </w:tcPr>
          <w:p w14:paraId="49888F86">
            <w:pPr>
              <w:spacing w:after="50" w:line="240" w:lineRule="auto"/>
              <w:rPr>
                <w:rFonts w:hint="eastAsia"/>
                <w:color w:val="auto"/>
              </w:rPr>
            </w:pPr>
          </w:p>
        </w:tc>
        <w:tc>
          <w:tcPr>
            <w:tcW w:w="1532" w:type="dxa"/>
            <w:vAlign w:val="top"/>
          </w:tcPr>
          <w:p w14:paraId="503730FA">
            <w:pPr>
              <w:spacing w:after="50" w:line="240" w:lineRule="auto"/>
              <w:rPr>
                <w:rFonts w:hint="eastAsia"/>
                <w:color w:val="auto"/>
              </w:rPr>
            </w:pPr>
          </w:p>
        </w:tc>
      </w:tr>
      <w:tr w14:paraId="3DAF2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960" w:type="dxa"/>
            <w:vAlign w:val="top"/>
          </w:tcPr>
          <w:p w14:paraId="1289DBE9">
            <w:pPr>
              <w:spacing w:after="50" w:line="240" w:lineRule="auto"/>
              <w:rPr>
                <w:rFonts w:hint="eastAsia"/>
                <w:color w:val="auto"/>
              </w:rPr>
            </w:pPr>
          </w:p>
        </w:tc>
        <w:tc>
          <w:tcPr>
            <w:tcW w:w="1275" w:type="dxa"/>
            <w:vAlign w:val="top"/>
          </w:tcPr>
          <w:p w14:paraId="387F3665">
            <w:pPr>
              <w:spacing w:after="50" w:line="240" w:lineRule="auto"/>
              <w:rPr>
                <w:rFonts w:hint="eastAsia"/>
                <w:color w:val="auto"/>
              </w:rPr>
            </w:pPr>
          </w:p>
        </w:tc>
        <w:tc>
          <w:tcPr>
            <w:tcW w:w="1169" w:type="dxa"/>
            <w:vAlign w:val="top"/>
          </w:tcPr>
          <w:p w14:paraId="4645120F">
            <w:pPr>
              <w:spacing w:after="50" w:line="240" w:lineRule="auto"/>
              <w:rPr>
                <w:rFonts w:hint="eastAsia"/>
                <w:color w:val="auto"/>
              </w:rPr>
            </w:pPr>
          </w:p>
        </w:tc>
        <w:tc>
          <w:tcPr>
            <w:tcW w:w="1488" w:type="dxa"/>
            <w:vAlign w:val="top"/>
          </w:tcPr>
          <w:p w14:paraId="73012B3E">
            <w:pPr>
              <w:spacing w:after="50" w:line="240" w:lineRule="auto"/>
              <w:rPr>
                <w:rFonts w:hint="eastAsia"/>
                <w:color w:val="auto"/>
              </w:rPr>
            </w:pPr>
          </w:p>
        </w:tc>
        <w:tc>
          <w:tcPr>
            <w:tcW w:w="1488" w:type="dxa"/>
            <w:vAlign w:val="top"/>
          </w:tcPr>
          <w:p w14:paraId="06AB1513">
            <w:pPr>
              <w:spacing w:after="50" w:line="240" w:lineRule="auto"/>
              <w:rPr>
                <w:rFonts w:hint="eastAsia"/>
                <w:color w:val="auto"/>
              </w:rPr>
            </w:pPr>
          </w:p>
        </w:tc>
        <w:tc>
          <w:tcPr>
            <w:tcW w:w="1488" w:type="dxa"/>
            <w:vAlign w:val="top"/>
          </w:tcPr>
          <w:p w14:paraId="5CD62A25">
            <w:pPr>
              <w:spacing w:after="50" w:line="240" w:lineRule="auto"/>
              <w:rPr>
                <w:rFonts w:hint="eastAsia"/>
                <w:color w:val="auto"/>
              </w:rPr>
            </w:pPr>
          </w:p>
        </w:tc>
        <w:tc>
          <w:tcPr>
            <w:tcW w:w="1532" w:type="dxa"/>
            <w:vAlign w:val="top"/>
          </w:tcPr>
          <w:p w14:paraId="0D54905C">
            <w:pPr>
              <w:spacing w:after="50" w:line="240" w:lineRule="auto"/>
              <w:rPr>
                <w:rFonts w:hint="eastAsia"/>
                <w:color w:val="auto"/>
              </w:rPr>
            </w:pPr>
          </w:p>
        </w:tc>
      </w:tr>
      <w:tr w14:paraId="20FB6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960" w:type="dxa"/>
            <w:vAlign w:val="top"/>
          </w:tcPr>
          <w:p w14:paraId="761EB1D7">
            <w:pPr>
              <w:spacing w:after="50" w:line="240" w:lineRule="auto"/>
              <w:rPr>
                <w:rFonts w:hint="eastAsia"/>
                <w:color w:val="auto"/>
              </w:rPr>
            </w:pPr>
          </w:p>
        </w:tc>
        <w:tc>
          <w:tcPr>
            <w:tcW w:w="1275" w:type="dxa"/>
            <w:vAlign w:val="top"/>
          </w:tcPr>
          <w:p w14:paraId="50F2674B">
            <w:pPr>
              <w:spacing w:after="50" w:line="240" w:lineRule="auto"/>
              <w:rPr>
                <w:rFonts w:hint="eastAsia"/>
                <w:color w:val="auto"/>
              </w:rPr>
            </w:pPr>
          </w:p>
        </w:tc>
        <w:tc>
          <w:tcPr>
            <w:tcW w:w="1169" w:type="dxa"/>
            <w:vAlign w:val="top"/>
          </w:tcPr>
          <w:p w14:paraId="1A75251D">
            <w:pPr>
              <w:spacing w:after="50" w:line="240" w:lineRule="auto"/>
              <w:rPr>
                <w:rFonts w:hint="eastAsia"/>
                <w:color w:val="auto"/>
              </w:rPr>
            </w:pPr>
          </w:p>
        </w:tc>
        <w:tc>
          <w:tcPr>
            <w:tcW w:w="1488" w:type="dxa"/>
            <w:vAlign w:val="top"/>
          </w:tcPr>
          <w:p w14:paraId="513F175F">
            <w:pPr>
              <w:spacing w:after="50" w:line="240" w:lineRule="auto"/>
              <w:rPr>
                <w:rFonts w:hint="eastAsia"/>
                <w:color w:val="auto"/>
              </w:rPr>
            </w:pPr>
          </w:p>
        </w:tc>
        <w:tc>
          <w:tcPr>
            <w:tcW w:w="1488" w:type="dxa"/>
            <w:vAlign w:val="top"/>
          </w:tcPr>
          <w:p w14:paraId="7B5FA693">
            <w:pPr>
              <w:spacing w:after="50" w:line="240" w:lineRule="auto"/>
              <w:rPr>
                <w:rFonts w:hint="eastAsia"/>
                <w:color w:val="auto"/>
              </w:rPr>
            </w:pPr>
          </w:p>
        </w:tc>
        <w:tc>
          <w:tcPr>
            <w:tcW w:w="1488" w:type="dxa"/>
            <w:vAlign w:val="top"/>
          </w:tcPr>
          <w:p w14:paraId="3B7D5F67">
            <w:pPr>
              <w:spacing w:after="50" w:line="240" w:lineRule="auto"/>
              <w:rPr>
                <w:rFonts w:hint="eastAsia"/>
                <w:color w:val="auto"/>
              </w:rPr>
            </w:pPr>
          </w:p>
        </w:tc>
        <w:tc>
          <w:tcPr>
            <w:tcW w:w="1532" w:type="dxa"/>
            <w:vAlign w:val="top"/>
          </w:tcPr>
          <w:p w14:paraId="2262E8D3">
            <w:pPr>
              <w:spacing w:after="50" w:line="240" w:lineRule="auto"/>
              <w:rPr>
                <w:rFonts w:hint="eastAsia"/>
                <w:color w:val="auto"/>
              </w:rPr>
            </w:pPr>
          </w:p>
        </w:tc>
      </w:tr>
      <w:tr w14:paraId="3F650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960" w:type="dxa"/>
            <w:vAlign w:val="top"/>
          </w:tcPr>
          <w:p w14:paraId="13F04397">
            <w:pPr>
              <w:spacing w:after="50" w:line="240" w:lineRule="auto"/>
              <w:rPr>
                <w:rFonts w:hint="eastAsia"/>
                <w:color w:val="auto"/>
              </w:rPr>
            </w:pPr>
          </w:p>
        </w:tc>
        <w:tc>
          <w:tcPr>
            <w:tcW w:w="1275" w:type="dxa"/>
            <w:vAlign w:val="top"/>
          </w:tcPr>
          <w:p w14:paraId="6F2F8D8A">
            <w:pPr>
              <w:spacing w:after="50" w:line="240" w:lineRule="auto"/>
              <w:rPr>
                <w:rFonts w:hint="eastAsia"/>
                <w:color w:val="auto"/>
              </w:rPr>
            </w:pPr>
          </w:p>
        </w:tc>
        <w:tc>
          <w:tcPr>
            <w:tcW w:w="1169" w:type="dxa"/>
            <w:vAlign w:val="top"/>
          </w:tcPr>
          <w:p w14:paraId="3B67FFD7">
            <w:pPr>
              <w:spacing w:after="50" w:line="240" w:lineRule="auto"/>
              <w:rPr>
                <w:rFonts w:hint="eastAsia"/>
                <w:color w:val="auto"/>
              </w:rPr>
            </w:pPr>
          </w:p>
        </w:tc>
        <w:tc>
          <w:tcPr>
            <w:tcW w:w="1488" w:type="dxa"/>
            <w:vAlign w:val="top"/>
          </w:tcPr>
          <w:p w14:paraId="16B71D8E">
            <w:pPr>
              <w:spacing w:after="50" w:line="240" w:lineRule="auto"/>
              <w:rPr>
                <w:rFonts w:hint="eastAsia"/>
                <w:color w:val="auto"/>
              </w:rPr>
            </w:pPr>
          </w:p>
        </w:tc>
        <w:tc>
          <w:tcPr>
            <w:tcW w:w="1488" w:type="dxa"/>
            <w:vAlign w:val="top"/>
          </w:tcPr>
          <w:p w14:paraId="4B212FEC">
            <w:pPr>
              <w:spacing w:after="50" w:line="240" w:lineRule="auto"/>
              <w:rPr>
                <w:rFonts w:hint="eastAsia"/>
                <w:color w:val="auto"/>
              </w:rPr>
            </w:pPr>
          </w:p>
        </w:tc>
        <w:tc>
          <w:tcPr>
            <w:tcW w:w="1488" w:type="dxa"/>
            <w:vAlign w:val="top"/>
          </w:tcPr>
          <w:p w14:paraId="5FDA2A8F">
            <w:pPr>
              <w:spacing w:after="50" w:line="240" w:lineRule="auto"/>
              <w:rPr>
                <w:rFonts w:hint="eastAsia"/>
                <w:color w:val="auto"/>
              </w:rPr>
            </w:pPr>
          </w:p>
        </w:tc>
        <w:tc>
          <w:tcPr>
            <w:tcW w:w="1532" w:type="dxa"/>
            <w:vAlign w:val="top"/>
          </w:tcPr>
          <w:p w14:paraId="7B5C77C8">
            <w:pPr>
              <w:spacing w:after="50" w:line="240" w:lineRule="auto"/>
              <w:rPr>
                <w:rFonts w:hint="eastAsia"/>
                <w:color w:val="auto"/>
              </w:rPr>
            </w:pPr>
          </w:p>
        </w:tc>
      </w:tr>
      <w:tr w14:paraId="421D9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960" w:type="dxa"/>
            <w:vAlign w:val="top"/>
          </w:tcPr>
          <w:p w14:paraId="70691EDC">
            <w:pPr>
              <w:spacing w:after="50" w:line="240" w:lineRule="auto"/>
              <w:rPr>
                <w:rFonts w:hint="eastAsia"/>
                <w:color w:val="auto"/>
              </w:rPr>
            </w:pPr>
          </w:p>
        </w:tc>
        <w:tc>
          <w:tcPr>
            <w:tcW w:w="1275" w:type="dxa"/>
            <w:vAlign w:val="top"/>
          </w:tcPr>
          <w:p w14:paraId="62B46D23">
            <w:pPr>
              <w:spacing w:after="50" w:line="240" w:lineRule="auto"/>
              <w:rPr>
                <w:rFonts w:hint="eastAsia"/>
                <w:color w:val="auto"/>
              </w:rPr>
            </w:pPr>
          </w:p>
        </w:tc>
        <w:tc>
          <w:tcPr>
            <w:tcW w:w="1169" w:type="dxa"/>
            <w:vAlign w:val="top"/>
          </w:tcPr>
          <w:p w14:paraId="57169C34">
            <w:pPr>
              <w:spacing w:after="50" w:line="240" w:lineRule="auto"/>
              <w:rPr>
                <w:rFonts w:hint="eastAsia"/>
                <w:color w:val="auto"/>
              </w:rPr>
            </w:pPr>
          </w:p>
        </w:tc>
        <w:tc>
          <w:tcPr>
            <w:tcW w:w="1488" w:type="dxa"/>
            <w:vAlign w:val="top"/>
          </w:tcPr>
          <w:p w14:paraId="57920B31">
            <w:pPr>
              <w:spacing w:after="50" w:line="240" w:lineRule="auto"/>
              <w:rPr>
                <w:rFonts w:hint="eastAsia"/>
                <w:color w:val="auto"/>
              </w:rPr>
            </w:pPr>
          </w:p>
        </w:tc>
        <w:tc>
          <w:tcPr>
            <w:tcW w:w="1488" w:type="dxa"/>
            <w:vAlign w:val="top"/>
          </w:tcPr>
          <w:p w14:paraId="4DD47D4A">
            <w:pPr>
              <w:spacing w:after="50" w:line="240" w:lineRule="auto"/>
              <w:rPr>
                <w:rFonts w:hint="eastAsia"/>
                <w:color w:val="auto"/>
              </w:rPr>
            </w:pPr>
          </w:p>
        </w:tc>
        <w:tc>
          <w:tcPr>
            <w:tcW w:w="1488" w:type="dxa"/>
            <w:vAlign w:val="top"/>
          </w:tcPr>
          <w:p w14:paraId="7D156E1C">
            <w:pPr>
              <w:spacing w:after="50" w:line="240" w:lineRule="auto"/>
              <w:rPr>
                <w:rFonts w:hint="eastAsia"/>
                <w:color w:val="auto"/>
              </w:rPr>
            </w:pPr>
          </w:p>
        </w:tc>
        <w:tc>
          <w:tcPr>
            <w:tcW w:w="1532" w:type="dxa"/>
            <w:vAlign w:val="top"/>
          </w:tcPr>
          <w:p w14:paraId="44EA5A8D">
            <w:pPr>
              <w:spacing w:after="50" w:line="240" w:lineRule="auto"/>
              <w:rPr>
                <w:rFonts w:hint="eastAsia"/>
                <w:color w:val="auto"/>
              </w:rPr>
            </w:pPr>
          </w:p>
        </w:tc>
      </w:tr>
      <w:tr w14:paraId="2252F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960" w:type="dxa"/>
            <w:vAlign w:val="top"/>
          </w:tcPr>
          <w:p w14:paraId="61A315FF">
            <w:pPr>
              <w:spacing w:after="50" w:line="240" w:lineRule="auto"/>
              <w:rPr>
                <w:rFonts w:hint="eastAsia"/>
                <w:color w:val="auto"/>
              </w:rPr>
            </w:pPr>
          </w:p>
        </w:tc>
        <w:tc>
          <w:tcPr>
            <w:tcW w:w="1275" w:type="dxa"/>
            <w:vAlign w:val="top"/>
          </w:tcPr>
          <w:p w14:paraId="18EC63FC">
            <w:pPr>
              <w:spacing w:after="50" w:line="240" w:lineRule="auto"/>
              <w:rPr>
                <w:rFonts w:hint="eastAsia"/>
                <w:color w:val="auto"/>
              </w:rPr>
            </w:pPr>
          </w:p>
        </w:tc>
        <w:tc>
          <w:tcPr>
            <w:tcW w:w="1169" w:type="dxa"/>
            <w:vAlign w:val="top"/>
          </w:tcPr>
          <w:p w14:paraId="4BB71CFB">
            <w:pPr>
              <w:spacing w:after="50" w:line="240" w:lineRule="auto"/>
              <w:rPr>
                <w:rFonts w:hint="eastAsia"/>
                <w:color w:val="auto"/>
              </w:rPr>
            </w:pPr>
          </w:p>
        </w:tc>
        <w:tc>
          <w:tcPr>
            <w:tcW w:w="1488" w:type="dxa"/>
            <w:vAlign w:val="top"/>
          </w:tcPr>
          <w:p w14:paraId="3AB81800">
            <w:pPr>
              <w:spacing w:after="50" w:line="240" w:lineRule="auto"/>
              <w:rPr>
                <w:rFonts w:hint="eastAsia"/>
                <w:color w:val="auto"/>
              </w:rPr>
            </w:pPr>
          </w:p>
        </w:tc>
        <w:tc>
          <w:tcPr>
            <w:tcW w:w="1488" w:type="dxa"/>
            <w:vAlign w:val="top"/>
          </w:tcPr>
          <w:p w14:paraId="620207E3">
            <w:pPr>
              <w:spacing w:after="50" w:line="240" w:lineRule="auto"/>
              <w:rPr>
                <w:rFonts w:hint="eastAsia"/>
                <w:color w:val="auto"/>
              </w:rPr>
            </w:pPr>
          </w:p>
        </w:tc>
        <w:tc>
          <w:tcPr>
            <w:tcW w:w="1488" w:type="dxa"/>
            <w:vAlign w:val="top"/>
          </w:tcPr>
          <w:p w14:paraId="2CA1A8F4">
            <w:pPr>
              <w:spacing w:after="50" w:line="240" w:lineRule="auto"/>
              <w:rPr>
                <w:rFonts w:hint="eastAsia"/>
                <w:color w:val="auto"/>
              </w:rPr>
            </w:pPr>
          </w:p>
        </w:tc>
        <w:tc>
          <w:tcPr>
            <w:tcW w:w="1532" w:type="dxa"/>
            <w:vAlign w:val="top"/>
          </w:tcPr>
          <w:p w14:paraId="2953F615">
            <w:pPr>
              <w:spacing w:after="50" w:line="240" w:lineRule="auto"/>
              <w:rPr>
                <w:rFonts w:hint="eastAsia"/>
                <w:color w:val="auto"/>
              </w:rPr>
            </w:pPr>
          </w:p>
        </w:tc>
      </w:tr>
      <w:tr w14:paraId="35E65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960" w:type="dxa"/>
            <w:vAlign w:val="top"/>
          </w:tcPr>
          <w:p w14:paraId="24A1B127">
            <w:pPr>
              <w:spacing w:after="50" w:line="240" w:lineRule="auto"/>
              <w:rPr>
                <w:rFonts w:hint="eastAsia"/>
                <w:color w:val="auto"/>
              </w:rPr>
            </w:pPr>
          </w:p>
        </w:tc>
        <w:tc>
          <w:tcPr>
            <w:tcW w:w="1275" w:type="dxa"/>
            <w:vAlign w:val="top"/>
          </w:tcPr>
          <w:p w14:paraId="6125B85F">
            <w:pPr>
              <w:spacing w:after="50" w:line="240" w:lineRule="auto"/>
              <w:rPr>
                <w:rFonts w:hint="eastAsia"/>
                <w:color w:val="auto"/>
              </w:rPr>
            </w:pPr>
          </w:p>
        </w:tc>
        <w:tc>
          <w:tcPr>
            <w:tcW w:w="1169" w:type="dxa"/>
            <w:vAlign w:val="top"/>
          </w:tcPr>
          <w:p w14:paraId="562F0C21">
            <w:pPr>
              <w:spacing w:after="50" w:line="240" w:lineRule="auto"/>
              <w:rPr>
                <w:rFonts w:hint="eastAsia"/>
                <w:color w:val="auto"/>
              </w:rPr>
            </w:pPr>
          </w:p>
        </w:tc>
        <w:tc>
          <w:tcPr>
            <w:tcW w:w="1488" w:type="dxa"/>
            <w:vAlign w:val="top"/>
          </w:tcPr>
          <w:p w14:paraId="04AD861A">
            <w:pPr>
              <w:spacing w:after="50" w:line="240" w:lineRule="auto"/>
              <w:rPr>
                <w:rFonts w:hint="eastAsia"/>
                <w:color w:val="auto"/>
              </w:rPr>
            </w:pPr>
          </w:p>
        </w:tc>
        <w:tc>
          <w:tcPr>
            <w:tcW w:w="1488" w:type="dxa"/>
            <w:vAlign w:val="top"/>
          </w:tcPr>
          <w:p w14:paraId="0024A32A">
            <w:pPr>
              <w:spacing w:after="50" w:line="240" w:lineRule="auto"/>
              <w:rPr>
                <w:rFonts w:hint="eastAsia"/>
                <w:color w:val="auto"/>
              </w:rPr>
            </w:pPr>
          </w:p>
        </w:tc>
        <w:tc>
          <w:tcPr>
            <w:tcW w:w="1488" w:type="dxa"/>
            <w:vAlign w:val="top"/>
          </w:tcPr>
          <w:p w14:paraId="015ABE3E">
            <w:pPr>
              <w:spacing w:after="50" w:line="240" w:lineRule="auto"/>
              <w:rPr>
                <w:rFonts w:hint="eastAsia"/>
                <w:color w:val="auto"/>
              </w:rPr>
            </w:pPr>
          </w:p>
        </w:tc>
        <w:tc>
          <w:tcPr>
            <w:tcW w:w="1532" w:type="dxa"/>
            <w:vAlign w:val="top"/>
          </w:tcPr>
          <w:p w14:paraId="3D6313C5">
            <w:pPr>
              <w:spacing w:after="50" w:line="240" w:lineRule="auto"/>
              <w:rPr>
                <w:rFonts w:hint="eastAsia"/>
                <w:color w:val="auto"/>
              </w:rPr>
            </w:pPr>
          </w:p>
        </w:tc>
      </w:tr>
      <w:tr w14:paraId="03926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960" w:type="dxa"/>
            <w:vAlign w:val="top"/>
          </w:tcPr>
          <w:p w14:paraId="2AB247B2">
            <w:pPr>
              <w:spacing w:after="50" w:line="240" w:lineRule="auto"/>
              <w:rPr>
                <w:rFonts w:hint="eastAsia"/>
                <w:color w:val="auto"/>
              </w:rPr>
            </w:pPr>
          </w:p>
        </w:tc>
        <w:tc>
          <w:tcPr>
            <w:tcW w:w="1275" w:type="dxa"/>
            <w:vAlign w:val="top"/>
          </w:tcPr>
          <w:p w14:paraId="19461D7B">
            <w:pPr>
              <w:spacing w:after="50" w:line="240" w:lineRule="auto"/>
              <w:rPr>
                <w:rFonts w:hint="eastAsia"/>
                <w:color w:val="auto"/>
              </w:rPr>
            </w:pPr>
          </w:p>
        </w:tc>
        <w:tc>
          <w:tcPr>
            <w:tcW w:w="1169" w:type="dxa"/>
            <w:vAlign w:val="top"/>
          </w:tcPr>
          <w:p w14:paraId="68E00C6B">
            <w:pPr>
              <w:spacing w:after="50" w:line="240" w:lineRule="auto"/>
              <w:rPr>
                <w:rFonts w:hint="eastAsia"/>
                <w:color w:val="auto"/>
              </w:rPr>
            </w:pPr>
          </w:p>
        </w:tc>
        <w:tc>
          <w:tcPr>
            <w:tcW w:w="1488" w:type="dxa"/>
            <w:vAlign w:val="top"/>
          </w:tcPr>
          <w:p w14:paraId="016C49EA">
            <w:pPr>
              <w:spacing w:after="50" w:line="240" w:lineRule="auto"/>
              <w:rPr>
                <w:rFonts w:hint="eastAsia"/>
                <w:color w:val="auto"/>
              </w:rPr>
            </w:pPr>
          </w:p>
        </w:tc>
        <w:tc>
          <w:tcPr>
            <w:tcW w:w="1488" w:type="dxa"/>
            <w:vAlign w:val="top"/>
          </w:tcPr>
          <w:p w14:paraId="2EED3A90">
            <w:pPr>
              <w:spacing w:after="50" w:line="240" w:lineRule="auto"/>
              <w:rPr>
                <w:rFonts w:hint="eastAsia"/>
                <w:color w:val="auto"/>
              </w:rPr>
            </w:pPr>
          </w:p>
        </w:tc>
        <w:tc>
          <w:tcPr>
            <w:tcW w:w="1488" w:type="dxa"/>
            <w:vAlign w:val="top"/>
          </w:tcPr>
          <w:p w14:paraId="2FD58D03">
            <w:pPr>
              <w:spacing w:after="50" w:line="240" w:lineRule="auto"/>
              <w:rPr>
                <w:rFonts w:hint="eastAsia"/>
                <w:color w:val="auto"/>
              </w:rPr>
            </w:pPr>
          </w:p>
        </w:tc>
        <w:tc>
          <w:tcPr>
            <w:tcW w:w="1532" w:type="dxa"/>
            <w:vAlign w:val="top"/>
          </w:tcPr>
          <w:p w14:paraId="2BA0CE6A">
            <w:pPr>
              <w:spacing w:after="50" w:line="240" w:lineRule="auto"/>
              <w:rPr>
                <w:rFonts w:hint="eastAsia"/>
                <w:color w:val="auto"/>
              </w:rPr>
            </w:pPr>
          </w:p>
        </w:tc>
      </w:tr>
      <w:tr w14:paraId="4FC92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960" w:type="dxa"/>
            <w:vAlign w:val="top"/>
          </w:tcPr>
          <w:p w14:paraId="0E481B27">
            <w:pPr>
              <w:spacing w:after="50" w:line="240" w:lineRule="auto"/>
              <w:rPr>
                <w:rFonts w:hint="eastAsia"/>
                <w:color w:val="auto"/>
              </w:rPr>
            </w:pPr>
          </w:p>
        </w:tc>
        <w:tc>
          <w:tcPr>
            <w:tcW w:w="1275" w:type="dxa"/>
            <w:vAlign w:val="top"/>
          </w:tcPr>
          <w:p w14:paraId="3DEC546D">
            <w:pPr>
              <w:spacing w:after="50" w:line="240" w:lineRule="auto"/>
              <w:rPr>
                <w:rFonts w:hint="eastAsia"/>
                <w:color w:val="auto"/>
              </w:rPr>
            </w:pPr>
          </w:p>
        </w:tc>
        <w:tc>
          <w:tcPr>
            <w:tcW w:w="1169" w:type="dxa"/>
            <w:vAlign w:val="top"/>
          </w:tcPr>
          <w:p w14:paraId="2B7DDE58">
            <w:pPr>
              <w:spacing w:after="50" w:line="240" w:lineRule="auto"/>
              <w:rPr>
                <w:rFonts w:hint="eastAsia"/>
                <w:color w:val="auto"/>
              </w:rPr>
            </w:pPr>
          </w:p>
        </w:tc>
        <w:tc>
          <w:tcPr>
            <w:tcW w:w="1488" w:type="dxa"/>
            <w:vAlign w:val="top"/>
          </w:tcPr>
          <w:p w14:paraId="7135F807">
            <w:pPr>
              <w:spacing w:after="50" w:line="240" w:lineRule="auto"/>
              <w:rPr>
                <w:rFonts w:hint="eastAsia"/>
                <w:color w:val="auto"/>
              </w:rPr>
            </w:pPr>
          </w:p>
        </w:tc>
        <w:tc>
          <w:tcPr>
            <w:tcW w:w="1488" w:type="dxa"/>
            <w:vAlign w:val="top"/>
          </w:tcPr>
          <w:p w14:paraId="1D1B7C25">
            <w:pPr>
              <w:spacing w:after="50" w:line="240" w:lineRule="auto"/>
              <w:rPr>
                <w:rFonts w:hint="eastAsia"/>
                <w:color w:val="auto"/>
              </w:rPr>
            </w:pPr>
          </w:p>
        </w:tc>
        <w:tc>
          <w:tcPr>
            <w:tcW w:w="1488" w:type="dxa"/>
            <w:vAlign w:val="top"/>
          </w:tcPr>
          <w:p w14:paraId="3F6F3A00">
            <w:pPr>
              <w:spacing w:after="50" w:line="240" w:lineRule="auto"/>
              <w:rPr>
                <w:rFonts w:hint="eastAsia"/>
                <w:color w:val="auto"/>
              </w:rPr>
            </w:pPr>
          </w:p>
        </w:tc>
        <w:tc>
          <w:tcPr>
            <w:tcW w:w="1532" w:type="dxa"/>
            <w:vAlign w:val="top"/>
          </w:tcPr>
          <w:p w14:paraId="174C7419">
            <w:pPr>
              <w:spacing w:after="50" w:line="240" w:lineRule="auto"/>
              <w:rPr>
                <w:rFonts w:hint="eastAsia"/>
                <w:color w:val="auto"/>
              </w:rPr>
            </w:pPr>
          </w:p>
        </w:tc>
      </w:tr>
      <w:tr w14:paraId="70B3E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960" w:type="dxa"/>
            <w:vAlign w:val="top"/>
          </w:tcPr>
          <w:p w14:paraId="3EF4E7BB">
            <w:pPr>
              <w:spacing w:after="50" w:line="240" w:lineRule="auto"/>
              <w:rPr>
                <w:rFonts w:hint="eastAsia"/>
                <w:color w:val="auto"/>
              </w:rPr>
            </w:pPr>
          </w:p>
        </w:tc>
        <w:tc>
          <w:tcPr>
            <w:tcW w:w="1275" w:type="dxa"/>
            <w:vAlign w:val="top"/>
          </w:tcPr>
          <w:p w14:paraId="56FDDFDC">
            <w:pPr>
              <w:spacing w:after="50" w:line="240" w:lineRule="auto"/>
              <w:rPr>
                <w:rFonts w:hint="eastAsia"/>
                <w:color w:val="auto"/>
              </w:rPr>
            </w:pPr>
          </w:p>
        </w:tc>
        <w:tc>
          <w:tcPr>
            <w:tcW w:w="1169" w:type="dxa"/>
            <w:vAlign w:val="top"/>
          </w:tcPr>
          <w:p w14:paraId="0C71C3C0">
            <w:pPr>
              <w:spacing w:after="50" w:line="240" w:lineRule="auto"/>
              <w:rPr>
                <w:rFonts w:hint="eastAsia"/>
                <w:color w:val="auto"/>
              </w:rPr>
            </w:pPr>
          </w:p>
        </w:tc>
        <w:tc>
          <w:tcPr>
            <w:tcW w:w="1488" w:type="dxa"/>
            <w:vAlign w:val="top"/>
          </w:tcPr>
          <w:p w14:paraId="6F9C9A06">
            <w:pPr>
              <w:spacing w:after="50" w:line="240" w:lineRule="auto"/>
              <w:rPr>
                <w:rFonts w:hint="eastAsia"/>
                <w:color w:val="auto"/>
              </w:rPr>
            </w:pPr>
          </w:p>
        </w:tc>
        <w:tc>
          <w:tcPr>
            <w:tcW w:w="1488" w:type="dxa"/>
            <w:vAlign w:val="top"/>
          </w:tcPr>
          <w:p w14:paraId="32DF4583">
            <w:pPr>
              <w:spacing w:after="50" w:line="240" w:lineRule="auto"/>
              <w:rPr>
                <w:rFonts w:hint="eastAsia"/>
                <w:color w:val="auto"/>
              </w:rPr>
            </w:pPr>
          </w:p>
        </w:tc>
        <w:tc>
          <w:tcPr>
            <w:tcW w:w="1488" w:type="dxa"/>
            <w:vAlign w:val="top"/>
          </w:tcPr>
          <w:p w14:paraId="1B5C599A">
            <w:pPr>
              <w:spacing w:after="50" w:line="240" w:lineRule="auto"/>
              <w:rPr>
                <w:rFonts w:hint="eastAsia"/>
                <w:color w:val="auto"/>
              </w:rPr>
            </w:pPr>
          </w:p>
        </w:tc>
        <w:tc>
          <w:tcPr>
            <w:tcW w:w="1532" w:type="dxa"/>
            <w:vAlign w:val="top"/>
          </w:tcPr>
          <w:p w14:paraId="13CC403B">
            <w:pPr>
              <w:spacing w:after="50" w:line="240" w:lineRule="auto"/>
              <w:rPr>
                <w:rFonts w:hint="eastAsia"/>
                <w:color w:val="auto"/>
              </w:rPr>
            </w:pPr>
          </w:p>
        </w:tc>
      </w:tr>
      <w:tr w14:paraId="10889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960" w:type="dxa"/>
            <w:vAlign w:val="top"/>
          </w:tcPr>
          <w:p w14:paraId="1F7A7581">
            <w:pPr>
              <w:spacing w:after="50" w:line="240" w:lineRule="auto"/>
              <w:rPr>
                <w:rFonts w:hint="eastAsia"/>
                <w:color w:val="auto"/>
              </w:rPr>
            </w:pPr>
          </w:p>
        </w:tc>
        <w:tc>
          <w:tcPr>
            <w:tcW w:w="1275" w:type="dxa"/>
            <w:vAlign w:val="top"/>
          </w:tcPr>
          <w:p w14:paraId="683ED12E">
            <w:pPr>
              <w:spacing w:after="50" w:line="240" w:lineRule="auto"/>
              <w:rPr>
                <w:rFonts w:hint="eastAsia"/>
                <w:color w:val="auto"/>
              </w:rPr>
            </w:pPr>
          </w:p>
        </w:tc>
        <w:tc>
          <w:tcPr>
            <w:tcW w:w="1169" w:type="dxa"/>
            <w:vAlign w:val="top"/>
          </w:tcPr>
          <w:p w14:paraId="5F66DCF1">
            <w:pPr>
              <w:spacing w:after="50" w:line="240" w:lineRule="auto"/>
              <w:rPr>
                <w:rFonts w:hint="eastAsia"/>
                <w:color w:val="auto"/>
              </w:rPr>
            </w:pPr>
          </w:p>
        </w:tc>
        <w:tc>
          <w:tcPr>
            <w:tcW w:w="1488" w:type="dxa"/>
            <w:vAlign w:val="top"/>
          </w:tcPr>
          <w:p w14:paraId="3C6DC9D1">
            <w:pPr>
              <w:spacing w:after="50" w:line="240" w:lineRule="auto"/>
              <w:rPr>
                <w:rFonts w:hint="eastAsia"/>
                <w:color w:val="auto"/>
              </w:rPr>
            </w:pPr>
          </w:p>
        </w:tc>
        <w:tc>
          <w:tcPr>
            <w:tcW w:w="1488" w:type="dxa"/>
            <w:vAlign w:val="top"/>
          </w:tcPr>
          <w:p w14:paraId="32E53922">
            <w:pPr>
              <w:spacing w:after="50" w:line="240" w:lineRule="auto"/>
              <w:rPr>
                <w:rFonts w:hint="eastAsia"/>
                <w:color w:val="auto"/>
              </w:rPr>
            </w:pPr>
          </w:p>
        </w:tc>
        <w:tc>
          <w:tcPr>
            <w:tcW w:w="1488" w:type="dxa"/>
            <w:vAlign w:val="top"/>
          </w:tcPr>
          <w:p w14:paraId="3F37332B">
            <w:pPr>
              <w:spacing w:after="50" w:line="240" w:lineRule="auto"/>
              <w:rPr>
                <w:rFonts w:hint="eastAsia"/>
                <w:color w:val="auto"/>
              </w:rPr>
            </w:pPr>
          </w:p>
        </w:tc>
        <w:tc>
          <w:tcPr>
            <w:tcW w:w="1532" w:type="dxa"/>
            <w:vAlign w:val="top"/>
          </w:tcPr>
          <w:p w14:paraId="31DB3639">
            <w:pPr>
              <w:spacing w:after="50" w:line="240" w:lineRule="auto"/>
              <w:rPr>
                <w:rFonts w:hint="eastAsia"/>
                <w:color w:val="auto"/>
              </w:rPr>
            </w:pPr>
          </w:p>
        </w:tc>
      </w:tr>
      <w:tr w14:paraId="5B347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960" w:type="dxa"/>
            <w:vAlign w:val="top"/>
          </w:tcPr>
          <w:p w14:paraId="56E0565B">
            <w:pPr>
              <w:spacing w:after="50" w:line="240" w:lineRule="auto"/>
              <w:rPr>
                <w:rFonts w:hint="eastAsia"/>
                <w:color w:val="auto"/>
              </w:rPr>
            </w:pPr>
          </w:p>
        </w:tc>
        <w:tc>
          <w:tcPr>
            <w:tcW w:w="1275" w:type="dxa"/>
            <w:vAlign w:val="top"/>
          </w:tcPr>
          <w:p w14:paraId="5457C7A2">
            <w:pPr>
              <w:spacing w:after="50" w:line="240" w:lineRule="auto"/>
              <w:rPr>
                <w:rFonts w:hint="eastAsia"/>
                <w:color w:val="auto"/>
              </w:rPr>
            </w:pPr>
          </w:p>
        </w:tc>
        <w:tc>
          <w:tcPr>
            <w:tcW w:w="1169" w:type="dxa"/>
            <w:vAlign w:val="top"/>
          </w:tcPr>
          <w:p w14:paraId="258B29F3">
            <w:pPr>
              <w:spacing w:after="50" w:line="240" w:lineRule="auto"/>
              <w:rPr>
                <w:rFonts w:hint="eastAsia"/>
                <w:color w:val="auto"/>
              </w:rPr>
            </w:pPr>
          </w:p>
        </w:tc>
        <w:tc>
          <w:tcPr>
            <w:tcW w:w="1488" w:type="dxa"/>
            <w:vAlign w:val="top"/>
          </w:tcPr>
          <w:p w14:paraId="65CF18E6">
            <w:pPr>
              <w:spacing w:after="50" w:line="240" w:lineRule="auto"/>
              <w:rPr>
                <w:rFonts w:hint="eastAsia"/>
                <w:color w:val="auto"/>
              </w:rPr>
            </w:pPr>
          </w:p>
        </w:tc>
        <w:tc>
          <w:tcPr>
            <w:tcW w:w="1488" w:type="dxa"/>
            <w:vAlign w:val="top"/>
          </w:tcPr>
          <w:p w14:paraId="6775EC54">
            <w:pPr>
              <w:spacing w:after="50" w:line="240" w:lineRule="auto"/>
              <w:rPr>
                <w:rFonts w:hint="eastAsia"/>
                <w:color w:val="auto"/>
              </w:rPr>
            </w:pPr>
          </w:p>
        </w:tc>
        <w:tc>
          <w:tcPr>
            <w:tcW w:w="1488" w:type="dxa"/>
            <w:vAlign w:val="top"/>
          </w:tcPr>
          <w:p w14:paraId="26CB1D9D">
            <w:pPr>
              <w:spacing w:after="50" w:line="240" w:lineRule="auto"/>
              <w:rPr>
                <w:rFonts w:hint="eastAsia"/>
                <w:color w:val="auto"/>
              </w:rPr>
            </w:pPr>
          </w:p>
        </w:tc>
        <w:tc>
          <w:tcPr>
            <w:tcW w:w="1532" w:type="dxa"/>
            <w:vAlign w:val="top"/>
          </w:tcPr>
          <w:p w14:paraId="26B8F7F5">
            <w:pPr>
              <w:spacing w:after="50" w:line="240" w:lineRule="auto"/>
              <w:rPr>
                <w:rFonts w:hint="eastAsia"/>
                <w:color w:val="auto"/>
              </w:rPr>
            </w:pPr>
          </w:p>
        </w:tc>
      </w:tr>
      <w:tr w14:paraId="43E91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960" w:type="dxa"/>
            <w:vAlign w:val="top"/>
          </w:tcPr>
          <w:p w14:paraId="20BF496C">
            <w:pPr>
              <w:spacing w:after="50" w:line="240" w:lineRule="auto"/>
              <w:rPr>
                <w:rFonts w:hint="eastAsia"/>
                <w:color w:val="auto"/>
              </w:rPr>
            </w:pPr>
          </w:p>
        </w:tc>
        <w:tc>
          <w:tcPr>
            <w:tcW w:w="1275" w:type="dxa"/>
            <w:vAlign w:val="top"/>
          </w:tcPr>
          <w:p w14:paraId="359222A9">
            <w:pPr>
              <w:spacing w:after="50" w:line="240" w:lineRule="auto"/>
              <w:rPr>
                <w:rFonts w:hint="eastAsia"/>
                <w:color w:val="auto"/>
              </w:rPr>
            </w:pPr>
          </w:p>
        </w:tc>
        <w:tc>
          <w:tcPr>
            <w:tcW w:w="1169" w:type="dxa"/>
            <w:vAlign w:val="top"/>
          </w:tcPr>
          <w:p w14:paraId="7A15C189">
            <w:pPr>
              <w:spacing w:after="50" w:line="240" w:lineRule="auto"/>
              <w:rPr>
                <w:rFonts w:hint="eastAsia"/>
                <w:color w:val="auto"/>
              </w:rPr>
            </w:pPr>
          </w:p>
        </w:tc>
        <w:tc>
          <w:tcPr>
            <w:tcW w:w="1488" w:type="dxa"/>
            <w:vAlign w:val="top"/>
          </w:tcPr>
          <w:p w14:paraId="6D11ED17">
            <w:pPr>
              <w:spacing w:after="50" w:line="240" w:lineRule="auto"/>
              <w:rPr>
                <w:rFonts w:hint="eastAsia"/>
                <w:color w:val="auto"/>
              </w:rPr>
            </w:pPr>
          </w:p>
        </w:tc>
        <w:tc>
          <w:tcPr>
            <w:tcW w:w="1488" w:type="dxa"/>
            <w:vAlign w:val="top"/>
          </w:tcPr>
          <w:p w14:paraId="59C1AE36">
            <w:pPr>
              <w:spacing w:after="50" w:line="240" w:lineRule="auto"/>
              <w:rPr>
                <w:rFonts w:hint="eastAsia"/>
                <w:color w:val="auto"/>
              </w:rPr>
            </w:pPr>
          </w:p>
        </w:tc>
        <w:tc>
          <w:tcPr>
            <w:tcW w:w="1488" w:type="dxa"/>
            <w:vAlign w:val="top"/>
          </w:tcPr>
          <w:p w14:paraId="6EF2E836">
            <w:pPr>
              <w:spacing w:after="50" w:line="240" w:lineRule="auto"/>
              <w:rPr>
                <w:rFonts w:hint="eastAsia"/>
                <w:color w:val="auto"/>
              </w:rPr>
            </w:pPr>
          </w:p>
        </w:tc>
        <w:tc>
          <w:tcPr>
            <w:tcW w:w="1532" w:type="dxa"/>
            <w:vAlign w:val="top"/>
          </w:tcPr>
          <w:p w14:paraId="65316D17">
            <w:pPr>
              <w:spacing w:after="50" w:line="240" w:lineRule="auto"/>
              <w:rPr>
                <w:rFonts w:hint="eastAsia"/>
                <w:color w:val="auto"/>
              </w:rPr>
            </w:pPr>
          </w:p>
        </w:tc>
      </w:tr>
      <w:tr w14:paraId="7C4BF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960" w:type="dxa"/>
            <w:vAlign w:val="top"/>
          </w:tcPr>
          <w:p w14:paraId="4783191F">
            <w:pPr>
              <w:spacing w:after="50" w:line="240" w:lineRule="auto"/>
              <w:rPr>
                <w:rFonts w:hint="eastAsia"/>
                <w:color w:val="auto"/>
              </w:rPr>
            </w:pPr>
          </w:p>
        </w:tc>
        <w:tc>
          <w:tcPr>
            <w:tcW w:w="1275" w:type="dxa"/>
            <w:vAlign w:val="top"/>
          </w:tcPr>
          <w:p w14:paraId="3DE29900">
            <w:pPr>
              <w:spacing w:after="50" w:line="240" w:lineRule="auto"/>
              <w:rPr>
                <w:rFonts w:hint="eastAsia"/>
                <w:color w:val="auto"/>
              </w:rPr>
            </w:pPr>
          </w:p>
        </w:tc>
        <w:tc>
          <w:tcPr>
            <w:tcW w:w="1169" w:type="dxa"/>
            <w:vAlign w:val="top"/>
          </w:tcPr>
          <w:p w14:paraId="698A9657">
            <w:pPr>
              <w:spacing w:after="50" w:line="240" w:lineRule="auto"/>
              <w:rPr>
                <w:rFonts w:hint="eastAsia"/>
                <w:color w:val="auto"/>
              </w:rPr>
            </w:pPr>
          </w:p>
        </w:tc>
        <w:tc>
          <w:tcPr>
            <w:tcW w:w="1488" w:type="dxa"/>
            <w:vAlign w:val="top"/>
          </w:tcPr>
          <w:p w14:paraId="3BBF62A4">
            <w:pPr>
              <w:spacing w:after="50" w:line="240" w:lineRule="auto"/>
              <w:rPr>
                <w:rFonts w:hint="eastAsia"/>
                <w:color w:val="auto"/>
              </w:rPr>
            </w:pPr>
          </w:p>
        </w:tc>
        <w:tc>
          <w:tcPr>
            <w:tcW w:w="1488" w:type="dxa"/>
            <w:vAlign w:val="top"/>
          </w:tcPr>
          <w:p w14:paraId="39512E34">
            <w:pPr>
              <w:spacing w:after="50" w:line="240" w:lineRule="auto"/>
              <w:rPr>
                <w:rFonts w:hint="eastAsia"/>
                <w:color w:val="auto"/>
              </w:rPr>
            </w:pPr>
          </w:p>
        </w:tc>
        <w:tc>
          <w:tcPr>
            <w:tcW w:w="1488" w:type="dxa"/>
            <w:vAlign w:val="top"/>
          </w:tcPr>
          <w:p w14:paraId="6CF21E26">
            <w:pPr>
              <w:spacing w:after="50" w:line="240" w:lineRule="auto"/>
              <w:rPr>
                <w:rFonts w:hint="eastAsia"/>
                <w:color w:val="auto"/>
              </w:rPr>
            </w:pPr>
          </w:p>
        </w:tc>
        <w:tc>
          <w:tcPr>
            <w:tcW w:w="1532" w:type="dxa"/>
            <w:vAlign w:val="top"/>
          </w:tcPr>
          <w:p w14:paraId="43B5E613">
            <w:pPr>
              <w:spacing w:after="50" w:line="240" w:lineRule="auto"/>
              <w:rPr>
                <w:rFonts w:hint="eastAsia"/>
                <w:color w:val="auto"/>
              </w:rPr>
            </w:pPr>
          </w:p>
        </w:tc>
      </w:tr>
      <w:tr w14:paraId="4F3DF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7" w:hRule="atLeast"/>
        </w:trPr>
        <w:tc>
          <w:tcPr>
            <w:tcW w:w="9400" w:type="dxa"/>
            <w:gridSpan w:val="7"/>
            <w:vAlign w:val="top"/>
          </w:tcPr>
          <w:p w14:paraId="4ABAE856">
            <w:pPr>
              <w:spacing w:after="50" w:line="240" w:lineRule="auto"/>
              <w:rPr>
                <w:rFonts w:hint="eastAsia"/>
                <w:color w:val="auto"/>
              </w:rPr>
            </w:pPr>
          </w:p>
          <w:p w14:paraId="5E478639">
            <w:pPr>
              <w:spacing w:after="50" w:line="240" w:lineRule="auto"/>
              <w:ind w:firstLine="420" w:firstLineChars="200"/>
              <w:rPr>
                <w:rFonts w:hint="eastAsia"/>
                <w:color w:val="auto"/>
              </w:rPr>
            </w:pPr>
            <w:r>
              <w:rPr>
                <w:rFonts w:hint="eastAsia"/>
                <w:color w:val="auto"/>
              </w:rPr>
              <w:t>一旦我单位成交，将实行项目经理师负责制，我方保证并配备上述项目管理机构。上述填报内容真实，若不真实，愿按有关规定接受处理。项目管理班子机构设置、职责分工等情况另附资料说明。</w:t>
            </w:r>
          </w:p>
        </w:tc>
      </w:tr>
    </w:tbl>
    <w:p w14:paraId="6AF770D1">
      <w:pPr>
        <w:spacing w:after="50" w:line="240" w:lineRule="auto"/>
        <w:rPr>
          <w:rFonts w:hint="eastAsia"/>
          <w:color w:val="auto"/>
        </w:rPr>
      </w:pPr>
    </w:p>
    <w:p w14:paraId="67C7A56A">
      <w:pPr>
        <w:spacing w:line="240" w:lineRule="auto"/>
        <w:jc w:val="center"/>
        <w:rPr>
          <w:rFonts w:hint="eastAsia" w:ascii="黑体" w:eastAsia="黑体"/>
          <w:color w:val="auto"/>
          <w:sz w:val="24"/>
        </w:rPr>
      </w:pPr>
    </w:p>
    <w:p w14:paraId="322C67A4">
      <w:pPr>
        <w:spacing w:line="240" w:lineRule="auto"/>
        <w:jc w:val="center"/>
        <w:rPr>
          <w:rFonts w:hint="eastAsia" w:ascii="黑体" w:eastAsia="黑体"/>
          <w:color w:val="auto"/>
          <w:sz w:val="24"/>
        </w:rPr>
      </w:pPr>
    </w:p>
    <w:p w14:paraId="1D1881BB">
      <w:pPr>
        <w:spacing w:line="240" w:lineRule="auto"/>
        <w:jc w:val="center"/>
        <w:rPr>
          <w:rFonts w:hint="eastAsia" w:ascii="黑体" w:eastAsia="黑体"/>
          <w:color w:val="auto"/>
          <w:sz w:val="24"/>
        </w:rPr>
      </w:pPr>
      <w:r>
        <w:rPr>
          <w:rFonts w:hint="eastAsia" w:ascii="黑体" w:eastAsia="黑体"/>
          <w:color w:val="auto"/>
          <w:sz w:val="24"/>
        </w:rPr>
        <w:t>㈡项目经理</w:t>
      </w:r>
      <w:r>
        <w:rPr>
          <w:rFonts w:ascii="黑体" w:eastAsia="黑体"/>
          <w:color w:val="auto"/>
          <w:sz w:val="24"/>
        </w:rPr>
        <w:t>简历表</w:t>
      </w:r>
    </w:p>
    <w:p w14:paraId="63301C24">
      <w:pPr>
        <w:spacing w:line="240" w:lineRule="auto"/>
        <w:rPr>
          <w:rFonts w:hint="eastAsia" w:ascii="宋体" w:hAnsi="宋体"/>
          <w:color w:val="auto"/>
          <w:szCs w:val="21"/>
        </w:rPr>
      </w:pPr>
      <w:r>
        <w:rPr>
          <w:rFonts w:hint="eastAsia" w:ascii="宋体" w:hAnsi="宋体"/>
          <w:color w:val="auto"/>
          <w:szCs w:val="21"/>
        </w:rPr>
        <w:t xml:space="preserve"> </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414"/>
        <w:gridCol w:w="207"/>
        <w:gridCol w:w="1039"/>
        <w:gridCol w:w="117"/>
        <w:gridCol w:w="960"/>
        <w:gridCol w:w="170"/>
        <w:gridCol w:w="253"/>
        <w:gridCol w:w="996"/>
        <w:gridCol w:w="261"/>
        <w:gridCol w:w="381"/>
        <w:gridCol w:w="812"/>
        <w:gridCol w:w="487"/>
        <w:gridCol w:w="142"/>
        <w:gridCol w:w="506"/>
        <w:gridCol w:w="297"/>
        <w:gridCol w:w="1274"/>
      </w:tblGrid>
      <w:tr w14:paraId="0EE09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040" w:type="dxa"/>
            <w:vAlign w:val="center"/>
          </w:tcPr>
          <w:p w14:paraId="370EE5D1">
            <w:pPr>
              <w:spacing w:line="240" w:lineRule="auto"/>
              <w:jc w:val="center"/>
              <w:rPr>
                <w:rFonts w:hint="eastAsia" w:ascii="宋体" w:hAnsi="宋体"/>
                <w:color w:val="auto"/>
                <w:szCs w:val="21"/>
              </w:rPr>
            </w:pPr>
            <w:r>
              <w:rPr>
                <w:rFonts w:hint="eastAsia" w:ascii="宋体" w:hAnsi="宋体"/>
                <w:color w:val="auto"/>
                <w:szCs w:val="21"/>
              </w:rPr>
              <w:t>姓名</w:t>
            </w:r>
          </w:p>
        </w:tc>
        <w:tc>
          <w:tcPr>
            <w:tcW w:w="1777" w:type="dxa"/>
            <w:gridSpan w:val="4"/>
            <w:vAlign w:val="center"/>
          </w:tcPr>
          <w:p w14:paraId="496CE3DF">
            <w:pPr>
              <w:spacing w:line="240" w:lineRule="auto"/>
              <w:jc w:val="center"/>
              <w:rPr>
                <w:rFonts w:hint="eastAsia" w:ascii="宋体" w:hAnsi="宋体"/>
                <w:color w:val="auto"/>
                <w:szCs w:val="21"/>
              </w:rPr>
            </w:pPr>
          </w:p>
        </w:tc>
        <w:tc>
          <w:tcPr>
            <w:tcW w:w="1383" w:type="dxa"/>
            <w:gridSpan w:val="3"/>
            <w:vAlign w:val="center"/>
          </w:tcPr>
          <w:p w14:paraId="5D98FF00">
            <w:pPr>
              <w:spacing w:line="240" w:lineRule="auto"/>
              <w:jc w:val="center"/>
              <w:rPr>
                <w:rFonts w:hint="eastAsia" w:ascii="宋体" w:hAnsi="宋体"/>
                <w:color w:val="auto"/>
                <w:szCs w:val="21"/>
              </w:rPr>
            </w:pPr>
            <w:r>
              <w:rPr>
                <w:rFonts w:hint="eastAsia" w:ascii="宋体" w:hAnsi="宋体"/>
                <w:color w:val="auto"/>
                <w:szCs w:val="21"/>
              </w:rPr>
              <w:t>性别</w:t>
            </w:r>
          </w:p>
        </w:tc>
        <w:tc>
          <w:tcPr>
            <w:tcW w:w="1638" w:type="dxa"/>
            <w:gridSpan w:val="3"/>
            <w:vAlign w:val="center"/>
          </w:tcPr>
          <w:p w14:paraId="5452ADC8">
            <w:pPr>
              <w:spacing w:line="240" w:lineRule="auto"/>
              <w:jc w:val="center"/>
              <w:rPr>
                <w:rFonts w:hint="eastAsia" w:ascii="宋体" w:hAnsi="宋体"/>
                <w:color w:val="auto"/>
                <w:szCs w:val="21"/>
              </w:rPr>
            </w:pPr>
          </w:p>
        </w:tc>
        <w:tc>
          <w:tcPr>
            <w:tcW w:w="1441" w:type="dxa"/>
            <w:gridSpan w:val="3"/>
            <w:vAlign w:val="center"/>
          </w:tcPr>
          <w:p w14:paraId="6BB38D43">
            <w:pPr>
              <w:spacing w:line="240" w:lineRule="auto"/>
              <w:jc w:val="center"/>
              <w:rPr>
                <w:rFonts w:hint="eastAsia" w:ascii="宋体" w:hAnsi="宋体"/>
                <w:color w:val="auto"/>
                <w:szCs w:val="21"/>
              </w:rPr>
            </w:pPr>
            <w:r>
              <w:rPr>
                <w:rFonts w:hint="eastAsia" w:ascii="宋体" w:hAnsi="宋体"/>
                <w:color w:val="auto"/>
                <w:szCs w:val="21"/>
              </w:rPr>
              <w:t>年龄</w:t>
            </w:r>
          </w:p>
        </w:tc>
        <w:tc>
          <w:tcPr>
            <w:tcW w:w="2077" w:type="dxa"/>
            <w:gridSpan w:val="3"/>
            <w:vAlign w:val="center"/>
          </w:tcPr>
          <w:p w14:paraId="552319CE">
            <w:pPr>
              <w:spacing w:line="240" w:lineRule="auto"/>
              <w:jc w:val="center"/>
              <w:rPr>
                <w:rFonts w:hint="eastAsia" w:ascii="宋体" w:hAnsi="宋体"/>
                <w:color w:val="auto"/>
                <w:szCs w:val="21"/>
              </w:rPr>
            </w:pPr>
          </w:p>
        </w:tc>
      </w:tr>
      <w:tr w14:paraId="346A4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040" w:type="dxa"/>
            <w:vAlign w:val="center"/>
          </w:tcPr>
          <w:p w14:paraId="27F1BD58">
            <w:pPr>
              <w:spacing w:line="240" w:lineRule="auto"/>
              <w:jc w:val="center"/>
              <w:rPr>
                <w:rFonts w:hint="eastAsia" w:ascii="宋体" w:hAnsi="宋体"/>
                <w:color w:val="auto"/>
                <w:szCs w:val="21"/>
              </w:rPr>
            </w:pPr>
            <w:r>
              <w:rPr>
                <w:rFonts w:hint="eastAsia" w:ascii="宋体" w:hAnsi="宋体"/>
                <w:color w:val="auto"/>
                <w:szCs w:val="21"/>
              </w:rPr>
              <w:t>职称</w:t>
            </w:r>
          </w:p>
        </w:tc>
        <w:tc>
          <w:tcPr>
            <w:tcW w:w="1777" w:type="dxa"/>
            <w:gridSpan w:val="4"/>
            <w:vAlign w:val="center"/>
          </w:tcPr>
          <w:p w14:paraId="48A47A3B">
            <w:pPr>
              <w:spacing w:line="240" w:lineRule="auto"/>
              <w:jc w:val="center"/>
              <w:rPr>
                <w:rFonts w:hint="eastAsia" w:ascii="宋体" w:hAnsi="宋体"/>
                <w:color w:val="auto"/>
                <w:szCs w:val="21"/>
              </w:rPr>
            </w:pPr>
          </w:p>
        </w:tc>
        <w:tc>
          <w:tcPr>
            <w:tcW w:w="1383" w:type="dxa"/>
            <w:gridSpan w:val="3"/>
            <w:vAlign w:val="center"/>
          </w:tcPr>
          <w:p w14:paraId="065C1F20">
            <w:pPr>
              <w:spacing w:line="240" w:lineRule="auto"/>
              <w:jc w:val="center"/>
              <w:rPr>
                <w:rFonts w:hint="eastAsia" w:ascii="宋体" w:hAnsi="宋体"/>
                <w:color w:val="auto"/>
                <w:szCs w:val="21"/>
              </w:rPr>
            </w:pPr>
            <w:r>
              <w:rPr>
                <w:rFonts w:hint="eastAsia" w:ascii="宋体" w:hAnsi="宋体"/>
                <w:color w:val="auto"/>
                <w:szCs w:val="21"/>
              </w:rPr>
              <w:t>职务</w:t>
            </w:r>
          </w:p>
        </w:tc>
        <w:tc>
          <w:tcPr>
            <w:tcW w:w="1638" w:type="dxa"/>
            <w:gridSpan w:val="3"/>
            <w:vAlign w:val="center"/>
          </w:tcPr>
          <w:p w14:paraId="4C85CDB8">
            <w:pPr>
              <w:spacing w:line="240" w:lineRule="auto"/>
              <w:jc w:val="center"/>
              <w:rPr>
                <w:rFonts w:hint="eastAsia" w:ascii="宋体" w:hAnsi="宋体"/>
                <w:color w:val="auto"/>
                <w:szCs w:val="21"/>
              </w:rPr>
            </w:pPr>
          </w:p>
        </w:tc>
        <w:tc>
          <w:tcPr>
            <w:tcW w:w="1441" w:type="dxa"/>
            <w:gridSpan w:val="3"/>
            <w:vAlign w:val="center"/>
          </w:tcPr>
          <w:p w14:paraId="77A3046C">
            <w:pPr>
              <w:spacing w:line="240" w:lineRule="auto"/>
              <w:jc w:val="center"/>
              <w:rPr>
                <w:rFonts w:hint="eastAsia" w:ascii="宋体" w:hAnsi="宋体"/>
                <w:color w:val="auto"/>
                <w:szCs w:val="21"/>
              </w:rPr>
            </w:pPr>
            <w:r>
              <w:rPr>
                <w:rFonts w:hint="eastAsia" w:ascii="宋体" w:hAnsi="宋体"/>
                <w:color w:val="auto"/>
                <w:szCs w:val="21"/>
              </w:rPr>
              <w:t>学历</w:t>
            </w:r>
          </w:p>
        </w:tc>
        <w:tc>
          <w:tcPr>
            <w:tcW w:w="2077" w:type="dxa"/>
            <w:gridSpan w:val="3"/>
            <w:vAlign w:val="center"/>
          </w:tcPr>
          <w:p w14:paraId="360A5B6B">
            <w:pPr>
              <w:spacing w:line="240" w:lineRule="auto"/>
              <w:jc w:val="center"/>
              <w:rPr>
                <w:rFonts w:hint="eastAsia" w:ascii="宋体" w:hAnsi="宋体"/>
                <w:color w:val="auto"/>
                <w:szCs w:val="21"/>
              </w:rPr>
            </w:pPr>
          </w:p>
        </w:tc>
      </w:tr>
      <w:tr w14:paraId="7E4FA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40" w:type="dxa"/>
            <w:vAlign w:val="center"/>
          </w:tcPr>
          <w:p w14:paraId="79417296">
            <w:pPr>
              <w:spacing w:line="240" w:lineRule="auto"/>
              <w:jc w:val="center"/>
              <w:rPr>
                <w:rFonts w:hint="eastAsia" w:ascii="宋体" w:hAnsi="宋体"/>
                <w:color w:val="auto"/>
                <w:szCs w:val="21"/>
              </w:rPr>
            </w:pPr>
            <w:r>
              <w:rPr>
                <w:rFonts w:hint="eastAsia" w:ascii="宋体" w:hAnsi="宋体"/>
                <w:color w:val="auto"/>
                <w:szCs w:val="21"/>
              </w:rPr>
              <w:t>毕业</w:t>
            </w:r>
          </w:p>
          <w:p w14:paraId="75828895">
            <w:pPr>
              <w:spacing w:line="240" w:lineRule="auto"/>
              <w:jc w:val="center"/>
              <w:rPr>
                <w:rFonts w:hint="eastAsia" w:ascii="宋体" w:hAnsi="宋体"/>
                <w:color w:val="auto"/>
                <w:szCs w:val="21"/>
              </w:rPr>
            </w:pPr>
            <w:r>
              <w:rPr>
                <w:rFonts w:hint="eastAsia" w:ascii="宋体" w:hAnsi="宋体"/>
                <w:color w:val="auto"/>
                <w:szCs w:val="21"/>
              </w:rPr>
              <w:t>院校</w:t>
            </w:r>
          </w:p>
        </w:tc>
        <w:tc>
          <w:tcPr>
            <w:tcW w:w="3160" w:type="dxa"/>
            <w:gridSpan w:val="7"/>
            <w:vAlign w:val="center"/>
          </w:tcPr>
          <w:p w14:paraId="1D4A7A20">
            <w:pPr>
              <w:spacing w:line="240" w:lineRule="auto"/>
              <w:rPr>
                <w:rFonts w:hint="eastAsia" w:ascii="宋体" w:hAnsi="宋体"/>
                <w:color w:val="auto"/>
                <w:szCs w:val="21"/>
              </w:rPr>
            </w:pPr>
          </w:p>
        </w:tc>
        <w:tc>
          <w:tcPr>
            <w:tcW w:w="1638" w:type="dxa"/>
            <w:gridSpan w:val="3"/>
            <w:vAlign w:val="center"/>
          </w:tcPr>
          <w:p w14:paraId="71A16CEF">
            <w:pPr>
              <w:spacing w:line="240" w:lineRule="auto"/>
              <w:jc w:val="center"/>
              <w:rPr>
                <w:rFonts w:hint="eastAsia" w:ascii="宋体" w:hAnsi="宋体"/>
                <w:color w:val="auto"/>
                <w:szCs w:val="21"/>
              </w:rPr>
            </w:pPr>
            <w:r>
              <w:rPr>
                <w:rFonts w:hint="eastAsia" w:ascii="宋体" w:hAnsi="宋体"/>
                <w:color w:val="auto"/>
                <w:szCs w:val="21"/>
              </w:rPr>
              <w:t>专业</w:t>
            </w:r>
          </w:p>
        </w:tc>
        <w:tc>
          <w:tcPr>
            <w:tcW w:w="3518" w:type="dxa"/>
            <w:gridSpan w:val="6"/>
            <w:vAlign w:val="center"/>
          </w:tcPr>
          <w:p w14:paraId="4B9D6964">
            <w:pPr>
              <w:spacing w:line="240" w:lineRule="auto"/>
              <w:rPr>
                <w:rFonts w:hint="eastAsia" w:ascii="宋体" w:hAnsi="宋体"/>
                <w:color w:val="auto"/>
                <w:szCs w:val="21"/>
              </w:rPr>
            </w:pPr>
          </w:p>
        </w:tc>
      </w:tr>
      <w:tr w14:paraId="1EAA9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661" w:type="dxa"/>
            <w:gridSpan w:val="3"/>
            <w:vAlign w:val="center"/>
          </w:tcPr>
          <w:p w14:paraId="3AC8966E">
            <w:pPr>
              <w:spacing w:line="240" w:lineRule="auto"/>
              <w:jc w:val="center"/>
              <w:rPr>
                <w:rFonts w:hint="eastAsia" w:ascii="宋体" w:hAnsi="宋体"/>
                <w:color w:val="auto"/>
                <w:szCs w:val="21"/>
              </w:rPr>
            </w:pPr>
            <w:r>
              <w:rPr>
                <w:rFonts w:hint="eastAsia" w:ascii="宋体" w:hAnsi="宋体"/>
                <w:color w:val="auto"/>
                <w:szCs w:val="21"/>
              </w:rPr>
              <w:t>身份证号码</w:t>
            </w:r>
          </w:p>
        </w:tc>
        <w:tc>
          <w:tcPr>
            <w:tcW w:w="2116" w:type="dxa"/>
            <w:gridSpan w:val="3"/>
            <w:vAlign w:val="center"/>
          </w:tcPr>
          <w:p w14:paraId="6DB6E30D">
            <w:pPr>
              <w:spacing w:line="240" w:lineRule="auto"/>
              <w:jc w:val="center"/>
              <w:rPr>
                <w:rFonts w:hint="eastAsia" w:ascii="宋体" w:hAnsi="宋体"/>
                <w:color w:val="auto"/>
                <w:szCs w:val="21"/>
              </w:rPr>
            </w:pPr>
          </w:p>
        </w:tc>
        <w:tc>
          <w:tcPr>
            <w:tcW w:w="1680" w:type="dxa"/>
            <w:gridSpan w:val="4"/>
            <w:vAlign w:val="center"/>
          </w:tcPr>
          <w:p w14:paraId="43857DC1">
            <w:pPr>
              <w:spacing w:line="240" w:lineRule="auto"/>
              <w:jc w:val="center"/>
              <w:rPr>
                <w:rFonts w:hint="eastAsia" w:ascii="宋体" w:hAnsi="宋体"/>
                <w:color w:val="auto"/>
                <w:szCs w:val="21"/>
              </w:rPr>
            </w:pPr>
            <w:r>
              <w:rPr>
                <w:rFonts w:hint="eastAsia" w:ascii="宋体" w:hAnsi="宋体"/>
                <w:color w:val="auto"/>
                <w:szCs w:val="21"/>
              </w:rPr>
              <w:t>资格证书等级及编号</w:t>
            </w:r>
          </w:p>
        </w:tc>
        <w:tc>
          <w:tcPr>
            <w:tcW w:w="1680" w:type="dxa"/>
            <w:gridSpan w:val="3"/>
            <w:vAlign w:val="center"/>
          </w:tcPr>
          <w:p w14:paraId="1200EADC">
            <w:pPr>
              <w:spacing w:line="240" w:lineRule="auto"/>
              <w:jc w:val="center"/>
              <w:rPr>
                <w:rFonts w:hint="eastAsia" w:ascii="宋体" w:hAnsi="宋体"/>
                <w:color w:val="auto"/>
                <w:szCs w:val="21"/>
              </w:rPr>
            </w:pPr>
          </w:p>
        </w:tc>
        <w:tc>
          <w:tcPr>
            <w:tcW w:w="945" w:type="dxa"/>
            <w:gridSpan w:val="3"/>
            <w:vAlign w:val="center"/>
          </w:tcPr>
          <w:p w14:paraId="062F54CC">
            <w:pPr>
              <w:spacing w:line="240" w:lineRule="auto"/>
              <w:jc w:val="center"/>
              <w:rPr>
                <w:rFonts w:hint="eastAsia" w:ascii="宋体" w:hAnsi="宋体"/>
                <w:color w:val="auto"/>
                <w:szCs w:val="21"/>
              </w:rPr>
            </w:pPr>
            <w:r>
              <w:rPr>
                <w:rFonts w:hint="eastAsia" w:ascii="宋体" w:hAnsi="宋体"/>
                <w:color w:val="auto"/>
                <w:szCs w:val="21"/>
              </w:rPr>
              <w:t>职称证书编号</w:t>
            </w:r>
          </w:p>
        </w:tc>
        <w:tc>
          <w:tcPr>
            <w:tcW w:w="1274" w:type="dxa"/>
            <w:vAlign w:val="center"/>
          </w:tcPr>
          <w:p w14:paraId="1547134B">
            <w:pPr>
              <w:spacing w:line="240" w:lineRule="auto"/>
              <w:jc w:val="center"/>
              <w:rPr>
                <w:rFonts w:hint="eastAsia" w:ascii="宋体" w:hAnsi="宋体"/>
                <w:color w:val="auto"/>
                <w:szCs w:val="21"/>
              </w:rPr>
            </w:pPr>
          </w:p>
        </w:tc>
      </w:tr>
      <w:tr w14:paraId="57980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9356" w:type="dxa"/>
            <w:gridSpan w:val="17"/>
            <w:vAlign w:val="center"/>
          </w:tcPr>
          <w:p w14:paraId="59F69C4B">
            <w:pPr>
              <w:spacing w:line="240" w:lineRule="auto"/>
              <w:jc w:val="center"/>
              <w:rPr>
                <w:rFonts w:hint="eastAsia" w:ascii="宋体" w:hAnsi="宋体"/>
                <w:color w:val="auto"/>
                <w:szCs w:val="21"/>
              </w:rPr>
            </w:pPr>
            <w:r>
              <w:rPr>
                <w:rFonts w:hint="eastAsia" w:ascii="宋体" w:hAnsi="宋体"/>
                <w:color w:val="auto"/>
                <w:szCs w:val="21"/>
              </w:rPr>
              <w:t>主要经历</w:t>
            </w:r>
          </w:p>
        </w:tc>
      </w:tr>
      <w:tr w14:paraId="7F9F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454" w:type="dxa"/>
            <w:gridSpan w:val="2"/>
            <w:vAlign w:val="center"/>
          </w:tcPr>
          <w:p w14:paraId="4A7942F2">
            <w:pPr>
              <w:spacing w:line="240" w:lineRule="auto"/>
              <w:jc w:val="center"/>
              <w:rPr>
                <w:rFonts w:hint="eastAsia" w:ascii="宋体" w:hAnsi="宋体"/>
                <w:color w:val="auto"/>
              </w:rPr>
            </w:pPr>
            <w:r>
              <w:rPr>
                <w:rFonts w:hint="eastAsia" w:ascii="宋体" w:hAnsi="宋体"/>
                <w:color w:val="auto"/>
              </w:rPr>
              <w:t>建设单位</w:t>
            </w:r>
          </w:p>
        </w:tc>
        <w:tc>
          <w:tcPr>
            <w:tcW w:w="1246" w:type="dxa"/>
            <w:gridSpan w:val="2"/>
            <w:vAlign w:val="center"/>
          </w:tcPr>
          <w:p w14:paraId="04DF7391">
            <w:pPr>
              <w:spacing w:line="240" w:lineRule="auto"/>
              <w:jc w:val="center"/>
              <w:rPr>
                <w:rFonts w:hint="eastAsia" w:ascii="宋体" w:hAnsi="宋体"/>
                <w:color w:val="auto"/>
              </w:rPr>
            </w:pPr>
            <w:r>
              <w:rPr>
                <w:rFonts w:hint="eastAsia" w:ascii="宋体" w:hAnsi="宋体"/>
                <w:color w:val="auto"/>
              </w:rPr>
              <w:t>项目名称</w:t>
            </w:r>
          </w:p>
        </w:tc>
        <w:tc>
          <w:tcPr>
            <w:tcW w:w="1247" w:type="dxa"/>
            <w:gridSpan w:val="3"/>
            <w:vAlign w:val="center"/>
          </w:tcPr>
          <w:p w14:paraId="1D603B21">
            <w:pPr>
              <w:spacing w:line="240" w:lineRule="auto"/>
              <w:jc w:val="center"/>
              <w:rPr>
                <w:rFonts w:hint="eastAsia" w:ascii="宋体" w:hAnsi="宋体"/>
                <w:color w:val="auto"/>
              </w:rPr>
            </w:pPr>
            <w:r>
              <w:rPr>
                <w:rFonts w:hint="eastAsia" w:ascii="宋体" w:hAnsi="宋体"/>
                <w:color w:val="auto"/>
              </w:rPr>
              <w:t>担任何职</w:t>
            </w:r>
          </w:p>
        </w:tc>
        <w:tc>
          <w:tcPr>
            <w:tcW w:w="1249" w:type="dxa"/>
            <w:gridSpan w:val="2"/>
            <w:vAlign w:val="center"/>
          </w:tcPr>
          <w:p w14:paraId="145B26D7">
            <w:pPr>
              <w:spacing w:line="240" w:lineRule="auto"/>
              <w:jc w:val="center"/>
              <w:rPr>
                <w:rFonts w:hint="eastAsia" w:ascii="宋体" w:hAnsi="宋体"/>
                <w:color w:val="auto"/>
              </w:rPr>
            </w:pPr>
            <w:r>
              <w:rPr>
                <w:rFonts w:hint="eastAsia" w:ascii="宋体" w:hAnsi="宋体"/>
                <w:color w:val="auto"/>
              </w:rPr>
              <w:t>建设规模</w:t>
            </w:r>
          </w:p>
        </w:tc>
        <w:tc>
          <w:tcPr>
            <w:tcW w:w="1454" w:type="dxa"/>
            <w:gridSpan w:val="3"/>
            <w:vAlign w:val="center"/>
          </w:tcPr>
          <w:p w14:paraId="4B2663B3">
            <w:pPr>
              <w:spacing w:line="240" w:lineRule="auto"/>
              <w:jc w:val="center"/>
              <w:rPr>
                <w:rFonts w:hint="eastAsia" w:ascii="宋体" w:hAnsi="宋体"/>
                <w:color w:val="auto"/>
              </w:rPr>
            </w:pPr>
            <w:r>
              <w:rPr>
                <w:rFonts w:hint="eastAsia" w:ascii="宋体" w:hAnsi="宋体"/>
                <w:color w:val="auto"/>
              </w:rPr>
              <w:t>建设地点</w:t>
            </w:r>
          </w:p>
        </w:tc>
        <w:tc>
          <w:tcPr>
            <w:tcW w:w="1135" w:type="dxa"/>
            <w:gridSpan w:val="3"/>
            <w:vAlign w:val="center"/>
          </w:tcPr>
          <w:p w14:paraId="21AED9F8">
            <w:pPr>
              <w:spacing w:line="240" w:lineRule="auto"/>
              <w:jc w:val="center"/>
              <w:rPr>
                <w:rFonts w:hint="eastAsia" w:ascii="宋体" w:hAnsi="宋体"/>
                <w:color w:val="auto"/>
              </w:rPr>
            </w:pPr>
            <w:r>
              <w:rPr>
                <w:rFonts w:hint="eastAsia" w:ascii="宋体" w:hAnsi="宋体"/>
                <w:color w:val="auto"/>
              </w:rPr>
              <w:t>开竣工</w:t>
            </w:r>
          </w:p>
          <w:p w14:paraId="27676F96">
            <w:pPr>
              <w:spacing w:line="240" w:lineRule="auto"/>
              <w:jc w:val="center"/>
              <w:rPr>
                <w:rFonts w:hint="eastAsia" w:ascii="宋体" w:hAnsi="宋体"/>
                <w:color w:val="auto"/>
              </w:rPr>
            </w:pPr>
            <w:r>
              <w:rPr>
                <w:rFonts w:hint="eastAsia" w:ascii="宋体" w:hAnsi="宋体"/>
                <w:color w:val="auto"/>
              </w:rPr>
              <w:t>日期</w:t>
            </w:r>
          </w:p>
        </w:tc>
        <w:tc>
          <w:tcPr>
            <w:tcW w:w="1571" w:type="dxa"/>
            <w:gridSpan w:val="2"/>
            <w:vAlign w:val="center"/>
          </w:tcPr>
          <w:p w14:paraId="0197880D">
            <w:pPr>
              <w:spacing w:line="240" w:lineRule="auto"/>
              <w:jc w:val="center"/>
              <w:rPr>
                <w:rFonts w:hint="eastAsia" w:ascii="宋体" w:hAnsi="宋体"/>
                <w:color w:val="auto"/>
              </w:rPr>
            </w:pPr>
            <w:r>
              <w:rPr>
                <w:rFonts w:hint="eastAsia" w:ascii="宋体" w:hAnsi="宋体"/>
                <w:color w:val="auto"/>
              </w:rPr>
              <w:t>工程质量</w:t>
            </w:r>
          </w:p>
        </w:tc>
      </w:tr>
      <w:tr w14:paraId="542ED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454" w:type="dxa"/>
            <w:gridSpan w:val="2"/>
            <w:vAlign w:val="center"/>
          </w:tcPr>
          <w:p w14:paraId="11747E21">
            <w:pPr>
              <w:spacing w:line="240" w:lineRule="auto"/>
              <w:jc w:val="center"/>
              <w:rPr>
                <w:rFonts w:hint="eastAsia" w:ascii="宋体" w:hAnsi="宋体"/>
                <w:color w:val="auto"/>
                <w:szCs w:val="21"/>
              </w:rPr>
            </w:pPr>
          </w:p>
        </w:tc>
        <w:tc>
          <w:tcPr>
            <w:tcW w:w="1246" w:type="dxa"/>
            <w:gridSpan w:val="2"/>
            <w:vAlign w:val="center"/>
          </w:tcPr>
          <w:p w14:paraId="3432FEFB">
            <w:pPr>
              <w:spacing w:line="240" w:lineRule="auto"/>
              <w:jc w:val="center"/>
              <w:rPr>
                <w:rFonts w:hint="eastAsia" w:ascii="宋体" w:hAnsi="宋体"/>
                <w:color w:val="auto"/>
                <w:szCs w:val="21"/>
              </w:rPr>
            </w:pPr>
          </w:p>
        </w:tc>
        <w:tc>
          <w:tcPr>
            <w:tcW w:w="1247" w:type="dxa"/>
            <w:gridSpan w:val="3"/>
            <w:vAlign w:val="center"/>
          </w:tcPr>
          <w:p w14:paraId="57BFFF39">
            <w:pPr>
              <w:spacing w:line="240" w:lineRule="auto"/>
              <w:jc w:val="center"/>
              <w:rPr>
                <w:rFonts w:hint="eastAsia" w:ascii="宋体" w:hAnsi="宋体"/>
                <w:color w:val="auto"/>
                <w:szCs w:val="21"/>
              </w:rPr>
            </w:pPr>
          </w:p>
        </w:tc>
        <w:tc>
          <w:tcPr>
            <w:tcW w:w="1249" w:type="dxa"/>
            <w:gridSpan w:val="2"/>
            <w:vAlign w:val="center"/>
          </w:tcPr>
          <w:p w14:paraId="31220E9B">
            <w:pPr>
              <w:spacing w:line="240" w:lineRule="auto"/>
              <w:jc w:val="center"/>
              <w:rPr>
                <w:rFonts w:hint="eastAsia" w:ascii="宋体" w:hAnsi="宋体"/>
                <w:color w:val="auto"/>
                <w:szCs w:val="21"/>
              </w:rPr>
            </w:pPr>
          </w:p>
        </w:tc>
        <w:tc>
          <w:tcPr>
            <w:tcW w:w="1454" w:type="dxa"/>
            <w:gridSpan w:val="3"/>
            <w:vAlign w:val="center"/>
          </w:tcPr>
          <w:p w14:paraId="5E44125A">
            <w:pPr>
              <w:spacing w:line="240" w:lineRule="auto"/>
              <w:jc w:val="center"/>
              <w:rPr>
                <w:rFonts w:hint="eastAsia" w:ascii="宋体" w:hAnsi="宋体"/>
                <w:color w:val="auto"/>
                <w:szCs w:val="21"/>
              </w:rPr>
            </w:pPr>
          </w:p>
        </w:tc>
        <w:tc>
          <w:tcPr>
            <w:tcW w:w="1135" w:type="dxa"/>
            <w:gridSpan w:val="3"/>
            <w:vAlign w:val="center"/>
          </w:tcPr>
          <w:p w14:paraId="41D8172C">
            <w:pPr>
              <w:spacing w:line="240" w:lineRule="auto"/>
              <w:jc w:val="center"/>
              <w:rPr>
                <w:rFonts w:hint="eastAsia" w:ascii="宋体" w:hAnsi="宋体"/>
                <w:color w:val="auto"/>
                <w:szCs w:val="21"/>
              </w:rPr>
            </w:pPr>
          </w:p>
        </w:tc>
        <w:tc>
          <w:tcPr>
            <w:tcW w:w="1571" w:type="dxa"/>
            <w:gridSpan w:val="2"/>
            <w:vAlign w:val="center"/>
          </w:tcPr>
          <w:p w14:paraId="230133AB">
            <w:pPr>
              <w:spacing w:line="240" w:lineRule="auto"/>
              <w:jc w:val="center"/>
              <w:rPr>
                <w:rFonts w:hint="eastAsia" w:ascii="宋体" w:hAnsi="宋体"/>
                <w:color w:val="auto"/>
                <w:szCs w:val="21"/>
              </w:rPr>
            </w:pPr>
          </w:p>
        </w:tc>
      </w:tr>
      <w:tr w14:paraId="0ACBD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454" w:type="dxa"/>
            <w:gridSpan w:val="2"/>
            <w:vAlign w:val="center"/>
          </w:tcPr>
          <w:p w14:paraId="09867D8B">
            <w:pPr>
              <w:spacing w:line="240" w:lineRule="auto"/>
              <w:jc w:val="center"/>
              <w:rPr>
                <w:rFonts w:hint="eastAsia" w:ascii="宋体" w:hAnsi="宋体"/>
                <w:color w:val="auto"/>
                <w:szCs w:val="21"/>
              </w:rPr>
            </w:pPr>
          </w:p>
        </w:tc>
        <w:tc>
          <w:tcPr>
            <w:tcW w:w="1246" w:type="dxa"/>
            <w:gridSpan w:val="2"/>
            <w:vAlign w:val="center"/>
          </w:tcPr>
          <w:p w14:paraId="3CF677BE">
            <w:pPr>
              <w:spacing w:line="240" w:lineRule="auto"/>
              <w:jc w:val="center"/>
              <w:rPr>
                <w:rFonts w:hint="eastAsia" w:ascii="宋体" w:hAnsi="宋体"/>
                <w:color w:val="auto"/>
                <w:szCs w:val="21"/>
              </w:rPr>
            </w:pPr>
          </w:p>
        </w:tc>
        <w:tc>
          <w:tcPr>
            <w:tcW w:w="1247" w:type="dxa"/>
            <w:gridSpan w:val="3"/>
            <w:vAlign w:val="center"/>
          </w:tcPr>
          <w:p w14:paraId="58362B5C">
            <w:pPr>
              <w:spacing w:line="240" w:lineRule="auto"/>
              <w:jc w:val="center"/>
              <w:rPr>
                <w:rFonts w:hint="eastAsia" w:ascii="宋体" w:hAnsi="宋体"/>
                <w:color w:val="auto"/>
                <w:szCs w:val="21"/>
              </w:rPr>
            </w:pPr>
          </w:p>
        </w:tc>
        <w:tc>
          <w:tcPr>
            <w:tcW w:w="1249" w:type="dxa"/>
            <w:gridSpan w:val="2"/>
            <w:vAlign w:val="center"/>
          </w:tcPr>
          <w:p w14:paraId="418F54B2">
            <w:pPr>
              <w:spacing w:line="240" w:lineRule="auto"/>
              <w:jc w:val="center"/>
              <w:rPr>
                <w:rFonts w:hint="eastAsia" w:ascii="宋体" w:hAnsi="宋体"/>
                <w:color w:val="auto"/>
                <w:szCs w:val="21"/>
              </w:rPr>
            </w:pPr>
          </w:p>
        </w:tc>
        <w:tc>
          <w:tcPr>
            <w:tcW w:w="1454" w:type="dxa"/>
            <w:gridSpan w:val="3"/>
            <w:vAlign w:val="center"/>
          </w:tcPr>
          <w:p w14:paraId="3F64C5A1">
            <w:pPr>
              <w:spacing w:line="240" w:lineRule="auto"/>
              <w:jc w:val="center"/>
              <w:rPr>
                <w:rFonts w:hint="eastAsia" w:ascii="宋体" w:hAnsi="宋体"/>
                <w:color w:val="auto"/>
                <w:szCs w:val="21"/>
              </w:rPr>
            </w:pPr>
          </w:p>
        </w:tc>
        <w:tc>
          <w:tcPr>
            <w:tcW w:w="1135" w:type="dxa"/>
            <w:gridSpan w:val="3"/>
            <w:vAlign w:val="center"/>
          </w:tcPr>
          <w:p w14:paraId="11C8E15A">
            <w:pPr>
              <w:spacing w:line="240" w:lineRule="auto"/>
              <w:jc w:val="center"/>
              <w:rPr>
                <w:rFonts w:hint="eastAsia" w:ascii="宋体" w:hAnsi="宋体"/>
                <w:color w:val="auto"/>
                <w:szCs w:val="21"/>
              </w:rPr>
            </w:pPr>
          </w:p>
        </w:tc>
        <w:tc>
          <w:tcPr>
            <w:tcW w:w="1571" w:type="dxa"/>
            <w:gridSpan w:val="2"/>
            <w:vAlign w:val="center"/>
          </w:tcPr>
          <w:p w14:paraId="0FF6DD96">
            <w:pPr>
              <w:spacing w:line="240" w:lineRule="auto"/>
              <w:jc w:val="center"/>
              <w:rPr>
                <w:rFonts w:hint="eastAsia" w:ascii="宋体" w:hAnsi="宋体"/>
                <w:color w:val="auto"/>
                <w:szCs w:val="21"/>
              </w:rPr>
            </w:pPr>
          </w:p>
        </w:tc>
      </w:tr>
      <w:tr w14:paraId="1AF17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454" w:type="dxa"/>
            <w:gridSpan w:val="2"/>
            <w:vAlign w:val="center"/>
          </w:tcPr>
          <w:p w14:paraId="6FFA011D">
            <w:pPr>
              <w:spacing w:line="240" w:lineRule="auto"/>
              <w:jc w:val="center"/>
              <w:rPr>
                <w:rFonts w:hint="eastAsia" w:ascii="宋体" w:hAnsi="宋体"/>
                <w:color w:val="auto"/>
                <w:szCs w:val="21"/>
              </w:rPr>
            </w:pPr>
          </w:p>
        </w:tc>
        <w:tc>
          <w:tcPr>
            <w:tcW w:w="1246" w:type="dxa"/>
            <w:gridSpan w:val="2"/>
            <w:vAlign w:val="center"/>
          </w:tcPr>
          <w:p w14:paraId="1EDC24D8">
            <w:pPr>
              <w:spacing w:line="240" w:lineRule="auto"/>
              <w:jc w:val="center"/>
              <w:rPr>
                <w:rFonts w:hint="eastAsia" w:ascii="宋体" w:hAnsi="宋体"/>
                <w:color w:val="auto"/>
                <w:szCs w:val="21"/>
              </w:rPr>
            </w:pPr>
          </w:p>
        </w:tc>
        <w:tc>
          <w:tcPr>
            <w:tcW w:w="1247" w:type="dxa"/>
            <w:gridSpan w:val="3"/>
            <w:vAlign w:val="center"/>
          </w:tcPr>
          <w:p w14:paraId="2C06EC9F">
            <w:pPr>
              <w:spacing w:line="240" w:lineRule="auto"/>
              <w:jc w:val="center"/>
              <w:rPr>
                <w:rFonts w:hint="eastAsia" w:ascii="宋体" w:hAnsi="宋体"/>
                <w:color w:val="auto"/>
                <w:szCs w:val="21"/>
              </w:rPr>
            </w:pPr>
          </w:p>
        </w:tc>
        <w:tc>
          <w:tcPr>
            <w:tcW w:w="1249" w:type="dxa"/>
            <w:gridSpan w:val="2"/>
            <w:vAlign w:val="center"/>
          </w:tcPr>
          <w:p w14:paraId="27BC9E65">
            <w:pPr>
              <w:spacing w:line="240" w:lineRule="auto"/>
              <w:jc w:val="center"/>
              <w:rPr>
                <w:rFonts w:hint="eastAsia" w:ascii="宋体" w:hAnsi="宋体"/>
                <w:color w:val="auto"/>
                <w:szCs w:val="21"/>
              </w:rPr>
            </w:pPr>
          </w:p>
        </w:tc>
        <w:tc>
          <w:tcPr>
            <w:tcW w:w="1454" w:type="dxa"/>
            <w:gridSpan w:val="3"/>
            <w:vAlign w:val="center"/>
          </w:tcPr>
          <w:p w14:paraId="0BF78ABC">
            <w:pPr>
              <w:spacing w:line="240" w:lineRule="auto"/>
              <w:jc w:val="center"/>
              <w:rPr>
                <w:rFonts w:hint="eastAsia" w:ascii="宋体" w:hAnsi="宋体"/>
                <w:color w:val="auto"/>
                <w:szCs w:val="21"/>
              </w:rPr>
            </w:pPr>
          </w:p>
        </w:tc>
        <w:tc>
          <w:tcPr>
            <w:tcW w:w="1135" w:type="dxa"/>
            <w:gridSpan w:val="3"/>
            <w:vAlign w:val="center"/>
          </w:tcPr>
          <w:p w14:paraId="362123E4">
            <w:pPr>
              <w:spacing w:line="240" w:lineRule="auto"/>
              <w:jc w:val="center"/>
              <w:rPr>
                <w:rFonts w:hint="eastAsia" w:ascii="宋体" w:hAnsi="宋体"/>
                <w:color w:val="auto"/>
                <w:szCs w:val="21"/>
              </w:rPr>
            </w:pPr>
          </w:p>
        </w:tc>
        <w:tc>
          <w:tcPr>
            <w:tcW w:w="1571" w:type="dxa"/>
            <w:gridSpan w:val="2"/>
            <w:vAlign w:val="center"/>
          </w:tcPr>
          <w:p w14:paraId="1F4CD90A">
            <w:pPr>
              <w:spacing w:line="240" w:lineRule="auto"/>
              <w:jc w:val="center"/>
              <w:rPr>
                <w:rFonts w:hint="eastAsia" w:ascii="宋体" w:hAnsi="宋体"/>
                <w:color w:val="auto"/>
                <w:szCs w:val="21"/>
              </w:rPr>
            </w:pPr>
          </w:p>
        </w:tc>
      </w:tr>
      <w:tr w14:paraId="7BAB8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454" w:type="dxa"/>
            <w:gridSpan w:val="2"/>
            <w:vAlign w:val="center"/>
          </w:tcPr>
          <w:p w14:paraId="346ABF88">
            <w:pPr>
              <w:spacing w:line="240" w:lineRule="auto"/>
              <w:jc w:val="center"/>
              <w:rPr>
                <w:rFonts w:hint="eastAsia" w:ascii="宋体" w:hAnsi="宋体"/>
                <w:color w:val="auto"/>
                <w:szCs w:val="21"/>
              </w:rPr>
            </w:pPr>
          </w:p>
        </w:tc>
        <w:tc>
          <w:tcPr>
            <w:tcW w:w="1246" w:type="dxa"/>
            <w:gridSpan w:val="2"/>
            <w:vAlign w:val="center"/>
          </w:tcPr>
          <w:p w14:paraId="1853046D">
            <w:pPr>
              <w:spacing w:line="240" w:lineRule="auto"/>
              <w:jc w:val="center"/>
              <w:rPr>
                <w:rFonts w:hint="eastAsia" w:ascii="宋体" w:hAnsi="宋体"/>
                <w:color w:val="auto"/>
                <w:szCs w:val="21"/>
              </w:rPr>
            </w:pPr>
          </w:p>
        </w:tc>
        <w:tc>
          <w:tcPr>
            <w:tcW w:w="1247" w:type="dxa"/>
            <w:gridSpan w:val="3"/>
            <w:vAlign w:val="center"/>
          </w:tcPr>
          <w:p w14:paraId="145C3142">
            <w:pPr>
              <w:spacing w:line="240" w:lineRule="auto"/>
              <w:jc w:val="center"/>
              <w:rPr>
                <w:rFonts w:hint="eastAsia" w:ascii="宋体" w:hAnsi="宋体"/>
                <w:color w:val="auto"/>
                <w:szCs w:val="21"/>
              </w:rPr>
            </w:pPr>
          </w:p>
        </w:tc>
        <w:tc>
          <w:tcPr>
            <w:tcW w:w="1249" w:type="dxa"/>
            <w:gridSpan w:val="2"/>
            <w:vAlign w:val="center"/>
          </w:tcPr>
          <w:p w14:paraId="7A2FADB6">
            <w:pPr>
              <w:spacing w:line="240" w:lineRule="auto"/>
              <w:jc w:val="center"/>
              <w:rPr>
                <w:rFonts w:hint="eastAsia" w:ascii="宋体" w:hAnsi="宋体"/>
                <w:color w:val="auto"/>
                <w:szCs w:val="21"/>
              </w:rPr>
            </w:pPr>
          </w:p>
        </w:tc>
        <w:tc>
          <w:tcPr>
            <w:tcW w:w="1454" w:type="dxa"/>
            <w:gridSpan w:val="3"/>
            <w:vAlign w:val="center"/>
          </w:tcPr>
          <w:p w14:paraId="6EFE84B2">
            <w:pPr>
              <w:spacing w:line="240" w:lineRule="auto"/>
              <w:jc w:val="center"/>
              <w:rPr>
                <w:rFonts w:hint="eastAsia" w:ascii="宋体" w:hAnsi="宋体"/>
                <w:color w:val="auto"/>
                <w:szCs w:val="21"/>
              </w:rPr>
            </w:pPr>
          </w:p>
        </w:tc>
        <w:tc>
          <w:tcPr>
            <w:tcW w:w="1135" w:type="dxa"/>
            <w:gridSpan w:val="3"/>
            <w:vAlign w:val="center"/>
          </w:tcPr>
          <w:p w14:paraId="34DE5DD5">
            <w:pPr>
              <w:spacing w:line="240" w:lineRule="auto"/>
              <w:jc w:val="center"/>
              <w:rPr>
                <w:rFonts w:hint="eastAsia" w:ascii="宋体" w:hAnsi="宋体"/>
                <w:color w:val="auto"/>
                <w:szCs w:val="21"/>
              </w:rPr>
            </w:pPr>
          </w:p>
        </w:tc>
        <w:tc>
          <w:tcPr>
            <w:tcW w:w="1571" w:type="dxa"/>
            <w:gridSpan w:val="2"/>
            <w:vAlign w:val="center"/>
          </w:tcPr>
          <w:p w14:paraId="03C7DD32">
            <w:pPr>
              <w:spacing w:line="240" w:lineRule="auto"/>
              <w:jc w:val="center"/>
              <w:rPr>
                <w:rFonts w:hint="eastAsia" w:ascii="宋体" w:hAnsi="宋体"/>
                <w:color w:val="auto"/>
                <w:szCs w:val="21"/>
              </w:rPr>
            </w:pPr>
          </w:p>
        </w:tc>
      </w:tr>
      <w:tr w14:paraId="6035B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454" w:type="dxa"/>
            <w:gridSpan w:val="2"/>
            <w:vAlign w:val="center"/>
          </w:tcPr>
          <w:p w14:paraId="73794550">
            <w:pPr>
              <w:spacing w:line="240" w:lineRule="auto"/>
              <w:jc w:val="center"/>
              <w:rPr>
                <w:rFonts w:hint="eastAsia" w:ascii="宋体" w:hAnsi="宋体"/>
                <w:color w:val="auto"/>
                <w:szCs w:val="21"/>
              </w:rPr>
            </w:pPr>
          </w:p>
        </w:tc>
        <w:tc>
          <w:tcPr>
            <w:tcW w:w="1246" w:type="dxa"/>
            <w:gridSpan w:val="2"/>
            <w:vAlign w:val="center"/>
          </w:tcPr>
          <w:p w14:paraId="2181A0BC">
            <w:pPr>
              <w:spacing w:line="240" w:lineRule="auto"/>
              <w:jc w:val="center"/>
              <w:rPr>
                <w:rFonts w:hint="eastAsia" w:ascii="宋体" w:hAnsi="宋体"/>
                <w:color w:val="auto"/>
                <w:szCs w:val="21"/>
              </w:rPr>
            </w:pPr>
          </w:p>
        </w:tc>
        <w:tc>
          <w:tcPr>
            <w:tcW w:w="1247" w:type="dxa"/>
            <w:gridSpan w:val="3"/>
            <w:vAlign w:val="center"/>
          </w:tcPr>
          <w:p w14:paraId="63597B0B">
            <w:pPr>
              <w:spacing w:line="240" w:lineRule="auto"/>
              <w:jc w:val="center"/>
              <w:rPr>
                <w:rFonts w:hint="eastAsia" w:ascii="宋体" w:hAnsi="宋体"/>
                <w:color w:val="auto"/>
                <w:szCs w:val="21"/>
              </w:rPr>
            </w:pPr>
          </w:p>
        </w:tc>
        <w:tc>
          <w:tcPr>
            <w:tcW w:w="1249" w:type="dxa"/>
            <w:gridSpan w:val="2"/>
            <w:vAlign w:val="center"/>
          </w:tcPr>
          <w:p w14:paraId="76E2DBBE">
            <w:pPr>
              <w:spacing w:line="240" w:lineRule="auto"/>
              <w:jc w:val="center"/>
              <w:rPr>
                <w:rFonts w:hint="eastAsia" w:ascii="宋体" w:hAnsi="宋体"/>
                <w:color w:val="auto"/>
                <w:szCs w:val="21"/>
              </w:rPr>
            </w:pPr>
          </w:p>
        </w:tc>
        <w:tc>
          <w:tcPr>
            <w:tcW w:w="1454" w:type="dxa"/>
            <w:gridSpan w:val="3"/>
            <w:vAlign w:val="center"/>
          </w:tcPr>
          <w:p w14:paraId="1FA4F0BC">
            <w:pPr>
              <w:spacing w:line="240" w:lineRule="auto"/>
              <w:jc w:val="center"/>
              <w:rPr>
                <w:rFonts w:hint="eastAsia" w:ascii="宋体" w:hAnsi="宋体"/>
                <w:color w:val="auto"/>
                <w:szCs w:val="21"/>
              </w:rPr>
            </w:pPr>
          </w:p>
        </w:tc>
        <w:tc>
          <w:tcPr>
            <w:tcW w:w="1135" w:type="dxa"/>
            <w:gridSpan w:val="3"/>
            <w:vAlign w:val="center"/>
          </w:tcPr>
          <w:p w14:paraId="723C8D54">
            <w:pPr>
              <w:spacing w:line="240" w:lineRule="auto"/>
              <w:jc w:val="center"/>
              <w:rPr>
                <w:rFonts w:hint="eastAsia" w:ascii="宋体" w:hAnsi="宋体"/>
                <w:color w:val="auto"/>
                <w:szCs w:val="21"/>
              </w:rPr>
            </w:pPr>
          </w:p>
        </w:tc>
        <w:tc>
          <w:tcPr>
            <w:tcW w:w="1571" w:type="dxa"/>
            <w:gridSpan w:val="2"/>
            <w:vAlign w:val="center"/>
          </w:tcPr>
          <w:p w14:paraId="10AC8D66">
            <w:pPr>
              <w:spacing w:line="240" w:lineRule="auto"/>
              <w:jc w:val="center"/>
              <w:rPr>
                <w:rFonts w:hint="eastAsia" w:ascii="宋体" w:hAnsi="宋体"/>
                <w:color w:val="auto"/>
                <w:szCs w:val="21"/>
              </w:rPr>
            </w:pPr>
          </w:p>
        </w:tc>
      </w:tr>
      <w:tr w14:paraId="6A967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454" w:type="dxa"/>
            <w:gridSpan w:val="2"/>
            <w:vAlign w:val="center"/>
          </w:tcPr>
          <w:p w14:paraId="3CF74169">
            <w:pPr>
              <w:spacing w:line="240" w:lineRule="auto"/>
              <w:jc w:val="center"/>
              <w:rPr>
                <w:rFonts w:hint="eastAsia" w:ascii="宋体" w:hAnsi="宋体"/>
                <w:color w:val="auto"/>
                <w:szCs w:val="21"/>
              </w:rPr>
            </w:pPr>
          </w:p>
        </w:tc>
        <w:tc>
          <w:tcPr>
            <w:tcW w:w="1246" w:type="dxa"/>
            <w:gridSpan w:val="2"/>
            <w:vAlign w:val="center"/>
          </w:tcPr>
          <w:p w14:paraId="25E8C428">
            <w:pPr>
              <w:spacing w:line="240" w:lineRule="auto"/>
              <w:jc w:val="center"/>
              <w:rPr>
                <w:rFonts w:hint="eastAsia" w:ascii="宋体" w:hAnsi="宋体"/>
                <w:color w:val="auto"/>
                <w:szCs w:val="21"/>
              </w:rPr>
            </w:pPr>
          </w:p>
        </w:tc>
        <w:tc>
          <w:tcPr>
            <w:tcW w:w="1247" w:type="dxa"/>
            <w:gridSpan w:val="3"/>
            <w:vAlign w:val="center"/>
          </w:tcPr>
          <w:p w14:paraId="06BB395E">
            <w:pPr>
              <w:spacing w:line="240" w:lineRule="auto"/>
              <w:jc w:val="center"/>
              <w:rPr>
                <w:rFonts w:hint="eastAsia" w:ascii="宋体" w:hAnsi="宋体"/>
                <w:color w:val="auto"/>
                <w:szCs w:val="21"/>
              </w:rPr>
            </w:pPr>
          </w:p>
        </w:tc>
        <w:tc>
          <w:tcPr>
            <w:tcW w:w="1249" w:type="dxa"/>
            <w:gridSpan w:val="2"/>
            <w:vAlign w:val="center"/>
          </w:tcPr>
          <w:p w14:paraId="7D0AED3C">
            <w:pPr>
              <w:spacing w:line="240" w:lineRule="auto"/>
              <w:jc w:val="center"/>
              <w:rPr>
                <w:rFonts w:hint="eastAsia" w:ascii="宋体" w:hAnsi="宋体"/>
                <w:color w:val="auto"/>
                <w:szCs w:val="21"/>
              </w:rPr>
            </w:pPr>
          </w:p>
        </w:tc>
        <w:tc>
          <w:tcPr>
            <w:tcW w:w="1454" w:type="dxa"/>
            <w:gridSpan w:val="3"/>
            <w:vAlign w:val="center"/>
          </w:tcPr>
          <w:p w14:paraId="5CFC5FB9">
            <w:pPr>
              <w:spacing w:line="240" w:lineRule="auto"/>
              <w:jc w:val="center"/>
              <w:rPr>
                <w:rFonts w:hint="eastAsia" w:ascii="宋体" w:hAnsi="宋体"/>
                <w:color w:val="auto"/>
                <w:szCs w:val="21"/>
              </w:rPr>
            </w:pPr>
          </w:p>
        </w:tc>
        <w:tc>
          <w:tcPr>
            <w:tcW w:w="1135" w:type="dxa"/>
            <w:gridSpan w:val="3"/>
            <w:vAlign w:val="center"/>
          </w:tcPr>
          <w:p w14:paraId="247A20F8">
            <w:pPr>
              <w:spacing w:line="240" w:lineRule="auto"/>
              <w:jc w:val="center"/>
              <w:rPr>
                <w:rFonts w:hint="eastAsia" w:ascii="宋体" w:hAnsi="宋体"/>
                <w:color w:val="auto"/>
                <w:szCs w:val="21"/>
              </w:rPr>
            </w:pPr>
          </w:p>
        </w:tc>
        <w:tc>
          <w:tcPr>
            <w:tcW w:w="1571" w:type="dxa"/>
            <w:gridSpan w:val="2"/>
            <w:vAlign w:val="center"/>
          </w:tcPr>
          <w:p w14:paraId="7226CD42">
            <w:pPr>
              <w:spacing w:line="240" w:lineRule="auto"/>
              <w:jc w:val="center"/>
              <w:rPr>
                <w:rFonts w:hint="eastAsia" w:ascii="宋体" w:hAnsi="宋体"/>
                <w:color w:val="auto"/>
                <w:szCs w:val="21"/>
              </w:rPr>
            </w:pPr>
          </w:p>
        </w:tc>
      </w:tr>
    </w:tbl>
    <w:p w14:paraId="1C768511">
      <w:pPr>
        <w:spacing w:line="240" w:lineRule="auto"/>
        <w:rPr>
          <w:rFonts w:hint="eastAsia" w:ascii="宋体" w:hAnsi="宋体"/>
          <w:b/>
          <w:color w:val="auto"/>
          <w:szCs w:val="21"/>
        </w:rPr>
      </w:pPr>
    </w:p>
    <w:p w14:paraId="5F60D60E">
      <w:pPr>
        <w:spacing w:line="240" w:lineRule="auto"/>
        <w:rPr>
          <w:rFonts w:hint="eastAsia" w:ascii="宋体" w:hAnsi="宋体"/>
          <w:b/>
          <w:color w:val="auto"/>
          <w:szCs w:val="21"/>
        </w:rPr>
      </w:pPr>
      <w:r>
        <w:rPr>
          <w:rFonts w:hint="eastAsia" w:ascii="宋体" w:hAnsi="宋体"/>
          <w:b/>
          <w:color w:val="auto"/>
          <w:szCs w:val="21"/>
        </w:rPr>
        <w:t>说明：</w:t>
      </w:r>
    </w:p>
    <w:p w14:paraId="70868834">
      <w:pPr>
        <w:spacing w:line="240" w:lineRule="auto"/>
        <w:ind w:left="420"/>
        <w:rPr>
          <w:rFonts w:hint="eastAsia" w:ascii="宋体" w:hAnsi="宋体"/>
          <w:color w:val="auto"/>
          <w:szCs w:val="21"/>
        </w:rPr>
      </w:pPr>
      <w:r>
        <w:rPr>
          <w:rFonts w:hint="eastAsia" w:ascii="宋体" w:hAnsi="宋体"/>
          <w:color w:val="auto"/>
          <w:szCs w:val="21"/>
        </w:rPr>
        <w:t>(1)项目经理要求具备</w:t>
      </w:r>
      <w:r>
        <w:rPr>
          <w:rFonts w:hint="eastAsia"/>
          <w:color w:val="auto"/>
        </w:rPr>
        <w:t>公路工程</w:t>
      </w:r>
      <w:r>
        <w:rPr>
          <w:rFonts w:hint="eastAsia" w:ascii="宋体" w:hAnsi="宋体"/>
          <w:color w:val="auto"/>
          <w:szCs w:val="21"/>
        </w:rPr>
        <w:t>注册建造师贰级及以上资格，注册单位必须为竞标人单位。</w:t>
      </w:r>
    </w:p>
    <w:p w14:paraId="642173E0">
      <w:pPr>
        <w:spacing w:line="240" w:lineRule="auto"/>
        <w:ind w:firstLine="420" w:firstLineChars="200"/>
        <w:rPr>
          <w:rFonts w:hint="eastAsia" w:ascii="宋体" w:hAnsi="宋体"/>
          <w:color w:val="auto"/>
          <w:szCs w:val="21"/>
        </w:rPr>
      </w:pPr>
      <w:r>
        <w:rPr>
          <w:rFonts w:hint="eastAsia" w:ascii="宋体" w:hAnsi="宋体"/>
          <w:color w:val="auto"/>
          <w:szCs w:val="21"/>
        </w:rPr>
        <w:t>(2)必须附上清晰可辨的身份证、职称证书、</w:t>
      </w:r>
      <w:r>
        <w:rPr>
          <w:rFonts w:hint="eastAsia"/>
          <w:color w:val="auto"/>
        </w:rPr>
        <w:t>资格</w:t>
      </w:r>
      <w:r>
        <w:rPr>
          <w:rFonts w:hint="eastAsia" w:ascii="宋体" w:hAnsi="宋体"/>
          <w:color w:val="auto"/>
          <w:szCs w:val="21"/>
        </w:rPr>
        <w:t>证书的复印件。</w:t>
      </w:r>
    </w:p>
    <w:p w14:paraId="1A21A877">
      <w:pPr>
        <w:spacing w:line="240" w:lineRule="auto"/>
        <w:rPr>
          <w:rFonts w:hint="eastAsia" w:ascii="宋体" w:hAnsi="宋体"/>
          <w:color w:val="auto"/>
          <w:szCs w:val="21"/>
        </w:rPr>
      </w:pPr>
    </w:p>
    <w:p w14:paraId="4357EB3F">
      <w:pPr>
        <w:spacing w:line="240" w:lineRule="auto"/>
        <w:rPr>
          <w:rFonts w:hint="eastAsia" w:ascii="宋体" w:hAnsi="宋体"/>
          <w:color w:val="auto"/>
          <w:szCs w:val="21"/>
        </w:rPr>
      </w:pPr>
    </w:p>
    <w:p w14:paraId="10038B4B">
      <w:pPr>
        <w:spacing w:line="240" w:lineRule="auto"/>
        <w:rPr>
          <w:rFonts w:hint="eastAsia" w:ascii="宋体" w:hAnsi="宋体"/>
          <w:color w:val="auto"/>
          <w:szCs w:val="21"/>
        </w:rPr>
      </w:pPr>
    </w:p>
    <w:p w14:paraId="34DDF6F1">
      <w:pPr>
        <w:spacing w:line="240" w:lineRule="auto"/>
        <w:rPr>
          <w:rFonts w:hint="eastAsia" w:ascii="宋体" w:hAnsi="宋体"/>
          <w:color w:val="auto"/>
          <w:szCs w:val="21"/>
        </w:rPr>
      </w:pPr>
    </w:p>
    <w:p w14:paraId="6FF0381A">
      <w:pPr>
        <w:pStyle w:val="52"/>
        <w:spacing w:line="240" w:lineRule="auto"/>
        <w:ind w:left="0" w:leftChars="0" w:firstLine="0" w:firstLineChars="0"/>
        <w:rPr>
          <w:rFonts w:hint="eastAsia"/>
          <w:color w:val="auto"/>
        </w:rPr>
      </w:pPr>
    </w:p>
    <w:p w14:paraId="2C09AB3D">
      <w:pPr>
        <w:spacing w:line="240" w:lineRule="auto"/>
        <w:jc w:val="center"/>
        <w:rPr>
          <w:rFonts w:hint="eastAsia" w:ascii="黑体" w:eastAsia="黑体"/>
          <w:color w:val="auto"/>
          <w:sz w:val="24"/>
        </w:rPr>
      </w:pPr>
      <w:r>
        <w:rPr>
          <w:rFonts w:hint="eastAsia" w:ascii="黑体" w:eastAsia="黑体"/>
          <w:color w:val="auto"/>
          <w:sz w:val="24"/>
        </w:rPr>
        <w:t>㈢</w:t>
      </w:r>
      <w:r>
        <w:rPr>
          <w:rFonts w:ascii="黑体" w:eastAsia="黑体"/>
          <w:color w:val="auto"/>
          <w:sz w:val="24"/>
        </w:rPr>
        <w:t>项目技术负责人简历表</w:t>
      </w:r>
    </w:p>
    <w:p w14:paraId="1F07B978">
      <w:pPr>
        <w:spacing w:line="240" w:lineRule="auto"/>
        <w:rPr>
          <w:rFonts w:hint="eastAsia" w:ascii="宋体" w:hAnsi="宋体"/>
          <w:color w:val="auto"/>
          <w:szCs w:val="21"/>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415"/>
        <w:gridCol w:w="207"/>
        <w:gridCol w:w="1040"/>
        <w:gridCol w:w="117"/>
        <w:gridCol w:w="1132"/>
        <w:gridCol w:w="267"/>
        <w:gridCol w:w="983"/>
        <w:gridCol w:w="255"/>
        <w:gridCol w:w="423"/>
        <w:gridCol w:w="778"/>
        <w:gridCol w:w="479"/>
        <w:gridCol w:w="151"/>
        <w:gridCol w:w="506"/>
        <w:gridCol w:w="288"/>
        <w:gridCol w:w="1285"/>
      </w:tblGrid>
      <w:tr w14:paraId="05F1E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041" w:type="dxa"/>
            <w:vAlign w:val="center"/>
          </w:tcPr>
          <w:p w14:paraId="78EECB2A">
            <w:pPr>
              <w:spacing w:line="240" w:lineRule="auto"/>
              <w:jc w:val="center"/>
              <w:rPr>
                <w:rFonts w:hint="eastAsia" w:ascii="宋体" w:hAnsi="宋体"/>
                <w:color w:val="auto"/>
                <w:szCs w:val="21"/>
              </w:rPr>
            </w:pPr>
            <w:r>
              <w:rPr>
                <w:rFonts w:hint="eastAsia" w:ascii="宋体" w:hAnsi="宋体"/>
                <w:color w:val="auto"/>
                <w:szCs w:val="21"/>
              </w:rPr>
              <w:t>姓名</w:t>
            </w:r>
          </w:p>
        </w:tc>
        <w:tc>
          <w:tcPr>
            <w:tcW w:w="1779" w:type="dxa"/>
            <w:gridSpan w:val="4"/>
            <w:vAlign w:val="center"/>
          </w:tcPr>
          <w:p w14:paraId="0F4BB3B6">
            <w:pPr>
              <w:spacing w:line="240" w:lineRule="auto"/>
              <w:jc w:val="center"/>
              <w:rPr>
                <w:rFonts w:hint="eastAsia" w:ascii="宋体" w:hAnsi="宋体"/>
                <w:color w:val="auto"/>
                <w:szCs w:val="21"/>
              </w:rPr>
            </w:pPr>
          </w:p>
        </w:tc>
        <w:tc>
          <w:tcPr>
            <w:tcW w:w="1399" w:type="dxa"/>
            <w:gridSpan w:val="2"/>
            <w:vAlign w:val="center"/>
          </w:tcPr>
          <w:p w14:paraId="4A3895BA">
            <w:pPr>
              <w:spacing w:line="240" w:lineRule="auto"/>
              <w:jc w:val="center"/>
              <w:rPr>
                <w:rFonts w:hint="eastAsia" w:ascii="宋体" w:hAnsi="宋体"/>
                <w:color w:val="auto"/>
                <w:szCs w:val="21"/>
              </w:rPr>
            </w:pPr>
            <w:r>
              <w:rPr>
                <w:rFonts w:hint="eastAsia" w:ascii="宋体" w:hAnsi="宋体"/>
                <w:color w:val="auto"/>
                <w:szCs w:val="21"/>
              </w:rPr>
              <w:t>性别</w:t>
            </w:r>
          </w:p>
        </w:tc>
        <w:tc>
          <w:tcPr>
            <w:tcW w:w="1661" w:type="dxa"/>
            <w:gridSpan w:val="3"/>
            <w:vAlign w:val="center"/>
          </w:tcPr>
          <w:p w14:paraId="64168741">
            <w:pPr>
              <w:spacing w:line="240" w:lineRule="auto"/>
              <w:jc w:val="center"/>
              <w:rPr>
                <w:rFonts w:hint="eastAsia" w:ascii="宋体" w:hAnsi="宋体"/>
                <w:color w:val="auto"/>
                <w:szCs w:val="21"/>
              </w:rPr>
            </w:pPr>
          </w:p>
        </w:tc>
        <w:tc>
          <w:tcPr>
            <w:tcW w:w="1408" w:type="dxa"/>
            <w:gridSpan w:val="3"/>
            <w:vAlign w:val="center"/>
          </w:tcPr>
          <w:p w14:paraId="3C7AE9A5">
            <w:pPr>
              <w:spacing w:line="240" w:lineRule="auto"/>
              <w:jc w:val="center"/>
              <w:rPr>
                <w:rFonts w:hint="eastAsia" w:ascii="宋体" w:hAnsi="宋体"/>
                <w:color w:val="auto"/>
                <w:szCs w:val="21"/>
              </w:rPr>
            </w:pPr>
            <w:r>
              <w:rPr>
                <w:rFonts w:hint="eastAsia" w:ascii="宋体" w:hAnsi="宋体"/>
                <w:color w:val="auto"/>
                <w:szCs w:val="21"/>
              </w:rPr>
              <w:t>年龄</w:t>
            </w:r>
          </w:p>
        </w:tc>
        <w:tc>
          <w:tcPr>
            <w:tcW w:w="2079" w:type="dxa"/>
            <w:gridSpan w:val="3"/>
            <w:vAlign w:val="center"/>
          </w:tcPr>
          <w:p w14:paraId="059D2297">
            <w:pPr>
              <w:spacing w:line="240" w:lineRule="auto"/>
              <w:jc w:val="center"/>
              <w:rPr>
                <w:rFonts w:hint="eastAsia" w:ascii="宋体" w:hAnsi="宋体"/>
                <w:color w:val="auto"/>
                <w:szCs w:val="21"/>
              </w:rPr>
            </w:pPr>
          </w:p>
        </w:tc>
      </w:tr>
      <w:tr w14:paraId="14BF7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041" w:type="dxa"/>
            <w:vAlign w:val="center"/>
          </w:tcPr>
          <w:p w14:paraId="0CFE9353">
            <w:pPr>
              <w:spacing w:line="240" w:lineRule="auto"/>
              <w:jc w:val="center"/>
              <w:rPr>
                <w:rFonts w:hint="eastAsia" w:ascii="宋体" w:hAnsi="宋体"/>
                <w:color w:val="auto"/>
                <w:szCs w:val="21"/>
              </w:rPr>
            </w:pPr>
            <w:r>
              <w:rPr>
                <w:rFonts w:hint="eastAsia" w:ascii="宋体" w:hAnsi="宋体"/>
                <w:color w:val="auto"/>
                <w:szCs w:val="21"/>
              </w:rPr>
              <w:t>职称</w:t>
            </w:r>
          </w:p>
        </w:tc>
        <w:tc>
          <w:tcPr>
            <w:tcW w:w="1779" w:type="dxa"/>
            <w:gridSpan w:val="4"/>
            <w:vAlign w:val="center"/>
          </w:tcPr>
          <w:p w14:paraId="01000FEB">
            <w:pPr>
              <w:spacing w:line="240" w:lineRule="auto"/>
              <w:jc w:val="center"/>
              <w:rPr>
                <w:rFonts w:hint="eastAsia" w:ascii="宋体" w:hAnsi="宋体"/>
                <w:color w:val="auto"/>
                <w:szCs w:val="21"/>
              </w:rPr>
            </w:pPr>
          </w:p>
        </w:tc>
        <w:tc>
          <w:tcPr>
            <w:tcW w:w="1399" w:type="dxa"/>
            <w:gridSpan w:val="2"/>
            <w:vAlign w:val="center"/>
          </w:tcPr>
          <w:p w14:paraId="74351E16">
            <w:pPr>
              <w:spacing w:line="240" w:lineRule="auto"/>
              <w:jc w:val="center"/>
              <w:rPr>
                <w:rFonts w:hint="eastAsia" w:ascii="宋体" w:hAnsi="宋体"/>
                <w:color w:val="auto"/>
                <w:szCs w:val="21"/>
              </w:rPr>
            </w:pPr>
            <w:r>
              <w:rPr>
                <w:rFonts w:hint="eastAsia" w:ascii="宋体" w:hAnsi="宋体"/>
                <w:color w:val="auto"/>
                <w:szCs w:val="21"/>
              </w:rPr>
              <w:t>职务</w:t>
            </w:r>
          </w:p>
        </w:tc>
        <w:tc>
          <w:tcPr>
            <w:tcW w:w="1661" w:type="dxa"/>
            <w:gridSpan w:val="3"/>
            <w:vAlign w:val="center"/>
          </w:tcPr>
          <w:p w14:paraId="48AB2BC1">
            <w:pPr>
              <w:spacing w:line="240" w:lineRule="auto"/>
              <w:jc w:val="center"/>
              <w:rPr>
                <w:rFonts w:hint="eastAsia" w:ascii="宋体" w:hAnsi="宋体"/>
                <w:color w:val="auto"/>
                <w:szCs w:val="21"/>
              </w:rPr>
            </w:pPr>
          </w:p>
        </w:tc>
        <w:tc>
          <w:tcPr>
            <w:tcW w:w="1408" w:type="dxa"/>
            <w:gridSpan w:val="3"/>
            <w:vAlign w:val="center"/>
          </w:tcPr>
          <w:p w14:paraId="56D67408">
            <w:pPr>
              <w:spacing w:line="240" w:lineRule="auto"/>
              <w:jc w:val="center"/>
              <w:rPr>
                <w:rFonts w:hint="eastAsia" w:ascii="宋体" w:hAnsi="宋体"/>
                <w:color w:val="auto"/>
                <w:szCs w:val="21"/>
              </w:rPr>
            </w:pPr>
            <w:r>
              <w:rPr>
                <w:rFonts w:hint="eastAsia" w:ascii="宋体" w:hAnsi="宋体"/>
                <w:color w:val="auto"/>
                <w:szCs w:val="21"/>
              </w:rPr>
              <w:t>学历</w:t>
            </w:r>
          </w:p>
        </w:tc>
        <w:tc>
          <w:tcPr>
            <w:tcW w:w="2079" w:type="dxa"/>
            <w:gridSpan w:val="3"/>
            <w:vAlign w:val="center"/>
          </w:tcPr>
          <w:p w14:paraId="7F58E843">
            <w:pPr>
              <w:spacing w:line="240" w:lineRule="auto"/>
              <w:jc w:val="center"/>
              <w:rPr>
                <w:rFonts w:hint="eastAsia" w:ascii="宋体" w:hAnsi="宋体"/>
                <w:color w:val="auto"/>
                <w:szCs w:val="21"/>
              </w:rPr>
            </w:pPr>
          </w:p>
        </w:tc>
      </w:tr>
      <w:tr w14:paraId="7E2C6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041" w:type="dxa"/>
            <w:vAlign w:val="center"/>
          </w:tcPr>
          <w:p w14:paraId="79ABE5CC">
            <w:pPr>
              <w:spacing w:line="240" w:lineRule="auto"/>
              <w:jc w:val="center"/>
              <w:rPr>
                <w:rFonts w:hint="eastAsia" w:ascii="宋体" w:hAnsi="宋体"/>
                <w:color w:val="auto"/>
                <w:szCs w:val="21"/>
              </w:rPr>
            </w:pPr>
            <w:r>
              <w:rPr>
                <w:rFonts w:hint="eastAsia" w:ascii="宋体" w:hAnsi="宋体"/>
                <w:color w:val="auto"/>
                <w:szCs w:val="21"/>
              </w:rPr>
              <w:t>毕业</w:t>
            </w:r>
          </w:p>
          <w:p w14:paraId="53A26F71">
            <w:pPr>
              <w:spacing w:line="240" w:lineRule="auto"/>
              <w:jc w:val="center"/>
              <w:rPr>
                <w:rFonts w:hint="eastAsia" w:ascii="宋体" w:hAnsi="宋体"/>
                <w:color w:val="auto"/>
                <w:szCs w:val="21"/>
              </w:rPr>
            </w:pPr>
            <w:r>
              <w:rPr>
                <w:rFonts w:hint="eastAsia" w:ascii="宋体" w:hAnsi="宋体"/>
                <w:color w:val="auto"/>
                <w:szCs w:val="21"/>
              </w:rPr>
              <w:t>院校</w:t>
            </w:r>
          </w:p>
        </w:tc>
        <w:tc>
          <w:tcPr>
            <w:tcW w:w="3178" w:type="dxa"/>
            <w:gridSpan w:val="6"/>
            <w:vAlign w:val="center"/>
          </w:tcPr>
          <w:p w14:paraId="3A1C0778">
            <w:pPr>
              <w:spacing w:line="240" w:lineRule="auto"/>
              <w:rPr>
                <w:rFonts w:hint="eastAsia" w:ascii="宋体" w:hAnsi="宋体"/>
                <w:color w:val="auto"/>
                <w:szCs w:val="21"/>
              </w:rPr>
            </w:pPr>
          </w:p>
        </w:tc>
        <w:tc>
          <w:tcPr>
            <w:tcW w:w="1661" w:type="dxa"/>
            <w:gridSpan w:val="3"/>
            <w:vAlign w:val="center"/>
          </w:tcPr>
          <w:p w14:paraId="44307D57">
            <w:pPr>
              <w:spacing w:line="240" w:lineRule="auto"/>
              <w:jc w:val="center"/>
              <w:rPr>
                <w:rFonts w:hint="eastAsia" w:ascii="宋体" w:hAnsi="宋体"/>
                <w:color w:val="auto"/>
                <w:szCs w:val="21"/>
              </w:rPr>
            </w:pPr>
            <w:r>
              <w:rPr>
                <w:rFonts w:hint="eastAsia" w:ascii="宋体" w:hAnsi="宋体"/>
                <w:color w:val="auto"/>
                <w:szCs w:val="21"/>
              </w:rPr>
              <w:t>专业</w:t>
            </w:r>
          </w:p>
        </w:tc>
        <w:tc>
          <w:tcPr>
            <w:tcW w:w="3487" w:type="dxa"/>
            <w:gridSpan w:val="6"/>
            <w:vAlign w:val="center"/>
          </w:tcPr>
          <w:p w14:paraId="210A4817">
            <w:pPr>
              <w:spacing w:line="240" w:lineRule="auto"/>
              <w:rPr>
                <w:rFonts w:hint="eastAsia" w:ascii="宋体" w:hAnsi="宋体"/>
                <w:color w:val="auto"/>
                <w:szCs w:val="21"/>
              </w:rPr>
            </w:pPr>
          </w:p>
        </w:tc>
      </w:tr>
      <w:tr w14:paraId="165A8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663" w:type="dxa"/>
            <w:gridSpan w:val="3"/>
            <w:vAlign w:val="center"/>
          </w:tcPr>
          <w:p w14:paraId="33DC8F8E">
            <w:pPr>
              <w:spacing w:line="240" w:lineRule="auto"/>
              <w:jc w:val="center"/>
              <w:rPr>
                <w:rFonts w:hint="eastAsia" w:ascii="宋体" w:hAnsi="宋体"/>
                <w:color w:val="auto"/>
                <w:szCs w:val="21"/>
              </w:rPr>
            </w:pPr>
            <w:r>
              <w:rPr>
                <w:rFonts w:hint="eastAsia" w:ascii="宋体" w:hAnsi="宋体"/>
                <w:color w:val="auto"/>
                <w:szCs w:val="21"/>
              </w:rPr>
              <w:t>身份证号码</w:t>
            </w:r>
          </w:p>
        </w:tc>
        <w:tc>
          <w:tcPr>
            <w:tcW w:w="2289" w:type="dxa"/>
            <w:gridSpan w:val="3"/>
            <w:vAlign w:val="center"/>
          </w:tcPr>
          <w:p w14:paraId="6419E2BC">
            <w:pPr>
              <w:spacing w:line="240" w:lineRule="auto"/>
              <w:jc w:val="center"/>
              <w:rPr>
                <w:rFonts w:hint="eastAsia" w:ascii="宋体" w:hAnsi="宋体"/>
                <w:color w:val="auto"/>
                <w:szCs w:val="21"/>
              </w:rPr>
            </w:pPr>
          </w:p>
        </w:tc>
        <w:tc>
          <w:tcPr>
            <w:tcW w:w="1505" w:type="dxa"/>
            <w:gridSpan w:val="3"/>
            <w:vAlign w:val="center"/>
          </w:tcPr>
          <w:p w14:paraId="4AEA6C75">
            <w:pPr>
              <w:spacing w:line="240" w:lineRule="auto"/>
              <w:jc w:val="center"/>
              <w:rPr>
                <w:rFonts w:hint="eastAsia" w:ascii="宋体" w:hAnsi="宋体"/>
                <w:color w:val="auto"/>
                <w:szCs w:val="21"/>
              </w:rPr>
            </w:pPr>
            <w:r>
              <w:rPr>
                <w:rFonts w:hint="eastAsia" w:ascii="宋体" w:hAnsi="宋体"/>
                <w:color w:val="auto"/>
                <w:szCs w:val="21"/>
              </w:rPr>
              <w:t>执业资格证书等级及编号</w:t>
            </w:r>
          </w:p>
        </w:tc>
        <w:tc>
          <w:tcPr>
            <w:tcW w:w="1680" w:type="dxa"/>
            <w:gridSpan w:val="3"/>
            <w:vAlign w:val="center"/>
          </w:tcPr>
          <w:p w14:paraId="4CF06830">
            <w:pPr>
              <w:spacing w:line="240" w:lineRule="auto"/>
              <w:jc w:val="center"/>
              <w:rPr>
                <w:rFonts w:hint="eastAsia" w:ascii="宋体" w:hAnsi="宋体"/>
                <w:color w:val="auto"/>
                <w:szCs w:val="21"/>
              </w:rPr>
            </w:pPr>
          </w:p>
        </w:tc>
        <w:tc>
          <w:tcPr>
            <w:tcW w:w="945" w:type="dxa"/>
            <w:gridSpan w:val="3"/>
            <w:vAlign w:val="center"/>
          </w:tcPr>
          <w:p w14:paraId="2046789F">
            <w:pPr>
              <w:spacing w:line="240" w:lineRule="auto"/>
              <w:jc w:val="center"/>
              <w:rPr>
                <w:rFonts w:hint="eastAsia" w:ascii="宋体" w:hAnsi="宋体"/>
                <w:color w:val="auto"/>
                <w:szCs w:val="21"/>
              </w:rPr>
            </w:pPr>
            <w:r>
              <w:rPr>
                <w:rFonts w:hint="eastAsia" w:ascii="宋体" w:hAnsi="宋体"/>
                <w:color w:val="auto"/>
                <w:szCs w:val="21"/>
              </w:rPr>
              <w:t>职称证书编号</w:t>
            </w:r>
          </w:p>
        </w:tc>
        <w:tc>
          <w:tcPr>
            <w:tcW w:w="1285" w:type="dxa"/>
            <w:vAlign w:val="center"/>
          </w:tcPr>
          <w:p w14:paraId="1AE4A95F">
            <w:pPr>
              <w:spacing w:line="240" w:lineRule="auto"/>
              <w:jc w:val="center"/>
              <w:rPr>
                <w:rFonts w:hint="eastAsia" w:ascii="宋体" w:hAnsi="宋体"/>
                <w:color w:val="auto"/>
                <w:szCs w:val="21"/>
              </w:rPr>
            </w:pPr>
          </w:p>
        </w:tc>
      </w:tr>
      <w:tr w14:paraId="017D6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367" w:type="dxa"/>
            <w:gridSpan w:val="16"/>
            <w:vAlign w:val="center"/>
          </w:tcPr>
          <w:p w14:paraId="506A083F">
            <w:pPr>
              <w:spacing w:line="240" w:lineRule="auto"/>
              <w:jc w:val="center"/>
              <w:rPr>
                <w:rFonts w:hint="eastAsia" w:ascii="宋体" w:hAnsi="宋体"/>
                <w:color w:val="auto"/>
                <w:szCs w:val="21"/>
              </w:rPr>
            </w:pPr>
            <w:r>
              <w:rPr>
                <w:rFonts w:hint="eastAsia" w:ascii="宋体" w:hAnsi="宋体"/>
                <w:color w:val="auto"/>
                <w:szCs w:val="21"/>
              </w:rPr>
              <w:t>主要经历</w:t>
            </w:r>
          </w:p>
        </w:tc>
      </w:tr>
      <w:tr w14:paraId="267ED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456" w:type="dxa"/>
            <w:gridSpan w:val="2"/>
            <w:vAlign w:val="center"/>
          </w:tcPr>
          <w:p w14:paraId="451E37F3">
            <w:pPr>
              <w:spacing w:line="240" w:lineRule="auto"/>
              <w:jc w:val="center"/>
              <w:rPr>
                <w:rFonts w:hint="eastAsia" w:ascii="宋体" w:hAnsi="宋体"/>
                <w:color w:val="auto"/>
              </w:rPr>
            </w:pPr>
            <w:r>
              <w:rPr>
                <w:rFonts w:hint="eastAsia" w:ascii="宋体" w:hAnsi="宋体"/>
                <w:color w:val="auto"/>
              </w:rPr>
              <w:t>建设单位</w:t>
            </w:r>
          </w:p>
        </w:tc>
        <w:tc>
          <w:tcPr>
            <w:tcW w:w="1247" w:type="dxa"/>
            <w:gridSpan w:val="2"/>
            <w:vAlign w:val="center"/>
          </w:tcPr>
          <w:p w14:paraId="3FC1BDD8">
            <w:pPr>
              <w:spacing w:line="240" w:lineRule="auto"/>
              <w:jc w:val="center"/>
              <w:rPr>
                <w:rFonts w:hint="eastAsia" w:ascii="宋体" w:hAnsi="宋体"/>
                <w:color w:val="auto"/>
              </w:rPr>
            </w:pPr>
            <w:r>
              <w:rPr>
                <w:rFonts w:hint="eastAsia" w:ascii="宋体" w:hAnsi="宋体"/>
                <w:color w:val="auto"/>
              </w:rPr>
              <w:t>项目名称</w:t>
            </w:r>
          </w:p>
        </w:tc>
        <w:tc>
          <w:tcPr>
            <w:tcW w:w="1249" w:type="dxa"/>
            <w:gridSpan w:val="2"/>
            <w:vAlign w:val="center"/>
          </w:tcPr>
          <w:p w14:paraId="1155B871">
            <w:pPr>
              <w:spacing w:line="240" w:lineRule="auto"/>
              <w:jc w:val="center"/>
              <w:rPr>
                <w:rFonts w:hint="eastAsia" w:ascii="宋体" w:hAnsi="宋体"/>
                <w:color w:val="auto"/>
              </w:rPr>
            </w:pPr>
            <w:r>
              <w:rPr>
                <w:rFonts w:hint="eastAsia" w:ascii="宋体" w:hAnsi="宋体"/>
                <w:color w:val="auto"/>
              </w:rPr>
              <w:t>担任何职</w:t>
            </w:r>
          </w:p>
        </w:tc>
        <w:tc>
          <w:tcPr>
            <w:tcW w:w="1250" w:type="dxa"/>
            <w:gridSpan w:val="2"/>
            <w:vAlign w:val="center"/>
          </w:tcPr>
          <w:p w14:paraId="45CB88E9">
            <w:pPr>
              <w:spacing w:line="240" w:lineRule="auto"/>
              <w:jc w:val="center"/>
              <w:rPr>
                <w:rFonts w:hint="eastAsia" w:ascii="宋体" w:hAnsi="宋体"/>
                <w:color w:val="auto"/>
              </w:rPr>
            </w:pPr>
            <w:r>
              <w:rPr>
                <w:rFonts w:hint="eastAsia" w:ascii="宋体" w:hAnsi="宋体"/>
                <w:color w:val="auto"/>
              </w:rPr>
              <w:t>建设规模</w:t>
            </w:r>
          </w:p>
        </w:tc>
        <w:tc>
          <w:tcPr>
            <w:tcW w:w="1456" w:type="dxa"/>
            <w:gridSpan w:val="3"/>
            <w:vAlign w:val="center"/>
          </w:tcPr>
          <w:p w14:paraId="12469A52">
            <w:pPr>
              <w:spacing w:line="240" w:lineRule="auto"/>
              <w:jc w:val="center"/>
              <w:rPr>
                <w:rFonts w:hint="eastAsia" w:ascii="宋体" w:hAnsi="宋体"/>
                <w:color w:val="auto"/>
              </w:rPr>
            </w:pPr>
            <w:r>
              <w:rPr>
                <w:rFonts w:hint="eastAsia" w:ascii="宋体" w:hAnsi="宋体"/>
                <w:color w:val="auto"/>
              </w:rPr>
              <w:t>建设地点</w:t>
            </w:r>
          </w:p>
        </w:tc>
        <w:tc>
          <w:tcPr>
            <w:tcW w:w="1136" w:type="dxa"/>
            <w:gridSpan w:val="3"/>
            <w:vAlign w:val="center"/>
          </w:tcPr>
          <w:p w14:paraId="2FB87946">
            <w:pPr>
              <w:spacing w:line="240" w:lineRule="auto"/>
              <w:jc w:val="center"/>
              <w:rPr>
                <w:rFonts w:hint="eastAsia" w:ascii="宋体" w:hAnsi="宋体"/>
                <w:color w:val="auto"/>
              </w:rPr>
            </w:pPr>
            <w:r>
              <w:rPr>
                <w:rFonts w:hint="eastAsia" w:ascii="宋体" w:hAnsi="宋体"/>
                <w:color w:val="auto"/>
              </w:rPr>
              <w:t>开竣工</w:t>
            </w:r>
          </w:p>
          <w:p w14:paraId="6ABEB5B0">
            <w:pPr>
              <w:spacing w:line="240" w:lineRule="auto"/>
              <w:jc w:val="center"/>
              <w:rPr>
                <w:rFonts w:hint="eastAsia" w:ascii="宋体" w:hAnsi="宋体"/>
                <w:color w:val="auto"/>
              </w:rPr>
            </w:pPr>
            <w:r>
              <w:rPr>
                <w:rFonts w:hint="eastAsia" w:ascii="宋体" w:hAnsi="宋体"/>
                <w:color w:val="auto"/>
              </w:rPr>
              <w:t>日期</w:t>
            </w:r>
          </w:p>
        </w:tc>
        <w:tc>
          <w:tcPr>
            <w:tcW w:w="1573" w:type="dxa"/>
            <w:gridSpan w:val="2"/>
            <w:vAlign w:val="center"/>
          </w:tcPr>
          <w:p w14:paraId="602F0CCA">
            <w:pPr>
              <w:spacing w:line="240" w:lineRule="auto"/>
              <w:jc w:val="center"/>
              <w:rPr>
                <w:rFonts w:hint="eastAsia" w:ascii="宋体" w:hAnsi="宋体"/>
                <w:color w:val="auto"/>
              </w:rPr>
            </w:pPr>
            <w:r>
              <w:rPr>
                <w:rFonts w:hint="eastAsia" w:ascii="宋体" w:hAnsi="宋体"/>
                <w:color w:val="auto"/>
              </w:rPr>
              <w:t>工程质量</w:t>
            </w:r>
          </w:p>
        </w:tc>
      </w:tr>
      <w:tr w14:paraId="3B334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56" w:type="dxa"/>
            <w:gridSpan w:val="2"/>
            <w:vAlign w:val="center"/>
          </w:tcPr>
          <w:p w14:paraId="516C24D7">
            <w:pPr>
              <w:spacing w:line="240" w:lineRule="auto"/>
              <w:jc w:val="center"/>
              <w:rPr>
                <w:rFonts w:hint="eastAsia" w:ascii="宋体" w:hAnsi="宋体"/>
                <w:color w:val="auto"/>
                <w:szCs w:val="21"/>
              </w:rPr>
            </w:pPr>
          </w:p>
        </w:tc>
        <w:tc>
          <w:tcPr>
            <w:tcW w:w="1247" w:type="dxa"/>
            <w:gridSpan w:val="2"/>
            <w:vAlign w:val="center"/>
          </w:tcPr>
          <w:p w14:paraId="21DEBAEC">
            <w:pPr>
              <w:spacing w:line="240" w:lineRule="auto"/>
              <w:jc w:val="center"/>
              <w:rPr>
                <w:rFonts w:hint="eastAsia" w:ascii="宋体" w:hAnsi="宋体"/>
                <w:color w:val="auto"/>
                <w:szCs w:val="21"/>
              </w:rPr>
            </w:pPr>
          </w:p>
        </w:tc>
        <w:tc>
          <w:tcPr>
            <w:tcW w:w="1249" w:type="dxa"/>
            <w:gridSpan w:val="2"/>
            <w:vAlign w:val="center"/>
          </w:tcPr>
          <w:p w14:paraId="6E56EFA4">
            <w:pPr>
              <w:spacing w:line="240" w:lineRule="auto"/>
              <w:jc w:val="center"/>
              <w:rPr>
                <w:rFonts w:hint="eastAsia" w:ascii="宋体" w:hAnsi="宋体"/>
                <w:color w:val="auto"/>
                <w:szCs w:val="21"/>
              </w:rPr>
            </w:pPr>
          </w:p>
        </w:tc>
        <w:tc>
          <w:tcPr>
            <w:tcW w:w="1250" w:type="dxa"/>
            <w:gridSpan w:val="2"/>
            <w:vAlign w:val="center"/>
          </w:tcPr>
          <w:p w14:paraId="5DC6ABFA">
            <w:pPr>
              <w:spacing w:line="240" w:lineRule="auto"/>
              <w:jc w:val="center"/>
              <w:rPr>
                <w:rFonts w:hint="eastAsia" w:ascii="宋体" w:hAnsi="宋体"/>
                <w:color w:val="auto"/>
                <w:szCs w:val="21"/>
              </w:rPr>
            </w:pPr>
          </w:p>
        </w:tc>
        <w:tc>
          <w:tcPr>
            <w:tcW w:w="1456" w:type="dxa"/>
            <w:gridSpan w:val="3"/>
            <w:vAlign w:val="center"/>
          </w:tcPr>
          <w:p w14:paraId="2E8E1CB8">
            <w:pPr>
              <w:spacing w:line="240" w:lineRule="auto"/>
              <w:jc w:val="center"/>
              <w:rPr>
                <w:rFonts w:hint="eastAsia" w:ascii="宋体" w:hAnsi="宋体"/>
                <w:color w:val="auto"/>
                <w:szCs w:val="21"/>
              </w:rPr>
            </w:pPr>
          </w:p>
        </w:tc>
        <w:tc>
          <w:tcPr>
            <w:tcW w:w="1136" w:type="dxa"/>
            <w:gridSpan w:val="3"/>
            <w:vAlign w:val="center"/>
          </w:tcPr>
          <w:p w14:paraId="302DC269">
            <w:pPr>
              <w:spacing w:line="240" w:lineRule="auto"/>
              <w:jc w:val="center"/>
              <w:rPr>
                <w:rFonts w:hint="eastAsia" w:ascii="宋体" w:hAnsi="宋体"/>
                <w:color w:val="auto"/>
                <w:szCs w:val="21"/>
              </w:rPr>
            </w:pPr>
          </w:p>
        </w:tc>
        <w:tc>
          <w:tcPr>
            <w:tcW w:w="1573" w:type="dxa"/>
            <w:gridSpan w:val="2"/>
            <w:vAlign w:val="center"/>
          </w:tcPr>
          <w:p w14:paraId="38F9453C">
            <w:pPr>
              <w:spacing w:line="240" w:lineRule="auto"/>
              <w:jc w:val="center"/>
              <w:rPr>
                <w:rFonts w:hint="eastAsia" w:ascii="宋体" w:hAnsi="宋体"/>
                <w:color w:val="auto"/>
                <w:szCs w:val="21"/>
              </w:rPr>
            </w:pPr>
          </w:p>
        </w:tc>
      </w:tr>
      <w:tr w14:paraId="1542A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56" w:type="dxa"/>
            <w:gridSpan w:val="2"/>
            <w:vAlign w:val="center"/>
          </w:tcPr>
          <w:p w14:paraId="15E9899D">
            <w:pPr>
              <w:spacing w:line="240" w:lineRule="auto"/>
              <w:jc w:val="center"/>
              <w:rPr>
                <w:rFonts w:hint="eastAsia" w:ascii="宋体" w:hAnsi="宋体"/>
                <w:color w:val="auto"/>
                <w:szCs w:val="21"/>
              </w:rPr>
            </w:pPr>
          </w:p>
        </w:tc>
        <w:tc>
          <w:tcPr>
            <w:tcW w:w="1247" w:type="dxa"/>
            <w:gridSpan w:val="2"/>
            <w:vAlign w:val="center"/>
          </w:tcPr>
          <w:p w14:paraId="4C4502A8">
            <w:pPr>
              <w:spacing w:line="240" w:lineRule="auto"/>
              <w:jc w:val="center"/>
              <w:rPr>
                <w:rFonts w:hint="eastAsia" w:ascii="宋体" w:hAnsi="宋体"/>
                <w:color w:val="auto"/>
                <w:szCs w:val="21"/>
              </w:rPr>
            </w:pPr>
          </w:p>
        </w:tc>
        <w:tc>
          <w:tcPr>
            <w:tcW w:w="1249" w:type="dxa"/>
            <w:gridSpan w:val="2"/>
            <w:vAlign w:val="center"/>
          </w:tcPr>
          <w:p w14:paraId="4FCCA318">
            <w:pPr>
              <w:spacing w:line="240" w:lineRule="auto"/>
              <w:jc w:val="center"/>
              <w:rPr>
                <w:rFonts w:hint="eastAsia" w:ascii="宋体" w:hAnsi="宋体"/>
                <w:color w:val="auto"/>
                <w:szCs w:val="21"/>
              </w:rPr>
            </w:pPr>
          </w:p>
        </w:tc>
        <w:tc>
          <w:tcPr>
            <w:tcW w:w="1250" w:type="dxa"/>
            <w:gridSpan w:val="2"/>
            <w:vAlign w:val="center"/>
          </w:tcPr>
          <w:p w14:paraId="1D81D836">
            <w:pPr>
              <w:spacing w:line="240" w:lineRule="auto"/>
              <w:jc w:val="center"/>
              <w:rPr>
                <w:rFonts w:hint="eastAsia" w:ascii="宋体" w:hAnsi="宋体"/>
                <w:color w:val="auto"/>
                <w:szCs w:val="21"/>
              </w:rPr>
            </w:pPr>
          </w:p>
        </w:tc>
        <w:tc>
          <w:tcPr>
            <w:tcW w:w="1456" w:type="dxa"/>
            <w:gridSpan w:val="3"/>
            <w:vAlign w:val="center"/>
          </w:tcPr>
          <w:p w14:paraId="74F7AC2A">
            <w:pPr>
              <w:spacing w:line="240" w:lineRule="auto"/>
              <w:jc w:val="center"/>
              <w:rPr>
                <w:rFonts w:hint="eastAsia" w:ascii="宋体" w:hAnsi="宋体"/>
                <w:color w:val="auto"/>
                <w:szCs w:val="21"/>
              </w:rPr>
            </w:pPr>
          </w:p>
        </w:tc>
        <w:tc>
          <w:tcPr>
            <w:tcW w:w="1136" w:type="dxa"/>
            <w:gridSpan w:val="3"/>
            <w:vAlign w:val="center"/>
          </w:tcPr>
          <w:p w14:paraId="32E2F426">
            <w:pPr>
              <w:spacing w:line="240" w:lineRule="auto"/>
              <w:jc w:val="center"/>
              <w:rPr>
                <w:rFonts w:hint="eastAsia" w:ascii="宋体" w:hAnsi="宋体"/>
                <w:color w:val="auto"/>
                <w:szCs w:val="21"/>
              </w:rPr>
            </w:pPr>
          </w:p>
        </w:tc>
        <w:tc>
          <w:tcPr>
            <w:tcW w:w="1573" w:type="dxa"/>
            <w:gridSpan w:val="2"/>
            <w:vAlign w:val="center"/>
          </w:tcPr>
          <w:p w14:paraId="342746C2">
            <w:pPr>
              <w:spacing w:line="240" w:lineRule="auto"/>
              <w:jc w:val="center"/>
              <w:rPr>
                <w:rFonts w:hint="eastAsia" w:ascii="宋体" w:hAnsi="宋体"/>
                <w:color w:val="auto"/>
                <w:szCs w:val="21"/>
              </w:rPr>
            </w:pPr>
          </w:p>
        </w:tc>
      </w:tr>
      <w:tr w14:paraId="62D12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56" w:type="dxa"/>
            <w:gridSpan w:val="2"/>
            <w:vAlign w:val="center"/>
          </w:tcPr>
          <w:p w14:paraId="0AD76D11">
            <w:pPr>
              <w:spacing w:line="240" w:lineRule="auto"/>
              <w:jc w:val="center"/>
              <w:rPr>
                <w:rFonts w:hint="eastAsia" w:ascii="宋体" w:hAnsi="宋体"/>
                <w:color w:val="auto"/>
                <w:szCs w:val="21"/>
              </w:rPr>
            </w:pPr>
          </w:p>
        </w:tc>
        <w:tc>
          <w:tcPr>
            <w:tcW w:w="1247" w:type="dxa"/>
            <w:gridSpan w:val="2"/>
            <w:vAlign w:val="center"/>
          </w:tcPr>
          <w:p w14:paraId="6C29A24E">
            <w:pPr>
              <w:spacing w:line="240" w:lineRule="auto"/>
              <w:jc w:val="center"/>
              <w:rPr>
                <w:rFonts w:hint="eastAsia" w:ascii="宋体" w:hAnsi="宋体"/>
                <w:color w:val="auto"/>
                <w:szCs w:val="21"/>
              </w:rPr>
            </w:pPr>
          </w:p>
        </w:tc>
        <w:tc>
          <w:tcPr>
            <w:tcW w:w="1249" w:type="dxa"/>
            <w:gridSpan w:val="2"/>
            <w:vAlign w:val="center"/>
          </w:tcPr>
          <w:p w14:paraId="36FDA38F">
            <w:pPr>
              <w:spacing w:line="240" w:lineRule="auto"/>
              <w:jc w:val="center"/>
              <w:rPr>
                <w:rFonts w:hint="eastAsia" w:ascii="宋体" w:hAnsi="宋体"/>
                <w:color w:val="auto"/>
                <w:szCs w:val="21"/>
              </w:rPr>
            </w:pPr>
          </w:p>
        </w:tc>
        <w:tc>
          <w:tcPr>
            <w:tcW w:w="1250" w:type="dxa"/>
            <w:gridSpan w:val="2"/>
            <w:vAlign w:val="center"/>
          </w:tcPr>
          <w:p w14:paraId="5B1E4B08">
            <w:pPr>
              <w:spacing w:line="240" w:lineRule="auto"/>
              <w:jc w:val="center"/>
              <w:rPr>
                <w:rFonts w:hint="eastAsia" w:ascii="宋体" w:hAnsi="宋体"/>
                <w:color w:val="auto"/>
                <w:szCs w:val="21"/>
              </w:rPr>
            </w:pPr>
          </w:p>
        </w:tc>
        <w:tc>
          <w:tcPr>
            <w:tcW w:w="1456" w:type="dxa"/>
            <w:gridSpan w:val="3"/>
            <w:vAlign w:val="center"/>
          </w:tcPr>
          <w:p w14:paraId="659A3766">
            <w:pPr>
              <w:spacing w:line="240" w:lineRule="auto"/>
              <w:jc w:val="center"/>
              <w:rPr>
                <w:rFonts w:hint="eastAsia" w:ascii="宋体" w:hAnsi="宋体"/>
                <w:color w:val="auto"/>
                <w:szCs w:val="21"/>
              </w:rPr>
            </w:pPr>
          </w:p>
        </w:tc>
        <w:tc>
          <w:tcPr>
            <w:tcW w:w="1136" w:type="dxa"/>
            <w:gridSpan w:val="3"/>
            <w:vAlign w:val="center"/>
          </w:tcPr>
          <w:p w14:paraId="52B5DB15">
            <w:pPr>
              <w:spacing w:line="240" w:lineRule="auto"/>
              <w:jc w:val="center"/>
              <w:rPr>
                <w:rFonts w:hint="eastAsia" w:ascii="宋体" w:hAnsi="宋体"/>
                <w:color w:val="auto"/>
                <w:szCs w:val="21"/>
              </w:rPr>
            </w:pPr>
          </w:p>
        </w:tc>
        <w:tc>
          <w:tcPr>
            <w:tcW w:w="1573" w:type="dxa"/>
            <w:gridSpan w:val="2"/>
            <w:vAlign w:val="center"/>
          </w:tcPr>
          <w:p w14:paraId="484BFD42">
            <w:pPr>
              <w:spacing w:line="240" w:lineRule="auto"/>
              <w:jc w:val="center"/>
              <w:rPr>
                <w:rFonts w:hint="eastAsia" w:ascii="宋体" w:hAnsi="宋体"/>
                <w:color w:val="auto"/>
                <w:szCs w:val="21"/>
              </w:rPr>
            </w:pPr>
          </w:p>
        </w:tc>
      </w:tr>
      <w:tr w14:paraId="5A5D5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56" w:type="dxa"/>
            <w:gridSpan w:val="2"/>
            <w:vAlign w:val="center"/>
          </w:tcPr>
          <w:p w14:paraId="63A0E73D">
            <w:pPr>
              <w:spacing w:line="240" w:lineRule="auto"/>
              <w:jc w:val="center"/>
              <w:rPr>
                <w:rFonts w:hint="eastAsia" w:ascii="宋体" w:hAnsi="宋体"/>
                <w:color w:val="auto"/>
                <w:szCs w:val="21"/>
              </w:rPr>
            </w:pPr>
          </w:p>
        </w:tc>
        <w:tc>
          <w:tcPr>
            <w:tcW w:w="1247" w:type="dxa"/>
            <w:gridSpan w:val="2"/>
            <w:vAlign w:val="center"/>
          </w:tcPr>
          <w:p w14:paraId="4DFF3126">
            <w:pPr>
              <w:spacing w:line="240" w:lineRule="auto"/>
              <w:jc w:val="center"/>
              <w:rPr>
                <w:rFonts w:hint="eastAsia" w:ascii="宋体" w:hAnsi="宋体"/>
                <w:color w:val="auto"/>
                <w:szCs w:val="21"/>
              </w:rPr>
            </w:pPr>
          </w:p>
        </w:tc>
        <w:tc>
          <w:tcPr>
            <w:tcW w:w="1249" w:type="dxa"/>
            <w:gridSpan w:val="2"/>
            <w:vAlign w:val="center"/>
          </w:tcPr>
          <w:p w14:paraId="02231016">
            <w:pPr>
              <w:spacing w:line="240" w:lineRule="auto"/>
              <w:jc w:val="center"/>
              <w:rPr>
                <w:rFonts w:hint="eastAsia" w:ascii="宋体" w:hAnsi="宋体"/>
                <w:color w:val="auto"/>
                <w:szCs w:val="21"/>
              </w:rPr>
            </w:pPr>
          </w:p>
        </w:tc>
        <w:tc>
          <w:tcPr>
            <w:tcW w:w="1250" w:type="dxa"/>
            <w:gridSpan w:val="2"/>
            <w:vAlign w:val="center"/>
          </w:tcPr>
          <w:p w14:paraId="30131206">
            <w:pPr>
              <w:spacing w:line="240" w:lineRule="auto"/>
              <w:jc w:val="center"/>
              <w:rPr>
                <w:rFonts w:hint="eastAsia" w:ascii="宋体" w:hAnsi="宋体"/>
                <w:color w:val="auto"/>
                <w:szCs w:val="21"/>
              </w:rPr>
            </w:pPr>
          </w:p>
        </w:tc>
        <w:tc>
          <w:tcPr>
            <w:tcW w:w="1456" w:type="dxa"/>
            <w:gridSpan w:val="3"/>
            <w:vAlign w:val="center"/>
          </w:tcPr>
          <w:p w14:paraId="1B5D44F4">
            <w:pPr>
              <w:spacing w:line="240" w:lineRule="auto"/>
              <w:jc w:val="center"/>
              <w:rPr>
                <w:rFonts w:hint="eastAsia" w:ascii="宋体" w:hAnsi="宋体"/>
                <w:color w:val="auto"/>
                <w:szCs w:val="21"/>
              </w:rPr>
            </w:pPr>
          </w:p>
        </w:tc>
        <w:tc>
          <w:tcPr>
            <w:tcW w:w="1136" w:type="dxa"/>
            <w:gridSpan w:val="3"/>
            <w:vAlign w:val="center"/>
          </w:tcPr>
          <w:p w14:paraId="50A9E0C2">
            <w:pPr>
              <w:spacing w:line="240" w:lineRule="auto"/>
              <w:jc w:val="center"/>
              <w:rPr>
                <w:rFonts w:hint="eastAsia" w:ascii="宋体" w:hAnsi="宋体"/>
                <w:color w:val="auto"/>
                <w:szCs w:val="21"/>
              </w:rPr>
            </w:pPr>
          </w:p>
        </w:tc>
        <w:tc>
          <w:tcPr>
            <w:tcW w:w="1573" w:type="dxa"/>
            <w:gridSpan w:val="2"/>
            <w:vAlign w:val="center"/>
          </w:tcPr>
          <w:p w14:paraId="2D0B2A04">
            <w:pPr>
              <w:spacing w:line="240" w:lineRule="auto"/>
              <w:jc w:val="center"/>
              <w:rPr>
                <w:rFonts w:hint="eastAsia" w:ascii="宋体" w:hAnsi="宋体"/>
                <w:color w:val="auto"/>
                <w:szCs w:val="21"/>
              </w:rPr>
            </w:pPr>
          </w:p>
        </w:tc>
      </w:tr>
      <w:tr w14:paraId="71E4D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56" w:type="dxa"/>
            <w:gridSpan w:val="2"/>
            <w:vAlign w:val="center"/>
          </w:tcPr>
          <w:p w14:paraId="5E25863D">
            <w:pPr>
              <w:spacing w:line="240" w:lineRule="auto"/>
              <w:jc w:val="center"/>
              <w:rPr>
                <w:rFonts w:hint="eastAsia" w:ascii="宋体" w:hAnsi="宋体"/>
                <w:color w:val="auto"/>
                <w:szCs w:val="21"/>
              </w:rPr>
            </w:pPr>
          </w:p>
        </w:tc>
        <w:tc>
          <w:tcPr>
            <w:tcW w:w="1247" w:type="dxa"/>
            <w:gridSpan w:val="2"/>
            <w:vAlign w:val="center"/>
          </w:tcPr>
          <w:p w14:paraId="0DB021F4">
            <w:pPr>
              <w:spacing w:line="240" w:lineRule="auto"/>
              <w:jc w:val="center"/>
              <w:rPr>
                <w:rFonts w:hint="eastAsia" w:ascii="宋体" w:hAnsi="宋体"/>
                <w:color w:val="auto"/>
                <w:szCs w:val="21"/>
              </w:rPr>
            </w:pPr>
          </w:p>
        </w:tc>
        <w:tc>
          <w:tcPr>
            <w:tcW w:w="1249" w:type="dxa"/>
            <w:gridSpan w:val="2"/>
            <w:vAlign w:val="center"/>
          </w:tcPr>
          <w:p w14:paraId="73A3479A">
            <w:pPr>
              <w:spacing w:line="240" w:lineRule="auto"/>
              <w:jc w:val="center"/>
              <w:rPr>
                <w:rFonts w:hint="eastAsia" w:ascii="宋体" w:hAnsi="宋体"/>
                <w:color w:val="auto"/>
                <w:szCs w:val="21"/>
              </w:rPr>
            </w:pPr>
          </w:p>
        </w:tc>
        <w:tc>
          <w:tcPr>
            <w:tcW w:w="1250" w:type="dxa"/>
            <w:gridSpan w:val="2"/>
            <w:vAlign w:val="center"/>
          </w:tcPr>
          <w:p w14:paraId="176BA6E6">
            <w:pPr>
              <w:spacing w:line="240" w:lineRule="auto"/>
              <w:jc w:val="center"/>
              <w:rPr>
                <w:rFonts w:hint="eastAsia" w:ascii="宋体" w:hAnsi="宋体"/>
                <w:color w:val="auto"/>
                <w:szCs w:val="21"/>
              </w:rPr>
            </w:pPr>
          </w:p>
        </w:tc>
        <w:tc>
          <w:tcPr>
            <w:tcW w:w="1456" w:type="dxa"/>
            <w:gridSpan w:val="3"/>
            <w:vAlign w:val="center"/>
          </w:tcPr>
          <w:p w14:paraId="627EC6A7">
            <w:pPr>
              <w:spacing w:line="240" w:lineRule="auto"/>
              <w:jc w:val="center"/>
              <w:rPr>
                <w:rFonts w:hint="eastAsia" w:ascii="宋体" w:hAnsi="宋体"/>
                <w:color w:val="auto"/>
                <w:szCs w:val="21"/>
              </w:rPr>
            </w:pPr>
          </w:p>
        </w:tc>
        <w:tc>
          <w:tcPr>
            <w:tcW w:w="1136" w:type="dxa"/>
            <w:gridSpan w:val="3"/>
            <w:vAlign w:val="center"/>
          </w:tcPr>
          <w:p w14:paraId="07415920">
            <w:pPr>
              <w:spacing w:line="240" w:lineRule="auto"/>
              <w:jc w:val="center"/>
              <w:rPr>
                <w:rFonts w:hint="eastAsia" w:ascii="宋体" w:hAnsi="宋体"/>
                <w:color w:val="auto"/>
                <w:szCs w:val="21"/>
              </w:rPr>
            </w:pPr>
          </w:p>
        </w:tc>
        <w:tc>
          <w:tcPr>
            <w:tcW w:w="1573" w:type="dxa"/>
            <w:gridSpan w:val="2"/>
            <w:vAlign w:val="center"/>
          </w:tcPr>
          <w:p w14:paraId="6293ACF6">
            <w:pPr>
              <w:spacing w:line="240" w:lineRule="auto"/>
              <w:jc w:val="center"/>
              <w:rPr>
                <w:rFonts w:hint="eastAsia" w:ascii="宋体" w:hAnsi="宋体"/>
                <w:color w:val="auto"/>
                <w:szCs w:val="21"/>
              </w:rPr>
            </w:pPr>
          </w:p>
        </w:tc>
      </w:tr>
      <w:tr w14:paraId="5F4F3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56" w:type="dxa"/>
            <w:gridSpan w:val="2"/>
            <w:vAlign w:val="center"/>
          </w:tcPr>
          <w:p w14:paraId="794542AD">
            <w:pPr>
              <w:spacing w:line="240" w:lineRule="auto"/>
              <w:jc w:val="center"/>
              <w:rPr>
                <w:rFonts w:hint="eastAsia" w:ascii="宋体" w:hAnsi="宋体"/>
                <w:color w:val="auto"/>
                <w:szCs w:val="21"/>
              </w:rPr>
            </w:pPr>
          </w:p>
        </w:tc>
        <w:tc>
          <w:tcPr>
            <w:tcW w:w="1247" w:type="dxa"/>
            <w:gridSpan w:val="2"/>
            <w:vAlign w:val="center"/>
          </w:tcPr>
          <w:p w14:paraId="4215D74A">
            <w:pPr>
              <w:spacing w:line="240" w:lineRule="auto"/>
              <w:jc w:val="center"/>
              <w:rPr>
                <w:rFonts w:hint="eastAsia" w:ascii="宋体" w:hAnsi="宋体"/>
                <w:color w:val="auto"/>
                <w:szCs w:val="21"/>
              </w:rPr>
            </w:pPr>
          </w:p>
        </w:tc>
        <w:tc>
          <w:tcPr>
            <w:tcW w:w="1249" w:type="dxa"/>
            <w:gridSpan w:val="2"/>
            <w:vAlign w:val="center"/>
          </w:tcPr>
          <w:p w14:paraId="399331E0">
            <w:pPr>
              <w:spacing w:line="240" w:lineRule="auto"/>
              <w:jc w:val="center"/>
              <w:rPr>
                <w:rFonts w:hint="eastAsia" w:ascii="宋体" w:hAnsi="宋体"/>
                <w:color w:val="auto"/>
                <w:szCs w:val="21"/>
              </w:rPr>
            </w:pPr>
          </w:p>
        </w:tc>
        <w:tc>
          <w:tcPr>
            <w:tcW w:w="1250" w:type="dxa"/>
            <w:gridSpan w:val="2"/>
            <w:vAlign w:val="center"/>
          </w:tcPr>
          <w:p w14:paraId="7C11C12A">
            <w:pPr>
              <w:spacing w:line="240" w:lineRule="auto"/>
              <w:jc w:val="center"/>
              <w:rPr>
                <w:rFonts w:hint="eastAsia" w:ascii="宋体" w:hAnsi="宋体"/>
                <w:color w:val="auto"/>
                <w:szCs w:val="21"/>
              </w:rPr>
            </w:pPr>
          </w:p>
        </w:tc>
        <w:tc>
          <w:tcPr>
            <w:tcW w:w="1456" w:type="dxa"/>
            <w:gridSpan w:val="3"/>
            <w:vAlign w:val="center"/>
          </w:tcPr>
          <w:p w14:paraId="67191372">
            <w:pPr>
              <w:spacing w:line="240" w:lineRule="auto"/>
              <w:jc w:val="center"/>
              <w:rPr>
                <w:rFonts w:hint="eastAsia" w:ascii="宋体" w:hAnsi="宋体"/>
                <w:color w:val="auto"/>
                <w:szCs w:val="21"/>
              </w:rPr>
            </w:pPr>
          </w:p>
        </w:tc>
        <w:tc>
          <w:tcPr>
            <w:tcW w:w="1136" w:type="dxa"/>
            <w:gridSpan w:val="3"/>
            <w:vAlign w:val="center"/>
          </w:tcPr>
          <w:p w14:paraId="3C3EF0AF">
            <w:pPr>
              <w:spacing w:line="240" w:lineRule="auto"/>
              <w:jc w:val="center"/>
              <w:rPr>
                <w:rFonts w:hint="eastAsia" w:ascii="宋体" w:hAnsi="宋体"/>
                <w:color w:val="auto"/>
                <w:szCs w:val="21"/>
              </w:rPr>
            </w:pPr>
          </w:p>
        </w:tc>
        <w:tc>
          <w:tcPr>
            <w:tcW w:w="1573" w:type="dxa"/>
            <w:gridSpan w:val="2"/>
            <w:vAlign w:val="center"/>
          </w:tcPr>
          <w:p w14:paraId="1EE69839">
            <w:pPr>
              <w:spacing w:line="240" w:lineRule="auto"/>
              <w:jc w:val="center"/>
              <w:rPr>
                <w:rFonts w:hint="eastAsia" w:ascii="宋体" w:hAnsi="宋体"/>
                <w:color w:val="auto"/>
                <w:szCs w:val="21"/>
              </w:rPr>
            </w:pPr>
          </w:p>
        </w:tc>
      </w:tr>
      <w:tr w14:paraId="2DF3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56" w:type="dxa"/>
            <w:gridSpan w:val="2"/>
            <w:vAlign w:val="center"/>
          </w:tcPr>
          <w:p w14:paraId="35E3E71E">
            <w:pPr>
              <w:spacing w:line="240" w:lineRule="auto"/>
              <w:jc w:val="center"/>
              <w:rPr>
                <w:rFonts w:hint="eastAsia" w:ascii="宋体" w:hAnsi="宋体"/>
                <w:color w:val="auto"/>
                <w:szCs w:val="21"/>
              </w:rPr>
            </w:pPr>
          </w:p>
        </w:tc>
        <w:tc>
          <w:tcPr>
            <w:tcW w:w="1247" w:type="dxa"/>
            <w:gridSpan w:val="2"/>
            <w:vAlign w:val="center"/>
          </w:tcPr>
          <w:p w14:paraId="5E347AEF">
            <w:pPr>
              <w:spacing w:line="240" w:lineRule="auto"/>
              <w:jc w:val="center"/>
              <w:rPr>
                <w:rFonts w:hint="eastAsia" w:ascii="宋体" w:hAnsi="宋体"/>
                <w:color w:val="auto"/>
                <w:szCs w:val="21"/>
              </w:rPr>
            </w:pPr>
          </w:p>
        </w:tc>
        <w:tc>
          <w:tcPr>
            <w:tcW w:w="1249" w:type="dxa"/>
            <w:gridSpan w:val="2"/>
            <w:vAlign w:val="center"/>
          </w:tcPr>
          <w:p w14:paraId="288364A3">
            <w:pPr>
              <w:spacing w:line="240" w:lineRule="auto"/>
              <w:jc w:val="center"/>
              <w:rPr>
                <w:rFonts w:hint="eastAsia" w:ascii="宋体" w:hAnsi="宋体"/>
                <w:color w:val="auto"/>
                <w:szCs w:val="21"/>
              </w:rPr>
            </w:pPr>
          </w:p>
        </w:tc>
        <w:tc>
          <w:tcPr>
            <w:tcW w:w="1250" w:type="dxa"/>
            <w:gridSpan w:val="2"/>
            <w:vAlign w:val="center"/>
          </w:tcPr>
          <w:p w14:paraId="7D8C49DB">
            <w:pPr>
              <w:spacing w:line="240" w:lineRule="auto"/>
              <w:jc w:val="center"/>
              <w:rPr>
                <w:rFonts w:hint="eastAsia" w:ascii="宋体" w:hAnsi="宋体"/>
                <w:color w:val="auto"/>
                <w:szCs w:val="21"/>
              </w:rPr>
            </w:pPr>
          </w:p>
        </w:tc>
        <w:tc>
          <w:tcPr>
            <w:tcW w:w="1456" w:type="dxa"/>
            <w:gridSpan w:val="3"/>
            <w:vAlign w:val="center"/>
          </w:tcPr>
          <w:p w14:paraId="5DBB2F58">
            <w:pPr>
              <w:spacing w:line="240" w:lineRule="auto"/>
              <w:jc w:val="center"/>
              <w:rPr>
                <w:rFonts w:hint="eastAsia" w:ascii="宋体" w:hAnsi="宋体"/>
                <w:color w:val="auto"/>
                <w:szCs w:val="21"/>
              </w:rPr>
            </w:pPr>
          </w:p>
        </w:tc>
        <w:tc>
          <w:tcPr>
            <w:tcW w:w="1136" w:type="dxa"/>
            <w:gridSpan w:val="3"/>
            <w:vAlign w:val="center"/>
          </w:tcPr>
          <w:p w14:paraId="51941C0C">
            <w:pPr>
              <w:spacing w:line="240" w:lineRule="auto"/>
              <w:jc w:val="center"/>
              <w:rPr>
                <w:rFonts w:hint="eastAsia" w:ascii="宋体" w:hAnsi="宋体"/>
                <w:color w:val="auto"/>
                <w:szCs w:val="21"/>
              </w:rPr>
            </w:pPr>
          </w:p>
        </w:tc>
        <w:tc>
          <w:tcPr>
            <w:tcW w:w="1573" w:type="dxa"/>
            <w:gridSpan w:val="2"/>
            <w:vAlign w:val="center"/>
          </w:tcPr>
          <w:p w14:paraId="3D1414FF">
            <w:pPr>
              <w:spacing w:line="240" w:lineRule="auto"/>
              <w:jc w:val="center"/>
              <w:rPr>
                <w:rFonts w:hint="eastAsia" w:ascii="宋体" w:hAnsi="宋体"/>
                <w:color w:val="auto"/>
                <w:szCs w:val="21"/>
              </w:rPr>
            </w:pPr>
          </w:p>
        </w:tc>
      </w:tr>
      <w:tr w14:paraId="4FD0E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56" w:type="dxa"/>
            <w:gridSpan w:val="2"/>
            <w:vAlign w:val="center"/>
          </w:tcPr>
          <w:p w14:paraId="4CDA650D">
            <w:pPr>
              <w:spacing w:line="240" w:lineRule="auto"/>
              <w:jc w:val="center"/>
              <w:rPr>
                <w:rFonts w:hint="eastAsia" w:ascii="宋体" w:hAnsi="宋体"/>
                <w:color w:val="auto"/>
                <w:szCs w:val="21"/>
              </w:rPr>
            </w:pPr>
          </w:p>
        </w:tc>
        <w:tc>
          <w:tcPr>
            <w:tcW w:w="1247" w:type="dxa"/>
            <w:gridSpan w:val="2"/>
            <w:vAlign w:val="center"/>
          </w:tcPr>
          <w:p w14:paraId="2E1B2A13">
            <w:pPr>
              <w:spacing w:line="240" w:lineRule="auto"/>
              <w:jc w:val="center"/>
              <w:rPr>
                <w:rFonts w:hint="eastAsia" w:ascii="宋体" w:hAnsi="宋体"/>
                <w:color w:val="auto"/>
                <w:szCs w:val="21"/>
              </w:rPr>
            </w:pPr>
          </w:p>
        </w:tc>
        <w:tc>
          <w:tcPr>
            <w:tcW w:w="1249" w:type="dxa"/>
            <w:gridSpan w:val="2"/>
            <w:vAlign w:val="center"/>
          </w:tcPr>
          <w:p w14:paraId="6C2B42FD">
            <w:pPr>
              <w:spacing w:line="240" w:lineRule="auto"/>
              <w:jc w:val="center"/>
              <w:rPr>
                <w:rFonts w:hint="eastAsia" w:ascii="宋体" w:hAnsi="宋体"/>
                <w:color w:val="auto"/>
                <w:szCs w:val="21"/>
              </w:rPr>
            </w:pPr>
          </w:p>
        </w:tc>
        <w:tc>
          <w:tcPr>
            <w:tcW w:w="1250" w:type="dxa"/>
            <w:gridSpan w:val="2"/>
            <w:vAlign w:val="center"/>
          </w:tcPr>
          <w:p w14:paraId="35724122">
            <w:pPr>
              <w:spacing w:line="240" w:lineRule="auto"/>
              <w:jc w:val="center"/>
              <w:rPr>
                <w:rFonts w:hint="eastAsia" w:ascii="宋体" w:hAnsi="宋体"/>
                <w:color w:val="auto"/>
                <w:szCs w:val="21"/>
              </w:rPr>
            </w:pPr>
          </w:p>
        </w:tc>
        <w:tc>
          <w:tcPr>
            <w:tcW w:w="1456" w:type="dxa"/>
            <w:gridSpan w:val="3"/>
            <w:vAlign w:val="center"/>
          </w:tcPr>
          <w:p w14:paraId="69EDE690">
            <w:pPr>
              <w:spacing w:line="240" w:lineRule="auto"/>
              <w:jc w:val="center"/>
              <w:rPr>
                <w:rFonts w:hint="eastAsia" w:ascii="宋体" w:hAnsi="宋体"/>
                <w:color w:val="auto"/>
                <w:szCs w:val="21"/>
              </w:rPr>
            </w:pPr>
          </w:p>
        </w:tc>
        <w:tc>
          <w:tcPr>
            <w:tcW w:w="1136" w:type="dxa"/>
            <w:gridSpan w:val="3"/>
            <w:vAlign w:val="center"/>
          </w:tcPr>
          <w:p w14:paraId="4BD18558">
            <w:pPr>
              <w:spacing w:line="240" w:lineRule="auto"/>
              <w:jc w:val="center"/>
              <w:rPr>
                <w:rFonts w:hint="eastAsia" w:ascii="宋体" w:hAnsi="宋体"/>
                <w:color w:val="auto"/>
                <w:szCs w:val="21"/>
              </w:rPr>
            </w:pPr>
          </w:p>
        </w:tc>
        <w:tc>
          <w:tcPr>
            <w:tcW w:w="1573" w:type="dxa"/>
            <w:gridSpan w:val="2"/>
            <w:vAlign w:val="center"/>
          </w:tcPr>
          <w:p w14:paraId="388ABAF2">
            <w:pPr>
              <w:spacing w:line="240" w:lineRule="auto"/>
              <w:jc w:val="center"/>
              <w:rPr>
                <w:rFonts w:hint="eastAsia" w:ascii="宋体" w:hAnsi="宋体"/>
                <w:color w:val="auto"/>
                <w:szCs w:val="21"/>
              </w:rPr>
            </w:pPr>
          </w:p>
        </w:tc>
      </w:tr>
    </w:tbl>
    <w:p w14:paraId="0395EF8A">
      <w:pPr>
        <w:spacing w:line="240" w:lineRule="auto"/>
        <w:rPr>
          <w:rFonts w:hint="eastAsia" w:ascii="宋体" w:hAnsi="宋体"/>
          <w:color w:val="auto"/>
          <w:szCs w:val="21"/>
        </w:rPr>
      </w:pPr>
    </w:p>
    <w:p w14:paraId="53170F3B">
      <w:pPr>
        <w:spacing w:line="240" w:lineRule="auto"/>
        <w:rPr>
          <w:rFonts w:hint="eastAsia" w:ascii="宋体" w:hAnsi="宋体"/>
          <w:color w:val="auto"/>
          <w:szCs w:val="21"/>
        </w:rPr>
      </w:pPr>
      <w:r>
        <w:rPr>
          <w:rFonts w:hint="eastAsia" w:ascii="宋体" w:hAnsi="宋体"/>
          <w:color w:val="auto"/>
          <w:szCs w:val="21"/>
        </w:rPr>
        <w:t>说明：</w:t>
      </w:r>
    </w:p>
    <w:p w14:paraId="06D99334">
      <w:pPr>
        <w:spacing w:line="240" w:lineRule="auto"/>
        <w:ind w:firstLine="420" w:firstLineChars="200"/>
        <w:rPr>
          <w:rFonts w:hint="eastAsia" w:ascii="宋体" w:hAnsi="宋体"/>
          <w:color w:val="auto"/>
          <w:szCs w:val="21"/>
        </w:rPr>
      </w:pPr>
      <w:r>
        <w:rPr>
          <w:rFonts w:hint="eastAsia" w:ascii="宋体" w:hAnsi="宋体"/>
          <w:color w:val="auto"/>
          <w:szCs w:val="21"/>
        </w:rPr>
        <w:t>⑴技术负责人要求具有工程师职称。</w:t>
      </w:r>
    </w:p>
    <w:p w14:paraId="5A52DD18">
      <w:pPr>
        <w:spacing w:line="240" w:lineRule="auto"/>
        <w:ind w:firstLine="420" w:firstLineChars="200"/>
        <w:rPr>
          <w:rFonts w:hint="eastAsia" w:ascii="宋体" w:hAnsi="宋体"/>
          <w:color w:val="auto"/>
          <w:szCs w:val="21"/>
        </w:rPr>
      </w:pPr>
      <w:r>
        <w:rPr>
          <w:rFonts w:hint="eastAsia" w:ascii="宋体" w:hAnsi="宋体"/>
          <w:color w:val="auto"/>
          <w:szCs w:val="21"/>
        </w:rPr>
        <w:t>⑵必须附上清晰可辨的身份证、职称证书的复印件。</w:t>
      </w:r>
    </w:p>
    <w:p w14:paraId="34277D28">
      <w:pPr>
        <w:pStyle w:val="101"/>
        <w:spacing w:line="240" w:lineRule="auto"/>
        <w:rPr>
          <w:rFonts w:hint="eastAsia"/>
          <w:color w:val="auto"/>
        </w:rPr>
      </w:pPr>
    </w:p>
    <w:p w14:paraId="18EEA101">
      <w:pPr>
        <w:spacing w:line="240" w:lineRule="auto"/>
        <w:jc w:val="center"/>
        <w:rPr>
          <w:rFonts w:hint="eastAsia" w:ascii="黑体" w:eastAsia="黑体"/>
          <w:color w:val="auto"/>
          <w:sz w:val="24"/>
        </w:rPr>
      </w:pPr>
    </w:p>
    <w:p w14:paraId="0BDD0398">
      <w:pPr>
        <w:spacing w:line="240" w:lineRule="auto"/>
        <w:jc w:val="center"/>
        <w:rPr>
          <w:rFonts w:hint="eastAsia" w:ascii="黑体" w:eastAsia="黑体"/>
          <w:color w:val="auto"/>
          <w:sz w:val="24"/>
        </w:rPr>
      </w:pPr>
    </w:p>
    <w:p w14:paraId="00552CF4">
      <w:pPr>
        <w:spacing w:line="240" w:lineRule="auto"/>
        <w:jc w:val="center"/>
        <w:rPr>
          <w:rFonts w:hint="eastAsia" w:ascii="黑体" w:eastAsia="黑体"/>
          <w:color w:val="auto"/>
          <w:sz w:val="24"/>
        </w:rPr>
      </w:pPr>
    </w:p>
    <w:p w14:paraId="68EE3ECE">
      <w:pPr>
        <w:spacing w:line="240" w:lineRule="auto"/>
        <w:jc w:val="center"/>
        <w:rPr>
          <w:rFonts w:hint="eastAsia" w:ascii="黑体" w:eastAsia="黑体"/>
          <w:color w:val="auto"/>
          <w:sz w:val="24"/>
        </w:rPr>
      </w:pPr>
    </w:p>
    <w:p w14:paraId="691F312D">
      <w:pPr>
        <w:spacing w:line="240" w:lineRule="auto"/>
        <w:jc w:val="center"/>
        <w:rPr>
          <w:rFonts w:hint="eastAsia" w:ascii="黑体" w:eastAsia="黑体"/>
          <w:color w:val="auto"/>
          <w:sz w:val="24"/>
        </w:rPr>
      </w:pPr>
    </w:p>
    <w:p w14:paraId="21E88117">
      <w:pPr>
        <w:spacing w:line="240" w:lineRule="auto"/>
        <w:jc w:val="center"/>
        <w:rPr>
          <w:rFonts w:hint="eastAsia" w:ascii="黑体" w:eastAsia="黑体"/>
          <w:color w:val="auto"/>
          <w:sz w:val="24"/>
        </w:rPr>
      </w:pPr>
    </w:p>
    <w:p w14:paraId="7DEB54FE">
      <w:pPr>
        <w:spacing w:line="240" w:lineRule="auto"/>
        <w:jc w:val="center"/>
        <w:rPr>
          <w:rFonts w:hint="eastAsia" w:ascii="黑体" w:eastAsia="黑体"/>
          <w:color w:val="auto"/>
          <w:sz w:val="24"/>
        </w:rPr>
      </w:pPr>
      <w:r>
        <w:rPr>
          <w:rFonts w:hint="eastAsia" w:ascii="黑体" w:eastAsia="黑体"/>
          <w:color w:val="auto"/>
          <w:sz w:val="24"/>
        </w:rPr>
        <w:t>㈣</w:t>
      </w:r>
      <w:r>
        <w:rPr>
          <w:rFonts w:ascii="黑体" w:eastAsia="黑体"/>
          <w:color w:val="auto"/>
          <w:sz w:val="24"/>
        </w:rPr>
        <w:t>项目其它主要人员简历表</w:t>
      </w:r>
    </w:p>
    <w:p w14:paraId="3829317E">
      <w:pPr>
        <w:spacing w:line="240" w:lineRule="auto"/>
        <w:rPr>
          <w:rFonts w:hint="eastAsia" w:ascii="宋体" w:hAnsi="宋体"/>
          <w:color w:val="auto"/>
          <w:szCs w:val="21"/>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490"/>
        <w:gridCol w:w="764"/>
        <w:gridCol w:w="442"/>
        <w:gridCol w:w="427"/>
        <w:gridCol w:w="739"/>
        <w:gridCol w:w="1048"/>
        <w:gridCol w:w="330"/>
        <w:gridCol w:w="156"/>
        <w:gridCol w:w="1167"/>
        <w:gridCol w:w="333"/>
        <w:gridCol w:w="40"/>
        <w:gridCol w:w="1194"/>
        <w:gridCol w:w="1090"/>
      </w:tblGrid>
      <w:tr w14:paraId="33DF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069" w:type="dxa"/>
            <w:vAlign w:val="center"/>
          </w:tcPr>
          <w:p w14:paraId="0078952B">
            <w:pPr>
              <w:spacing w:line="240" w:lineRule="auto"/>
              <w:jc w:val="center"/>
              <w:rPr>
                <w:rFonts w:hint="eastAsia" w:ascii="宋体" w:hAnsi="宋体"/>
                <w:color w:val="auto"/>
                <w:szCs w:val="21"/>
              </w:rPr>
            </w:pPr>
            <w:r>
              <w:rPr>
                <w:rFonts w:hint="eastAsia" w:ascii="宋体" w:hAnsi="宋体"/>
                <w:color w:val="auto"/>
                <w:szCs w:val="21"/>
              </w:rPr>
              <w:t>姓名</w:t>
            </w:r>
          </w:p>
        </w:tc>
        <w:tc>
          <w:tcPr>
            <w:tcW w:w="1696" w:type="dxa"/>
            <w:gridSpan w:val="3"/>
            <w:vAlign w:val="center"/>
          </w:tcPr>
          <w:p w14:paraId="0C3CB973">
            <w:pPr>
              <w:spacing w:line="240" w:lineRule="auto"/>
              <w:jc w:val="center"/>
              <w:rPr>
                <w:rFonts w:hint="eastAsia" w:ascii="宋体" w:hAnsi="宋体"/>
                <w:color w:val="auto"/>
                <w:szCs w:val="21"/>
              </w:rPr>
            </w:pPr>
          </w:p>
        </w:tc>
        <w:tc>
          <w:tcPr>
            <w:tcW w:w="1166" w:type="dxa"/>
            <w:gridSpan w:val="2"/>
            <w:vAlign w:val="center"/>
          </w:tcPr>
          <w:p w14:paraId="550C8B81">
            <w:pPr>
              <w:spacing w:line="240" w:lineRule="auto"/>
              <w:jc w:val="center"/>
              <w:rPr>
                <w:rFonts w:hint="eastAsia" w:ascii="宋体" w:hAnsi="宋体"/>
                <w:color w:val="auto"/>
                <w:szCs w:val="21"/>
              </w:rPr>
            </w:pPr>
            <w:r>
              <w:rPr>
                <w:rFonts w:hint="eastAsia" w:ascii="宋体" w:hAnsi="宋体"/>
                <w:color w:val="auto"/>
                <w:szCs w:val="21"/>
              </w:rPr>
              <w:t>性别</w:t>
            </w:r>
          </w:p>
        </w:tc>
        <w:tc>
          <w:tcPr>
            <w:tcW w:w="1378" w:type="dxa"/>
            <w:gridSpan w:val="2"/>
            <w:vAlign w:val="center"/>
          </w:tcPr>
          <w:p w14:paraId="1614D63C">
            <w:pPr>
              <w:spacing w:line="240" w:lineRule="auto"/>
              <w:jc w:val="center"/>
              <w:rPr>
                <w:rFonts w:hint="eastAsia" w:ascii="宋体" w:hAnsi="宋体"/>
                <w:color w:val="auto"/>
                <w:szCs w:val="21"/>
              </w:rPr>
            </w:pPr>
          </w:p>
        </w:tc>
        <w:tc>
          <w:tcPr>
            <w:tcW w:w="1696" w:type="dxa"/>
            <w:gridSpan w:val="4"/>
            <w:vAlign w:val="center"/>
          </w:tcPr>
          <w:p w14:paraId="010567E1">
            <w:pPr>
              <w:spacing w:line="240" w:lineRule="auto"/>
              <w:jc w:val="center"/>
              <w:rPr>
                <w:rFonts w:hint="eastAsia" w:ascii="宋体" w:hAnsi="宋体"/>
                <w:color w:val="auto"/>
                <w:szCs w:val="21"/>
              </w:rPr>
            </w:pPr>
            <w:r>
              <w:rPr>
                <w:rFonts w:hint="eastAsia" w:ascii="宋体" w:hAnsi="宋体"/>
                <w:color w:val="auto"/>
                <w:szCs w:val="21"/>
              </w:rPr>
              <w:t>年龄</w:t>
            </w:r>
          </w:p>
        </w:tc>
        <w:tc>
          <w:tcPr>
            <w:tcW w:w="2284" w:type="dxa"/>
            <w:gridSpan w:val="2"/>
            <w:vAlign w:val="center"/>
          </w:tcPr>
          <w:p w14:paraId="065EA9A4">
            <w:pPr>
              <w:spacing w:line="240" w:lineRule="auto"/>
              <w:jc w:val="center"/>
              <w:rPr>
                <w:rFonts w:hint="eastAsia" w:ascii="宋体" w:hAnsi="宋体"/>
                <w:color w:val="auto"/>
                <w:szCs w:val="21"/>
              </w:rPr>
            </w:pPr>
          </w:p>
        </w:tc>
      </w:tr>
      <w:tr w14:paraId="74FF3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069" w:type="dxa"/>
            <w:vAlign w:val="center"/>
          </w:tcPr>
          <w:p w14:paraId="10CFF71C">
            <w:pPr>
              <w:spacing w:line="240" w:lineRule="auto"/>
              <w:jc w:val="center"/>
              <w:rPr>
                <w:rFonts w:hint="eastAsia" w:ascii="宋体" w:hAnsi="宋体"/>
                <w:color w:val="auto"/>
                <w:szCs w:val="21"/>
              </w:rPr>
            </w:pPr>
            <w:r>
              <w:rPr>
                <w:rFonts w:hint="eastAsia" w:ascii="宋体" w:hAnsi="宋体"/>
                <w:color w:val="auto"/>
                <w:szCs w:val="21"/>
              </w:rPr>
              <w:t>职称</w:t>
            </w:r>
          </w:p>
        </w:tc>
        <w:tc>
          <w:tcPr>
            <w:tcW w:w="1696" w:type="dxa"/>
            <w:gridSpan w:val="3"/>
            <w:vAlign w:val="center"/>
          </w:tcPr>
          <w:p w14:paraId="30E9F52E">
            <w:pPr>
              <w:spacing w:line="240" w:lineRule="auto"/>
              <w:jc w:val="center"/>
              <w:rPr>
                <w:rFonts w:hint="eastAsia" w:ascii="宋体" w:hAnsi="宋体"/>
                <w:color w:val="auto"/>
                <w:szCs w:val="21"/>
              </w:rPr>
            </w:pPr>
          </w:p>
        </w:tc>
        <w:tc>
          <w:tcPr>
            <w:tcW w:w="1166" w:type="dxa"/>
            <w:gridSpan w:val="2"/>
            <w:vAlign w:val="center"/>
          </w:tcPr>
          <w:p w14:paraId="040544C3">
            <w:pPr>
              <w:spacing w:line="240" w:lineRule="auto"/>
              <w:jc w:val="center"/>
              <w:rPr>
                <w:rFonts w:hint="eastAsia" w:ascii="宋体" w:hAnsi="宋体"/>
                <w:color w:val="auto"/>
                <w:szCs w:val="21"/>
              </w:rPr>
            </w:pPr>
            <w:r>
              <w:rPr>
                <w:rFonts w:hint="eastAsia" w:ascii="宋体" w:hAnsi="宋体"/>
                <w:color w:val="auto"/>
                <w:szCs w:val="21"/>
              </w:rPr>
              <w:t>职务</w:t>
            </w:r>
          </w:p>
        </w:tc>
        <w:tc>
          <w:tcPr>
            <w:tcW w:w="1378" w:type="dxa"/>
            <w:gridSpan w:val="2"/>
            <w:vAlign w:val="center"/>
          </w:tcPr>
          <w:p w14:paraId="1349FB55">
            <w:pPr>
              <w:spacing w:line="240" w:lineRule="auto"/>
              <w:jc w:val="center"/>
              <w:rPr>
                <w:rFonts w:hint="eastAsia" w:ascii="宋体" w:hAnsi="宋体"/>
                <w:color w:val="auto"/>
                <w:szCs w:val="21"/>
              </w:rPr>
            </w:pPr>
          </w:p>
        </w:tc>
        <w:tc>
          <w:tcPr>
            <w:tcW w:w="1696" w:type="dxa"/>
            <w:gridSpan w:val="4"/>
            <w:vAlign w:val="center"/>
          </w:tcPr>
          <w:p w14:paraId="59D420E4">
            <w:pPr>
              <w:spacing w:line="240" w:lineRule="auto"/>
              <w:jc w:val="center"/>
              <w:rPr>
                <w:rFonts w:hint="eastAsia" w:ascii="宋体" w:hAnsi="宋体"/>
                <w:color w:val="auto"/>
                <w:szCs w:val="21"/>
              </w:rPr>
            </w:pPr>
            <w:r>
              <w:rPr>
                <w:rFonts w:hint="eastAsia" w:ascii="宋体" w:hAnsi="宋体"/>
                <w:color w:val="auto"/>
                <w:szCs w:val="21"/>
              </w:rPr>
              <w:t>学历</w:t>
            </w:r>
          </w:p>
        </w:tc>
        <w:tc>
          <w:tcPr>
            <w:tcW w:w="2284" w:type="dxa"/>
            <w:gridSpan w:val="2"/>
            <w:vAlign w:val="center"/>
          </w:tcPr>
          <w:p w14:paraId="0BCE6BEC">
            <w:pPr>
              <w:spacing w:line="240" w:lineRule="auto"/>
              <w:jc w:val="center"/>
              <w:rPr>
                <w:rFonts w:hint="eastAsia" w:ascii="宋体" w:hAnsi="宋体"/>
                <w:color w:val="auto"/>
                <w:szCs w:val="21"/>
              </w:rPr>
            </w:pPr>
          </w:p>
        </w:tc>
      </w:tr>
      <w:tr w14:paraId="63159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069" w:type="dxa"/>
            <w:vAlign w:val="center"/>
          </w:tcPr>
          <w:p w14:paraId="4C0F16D1">
            <w:pPr>
              <w:spacing w:line="240" w:lineRule="auto"/>
              <w:jc w:val="center"/>
              <w:rPr>
                <w:rFonts w:hint="eastAsia" w:ascii="宋体" w:hAnsi="宋体"/>
                <w:color w:val="auto"/>
                <w:szCs w:val="21"/>
              </w:rPr>
            </w:pPr>
            <w:r>
              <w:rPr>
                <w:rFonts w:hint="eastAsia" w:ascii="宋体" w:hAnsi="宋体"/>
                <w:color w:val="auto"/>
                <w:szCs w:val="21"/>
              </w:rPr>
              <w:t>毕业学校</w:t>
            </w:r>
          </w:p>
        </w:tc>
        <w:tc>
          <w:tcPr>
            <w:tcW w:w="2862" w:type="dxa"/>
            <w:gridSpan w:val="5"/>
            <w:vAlign w:val="center"/>
          </w:tcPr>
          <w:p w14:paraId="64E11F94">
            <w:pPr>
              <w:spacing w:line="240" w:lineRule="auto"/>
              <w:rPr>
                <w:rFonts w:hint="eastAsia" w:ascii="宋体" w:hAnsi="宋体"/>
                <w:color w:val="auto"/>
                <w:szCs w:val="21"/>
              </w:rPr>
            </w:pPr>
          </w:p>
        </w:tc>
        <w:tc>
          <w:tcPr>
            <w:tcW w:w="1378" w:type="dxa"/>
            <w:gridSpan w:val="2"/>
            <w:vAlign w:val="center"/>
          </w:tcPr>
          <w:p w14:paraId="7CD6B531">
            <w:pPr>
              <w:spacing w:line="240" w:lineRule="auto"/>
              <w:jc w:val="center"/>
              <w:rPr>
                <w:rFonts w:hint="eastAsia" w:ascii="宋体" w:hAnsi="宋体"/>
                <w:color w:val="auto"/>
                <w:szCs w:val="21"/>
              </w:rPr>
            </w:pPr>
            <w:r>
              <w:rPr>
                <w:rFonts w:hint="eastAsia" w:ascii="宋体" w:hAnsi="宋体"/>
                <w:color w:val="auto"/>
                <w:szCs w:val="21"/>
              </w:rPr>
              <w:t>专业</w:t>
            </w:r>
          </w:p>
        </w:tc>
        <w:tc>
          <w:tcPr>
            <w:tcW w:w="3980" w:type="dxa"/>
            <w:gridSpan w:val="6"/>
            <w:vAlign w:val="center"/>
          </w:tcPr>
          <w:p w14:paraId="2060ABB1">
            <w:pPr>
              <w:spacing w:line="240" w:lineRule="auto"/>
              <w:rPr>
                <w:rFonts w:hint="eastAsia" w:ascii="宋体" w:hAnsi="宋体"/>
                <w:color w:val="auto"/>
                <w:szCs w:val="21"/>
              </w:rPr>
            </w:pPr>
          </w:p>
        </w:tc>
      </w:tr>
      <w:tr w14:paraId="6DFAB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2323" w:type="dxa"/>
            <w:gridSpan w:val="3"/>
            <w:vAlign w:val="center"/>
          </w:tcPr>
          <w:p w14:paraId="281F7078">
            <w:pPr>
              <w:spacing w:line="240" w:lineRule="auto"/>
              <w:jc w:val="center"/>
              <w:rPr>
                <w:rFonts w:hint="eastAsia" w:ascii="宋体" w:hAnsi="宋体"/>
                <w:color w:val="auto"/>
                <w:szCs w:val="21"/>
              </w:rPr>
            </w:pPr>
            <w:r>
              <w:rPr>
                <w:rFonts w:hint="eastAsia" w:ascii="宋体" w:hAnsi="宋体"/>
                <w:color w:val="auto"/>
                <w:szCs w:val="21"/>
              </w:rPr>
              <w:t>身份证号码</w:t>
            </w:r>
          </w:p>
        </w:tc>
        <w:tc>
          <w:tcPr>
            <w:tcW w:w="3142" w:type="dxa"/>
            <w:gridSpan w:val="6"/>
            <w:vAlign w:val="center"/>
          </w:tcPr>
          <w:p w14:paraId="64BB6D53">
            <w:pPr>
              <w:spacing w:line="240" w:lineRule="auto"/>
              <w:jc w:val="center"/>
              <w:rPr>
                <w:rFonts w:hint="eastAsia" w:ascii="宋体" w:hAnsi="宋体"/>
                <w:color w:val="auto"/>
                <w:szCs w:val="21"/>
              </w:rPr>
            </w:pPr>
          </w:p>
        </w:tc>
        <w:tc>
          <w:tcPr>
            <w:tcW w:w="1500" w:type="dxa"/>
            <w:gridSpan w:val="2"/>
            <w:vAlign w:val="center"/>
          </w:tcPr>
          <w:p w14:paraId="0CB07AC9">
            <w:pPr>
              <w:spacing w:line="240" w:lineRule="auto"/>
              <w:jc w:val="center"/>
              <w:rPr>
                <w:rFonts w:hint="eastAsia" w:ascii="宋体" w:hAnsi="宋体"/>
                <w:color w:val="auto"/>
                <w:szCs w:val="21"/>
              </w:rPr>
            </w:pPr>
            <w:r>
              <w:rPr>
                <w:rFonts w:hint="eastAsia" w:ascii="宋体" w:hAnsi="宋体"/>
                <w:color w:val="auto"/>
                <w:szCs w:val="21"/>
              </w:rPr>
              <w:t>职称证书编号</w:t>
            </w:r>
          </w:p>
        </w:tc>
        <w:tc>
          <w:tcPr>
            <w:tcW w:w="2324" w:type="dxa"/>
            <w:gridSpan w:val="3"/>
            <w:vAlign w:val="center"/>
          </w:tcPr>
          <w:p w14:paraId="07CB1B9A">
            <w:pPr>
              <w:spacing w:line="240" w:lineRule="auto"/>
              <w:jc w:val="center"/>
              <w:rPr>
                <w:rFonts w:hint="eastAsia" w:ascii="宋体" w:hAnsi="宋体"/>
                <w:color w:val="auto"/>
                <w:szCs w:val="21"/>
              </w:rPr>
            </w:pPr>
          </w:p>
        </w:tc>
      </w:tr>
      <w:tr w14:paraId="6D867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3192" w:type="dxa"/>
            <w:gridSpan w:val="5"/>
            <w:vAlign w:val="center"/>
          </w:tcPr>
          <w:p w14:paraId="6234E427">
            <w:pPr>
              <w:spacing w:line="240" w:lineRule="auto"/>
              <w:jc w:val="center"/>
              <w:rPr>
                <w:rFonts w:hint="eastAsia" w:ascii="宋体" w:hAnsi="宋体"/>
                <w:color w:val="auto"/>
                <w:szCs w:val="21"/>
              </w:rPr>
            </w:pPr>
            <w:r>
              <w:rPr>
                <w:rFonts w:hint="eastAsia" w:ascii="宋体" w:hAnsi="宋体"/>
                <w:color w:val="auto"/>
                <w:szCs w:val="21"/>
              </w:rPr>
              <w:t>执业证或上岗证书名称及编号</w:t>
            </w:r>
          </w:p>
        </w:tc>
        <w:tc>
          <w:tcPr>
            <w:tcW w:w="6097" w:type="dxa"/>
            <w:gridSpan w:val="9"/>
            <w:vAlign w:val="center"/>
          </w:tcPr>
          <w:p w14:paraId="3BAA4225">
            <w:pPr>
              <w:spacing w:line="240" w:lineRule="auto"/>
              <w:jc w:val="center"/>
              <w:rPr>
                <w:rFonts w:hint="eastAsia" w:ascii="宋体" w:hAnsi="宋体"/>
                <w:color w:val="auto"/>
                <w:szCs w:val="21"/>
              </w:rPr>
            </w:pPr>
          </w:p>
        </w:tc>
      </w:tr>
      <w:tr w14:paraId="4C21C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289" w:type="dxa"/>
            <w:gridSpan w:val="14"/>
            <w:vAlign w:val="center"/>
          </w:tcPr>
          <w:p w14:paraId="44B08E40">
            <w:pPr>
              <w:spacing w:line="240" w:lineRule="auto"/>
              <w:jc w:val="center"/>
              <w:rPr>
                <w:rFonts w:hint="eastAsia" w:ascii="宋体" w:hAnsi="宋体"/>
                <w:color w:val="auto"/>
                <w:szCs w:val="21"/>
              </w:rPr>
            </w:pPr>
            <w:r>
              <w:rPr>
                <w:rFonts w:hint="eastAsia" w:ascii="宋体" w:hAnsi="宋体"/>
                <w:color w:val="auto"/>
                <w:szCs w:val="21"/>
              </w:rPr>
              <w:t>经历</w:t>
            </w:r>
          </w:p>
        </w:tc>
      </w:tr>
      <w:tr w14:paraId="7BFFD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559" w:type="dxa"/>
            <w:gridSpan w:val="2"/>
            <w:vAlign w:val="center"/>
          </w:tcPr>
          <w:p w14:paraId="50D83490">
            <w:pPr>
              <w:spacing w:line="240" w:lineRule="auto"/>
              <w:jc w:val="center"/>
              <w:rPr>
                <w:rFonts w:hint="eastAsia" w:ascii="宋体" w:hAnsi="宋体"/>
                <w:color w:val="auto"/>
                <w:szCs w:val="21"/>
              </w:rPr>
            </w:pPr>
            <w:r>
              <w:rPr>
                <w:rFonts w:hint="eastAsia" w:ascii="宋体" w:hAnsi="宋体"/>
                <w:color w:val="auto"/>
                <w:szCs w:val="21"/>
              </w:rPr>
              <w:t>建设单位</w:t>
            </w:r>
          </w:p>
        </w:tc>
        <w:tc>
          <w:tcPr>
            <w:tcW w:w="3420" w:type="dxa"/>
            <w:gridSpan w:val="5"/>
            <w:vAlign w:val="center"/>
          </w:tcPr>
          <w:p w14:paraId="0EE5F007">
            <w:pPr>
              <w:spacing w:line="240" w:lineRule="auto"/>
              <w:jc w:val="center"/>
              <w:rPr>
                <w:rFonts w:hint="eastAsia" w:ascii="宋体" w:hAnsi="宋体"/>
                <w:color w:val="auto"/>
                <w:szCs w:val="21"/>
              </w:rPr>
            </w:pPr>
            <w:r>
              <w:rPr>
                <w:rFonts w:hint="eastAsia" w:ascii="宋体" w:hAnsi="宋体"/>
                <w:color w:val="auto"/>
                <w:szCs w:val="21"/>
              </w:rPr>
              <w:t>项目名称</w:t>
            </w:r>
          </w:p>
        </w:tc>
        <w:tc>
          <w:tcPr>
            <w:tcW w:w="1653" w:type="dxa"/>
            <w:gridSpan w:val="3"/>
            <w:vAlign w:val="center"/>
          </w:tcPr>
          <w:p w14:paraId="3A4D63D3">
            <w:pPr>
              <w:spacing w:line="240" w:lineRule="auto"/>
              <w:jc w:val="center"/>
              <w:rPr>
                <w:rFonts w:hint="eastAsia" w:ascii="宋体" w:hAnsi="宋体"/>
                <w:color w:val="auto"/>
                <w:szCs w:val="21"/>
              </w:rPr>
            </w:pPr>
            <w:r>
              <w:rPr>
                <w:rFonts w:hint="eastAsia" w:ascii="宋体" w:hAnsi="宋体"/>
                <w:color w:val="auto"/>
                <w:szCs w:val="21"/>
              </w:rPr>
              <w:t>建设规模</w:t>
            </w:r>
          </w:p>
        </w:tc>
        <w:tc>
          <w:tcPr>
            <w:tcW w:w="1567" w:type="dxa"/>
            <w:gridSpan w:val="3"/>
            <w:vAlign w:val="center"/>
          </w:tcPr>
          <w:p w14:paraId="5CE81ACC">
            <w:pPr>
              <w:spacing w:line="240" w:lineRule="auto"/>
              <w:jc w:val="center"/>
              <w:rPr>
                <w:rFonts w:hint="eastAsia" w:ascii="宋体" w:hAnsi="宋体"/>
                <w:color w:val="auto"/>
                <w:szCs w:val="21"/>
              </w:rPr>
            </w:pPr>
            <w:r>
              <w:rPr>
                <w:rFonts w:hint="eastAsia" w:ascii="宋体" w:hAnsi="宋体"/>
                <w:color w:val="auto"/>
                <w:szCs w:val="21"/>
              </w:rPr>
              <w:t>开竣工日期</w:t>
            </w:r>
          </w:p>
        </w:tc>
        <w:tc>
          <w:tcPr>
            <w:tcW w:w="1090" w:type="dxa"/>
            <w:vAlign w:val="center"/>
          </w:tcPr>
          <w:p w14:paraId="28EDD344">
            <w:pPr>
              <w:spacing w:line="240" w:lineRule="auto"/>
              <w:jc w:val="center"/>
              <w:rPr>
                <w:rFonts w:hint="eastAsia" w:ascii="宋体" w:hAnsi="宋体"/>
                <w:color w:val="auto"/>
                <w:szCs w:val="21"/>
              </w:rPr>
            </w:pPr>
            <w:r>
              <w:rPr>
                <w:rFonts w:hint="eastAsia" w:ascii="宋体" w:hAnsi="宋体"/>
                <w:color w:val="auto"/>
                <w:szCs w:val="21"/>
              </w:rPr>
              <w:t>担任何职</w:t>
            </w:r>
          </w:p>
        </w:tc>
      </w:tr>
      <w:tr w14:paraId="48838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559" w:type="dxa"/>
            <w:gridSpan w:val="2"/>
            <w:vAlign w:val="center"/>
          </w:tcPr>
          <w:p w14:paraId="2531716E">
            <w:pPr>
              <w:spacing w:line="240" w:lineRule="auto"/>
              <w:jc w:val="center"/>
              <w:rPr>
                <w:rFonts w:hint="eastAsia" w:ascii="宋体" w:hAnsi="宋体"/>
                <w:color w:val="auto"/>
                <w:szCs w:val="21"/>
              </w:rPr>
            </w:pPr>
          </w:p>
        </w:tc>
        <w:tc>
          <w:tcPr>
            <w:tcW w:w="3420" w:type="dxa"/>
            <w:gridSpan w:val="5"/>
            <w:vAlign w:val="center"/>
          </w:tcPr>
          <w:p w14:paraId="508ECDB8">
            <w:pPr>
              <w:spacing w:line="240" w:lineRule="auto"/>
              <w:jc w:val="center"/>
              <w:rPr>
                <w:rFonts w:hint="eastAsia" w:ascii="宋体" w:hAnsi="宋体"/>
                <w:color w:val="auto"/>
                <w:szCs w:val="21"/>
              </w:rPr>
            </w:pPr>
          </w:p>
        </w:tc>
        <w:tc>
          <w:tcPr>
            <w:tcW w:w="1653" w:type="dxa"/>
            <w:gridSpan w:val="3"/>
            <w:vAlign w:val="center"/>
          </w:tcPr>
          <w:p w14:paraId="0772EE88">
            <w:pPr>
              <w:spacing w:line="240" w:lineRule="auto"/>
              <w:jc w:val="center"/>
              <w:rPr>
                <w:rFonts w:hint="eastAsia" w:ascii="宋体" w:hAnsi="宋体"/>
                <w:color w:val="auto"/>
                <w:szCs w:val="21"/>
              </w:rPr>
            </w:pPr>
          </w:p>
        </w:tc>
        <w:tc>
          <w:tcPr>
            <w:tcW w:w="1567" w:type="dxa"/>
            <w:gridSpan w:val="3"/>
            <w:vAlign w:val="center"/>
          </w:tcPr>
          <w:p w14:paraId="53ACDE4F">
            <w:pPr>
              <w:spacing w:line="240" w:lineRule="auto"/>
              <w:jc w:val="center"/>
              <w:rPr>
                <w:rFonts w:hint="eastAsia" w:ascii="宋体" w:hAnsi="宋体"/>
                <w:color w:val="auto"/>
                <w:szCs w:val="21"/>
              </w:rPr>
            </w:pPr>
          </w:p>
        </w:tc>
        <w:tc>
          <w:tcPr>
            <w:tcW w:w="1090" w:type="dxa"/>
            <w:vAlign w:val="center"/>
          </w:tcPr>
          <w:p w14:paraId="25B710BA">
            <w:pPr>
              <w:spacing w:line="240" w:lineRule="auto"/>
              <w:jc w:val="center"/>
              <w:rPr>
                <w:rFonts w:hint="eastAsia" w:ascii="宋体" w:hAnsi="宋体"/>
                <w:color w:val="auto"/>
                <w:szCs w:val="21"/>
              </w:rPr>
            </w:pPr>
          </w:p>
        </w:tc>
      </w:tr>
      <w:tr w14:paraId="55B3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559" w:type="dxa"/>
            <w:gridSpan w:val="2"/>
            <w:vAlign w:val="center"/>
          </w:tcPr>
          <w:p w14:paraId="755BB111">
            <w:pPr>
              <w:spacing w:line="240" w:lineRule="auto"/>
              <w:jc w:val="center"/>
              <w:rPr>
                <w:rFonts w:hint="eastAsia" w:ascii="宋体" w:hAnsi="宋体"/>
                <w:color w:val="auto"/>
                <w:szCs w:val="21"/>
              </w:rPr>
            </w:pPr>
          </w:p>
        </w:tc>
        <w:tc>
          <w:tcPr>
            <w:tcW w:w="3420" w:type="dxa"/>
            <w:gridSpan w:val="5"/>
            <w:vAlign w:val="center"/>
          </w:tcPr>
          <w:p w14:paraId="11955FC3">
            <w:pPr>
              <w:spacing w:line="240" w:lineRule="auto"/>
              <w:jc w:val="center"/>
              <w:rPr>
                <w:rFonts w:hint="eastAsia" w:ascii="宋体" w:hAnsi="宋体"/>
                <w:color w:val="auto"/>
                <w:szCs w:val="21"/>
              </w:rPr>
            </w:pPr>
          </w:p>
        </w:tc>
        <w:tc>
          <w:tcPr>
            <w:tcW w:w="1653" w:type="dxa"/>
            <w:gridSpan w:val="3"/>
            <w:vAlign w:val="center"/>
          </w:tcPr>
          <w:p w14:paraId="7755C01C">
            <w:pPr>
              <w:spacing w:line="240" w:lineRule="auto"/>
              <w:jc w:val="center"/>
              <w:rPr>
                <w:rFonts w:hint="eastAsia" w:ascii="宋体" w:hAnsi="宋体"/>
                <w:color w:val="auto"/>
                <w:szCs w:val="21"/>
              </w:rPr>
            </w:pPr>
          </w:p>
        </w:tc>
        <w:tc>
          <w:tcPr>
            <w:tcW w:w="1567" w:type="dxa"/>
            <w:gridSpan w:val="3"/>
            <w:vAlign w:val="center"/>
          </w:tcPr>
          <w:p w14:paraId="61CD25BA">
            <w:pPr>
              <w:spacing w:line="240" w:lineRule="auto"/>
              <w:jc w:val="center"/>
              <w:rPr>
                <w:rFonts w:hint="eastAsia" w:ascii="宋体" w:hAnsi="宋体"/>
                <w:color w:val="auto"/>
                <w:szCs w:val="21"/>
              </w:rPr>
            </w:pPr>
          </w:p>
        </w:tc>
        <w:tc>
          <w:tcPr>
            <w:tcW w:w="1090" w:type="dxa"/>
            <w:vAlign w:val="center"/>
          </w:tcPr>
          <w:p w14:paraId="5D350B2A">
            <w:pPr>
              <w:spacing w:line="240" w:lineRule="auto"/>
              <w:jc w:val="center"/>
              <w:rPr>
                <w:rFonts w:hint="eastAsia" w:ascii="宋体" w:hAnsi="宋体"/>
                <w:color w:val="auto"/>
                <w:szCs w:val="21"/>
              </w:rPr>
            </w:pPr>
          </w:p>
        </w:tc>
      </w:tr>
      <w:tr w14:paraId="2FFEB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559" w:type="dxa"/>
            <w:gridSpan w:val="2"/>
            <w:vAlign w:val="center"/>
          </w:tcPr>
          <w:p w14:paraId="2EFF0E5A">
            <w:pPr>
              <w:spacing w:line="240" w:lineRule="auto"/>
              <w:jc w:val="center"/>
              <w:rPr>
                <w:rFonts w:hint="eastAsia" w:ascii="宋体" w:hAnsi="宋体"/>
                <w:color w:val="auto"/>
                <w:szCs w:val="21"/>
              </w:rPr>
            </w:pPr>
          </w:p>
        </w:tc>
        <w:tc>
          <w:tcPr>
            <w:tcW w:w="3420" w:type="dxa"/>
            <w:gridSpan w:val="5"/>
            <w:vAlign w:val="center"/>
          </w:tcPr>
          <w:p w14:paraId="1A1D414A">
            <w:pPr>
              <w:spacing w:line="240" w:lineRule="auto"/>
              <w:jc w:val="center"/>
              <w:rPr>
                <w:rFonts w:hint="eastAsia" w:ascii="宋体" w:hAnsi="宋体"/>
                <w:color w:val="auto"/>
                <w:szCs w:val="21"/>
              </w:rPr>
            </w:pPr>
          </w:p>
        </w:tc>
        <w:tc>
          <w:tcPr>
            <w:tcW w:w="1653" w:type="dxa"/>
            <w:gridSpan w:val="3"/>
            <w:vAlign w:val="center"/>
          </w:tcPr>
          <w:p w14:paraId="33392F39">
            <w:pPr>
              <w:spacing w:line="240" w:lineRule="auto"/>
              <w:jc w:val="center"/>
              <w:rPr>
                <w:rFonts w:hint="eastAsia" w:ascii="宋体" w:hAnsi="宋体"/>
                <w:color w:val="auto"/>
                <w:szCs w:val="21"/>
              </w:rPr>
            </w:pPr>
          </w:p>
        </w:tc>
        <w:tc>
          <w:tcPr>
            <w:tcW w:w="1567" w:type="dxa"/>
            <w:gridSpan w:val="3"/>
            <w:vAlign w:val="center"/>
          </w:tcPr>
          <w:p w14:paraId="57F1DDA9">
            <w:pPr>
              <w:spacing w:line="240" w:lineRule="auto"/>
              <w:jc w:val="center"/>
              <w:rPr>
                <w:rFonts w:hint="eastAsia" w:ascii="宋体" w:hAnsi="宋体"/>
                <w:color w:val="auto"/>
                <w:szCs w:val="21"/>
              </w:rPr>
            </w:pPr>
          </w:p>
        </w:tc>
        <w:tc>
          <w:tcPr>
            <w:tcW w:w="1090" w:type="dxa"/>
            <w:vAlign w:val="center"/>
          </w:tcPr>
          <w:p w14:paraId="2BCA2808">
            <w:pPr>
              <w:spacing w:line="240" w:lineRule="auto"/>
              <w:jc w:val="center"/>
              <w:rPr>
                <w:rFonts w:hint="eastAsia" w:ascii="宋体" w:hAnsi="宋体"/>
                <w:color w:val="auto"/>
                <w:szCs w:val="21"/>
              </w:rPr>
            </w:pPr>
          </w:p>
        </w:tc>
      </w:tr>
      <w:tr w14:paraId="2DFBE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559" w:type="dxa"/>
            <w:gridSpan w:val="2"/>
            <w:vAlign w:val="center"/>
          </w:tcPr>
          <w:p w14:paraId="606BDF2B">
            <w:pPr>
              <w:spacing w:line="240" w:lineRule="auto"/>
              <w:jc w:val="center"/>
              <w:rPr>
                <w:rFonts w:hint="eastAsia" w:ascii="宋体" w:hAnsi="宋体"/>
                <w:color w:val="auto"/>
                <w:szCs w:val="21"/>
              </w:rPr>
            </w:pPr>
          </w:p>
        </w:tc>
        <w:tc>
          <w:tcPr>
            <w:tcW w:w="3420" w:type="dxa"/>
            <w:gridSpan w:val="5"/>
            <w:vAlign w:val="center"/>
          </w:tcPr>
          <w:p w14:paraId="7DD20C25">
            <w:pPr>
              <w:spacing w:line="240" w:lineRule="auto"/>
              <w:jc w:val="center"/>
              <w:rPr>
                <w:rFonts w:hint="eastAsia" w:ascii="宋体" w:hAnsi="宋体"/>
                <w:color w:val="auto"/>
                <w:szCs w:val="21"/>
              </w:rPr>
            </w:pPr>
          </w:p>
        </w:tc>
        <w:tc>
          <w:tcPr>
            <w:tcW w:w="1653" w:type="dxa"/>
            <w:gridSpan w:val="3"/>
            <w:vAlign w:val="center"/>
          </w:tcPr>
          <w:p w14:paraId="09060789">
            <w:pPr>
              <w:spacing w:line="240" w:lineRule="auto"/>
              <w:jc w:val="center"/>
              <w:rPr>
                <w:rFonts w:hint="eastAsia" w:ascii="宋体" w:hAnsi="宋体"/>
                <w:color w:val="auto"/>
                <w:szCs w:val="21"/>
              </w:rPr>
            </w:pPr>
          </w:p>
        </w:tc>
        <w:tc>
          <w:tcPr>
            <w:tcW w:w="1567" w:type="dxa"/>
            <w:gridSpan w:val="3"/>
            <w:vAlign w:val="center"/>
          </w:tcPr>
          <w:p w14:paraId="67B977DE">
            <w:pPr>
              <w:spacing w:line="240" w:lineRule="auto"/>
              <w:jc w:val="center"/>
              <w:rPr>
                <w:rFonts w:hint="eastAsia" w:ascii="宋体" w:hAnsi="宋体"/>
                <w:color w:val="auto"/>
                <w:szCs w:val="21"/>
              </w:rPr>
            </w:pPr>
          </w:p>
        </w:tc>
        <w:tc>
          <w:tcPr>
            <w:tcW w:w="1090" w:type="dxa"/>
            <w:vAlign w:val="center"/>
          </w:tcPr>
          <w:p w14:paraId="794D1BC6">
            <w:pPr>
              <w:spacing w:line="240" w:lineRule="auto"/>
              <w:jc w:val="center"/>
              <w:rPr>
                <w:rFonts w:hint="eastAsia" w:ascii="宋体" w:hAnsi="宋体"/>
                <w:color w:val="auto"/>
                <w:szCs w:val="21"/>
              </w:rPr>
            </w:pPr>
          </w:p>
        </w:tc>
      </w:tr>
      <w:tr w14:paraId="6C4A0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559" w:type="dxa"/>
            <w:gridSpan w:val="2"/>
            <w:vAlign w:val="center"/>
          </w:tcPr>
          <w:p w14:paraId="4715AD3F">
            <w:pPr>
              <w:spacing w:line="240" w:lineRule="auto"/>
              <w:jc w:val="center"/>
              <w:rPr>
                <w:rFonts w:hint="eastAsia" w:ascii="宋体" w:hAnsi="宋体"/>
                <w:color w:val="auto"/>
                <w:szCs w:val="21"/>
              </w:rPr>
            </w:pPr>
          </w:p>
        </w:tc>
        <w:tc>
          <w:tcPr>
            <w:tcW w:w="3420" w:type="dxa"/>
            <w:gridSpan w:val="5"/>
            <w:vAlign w:val="center"/>
          </w:tcPr>
          <w:p w14:paraId="023AE2A6">
            <w:pPr>
              <w:spacing w:line="240" w:lineRule="auto"/>
              <w:jc w:val="center"/>
              <w:rPr>
                <w:rFonts w:hint="eastAsia" w:ascii="宋体" w:hAnsi="宋体"/>
                <w:color w:val="auto"/>
                <w:szCs w:val="21"/>
              </w:rPr>
            </w:pPr>
          </w:p>
        </w:tc>
        <w:tc>
          <w:tcPr>
            <w:tcW w:w="1653" w:type="dxa"/>
            <w:gridSpan w:val="3"/>
            <w:vAlign w:val="center"/>
          </w:tcPr>
          <w:p w14:paraId="6A99A235">
            <w:pPr>
              <w:spacing w:line="240" w:lineRule="auto"/>
              <w:jc w:val="center"/>
              <w:rPr>
                <w:rFonts w:hint="eastAsia" w:ascii="宋体" w:hAnsi="宋体"/>
                <w:color w:val="auto"/>
                <w:szCs w:val="21"/>
              </w:rPr>
            </w:pPr>
          </w:p>
        </w:tc>
        <w:tc>
          <w:tcPr>
            <w:tcW w:w="1567" w:type="dxa"/>
            <w:gridSpan w:val="3"/>
            <w:vAlign w:val="center"/>
          </w:tcPr>
          <w:p w14:paraId="2D843E88">
            <w:pPr>
              <w:spacing w:line="240" w:lineRule="auto"/>
              <w:jc w:val="center"/>
              <w:rPr>
                <w:rFonts w:hint="eastAsia" w:ascii="宋体" w:hAnsi="宋体"/>
                <w:color w:val="auto"/>
                <w:szCs w:val="21"/>
              </w:rPr>
            </w:pPr>
          </w:p>
        </w:tc>
        <w:tc>
          <w:tcPr>
            <w:tcW w:w="1090" w:type="dxa"/>
            <w:vAlign w:val="center"/>
          </w:tcPr>
          <w:p w14:paraId="0C93645B">
            <w:pPr>
              <w:spacing w:line="240" w:lineRule="auto"/>
              <w:jc w:val="center"/>
              <w:rPr>
                <w:rFonts w:hint="eastAsia" w:ascii="宋体" w:hAnsi="宋体"/>
                <w:color w:val="auto"/>
                <w:szCs w:val="21"/>
              </w:rPr>
            </w:pPr>
          </w:p>
        </w:tc>
      </w:tr>
      <w:tr w14:paraId="48F25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559" w:type="dxa"/>
            <w:gridSpan w:val="2"/>
            <w:vAlign w:val="center"/>
          </w:tcPr>
          <w:p w14:paraId="6B0F7513">
            <w:pPr>
              <w:spacing w:line="240" w:lineRule="auto"/>
              <w:jc w:val="center"/>
              <w:rPr>
                <w:rFonts w:hint="eastAsia" w:ascii="宋体" w:hAnsi="宋体"/>
                <w:color w:val="auto"/>
                <w:szCs w:val="21"/>
              </w:rPr>
            </w:pPr>
          </w:p>
        </w:tc>
        <w:tc>
          <w:tcPr>
            <w:tcW w:w="3420" w:type="dxa"/>
            <w:gridSpan w:val="5"/>
            <w:vAlign w:val="center"/>
          </w:tcPr>
          <w:p w14:paraId="1A5A0656">
            <w:pPr>
              <w:spacing w:line="240" w:lineRule="auto"/>
              <w:jc w:val="center"/>
              <w:rPr>
                <w:rFonts w:hint="eastAsia" w:ascii="宋体" w:hAnsi="宋体"/>
                <w:color w:val="auto"/>
                <w:szCs w:val="21"/>
              </w:rPr>
            </w:pPr>
          </w:p>
        </w:tc>
        <w:tc>
          <w:tcPr>
            <w:tcW w:w="1653" w:type="dxa"/>
            <w:gridSpan w:val="3"/>
            <w:vAlign w:val="center"/>
          </w:tcPr>
          <w:p w14:paraId="1440A18C">
            <w:pPr>
              <w:spacing w:line="240" w:lineRule="auto"/>
              <w:jc w:val="center"/>
              <w:rPr>
                <w:rFonts w:hint="eastAsia" w:ascii="宋体" w:hAnsi="宋体"/>
                <w:color w:val="auto"/>
                <w:szCs w:val="21"/>
              </w:rPr>
            </w:pPr>
          </w:p>
        </w:tc>
        <w:tc>
          <w:tcPr>
            <w:tcW w:w="1567" w:type="dxa"/>
            <w:gridSpan w:val="3"/>
            <w:vAlign w:val="center"/>
          </w:tcPr>
          <w:p w14:paraId="16C6F07F">
            <w:pPr>
              <w:spacing w:line="240" w:lineRule="auto"/>
              <w:jc w:val="center"/>
              <w:rPr>
                <w:rFonts w:hint="eastAsia" w:ascii="宋体" w:hAnsi="宋体"/>
                <w:color w:val="auto"/>
                <w:szCs w:val="21"/>
              </w:rPr>
            </w:pPr>
          </w:p>
        </w:tc>
        <w:tc>
          <w:tcPr>
            <w:tcW w:w="1090" w:type="dxa"/>
            <w:vAlign w:val="center"/>
          </w:tcPr>
          <w:p w14:paraId="39A6ED04">
            <w:pPr>
              <w:spacing w:line="240" w:lineRule="auto"/>
              <w:jc w:val="center"/>
              <w:rPr>
                <w:rFonts w:hint="eastAsia" w:ascii="宋体" w:hAnsi="宋体"/>
                <w:color w:val="auto"/>
                <w:szCs w:val="21"/>
              </w:rPr>
            </w:pPr>
          </w:p>
        </w:tc>
      </w:tr>
      <w:tr w14:paraId="0FF34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559" w:type="dxa"/>
            <w:gridSpan w:val="2"/>
            <w:vAlign w:val="center"/>
          </w:tcPr>
          <w:p w14:paraId="4DAE23C2">
            <w:pPr>
              <w:spacing w:line="240" w:lineRule="auto"/>
              <w:jc w:val="center"/>
              <w:rPr>
                <w:rFonts w:hint="eastAsia" w:ascii="宋体" w:hAnsi="宋体"/>
                <w:color w:val="auto"/>
                <w:szCs w:val="21"/>
              </w:rPr>
            </w:pPr>
          </w:p>
        </w:tc>
        <w:tc>
          <w:tcPr>
            <w:tcW w:w="3420" w:type="dxa"/>
            <w:gridSpan w:val="5"/>
            <w:vAlign w:val="center"/>
          </w:tcPr>
          <w:p w14:paraId="16242FF9">
            <w:pPr>
              <w:spacing w:line="240" w:lineRule="auto"/>
              <w:jc w:val="center"/>
              <w:rPr>
                <w:rFonts w:hint="eastAsia" w:ascii="宋体" w:hAnsi="宋体"/>
                <w:color w:val="auto"/>
                <w:szCs w:val="21"/>
              </w:rPr>
            </w:pPr>
          </w:p>
        </w:tc>
        <w:tc>
          <w:tcPr>
            <w:tcW w:w="1653" w:type="dxa"/>
            <w:gridSpan w:val="3"/>
            <w:vAlign w:val="center"/>
          </w:tcPr>
          <w:p w14:paraId="7B2206DF">
            <w:pPr>
              <w:spacing w:line="240" w:lineRule="auto"/>
              <w:jc w:val="center"/>
              <w:rPr>
                <w:rFonts w:hint="eastAsia" w:ascii="宋体" w:hAnsi="宋体"/>
                <w:color w:val="auto"/>
                <w:szCs w:val="21"/>
              </w:rPr>
            </w:pPr>
          </w:p>
        </w:tc>
        <w:tc>
          <w:tcPr>
            <w:tcW w:w="1567" w:type="dxa"/>
            <w:gridSpan w:val="3"/>
            <w:vAlign w:val="center"/>
          </w:tcPr>
          <w:p w14:paraId="5042D4AC">
            <w:pPr>
              <w:spacing w:line="240" w:lineRule="auto"/>
              <w:jc w:val="center"/>
              <w:rPr>
                <w:rFonts w:hint="eastAsia" w:ascii="宋体" w:hAnsi="宋体"/>
                <w:color w:val="auto"/>
                <w:szCs w:val="21"/>
              </w:rPr>
            </w:pPr>
          </w:p>
        </w:tc>
        <w:tc>
          <w:tcPr>
            <w:tcW w:w="1090" w:type="dxa"/>
            <w:vAlign w:val="center"/>
          </w:tcPr>
          <w:p w14:paraId="61FAA3DD">
            <w:pPr>
              <w:spacing w:line="240" w:lineRule="auto"/>
              <w:jc w:val="center"/>
              <w:rPr>
                <w:rFonts w:hint="eastAsia" w:ascii="宋体" w:hAnsi="宋体"/>
                <w:color w:val="auto"/>
                <w:szCs w:val="21"/>
              </w:rPr>
            </w:pPr>
          </w:p>
        </w:tc>
      </w:tr>
    </w:tbl>
    <w:p w14:paraId="57E26AD8">
      <w:pPr>
        <w:spacing w:after="50" w:line="240" w:lineRule="auto"/>
        <w:rPr>
          <w:rFonts w:hint="eastAsia"/>
          <w:b/>
          <w:bCs/>
          <w:color w:val="auto"/>
          <w:sz w:val="32"/>
        </w:rPr>
      </w:pPr>
    </w:p>
    <w:p w14:paraId="08A2A725">
      <w:pPr>
        <w:spacing w:line="240" w:lineRule="auto"/>
        <w:rPr>
          <w:rFonts w:hint="eastAsia" w:ascii="宋体" w:hAnsi="宋体"/>
          <w:color w:val="auto"/>
          <w:szCs w:val="21"/>
        </w:rPr>
      </w:pPr>
      <w:r>
        <w:rPr>
          <w:rFonts w:hint="eastAsia" w:ascii="宋体" w:hAnsi="宋体"/>
          <w:color w:val="auto"/>
          <w:szCs w:val="21"/>
        </w:rPr>
        <w:t>说明：</w:t>
      </w:r>
    </w:p>
    <w:p w14:paraId="232615A6">
      <w:pPr>
        <w:spacing w:line="240" w:lineRule="auto"/>
        <w:ind w:firstLine="420" w:firstLineChars="200"/>
        <w:rPr>
          <w:rFonts w:hint="eastAsia" w:ascii="宋体" w:hAnsi="宋体"/>
          <w:color w:val="auto"/>
          <w:szCs w:val="21"/>
        </w:rPr>
      </w:pPr>
      <w:r>
        <w:rPr>
          <w:rFonts w:hint="eastAsia" w:ascii="宋体" w:hAnsi="宋体"/>
          <w:color w:val="auto"/>
          <w:szCs w:val="21"/>
        </w:rPr>
        <w:t>⑴“项目其他主要人员”指除</w:t>
      </w:r>
      <w:r>
        <w:rPr>
          <w:rFonts w:hint="eastAsia"/>
          <w:color w:val="auto"/>
        </w:rPr>
        <w:t>项目经理</w:t>
      </w:r>
      <w:r>
        <w:rPr>
          <w:rFonts w:hint="eastAsia" w:ascii="宋体" w:hAnsi="宋体"/>
          <w:color w:val="auto"/>
          <w:szCs w:val="21"/>
        </w:rPr>
        <w:t>、技术负责人外实际参加本合同工程施工的项目管理、技术等方面的负责人，包括施工员、质检员、安全员、材料员、预算员等。</w:t>
      </w:r>
    </w:p>
    <w:p w14:paraId="3D56F093">
      <w:pPr>
        <w:spacing w:line="240" w:lineRule="auto"/>
        <w:ind w:firstLine="420" w:firstLineChars="200"/>
        <w:rPr>
          <w:rFonts w:hint="eastAsia" w:ascii="宋体" w:hAnsi="宋体"/>
          <w:color w:val="auto"/>
          <w:szCs w:val="21"/>
        </w:rPr>
      </w:pPr>
      <w:r>
        <w:rPr>
          <w:rFonts w:hint="eastAsia" w:ascii="宋体" w:hAnsi="宋体"/>
          <w:color w:val="auto"/>
          <w:szCs w:val="21"/>
        </w:rPr>
        <w:t>⑵须附上清晰可辨的身份证及相应的执业证书或上岗资格证书的扫描件。</w:t>
      </w:r>
    </w:p>
    <w:p w14:paraId="31DF2138">
      <w:pPr>
        <w:spacing w:after="50" w:line="240" w:lineRule="auto"/>
        <w:ind w:firstLine="420" w:firstLineChars="200"/>
        <w:rPr>
          <w:rFonts w:ascii="宋体" w:hAnsi="宋体"/>
          <w:color w:val="auto"/>
          <w:szCs w:val="21"/>
        </w:rPr>
      </w:pPr>
      <w:r>
        <w:rPr>
          <w:rFonts w:ascii="宋体" w:hAnsi="宋体"/>
          <w:color w:val="auto"/>
          <w:szCs w:val="21"/>
        </w:rPr>
        <w:fldChar w:fldCharType="begin"/>
      </w:r>
      <w:r>
        <w:rPr>
          <w:rFonts w:ascii="宋体" w:hAnsi="宋体"/>
          <w:color w:val="auto"/>
          <w:szCs w:val="21"/>
        </w:rPr>
        <w:instrText xml:space="preserve"> </w:instrText>
      </w:r>
      <w:r>
        <w:rPr>
          <w:rFonts w:hint="eastAsia" w:ascii="宋体" w:hAnsi="宋体"/>
          <w:color w:val="auto"/>
          <w:szCs w:val="21"/>
        </w:rPr>
        <w:instrText xml:space="preserve">= 3 \* GB2</w:instrText>
      </w:r>
      <w:r>
        <w:rPr>
          <w:rFonts w:ascii="宋体" w:hAnsi="宋体"/>
          <w:color w:val="auto"/>
          <w:szCs w:val="21"/>
        </w:rPr>
        <w:instrText xml:space="preserve"> </w:instrText>
      </w:r>
      <w:r>
        <w:rPr>
          <w:rFonts w:ascii="宋体" w:hAnsi="宋体"/>
          <w:color w:val="auto"/>
          <w:szCs w:val="21"/>
        </w:rPr>
        <w:fldChar w:fldCharType="separate"/>
      </w:r>
      <w:r>
        <w:rPr>
          <w:rFonts w:hint="eastAsia" w:ascii="宋体" w:hAnsi="宋体"/>
          <w:color w:val="auto"/>
          <w:szCs w:val="21"/>
        </w:rPr>
        <w:t>⑶</w:t>
      </w:r>
      <w:r>
        <w:rPr>
          <w:rFonts w:ascii="宋体" w:hAnsi="宋体"/>
          <w:color w:val="auto"/>
          <w:szCs w:val="21"/>
        </w:rPr>
        <w:fldChar w:fldCharType="end"/>
      </w:r>
      <w:r>
        <w:rPr>
          <w:rFonts w:hint="eastAsia" w:ascii="宋体" w:hAnsi="宋体"/>
          <w:color w:val="auto"/>
          <w:szCs w:val="21"/>
        </w:rPr>
        <w:t>表格不够可另行增加。</w:t>
      </w:r>
    </w:p>
    <w:p w14:paraId="498A8DE7">
      <w:pPr>
        <w:spacing w:after="50" w:line="240" w:lineRule="auto"/>
        <w:rPr>
          <w:rFonts w:hint="eastAsia"/>
          <w:b/>
          <w:bCs/>
          <w:color w:val="auto"/>
          <w:sz w:val="32"/>
        </w:rPr>
      </w:pPr>
    </w:p>
    <w:p w14:paraId="2AC6A744">
      <w:pPr>
        <w:pStyle w:val="101"/>
        <w:spacing w:line="240" w:lineRule="auto"/>
        <w:rPr>
          <w:rFonts w:hint="eastAsia"/>
          <w:b/>
          <w:bCs/>
          <w:color w:val="auto"/>
          <w:sz w:val="32"/>
        </w:rPr>
      </w:pPr>
    </w:p>
    <w:p w14:paraId="78F869FA">
      <w:pPr>
        <w:pStyle w:val="101"/>
        <w:spacing w:line="240" w:lineRule="auto"/>
        <w:rPr>
          <w:rFonts w:hint="eastAsia"/>
          <w:b/>
          <w:bCs/>
          <w:color w:val="auto"/>
          <w:sz w:val="32"/>
        </w:rPr>
      </w:pPr>
    </w:p>
    <w:p w14:paraId="46599E84">
      <w:pPr>
        <w:spacing w:line="240" w:lineRule="auto"/>
        <w:jc w:val="center"/>
        <w:rPr>
          <w:rFonts w:ascii="黑体" w:eastAsia="黑体"/>
          <w:color w:val="auto"/>
          <w:sz w:val="24"/>
        </w:rPr>
      </w:pPr>
    </w:p>
    <w:p w14:paraId="4E41A854">
      <w:pPr>
        <w:spacing w:line="240" w:lineRule="auto"/>
        <w:jc w:val="center"/>
        <w:rPr>
          <w:rFonts w:ascii="黑体" w:eastAsia="黑体"/>
          <w:color w:val="auto"/>
          <w:sz w:val="24"/>
        </w:rPr>
      </w:pPr>
      <w:r>
        <w:rPr>
          <w:rFonts w:ascii="黑体" w:eastAsia="黑体"/>
          <w:color w:val="auto"/>
          <w:sz w:val="24"/>
        </w:rPr>
        <w:t>㈤项目管理机构配备情况辅助说明资料</w:t>
      </w:r>
    </w:p>
    <w:p w14:paraId="43D18C07">
      <w:pPr>
        <w:spacing w:after="50" w:line="240" w:lineRule="auto"/>
        <w:rPr>
          <w:rFonts w:hint="eastAsia"/>
          <w:bCs/>
          <w:color w:val="auto"/>
          <w:sz w:val="24"/>
        </w:rPr>
      </w:pPr>
    </w:p>
    <w:p w14:paraId="05F7A52D">
      <w:pPr>
        <w:spacing w:line="240" w:lineRule="auto"/>
        <w:ind w:left="632" w:hanging="632" w:hangingChars="300"/>
        <w:rPr>
          <w:rFonts w:hint="eastAsia"/>
          <w:b/>
          <w:color w:val="auto"/>
        </w:rPr>
      </w:pPr>
      <w:r>
        <w:rPr>
          <w:rFonts w:hint="eastAsia"/>
          <w:b/>
          <w:color w:val="auto"/>
        </w:rPr>
        <w:t>注：</w:t>
      </w:r>
    </w:p>
    <w:p w14:paraId="29FD55CA">
      <w:pPr>
        <w:spacing w:line="240" w:lineRule="auto"/>
        <w:ind w:firstLine="420" w:firstLineChars="200"/>
        <w:rPr>
          <w:rFonts w:hint="eastAsia"/>
          <w:color w:val="auto"/>
        </w:rPr>
      </w:pPr>
      <w:r>
        <w:rPr>
          <w:rFonts w:hint="eastAsia"/>
          <w:color w:val="auto"/>
        </w:rPr>
        <w:t>⑴辅助说明资料主要包括管理机构的机构设置、职责分工、有关复印证明资料以及竞标人认为有必要提供的资料。辅助说明资料格式不做统一规定，由竞标人自行设计。</w:t>
      </w:r>
    </w:p>
    <w:p w14:paraId="21D8C3B4">
      <w:pPr>
        <w:spacing w:line="240" w:lineRule="auto"/>
        <w:ind w:firstLine="420" w:firstLineChars="200"/>
        <w:rPr>
          <w:rFonts w:hint="eastAsia"/>
          <w:color w:val="auto"/>
        </w:rPr>
      </w:pPr>
      <w:r>
        <w:rPr>
          <w:rFonts w:hint="eastAsia"/>
          <w:color w:val="auto"/>
        </w:rPr>
        <w:t>⑵项目管理班子配备情况辅助说明资料另附（与本竞标文件一起合并）</w:t>
      </w:r>
    </w:p>
    <w:p w14:paraId="213D527A">
      <w:pPr>
        <w:pStyle w:val="101"/>
        <w:spacing w:line="240" w:lineRule="auto"/>
        <w:rPr>
          <w:rFonts w:hint="eastAsia"/>
          <w:color w:val="auto"/>
        </w:rPr>
      </w:pPr>
    </w:p>
    <w:p w14:paraId="3C098185">
      <w:pPr>
        <w:pStyle w:val="101"/>
        <w:spacing w:line="240" w:lineRule="auto"/>
        <w:rPr>
          <w:rFonts w:hint="eastAsia"/>
          <w:color w:val="auto"/>
        </w:rPr>
      </w:pPr>
    </w:p>
    <w:p w14:paraId="3B9BCD7F">
      <w:pPr>
        <w:pStyle w:val="101"/>
        <w:spacing w:line="240" w:lineRule="auto"/>
        <w:rPr>
          <w:rFonts w:hint="eastAsia"/>
          <w:color w:val="auto"/>
        </w:rPr>
      </w:pPr>
    </w:p>
    <w:p w14:paraId="0177FED0">
      <w:pPr>
        <w:pStyle w:val="101"/>
        <w:spacing w:line="240" w:lineRule="auto"/>
        <w:rPr>
          <w:rFonts w:hint="eastAsia"/>
          <w:color w:val="auto"/>
        </w:rPr>
      </w:pPr>
    </w:p>
    <w:p w14:paraId="424C5436">
      <w:pPr>
        <w:pStyle w:val="101"/>
        <w:spacing w:line="240" w:lineRule="auto"/>
        <w:rPr>
          <w:rFonts w:hint="eastAsia"/>
          <w:color w:val="auto"/>
        </w:rPr>
      </w:pPr>
    </w:p>
    <w:p w14:paraId="50582658">
      <w:pPr>
        <w:pStyle w:val="101"/>
        <w:spacing w:line="240" w:lineRule="auto"/>
        <w:rPr>
          <w:rFonts w:hint="eastAsia"/>
          <w:color w:val="auto"/>
        </w:rPr>
      </w:pPr>
    </w:p>
    <w:p w14:paraId="249ACE42">
      <w:pPr>
        <w:pStyle w:val="101"/>
        <w:spacing w:line="240" w:lineRule="auto"/>
        <w:rPr>
          <w:rFonts w:hint="eastAsia"/>
          <w:color w:val="auto"/>
        </w:rPr>
      </w:pPr>
    </w:p>
    <w:p w14:paraId="49A1BFAA">
      <w:pPr>
        <w:pStyle w:val="101"/>
        <w:spacing w:line="240" w:lineRule="auto"/>
        <w:rPr>
          <w:rFonts w:hint="eastAsia"/>
          <w:color w:val="auto"/>
        </w:rPr>
      </w:pPr>
    </w:p>
    <w:p w14:paraId="70265F71">
      <w:pPr>
        <w:pStyle w:val="101"/>
        <w:spacing w:line="240" w:lineRule="auto"/>
        <w:rPr>
          <w:rFonts w:hint="eastAsia"/>
          <w:color w:val="auto"/>
        </w:rPr>
      </w:pPr>
    </w:p>
    <w:p w14:paraId="5FDD5EF0">
      <w:pPr>
        <w:pStyle w:val="101"/>
        <w:spacing w:line="240" w:lineRule="auto"/>
        <w:rPr>
          <w:rFonts w:hint="eastAsia"/>
          <w:color w:val="auto"/>
        </w:rPr>
      </w:pPr>
    </w:p>
    <w:p w14:paraId="36A3C4CE">
      <w:pPr>
        <w:pStyle w:val="101"/>
        <w:spacing w:line="240" w:lineRule="auto"/>
        <w:rPr>
          <w:rFonts w:hint="eastAsia"/>
          <w:color w:val="auto"/>
        </w:rPr>
      </w:pPr>
    </w:p>
    <w:p w14:paraId="1F1DCB71">
      <w:pPr>
        <w:pStyle w:val="101"/>
        <w:spacing w:line="240" w:lineRule="auto"/>
        <w:rPr>
          <w:rFonts w:hint="eastAsia"/>
          <w:color w:val="auto"/>
        </w:rPr>
      </w:pPr>
    </w:p>
    <w:p w14:paraId="696947F0">
      <w:pPr>
        <w:pStyle w:val="101"/>
        <w:spacing w:line="240" w:lineRule="auto"/>
        <w:rPr>
          <w:rFonts w:hint="eastAsia"/>
          <w:color w:val="auto"/>
        </w:rPr>
      </w:pPr>
    </w:p>
    <w:p w14:paraId="1D5CCFE6">
      <w:pPr>
        <w:pStyle w:val="101"/>
        <w:spacing w:line="240" w:lineRule="auto"/>
        <w:rPr>
          <w:rFonts w:hint="eastAsia"/>
          <w:color w:val="auto"/>
        </w:rPr>
      </w:pPr>
    </w:p>
    <w:p w14:paraId="6280EE13">
      <w:pPr>
        <w:pStyle w:val="101"/>
        <w:spacing w:line="240" w:lineRule="auto"/>
        <w:rPr>
          <w:rFonts w:hint="eastAsia"/>
          <w:color w:val="auto"/>
        </w:rPr>
      </w:pPr>
    </w:p>
    <w:p w14:paraId="24625E24">
      <w:pPr>
        <w:snapToGrid w:val="0"/>
        <w:spacing w:line="240" w:lineRule="auto"/>
        <w:rPr>
          <w:rFonts w:hint="eastAsia" w:ascii="宋体" w:hAnsi="宋体"/>
          <w:b/>
          <w:bCs/>
          <w:color w:val="auto"/>
          <w:sz w:val="30"/>
          <w:szCs w:val="30"/>
        </w:rPr>
      </w:pPr>
    </w:p>
    <w:p w14:paraId="7139651B">
      <w:pPr>
        <w:snapToGrid w:val="0"/>
        <w:spacing w:line="240" w:lineRule="auto"/>
        <w:rPr>
          <w:rFonts w:hint="eastAsia" w:ascii="宋体" w:hAnsi="宋体"/>
          <w:b/>
          <w:bCs/>
          <w:color w:val="auto"/>
          <w:sz w:val="30"/>
          <w:szCs w:val="30"/>
        </w:rPr>
      </w:pPr>
    </w:p>
    <w:p w14:paraId="1527236D">
      <w:pPr>
        <w:snapToGrid w:val="0"/>
        <w:spacing w:line="240" w:lineRule="auto"/>
        <w:rPr>
          <w:rFonts w:hint="eastAsia" w:ascii="宋体" w:hAnsi="宋体"/>
          <w:b/>
          <w:bCs/>
          <w:color w:val="auto"/>
          <w:sz w:val="30"/>
          <w:szCs w:val="30"/>
        </w:rPr>
      </w:pPr>
    </w:p>
    <w:p w14:paraId="37D9C624">
      <w:pPr>
        <w:snapToGrid w:val="0"/>
        <w:spacing w:line="240" w:lineRule="auto"/>
        <w:rPr>
          <w:rFonts w:hint="eastAsia" w:ascii="宋体" w:hAnsi="宋体"/>
          <w:b/>
          <w:bCs/>
          <w:color w:val="auto"/>
          <w:sz w:val="30"/>
          <w:szCs w:val="30"/>
        </w:rPr>
      </w:pPr>
    </w:p>
    <w:p w14:paraId="6B53320C">
      <w:pPr>
        <w:snapToGrid w:val="0"/>
        <w:spacing w:line="240" w:lineRule="auto"/>
        <w:rPr>
          <w:rFonts w:hint="eastAsia" w:ascii="宋体" w:hAnsi="宋体"/>
          <w:b/>
          <w:bCs/>
          <w:color w:val="auto"/>
          <w:sz w:val="30"/>
          <w:szCs w:val="30"/>
        </w:rPr>
      </w:pPr>
    </w:p>
    <w:p w14:paraId="6EA6C68B">
      <w:pPr>
        <w:snapToGrid w:val="0"/>
        <w:spacing w:line="240" w:lineRule="auto"/>
        <w:rPr>
          <w:rFonts w:hint="eastAsia" w:ascii="宋体" w:hAnsi="宋体"/>
          <w:b/>
          <w:bCs/>
          <w:color w:val="auto"/>
          <w:sz w:val="30"/>
          <w:szCs w:val="30"/>
        </w:rPr>
      </w:pPr>
    </w:p>
    <w:p w14:paraId="3DE25C22">
      <w:pPr>
        <w:snapToGrid w:val="0"/>
        <w:spacing w:line="240" w:lineRule="auto"/>
        <w:rPr>
          <w:rFonts w:hint="eastAsia" w:ascii="宋体" w:hAnsi="宋体"/>
          <w:b/>
          <w:bCs/>
          <w:color w:val="auto"/>
          <w:sz w:val="30"/>
          <w:szCs w:val="30"/>
        </w:rPr>
      </w:pPr>
    </w:p>
    <w:p w14:paraId="67FF7E6C">
      <w:pPr>
        <w:snapToGrid w:val="0"/>
        <w:spacing w:line="240" w:lineRule="auto"/>
        <w:rPr>
          <w:rFonts w:hint="eastAsia" w:ascii="宋体" w:hAnsi="宋体"/>
          <w:b/>
          <w:bCs/>
          <w:color w:val="auto"/>
          <w:sz w:val="30"/>
          <w:szCs w:val="30"/>
        </w:rPr>
      </w:pPr>
    </w:p>
    <w:p w14:paraId="6F6B7FFE">
      <w:pPr>
        <w:snapToGrid w:val="0"/>
        <w:spacing w:line="240" w:lineRule="auto"/>
        <w:rPr>
          <w:rFonts w:hint="eastAsia" w:ascii="宋体" w:hAnsi="宋体"/>
          <w:b/>
          <w:bCs/>
          <w:color w:val="auto"/>
          <w:sz w:val="30"/>
          <w:szCs w:val="30"/>
        </w:rPr>
      </w:pPr>
    </w:p>
    <w:p w14:paraId="3265525B">
      <w:pPr>
        <w:snapToGrid w:val="0"/>
        <w:spacing w:line="240" w:lineRule="auto"/>
        <w:rPr>
          <w:rFonts w:hint="eastAsia" w:ascii="宋体" w:hAnsi="宋体"/>
          <w:b/>
          <w:bCs/>
          <w:color w:val="auto"/>
          <w:sz w:val="30"/>
          <w:szCs w:val="30"/>
        </w:rPr>
      </w:pPr>
    </w:p>
    <w:p w14:paraId="6E599817">
      <w:pPr>
        <w:snapToGrid w:val="0"/>
        <w:spacing w:line="240" w:lineRule="auto"/>
        <w:rPr>
          <w:rFonts w:hint="eastAsia" w:ascii="宋体" w:hAnsi="宋体"/>
          <w:b/>
          <w:bCs/>
          <w:color w:val="auto"/>
          <w:sz w:val="30"/>
          <w:szCs w:val="30"/>
        </w:rPr>
      </w:pPr>
    </w:p>
    <w:p w14:paraId="76BE53C5">
      <w:pPr>
        <w:snapToGrid w:val="0"/>
        <w:spacing w:line="240" w:lineRule="auto"/>
        <w:rPr>
          <w:rFonts w:hint="eastAsia" w:ascii="宋体" w:hAnsi="宋体"/>
          <w:b/>
          <w:bCs/>
          <w:color w:val="auto"/>
          <w:sz w:val="30"/>
          <w:szCs w:val="30"/>
        </w:rPr>
      </w:pPr>
      <w:r>
        <w:rPr>
          <w:rFonts w:hint="eastAsia" w:ascii="宋体" w:hAnsi="宋体"/>
          <w:b/>
          <w:bCs/>
          <w:color w:val="auto"/>
          <w:sz w:val="30"/>
          <w:szCs w:val="30"/>
        </w:rPr>
        <w:t>三、供应商认为需要提供的其他材料</w:t>
      </w:r>
    </w:p>
    <w:p w14:paraId="0C6DF32E">
      <w:pPr>
        <w:autoSpaceDE w:val="0"/>
        <w:autoSpaceDN w:val="0"/>
        <w:spacing w:line="240" w:lineRule="auto"/>
        <w:ind w:firstLine="5670" w:firstLineChars="2700"/>
        <w:rPr>
          <w:color w:val="auto"/>
        </w:rPr>
      </w:pPr>
      <w:r>
        <w:rPr>
          <w:color w:val="auto"/>
        </w:rPr>
        <w:br w:type="page"/>
      </w:r>
    </w:p>
    <w:p w14:paraId="0942A216">
      <w:pPr>
        <w:pStyle w:val="5"/>
        <w:spacing w:line="240" w:lineRule="auto"/>
        <w:jc w:val="center"/>
        <w:rPr>
          <w:rFonts w:hint="eastAsia" w:ascii="宋体" w:hAnsi="宋体"/>
          <w:color w:val="auto"/>
        </w:rPr>
      </w:pPr>
      <w:bookmarkStart w:id="202" w:name="_Toc670"/>
      <w:bookmarkEnd w:id="202"/>
      <w:bookmarkStart w:id="203" w:name="_Toc27339"/>
      <w:bookmarkEnd w:id="203"/>
      <w:bookmarkStart w:id="204" w:name="_Toc80205941"/>
      <w:bookmarkEnd w:id="204"/>
      <w:r>
        <w:rPr>
          <w:rFonts w:hint="eastAsia" w:ascii="宋体" w:hAnsi="宋体"/>
          <w:color w:val="auto"/>
        </w:rPr>
        <w:t>第四节 报价文件格式</w:t>
      </w:r>
    </w:p>
    <w:p w14:paraId="1ABA1690">
      <w:pPr>
        <w:snapToGrid w:val="0"/>
        <w:spacing w:before="120" w:after="50" w:line="240" w:lineRule="auto"/>
        <w:rPr>
          <w:rFonts w:hint="eastAsia" w:ascii="宋体" w:hAnsi="宋体"/>
          <w:color w:val="auto"/>
          <w:sz w:val="24"/>
        </w:rPr>
      </w:pPr>
      <w:r>
        <w:rPr>
          <w:rFonts w:hint="eastAsia" w:ascii="宋体" w:hAnsi="宋体"/>
          <w:color w:val="auto"/>
          <w:sz w:val="24"/>
        </w:rPr>
        <w:t xml:space="preserve">                                                    </w:t>
      </w:r>
      <w:r>
        <w:rPr>
          <w:rFonts w:hint="eastAsia" w:ascii="宋体" w:hAnsi="宋体"/>
          <w:bCs/>
          <w:color w:val="auto"/>
        </w:rPr>
        <w:t>全流程电子文件</w:t>
      </w:r>
    </w:p>
    <w:p w14:paraId="280C0D6F">
      <w:pPr>
        <w:snapToGrid w:val="0"/>
        <w:spacing w:before="120" w:after="50" w:line="240" w:lineRule="auto"/>
        <w:rPr>
          <w:rFonts w:hint="eastAsia" w:ascii="宋体" w:hAnsi="宋体"/>
          <w:color w:val="auto"/>
          <w:sz w:val="24"/>
          <w:szCs w:val="20"/>
        </w:rPr>
      </w:pPr>
    </w:p>
    <w:p w14:paraId="6B97352F">
      <w:pPr>
        <w:snapToGrid w:val="0"/>
        <w:spacing w:before="120" w:after="50" w:line="240" w:lineRule="auto"/>
        <w:rPr>
          <w:rFonts w:hint="eastAsia" w:ascii="宋体" w:hAnsi="宋体"/>
          <w:color w:val="auto"/>
          <w:sz w:val="24"/>
          <w:szCs w:val="20"/>
        </w:rPr>
      </w:pPr>
    </w:p>
    <w:p w14:paraId="47F9F871">
      <w:pPr>
        <w:snapToGrid w:val="0"/>
        <w:spacing w:before="120" w:after="50" w:line="240" w:lineRule="auto"/>
        <w:rPr>
          <w:rFonts w:hint="eastAsia" w:ascii="宋体" w:hAnsi="宋体"/>
          <w:color w:val="auto"/>
          <w:sz w:val="24"/>
          <w:szCs w:val="20"/>
        </w:rPr>
      </w:pPr>
    </w:p>
    <w:p w14:paraId="2F148C2F">
      <w:pPr>
        <w:snapToGrid w:val="0"/>
        <w:spacing w:before="120" w:after="50" w:line="240" w:lineRule="auto"/>
        <w:jc w:val="center"/>
        <w:rPr>
          <w:rFonts w:hint="eastAsia" w:ascii="方正小标宋简体" w:hAnsi="方正小标宋简体" w:eastAsia="方正小标宋简体"/>
          <w:bCs/>
          <w:color w:val="auto"/>
          <w:sz w:val="44"/>
          <w:szCs w:val="44"/>
        </w:rPr>
      </w:pPr>
      <w:r>
        <w:rPr>
          <w:rFonts w:hint="eastAsia" w:ascii="方正小标宋简体" w:hAnsi="方正小标宋简体" w:eastAsia="方正小标宋简体"/>
          <w:bCs/>
          <w:color w:val="auto"/>
          <w:sz w:val="44"/>
          <w:szCs w:val="44"/>
        </w:rPr>
        <w:t xml:space="preserve">报 </w:t>
      </w:r>
      <w:r>
        <w:rPr>
          <w:rFonts w:ascii="方正小标宋简体" w:hAnsi="方正小标宋简体" w:eastAsia="方正小标宋简体"/>
          <w:bCs/>
          <w:color w:val="auto"/>
          <w:sz w:val="44"/>
          <w:szCs w:val="44"/>
        </w:rPr>
        <w:t xml:space="preserve"> </w:t>
      </w:r>
      <w:r>
        <w:rPr>
          <w:rFonts w:hint="eastAsia" w:ascii="方正小标宋简体" w:hAnsi="方正小标宋简体" w:eastAsia="方正小标宋简体"/>
          <w:bCs/>
          <w:color w:val="auto"/>
          <w:sz w:val="44"/>
          <w:szCs w:val="44"/>
        </w:rPr>
        <w:t>价  文  件（封面）</w:t>
      </w:r>
    </w:p>
    <w:p w14:paraId="20524E23">
      <w:pPr>
        <w:snapToGrid w:val="0"/>
        <w:spacing w:before="120" w:after="50" w:line="240" w:lineRule="auto"/>
        <w:rPr>
          <w:rFonts w:hint="eastAsia" w:ascii="宋体" w:hAnsi="宋体"/>
          <w:bCs/>
          <w:color w:val="auto"/>
          <w:sz w:val="24"/>
          <w:szCs w:val="20"/>
        </w:rPr>
      </w:pPr>
    </w:p>
    <w:p w14:paraId="02BB6EF4">
      <w:pPr>
        <w:snapToGrid w:val="0"/>
        <w:spacing w:before="120" w:after="50" w:line="240" w:lineRule="auto"/>
        <w:rPr>
          <w:rFonts w:hint="eastAsia" w:ascii="宋体" w:hAnsi="宋体"/>
          <w:bCs/>
          <w:color w:val="auto"/>
          <w:sz w:val="24"/>
          <w:szCs w:val="20"/>
        </w:rPr>
      </w:pPr>
    </w:p>
    <w:p w14:paraId="64D8D8F7">
      <w:pPr>
        <w:snapToGrid w:val="0"/>
        <w:spacing w:before="120" w:after="50" w:line="240" w:lineRule="auto"/>
        <w:rPr>
          <w:rFonts w:hint="eastAsia" w:ascii="宋体" w:hAnsi="宋体"/>
          <w:bCs/>
          <w:color w:val="auto"/>
          <w:sz w:val="24"/>
          <w:szCs w:val="20"/>
        </w:rPr>
      </w:pPr>
    </w:p>
    <w:p w14:paraId="34BD72B9">
      <w:pPr>
        <w:snapToGrid w:val="0"/>
        <w:spacing w:before="120" w:after="50" w:line="240" w:lineRule="auto"/>
        <w:rPr>
          <w:rFonts w:hint="eastAsia" w:ascii="宋体" w:hAnsi="宋体"/>
          <w:bCs/>
          <w:color w:val="auto"/>
          <w:sz w:val="24"/>
          <w:szCs w:val="20"/>
        </w:rPr>
      </w:pPr>
    </w:p>
    <w:p w14:paraId="646C7D55">
      <w:pPr>
        <w:snapToGrid w:val="0"/>
        <w:spacing w:before="120" w:after="50" w:line="240" w:lineRule="auto"/>
        <w:rPr>
          <w:rFonts w:hint="eastAsia" w:ascii="宋体" w:hAnsi="宋体"/>
          <w:bCs/>
          <w:color w:val="auto"/>
          <w:sz w:val="24"/>
          <w:szCs w:val="20"/>
        </w:rPr>
      </w:pPr>
    </w:p>
    <w:p w14:paraId="40826338">
      <w:pPr>
        <w:snapToGrid w:val="0"/>
        <w:spacing w:before="120" w:after="50" w:line="240" w:lineRule="auto"/>
        <w:ind w:firstLine="640" w:firstLineChars="200"/>
        <w:rPr>
          <w:rFonts w:hint="eastAsia" w:ascii="宋体" w:hAnsi="宋体"/>
          <w:bCs/>
          <w:color w:val="auto"/>
          <w:sz w:val="32"/>
          <w:szCs w:val="32"/>
        </w:rPr>
      </w:pPr>
      <w:r>
        <w:rPr>
          <w:rFonts w:hint="eastAsia" w:ascii="宋体" w:hAnsi="宋体"/>
          <w:bCs/>
          <w:color w:val="auto"/>
          <w:sz w:val="32"/>
          <w:szCs w:val="32"/>
        </w:rPr>
        <w:t>项目名称：</w:t>
      </w:r>
    </w:p>
    <w:p w14:paraId="6341845A">
      <w:pPr>
        <w:snapToGrid w:val="0"/>
        <w:spacing w:before="120" w:after="50" w:line="240" w:lineRule="auto"/>
        <w:ind w:firstLine="720" w:firstLineChars="225"/>
        <w:rPr>
          <w:rFonts w:hint="eastAsia" w:ascii="宋体" w:hAnsi="宋体"/>
          <w:bCs/>
          <w:color w:val="auto"/>
          <w:sz w:val="32"/>
          <w:szCs w:val="32"/>
        </w:rPr>
      </w:pPr>
    </w:p>
    <w:p w14:paraId="307A3DC2">
      <w:pPr>
        <w:snapToGrid w:val="0"/>
        <w:spacing w:before="120" w:after="50" w:line="240" w:lineRule="auto"/>
        <w:ind w:firstLine="640" w:firstLineChars="200"/>
        <w:rPr>
          <w:rFonts w:hint="eastAsia" w:ascii="宋体" w:hAnsi="宋体"/>
          <w:bCs/>
          <w:color w:val="auto"/>
          <w:sz w:val="32"/>
          <w:szCs w:val="32"/>
        </w:rPr>
      </w:pPr>
      <w:r>
        <w:rPr>
          <w:rFonts w:hint="eastAsia" w:ascii="宋体" w:hAnsi="宋体"/>
          <w:bCs/>
          <w:color w:val="auto"/>
          <w:sz w:val="32"/>
          <w:szCs w:val="32"/>
        </w:rPr>
        <w:t>项目编号：</w:t>
      </w:r>
    </w:p>
    <w:p w14:paraId="0AFE0AEC">
      <w:pPr>
        <w:snapToGrid w:val="0"/>
        <w:spacing w:before="120" w:after="50" w:line="240" w:lineRule="auto"/>
        <w:ind w:firstLine="720" w:firstLineChars="225"/>
        <w:rPr>
          <w:rFonts w:hint="eastAsia" w:ascii="宋体" w:hAnsi="宋体"/>
          <w:bCs/>
          <w:color w:val="auto"/>
          <w:sz w:val="32"/>
          <w:szCs w:val="32"/>
        </w:rPr>
      </w:pPr>
      <w:r>
        <w:rPr>
          <w:rFonts w:hint="eastAsia" w:ascii="宋体" w:hAnsi="宋体"/>
          <w:bCs/>
          <w:color w:val="auto"/>
          <w:sz w:val="32"/>
          <w:szCs w:val="32"/>
        </w:rPr>
        <w:t xml:space="preserve"> </w:t>
      </w:r>
    </w:p>
    <w:p w14:paraId="183974AD">
      <w:pPr>
        <w:snapToGrid w:val="0"/>
        <w:spacing w:before="120" w:after="50" w:line="240" w:lineRule="auto"/>
        <w:ind w:firstLine="640" w:firstLineChars="200"/>
        <w:rPr>
          <w:rFonts w:hint="eastAsia" w:ascii="宋体" w:hAnsi="宋体"/>
          <w:bCs/>
          <w:color w:val="auto"/>
          <w:sz w:val="32"/>
          <w:szCs w:val="32"/>
        </w:rPr>
      </w:pPr>
      <w:r>
        <w:rPr>
          <w:rFonts w:hint="eastAsia" w:ascii="宋体" w:hAnsi="宋体"/>
          <w:bCs/>
          <w:color w:val="auto"/>
          <w:sz w:val="32"/>
          <w:szCs w:val="32"/>
        </w:rPr>
        <w:t>所竞分标（如有则填写，无分标时填写“无”或者留空）：</w:t>
      </w:r>
    </w:p>
    <w:p w14:paraId="4C522AE4">
      <w:pPr>
        <w:snapToGrid w:val="0"/>
        <w:spacing w:before="120" w:after="50" w:line="240" w:lineRule="auto"/>
        <w:ind w:firstLine="720" w:firstLineChars="225"/>
        <w:rPr>
          <w:rFonts w:hint="eastAsia" w:ascii="宋体" w:hAnsi="宋体"/>
          <w:bCs/>
          <w:color w:val="auto"/>
          <w:sz w:val="32"/>
          <w:szCs w:val="32"/>
        </w:rPr>
      </w:pPr>
    </w:p>
    <w:p w14:paraId="6CE25FE1">
      <w:pPr>
        <w:pStyle w:val="16"/>
        <w:snapToGrid w:val="0"/>
        <w:spacing w:before="50" w:after="50" w:line="240" w:lineRule="auto"/>
        <w:ind w:firstLine="640" w:firstLineChars="200"/>
        <w:rPr>
          <w:rFonts w:hint="eastAsia" w:ascii="宋体" w:hAnsi="宋体"/>
          <w:bCs/>
          <w:color w:val="auto"/>
          <w:sz w:val="32"/>
          <w:szCs w:val="32"/>
        </w:rPr>
      </w:pPr>
      <w:r>
        <w:rPr>
          <w:rFonts w:hint="eastAsia" w:ascii="宋体" w:hAnsi="宋体"/>
          <w:bCs/>
          <w:color w:val="auto"/>
          <w:sz w:val="32"/>
          <w:szCs w:val="32"/>
        </w:rPr>
        <w:t>供应商名称：</w:t>
      </w:r>
    </w:p>
    <w:p w14:paraId="40134934">
      <w:pPr>
        <w:pStyle w:val="16"/>
        <w:snapToGrid w:val="0"/>
        <w:spacing w:before="50" w:after="50" w:line="240" w:lineRule="auto"/>
        <w:ind w:firstLine="720" w:firstLineChars="225"/>
        <w:rPr>
          <w:rFonts w:hint="eastAsia" w:ascii="宋体" w:hAnsi="宋体"/>
          <w:bCs/>
          <w:color w:val="auto"/>
          <w:sz w:val="32"/>
          <w:szCs w:val="32"/>
        </w:rPr>
      </w:pPr>
    </w:p>
    <w:p w14:paraId="26DBDFFE">
      <w:pPr>
        <w:pStyle w:val="16"/>
        <w:snapToGrid w:val="0"/>
        <w:spacing w:before="50" w:after="50" w:line="240" w:lineRule="auto"/>
        <w:ind w:firstLine="720" w:firstLineChars="225"/>
        <w:rPr>
          <w:rFonts w:hint="eastAsia" w:ascii="宋体" w:hAnsi="宋体"/>
          <w:bCs/>
          <w:color w:val="auto"/>
          <w:sz w:val="32"/>
          <w:szCs w:val="32"/>
        </w:rPr>
      </w:pPr>
    </w:p>
    <w:p w14:paraId="23CF084F">
      <w:pPr>
        <w:pStyle w:val="16"/>
        <w:snapToGrid w:val="0"/>
        <w:spacing w:before="50" w:after="50" w:line="240" w:lineRule="auto"/>
        <w:ind w:firstLine="1280" w:firstLineChars="400"/>
        <w:rPr>
          <w:rFonts w:hint="eastAsia" w:ascii="宋体" w:hAnsi="宋体"/>
          <w:bCs/>
          <w:color w:val="auto"/>
          <w:sz w:val="32"/>
          <w:szCs w:val="32"/>
        </w:rPr>
      </w:pPr>
    </w:p>
    <w:p w14:paraId="38471981">
      <w:pPr>
        <w:snapToGrid w:val="0"/>
        <w:spacing w:before="120" w:after="50" w:line="240" w:lineRule="auto"/>
        <w:jc w:val="center"/>
        <w:rPr>
          <w:rFonts w:hint="eastAsia" w:ascii="宋体" w:hAnsi="宋体"/>
          <w:color w:val="auto"/>
          <w:sz w:val="32"/>
          <w:szCs w:val="32"/>
        </w:rPr>
      </w:pPr>
      <w:r>
        <w:rPr>
          <w:rFonts w:hint="eastAsia" w:ascii="宋体" w:hAnsi="宋体"/>
          <w:color w:val="auto"/>
          <w:sz w:val="32"/>
          <w:szCs w:val="32"/>
        </w:rPr>
        <w:t>年    月    日</w:t>
      </w:r>
    </w:p>
    <w:p w14:paraId="2C98433E">
      <w:pPr>
        <w:snapToGrid w:val="0"/>
        <w:spacing w:before="120" w:after="50" w:line="240" w:lineRule="auto"/>
        <w:jc w:val="center"/>
        <w:rPr>
          <w:rFonts w:ascii="宋体" w:hAnsi="宋体"/>
          <w:color w:val="auto"/>
          <w:sz w:val="24"/>
        </w:rPr>
      </w:pPr>
      <w:r>
        <w:rPr>
          <w:rFonts w:ascii="宋体" w:hAnsi="宋体"/>
          <w:color w:val="auto"/>
          <w:sz w:val="24"/>
        </w:rPr>
        <w:br w:type="page"/>
      </w:r>
      <w:r>
        <w:rPr>
          <w:rFonts w:hint="eastAsia" w:ascii="宋体" w:hAnsi="宋体"/>
          <w:b/>
          <w:bCs/>
          <w:color w:val="auto"/>
          <w:sz w:val="32"/>
          <w:szCs w:val="32"/>
        </w:rPr>
        <w:t>报价文件目录</w:t>
      </w:r>
    </w:p>
    <w:p w14:paraId="581BCD1F">
      <w:pPr>
        <w:spacing w:line="240" w:lineRule="auto"/>
        <w:rPr>
          <w:rFonts w:hint="eastAsia" w:ascii="宋体" w:hAnsi="宋体"/>
          <w:color w:val="auto"/>
        </w:rPr>
      </w:pPr>
    </w:p>
    <w:p w14:paraId="19F329EC">
      <w:pPr>
        <w:spacing w:line="240" w:lineRule="auto"/>
        <w:ind w:firstLine="420" w:firstLineChars="200"/>
        <w:rPr>
          <w:rFonts w:hint="eastAsia"/>
          <w:color w:val="auto"/>
        </w:rPr>
      </w:pPr>
      <w:r>
        <w:rPr>
          <w:rFonts w:hint="eastAsia"/>
          <w:color w:val="auto"/>
        </w:rPr>
        <w:t>一、响应函………………………………………………………（页码）</w:t>
      </w:r>
    </w:p>
    <w:p w14:paraId="5681F165">
      <w:pPr>
        <w:spacing w:line="240" w:lineRule="auto"/>
        <w:ind w:firstLine="420" w:firstLineChars="200"/>
        <w:rPr>
          <w:rFonts w:hint="eastAsia"/>
          <w:color w:val="auto"/>
        </w:rPr>
      </w:pPr>
      <w:r>
        <w:rPr>
          <w:rFonts w:hint="eastAsia"/>
          <w:color w:val="auto"/>
        </w:rPr>
        <w:t>二、已标价工程量清单…………………………………………………（页码）</w:t>
      </w:r>
    </w:p>
    <w:p w14:paraId="30F23C25">
      <w:pPr>
        <w:spacing w:line="240" w:lineRule="auto"/>
        <w:ind w:firstLine="420" w:firstLineChars="200"/>
        <w:rPr>
          <w:rFonts w:hint="eastAsia"/>
          <w:color w:val="auto"/>
        </w:rPr>
      </w:pPr>
      <w:r>
        <w:rPr>
          <w:rFonts w:hint="eastAsia"/>
          <w:color w:val="auto"/>
        </w:rPr>
        <w:t>三、中小企业声明函……………………………………………（页码）</w:t>
      </w:r>
    </w:p>
    <w:p w14:paraId="41C82D32">
      <w:pPr>
        <w:snapToGrid w:val="0"/>
        <w:spacing w:before="120" w:after="50" w:line="240" w:lineRule="auto"/>
        <w:ind w:left="142" w:firstLine="640" w:firstLineChars="200"/>
        <w:jc w:val="left"/>
        <w:rPr>
          <w:rFonts w:hint="eastAsia" w:ascii="仿宋_GB2312" w:hAnsi="仿宋_GB2312" w:eastAsia="仿宋_GB2312"/>
          <w:color w:val="auto"/>
          <w:sz w:val="32"/>
          <w:szCs w:val="32"/>
        </w:rPr>
      </w:pPr>
    </w:p>
    <w:p w14:paraId="4EAE8B19">
      <w:pPr>
        <w:snapToGrid w:val="0"/>
        <w:spacing w:before="120" w:after="50" w:line="240" w:lineRule="auto"/>
        <w:jc w:val="left"/>
        <w:rPr>
          <w:rFonts w:hAnsi="宋体"/>
          <w:color w:val="auto"/>
          <w:sz w:val="24"/>
        </w:rPr>
      </w:pPr>
      <w:r>
        <w:rPr>
          <w:rFonts w:hAnsi="宋体"/>
          <w:color w:val="auto"/>
          <w:sz w:val="24"/>
        </w:rPr>
        <w:br w:type="page"/>
      </w:r>
      <w:r>
        <w:rPr>
          <w:rFonts w:hint="eastAsia" w:hAnsi="宋体"/>
          <w:b/>
          <w:bCs/>
          <w:color w:val="auto"/>
          <w:sz w:val="32"/>
          <w:szCs w:val="32"/>
        </w:rPr>
        <w:t>一、响应函</w:t>
      </w:r>
    </w:p>
    <w:p w14:paraId="39C901AF">
      <w:pPr>
        <w:pStyle w:val="32"/>
        <w:spacing w:line="240" w:lineRule="auto"/>
        <w:jc w:val="center"/>
        <w:rPr>
          <w:rFonts w:hint="eastAsia" w:ascii="Times New Roman" w:hAnsi="Times New Roman"/>
          <w:b/>
          <w:bCs/>
          <w:color w:val="auto"/>
          <w:sz w:val="30"/>
          <w:szCs w:val="30"/>
        </w:rPr>
      </w:pPr>
      <w:r>
        <w:rPr>
          <w:rFonts w:hint="eastAsia" w:ascii="Times New Roman" w:hAnsi="Times New Roman"/>
          <w:b/>
          <w:bCs/>
          <w:color w:val="auto"/>
          <w:sz w:val="30"/>
          <w:szCs w:val="30"/>
        </w:rPr>
        <w:t>响应函</w:t>
      </w:r>
    </w:p>
    <w:p w14:paraId="735A8D62">
      <w:pPr>
        <w:pStyle w:val="32"/>
        <w:spacing w:line="240" w:lineRule="auto"/>
        <w:rPr>
          <w:rFonts w:ascii="Times New Roman" w:hAnsi="Times New Roman"/>
          <w:color w:val="auto"/>
          <w:sz w:val="32"/>
        </w:rPr>
      </w:pPr>
    </w:p>
    <w:p w14:paraId="79E3FA9F">
      <w:pPr>
        <w:pStyle w:val="32"/>
        <w:spacing w:line="240" w:lineRule="auto"/>
        <w:rPr>
          <w:rFonts w:hint="eastAsia" w:hAnsi="宋体"/>
          <w:color w:val="auto"/>
          <w:sz w:val="21"/>
        </w:rPr>
      </w:pPr>
      <w:r>
        <w:rPr>
          <w:rFonts w:hint="eastAsia" w:hAnsi="宋体"/>
          <w:color w:val="auto"/>
          <w:sz w:val="21"/>
        </w:rPr>
        <w:t>致：</w:t>
      </w:r>
      <w:r>
        <w:rPr>
          <w:rFonts w:hint="eastAsia" w:hAnsi="宋体"/>
          <w:color w:val="auto"/>
          <w:sz w:val="21"/>
          <w:u w:val="single"/>
        </w:rPr>
        <w:t xml:space="preserve">                      </w:t>
      </w:r>
      <w:r>
        <w:rPr>
          <w:rFonts w:hint="eastAsia" w:hAnsi="宋体"/>
          <w:color w:val="auto"/>
          <w:sz w:val="21"/>
        </w:rPr>
        <w:t>（采购代理机构名称）</w:t>
      </w:r>
    </w:p>
    <w:p w14:paraId="67AD0CF9">
      <w:pPr>
        <w:pStyle w:val="32"/>
        <w:spacing w:line="240" w:lineRule="auto"/>
        <w:ind w:firstLine="420" w:firstLineChars="200"/>
        <w:rPr>
          <w:rFonts w:hint="eastAsia" w:hAnsi="宋体"/>
          <w:color w:val="auto"/>
          <w:sz w:val="21"/>
        </w:rPr>
      </w:pPr>
      <w:r>
        <w:rPr>
          <w:rFonts w:hint="eastAsia" w:hAnsi="宋体"/>
          <w:color w:val="auto"/>
          <w:sz w:val="21"/>
        </w:rPr>
        <w:t>我方已仔细阅读了贵方组织的</w:t>
      </w:r>
      <w:r>
        <w:rPr>
          <w:rFonts w:hint="eastAsia" w:hAnsi="宋体"/>
          <w:color w:val="auto"/>
          <w:sz w:val="21"/>
          <w:u w:val="single"/>
        </w:rPr>
        <w:t xml:space="preserve">                </w:t>
      </w:r>
      <w:r>
        <w:rPr>
          <w:rFonts w:hint="eastAsia" w:hAnsi="宋体"/>
          <w:color w:val="auto"/>
          <w:sz w:val="21"/>
        </w:rPr>
        <w:t>项目（项目编号：</w:t>
      </w:r>
      <w:r>
        <w:rPr>
          <w:rFonts w:hint="eastAsia" w:hAnsi="宋体"/>
          <w:color w:val="auto"/>
          <w:sz w:val="21"/>
          <w:u w:val="single"/>
        </w:rPr>
        <w:t xml:space="preserve">             </w:t>
      </w:r>
      <w:r>
        <w:rPr>
          <w:rFonts w:hint="eastAsia" w:hAnsi="宋体"/>
          <w:color w:val="auto"/>
          <w:sz w:val="21"/>
        </w:rPr>
        <w:t>）的竞争性磋商采购文件的全部内容， 遵照《中华人民共和国政府采购法》等有关规定，经踏勘项目现场和研究上述竞争性谈判文件的竞标须知、合同条款、图纸、工程建设标准和工程量清单及其他有关文件后，签字人兹宣布：</w:t>
      </w:r>
    </w:p>
    <w:p w14:paraId="488B6E4D">
      <w:pPr>
        <w:numPr>
          <w:ilvl w:val="0"/>
          <w:numId w:val="20"/>
        </w:numPr>
        <w:tabs>
          <w:tab w:val="left" w:pos="7560"/>
        </w:tabs>
        <w:spacing w:line="240" w:lineRule="auto"/>
        <w:ind w:firstLine="420" w:firstLineChars="200"/>
        <w:rPr>
          <w:rFonts w:hint="eastAsia" w:ascii="宋体" w:hAnsi="宋体"/>
          <w:color w:val="auto"/>
          <w:szCs w:val="21"/>
        </w:rPr>
      </w:pPr>
      <w:r>
        <w:rPr>
          <w:rFonts w:hint="eastAsia" w:ascii="宋体" w:hAnsi="宋体"/>
          <w:color w:val="auto"/>
          <w:szCs w:val="21"/>
        </w:rPr>
        <w:t>我方愿意以（大写）人民币</w:t>
      </w:r>
      <w:r>
        <w:rPr>
          <w:rFonts w:hint="eastAsia" w:ascii="宋体" w:hAnsi="宋体"/>
          <w:color w:val="auto"/>
          <w:szCs w:val="21"/>
          <w:u w:val="single"/>
        </w:rPr>
        <w:t xml:space="preserve">              </w:t>
      </w:r>
      <w:r>
        <w:rPr>
          <w:rFonts w:hint="eastAsia"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rPr>
        <w:t>元)的竞标总报价，</w:t>
      </w:r>
    </w:p>
    <w:p w14:paraId="5920FC04">
      <w:pPr>
        <w:tabs>
          <w:tab w:val="left" w:pos="7560"/>
        </w:tabs>
        <w:spacing w:line="240" w:lineRule="auto"/>
        <w:rPr>
          <w:rFonts w:hint="eastAsia" w:ascii="宋体" w:hAnsi="宋体"/>
          <w:color w:val="auto"/>
          <w:szCs w:val="21"/>
        </w:rPr>
      </w:pPr>
      <w:r>
        <w:rPr>
          <w:rFonts w:hint="eastAsia" w:ascii="宋体" w:hAnsi="宋体"/>
          <w:color w:val="auto"/>
          <w:szCs w:val="21"/>
        </w:rPr>
        <w:t>工期</w:t>
      </w:r>
      <w:r>
        <w:rPr>
          <w:rFonts w:hint="eastAsia" w:ascii="宋体" w:hAnsi="宋体"/>
          <w:color w:val="auto"/>
          <w:szCs w:val="21"/>
          <w:u w:val="single"/>
        </w:rPr>
        <w:t xml:space="preserve">       </w:t>
      </w:r>
      <w:r>
        <w:rPr>
          <w:rFonts w:hint="eastAsia" w:ascii="宋体" w:hAnsi="宋体"/>
          <w:color w:val="auto"/>
          <w:szCs w:val="21"/>
        </w:rPr>
        <w:t>日历天，并按上述图纸、合同条款、工程建设标准和工程量清单（如有时）的条件要求承包上述工程的施工、竣工，并承担任何质量缺陷保修责任。我方保证工程质量达</w:t>
      </w:r>
    </w:p>
    <w:p w14:paraId="078DCEC6">
      <w:pPr>
        <w:tabs>
          <w:tab w:val="left" w:pos="7560"/>
        </w:tabs>
        <w:spacing w:line="240" w:lineRule="auto"/>
        <w:rPr>
          <w:rFonts w:hint="eastAsia" w:ascii="宋体" w:hAnsi="宋体"/>
          <w:color w:val="auto"/>
          <w:szCs w:val="21"/>
        </w:rPr>
      </w:pPr>
      <w:r>
        <w:rPr>
          <w:rFonts w:hint="eastAsia" w:ascii="宋体" w:hAnsi="宋体"/>
          <w:color w:val="auto"/>
          <w:szCs w:val="21"/>
        </w:rPr>
        <w:t xml:space="preserve">到  </w:t>
      </w:r>
      <w:r>
        <w:rPr>
          <w:rFonts w:hint="eastAsia" w:ascii="宋体" w:hAnsi="宋体"/>
          <w:color w:val="auto"/>
          <w:szCs w:val="21"/>
          <w:u w:val="single"/>
        </w:rPr>
        <w:t xml:space="preserve">        </w:t>
      </w:r>
      <w:r>
        <w:rPr>
          <w:rFonts w:hint="eastAsia" w:ascii="宋体" w:hAnsi="宋体"/>
          <w:color w:val="auto"/>
          <w:szCs w:val="21"/>
        </w:rPr>
        <w:t>等级。</w:t>
      </w:r>
    </w:p>
    <w:p w14:paraId="1D3D4F7D">
      <w:pPr>
        <w:pStyle w:val="32"/>
        <w:spacing w:line="240" w:lineRule="auto"/>
        <w:ind w:firstLine="482"/>
        <w:rPr>
          <w:rFonts w:hint="eastAsia" w:hAnsi="宋体"/>
          <w:color w:val="auto"/>
          <w:sz w:val="21"/>
        </w:rPr>
      </w:pPr>
      <w:r>
        <w:rPr>
          <w:rFonts w:hint="eastAsia" w:hAnsi="宋体"/>
          <w:color w:val="auto"/>
          <w:sz w:val="21"/>
        </w:rPr>
        <w:t>2、我方同意自本项目竞争性磋商采购文件采购公告规定的递交响应文件截止时间起遵循本响应函，并承诺在“第二章 供应商须知”规定的响应有效期内不修改、撤销响应文件。</w:t>
      </w:r>
    </w:p>
    <w:p w14:paraId="057AC365">
      <w:pPr>
        <w:pStyle w:val="32"/>
        <w:spacing w:line="240" w:lineRule="auto"/>
        <w:ind w:firstLine="482"/>
        <w:rPr>
          <w:rFonts w:hint="eastAsia" w:hAnsi="宋体"/>
          <w:color w:val="auto"/>
          <w:sz w:val="21"/>
        </w:rPr>
      </w:pPr>
      <w:r>
        <w:rPr>
          <w:rFonts w:hint="eastAsia" w:hAnsi="宋体"/>
          <w:color w:val="auto"/>
          <w:sz w:val="21"/>
        </w:rPr>
        <w:t>3、我方在此声明，所递交的响应文件及有关资料内容完整、真实和准确。</w:t>
      </w:r>
    </w:p>
    <w:p w14:paraId="492367F1">
      <w:pPr>
        <w:pStyle w:val="32"/>
        <w:spacing w:line="240" w:lineRule="auto"/>
        <w:ind w:firstLine="482"/>
        <w:rPr>
          <w:rFonts w:hint="eastAsia" w:hAnsi="宋体"/>
          <w:color w:val="auto"/>
          <w:sz w:val="21"/>
        </w:rPr>
      </w:pPr>
      <w:r>
        <w:rPr>
          <w:rFonts w:hint="eastAsia" w:hAnsi="宋体"/>
          <w:color w:val="auto"/>
          <w:sz w:val="21"/>
        </w:rPr>
        <w:t>4、如本项目采购内容涉及须符合国家强制规定的，我方承诺我方本次竞标均符合国家有关强制规定。</w:t>
      </w:r>
    </w:p>
    <w:p w14:paraId="5052876D">
      <w:pPr>
        <w:pStyle w:val="32"/>
        <w:spacing w:line="240" w:lineRule="auto"/>
        <w:ind w:firstLine="482"/>
        <w:rPr>
          <w:rFonts w:hint="eastAsia" w:hAnsi="宋体"/>
          <w:color w:val="auto"/>
          <w:sz w:val="21"/>
        </w:rPr>
      </w:pPr>
      <w:r>
        <w:rPr>
          <w:rFonts w:hint="eastAsia" w:hAnsi="宋体"/>
          <w:color w:val="auto"/>
          <w:sz w:val="21"/>
        </w:rPr>
        <w:t>5、我方承诺未被列入失信被执行人、重大税收违法案件当事人名单、政府采购严重违法失信行为记录名单，并已经具备《中华人民共和国政府采购法》中规定的参加政府采购活动的供应商应当具备的条件：</w:t>
      </w:r>
    </w:p>
    <w:p w14:paraId="7DB550B4">
      <w:pPr>
        <w:pStyle w:val="32"/>
        <w:numPr>
          <w:ilvl w:val="0"/>
          <w:numId w:val="21"/>
        </w:numPr>
        <w:tabs>
          <w:tab w:val="clear" w:pos="1140"/>
        </w:tabs>
        <w:spacing w:line="240" w:lineRule="auto"/>
        <w:rPr>
          <w:rFonts w:hint="eastAsia" w:hAnsi="宋体"/>
          <w:color w:val="auto"/>
          <w:sz w:val="21"/>
        </w:rPr>
      </w:pPr>
      <w:r>
        <w:rPr>
          <w:rFonts w:hint="eastAsia" w:hAnsi="宋体"/>
          <w:color w:val="auto"/>
          <w:sz w:val="21"/>
        </w:rPr>
        <w:t>具有独立承担民事责任的能力；</w:t>
      </w:r>
    </w:p>
    <w:p w14:paraId="6AB87A76">
      <w:pPr>
        <w:pStyle w:val="32"/>
        <w:numPr>
          <w:ilvl w:val="0"/>
          <w:numId w:val="21"/>
        </w:numPr>
        <w:tabs>
          <w:tab w:val="clear" w:pos="1140"/>
        </w:tabs>
        <w:spacing w:line="240" w:lineRule="auto"/>
        <w:rPr>
          <w:rFonts w:hint="eastAsia" w:hAnsi="宋体"/>
          <w:color w:val="auto"/>
          <w:sz w:val="21"/>
        </w:rPr>
      </w:pPr>
      <w:r>
        <w:rPr>
          <w:rFonts w:hint="eastAsia" w:hAnsi="宋体"/>
          <w:color w:val="auto"/>
          <w:sz w:val="21"/>
        </w:rPr>
        <w:t>具有良好的商业信誉和健全的财务会计制度；</w:t>
      </w:r>
    </w:p>
    <w:p w14:paraId="4CA600AF">
      <w:pPr>
        <w:pStyle w:val="32"/>
        <w:numPr>
          <w:ilvl w:val="0"/>
          <w:numId w:val="21"/>
        </w:numPr>
        <w:tabs>
          <w:tab w:val="clear" w:pos="1140"/>
        </w:tabs>
        <w:spacing w:line="240" w:lineRule="auto"/>
        <w:rPr>
          <w:rFonts w:hint="eastAsia" w:hAnsi="宋体"/>
          <w:color w:val="auto"/>
          <w:sz w:val="21"/>
        </w:rPr>
      </w:pPr>
      <w:r>
        <w:rPr>
          <w:rFonts w:hint="eastAsia" w:hAnsi="宋体"/>
          <w:color w:val="auto"/>
          <w:sz w:val="21"/>
        </w:rPr>
        <w:t>具有履行合同所必需的设备和专业技术能力；</w:t>
      </w:r>
    </w:p>
    <w:p w14:paraId="56DE67C3">
      <w:pPr>
        <w:pStyle w:val="32"/>
        <w:numPr>
          <w:ilvl w:val="0"/>
          <w:numId w:val="21"/>
        </w:numPr>
        <w:tabs>
          <w:tab w:val="clear" w:pos="1140"/>
        </w:tabs>
        <w:spacing w:line="240" w:lineRule="auto"/>
        <w:rPr>
          <w:rFonts w:hint="eastAsia" w:hAnsi="宋体"/>
          <w:color w:val="auto"/>
          <w:sz w:val="21"/>
        </w:rPr>
      </w:pPr>
      <w:r>
        <w:rPr>
          <w:rFonts w:hint="eastAsia" w:hAnsi="宋体"/>
          <w:color w:val="auto"/>
          <w:sz w:val="21"/>
        </w:rPr>
        <w:t>有依法缴纳税收和社会保障资金的良好记录；</w:t>
      </w:r>
    </w:p>
    <w:p w14:paraId="7AC76344">
      <w:pPr>
        <w:pStyle w:val="32"/>
        <w:numPr>
          <w:ilvl w:val="0"/>
          <w:numId w:val="21"/>
        </w:numPr>
        <w:tabs>
          <w:tab w:val="clear" w:pos="1140"/>
        </w:tabs>
        <w:spacing w:line="240" w:lineRule="auto"/>
        <w:rPr>
          <w:rFonts w:hint="eastAsia" w:hAnsi="宋体"/>
          <w:color w:val="auto"/>
          <w:sz w:val="21"/>
        </w:rPr>
      </w:pPr>
      <w:r>
        <w:rPr>
          <w:rFonts w:hint="eastAsia" w:hAnsi="宋体"/>
          <w:color w:val="auto"/>
          <w:sz w:val="21"/>
        </w:rPr>
        <w:t>参加政府采购活动前三年内，在经营活动中没有重大违法记录；</w:t>
      </w:r>
    </w:p>
    <w:p w14:paraId="07BB6119">
      <w:pPr>
        <w:pStyle w:val="32"/>
        <w:numPr>
          <w:ilvl w:val="0"/>
          <w:numId w:val="21"/>
        </w:numPr>
        <w:tabs>
          <w:tab w:val="clear" w:pos="1140"/>
        </w:tabs>
        <w:spacing w:line="240" w:lineRule="auto"/>
        <w:rPr>
          <w:rFonts w:hint="eastAsia" w:hAnsi="宋体"/>
          <w:color w:val="auto"/>
          <w:sz w:val="21"/>
        </w:rPr>
      </w:pPr>
      <w:r>
        <w:rPr>
          <w:rFonts w:hint="eastAsia" w:hAnsi="宋体"/>
          <w:color w:val="auto"/>
          <w:sz w:val="21"/>
        </w:rPr>
        <w:t>法律、行政法规规定的其他条件。</w:t>
      </w:r>
    </w:p>
    <w:p w14:paraId="28F0CC5A">
      <w:pPr>
        <w:pStyle w:val="32"/>
        <w:spacing w:line="240" w:lineRule="auto"/>
        <w:ind w:firstLine="482"/>
        <w:rPr>
          <w:rFonts w:hint="eastAsia" w:hAnsi="宋体"/>
          <w:color w:val="auto"/>
          <w:sz w:val="21"/>
        </w:rPr>
      </w:pPr>
      <w:r>
        <w:rPr>
          <w:rFonts w:hint="eastAsia" w:hAnsi="宋体"/>
          <w:color w:val="auto"/>
          <w:sz w:val="21"/>
        </w:rPr>
        <w:t>6、如我方成交，我方承诺在收到成交通知书后，在成交通知书规定的期限内，根据竞争性磋商采购文件、我方的响应文件及有关澄清承诺书的要求按第四章“合同文本”与采购人订立书面合同，并按照合同约定承担完成合同的责任和义务。</w:t>
      </w:r>
    </w:p>
    <w:p w14:paraId="6F6E22D4">
      <w:pPr>
        <w:pStyle w:val="32"/>
        <w:spacing w:line="240" w:lineRule="auto"/>
        <w:ind w:firstLine="482"/>
        <w:rPr>
          <w:rFonts w:hint="eastAsia" w:hAnsi="宋体"/>
          <w:color w:val="auto"/>
          <w:sz w:val="21"/>
        </w:rPr>
      </w:pPr>
      <w:r>
        <w:rPr>
          <w:rFonts w:hint="eastAsia" w:hAnsi="宋体"/>
          <w:color w:val="auto"/>
          <w:sz w:val="21"/>
        </w:rPr>
        <w:t>7、我方已详细审核竞争性磋商采购文件，我方知道必须放弃提出含糊不清或误解问题的权利。</w:t>
      </w:r>
    </w:p>
    <w:p w14:paraId="756DEF29">
      <w:pPr>
        <w:pStyle w:val="32"/>
        <w:spacing w:line="240" w:lineRule="auto"/>
        <w:ind w:firstLine="482"/>
        <w:rPr>
          <w:rFonts w:hint="eastAsia" w:hAnsi="宋体"/>
          <w:color w:val="auto"/>
          <w:sz w:val="21"/>
        </w:rPr>
      </w:pPr>
      <w:r>
        <w:rPr>
          <w:rFonts w:hint="eastAsia" w:hAnsi="宋体"/>
          <w:color w:val="auto"/>
          <w:sz w:val="21"/>
        </w:rPr>
        <w:t>8、我方承诺满足竞争性磋商采购文件第四章“合同文本”的条款，承担完成合同的责任和义务。</w:t>
      </w:r>
    </w:p>
    <w:p w14:paraId="26AC8710">
      <w:pPr>
        <w:pStyle w:val="32"/>
        <w:spacing w:line="240" w:lineRule="auto"/>
        <w:ind w:firstLine="482"/>
        <w:rPr>
          <w:rFonts w:hint="eastAsia" w:hAnsi="宋体"/>
          <w:color w:val="auto"/>
          <w:sz w:val="21"/>
        </w:rPr>
      </w:pPr>
      <w:r>
        <w:rPr>
          <w:rFonts w:hint="eastAsia" w:hAnsi="宋体"/>
          <w:color w:val="auto"/>
          <w:sz w:val="21"/>
        </w:rPr>
        <w:t>9、我方同意应贵方要求提供与本竞标有关的任何数据或资料。若贵方需要，我方愿意提供我方作出的一切承诺的证明材料。</w:t>
      </w:r>
    </w:p>
    <w:p w14:paraId="3201EBBB">
      <w:pPr>
        <w:pStyle w:val="32"/>
        <w:spacing w:line="240" w:lineRule="auto"/>
        <w:ind w:firstLine="482"/>
        <w:rPr>
          <w:rFonts w:hint="eastAsia" w:hAnsi="宋体"/>
          <w:color w:val="auto"/>
          <w:sz w:val="21"/>
        </w:rPr>
      </w:pPr>
      <w:r>
        <w:rPr>
          <w:rFonts w:hint="eastAsia" w:hAnsi="宋体"/>
          <w:color w:val="auto"/>
          <w:sz w:val="21"/>
        </w:rPr>
        <w:t>10、我方完全理解贵方不一定接受响应报价最低的竞标人为成交供应商的行为。</w:t>
      </w:r>
    </w:p>
    <w:p w14:paraId="43A567DC">
      <w:pPr>
        <w:pStyle w:val="32"/>
        <w:spacing w:line="240" w:lineRule="auto"/>
        <w:ind w:firstLine="482"/>
        <w:rPr>
          <w:rFonts w:hint="eastAsia" w:hAnsi="宋体"/>
          <w:color w:val="auto"/>
          <w:sz w:val="21"/>
        </w:rPr>
      </w:pPr>
      <w:r>
        <w:rPr>
          <w:rFonts w:hint="eastAsia" w:hAnsi="宋体"/>
          <w:color w:val="auto"/>
          <w:sz w:val="21"/>
        </w:rPr>
        <w:t>11、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19F1DCE">
      <w:pPr>
        <w:pStyle w:val="32"/>
        <w:numPr>
          <w:ilvl w:val="0"/>
          <w:numId w:val="22"/>
        </w:numPr>
        <w:tabs>
          <w:tab w:val="clear" w:pos="1140"/>
        </w:tabs>
        <w:spacing w:line="240" w:lineRule="auto"/>
        <w:rPr>
          <w:rFonts w:hint="eastAsia" w:hAnsi="宋体"/>
          <w:color w:val="auto"/>
          <w:sz w:val="21"/>
        </w:rPr>
      </w:pPr>
      <w:r>
        <w:rPr>
          <w:rFonts w:hint="eastAsia" w:hAnsi="宋体"/>
          <w:color w:val="auto"/>
          <w:sz w:val="21"/>
        </w:rPr>
        <w:t>提供虚假材料谋取中标、成交的；</w:t>
      </w:r>
    </w:p>
    <w:p w14:paraId="10744E9C">
      <w:pPr>
        <w:pStyle w:val="32"/>
        <w:numPr>
          <w:ilvl w:val="0"/>
          <w:numId w:val="22"/>
        </w:numPr>
        <w:tabs>
          <w:tab w:val="clear" w:pos="1140"/>
        </w:tabs>
        <w:spacing w:line="240" w:lineRule="auto"/>
        <w:rPr>
          <w:rFonts w:hint="eastAsia" w:hAnsi="宋体"/>
          <w:color w:val="auto"/>
          <w:sz w:val="21"/>
        </w:rPr>
      </w:pPr>
      <w:r>
        <w:rPr>
          <w:rFonts w:hint="eastAsia" w:hAnsi="宋体"/>
          <w:color w:val="auto"/>
          <w:sz w:val="21"/>
        </w:rPr>
        <w:t>采取不正当手段诋毁、排挤其他供应商的；</w:t>
      </w:r>
    </w:p>
    <w:p w14:paraId="7DB52A3F">
      <w:pPr>
        <w:pStyle w:val="32"/>
        <w:numPr>
          <w:ilvl w:val="0"/>
          <w:numId w:val="22"/>
        </w:numPr>
        <w:tabs>
          <w:tab w:val="clear" w:pos="1140"/>
        </w:tabs>
        <w:spacing w:line="240" w:lineRule="auto"/>
        <w:rPr>
          <w:rFonts w:hint="eastAsia" w:hAnsi="宋体"/>
          <w:color w:val="auto"/>
          <w:sz w:val="21"/>
        </w:rPr>
      </w:pPr>
      <w:r>
        <w:rPr>
          <w:rFonts w:hint="eastAsia" w:hAnsi="宋体"/>
          <w:color w:val="auto"/>
          <w:sz w:val="21"/>
        </w:rPr>
        <w:t>与采购人、其他供应商或者采购代理机构恶意串通的；</w:t>
      </w:r>
    </w:p>
    <w:p w14:paraId="21769216">
      <w:pPr>
        <w:pStyle w:val="32"/>
        <w:numPr>
          <w:ilvl w:val="0"/>
          <w:numId w:val="22"/>
        </w:numPr>
        <w:tabs>
          <w:tab w:val="clear" w:pos="1140"/>
        </w:tabs>
        <w:spacing w:line="240" w:lineRule="auto"/>
        <w:rPr>
          <w:rFonts w:hint="eastAsia" w:hAnsi="宋体"/>
          <w:color w:val="auto"/>
          <w:sz w:val="21"/>
        </w:rPr>
      </w:pPr>
      <w:r>
        <w:rPr>
          <w:rFonts w:hint="eastAsia" w:hAnsi="宋体"/>
          <w:color w:val="auto"/>
          <w:sz w:val="21"/>
        </w:rPr>
        <w:t>向采购人、采购代理机构行贿或者提供其他不正当利益的；</w:t>
      </w:r>
    </w:p>
    <w:p w14:paraId="5FB78484">
      <w:pPr>
        <w:pStyle w:val="32"/>
        <w:numPr>
          <w:ilvl w:val="0"/>
          <w:numId w:val="22"/>
        </w:numPr>
        <w:tabs>
          <w:tab w:val="clear" w:pos="1140"/>
        </w:tabs>
        <w:spacing w:line="240" w:lineRule="auto"/>
        <w:rPr>
          <w:rFonts w:hint="eastAsia" w:hAnsi="宋体"/>
          <w:color w:val="auto"/>
          <w:sz w:val="21"/>
        </w:rPr>
      </w:pPr>
      <w:r>
        <w:rPr>
          <w:rFonts w:hint="eastAsia" w:hAnsi="宋体"/>
          <w:color w:val="auto"/>
          <w:sz w:val="21"/>
        </w:rPr>
        <w:t>在采购过程中与采购人进行协商谈判的；</w:t>
      </w:r>
    </w:p>
    <w:p w14:paraId="3F571169">
      <w:pPr>
        <w:pStyle w:val="32"/>
        <w:numPr>
          <w:ilvl w:val="0"/>
          <w:numId w:val="22"/>
        </w:numPr>
        <w:tabs>
          <w:tab w:val="clear" w:pos="1140"/>
        </w:tabs>
        <w:spacing w:line="240" w:lineRule="auto"/>
        <w:rPr>
          <w:rFonts w:hint="eastAsia" w:hAnsi="宋体"/>
          <w:color w:val="auto"/>
          <w:sz w:val="21"/>
        </w:rPr>
      </w:pPr>
      <w:r>
        <w:rPr>
          <w:rFonts w:hint="eastAsia" w:hAnsi="宋体"/>
          <w:color w:val="auto"/>
          <w:sz w:val="21"/>
        </w:rPr>
        <w:t>拒绝有关部门监督检查或提供虚假情况的。</w:t>
      </w:r>
    </w:p>
    <w:p w14:paraId="53B346DB">
      <w:pPr>
        <w:pStyle w:val="32"/>
        <w:spacing w:line="240" w:lineRule="auto"/>
        <w:ind w:firstLine="420"/>
        <w:rPr>
          <w:rFonts w:hint="eastAsia" w:hAnsi="宋体"/>
          <w:color w:val="auto"/>
          <w:sz w:val="21"/>
        </w:rPr>
      </w:pPr>
      <w:r>
        <w:rPr>
          <w:rFonts w:hint="eastAsia" w:hAnsi="宋体"/>
          <w:color w:val="auto"/>
          <w:sz w:val="21"/>
        </w:rPr>
        <w:t>12.与本磋商有关的一切正式往来信函请寄：</w:t>
      </w:r>
      <w:r>
        <w:rPr>
          <w:rFonts w:hint="eastAsia" w:hAnsi="宋体"/>
          <w:color w:val="auto"/>
          <w:sz w:val="21"/>
          <w:u w:val="single"/>
        </w:rPr>
        <w:t xml:space="preserve"> </w:t>
      </w:r>
    </w:p>
    <w:p w14:paraId="2BF55968">
      <w:pPr>
        <w:pStyle w:val="32"/>
        <w:spacing w:line="240" w:lineRule="auto"/>
        <w:ind w:firstLine="420"/>
        <w:rPr>
          <w:rFonts w:hint="eastAsia"/>
          <w:color w:val="auto"/>
        </w:rPr>
      </w:pPr>
      <w:r>
        <w:rPr>
          <w:rFonts w:hint="eastAsia"/>
          <w:color w:val="auto"/>
        </w:rPr>
        <w:t>地址：</w:t>
      </w:r>
      <w:r>
        <w:rPr>
          <w:rFonts w:hint="eastAsia"/>
          <w:color w:val="auto"/>
          <w:u w:val="single"/>
        </w:rPr>
        <w:t xml:space="preserve">                                                        </w:t>
      </w:r>
      <w:r>
        <w:rPr>
          <w:rFonts w:hint="eastAsia"/>
          <w:color w:val="auto"/>
        </w:rPr>
        <w:t xml:space="preserve"> </w:t>
      </w:r>
    </w:p>
    <w:p w14:paraId="3C482CBC">
      <w:pPr>
        <w:pStyle w:val="32"/>
        <w:spacing w:line="240" w:lineRule="auto"/>
        <w:ind w:firstLine="420"/>
        <w:rPr>
          <w:rFonts w:hint="eastAsia"/>
          <w:color w:val="auto"/>
        </w:rPr>
      </w:pPr>
      <w:r>
        <w:rPr>
          <w:rFonts w:hint="eastAsia"/>
          <w:color w:val="auto"/>
        </w:rPr>
        <w:t>电话：</w:t>
      </w:r>
      <w:r>
        <w:rPr>
          <w:rFonts w:hint="eastAsia"/>
          <w:color w:val="auto"/>
          <w:u w:val="single"/>
        </w:rPr>
        <w:t xml:space="preserve">                                      　　　　　　　　　</w:t>
      </w:r>
    </w:p>
    <w:p w14:paraId="404F3793">
      <w:pPr>
        <w:pStyle w:val="32"/>
        <w:spacing w:line="240" w:lineRule="auto"/>
        <w:ind w:firstLine="420"/>
        <w:rPr>
          <w:rFonts w:hint="eastAsia"/>
          <w:color w:val="auto"/>
        </w:rPr>
      </w:pPr>
      <w:r>
        <w:rPr>
          <w:rFonts w:hint="eastAsia"/>
          <w:color w:val="auto"/>
        </w:rPr>
        <w:t>传真：</w:t>
      </w:r>
      <w:r>
        <w:rPr>
          <w:rFonts w:hint="eastAsia"/>
          <w:color w:val="auto"/>
          <w:u w:val="single"/>
        </w:rPr>
        <w:t>　　　　　　　　　　　　　　　　　　　　　　　　　　　　</w:t>
      </w:r>
    </w:p>
    <w:p w14:paraId="33976DE7">
      <w:pPr>
        <w:pStyle w:val="32"/>
        <w:spacing w:line="240" w:lineRule="auto"/>
        <w:ind w:firstLine="420"/>
        <w:rPr>
          <w:rFonts w:hint="eastAsia"/>
          <w:color w:val="auto"/>
        </w:rPr>
      </w:pPr>
      <w:r>
        <w:rPr>
          <w:rFonts w:hint="eastAsia"/>
          <w:color w:val="auto"/>
        </w:rPr>
        <w:t>邮政编码：</w:t>
      </w:r>
      <w:r>
        <w:rPr>
          <w:rFonts w:hint="eastAsia"/>
          <w:color w:val="auto"/>
          <w:u w:val="single"/>
        </w:rPr>
        <w:t xml:space="preserve">                                                    </w:t>
      </w:r>
    </w:p>
    <w:p w14:paraId="4F7B1DD4">
      <w:pPr>
        <w:pStyle w:val="32"/>
        <w:spacing w:line="240" w:lineRule="auto"/>
        <w:ind w:firstLine="420"/>
        <w:rPr>
          <w:rFonts w:hint="eastAsia"/>
          <w:color w:val="auto"/>
        </w:rPr>
      </w:pPr>
      <w:r>
        <w:rPr>
          <w:rFonts w:hint="eastAsia"/>
          <w:color w:val="auto"/>
        </w:rPr>
        <w:t>开户名称：</w:t>
      </w:r>
      <w:r>
        <w:rPr>
          <w:rFonts w:hint="eastAsia"/>
          <w:color w:val="auto"/>
          <w:u w:val="single"/>
        </w:rPr>
        <w:t xml:space="preserve">                                                    </w:t>
      </w:r>
    </w:p>
    <w:p w14:paraId="73DB33B7">
      <w:pPr>
        <w:pStyle w:val="32"/>
        <w:spacing w:line="240" w:lineRule="auto"/>
        <w:ind w:firstLine="420"/>
        <w:rPr>
          <w:rFonts w:hint="eastAsia"/>
          <w:color w:val="auto"/>
        </w:rPr>
      </w:pPr>
      <w:r>
        <w:rPr>
          <w:rFonts w:hint="eastAsia"/>
          <w:color w:val="auto"/>
        </w:rPr>
        <w:t>开户银行：</w:t>
      </w:r>
      <w:r>
        <w:rPr>
          <w:rFonts w:hint="eastAsia"/>
          <w:color w:val="auto"/>
          <w:u w:val="single"/>
        </w:rPr>
        <w:t xml:space="preserve">                                                    </w:t>
      </w:r>
    </w:p>
    <w:p w14:paraId="499B2EEA">
      <w:pPr>
        <w:pStyle w:val="32"/>
        <w:spacing w:line="240" w:lineRule="auto"/>
        <w:ind w:firstLine="420"/>
        <w:rPr>
          <w:rFonts w:hint="eastAsia"/>
          <w:color w:val="auto"/>
        </w:rPr>
      </w:pPr>
      <w:r>
        <w:rPr>
          <w:rFonts w:hint="eastAsia"/>
          <w:color w:val="auto"/>
        </w:rPr>
        <w:t>银行账号：</w:t>
      </w:r>
      <w:r>
        <w:rPr>
          <w:rFonts w:hint="eastAsia"/>
          <w:color w:val="auto"/>
          <w:u w:val="single"/>
        </w:rPr>
        <w:t xml:space="preserve">                                                    </w:t>
      </w:r>
    </w:p>
    <w:p w14:paraId="0219858C">
      <w:pPr>
        <w:pStyle w:val="30"/>
        <w:tabs>
          <w:tab w:val="left" w:pos="939"/>
        </w:tabs>
        <w:spacing w:line="240" w:lineRule="auto"/>
        <w:ind w:left="141" w:leftChars="67" w:firstLine="315" w:firstLineChars="150"/>
        <w:rPr>
          <w:rFonts w:hint="eastAsia" w:ascii="宋体" w:hAnsi="宋体"/>
          <w:color w:val="auto"/>
          <w:szCs w:val="21"/>
        </w:rPr>
      </w:pPr>
      <w:r>
        <w:rPr>
          <w:rFonts w:hint="eastAsia" w:ascii="宋体" w:hAnsi="宋体"/>
          <w:color w:val="auto"/>
          <w:szCs w:val="21"/>
        </w:rPr>
        <w:t>特此承诺。</w:t>
      </w:r>
    </w:p>
    <w:p w14:paraId="39B49DD5">
      <w:pPr>
        <w:spacing w:line="240" w:lineRule="auto"/>
        <w:contextualSpacing/>
        <w:jc w:val="left"/>
        <w:rPr>
          <w:rFonts w:hint="eastAsia" w:ascii="宋体" w:hAnsi="宋体"/>
          <w:color w:val="auto"/>
          <w:szCs w:val="21"/>
        </w:rPr>
      </w:pPr>
    </w:p>
    <w:p w14:paraId="0A532A8E">
      <w:pPr>
        <w:autoSpaceDE w:val="0"/>
        <w:autoSpaceDN w:val="0"/>
        <w:spacing w:line="240" w:lineRule="auto"/>
        <w:ind w:left="4305" w:leftChars="1950" w:hanging="210" w:hangingChars="100"/>
        <w:rPr>
          <w:rFonts w:hint="eastAsia" w:ascii="宋体" w:hAnsi="宋体"/>
          <w:color w:val="auto"/>
          <w:kern w:val="0"/>
          <w:szCs w:val="21"/>
        </w:rPr>
      </w:pPr>
      <w:r>
        <w:rPr>
          <w:rFonts w:hint="eastAsia" w:ascii="宋体" w:hAnsi="宋体"/>
          <w:color w:val="auto"/>
          <w:kern w:val="0"/>
          <w:szCs w:val="21"/>
        </w:rPr>
        <w:t>供应商名称（电子签章）：</w:t>
      </w:r>
    </w:p>
    <w:p w14:paraId="2BA6FB9E">
      <w:pPr>
        <w:autoSpaceDE w:val="0"/>
        <w:autoSpaceDN w:val="0"/>
        <w:spacing w:line="240" w:lineRule="auto"/>
        <w:ind w:firstLine="4200" w:firstLineChars="2000"/>
        <w:rPr>
          <w:rFonts w:hint="eastAsia" w:ascii="宋体" w:hAnsi="宋体"/>
          <w:color w:val="auto"/>
          <w:kern w:val="0"/>
          <w:szCs w:val="21"/>
          <w:lang w:val="zh-CN"/>
        </w:rPr>
      </w:pPr>
      <w:r>
        <w:rPr>
          <w:rFonts w:hint="eastAsia" w:ascii="宋体" w:hAnsi="宋体"/>
          <w:color w:val="auto"/>
          <w:kern w:val="0"/>
          <w:szCs w:val="21"/>
          <w:lang w:val="zh-CN"/>
        </w:rPr>
        <w:t>日期：  年  月   日</w:t>
      </w:r>
    </w:p>
    <w:p w14:paraId="2AB1464B">
      <w:pPr>
        <w:spacing w:line="240" w:lineRule="auto"/>
        <w:ind w:firstLine="420" w:firstLineChars="200"/>
        <w:jc w:val="center"/>
        <w:rPr>
          <w:rFonts w:hint="eastAsia"/>
          <w:color w:val="auto"/>
        </w:rPr>
      </w:pPr>
    </w:p>
    <w:p w14:paraId="3A2EC11F">
      <w:pPr>
        <w:spacing w:line="240" w:lineRule="auto"/>
        <w:ind w:firstLine="420" w:firstLineChars="200"/>
        <w:jc w:val="center"/>
        <w:rPr>
          <w:rFonts w:hint="eastAsia"/>
          <w:color w:val="auto"/>
        </w:rPr>
      </w:pPr>
    </w:p>
    <w:p w14:paraId="1E87BB9C">
      <w:pPr>
        <w:pStyle w:val="32"/>
        <w:spacing w:line="240" w:lineRule="auto"/>
        <w:rPr>
          <w:rFonts w:hint="eastAsia" w:ascii="仿宋" w:hAnsi="仿宋" w:eastAsia="仿宋"/>
          <w:b/>
          <w:color w:val="auto"/>
          <w:kern w:val="2"/>
          <w:sz w:val="30"/>
          <w:szCs w:val="30"/>
        </w:rPr>
      </w:pPr>
    </w:p>
    <w:p w14:paraId="2DA7E3E3">
      <w:pPr>
        <w:spacing w:line="240" w:lineRule="auto"/>
        <w:rPr>
          <w:rFonts w:hint="eastAsia" w:ascii="仿宋" w:hAnsi="仿宋" w:eastAsia="仿宋"/>
          <w:b/>
          <w:color w:val="auto"/>
          <w:sz w:val="30"/>
          <w:szCs w:val="30"/>
        </w:rPr>
      </w:pPr>
    </w:p>
    <w:p w14:paraId="019B1F6B">
      <w:pPr>
        <w:spacing w:line="240" w:lineRule="auto"/>
        <w:rPr>
          <w:rFonts w:hint="eastAsia" w:ascii="仿宋" w:hAnsi="仿宋" w:eastAsia="仿宋"/>
          <w:b/>
          <w:color w:val="auto"/>
          <w:sz w:val="30"/>
          <w:szCs w:val="30"/>
        </w:rPr>
      </w:pPr>
    </w:p>
    <w:p w14:paraId="042190DA">
      <w:pPr>
        <w:spacing w:line="240" w:lineRule="auto"/>
        <w:rPr>
          <w:rFonts w:hint="eastAsia" w:ascii="仿宋" w:hAnsi="仿宋" w:eastAsia="仿宋"/>
          <w:b/>
          <w:color w:val="auto"/>
          <w:sz w:val="30"/>
          <w:szCs w:val="30"/>
        </w:rPr>
      </w:pPr>
    </w:p>
    <w:p w14:paraId="58D5FFFB">
      <w:pPr>
        <w:spacing w:line="240" w:lineRule="auto"/>
        <w:rPr>
          <w:rFonts w:hint="eastAsia" w:ascii="仿宋" w:hAnsi="仿宋" w:eastAsia="仿宋"/>
          <w:b/>
          <w:color w:val="auto"/>
          <w:sz w:val="30"/>
          <w:szCs w:val="30"/>
        </w:rPr>
      </w:pPr>
    </w:p>
    <w:p w14:paraId="394702E2">
      <w:pPr>
        <w:spacing w:line="240" w:lineRule="auto"/>
        <w:rPr>
          <w:rFonts w:hint="eastAsia" w:ascii="仿宋" w:hAnsi="仿宋" w:eastAsia="仿宋"/>
          <w:b/>
          <w:color w:val="auto"/>
          <w:sz w:val="30"/>
          <w:szCs w:val="30"/>
        </w:rPr>
      </w:pPr>
    </w:p>
    <w:p w14:paraId="1C59D306">
      <w:pPr>
        <w:spacing w:line="240" w:lineRule="auto"/>
        <w:rPr>
          <w:rFonts w:hint="eastAsia" w:ascii="仿宋" w:hAnsi="仿宋" w:eastAsia="仿宋"/>
          <w:b/>
          <w:color w:val="auto"/>
          <w:sz w:val="30"/>
          <w:szCs w:val="30"/>
        </w:rPr>
      </w:pPr>
    </w:p>
    <w:p w14:paraId="33D3BB89">
      <w:pPr>
        <w:pStyle w:val="32"/>
        <w:numPr>
          <w:ilvl w:val="0"/>
          <w:numId w:val="23"/>
        </w:numPr>
        <w:spacing w:line="240" w:lineRule="auto"/>
        <w:rPr>
          <w:rFonts w:hint="eastAsia" w:ascii="Times New Roman" w:hAnsi="宋体"/>
          <w:b/>
          <w:bCs/>
          <w:color w:val="auto"/>
          <w:kern w:val="2"/>
          <w:sz w:val="32"/>
          <w:szCs w:val="32"/>
        </w:rPr>
      </w:pPr>
      <w:r>
        <w:rPr>
          <w:rFonts w:hint="eastAsia" w:ascii="Times New Roman" w:hAnsi="宋体"/>
          <w:b/>
          <w:bCs/>
          <w:color w:val="auto"/>
          <w:kern w:val="2"/>
          <w:sz w:val="32"/>
          <w:szCs w:val="32"/>
        </w:rPr>
        <w:t xml:space="preserve">已标价工程量清单 </w:t>
      </w:r>
    </w:p>
    <w:p w14:paraId="5B28AD8B">
      <w:pPr>
        <w:spacing w:line="240" w:lineRule="auto"/>
        <w:rPr>
          <w:rFonts w:hint="eastAsia"/>
          <w:color w:val="auto"/>
        </w:rPr>
      </w:pPr>
    </w:p>
    <w:p w14:paraId="2C71231B">
      <w:pPr>
        <w:spacing w:line="240" w:lineRule="auto"/>
        <w:rPr>
          <w:rFonts w:hint="eastAsia"/>
          <w:color w:val="auto"/>
        </w:rPr>
      </w:pPr>
    </w:p>
    <w:p w14:paraId="2BDA4817">
      <w:pPr>
        <w:spacing w:line="240" w:lineRule="auto"/>
        <w:rPr>
          <w:rFonts w:hint="eastAsia"/>
          <w:color w:val="auto"/>
        </w:rPr>
      </w:pPr>
    </w:p>
    <w:p w14:paraId="5CA1D722">
      <w:pPr>
        <w:spacing w:line="240" w:lineRule="auto"/>
        <w:rPr>
          <w:rFonts w:hint="eastAsia"/>
          <w:color w:val="auto"/>
        </w:rPr>
      </w:pPr>
    </w:p>
    <w:p w14:paraId="7A120296">
      <w:pPr>
        <w:spacing w:line="240" w:lineRule="auto"/>
        <w:rPr>
          <w:rFonts w:hint="eastAsia"/>
          <w:color w:val="auto"/>
        </w:rPr>
      </w:pPr>
    </w:p>
    <w:p w14:paraId="77D962DB">
      <w:pPr>
        <w:spacing w:line="240" w:lineRule="auto"/>
        <w:rPr>
          <w:rFonts w:hint="eastAsia"/>
          <w:color w:val="auto"/>
        </w:rPr>
      </w:pPr>
    </w:p>
    <w:p w14:paraId="0394B055">
      <w:pPr>
        <w:spacing w:line="240" w:lineRule="auto"/>
        <w:rPr>
          <w:rFonts w:hint="eastAsia"/>
          <w:color w:val="auto"/>
        </w:rPr>
      </w:pPr>
    </w:p>
    <w:p w14:paraId="2CC8E528">
      <w:pPr>
        <w:spacing w:line="240" w:lineRule="auto"/>
        <w:rPr>
          <w:rFonts w:hint="eastAsia"/>
          <w:color w:val="auto"/>
        </w:rPr>
      </w:pPr>
    </w:p>
    <w:p w14:paraId="596775DF">
      <w:pPr>
        <w:spacing w:line="240" w:lineRule="auto"/>
        <w:rPr>
          <w:rFonts w:hint="eastAsia"/>
          <w:color w:val="auto"/>
        </w:rPr>
      </w:pPr>
    </w:p>
    <w:p w14:paraId="6F41C4DD">
      <w:pPr>
        <w:spacing w:line="240" w:lineRule="auto"/>
        <w:rPr>
          <w:rFonts w:hint="eastAsia"/>
          <w:color w:val="auto"/>
        </w:rPr>
      </w:pPr>
    </w:p>
    <w:p w14:paraId="62453099">
      <w:pPr>
        <w:spacing w:line="240" w:lineRule="auto"/>
        <w:rPr>
          <w:rFonts w:hint="eastAsia"/>
          <w:color w:val="auto"/>
        </w:rPr>
      </w:pPr>
    </w:p>
    <w:p w14:paraId="53F7331F">
      <w:pPr>
        <w:spacing w:line="240" w:lineRule="auto"/>
        <w:rPr>
          <w:rFonts w:hint="eastAsia"/>
          <w:color w:val="auto"/>
        </w:rPr>
      </w:pPr>
    </w:p>
    <w:p w14:paraId="0FF9D7BE">
      <w:pPr>
        <w:spacing w:line="240" w:lineRule="auto"/>
        <w:rPr>
          <w:rFonts w:hint="eastAsia"/>
          <w:color w:val="auto"/>
        </w:rPr>
      </w:pPr>
    </w:p>
    <w:p w14:paraId="6B118C9B">
      <w:pPr>
        <w:spacing w:line="240" w:lineRule="auto"/>
        <w:rPr>
          <w:rFonts w:hint="eastAsia"/>
          <w:color w:val="auto"/>
        </w:rPr>
      </w:pPr>
    </w:p>
    <w:p w14:paraId="45D0267B">
      <w:pPr>
        <w:spacing w:line="240" w:lineRule="auto"/>
        <w:rPr>
          <w:rFonts w:hint="eastAsia"/>
          <w:color w:val="auto"/>
        </w:rPr>
      </w:pPr>
    </w:p>
    <w:p w14:paraId="722D7A58">
      <w:pPr>
        <w:spacing w:line="240" w:lineRule="auto"/>
        <w:rPr>
          <w:rFonts w:hint="eastAsia"/>
          <w:color w:val="auto"/>
        </w:rPr>
      </w:pPr>
    </w:p>
    <w:p w14:paraId="38B94E6A">
      <w:pPr>
        <w:spacing w:line="240" w:lineRule="auto"/>
        <w:rPr>
          <w:rFonts w:hint="eastAsia"/>
          <w:color w:val="auto"/>
        </w:rPr>
      </w:pPr>
    </w:p>
    <w:p w14:paraId="4E4D3CE4">
      <w:pPr>
        <w:spacing w:line="240" w:lineRule="auto"/>
        <w:rPr>
          <w:rFonts w:hint="eastAsia"/>
          <w:color w:val="auto"/>
        </w:rPr>
      </w:pPr>
    </w:p>
    <w:p w14:paraId="5D3B45F9">
      <w:pPr>
        <w:spacing w:line="240" w:lineRule="auto"/>
        <w:rPr>
          <w:rFonts w:hint="eastAsia"/>
          <w:color w:val="auto"/>
        </w:rPr>
      </w:pPr>
    </w:p>
    <w:p w14:paraId="51F086DB">
      <w:pPr>
        <w:spacing w:line="240" w:lineRule="auto"/>
        <w:rPr>
          <w:rFonts w:hint="eastAsia"/>
          <w:color w:val="auto"/>
        </w:rPr>
      </w:pPr>
    </w:p>
    <w:p w14:paraId="15961949">
      <w:pPr>
        <w:rPr>
          <w:rFonts w:hint="eastAsia"/>
          <w:color w:val="auto"/>
        </w:rPr>
      </w:pPr>
    </w:p>
    <w:p w14:paraId="5E41B90D">
      <w:pPr>
        <w:rPr>
          <w:rFonts w:hint="eastAsia"/>
          <w:color w:val="auto"/>
        </w:rPr>
      </w:pPr>
    </w:p>
    <w:p w14:paraId="278FA173">
      <w:pPr>
        <w:rPr>
          <w:rFonts w:hint="eastAsia"/>
          <w:color w:val="auto"/>
        </w:rPr>
      </w:pPr>
    </w:p>
    <w:p w14:paraId="79E2855D">
      <w:pPr>
        <w:rPr>
          <w:rFonts w:hint="eastAsia"/>
          <w:color w:val="auto"/>
        </w:rPr>
      </w:pPr>
    </w:p>
    <w:p w14:paraId="22AA508C">
      <w:pPr>
        <w:rPr>
          <w:rFonts w:hint="eastAsia"/>
          <w:color w:val="auto"/>
        </w:rPr>
      </w:pPr>
    </w:p>
    <w:p w14:paraId="725088B2">
      <w:pPr>
        <w:rPr>
          <w:rFonts w:hint="eastAsia"/>
          <w:color w:val="auto"/>
        </w:rPr>
      </w:pPr>
    </w:p>
    <w:p w14:paraId="6D69BE33">
      <w:pPr>
        <w:rPr>
          <w:rFonts w:hint="eastAsia"/>
          <w:color w:val="auto"/>
        </w:rPr>
      </w:pPr>
    </w:p>
    <w:p w14:paraId="02291466">
      <w:pPr>
        <w:rPr>
          <w:rFonts w:hint="eastAsia"/>
          <w:color w:val="auto"/>
        </w:rPr>
      </w:pPr>
    </w:p>
    <w:p w14:paraId="1ED57966">
      <w:pPr>
        <w:rPr>
          <w:rFonts w:hint="eastAsia"/>
          <w:color w:val="auto"/>
        </w:rPr>
      </w:pPr>
    </w:p>
    <w:p w14:paraId="660EF092">
      <w:pPr>
        <w:rPr>
          <w:rFonts w:hint="eastAsia"/>
          <w:color w:val="auto"/>
        </w:rPr>
      </w:pPr>
    </w:p>
    <w:p w14:paraId="25AF0DB4">
      <w:pPr>
        <w:rPr>
          <w:rFonts w:hint="eastAsia"/>
          <w:color w:val="auto"/>
        </w:rPr>
      </w:pPr>
    </w:p>
    <w:p w14:paraId="685D6378">
      <w:pPr>
        <w:rPr>
          <w:rFonts w:hint="eastAsia"/>
          <w:color w:val="auto"/>
        </w:rPr>
      </w:pPr>
    </w:p>
    <w:p w14:paraId="46CEEADB">
      <w:pPr>
        <w:rPr>
          <w:rFonts w:hint="eastAsia"/>
          <w:color w:val="auto"/>
        </w:rPr>
      </w:pPr>
    </w:p>
    <w:p w14:paraId="011912E3">
      <w:pPr>
        <w:rPr>
          <w:rFonts w:hint="eastAsia"/>
          <w:color w:val="auto"/>
        </w:rPr>
      </w:pPr>
    </w:p>
    <w:p w14:paraId="52D50925">
      <w:pPr>
        <w:rPr>
          <w:rFonts w:hint="eastAsia"/>
          <w:color w:val="auto"/>
        </w:rPr>
      </w:pPr>
    </w:p>
    <w:p w14:paraId="1B92E439">
      <w:pPr>
        <w:rPr>
          <w:rFonts w:hint="eastAsia"/>
          <w:color w:val="auto"/>
        </w:rPr>
      </w:pPr>
    </w:p>
    <w:p w14:paraId="7246C773">
      <w:pPr>
        <w:rPr>
          <w:rFonts w:hint="eastAsia"/>
          <w:color w:val="auto"/>
        </w:rPr>
      </w:pPr>
    </w:p>
    <w:p w14:paraId="22DCD490">
      <w:pPr>
        <w:rPr>
          <w:rFonts w:hint="eastAsia"/>
          <w:color w:val="auto"/>
        </w:rPr>
      </w:pPr>
    </w:p>
    <w:p w14:paraId="3A7879C2">
      <w:pPr>
        <w:rPr>
          <w:rFonts w:hint="eastAsia"/>
          <w:color w:val="auto"/>
        </w:rPr>
      </w:pPr>
    </w:p>
    <w:p w14:paraId="1A8161E4">
      <w:pPr>
        <w:rPr>
          <w:rFonts w:hint="eastAsia"/>
          <w:color w:val="auto"/>
        </w:rPr>
      </w:pPr>
    </w:p>
    <w:p w14:paraId="35C0644A">
      <w:pPr>
        <w:rPr>
          <w:rFonts w:hint="eastAsia"/>
          <w:color w:val="auto"/>
        </w:rPr>
      </w:pPr>
    </w:p>
    <w:p w14:paraId="18EDE15B">
      <w:pPr>
        <w:rPr>
          <w:rFonts w:hint="eastAsia"/>
          <w:color w:val="auto"/>
        </w:rPr>
      </w:pPr>
    </w:p>
    <w:p w14:paraId="1C1A3514">
      <w:pPr>
        <w:rPr>
          <w:rFonts w:hint="eastAsia"/>
          <w:color w:val="auto"/>
        </w:rPr>
      </w:pPr>
    </w:p>
    <w:p w14:paraId="5F323F7D">
      <w:pPr>
        <w:rPr>
          <w:rFonts w:hint="eastAsia"/>
          <w:color w:val="auto"/>
        </w:rPr>
      </w:pPr>
    </w:p>
    <w:p w14:paraId="3659A20F">
      <w:pPr>
        <w:rPr>
          <w:rFonts w:hint="eastAsia"/>
          <w:color w:val="auto"/>
        </w:rPr>
      </w:pPr>
    </w:p>
    <w:p w14:paraId="00D82557">
      <w:pPr>
        <w:rPr>
          <w:rFonts w:hint="eastAsia"/>
          <w:color w:val="auto"/>
        </w:rPr>
      </w:pPr>
    </w:p>
    <w:p w14:paraId="487F53BD">
      <w:pPr>
        <w:rPr>
          <w:rFonts w:hint="eastAsia"/>
          <w:color w:val="auto"/>
        </w:rPr>
      </w:pPr>
    </w:p>
    <w:p w14:paraId="1C6192C5">
      <w:pPr>
        <w:rPr>
          <w:rFonts w:hint="eastAsia"/>
          <w:color w:val="auto"/>
        </w:rPr>
      </w:pPr>
    </w:p>
    <w:p w14:paraId="084578D3">
      <w:pPr>
        <w:rPr>
          <w:rFonts w:hint="eastAsia"/>
          <w:color w:val="auto"/>
        </w:rPr>
      </w:pPr>
    </w:p>
    <w:p w14:paraId="5FE4FB29">
      <w:pPr>
        <w:rPr>
          <w:rFonts w:hint="eastAsia"/>
          <w:color w:val="auto"/>
        </w:rPr>
      </w:pPr>
    </w:p>
    <w:p w14:paraId="23CE8C82">
      <w:pPr>
        <w:rPr>
          <w:rFonts w:hint="eastAsia"/>
          <w:color w:val="auto"/>
        </w:rPr>
      </w:pPr>
    </w:p>
    <w:p w14:paraId="7C1AF9F4">
      <w:pPr>
        <w:rPr>
          <w:rFonts w:hint="eastAsia"/>
          <w:color w:val="auto"/>
        </w:rPr>
      </w:pPr>
    </w:p>
    <w:p w14:paraId="0CB86EEE">
      <w:pPr>
        <w:rPr>
          <w:rFonts w:hint="eastAsia"/>
          <w:color w:val="auto"/>
        </w:rPr>
      </w:pPr>
    </w:p>
    <w:p w14:paraId="136C5BC3">
      <w:pPr>
        <w:rPr>
          <w:rFonts w:hint="eastAsia"/>
          <w:color w:val="auto"/>
        </w:rPr>
      </w:pPr>
    </w:p>
    <w:p w14:paraId="1B235063">
      <w:pPr>
        <w:rPr>
          <w:rFonts w:hint="eastAsia"/>
          <w:color w:val="auto"/>
        </w:rPr>
      </w:pPr>
    </w:p>
    <w:p w14:paraId="57147149">
      <w:pPr>
        <w:pStyle w:val="32"/>
        <w:spacing w:line="500" w:lineRule="exact"/>
        <w:ind w:firstLine="6360" w:firstLineChars="2650"/>
        <w:rPr>
          <w:rFonts w:hint="eastAsia" w:ascii="仿宋_GB2312" w:hAnsi="仿宋" w:eastAsia="仿宋_GB2312"/>
          <w:color w:val="auto"/>
          <w:sz w:val="24"/>
          <w:lang w:val="zh-CN"/>
        </w:rPr>
      </w:pPr>
    </w:p>
    <w:p w14:paraId="0778DC46">
      <w:pPr>
        <w:pStyle w:val="32"/>
        <w:spacing w:line="500" w:lineRule="exact"/>
        <w:rPr>
          <w:rFonts w:hint="eastAsia" w:ascii="Times New Roman" w:hAnsi="宋体"/>
          <w:b/>
          <w:bCs/>
          <w:color w:val="auto"/>
          <w:kern w:val="2"/>
          <w:sz w:val="32"/>
          <w:szCs w:val="32"/>
        </w:rPr>
      </w:pPr>
      <w:r>
        <w:rPr>
          <w:rFonts w:hint="eastAsia" w:ascii="Times New Roman" w:hAnsi="宋体"/>
          <w:b/>
          <w:bCs/>
          <w:color w:val="auto"/>
          <w:kern w:val="2"/>
          <w:sz w:val="32"/>
          <w:szCs w:val="32"/>
        </w:rPr>
        <w:t>三、中小企业声明函</w:t>
      </w:r>
    </w:p>
    <w:p w14:paraId="7F7A7F08">
      <w:pPr>
        <w:spacing w:line="360" w:lineRule="auto"/>
        <w:ind w:right="-118" w:rightChars="-56"/>
        <w:jc w:val="center"/>
        <w:rPr>
          <w:color w:val="auto"/>
          <w:sz w:val="24"/>
        </w:rPr>
      </w:pPr>
    </w:p>
    <w:p w14:paraId="33A77561">
      <w:pPr>
        <w:spacing w:line="360" w:lineRule="auto"/>
        <w:ind w:right="-118" w:rightChars="-56"/>
        <w:jc w:val="center"/>
        <w:rPr>
          <w:b/>
          <w:bCs/>
          <w:color w:val="auto"/>
          <w:sz w:val="32"/>
          <w:szCs w:val="32"/>
        </w:rPr>
      </w:pPr>
      <w:r>
        <w:rPr>
          <w:b/>
          <w:bCs/>
          <w:color w:val="auto"/>
          <w:sz w:val="32"/>
          <w:szCs w:val="32"/>
        </w:rPr>
        <w:t>中小企业声明函</w:t>
      </w:r>
    </w:p>
    <w:p w14:paraId="2D130DB7">
      <w:pPr>
        <w:spacing w:line="360" w:lineRule="auto"/>
        <w:ind w:right="-118" w:rightChars="-56" w:firstLine="480" w:firstLineChars="200"/>
        <w:jc w:val="left"/>
        <w:rPr>
          <w:color w:val="auto"/>
          <w:sz w:val="24"/>
        </w:rPr>
      </w:pPr>
    </w:p>
    <w:p w14:paraId="727AA250">
      <w:pPr>
        <w:spacing w:line="360" w:lineRule="auto"/>
        <w:ind w:right="-118" w:rightChars="-56" w:firstLine="480" w:firstLineChars="200"/>
        <w:jc w:val="left"/>
        <w:rPr>
          <w:color w:val="auto"/>
          <w:sz w:val="24"/>
        </w:rPr>
      </w:pPr>
      <w:r>
        <w:rPr>
          <w:color w:val="auto"/>
          <w:sz w:val="24"/>
        </w:rPr>
        <w:t>本公司（联合体）</w:t>
      </w:r>
      <w:r>
        <w:rPr>
          <w:rFonts w:hint="eastAsia"/>
          <w:color w:val="auto"/>
          <w:sz w:val="24"/>
          <w:u w:val="single"/>
        </w:rPr>
        <w:t xml:space="preserve">                 </w:t>
      </w:r>
      <w:r>
        <w:rPr>
          <w:color w:val="auto"/>
          <w:sz w:val="24"/>
        </w:rPr>
        <w:t>郑重声明，根据《政府采购促进中小企业发展管理办法》（财库﹝2020﹞46 号）的规定，本公司（联合体）</w:t>
      </w:r>
      <w:r>
        <w:rPr>
          <w:rFonts w:hint="eastAsia"/>
          <w:color w:val="auto"/>
          <w:sz w:val="24"/>
          <w:u w:val="single"/>
        </w:rPr>
        <w:t xml:space="preserve">                 </w:t>
      </w:r>
      <w:r>
        <w:rPr>
          <w:color w:val="auto"/>
          <w:sz w:val="24"/>
        </w:rPr>
        <w:t>参加（单位名称）</w:t>
      </w:r>
      <w:r>
        <w:rPr>
          <w:rFonts w:hint="eastAsia"/>
          <w:color w:val="auto"/>
          <w:sz w:val="24"/>
          <w:u w:val="single"/>
        </w:rPr>
        <w:t xml:space="preserve">               </w:t>
      </w:r>
      <w:r>
        <w:rPr>
          <w:color w:val="auto"/>
          <w:sz w:val="24"/>
        </w:rPr>
        <w:t>的（项目名称）</w:t>
      </w:r>
      <w:r>
        <w:rPr>
          <w:rFonts w:hint="eastAsia"/>
          <w:color w:val="auto"/>
          <w:sz w:val="24"/>
          <w:u w:val="single"/>
        </w:rPr>
        <w:t xml:space="preserve">                     </w:t>
      </w:r>
      <w:r>
        <w:rPr>
          <w:color w:val="auto"/>
          <w:sz w:val="24"/>
        </w:rPr>
        <w:t>采购活动，工程的施工单位全部为符合政策要求的中小企业（或者：服务全部由符合政策要求的中小企业承接）。相关企业（含联合体中的中小企业、签订分包意向协议的中小企业）的具体情 况如下：</w:t>
      </w:r>
    </w:p>
    <w:p w14:paraId="2936DDEA">
      <w:pPr>
        <w:spacing w:line="360" w:lineRule="auto"/>
        <w:ind w:right="-118" w:rightChars="-56" w:firstLine="480" w:firstLineChars="200"/>
        <w:jc w:val="left"/>
        <w:rPr>
          <w:color w:val="auto"/>
          <w:sz w:val="24"/>
        </w:rPr>
      </w:pPr>
      <w:r>
        <w:rPr>
          <w:color w:val="auto"/>
          <w:sz w:val="24"/>
        </w:rPr>
        <w:t>1. （标的名称）</w:t>
      </w:r>
      <w:r>
        <w:rPr>
          <w:rFonts w:hint="eastAsia"/>
          <w:color w:val="auto"/>
          <w:sz w:val="24"/>
          <w:u w:val="single"/>
        </w:rPr>
        <w:t xml:space="preserve">                 </w:t>
      </w:r>
      <w:r>
        <w:rPr>
          <w:color w:val="auto"/>
          <w:sz w:val="24"/>
        </w:rPr>
        <w:t> ，属于（采购文件中明确的所属行业）</w:t>
      </w:r>
      <w:r>
        <w:rPr>
          <w:rFonts w:hint="eastAsia"/>
          <w:color w:val="auto"/>
          <w:sz w:val="24"/>
          <w:u w:val="single"/>
        </w:rPr>
        <w:t xml:space="preserve">                </w:t>
      </w:r>
      <w:r>
        <w:rPr>
          <w:color w:val="auto"/>
          <w:sz w:val="24"/>
        </w:rPr>
        <w:t>； 承建（承接）企业为（企业名称）</w:t>
      </w:r>
      <w:r>
        <w:rPr>
          <w:rFonts w:hint="eastAsia"/>
          <w:color w:val="auto"/>
          <w:sz w:val="24"/>
          <w:u w:val="single"/>
        </w:rPr>
        <w:t xml:space="preserve">                  </w:t>
      </w:r>
      <w:r>
        <w:rPr>
          <w:color w:val="auto"/>
          <w:sz w:val="24"/>
        </w:rPr>
        <w:t>，从业人员人</w:t>
      </w:r>
      <w:r>
        <w:rPr>
          <w:rFonts w:hint="eastAsia"/>
          <w:color w:val="auto"/>
          <w:sz w:val="24"/>
          <w:u w:val="single"/>
        </w:rPr>
        <w:t xml:space="preserve">           </w:t>
      </w:r>
      <w:r>
        <w:rPr>
          <w:color w:val="auto"/>
          <w:sz w:val="24"/>
        </w:rPr>
        <w:t>，营业收入为</w:t>
      </w:r>
      <w:r>
        <w:rPr>
          <w:rFonts w:hint="eastAsia"/>
          <w:color w:val="auto"/>
          <w:sz w:val="24"/>
          <w:u w:val="single"/>
        </w:rPr>
        <w:t xml:space="preserve">        </w:t>
      </w:r>
      <w:r>
        <w:rPr>
          <w:color w:val="auto"/>
          <w:sz w:val="24"/>
        </w:rPr>
        <w:t>万元，资产总额为</w:t>
      </w:r>
      <w:r>
        <w:rPr>
          <w:rFonts w:hint="eastAsia"/>
          <w:color w:val="auto"/>
          <w:sz w:val="24"/>
          <w:u w:val="single"/>
        </w:rPr>
        <w:t xml:space="preserve">          </w:t>
      </w:r>
      <w:r>
        <w:rPr>
          <w:color w:val="auto"/>
          <w:sz w:val="24"/>
        </w:rPr>
        <w:t>万元1，属于（中型企业、小型企业、微型企业）</w:t>
      </w:r>
      <w:r>
        <w:rPr>
          <w:rFonts w:hint="eastAsia"/>
          <w:color w:val="auto"/>
          <w:sz w:val="24"/>
          <w:u w:val="single"/>
        </w:rPr>
        <w:t xml:space="preserve">        </w:t>
      </w:r>
      <w:r>
        <w:rPr>
          <w:color w:val="auto"/>
          <w:sz w:val="24"/>
        </w:rPr>
        <w:t>； </w:t>
      </w:r>
    </w:p>
    <w:p w14:paraId="43852539">
      <w:pPr>
        <w:spacing w:line="360" w:lineRule="auto"/>
        <w:ind w:right="-118" w:rightChars="-56" w:firstLine="480" w:firstLineChars="200"/>
        <w:jc w:val="left"/>
        <w:rPr>
          <w:color w:val="auto"/>
          <w:sz w:val="24"/>
        </w:rPr>
      </w:pPr>
      <w:r>
        <w:rPr>
          <w:color w:val="auto"/>
          <w:sz w:val="24"/>
        </w:rPr>
        <w:t>2. （标的名称）</w:t>
      </w:r>
      <w:r>
        <w:rPr>
          <w:rFonts w:hint="eastAsia"/>
          <w:color w:val="auto"/>
          <w:sz w:val="24"/>
          <w:u w:val="single"/>
        </w:rPr>
        <w:t xml:space="preserve">                 </w:t>
      </w:r>
      <w:r>
        <w:rPr>
          <w:color w:val="auto"/>
          <w:sz w:val="24"/>
        </w:rPr>
        <w:t> ，属于（采购文件中明确的所属行业）</w:t>
      </w:r>
      <w:r>
        <w:rPr>
          <w:rFonts w:hint="eastAsia"/>
          <w:color w:val="auto"/>
          <w:sz w:val="24"/>
          <w:u w:val="single"/>
        </w:rPr>
        <w:t xml:space="preserve">                </w:t>
      </w:r>
      <w:r>
        <w:rPr>
          <w:color w:val="auto"/>
          <w:sz w:val="24"/>
        </w:rPr>
        <w:t>； 承建（承接）企业为（企业名称）</w:t>
      </w:r>
      <w:r>
        <w:rPr>
          <w:rFonts w:hint="eastAsia"/>
          <w:color w:val="auto"/>
          <w:sz w:val="24"/>
          <w:u w:val="single"/>
        </w:rPr>
        <w:t xml:space="preserve">                  </w:t>
      </w:r>
      <w:r>
        <w:rPr>
          <w:color w:val="auto"/>
          <w:sz w:val="24"/>
        </w:rPr>
        <w:t>，从业人员人</w:t>
      </w:r>
      <w:r>
        <w:rPr>
          <w:rFonts w:hint="eastAsia"/>
          <w:color w:val="auto"/>
          <w:sz w:val="24"/>
          <w:u w:val="single"/>
        </w:rPr>
        <w:t xml:space="preserve">          </w:t>
      </w:r>
      <w:r>
        <w:rPr>
          <w:color w:val="auto"/>
          <w:sz w:val="24"/>
        </w:rPr>
        <w:t>，营业 收入为</w:t>
      </w:r>
      <w:r>
        <w:rPr>
          <w:rFonts w:hint="eastAsia"/>
          <w:color w:val="auto"/>
          <w:sz w:val="24"/>
          <w:u w:val="single"/>
        </w:rPr>
        <w:t xml:space="preserve">        </w:t>
      </w:r>
      <w:r>
        <w:rPr>
          <w:color w:val="auto"/>
          <w:sz w:val="24"/>
        </w:rPr>
        <w:t>万元，资产总额为</w:t>
      </w:r>
      <w:r>
        <w:rPr>
          <w:rFonts w:hint="eastAsia"/>
          <w:color w:val="auto"/>
          <w:sz w:val="24"/>
          <w:u w:val="single"/>
        </w:rPr>
        <w:t xml:space="preserve">        </w:t>
      </w:r>
      <w:r>
        <w:rPr>
          <w:color w:val="auto"/>
          <w:sz w:val="24"/>
        </w:rPr>
        <w:t>万元，属于（中型企业、小型企业、微型企业）</w:t>
      </w:r>
      <w:r>
        <w:rPr>
          <w:rFonts w:hint="eastAsia"/>
          <w:color w:val="auto"/>
          <w:sz w:val="24"/>
          <w:u w:val="single"/>
        </w:rPr>
        <w:t xml:space="preserve">        </w:t>
      </w:r>
      <w:r>
        <w:rPr>
          <w:color w:val="auto"/>
          <w:sz w:val="24"/>
        </w:rPr>
        <w:t>； </w:t>
      </w:r>
    </w:p>
    <w:p w14:paraId="7A3F0AA8">
      <w:pPr>
        <w:spacing w:line="360" w:lineRule="auto"/>
        <w:ind w:right="-118" w:rightChars="-56" w:firstLine="480" w:firstLineChars="200"/>
        <w:jc w:val="left"/>
        <w:rPr>
          <w:color w:val="auto"/>
          <w:sz w:val="24"/>
        </w:rPr>
      </w:pPr>
      <w:r>
        <w:rPr>
          <w:color w:val="auto"/>
          <w:sz w:val="24"/>
        </w:rPr>
        <w:t>……</w:t>
      </w:r>
    </w:p>
    <w:p w14:paraId="0803EFF7">
      <w:pPr>
        <w:spacing w:line="360" w:lineRule="auto"/>
        <w:ind w:right="-118" w:rightChars="-56" w:firstLine="480" w:firstLineChars="200"/>
        <w:jc w:val="left"/>
        <w:rPr>
          <w:color w:val="auto"/>
          <w:sz w:val="24"/>
        </w:rPr>
      </w:pPr>
      <w:r>
        <w:rPr>
          <w:color w:val="auto"/>
          <w:sz w:val="24"/>
        </w:rPr>
        <w:t>以上企业，不属于大企业的分支机构，不存在控股股东为大企业的情形，也不存在与大企业的负责人为同一人的情形。本企业对上述声明内容的真实性负责。如有虚假，将依法承担相应责任。</w:t>
      </w:r>
    </w:p>
    <w:p w14:paraId="5FBD18B1">
      <w:pPr>
        <w:spacing w:line="360" w:lineRule="auto"/>
        <w:ind w:right="-118" w:rightChars="-56" w:firstLine="480" w:firstLineChars="200"/>
        <w:jc w:val="left"/>
        <w:rPr>
          <w:rFonts w:hint="eastAsia"/>
          <w:color w:val="auto"/>
          <w:sz w:val="24"/>
        </w:rPr>
      </w:pPr>
    </w:p>
    <w:p w14:paraId="41E7A46F">
      <w:pPr>
        <w:spacing w:line="360" w:lineRule="auto"/>
        <w:ind w:right="-118" w:rightChars="-56" w:firstLine="480" w:firstLineChars="200"/>
        <w:jc w:val="left"/>
        <w:rPr>
          <w:rFonts w:hint="eastAsia"/>
          <w:color w:val="auto"/>
          <w:sz w:val="24"/>
        </w:rPr>
      </w:pPr>
      <w:r>
        <w:rPr>
          <w:rFonts w:hint="eastAsia"/>
          <w:color w:val="auto"/>
          <w:sz w:val="24"/>
        </w:rPr>
        <w:t xml:space="preserve">                                               </w:t>
      </w:r>
      <w:r>
        <w:rPr>
          <w:color w:val="auto"/>
          <w:sz w:val="24"/>
        </w:rPr>
        <w:t> 企业名称</w:t>
      </w:r>
      <w:r>
        <w:rPr>
          <w:rFonts w:hint="eastAsia"/>
          <w:color w:val="auto"/>
          <w:sz w:val="24"/>
        </w:rPr>
        <w:t>（电子签章）</w:t>
      </w:r>
      <w:r>
        <w:rPr>
          <w:color w:val="auto"/>
          <w:sz w:val="24"/>
        </w:rPr>
        <w:t>：</w:t>
      </w:r>
    </w:p>
    <w:p w14:paraId="6D101A82">
      <w:pPr>
        <w:spacing w:line="360" w:lineRule="auto"/>
        <w:ind w:right="-118" w:rightChars="-56" w:firstLine="480" w:firstLineChars="200"/>
        <w:jc w:val="left"/>
        <w:rPr>
          <w:rFonts w:hint="eastAsia"/>
          <w:color w:val="auto"/>
          <w:sz w:val="24"/>
        </w:rPr>
      </w:pPr>
      <w:r>
        <w:rPr>
          <w:rFonts w:hint="eastAsia"/>
          <w:color w:val="auto"/>
          <w:sz w:val="24"/>
        </w:rPr>
        <w:t xml:space="preserve">                                                日 期</w:t>
      </w:r>
      <w:r>
        <w:rPr>
          <w:color w:val="auto"/>
          <w:sz w:val="24"/>
        </w:rPr>
        <w:t>：</w:t>
      </w:r>
      <w:r>
        <w:rPr>
          <w:rFonts w:hint="eastAsia" w:ascii="宋体" w:hAnsi="宋体"/>
          <w:color w:val="auto"/>
          <w:sz w:val="24"/>
        </w:rPr>
        <w:t xml:space="preserve">     年   月   日</w:t>
      </w:r>
    </w:p>
    <w:p w14:paraId="354B5E51">
      <w:pPr>
        <w:pStyle w:val="101"/>
        <w:rPr>
          <w:rFonts w:hint="eastAsia"/>
          <w:color w:val="auto"/>
        </w:rPr>
      </w:pPr>
    </w:p>
    <w:p w14:paraId="2C5D6F60">
      <w:pPr>
        <w:pStyle w:val="24"/>
        <w:spacing w:after="0" w:line="360" w:lineRule="auto"/>
        <w:ind w:left="3960" w:right="1808"/>
        <w:contextualSpacing/>
        <w:rPr>
          <w:color w:val="auto"/>
        </w:rPr>
      </w:pPr>
    </w:p>
    <w:p w14:paraId="7114CB53">
      <w:pPr>
        <w:spacing w:line="360" w:lineRule="auto"/>
        <w:contextualSpacing/>
        <w:jc w:val="left"/>
        <w:rPr>
          <w:rFonts w:hint="eastAsia" w:ascii="宋体" w:hAnsi="宋体"/>
          <w:color w:val="auto"/>
          <w:sz w:val="24"/>
        </w:rPr>
      </w:pPr>
      <w:r>
        <w:rPr>
          <w:rFonts w:hint="eastAsia" w:ascii="宋体" w:hAnsi="宋体"/>
          <w:color w:val="auto"/>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6CB9F741">
      <w:pPr>
        <w:snapToGrid w:val="0"/>
        <w:spacing w:before="120" w:after="50" w:line="360" w:lineRule="auto"/>
        <w:outlineLvl w:val="1"/>
        <w:rPr>
          <w:rFonts w:ascii="宋体" w:hAnsi="宋体"/>
          <w:b/>
          <w:bCs/>
          <w:color w:val="auto"/>
          <w:sz w:val="32"/>
          <w:szCs w:val="32"/>
        </w:rPr>
        <w:sectPr>
          <w:pgSz w:w="11911" w:h="16838"/>
          <w:pgMar w:top="1134" w:right="1134" w:bottom="1134" w:left="1134" w:header="720" w:footer="720" w:gutter="0"/>
          <w:cols w:space="720" w:num="1"/>
          <w:titlePg/>
          <w:docGrid w:linePitch="0" w:charSpace="0"/>
        </w:sectPr>
      </w:pPr>
    </w:p>
    <w:p w14:paraId="2EC4E667">
      <w:pPr>
        <w:pStyle w:val="5"/>
        <w:jc w:val="center"/>
        <w:rPr>
          <w:rFonts w:hint="eastAsia" w:ascii="宋体" w:hAnsi="宋体"/>
          <w:color w:val="auto"/>
        </w:rPr>
      </w:pPr>
      <w:bookmarkStart w:id="205" w:name="_Toc5320"/>
      <w:bookmarkEnd w:id="205"/>
      <w:bookmarkStart w:id="206" w:name="_Toc31492"/>
      <w:bookmarkEnd w:id="206"/>
      <w:bookmarkStart w:id="207" w:name="_Toc80205942"/>
      <w:bookmarkEnd w:id="207"/>
      <w:r>
        <w:rPr>
          <w:rFonts w:hint="eastAsia" w:ascii="宋体" w:hAnsi="宋体"/>
          <w:color w:val="auto"/>
        </w:rPr>
        <w:t>第五节 其他文书、文件格式</w:t>
      </w:r>
    </w:p>
    <w:p w14:paraId="74EF7DA1">
      <w:pPr>
        <w:spacing w:line="520" w:lineRule="exact"/>
        <w:rPr>
          <w:rFonts w:ascii="宋体" w:hAnsi="宋体"/>
          <w:color w:val="auto"/>
          <w:sz w:val="24"/>
        </w:rPr>
      </w:pPr>
    </w:p>
    <w:p w14:paraId="5204CE5B">
      <w:pPr>
        <w:spacing w:line="520" w:lineRule="exact"/>
        <w:jc w:val="center"/>
        <w:rPr>
          <w:rFonts w:hint="eastAsia" w:ascii="方正小标宋简体" w:hAnsi="方正小标宋简体" w:eastAsia="方正小标宋简体"/>
          <w:color w:val="auto"/>
          <w:sz w:val="44"/>
          <w:szCs w:val="44"/>
        </w:rPr>
      </w:pPr>
      <w:r>
        <w:rPr>
          <w:rFonts w:hint="eastAsia" w:ascii="方正小标宋简体" w:hAnsi="方正小标宋简体" w:eastAsia="方正小标宋简体"/>
          <w:color w:val="auto"/>
          <w:sz w:val="44"/>
          <w:szCs w:val="44"/>
        </w:rPr>
        <w:t>残疾人福利性单位声明函</w:t>
      </w:r>
    </w:p>
    <w:p w14:paraId="32FE2A47">
      <w:pPr>
        <w:spacing w:line="520" w:lineRule="exact"/>
        <w:rPr>
          <w:rFonts w:hint="eastAsia" w:ascii="仿宋_GB2312" w:hAnsi="仿宋_GB2312" w:eastAsia="仿宋_GB2312"/>
          <w:color w:val="auto"/>
          <w:sz w:val="32"/>
          <w:szCs w:val="32"/>
        </w:rPr>
      </w:pPr>
    </w:p>
    <w:p w14:paraId="41FC8C90">
      <w:pPr>
        <w:spacing w:line="360" w:lineRule="auto"/>
        <w:contextualSpacing/>
        <w:jc w:val="left"/>
        <w:rPr>
          <w:rFonts w:hint="eastAsia" w:ascii="仿宋_GB2312" w:hAnsi="宋体" w:eastAsia="仿宋_GB2312"/>
          <w:color w:val="auto"/>
          <w:sz w:val="24"/>
        </w:rPr>
      </w:pPr>
      <w:r>
        <w:rPr>
          <w:rFonts w:hint="eastAsia" w:ascii="仿宋_GB2312" w:hAnsi="宋体" w:eastAsia="仿宋_GB2312"/>
          <w:color w:val="auto"/>
          <w:sz w:val="24"/>
        </w:rPr>
        <w:t>本</w:t>
      </w:r>
      <w:r>
        <w:rPr>
          <w:rFonts w:hint="eastAsia" w:ascii="宋体" w:hAnsi="宋体"/>
          <w:color w:val="auto"/>
          <w:sz w:val="24"/>
        </w:rPr>
        <w:t>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 w:val="24"/>
          <w:u w:val="single"/>
        </w:rPr>
        <w:t xml:space="preserve">       </w:t>
      </w:r>
      <w:r>
        <w:rPr>
          <w:rFonts w:hint="eastAsia" w:ascii="宋体" w:hAnsi="宋体"/>
          <w:color w:val="auto"/>
          <w:sz w:val="24"/>
        </w:rPr>
        <w:t>单位的</w:t>
      </w:r>
      <w:r>
        <w:rPr>
          <w:rFonts w:hint="eastAsia" w:ascii="宋体" w:hAnsi="宋体"/>
          <w:color w:val="auto"/>
          <w:sz w:val="24"/>
          <w:u w:val="single"/>
        </w:rPr>
        <w:t xml:space="preserve">        </w:t>
      </w:r>
      <w:r>
        <w:rPr>
          <w:rFonts w:hint="eastAsia" w:ascii="宋体" w:hAnsi="宋体"/>
          <w:color w:val="auto"/>
          <w:sz w:val="24"/>
        </w:rPr>
        <w:t>项目采购活动由本单位提供服务。</w:t>
      </w:r>
    </w:p>
    <w:p w14:paraId="35FC55DA">
      <w:pPr>
        <w:spacing w:line="360" w:lineRule="auto"/>
        <w:contextualSpacing/>
        <w:jc w:val="left"/>
        <w:rPr>
          <w:rFonts w:hint="eastAsia" w:ascii="宋体" w:hAnsi="宋体"/>
          <w:color w:val="auto"/>
          <w:sz w:val="24"/>
        </w:rPr>
      </w:pPr>
      <w:r>
        <w:rPr>
          <w:rFonts w:hint="eastAsia" w:ascii="宋体" w:hAnsi="宋体"/>
          <w:color w:val="auto"/>
          <w:sz w:val="24"/>
        </w:rPr>
        <w:t>本单位对上述声明的真实性负责。如有虚假，将依法承担相应责任。</w:t>
      </w:r>
    </w:p>
    <w:p w14:paraId="43FB7B2B">
      <w:pPr>
        <w:spacing w:line="360" w:lineRule="auto"/>
        <w:contextualSpacing/>
        <w:rPr>
          <w:rFonts w:hint="eastAsia" w:ascii="宋体" w:hAnsi="宋体"/>
          <w:color w:val="auto"/>
          <w:sz w:val="24"/>
        </w:rPr>
      </w:pPr>
    </w:p>
    <w:p w14:paraId="7A7F7E5E">
      <w:pPr>
        <w:spacing w:line="360" w:lineRule="auto"/>
        <w:contextualSpacing/>
        <w:rPr>
          <w:rFonts w:hint="eastAsia" w:ascii="宋体" w:hAnsi="宋体"/>
          <w:color w:val="auto"/>
          <w:sz w:val="24"/>
        </w:rPr>
      </w:pPr>
    </w:p>
    <w:p w14:paraId="62334C24">
      <w:pPr>
        <w:spacing w:line="360" w:lineRule="auto"/>
        <w:contextualSpacing/>
        <w:rPr>
          <w:rFonts w:hint="eastAsia" w:ascii="宋体" w:hAnsi="宋体"/>
          <w:color w:val="auto"/>
          <w:sz w:val="24"/>
        </w:rPr>
      </w:pPr>
    </w:p>
    <w:p w14:paraId="2427494D">
      <w:pPr>
        <w:spacing w:line="360" w:lineRule="auto"/>
        <w:ind w:firstLine="3840" w:firstLineChars="1600"/>
        <w:contextualSpacing/>
        <w:rPr>
          <w:rFonts w:hint="eastAsia" w:ascii="宋体" w:hAnsi="宋体"/>
          <w:color w:val="auto"/>
          <w:sz w:val="24"/>
        </w:rPr>
      </w:pPr>
      <w:r>
        <w:rPr>
          <w:rFonts w:hint="eastAsia" w:ascii="宋体" w:hAnsi="宋体"/>
          <w:color w:val="auto"/>
          <w:sz w:val="24"/>
        </w:rPr>
        <w:t>供应商名称（电子签章）：</w:t>
      </w:r>
    </w:p>
    <w:p w14:paraId="4A90F37A">
      <w:pPr>
        <w:spacing w:line="360" w:lineRule="auto"/>
        <w:ind w:firstLine="4320" w:firstLineChars="1800"/>
        <w:contextualSpacing/>
        <w:rPr>
          <w:rFonts w:hint="eastAsia" w:ascii="宋体" w:hAnsi="宋体"/>
          <w:color w:val="auto"/>
          <w:sz w:val="24"/>
        </w:rPr>
      </w:pPr>
      <w:r>
        <w:rPr>
          <w:rFonts w:hint="eastAsia" w:ascii="宋体" w:hAnsi="宋体"/>
          <w:color w:val="auto"/>
          <w:sz w:val="24"/>
        </w:rPr>
        <w:t>日  期：     年   月   日</w:t>
      </w:r>
    </w:p>
    <w:p w14:paraId="5EB59D48">
      <w:pPr>
        <w:spacing w:line="360" w:lineRule="auto"/>
        <w:contextualSpacing/>
        <w:rPr>
          <w:rFonts w:hint="eastAsia" w:ascii="宋体" w:hAnsi="宋体"/>
          <w:color w:val="auto"/>
          <w:sz w:val="24"/>
        </w:rPr>
      </w:pPr>
    </w:p>
    <w:p w14:paraId="65FC0302">
      <w:pPr>
        <w:spacing w:line="360" w:lineRule="auto"/>
        <w:contextualSpacing/>
        <w:rPr>
          <w:rFonts w:hint="eastAsia" w:ascii="宋体" w:hAnsi="宋体"/>
          <w:color w:val="auto"/>
          <w:sz w:val="24"/>
        </w:rPr>
      </w:pPr>
    </w:p>
    <w:p w14:paraId="2433B5CD">
      <w:pPr>
        <w:spacing w:line="360" w:lineRule="auto"/>
        <w:contextualSpacing/>
        <w:rPr>
          <w:rFonts w:hint="eastAsia" w:ascii="宋体" w:hAnsi="宋体"/>
          <w:color w:val="auto"/>
          <w:sz w:val="24"/>
        </w:rPr>
      </w:pPr>
    </w:p>
    <w:p w14:paraId="19DA656C">
      <w:pPr>
        <w:spacing w:line="360" w:lineRule="auto"/>
        <w:contextualSpacing/>
        <w:rPr>
          <w:rFonts w:hint="eastAsia" w:ascii="宋体" w:hAnsi="宋体"/>
          <w:color w:val="auto"/>
          <w:sz w:val="24"/>
        </w:rPr>
      </w:pPr>
      <w:r>
        <w:rPr>
          <w:rFonts w:hint="eastAsia" w:ascii="宋体" w:hAnsi="宋体"/>
          <w:color w:val="auto"/>
          <w:sz w:val="24"/>
        </w:rPr>
        <w:t>注：请根据自己的真实情况出具《残疾人福利性单位声明函》。依法享受中小企业优惠政策的，采购人或者采购代理机构在公告中标结果时，同时公告其《残疾人福利性单位声明函》，接受社会监督。</w:t>
      </w:r>
    </w:p>
    <w:p w14:paraId="5F760366">
      <w:pPr>
        <w:spacing w:line="520" w:lineRule="exact"/>
        <w:jc w:val="center"/>
        <w:rPr>
          <w:rFonts w:ascii="宋体" w:hAnsi="宋体"/>
          <w:color w:val="auto"/>
          <w:sz w:val="24"/>
        </w:rPr>
      </w:pPr>
    </w:p>
    <w:p w14:paraId="74AC5F60">
      <w:pPr>
        <w:spacing w:line="520" w:lineRule="exact"/>
        <w:jc w:val="center"/>
        <w:rPr>
          <w:rFonts w:ascii="宋体" w:hAnsi="宋体"/>
          <w:color w:val="auto"/>
          <w:sz w:val="24"/>
        </w:rPr>
      </w:pPr>
    </w:p>
    <w:p w14:paraId="1D4EC372">
      <w:pPr>
        <w:spacing w:line="520" w:lineRule="exact"/>
        <w:jc w:val="center"/>
        <w:rPr>
          <w:rFonts w:ascii="宋体" w:hAnsi="宋体"/>
          <w:color w:val="auto"/>
          <w:sz w:val="24"/>
        </w:rPr>
      </w:pPr>
    </w:p>
    <w:p w14:paraId="07AE0D15">
      <w:pPr>
        <w:spacing w:line="520" w:lineRule="exact"/>
        <w:jc w:val="center"/>
        <w:rPr>
          <w:rFonts w:ascii="宋体" w:hAnsi="宋体"/>
          <w:color w:val="auto"/>
          <w:sz w:val="24"/>
        </w:rPr>
      </w:pPr>
    </w:p>
    <w:p w14:paraId="71B9DDA7">
      <w:pPr>
        <w:spacing w:line="520" w:lineRule="exact"/>
        <w:jc w:val="center"/>
        <w:rPr>
          <w:rFonts w:ascii="宋体" w:hAnsi="宋体"/>
          <w:color w:val="auto"/>
          <w:sz w:val="24"/>
        </w:rPr>
      </w:pPr>
    </w:p>
    <w:p w14:paraId="50827731">
      <w:pPr>
        <w:spacing w:line="520" w:lineRule="exact"/>
        <w:jc w:val="center"/>
        <w:rPr>
          <w:rFonts w:ascii="宋体" w:hAnsi="宋体"/>
          <w:color w:val="auto"/>
          <w:sz w:val="24"/>
        </w:rPr>
      </w:pPr>
    </w:p>
    <w:p w14:paraId="2819B52F">
      <w:pPr>
        <w:tabs>
          <w:tab w:val="left" w:pos="3261"/>
        </w:tabs>
        <w:spacing w:line="360" w:lineRule="auto"/>
        <w:contextualSpacing/>
        <w:rPr>
          <w:rFonts w:ascii="宋体" w:hAnsi="宋体"/>
          <w:b/>
          <w:color w:val="auto"/>
          <w:sz w:val="44"/>
          <w:szCs w:val="44"/>
        </w:rPr>
      </w:pPr>
    </w:p>
    <w:sectPr>
      <w:pgSz w:w="11911" w:h="16838"/>
      <w:pgMar w:top="1134" w:right="1134" w:bottom="1134" w:left="1134" w:header="720" w:footer="720" w:gutter="0"/>
      <w:cols w:space="720" w:num="1"/>
      <w:titlePg/>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Cambria Math">
    <w:panose1 w:val="02040503050406030204"/>
    <w:charset w:val="00"/>
    <w:family w:val="roman"/>
    <w:pitch w:val="default"/>
    <w:sig w:usb0="E00006FF" w:usb1="420024FF" w:usb2="02000000" w:usb3="00000000" w:csb0="2000019F" w:csb1="00000000"/>
  </w:font>
  <w:font w:name="Segoe UI Symbol">
    <w:panose1 w:val="020B0502040204020203"/>
    <w:charset w:val="00"/>
    <w:family w:val="swiss"/>
    <w:pitch w:val="default"/>
    <w:sig w:usb0="800001E3" w:usb1="1200FFEF" w:usb2="00040000" w:usb3="04000000" w:csb0="00000001" w:csb1="40000000"/>
  </w:font>
  <w:font w:name="MingLiU">
    <w:altName w:val="Microsoft JhengHei"/>
    <w:panose1 w:val="02010609000101010101"/>
    <w:charset w:val="88"/>
    <w:family w:val="modern"/>
    <w:pitch w:val="default"/>
    <w:sig w:usb0="00000000" w:usb1="00000000" w:usb2="00000010" w:usb3="00000000" w:csb0="00100000" w:csb1="00000000"/>
  </w:font>
  <w:font w:name="方正小标宋简体">
    <w:altName w:val="微软雅黑"/>
    <w:panose1 w:val="02010601030101010101"/>
    <w:charset w:val="86"/>
    <w:family w:val="auto"/>
    <w:pitch w:val="default"/>
    <w:sig w:usb0="00000000" w:usb1="00000000" w:usb2="00000000" w:usb3="00000000" w:csb0="00040000" w:csb1="00000000"/>
  </w:font>
  <w:font w:name="Microsoft JhengHe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272B8">
    <w:pPr>
      <w:pStyle w:val="37"/>
      <w:tabs>
        <w:tab w:val="clear" w:pos="4153"/>
        <w:tab w:val="clear" w:pos="8306"/>
      </w:tabs>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_x0000_s716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292D5B43">
                          <w:pPr>
                            <w:pStyle w:val="37"/>
                            <w:tabs>
                              <w:tab w:val="clear" w:pos="4153"/>
                              <w:tab w:val="clear" w:pos="8306"/>
                            </w:tabs>
                            <w:jc w:val="center"/>
                          </w:pPr>
                          <w:r>
                            <w:fldChar w:fldCharType="begin"/>
                          </w:r>
                          <w:r>
                            <w:instrText xml:space="preserve"> PAGE  \* MERGEFORMAT </w:instrText>
                          </w:r>
                          <w:r>
                            <w:fldChar w:fldCharType="separate"/>
                          </w:r>
                          <w:r>
                            <w:t>4</w:t>
                          </w:r>
                          <w:r>
                            <w:fldChar w:fldCharType="end"/>
                          </w:r>
                        </w:p>
                        <w:p w14:paraId="73D82650"/>
                      </w:txbxContent>
                    </wps:txbx>
                    <wps:bodyPr rot="0" vert="horz" wrap="square" lIns="91440" tIns="45720" rIns="91440" bIns="45720" anchor="t" anchorCtr="0"/>
                  </wps:wsp>
                </a:graphicData>
              </a:graphic>
            </wp:anchor>
          </w:drawing>
        </mc:Choice>
        <mc:Fallback>
          <w:pict>
            <v:rect id="_x0000_s7169"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jGzwTTAAAABQEAAA8AAAAAAAAAAQAgAAAAIgAAAGRycy9kb3ducmV2LnhtbFBLAQIUABQA&#10;AAAIAIdO4kAsSVU5vAEAAIcDAAAOAAAAAAAAAAEAIAAAACIBAABkcnMvZTJvRG9jLnhtbFBLBQYA&#10;AAAABgAGAFkBAABQBQAAAAA=&#10;">
              <v:fill on="f" focussize="0,0"/>
              <v:stroke on="f"/>
              <v:imagedata o:title=""/>
              <o:lock v:ext="edit" aspectratio="f"/>
              <v:textbox>
                <w:txbxContent>
                  <w:p w14:paraId="292D5B43">
                    <w:pPr>
                      <w:pStyle w:val="37"/>
                      <w:tabs>
                        <w:tab w:val="clear" w:pos="4153"/>
                        <w:tab w:val="clear" w:pos="8306"/>
                      </w:tabs>
                      <w:jc w:val="center"/>
                    </w:pPr>
                    <w:r>
                      <w:fldChar w:fldCharType="begin"/>
                    </w:r>
                    <w:r>
                      <w:instrText xml:space="preserve"> PAGE  \* MERGEFORMAT </w:instrText>
                    </w:r>
                    <w:r>
                      <w:fldChar w:fldCharType="separate"/>
                    </w:r>
                    <w:r>
                      <w:t>4</w:t>
                    </w:r>
                    <w:r>
                      <w:fldChar w:fldCharType="end"/>
                    </w:r>
                  </w:p>
                  <w:p w14:paraId="73D82650"/>
                </w:txbxContent>
              </v:textbox>
            </v:rect>
          </w:pict>
        </mc:Fallback>
      </mc:AlternateContent>
    </w:r>
  </w:p>
  <w:p w14:paraId="1EE8B960">
    <w:pPr>
      <w:pStyle w:val="37"/>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A7CC2">
    <w:pPr>
      <w:pStyle w:val="37"/>
      <w:tabs>
        <w:tab w:val="clear" w:pos="4153"/>
        <w:tab w:val="clear" w:pos="8306"/>
      </w:tabs>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_x0000_s7170"/>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663A46EF">
                          <w:pPr>
                            <w:pStyle w:val="37"/>
                            <w:tabs>
                              <w:tab w:val="clear" w:pos="4153"/>
                              <w:tab w:val="clear"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p w14:paraId="6CB37BD8"/>
                      </w:txbxContent>
                    </wps:txbx>
                    <wps:bodyPr rot="0" vert="horz" wrap="square" lIns="91440" tIns="45720" rIns="91440" bIns="45720" anchor="t" anchorCtr="0"/>
                  </wps:wsp>
                </a:graphicData>
              </a:graphic>
            </wp:anchor>
          </w:drawing>
        </mc:Choice>
        <mc:Fallback>
          <w:pict>
            <v:rect id="_x0000_s7170"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0OWGvboBAACHAwAADgAAAAAAAAABACAAAAAiAQAAZHJzL2Uyb0RvYy54bWxQSwUGAAAA&#10;AAYABgBZAQAATgUAAAAA&#10;">
              <v:fill on="f" focussize="0,0"/>
              <v:stroke on="f"/>
              <v:imagedata o:title=""/>
              <o:lock v:ext="edit" aspectratio="f"/>
              <v:textbox>
                <w:txbxContent>
                  <w:p w14:paraId="663A46EF">
                    <w:pPr>
                      <w:pStyle w:val="37"/>
                      <w:tabs>
                        <w:tab w:val="clear" w:pos="4153"/>
                        <w:tab w:val="clear"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p w14:paraId="6CB37BD8"/>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E8F54">
    <w:pPr>
      <w:pStyle w:val="39"/>
      <w:pBdr>
        <w:bottom w:val="none" w:color="auto" w:sz="0" w:space="1"/>
      </w:pBdr>
      <w:tabs>
        <w:tab w:val="clear" w:pos="4153"/>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C2DC5">
    <w:pPr>
      <w:pStyle w:val="39"/>
      <w:pBdr>
        <w:bottom w:val="none" w:color="auto" w:sz="0" w:space="1"/>
      </w:pBdr>
      <w:tabs>
        <w:tab w:val="clear" w:pos="4153"/>
        <w:tab w:val="clear" w:pos="8306"/>
      </w:tabs>
      <w:jc w:val="both"/>
      <w:rPr>
        <w:u w:val="single"/>
      </w:rPr>
    </w:pPr>
  </w:p>
  <w:p w14:paraId="4339418F">
    <w:pPr>
      <w:pStyle w:val="39"/>
      <w:pBdr>
        <w:bottom w:val="none" w:color="auto" w:sz="0" w:space="1"/>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04106"/>
    <w:multiLevelType w:val="singleLevel"/>
    <w:tmpl w:val="89104106"/>
    <w:lvl w:ilvl="0" w:tentative="0">
      <w:start w:val="1"/>
      <w:numFmt w:val="decimal"/>
      <w:suff w:val="nothing"/>
      <w:lvlText w:val="%1、"/>
      <w:lvlJc w:val="left"/>
    </w:lvl>
  </w:abstractNum>
  <w:abstractNum w:abstractNumId="1">
    <w:nsid w:val="998F06FA"/>
    <w:multiLevelType w:val="singleLevel"/>
    <w:tmpl w:val="998F06FA"/>
    <w:lvl w:ilvl="0" w:tentative="0">
      <w:start w:val="2"/>
      <w:numFmt w:val="chineseCounting"/>
      <w:suff w:val="nothing"/>
      <w:lvlText w:val="%1、"/>
      <w:lvlJc w:val="left"/>
      <w:rPr>
        <w:rFonts w:hint="eastAsia"/>
      </w:rPr>
    </w:lvl>
  </w:abstractNum>
  <w:abstractNum w:abstractNumId="2">
    <w:nsid w:val="BF57562B"/>
    <w:multiLevelType w:val="singleLevel"/>
    <w:tmpl w:val="BF57562B"/>
    <w:lvl w:ilvl="0" w:tentative="0">
      <w:start w:val="7"/>
      <w:numFmt w:val="decimal"/>
      <w:lvlText w:val="%1."/>
      <w:lvlJc w:val="left"/>
      <w:pPr>
        <w:tabs>
          <w:tab w:val="left" w:pos="312"/>
        </w:tabs>
      </w:pPr>
    </w:lvl>
  </w:abstractNum>
  <w:abstractNum w:abstractNumId="3">
    <w:nsid w:val="D0600D05"/>
    <w:multiLevelType w:val="singleLevel"/>
    <w:tmpl w:val="D0600D05"/>
    <w:lvl w:ilvl="0" w:tentative="0">
      <w:start w:val="1"/>
      <w:numFmt w:val="decimal"/>
      <w:suff w:val="nothing"/>
      <w:lvlText w:val="%1、"/>
      <w:lvlJc w:val="left"/>
    </w:lvl>
  </w:abstractNum>
  <w:abstractNum w:abstractNumId="4">
    <w:nsid w:val="FD411B6C"/>
    <w:multiLevelType w:val="singleLevel"/>
    <w:tmpl w:val="FD411B6C"/>
    <w:lvl w:ilvl="0" w:tentative="0">
      <w:start w:val="5"/>
      <w:numFmt w:val="chineseCounting"/>
      <w:suff w:val="space"/>
      <w:lvlText w:val="第%1章"/>
      <w:lvlJc w:val="left"/>
      <w:rPr>
        <w:rFonts w:hint="eastAsia"/>
      </w:rPr>
    </w:lvl>
  </w:abstractNum>
  <w:abstractNum w:abstractNumId="5">
    <w:nsid w:val="00000003"/>
    <w:multiLevelType w:val="multilevel"/>
    <w:tmpl w:val="00000003"/>
    <w:lvl w:ilvl="0" w:tentative="0">
      <w:start w:val="1"/>
      <w:numFmt w:val="decimal"/>
      <w:lvlText w:val="（%1）"/>
      <w:lvlJc w:val="left"/>
      <w:pPr>
        <w:tabs>
          <w:tab w:val="left" w:pos="1140"/>
        </w:tabs>
        <w:ind w:left="114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654B0D84"/>
    <w:multiLevelType w:val="singleLevel"/>
    <w:tmpl w:val="654B0D84"/>
    <w:lvl w:ilvl="0" w:tentative="0">
      <w:start w:val="1"/>
      <w:numFmt w:val="decimal"/>
      <w:lvlText w:val="%1."/>
      <w:lvlJc w:val="left"/>
      <w:pPr>
        <w:tabs>
          <w:tab w:val="left" w:pos="312"/>
        </w:tabs>
      </w:pPr>
    </w:lvl>
  </w:abstractNum>
  <w:abstractNum w:abstractNumId="8">
    <w:nsid w:val="7D074E55"/>
    <w:multiLevelType w:val="multilevel"/>
    <w:tmpl w:val="7D074E55"/>
    <w:lvl w:ilvl="0" w:tentative="0">
      <w:start w:val="22"/>
      <w:numFmt w:val="decimal"/>
      <w:lvlText w:val="%1"/>
      <w:lvlJc w:val="left"/>
      <w:pPr>
        <w:ind w:left="964" w:hanging="540"/>
      </w:pPr>
      <w:rPr>
        <w:lang w:val="zh-CN" w:eastAsia="zh-CN" w:bidi="zh-CN"/>
      </w:rPr>
    </w:lvl>
    <w:lvl w:ilvl="1" w:tentative="0">
      <w:start w:val="1"/>
      <w:numFmt w:val="decimal"/>
      <w:lvlText w:val="%1.%2"/>
      <w:lvlJc w:val="left"/>
      <w:pPr>
        <w:ind w:left="964" w:hanging="540"/>
      </w:pPr>
      <w:rPr>
        <w:rFonts w:ascii="Times New Roman" w:hAnsi="Times New Roman" w:eastAsia="Times New Roman"/>
        <w:spacing w:val="-1"/>
        <w:w w:val="100"/>
        <w:sz w:val="24"/>
        <w:szCs w:val="24"/>
        <w:lang w:val="zh-CN" w:eastAsia="zh-CN" w:bidi="zh-CN"/>
      </w:rPr>
    </w:lvl>
    <w:lvl w:ilvl="2" w:tentative="0">
      <w:start w:val="2"/>
      <w:numFmt w:val="decimal"/>
      <w:lvlText w:val="%1.%2.%3"/>
      <w:lvlJc w:val="left"/>
      <w:pPr>
        <w:ind w:left="424" w:hanging="720"/>
      </w:pPr>
      <w:rPr>
        <w:rFonts w:ascii="Times New Roman" w:hAnsi="Times New Roman" w:eastAsia="Times New Roman"/>
        <w:spacing w:val="-43"/>
        <w:w w:val="100"/>
        <w:sz w:val="24"/>
        <w:szCs w:val="24"/>
        <w:lang w:val="zh-CN" w:eastAsia="zh-CN" w:bidi="zh-CN"/>
      </w:rPr>
    </w:lvl>
    <w:lvl w:ilvl="3" w:tentative="0">
      <w:start w:val="1"/>
      <w:numFmt w:val="decimal"/>
      <w:lvlText w:val="%4."/>
      <w:lvlJc w:val="left"/>
      <w:pPr>
        <w:ind w:left="424" w:hanging="300"/>
      </w:pPr>
      <w:rPr>
        <w:rFonts w:ascii="Times New Roman" w:hAnsi="Times New Roman" w:eastAsia="Times New Roman"/>
        <w:spacing w:val="-48"/>
        <w:w w:val="99"/>
        <w:sz w:val="24"/>
        <w:szCs w:val="24"/>
        <w:lang w:val="zh-CN" w:eastAsia="zh-CN" w:bidi="zh-CN"/>
      </w:rPr>
    </w:lvl>
    <w:lvl w:ilvl="4" w:tentative="0">
      <w:start w:val="0"/>
      <w:numFmt w:val="bullet"/>
      <w:lvlText w:val="•"/>
      <w:lvlJc w:val="left"/>
      <w:pPr>
        <w:ind w:left="3802" w:hanging="300"/>
      </w:pPr>
      <w:rPr>
        <w:lang w:val="zh-CN" w:eastAsia="zh-CN" w:bidi="zh-CN"/>
      </w:rPr>
    </w:lvl>
    <w:lvl w:ilvl="5" w:tentative="0">
      <w:start w:val="0"/>
      <w:numFmt w:val="bullet"/>
      <w:lvlText w:val="•"/>
      <w:lvlJc w:val="left"/>
      <w:pPr>
        <w:ind w:left="4749" w:hanging="300"/>
      </w:pPr>
      <w:rPr>
        <w:lang w:val="zh-CN" w:eastAsia="zh-CN" w:bidi="zh-CN"/>
      </w:rPr>
    </w:lvl>
    <w:lvl w:ilvl="6" w:tentative="0">
      <w:start w:val="0"/>
      <w:numFmt w:val="bullet"/>
      <w:lvlText w:val="•"/>
      <w:lvlJc w:val="left"/>
      <w:pPr>
        <w:ind w:left="5696" w:hanging="300"/>
      </w:pPr>
      <w:rPr>
        <w:lang w:val="zh-CN" w:eastAsia="zh-CN" w:bidi="zh-CN"/>
      </w:rPr>
    </w:lvl>
    <w:lvl w:ilvl="7" w:tentative="0">
      <w:start w:val="0"/>
      <w:numFmt w:val="bullet"/>
      <w:lvlText w:val="•"/>
      <w:lvlJc w:val="left"/>
      <w:pPr>
        <w:ind w:left="6644" w:hanging="300"/>
      </w:pPr>
      <w:rPr>
        <w:lang w:val="zh-CN" w:eastAsia="zh-CN" w:bidi="zh-CN"/>
      </w:rPr>
    </w:lvl>
    <w:lvl w:ilvl="8" w:tentative="0">
      <w:start w:val="0"/>
      <w:numFmt w:val="bullet"/>
      <w:lvlText w:val="•"/>
      <w:lvlJc w:val="left"/>
      <w:pPr>
        <w:ind w:left="7591" w:hanging="300"/>
      </w:pPr>
      <w:rPr>
        <w:lang w:val="zh-CN" w:eastAsia="zh-CN" w:bidi="zh-CN"/>
      </w:rPr>
    </w:lvl>
  </w:abstractNum>
  <w:abstractNum w:abstractNumId="9">
    <w:nsid w:val="7D074E56"/>
    <w:multiLevelType w:val="multilevel"/>
    <w:tmpl w:val="7D074E56"/>
    <w:lvl w:ilvl="0" w:tentative="0">
      <w:start w:val="1"/>
      <w:numFmt w:val="decimal"/>
      <w:lvlText w:val="%1."/>
      <w:lvlJc w:val="left"/>
      <w:rPr>
        <w:rFonts w:ascii="MingLiU" w:hAnsi="MingLiU" w:eastAsia="MingLiU"/>
        <w:b w:val="0"/>
        <w:bCs w:val="0"/>
        <w:i w:val="0"/>
        <w:iCs w:val="0"/>
        <w:color w:val="000000"/>
        <w:spacing w:val="0"/>
        <w:w w:val="100"/>
        <w:sz w:val="22"/>
        <w:szCs w:val="22"/>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7D074E57"/>
    <w:multiLevelType w:val="multilevel"/>
    <w:tmpl w:val="7D074E57"/>
    <w:lvl w:ilvl="0" w:tentative="0">
      <w:start w:val="1"/>
      <w:numFmt w:val="decimal"/>
      <w:lvlText w:val="(%1)"/>
      <w:lvlJc w:val="left"/>
      <w:rPr>
        <w:rFonts w:ascii="MingLiU" w:hAnsi="MingLiU" w:eastAsia="MingLiU"/>
        <w:b w:val="0"/>
        <w:bCs w:val="0"/>
        <w:i w:val="0"/>
        <w:iCs w:val="0"/>
        <w:color w:val="000000"/>
        <w:spacing w:val="0"/>
        <w:w w:val="100"/>
        <w:sz w:val="22"/>
        <w:szCs w:val="22"/>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7D074E58"/>
    <w:multiLevelType w:val="multilevel"/>
    <w:tmpl w:val="7D074E58"/>
    <w:lvl w:ilvl="0" w:tentative="0">
      <w:start w:val="1"/>
      <w:numFmt w:val="decimal"/>
      <w:lvlText w:val="(%1)"/>
      <w:lvlJc w:val="left"/>
      <w:rPr>
        <w:rFonts w:ascii="MingLiU" w:hAnsi="MingLiU" w:eastAsia="MingLiU"/>
        <w:b w:val="0"/>
        <w:bCs w:val="0"/>
        <w:i w:val="0"/>
        <w:iCs w:val="0"/>
        <w:color w:val="000000"/>
        <w:spacing w:val="0"/>
        <w:w w:val="100"/>
        <w:sz w:val="22"/>
        <w:szCs w:val="22"/>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7D074E59"/>
    <w:multiLevelType w:val="multilevel"/>
    <w:tmpl w:val="7D074E59"/>
    <w:lvl w:ilvl="0" w:tentative="0">
      <w:start w:val="1"/>
      <w:numFmt w:val="decimal"/>
      <w:lvlText w:val="(%1)"/>
      <w:lvlJc w:val="left"/>
      <w:rPr>
        <w:rFonts w:ascii="MingLiU" w:hAnsi="MingLiU" w:eastAsia="MingLiU"/>
        <w:b w:val="0"/>
        <w:bCs w:val="0"/>
        <w:i w:val="0"/>
        <w:iCs w:val="0"/>
        <w:color w:val="000000"/>
        <w:spacing w:val="0"/>
        <w:w w:val="100"/>
        <w:sz w:val="22"/>
        <w:szCs w:val="22"/>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7D074E5A"/>
    <w:multiLevelType w:val="multilevel"/>
    <w:tmpl w:val="7D074E5A"/>
    <w:lvl w:ilvl="0" w:tentative="0">
      <w:start w:val="1"/>
      <w:numFmt w:val="decimal"/>
      <w:lvlText w:val="(%1)"/>
      <w:lvlJc w:val="left"/>
      <w:rPr>
        <w:rFonts w:ascii="MingLiU" w:hAnsi="MingLiU" w:eastAsia="MingLiU"/>
        <w:b w:val="0"/>
        <w:bCs w:val="0"/>
        <w:i w:val="0"/>
        <w:iCs w:val="0"/>
        <w:color w:val="000000"/>
        <w:spacing w:val="0"/>
        <w:w w:val="100"/>
        <w:sz w:val="22"/>
        <w:szCs w:val="22"/>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7D074E5B"/>
    <w:multiLevelType w:val="multilevel"/>
    <w:tmpl w:val="7D074E5B"/>
    <w:lvl w:ilvl="0" w:tentative="0">
      <w:start w:val="1"/>
      <w:numFmt w:val="decimal"/>
      <w:lvlText w:val="%1."/>
      <w:lvlJc w:val="left"/>
      <w:rPr>
        <w:rFonts w:ascii="MingLiU" w:hAnsi="MingLiU" w:eastAsia="MingLiU"/>
        <w:b w:val="0"/>
        <w:bCs w:val="0"/>
        <w:i w:val="0"/>
        <w:iCs w:val="0"/>
        <w:color w:val="000000"/>
        <w:spacing w:val="0"/>
        <w:w w:val="100"/>
        <w:sz w:val="22"/>
        <w:szCs w:val="22"/>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7D074E5C"/>
    <w:multiLevelType w:val="multilevel"/>
    <w:tmpl w:val="7D074E5C"/>
    <w:lvl w:ilvl="0" w:tentative="0">
      <w:start w:val="1"/>
      <w:numFmt w:val="decimal"/>
      <w:lvlText w:val="(%1)"/>
      <w:lvlJc w:val="left"/>
      <w:rPr>
        <w:rFonts w:ascii="MingLiU" w:hAnsi="MingLiU" w:eastAsia="MingLiU"/>
        <w:b w:val="0"/>
        <w:bCs w:val="0"/>
        <w:i w:val="0"/>
        <w:iCs w:val="0"/>
        <w:color w:val="000000"/>
        <w:spacing w:val="0"/>
        <w:w w:val="100"/>
        <w:sz w:val="22"/>
        <w:szCs w:val="22"/>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7D074E5D"/>
    <w:multiLevelType w:val="multilevel"/>
    <w:tmpl w:val="7D074E5D"/>
    <w:lvl w:ilvl="0" w:tentative="0">
      <w:start w:val="1"/>
      <w:numFmt w:val="decimal"/>
      <w:lvlText w:val="(%1)"/>
      <w:lvlJc w:val="left"/>
      <w:rPr>
        <w:rFonts w:ascii="MingLiU" w:hAnsi="MingLiU" w:eastAsia="MingLiU"/>
        <w:b w:val="0"/>
        <w:bCs w:val="0"/>
        <w:i w:val="0"/>
        <w:iCs w:val="0"/>
        <w:color w:val="000000"/>
        <w:spacing w:val="0"/>
        <w:w w:val="100"/>
        <w:sz w:val="22"/>
        <w:szCs w:val="22"/>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7D074E5E"/>
    <w:multiLevelType w:val="multilevel"/>
    <w:tmpl w:val="7D074E5E"/>
    <w:lvl w:ilvl="0" w:tentative="0">
      <w:start w:val="1"/>
      <w:numFmt w:val="decimal"/>
      <w:lvlText w:val="%1."/>
      <w:lvlJc w:val="left"/>
      <w:rPr>
        <w:rFonts w:ascii="MingLiU" w:hAnsi="MingLiU" w:eastAsia="MingLiU"/>
        <w:b w:val="0"/>
        <w:bCs w:val="0"/>
        <w:i w:val="0"/>
        <w:iCs w:val="0"/>
        <w:color w:val="000000"/>
        <w:spacing w:val="0"/>
        <w:w w:val="100"/>
        <w:sz w:val="22"/>
        <w:szCs w:val="22"/>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7D074E5F"/>
    <w:multiLevelType w:val="multilevel"/>
    <w:tmpl w:val="7D074E5F"/>
    <w:lvl w:ilvl="0" w:tentative="0">
      <w:start w:val="1"/>
      <w:numFmt w:val="decimal"/>
      <w:lvlText w:val="%1."/>
      <w:lvlJc w:val="left"/>
      <w:rPr>
        <w:rFonts w:ascii="MingLiU" w:hAnsi="MingLiU" w:eastAsia="MingLiU"/>
        <w:b w:val="0"/>
        <w:bCs w:val="0"/>
        <w:i w:val="0"/>
        <w:iCs w:val="0"/>
        <w:color w:val="000000"/>
        <w:spacing w:val="0"/>
        <w:w w:val="100"/>
        <w:sz w:val="22"/>
        <w:szCs w:val="22"/>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7D074E60"/>
    <w:multiLevelType w:val="multilevel"/>
    <w:tmpl w:val="7D074E60"/>
    <w:lvl w:ilvl="0" w:tentative="0">
      <w:start w:val="1"/>
      <w:numFmt w:val="decimal"/>
      <w:lvlText w:val="(%1)"/>
      <w:lvlJc w:val="left"/>
      <w:rPr>
        <w:rFonts w:ascii="MingLiU" w:hAnsi="MingLiU" w:eastAsia="MingLiU"/>
        <w:b w:val="0"/>
        <w:bCs w:val="0"/>
        <w:i w:val="0"/>
        <w:iCs w:val="0"/>
        <w:color w:val="000000"/>
        <w:spacing w:val="0"/>
        <w:w w:val="100"/>
        <w:sz w:val="22"/>
        <w:szCs w:val="22"/>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7D074E61"/>
    <w:multiLevelType w:val="multilevel"/>
    <w:tmpl w:val="7D074E61"/>
    <w:lvl w:ilvl="0" w:tentative="0">
      <w:start w:val="1"/>
      <w:numFmt w:val="decimal"/>
      <w:lvlText w:val="(%1)"/>
      <w:lvlJc w:val="left"/>
      <w:rPr>
        <w:rFonts w:ascii="MingLiU" w:hAnsi="MingLiU" w:eastAsia="MingLiU"/>
        <w:b w:val="0"/>
        <w:bCs w:val="0"/>
        <w:i w:val="0"/>
        <w:iCs w:val="0"/>
        <w:color w:val="000000"/>
        <w:spacing w:val="0"/>
        <w:w w:val="100"/>
        <w:sz w:val="22"/>
        <w:szCs w:val="22"/>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
    <w:nsid w:val="7D074E62"/>
    <w:multiLevelType w:val="multilevel"/>
    <w:tmpl w:val="7D074E62"/>
    <w:lvl w:ilvl="0" w:tentative="0">
      <w:start w:val="1"/>
      <w:numFmt w:val="decimal"/>
      <w:lvlText w:val="(%1)"/>
      <w:lvlJc w:val="left"/>
      <w:rPr>
        <w:rFonts w:ascii="MingLiU" w:hAnsi="MingLiU" w:eastAsia="MingLiU"/>
        <w:b w:val="0"/>
        <w:bCs w:val="0"/>
        <w:i w:val="0"/>
        <w:iCs w:val="0"/>
        <w:color w:val="000000"/>
        <w:spacing w:val="0"/>
        <w:w w:val="100"/>
        <w:sz w:val="22"/>
        <w:szCs w:val="22"/>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7D074E63"/>
    <w:multiLevelType w:val="multilevel"/>
    <w:tmpl w:val="7D074E63"/>
    <w:lvl w:ilvl="0" w:tentative="0">
      <w:start w:val="1"/>
      <w:numFmt w:val="decimal"/>
      <w:lvlText w:val="(%1)"/>
      <w:lvlJc w:val="left"/>
      <w:rPr>
        <w:rFonts w:ascii="MingLiU" w:hAnsi="MingLiU" w:eastAsia="MingLiU"/>
        <w:b w:val="0"/>
        <w:bCs w:val="0"/>
        <w:i w:val="0"/>
        <w:iCs w:val="0"/>
        <w:color w:val="000000"/>
        <w:spacing w:val="0"/>
        <w:w w:val="100"/>
        <w:sz w:val="22"/>
        <w:szCs w:val="22"/>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7"/>
  </w:num>
  <w:num w:numId="2">
    <w:abstractNumId w:val="0"/>
  </w:num>
  <w:num w:numId="3">
    <w:abstractNumId w:val="4"/>
  </w:num>
  <w:num w:numId="4">
    <w:abstractNumId w:val="8"/>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
  </w:num>
  <w:num w:numId="20">
    <w:abstractNumId w:val="3"/>
  </w:num>
  <w:num w:numId="21">
    <w:abstractNumId w:val="5"/>
  </w:num>
  <w:num w:numId="22">
    <w:abstractNumId w:val="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iMzZkZWRiNTYzMWQzOWU5NzViODllMWQ0NWQ2NDgifQ=="/>
  </w:docVars>
  <w:rsids>
    <w:rsidRoot w:val="00000000"/>
    <w:rsid w:val="06052E9F"/>
    <w:rsid w:val="0E5A6D2A"/>
    <w:rsid w:val="1B311E8A"/>
    <w:rsid w:val="1DA3354D"/>
    <w:rsid w:val="2B133A9B"/>
    <w:rsid w:val="3D643DA3"/>
    <w:rsid w:val="50F820D6"/>
    <w:rsid w:val="5CAB780A"/>
    <w:rsid w:val="623746B9"/>
    <w:rsid w:val="6BA64A02"/>
    <w:rsid w:val="75BC0472"/>
    <w:rsid w:val="76742E0A"/>
    <w:rsid w:val="775B21EA"/>
    <w:rsid w:val="7B4C43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5"/>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标题 11"/>
    <w:basedOn w:val="1"/>
    <w:link w:val="12"/>
    <w:qFormat/>
    <w:uiPriority w:val="0"/>
    <w:pPr>
      <w:keepNext/>
      <w:keepLines/>
      <w:spacing w:before="340" w:after="330" w:line="578" w:lineRule="auto"/>
      <w:outlineLvl w:val="0"/>
    </w:pPr>
    <w:rPr>
      <w:b/>
      <w:bCs/>
      <w:kern w:val="44"/>
      <w:sz w:val="44"/>
      <w:szCs w:val="44"/>
    </w:rPr>
  </w:style>
  <w:style w:type="paragraph" w:customStyle="1" w:styleId="5">
    <w:name w:val="标题 21"/>
    <w:basedOn w:val="1"/>
    <w:link w:val="13"/>
    <w:qFormat/>
    <w:uiPriority w:val="0"/>
    <w:pPr>
      <w:keepNext/>
      <w:keepLines/>
      <w:spacing w:before="260" w:after="260" w:line="416" w:lineRule="auto"/>
      <w:outlineLvl w:val="1"/>
    </w:pPr>
    <w:rPr>
      <w:rFonts w:ascii="Cambria" w:hAnsi="Cambria"/>
      <w:b/>
      <w:bCs/>
      <w:sz w:val="32"/>
      <w:szCs w:val="32"/>
    </w:rPr>
  </w:style>
  <w:style w:type="paragraph" w:customStyle="1" w:styleId="6">
    <w:name w:val="标题 31"/>
    <w:basedOn w:val="1"/>
    <w:link w:val="14"/>
    <w:qFormat/>
    <w:uiPriority w:val="0"/>
    <w:pPr>
      <w:keepNext/>
      <w:keepLines/>
      <w:spacing w:before="260" w:after="260" w:line="416" w:lineRule="auto"/>
      <w:outlineLvl w:val="2"/>
    </w:pPr>
    <w:rPr>
      <w:b/>
      <w:bCs/>
      <w:sz w:val="32"/>
      <w:szCs w:val="32"/>
    </w:rPr>
  </w:style>
  <w:style w:type="paragraph" w:customStyle="1" w:styleId="7">
    <w:name w:val="标题 51"/>
    <w:basedOn w:val="1"/>
    <w:link w:val="15"/>
    <w:qFormat/>
    <w:uiPriority w:val="0"/>
    <w:pPr>
      <w:keepNext/>
      <w:keepLines/>
      <w:spacing w:before="280" w:after="290" w:line="376" w:lineRule="auto"/>
      <w:outlineLvl w:val="4"/>
    </w:pPr>
    <w:rPr>
      <w:b/>
      <w:bCs/>
      <w:sz w:val="28"/>
      <w:szCs w:val="28"/>
    </w:rPr>
  </w:style>
  <w:style w:type="paragraph" w:customStyle="1" w:styleId="8">
    <w:name w:val="标题 61"/>
    <w:basedOn w:val="1"/>
    <w:qFormat/>
    <w:uiPriority w:val="0"/>
    <w:pPr>
      <w:keepNext/>
      <w:keepLines/>
      <w:spacing w:before="240" w:after="64" w:line="320" w:lineRule="auto"/>
      <w:outlineLvl w:val="5"/>
    </w:pPr>
    <w:rPr>
      <w:rFonts w:ascii="Arial" w:hAnsi="Arial" w:eastAsia="黑体"/>
      <w:b/>
      <w:sz w:val="24"/>
    </w:rPr>
  </w:style>
  <w:style w:type="paragraph" w:customStyle="1" w:styleId="9">
    <w:name w:val="标题 81"/>
    <w:basedOn w:val="1"/>
    <w:link w:val="17"/>
    <w:qFormat/>
    <w:uiPriority w:val="0"/>
    <w:pPr>
      <w:keepNext/>
      <w:keepLines/>
      <w:spacing w:before="240" w:after="64" w:line="320" w:lineRule="auto"/>
      <w:outlineLvl w:val="7"/>
    </w:pPr>
    <w:rPr>
      <w:rFonts w:ascii="等线 Light" w:hAnsi="等线 Light" w:eastAsia="等线 Light"/>
      <w:sz w:val="24"/>
    </w:rPr>
  </w:style>
  <w:style w:type="character" w:customStyle="1" w:styleId="10">
    <w:name w:val="默认段落字体1"/>
    <w:link w:val="1"/>
    <w:qFormat/>
    <w:uiPriority w:val="0"/>
  </w:style>
  <w:style w:type="table" w:customStyle="1" w:styleId="11">
    <w:name w:val="普通表格1"/>
    <w:qFormat/>
    <w:uiPriority w:val="0"/>
  </w:style>
  <w:style w:type="character" w:customStyle="1" w:styleId="12">
    <w:name w:val="标题 1 字符2"/>
    <w:link w:val="4"/>
    <w:qFormat/>
    <w:uiPriority w:val="0"/>
    <w:rPr>
      <w:b/>
      <w:bCs/>
      <w:kern w:val="44"/>
      <w:sz w:val="44"/>
      <w:szCs w:val="44"/>
    </w:rPr>
  </w:style>
  <w:style w:type="character" w:customStyle="1" w:styleId="13">
    <w:name w:val="标题 2 字符1"/>
    <w:link w:val="5"/>
    <w:qFormat/>
    <w:uiPriority w:val="0"/>
    <w:rPr>
      <w:rFonts w:ascii="Cambria" w:hAnsi="Cambria" w:eastAsia="宋体"/>
      <w:b/>
      <w:bCs/>
      <w:kern w:val="2"/>
      <w:sz w:val="32"/>
      <w:szCs w:val="32"/>
    </w:rPr>
  </w:style>
  <w:style w:type="character" w:customStyle="1" w:styleId="14">
    <w:name w:val="标题 3 字符1"/>
    <w:link w:val="6"/>
    <w:semiHidden/>
    <w:qFormat/>
    <w:uiPriority w:val="0"/>
    <w:rPr>
      <w:b/>
      <w:bCs/>
      <w:kern w:val="2"/>
      <w:sz w:val="32"/>
      <w:szCs w:val="32"/>
    </w:rPr>
  </w:style>
  <w:style w:type="character" w:customStyle="1" w:styleId="15">
    <w:name w:val="标题 5 字符1"/>
    <w:link w:val="7"/>
    <w:qFormat/>
    <w:uiPriority w:val="0"/>
    <w:rPr>
      <w:rFonts w:ascii="Times New Roman" w:hAnsi="Times New Roman"/>
      <w:b/>
      <w:bCs/>
      <w:kern w:val="2"/>
      <w:sz w:val="28"/>
      <w:szCs w:val="28"/>
    </w:rPr>
  </w:style>
  <w:style w:type="paragraph" w:customStyle="1" w:styleId="16">
    <w:name w:val="正文缩进11"/>
    <w:basedOn w:val="1"/>
    <w:qFormat/>
    <w:uiPriority w:val="0"/>
    <w:pPr>
      <w:ind w:firstLine="420"/>
    </w:pPr>
    <w:rPr>
      <w:szCs w:val="20"/>
    </w:rPr>
  </w:style>
  <w:style w:type="character" w:customStyle="1" w:styleId="17">
    <w:name w:val="标题 8 字符1"/>
    <w:link w:val="9"/>
    <w:semiHidden/>
    <w:qFormat/>
    <w:uiPriority w:val="0"/>
    <w:rPr>
      <w:rFonts w:ascii="等线 Light" w:hAnsi="等线 Light" w:eastAsia="等线 Light"/>
      <w:kern w:val="2"/>
      <w:sz w:val="24"/>
      <w:szCs w:val="24"/>
    </w:rPr>
  </w:style>
  <w:style w:type="paragraph" w:customStyle="1" w:styleId="18">
    <w:name w:val="索引 81"/>
    <w:basedOn w:val="1"/>
    <w:qFormat/>
    <w:uiPriority w:val="0"/>
    <w:pPr>
      <w:ind w:left="1680" w:hanging="210"/>
      <w:jc w:val="left"/>
    </w:pPr>
  </w:style>
  <w:style w:type="paragraph" w:customStyle="1" w:styleId="19">
    <w:name w:val="列表编号1"/>
    <w:basedOn w:val="1"/>
    <w:qFormat/>
    <w:uiPriority w:val="0"/>
    <w:pPr>
      <w:widowControl/>
      <w:tabs>
        <w:tab w:val="left" w:pos="454"/>
        <w:tab w:val="left" w:pos="720"/>
        <w:tab w:val="left" w:pos="840"/>
      </w:tabs>
      <w:spacing w:after="50"/>
      <w:ind w:left="454" w:hanging="284"/>
      <w:jc w:val="left"/>
    </w:pPr>
    <w:rPr>
      <w:kern w:val="0"/>
      <w:sz w:val="24"/>
      <w:szCs w:val="20"/>
    </w:rPr>
  </w:style>
  <w:style w:type="paragraph" w:customStyle="1" w:styleId="20">
    <w:name w:val="批注文字1"/>
    <w:basedOn w:val="1"/>
    <w:link w:val="21"/>
    <w:qFormat/>
    <w:uiPriority w:val="0"/>
    <w:pPr>
      <w:jc w:val="left"/>
    </w:pPr>
  </w:style>
  <w:style w:type="character" w:customStyle="1" w:styleId="21">
    <w:name w:val="批注文字 字符3"/>
    <w:link w:val="20"/>
    <w:qFormat/>
    <w:uiPriority w:val="0"/>
    <w:rPr>
      <w:rFonts w:ascii="Times New Roman" w:hAnsi="Times New Roman"/>
      <w:kern w:val="2"/>
      <w:sz w:val="21"/>
      <w:szCs w:val="24"/>
    </w:rPr>
  </w:style>
  <w:style w:type="paragraph" w:customStyle="1" w:styleId="22">
    <w:name w:val="正文文本 31"/>
    <w:basedOn w:val="1"/>
    <w:link w:val="23"/>
    <w:qFormat/>
    <w:uiPriority w:val="0"/>
    <w:pPr>
      <w:spacing w:after="120"/>
    </w:pPr>
    <w:rPr>
      <w:sz w:val="16"/>
      <w:szCs w:val="16"/>
    </w:rPr>
  </w:style>
  <w:style w:type="character" w:customStyle="1" w:styleId="23">
    <w:name w:val="正文文本 3 字符1"/>
    <w:link w:val="22"/>
    <w:semiHidden/>
    <w:qFormat/>
    <w:uiPriority w:val="0"/>
    <w:rPr>
      <w:kern w:val="2"/>
      <w:sz w:val="16"/>
      <w:szCs w:val="16"/>
    </w:rPr>
  </w:style>
  <w:style w:type="paragraph" w:customStyle="1" w:styleId="24">
    <w:name w:val="正文文本1"/>
    <w:basedOn w:val="1"/>
    <w:link w:val="25"/>
    <w:qFormat/>
    <w:uiPriority w:val="0"/>
    <w:pPr>
      <w:spacing w:after="120"/>
    </w:pPr>
  </w:style>
  <w:style w:type="character" w:customStyle="1" w:styleId="25">
    <w:name w:val="正文文本 字符2"/>
    <w:link w:val="24"/>
    <w:qFormat/>
    <w:uiPriority w:val="0"/>
    <w:rPr>
      <w:rFonts w:ascii="Times New Roman" w:hAnsi="Times New Roman"/>
      <w:kern w:val="2"/>
      <w:sz w:val="21"/>
      <w:szCs w:val="24"/>
    </w:rPr>
  </w:style>
  <w:style w:type="paragraph" w:customStyle="1" w:styleId="26">
    <w:name w:val="日期1"/>
    <w:basedOn w:val="1"/>
    <w:link w:val="27"/>
    <w:qFormat/>
    <w:uiPriority w:val="0"/>
    <w:pPr>
      <w:ind w:left="100" w:leftChars="2500"/>
    </w:pPr>
  </w:style>
  <w:style w:type="character" w:customStyle="1" w:styleId="27">
    <w:name w:val="日期 字符1"/>
    <w:link w:val="26"/>
    <w:semiHidden/>
    <w:qFormat/>
    <w:uiPriority w:val="0"/>
    <w:rPr>
      <w:rFonts w:ascii="Times New Roman" w:hAnsi="Times New Roman"/>
      <w:kern w:val="2"/>
      <w:sz w:val="21"/>
      <w:szCs w:val="24"/>
    </w:rPr>
  </w:style>
  <w:style w:type="paragraph" w:customStyle="1" w:styleId="28">
    <w:name w:val="正文文本缩进1"/>
    <w:basedOn w:val="1"/>
    <w:link w:val="29"/>
    <w:qFormat/>
    <w:uiPriority w:val="0"/>
    <w:pPr>
      <w:ind w:firstLine="830" w:firstLineChars="352"/>
    </w:pPr>
    <w:rPr>
      <w:rFonts w:ascii="仿宋_GB2312" w:eastAsia="仿宋_GB2312"/>
      <w:kern w:val="0"/>
      <w:sz w:val="32"/>
      <w:szCs w:val="20"/>
    </w:rPr>
  </w:style>
  <w:style w:type="character" w:customStyle="1" w:styleId="29">
    <w:name w:val="正文文本缩进 字符1"/>
    <w:link w:val="28"/>
    <w:qFormat/>
    <w:uiPriority w:val="0"/>
    <w:rPr>
      <w:rFonts w:ascii="仿宋_GB2312" w:hAnsi="Times New Roman" w:eastAsia="仿宋_GB2312"/>
      <w:sz w:val="32"/>
      <w:szCs w:val="20"/>
    </w:rPr>
  </w:style>
  <w:style w:type="paragraph" w:customStyle="1" w:styleId="30">
    <w:name w:val="列表 21"/>
    <w:basedOn w:val="1"/>
    <w:qFormat/>
    <w:uiPriority w:val="0"/>
    <w:pPr>
      <w:ind w:left="100" w:leftChars="200" w:hanging="200" w:hangingChars="200"/>
      <w:contextualSpacing/>
    </w:pPr>
  </w:style>
  <w:style w:type="paragraph" w:customStyle="1" w:styleId="31">
    <w:name w:val="目录 31"/>
    <w:basedOn w:val="1"/>
    <w:qFormat/>
    <w:uiPriority w:val="0"/>
    <w:pPr>
      <w:ind w:left="840" w:leftChars="400"/>
    </w:pPr>
  </w:style>
  <w:style w:type="paragraph" w:customStyle="1" w:styleId="32">
    <w:name w:val="纯文本1"/>
    <w:basedOn w:val="1"/>
    <w:link w:val="33"/>
    <w:qFormat/>
    <w:uiPriority w:val="0"/>
    <w:rPr>
      <w:rFonts w:ascii="宋体" w:hAnsi="Courier New"/>
      <w:kern w:val="0"/>
      <w:sz w:val="20"/>
      <w:szCs w:val="21"/>
    </w:rPr>
  </w:style>
  <w:style w:type="character" w:customStyle="1" w:styleId="33">
    <w:name w:val="纯文本 字符4"/>
    <w:link w:val="32"/>
    <w:qFormat/>
    <w:uiPriority w:val="0"/>
    <w:rPr>
      <w:rFonts w:ascii="宋体" w:hAnsi="Courier New" w:eastAsia="宋体"/>
      <w:szCs w:val="21"/>
    </w:rPr>
  </w:style>
  <w:style w:type="paragraph" w:customStyle="1" w:styleId="34">
    <w:name w:val="正文文本缩进 21"/>
    <w:basedOn w:val="1"/>
    <w:qFormat/>
    <w:uiPriority w:val="0"/>
    <w:pPr>
      <w:widowControl/>
      <w:ind w:firstLine="630"/>
      <w:jc w:val="left"/>
    </w:pPr>
  </w:style>
  <w:style w:type="paragraph" w:customStyle="1" w:styleId="35">
    <w:name w:val="批注框文本1"/>
    <w:basedOn w:val="1"/>
    <w:link w:val="36"/>
    <w:semiHidden/>
    <w:qFormat/>
    <w:uiPriority w:val="0"/>
    <w:rPr>
      <w:sz w:val="18"/>
      <w:szCs w:val="18"/>
    </w:rPr>
  </w:style>
  <w:style w:type="character" w:customStyle="1" w:styleId="36">
    <w:name w:val="批注框文本 字符"/>
    <w:link w:val="35"/>
    <w:semiHidden/>
    <w:qFormat/>
    <w:uiPriority w:val="0"/>
    <w:rPr>
      <w:kern w:val="2"/>
      <w:sz w:val="18"/>
      <w:szCs w:val="18"/>
    </w:rPr>
  </w:style>
  <w:style w:type="paragraph" w:customStyle="1" w:styleId="37">
    <w:name w:val="页脚1"/>
    <w:basedOn w:val="1"/>
    <w:link w:val="38"/>
    <w:qFormat/>
    <w:uiPriority w:val="0"/>
    <w:pPr>
      <w:tabs>
        <w:tab w:val="center" w:pos="4153"/>
        <w:tab w:val="right" w:pos="8306"/>
      </w:tabs>
      <w:snapToGrid w:val="0"/>
      <w:jc w:val="left"/>
    </w:pPr>
    <w:rPr>
      <w:kern w:val="0"/>
      <w:sz w:val="18"/>
      <w:szCs w:val="18"/>
    </w:rPr>
  </w:style>
  <w:style w:type="character" w:customStyle="1" w:styleId="38">
    <w:name w:val="页脚 字符1"/>
    <w:link w:val="37"/>
    <w:qFormat/>
    <w:uiPriority w:val="0"/>
    <w:rPr>
      <w:sz w:val="18"/>
      <w:szCs w:val="18"/>
    </w:rPr>
  </w:style>
  <w:style w:type="paragraph" w:customStyle="1" w:styleId="39">
    <w:name w:val="页眉1"/>
    <w:basedOn w:val="1"/>
    <w:link w:val="40"/>
    <w:qFormat/>
    <w:uiPriority w:val="0"/>
    <w:pPr>
      <w:pBdr>
        <w:bottom w:val="single" w:color="auto" w:sz="6" w:space="1"/>
      </w:pBdr>
      <w:tabs>
        <w:tab w:val="center" w:pos="4153"/>
        <w:tab w:val="right" w:pos="8306"/>
      </w:tabs>
      <w:snapToGrid w:val="0"/>
      <w:jc w:val="center"/>
    </w:pPr>
    <w:rPr>
      <w:kern w:val="0"/>
      <w:sz w:val="18"/>
      <w:szCs w:val="18"/>
    </w:rPr>
  </w:style>
  <w:style w:type="character" w:customStyle="1" w:styleId="40">
    <w:name w:val="页眉 字符1"/>
    <w:link w:val="39"/>
    <w:qFormat/>
    <w:uiPriority w:val="0"/>
    <w:rPr>
      <w:sz w:val="18"/>
      <w:szCs w:val="18"/>
    </w:rPr>
  </w:style>
  <w:style w:type="paragraph" w:customStyle="1" w:styleId="41">
    <w:name w:val="目录 11"/>
    <w:basedOn w:val="1"/>
    <w:qFormat/>
    <w:uiPriority w:val="0"/>
  </w:style>
  <w:style w:type="paragraph" w:customStyle="1" w:styleId="42">
    <w:name w:val="副标题11"/>
    <w:basedOn w:val="1"/>
    <w:link w:val="43"/>
    <w:qFormat/>
    <w:uiPriority w:val="0"/>
    <w:pPr>
      <w:spacing w:before="240" w:after="60" w:line="312" w:lineRule="auto"/>
      <w:jc w:val="center"/>
      <w:outlineLvl w:val="1"/>
    </w:pPr>
    <w:rPr>
      <w:rFonts w:ascii="Cambria" w:hAnsi="Cambria"/>
      <w:b/>
      <w:bCs/>
      <w:kern w:val="28"/>
      <w:sz w:val="32"/>
      <w:szCs w:val="32"/>
    </w:rPr>
  </w:style>
  <w:style w:type="character" w:customStyle="1" w:styleId="43">
    <w:name w:val="副标题 字符1"/>
    <w:link w:val="42"/>
    <w:qFormat/>
    <w:uiPriority w:val="0"/>
    <w:rPr>
      <w:rFonts w:ascii="等线 Light" w:hAnsi="等线 Light"/>
      <w:b/>
      <w:bCs/>
      <w:kern w:val="28"/>
      <w:sz w:val="32"/>
      <w:szCs w:val="32"/>
    </w:rPr>
  </w:style>
  <w:style w:type="paragraph" w:customStyle="1" w:styleId="44">
    <w:name w:val="列表1"/>
    <w:basedOn w:val="1"/>
    <w:qFormat/>
    <w:uiPriority w:val="0"/>
    <w:pPr>
      <w:ind w:left="200" w:hanging="200" w:hangingChars="200"/>
      <w:contextualSpacing/>
    </w:pPr>
  </w:style>
  <w:style w:type="paragraph" w:customStyle="1" w:styleId="45">
    <w:name w:val="正文文本缩进 31"/>
    <w:basedOn w:val="1"/>
    <w:link w:val="46"/>
    <w:qFormat/>
    <w:uiPriority w:val="0"/>
    <w:pPr>
      <w:spacing w:after="120"/>
      <w:ind w:left="420" w:leftChars="200"/>
    </w:pPr>
    <w:rPr>
      <w:sz w:val="16"/>
      <w:szCs w:val="16"/>
    </w:rPr>
  </w:style>
  <w:style w:type="character" w:customStyle="1" w:styleId="46">
    <w:name w:val="正文文本缩进 3 字符"/>
    <w:link w:val="45"/>
    <w:qFormat/>
    <w:uiPriority w:val="0"/>
    <w:rPr>
      <w:kern w:val="2"/>
      <w:sz w:val="16"/>
      <w:szCs w:val="16"/>
    </w:rPr>
  </w:style>
  <w:style w:type="paragraph" w:customStyle="1" w:styleId="47">
    <w:name w:val="目录 21"/>
    <w:basedOn w:val="1"/>
    <w:qFormat/>
    <w:uiPriority w:val="0"/>
    <w:pPr>
      <w:tabs>
        <w:tab w:val="right" w:leader="dot" w:pos="8296"/>
      </w:tabs>
      <w:ind w:left="420" w:leftChars="200"/>
    </w:pPr>
  </w:style>
  <w:style w:type="paragraph" w:customStyle="1" w:styleId="48">
    <w:name w:val="普通(网站)1"/>
    <w:basedOn w:val="1"/>
    <w:qFormat/>
    <w:uiPriority w:val="0"/>
    <w:pPr>
      <w:spacing w:before="0" w:beforeAutospacing="0" w:after="0" w:afterAutospacing="0"/>
      <w:ind w:left="0" w:right="0"/>
      <w:jc w:val="both"/>
    </w:pPr>
    <w:rPr>
      <w:rFonts w:ascii="Calibri" w:hAnsi="Calibri"/>
      <w:kern w:val="0"/>
      <w:sz w:val="24"/>
      <w:szCs w:val="24"/>
      <w:lang w:val="en-US" w:eastAsia="zh-CN" w:bidi="ar"/>
    </w:rPr>
  </w:style>
  <w:style w:type="paragraph" w:customStyle="1" w:styleId="49">
    <w:name w:val="批注主题1"/>
    <w:basedOn w:val="20"/>
    <w:link w:val="50"/>
    <w:qFormat/>
    <w:uiPriority w:val="0"/>
    <w:rPr>
      <w:b/>
      <w:bCs/>
    </w:rPr>
  </w:style>
  <w:style w:type="character" w:customStyle="1" w:styleId="50">
    <w:name w:val="批注主题 字符1"/>
    <w:link w:val="49"/>
    <w:qFormat/>
    <w:uiPriority w:val="0"/>
    <w:rPr>
      <w:rFonts w:ascii="Times New Roman" w:hAnsi="Times New Roman"/>
      <w:b/>
      <w:bCs/>
      <w:kern w:val="2"/>
      <w:sz w:val="21"/>
      <w:szCs w:val="24"/>
    </w:rPr>
  </w:style>
  <w:style w:type="paragraph" w:customStyle="1" w:styleId="51">
    <w:name w:val="正文首行缩进1"/>
    <w:basedOn w:val="24"/>
    <w:qFormat/>
    <w:uiPriority w:val="0"/>
    <w:pPr>
      <w:spacing w:line="600" w:lineRule="exact"/>
      <w:ind w:firstLine="880" w:firstLineChars="200"/>
    </w:pPr>
    <w:rPr>
      <w:sz w:val="28"/>
    </w:rPr>
  </w:style>
  <w:style w:type="paragraph" w:customStyle="1" w:styleId="52">
    <w:name w:val="正文首行缩进 21"/>
    <w:basedOn w:val="1"/>
    <w:qFormat/>
    <w:uiPriority w:val="0"/>
    <w:pPr>
      <w:spacing w:after="120"/>
      <w:ind w:left="420" w:leftChars="200" w:firstLine="420" w:firstLineChars="200"/>
    </w:pPr>
    <w:rPr>
      <w:rFonts w:ascii="Times New Roman" w:eastAsia="宋体"/>
      <w:kern w:val="2"/>
      <w:sz w:val="21"/>
      <w:szCs w:val="24"/>
    </w:rPr>
  </w:style>
  <w:style w:type="table" w:customStyle="1" w:styleId="53">
    <w:name w:val="网格型11"/>
    <w:basedOn w:val="11"/>
    <w:qFormat/>
    <w:uiPriority w:val="0"/>
  </w:style>
  <w:style w:type="character" w:customStyle="1" w:styleId="54">
    <w:name w:val="尾注引用1"/>
    <w:link w:val="1"/>
    <w:qFormat/>
    <w:uiPriority w:val="0"/>
    <w:rPr>
      <w:vertAlign w:val="superscript"/>
    </w:rPr>
  </w:style>
  <w:style w:type="character" w:customStyle="1" w:styleId="55">
    <w:name w:val="页码1"/>
    <w:link w:val="1"/>
    <w:qFormat/>
    <w:uiPriority w:val="0"/>
  </w:style>
  <w:style w:type="character" w:customStyle="1" w:styleId="56">
    <w:name w:val="已访问的超链接1"/>
    <w:link w:val="1"/>
    <w:qFormat/>
    <w:uiPriority w:val="0"/>
    <w:rPr>
      <w:color w:val="800080"/>
      <w:u w:val="single"/>
    </w:rPr>
  </w:style>
  <w:style w:type="character" w:customStyle="1" w:styleId="57">
    <w:name w:val="超链接1"/>
    <w:link w:val="1"/>
    <w:qFormat/>
    <w:uiPriority w:val="0"/>
    <w:rPr>
      <w:color w:val="0000FF"/>
      <w:u w:val="single"/>
    </w:rPr>
  </w:style>
  <w:style w:type="character" w:customStyle="1" w:styleId="58">
    <w:name w:val="批注引用1"/>
    <w:link w:val="1"/>
    <w:qFormat/>
    <w:uiPriority w:val="0"/>
    <w:rPr>
      <w:sz w:val="21"/>
      <w:szCs w:val="21"/>
    </w:rPr>
  </w:style>
  <w:style w:type="character" w:customStyle="1" w:styleId="59">
    <w:name w:val="未处理的提及"/>
    <w:link w:val="1"/>
    <w:qFormat/>
    <w:uiPriority w:val="0"/>
    <w:rPr>
      <w:color w:val="605E5C"/>
      <w:shd w:val="clear" w:color="auto" w:fill="E1DFDD"/>
    </w:rPr>
  </w:style>
  <w:style w:type="character" w:customStyle="1" w:styleId="60">
    <w:name w:val="标题 1 字符"/>
    <w:link w:val="1"/>
    <w:qFormat/>
    <w:uiPriority w:val="0"/>
    <w:rPr>
      <w:rFonts w:ascii="Times New Roman" w:hAnsi="Times New Roman" w:eastAsia="宋体"/>
      <w:b/>
      <w:bCs/>
      <w:kern w:val="44"/>
      <w:sz w:val="44"/>
      <w:szCs w:val="44"/>
      <w:lang w:val="zh-CN" w:eastAsia="zh-CN"/>
    </w:rPr>
  </w:style>
  <w:style w:type="character" w:customStyle="1" w:styleId="61">
    <w:name w:val="未处理的提及2"/>
    <w:link w:val="1"/>
    <w:qFormat/>
    <w:uiPriority w:val="0"/>
    <w:rPr>
      <w:color w:val="605E5C"/>
      <w:shd w:val="clear" w:color="auto" w:fill="E1DFDD"/>
    </w:rPr>
  </w:style>
  <w:style w:type="character" w:customStyle="1" w:styleId="62">
    <w:name w:val="页脚 字符"/>
    <w:link w:val="1"/>
    <w:qFormat/>
    <w:uiPriority w:val="0"/>
    <w:rPr>
      <w:rFonts w:ascii="Times New Roman" w:hAnsi="Times New Roman" w:eastAsia="宋体"/>
      <w:kern w:val="0"/>
      <w:sz w:val="18"/>
      <w:szCs w:val="18"/>
      <w:lang w:val="zh-CN" w:eastAsia="zh-CN"/>
    </w:rPr>
  </w:style>
  <w:style w:type="character" w:customStyle="1" w:styleId="63">
    <w:name w:val="标题 8 Char"/>
    <w:link w:val="1"/>
    <w:qFormat/>
    <w:uiPriority w:val="0"/>
    <w:rPr>
      <w:rFonts w:ascii="Arial" w:hAnsi="Arial" w:eastAsia="黑体"/>
      <w:kern w:val="2"/>
      <w:sz w:val="24"/>
      <w:szCs w:val="24"/>
    </w:rPr>
  </w:style>
  <w:style w:type="character" w:customStyle="1" w:styleId="64">
    <w:name w:val="批注文字 字符1"/>
    <w:link w:val="1"/>
    <w:qFormat/>
    <w:uiPriority w:val="0"/>
    <w:rPr>
      <w:rFonts w:ascii="Times New Roman" w:hAnsi="Times New Roman"/>
      <w:kern w:val="2"/>
      <w:sz w:val="21"/>
      <w:szCs w:val="24"/>
    </w:rPr>
  </w:style>
  <w:style w:type="character" w:customStyle="1" w:styleId="65">
    <w:name w:val="标题 8 字符"/>
    <w:link w:val="1"/>
    <w:qFormat/>
    <w:uiPriority w:val="0"/>
    <w:rPr>
      <w:rFonts w:ascii="等线 Light" w:hAnsi="等线 Light" w:eastAsia="等线 Light"/>
      <w:sz w:val="24"/>
      <w:szCs w:val="24"/>
      <w:lang w:val="zh-CN" w:eastAsia="zh-CN"/>
    </w:rPr>
  </w:style>
  <w:style w:type="character" w:customStyle="1" w:styleId="66">
    <w:name w:val="标题 2 字符"/>
    <w:link w:val="1"/>
    <w:uiPriority w:val="0"/>
    <w:rPr>
      <w:rFonts w:ascii="Cambria" w:hAnsi="Cambria" w:eastAsia="宋体"/>
      <w:b/>
      <w:bCs/>
      <w:sz w:val="32"/>
      <w:szCs w:val="32"/>
      <w:lang w:val="zh-CN" w:eastAsia="zh-CN"/>
    </w:rPr>
  </w:style>
  <w:style w:type="character" w:customStyle="1" w:styleId="67">
    <w:name w:val="批注文字 Char"/>
    <w:link w:val="1"/>
    <w:qFormat/>
    <w:uiPriority w:val="0"/>
    <w:rPr>
      <w:rFonts w:ascii="Times New Roman" w:hAnsi="Times New Roman"/>
      <w:kern w:val="2"/>
      <w:sz w:val="21"/>
      <w:szCs w:val="24"/>
    </w:rPr>
  </w:style>
  <w:style w:type="character" w:customStyle="1" w:styleId="68">
    <w:name w:val="副标题 Char1"/>
    <w:link w:val="1"/>
    <w:qFormat/>
    <w:uiPriority w:val="0"/>
    <w:rPr>
      <w:rFonts w:ascii="Cambria" w:hAnsi="Cambria" w:eastAsia="宋体"/>
      <w:b/>
      <w:bCs/>
      <w:kern w:val="28"/>
      <w:sz w:val="32"/>
      <w:szCs w:val="32"/>
    </w:rPr>
  </w:style>
  <w:style w:type="character" w:customStyle="1" w:styleId="69">
    <w:name w:val="正文文本 字符1"/>
    <w:link w:val="1"/>
    <w:qFormat/>
    <w:uiPriority w:val="0"/>
    <w:rPr>
      <w:rFonts w:ascii="Times New Roman" w:hAnsi="Times New Roman" w:eastAsia="宋体"/>
      <w:szCs w:val="24"/>
      <w:lang w:val="zh-CN" w:eastAsia="zh-CN"/>
    </w:rPr>
  </w:style>
  <w:style w:type="character" w:customStyle="1" w:styleId="70">
    <w:name w:val="正文文本 (26) + 间距 0 pt"/>
    <w:link w:val="1"/>
    <w:qFormat/>
    <w:uiPriority w:val="0"/>
    <w:rPr>
      <w:rFonts w:ascii="宋体" w:hAnsi="宋体" w:eastAsia="宋体"/>
      <w:color w:val="000000"/>
      <w:spacing w:val="0"/>
      <w:w w:val="100"/>
      <w:sz w:val="22"/>
      <w:szCs w:val="22"/>
      <w:u w:val="none"/>
      <w:lang w:val="zh-CN" w:eastAsia="zh-CN" w:bidi="zh-CN"/>
    </w:rPr>
  </w:style>
  <w:style w:type="character" w:customStyle="1" w:styleId="71">
    <w:name w:val="正文2 Char Char"/>
    <w:link w:val="72"/>
    <w:uiPriority w:val="0"/>
    <w:rPr>
      <w:sz w:val="24"/>
    </w:rPr>
  </w:style>
  <w:style w:type="paragraph" w:customStyle="1" w:styleId="72">
    <w:name w:val="正文2"/>
    <w:basedOn w:val="1"/>
    <w:link w:val="71"/>
    <w:qFormat/>
    <w:uiPriority w:val="0"/>
    <w:pPr>
      <w:spacing w:before="156" w:line="360" w:lineRule="auto"/>
      <w:ind w:firstLine="510" w:firstLineChars="200"/>
    </w:pPr>
    <w:rPr>
      <w:kern w:val="0"/>
      <w:sz w:val="24"/>
      <w:szCs w:val="20"/>
    </w:rPr>
  </w:style>
  <w:style w:type="character" w:customStyle="1" w:styleId="73">
    <w:name w:val="textcontents"/>
    <w:link w:val="1"/>
    <w:qFormat/>
    <w:uiPriority w:val="0"/>
  </w:style>
  <w:style w:type="character" w:customStyle="1" w:styleId="74">
    <w:name w:val="批注主题 字符"/>
    <w:link w:val="1"/>
    <w:qFormat/>
    <w:uiPriority w:val="0"/>
    <w:rPr>
      <w:rFonts w:ascii="Times New Roman" w:hAnsi="Times New Roman" w:eastAsia="宋体"/>
      <w:b/>
      <w:bCs/>
      <w:kern w:val="2"/>
      <w:sz w:val="21"/>
      <w:szCs w:val="24"/>
      <w:lang w:val="zh-CN" w:eastAsia="zh-CN"/>
    </w:rPr>
  </w:style>
  <w:style w:type="character" w:customStyle="1" w:styleId="75">
    <w:name w:val="正文文本 3 字符"/>
    <w:link w:val="1"/>
    <w:qFormat/>
    <w:uiPriority w:val="0"/>
    <w:rPr>
      <w:rFonts w:ascii="Times New Roman" w:hAnsi="Times New Roman" w:eastAsia="宋体"/>
      <w:sz w:val="16"/>
      <w:szCs w:val="16"/>
      <w:lang w:val="zh-CN" w:eastAsia="zh-CN"/>
    </w:rPr>
  </w:style>
  <w:style w:type="character" w:customStyle="1" w:styleId="76">
    <w:name w:val="正文文本 Char"/>
    <w:link w:val="1"/>
    <w:qFormat/>
    <w:uiPriority w:val="0"/>
    <w:rPr>
      <w:rFonts w:ascii="Times New Roman" w:hAnsi="Times New Roman"/>
      <w:kern w:val="2"/>
      <w:sz w:val="21"/>
      <w:szCs w:val="24"/>
    </w:rPr>
  </w:style>
  <w:style w:type="character" w:customStyle="1" w:styleId="77">
    <w:name w:val="标题 1 字符1"/>
    <w:link w:val="1"/>
    <w:qFormat/>
    <w:uiPriority w:val="0"/>
    <w:rPr>
      <w:b/>
      <w:bCs/>
      <w:kern w:val="44"/>
      <w:sz w:val="44"/>
      <w:szCs w:val="44"/>
    </w:rPr>
  </w:style>
  <w:style w:type="character" w:customStyle="1" w:styleId="78">
    <w:name w:val="页眉 字符"/>
    <w:link w:val="1"/>
    <w:qFormat/>
    <w:uiPriority w:val="0"/>
    <w:rPr>
      <w:rFonts w:ascii="Times New Roman" w:hAnsi="Times New Roman" w:eastAsia="宋体"/>
      <w:kern w:val="0"/>
      <w:sz w:val="18"/>
      <w:szCs w:val="18"/>
      <w:lang w:val="zh-CN" w:eastAsia="zh-CN"/>
    </w:rPr>
  </w:style>
  <w:style w:type="character" w:customStyle="1" w:styleId="79">
    <w:name w:val="日期 字符"/>
    <w:link w:val="1"/>
    <w:uiPriority w:val="0"/>
    <w:rPr>
      <w:rFonts w:ascii="Times New Roman" w:hAnsi="Times New Roman" w:eastAsia="宋体"/>
      <w:szCs w:val="24"/>
      <w:lang w:val="zh-CN" w:eastAsia="zh-CN"/>
    </w:rPr>
  </w:style>
  <w:style w:type="character" w:customStyle="1" w:styleId="80">
    <w:name w:val="标题 5 字符"/>
    <w:link w:val="1"/>
    <w:uiPriority w:val="0"/>
    <w:rPr>
      <w:rFonts w:ascii="Times New Roman" w:hAnsi="Times New Roman" w:eastAsia="宋体"/>
      <w:b/>
      <w:bCs/>
      <w:sz w:val="28"/>
      <w:szCs w:val="28"/>
      <w:lang w:val="zh-CN" w:eastAsia="zh-CN"/>
    </w:rPr>
  </w:style>
  <w:style w:type="character" w:customStyle="1" w:styleId="81">
    <w:name w:val="纯文本 Char"/>
    <w:link w:val="1"/>
    <w:uiPriority w:val="0"/>
    <w:rPr>
      <w:rFonts w:ascii="宋体" w:hAnsi="Courier New" w:eastAsia="宋体"/>
      <w:szCs w:val="21"/>
    </w:rPr>
  </w:style>
  <w:style w:type="character" w:customStyle="1" w:styleId="82">
    <w:name w:val="未处理的提及1"/>
    <w:link w:val="1"/>
    <w:qFormat/>
    <w:uiPriority w:val="0"/>
    <w:rPr>
      <w:color w:val="605E5C"/>
      <w:shd w:val="clear" w:color="auto" w:fill="E1DFDD"/>
    </w:rPr>
  </w:style>
  <w:style w:type="character" w:customStyle="1" w:styleId="83">
    <w:name w:val="正文文本缩进 3 Char"/>
    <w:link w:val="1"/>
    <w:semiHidden/>
    <w:qFormat/>
    <w:uiPriority w:val="0"/>
    <w:rPr>
      <w:rFonts w:ascii="Times New Roman" w:hAnsi="Times New Roman" w:eastAsia="宋体"/>
      <w:sz w:val="16"/>
      <w:szCs w:val="16"/>
    </w:rPr>
  </w:style>
  <w:style w:type="character" w:customStyle="1" w:styleId="84">
    <w:name w:val="正文文本缩进 字符"/>
    <w:link w:val="1"/>
    <w:qFormat/>
    <w:uiPriority w:val="0"/>
    <w:rPr>
      <w:rFonts w:ascii="仿宋_GB2312" w:hAnsi="Times New Roman" w:eastAsia="仿宋_GB2312"/>
      <w:kern w:val="0"/>
      <w:sz w:val="32"/>
      <w:szCs w:val="20"/>
      <w:lang w:val="zh-CN" w:eastAsia="zh-CN"/>
    </w:rPr>
  </w:style>
  <w:style w:type="character" w:customStyle="1" w:styleId="85">
    <w:name w:val="标题 3 字符"/>
    <w:link w:val="1"/>
    <w:qFormat/>
    <w:uiPriority w:val="0"/>
    <w:rPr>
      <w:rFonts w:ascii="Times New Roman" w:hAnsi="Times New Roman" w:eastAsia="宋体"/>
      <w:b/>
      <w:bCs/>
      <w:sz w:val="32"/>
      <w:szCs w:val="32"/>
      <w:lang w:val="zh-CN" w:eastAsia="zh-CN"/>
    </w:rPr>
  </w:style>
  <w:style w:type="character" w:customStyle="1" w:styleId="86">
    <w:name w:val="纯文本 字符3"/>
    <w:link w:val="1"/>
    <w:qFormat/>
    <w:uiPriority w:val="0"/>
    <w:rPr>
      <w:rFonts w:ascii="宋体" w:hAnsi="Courier New" w:eastAsia="宋体"/>
      <w:kern w:val="0"/>
      <w:sz w:val="20"/>
      <w:szCs w:val="21"/>
      <w:lang w:val="zh-CN" w:eastAsia="zh-CN"/>
    </w:rPr>
  </w:style>
  <w:style w:type="character" w:customStyle="1" w:styleId="87">
    <w:name w:val="副标题 字符"/>
    <w:link w:val="1"/>
    <w:uiPriority w:val="0"/>
    <w:rPr>
      <w:rFonts w:ascii="Cambria" w:hAnsi="Cambria"/>
      <w:b/>
      <w:bCs/>
      <w:kern w:val="28"/>
      <w:sz w:val="32"/>
      <w:szCs w:val="32"/>
    </w:rPr>
  </w:style>
  <w:style w:type="character" w:customStyle="1" w:styleId="88">
    <w:name w:val="apple-style-span"/>
    <w:link w:val="1"/>
    <w:uiPriority w:val="0"/>
  </w:style>
  <w:style w:type="character" w:customStyle="1" w:styleId="89">
    <w:name w:val="纯文本 字符1"/>
    <w:link w:val="1"/>
    <w:qFormat/>
    <w:uiPriority w:val="0"/>
    <w:rPr>
      <w:rFonts w:ascii="宋体" w:hAnsi="Courier New"/>
    </w:rPr>
  </w:style>
  <w:style w:type="character" w:customStyle="1" w:styleId="90">
    <w:name w:val="批注文字 字符2"/>
    <w:link w:val="1"/>
    <w:qFormat/>
    <w:uiPriority w:val="0"/>
    <w:rPr>
      <w:rFonts w:ascii="Times New Roman" w:hAnsi="Times New Roman" w:eastAsia="宋体"/>
      <w:szCs w:val="24"/>
      <w:lang w:val="zh-CN" w:eastAsia="zh-CN"/>
    </w:rPr>
  </w:style>
  <w:style w:type="character" w:customStyle="1" w:styleId="91">
    <w:name w:val="批注文字 字符"/>
    <w:link w:val="1"/>
    <w:uiPriority w:val="0"/>
    <w:rPr>
      <w:rFonts w:ascii="Times New Roman" w:hAnsi="Times New Roman"/>
      <w:kern w:val="2"/>
      <w:sz w:val="21"/>
      <w:szCs w:val="24"/>
    </w:rPr>
  </w:style>
  <w:style w:type="character" w:customStyle="1" w:styleId="92">
    <w:name w:val="标题 2 Char"/>
    <w:link w:val="1"/>
    <w:uiPriority w:val="0"/>
    <w:rPr>
      <w:rFonts w:ascii="Cambria" w:hAnsi="Cambria" w:eastAsia="宋体"/>
      <w:b/>
      <w:bCs/>
      <w:kern w:val="2"/>
      <w:sz w:val="32"/>
      <w:szCs w:val="32"/>
    </w:rPr>
  </w:style>
  <w:style w:type="character" w:customStyle="1" w:styleId="93">
    <w:name w:val="纯文本 字符2"/>
    <w:link w:val="1"/>
    <w:uiPriority w:val="0"/>
    <w:rPr>
      <w:rFonts w:ascii="宋体" w:hAnsi="Courier New" w:eastAsia="宋体"/>
      <w:szCs w:val="21"/>
    </w:rPr>
  </w:style>
  <w:style w:type="character" w:customStyle="1" w:styleId="94">
    <w:name w:val="纯文本 字符"/>
    <w:link w:val="1"/>
    <w:qFormat/>
    <w:uiPriority w:val="0"/>
    <w:rPr>
      <w:rFonts w:ascii="宋体" w:hAnsi="Courier New" w:eastAsia="宋体"/>
      <w:szCs w:val="21"/>
    </w:rPr>
  </w:style>
  <w:style w:type="character" w:customStyle="1" w:styleId="95">
    <w:name w:val="正文文本 字符"/>
    <w:link w:val="1"/>
    <w:uiPriority w:val="0"/>
    <w:rPr>
      <w:rFonts w:ascii="Times New Roman" w:hAnsi="Times New Roman"/>
      <w:kern w:val="2"/>
      <w:sz w:val="21"/>
      <w:szCs w:val="24"/>
    </w:rPr>
  </w:style>
  <w:style w:type="paragraph" w:customStyle="1" w:styleId="9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97">
    <w:name w:val="TOC 标题1"/>
    <w:basedOn w:val="4"/>
    <w:qFormat/>
    <w:uiPriority w:val="0"/>
    <w:pPr>
      <w:widowControl/>
      <w:spacing w:before="240" w:after="0" w:line="259" w:lineRule="auto"/>
      <w:jc w:val="left"/>
      <w:outlineLvl w:val="9"/>
    </w:pPr>
    <w:rPr>
      <w:rFonts w:ascii="等线 Light" w:hAnsi="等线 Light" w:eastAsia="等线 Light"/>
      <w:b w:val="0"/>
      <w:bCs w:val="0"/>
      <w:color w:val="2F5496"/>
      <w:kern w:val="0"/>
      <w:sz w:val="32"/>
      <w:szCs w:val="32"/>
      <w:lang w:val="en-US" w:eastAsia="zh-CN"/>
    </w:rPr>
  </w:style>
  <w:style w:type="paragraph" w:customStyle="1" w:styleId="98">
    <w:name w:val="Table Paragraph"/>
    <w:basedOn w:val="1"/>
    <w:uiPriority w:val="0"/>
    <w:pPr>
      <w:jc w:val="left"/>
    </w:pPr>
    <w:rPr>
      <w:rFonts w:ascii="Calibri" w:hAnsi="Calibri"/>
      <w:kern w:val="0"/>
      <w:sz w:val="22"/>
      <w:szCs w:val="22"/>
      <w:lang w:eastAsia="en-US"/>
    </w:rPr>
  </w:style>
  <w:style w:type="paragraph" w:customStyle="1" w:styleId="99">
    <w:name w:val="列出段落"/>
    <w:basedOn w:val="1"/>
    <w:qFormat/>
    <w:uiPriority w:val="0"/>
    <w:pPr>
      <w:ind w:firstLine="420" w:firstLineChars="200"/>
    </w:pPr>
  </w:style>
  <w:style w:type="paragraph" w:customStyle="1" w:styleId="100">
    <w:name w:val="TOC 标题"/>
    <w:basedOn w:val="4"/>
    <w:uiPriority w:val="0"/>
    <w:pPr>
      <w:widowControl/>
      <w:spacing w:before="240" w:after="0" w:line="259" w:lineRule="auto"/>
      <w:jc w:val="left"/>
      <w:outlineLvl w:val="9"/>
    </w:pPr>
    <w:rPr>
      <w:rFonts w:ascii="等线 Light" w:hAnsi="等线 Light" w:eastAsia="等线 Light"/>
      <w:b w:val="0"/>
      <w:bCs w:val="0"/>
      <w:color w:val="2F5496"/>
      <w:kern w:val="0"/>
      <w:sz w:val="32"/>
      <w:szCs w:val="32"/>
      <w:lang w:val="en-US" w:eastAsia="zh-CN"/>
    </w:rPr>
  </w:style>
  <w:style w:type="paragraph" w:customStyle="1" w:styleId="101">
    <w:name w:val="Default"/>
    <w:qFormat/>
    <w:uiPriority w:val="0"/>
    <w:pPr>
      <w:widowControl w:val="0"/>
      <w:autoSpaceDE w:val="0"/>
      <w:autoSpaceDN w:val="0"/>
    </w:pPr>
    <w:rPr>
      <w:rFonts w:ascii="Times New Roman" w:hAnsi="Times New Roman" w:eastAsia="宋体" w:cs="Times New Roman"/>
      <w:color w:val="000000"/>
      <w:sz w:val="24"/>
      <w:szCs w:val="24"/>
      <w:lang w:val="en-US" w:eastAsia="zh-CN" w:bidi="ar-SA"/>
    </w:rPr>
  </w:style>
  <w:style w:type="paragraph" w:customStyle="1" w:styleId="102">
    <w:name w:val="1"/>
    <w:basedOn w:val="1"/>
    <w:qFormat/>
    <w:uiPriority w:val="0"/>
    <w:rPr>
      <w:rFonts w:ascii="宋体" w:hAnsi="Courier New"/>
      <w:szCs w:val="20"/>
    </w:rPr>
  </w:style>
  <w:style w:type="paragraph" w:customStyle="1" w:styleId="1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04">
    <w:name w:val="_Style 7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副标题1"/>
    <w:basedOn w:val="1"/>
    <w:qFormat/>
    <w:uiPriority w:val="0"/>
    <w:pPr>
      <w:spacing w:before="240" w:after="60" w:line="312" w:lineRule="auto"/>
      <w:jc w:val="center"/>
      <w:outlineLvl w:val="1"/>
    </w:pPr>
    <w:rPr>
      <w:rFonts w:ascii="Cambria" w:hAnsi="Cambria" w:eastAsia="宋体"/>
      <w:b/>
      <w:bCs/>
      <w:kern w:val="28"/>
      <w:sz w:val="32"/>
      <w:szCs w:val="32"/>
    </w:rPr>
  </w:style>
  <w:style w:type="paragraph" w:customStyle="1" w:styleId="106">
    <w:name w:val="正文缩进1"/>
    <w:basedOn w:val="1"/>
    <w:uiPriority w:val="0"/>
    <w:pPr>
      <w:autoSpaceDE w:val="0"/>
      <w:autoSpaceDN w:val="0"/>
      <w:snapToGrid w:val="0"/>
      <w:spacing w:after="120" w:line="360" w:lineRule="auto"/>
      <w:ind w:left="420" w:leftChars="200" w:firstLine="480" w:firstLineChars="200"/>
    </w:pPr>
    <w:rPr>
      <w:sz w:val="24"/>
      <w:szCs w:val="21"/>
    </w:rPr>
  </w:style>
  <w:style w:type="paragraph" w:customStyle="1" w:styleId="107">
    <w:name w:val="段"/>
    <w:qFormat/>
    <w:uiPriority w:val="0"/>
    <w:pPr>
      <w:autoSpaceDE w:val="0"/>
      <w:autoSpaceDN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108">
    <w:name w:val="列表段落1"/>
    <w:basedOn w:val="1"/>
    <w:qFormat/>
    <w:uiPriority w:val="0"/>
    <w:pPr>
      <w:ind w:firstLine="420" w:firstLineChars="200"/>
    </w:pPr>
  </w:style>
  <w:style w:type="paragraph" w:customStyle="1" w:styleId="109">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10">
    <w:name w:val="默认段落字体 Para Char Char Char Char Char Char Char Char Char1 Char Char Char Char"/>
    <w:basedOn w:val="1"/>
    <w:qFormat/>
    <w:uiPriority w:val="0"/>
    <w:rPr>
      <w:rFonts w:ascii="Tahoma" w:hAnsi="Tahoma"/>
      <w:sz w:val="24"/>
      <w:szCs w:val="20"/>
    </w:rPr>
  </w:style>
  <w:style w:type="paragraph" w:customStyle="1" w:styleId="111">
    <w:name w:val="Char Char Char Char"/>
    <w:basedOn w:val="1"/>
    <w:uiPriority w:val="0"/>
    <w:pPr>
      <w:widowControl/>
      <w:spacing w:after="160" w:line="240" w:lineRule="exact"/>
      <w:jc w:val="left"/>
    </w:pPr>
  </w:style>
  <w:style w:type="table" w:customStyle="1" w:styleId="112">
    <w:name w:val="网格型1"/>
    <w:basedOn w:val="11"/>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142</Pages>
  <Words>107739</Words>
  <Characters>114374</Characters>
  <Lines>0</Lines>
  <Paragraphs>0</Paragraphs>
  <TotalTime>35</TotalTime>
  <ScaleCrop>false</ScaleCrop>
  <LinksUpToDate>false</LinksUpToDate>
  <CharactersWithSpaces>118925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2024-10-16T00:43:00Z</dcterms:created>
  <dc:creator>九儿</dc:creator>
  <cp:lastModifiedBy>蓄势待发</cp:lastModifiedBy>
  <dcterms:modified xsi:type="dcterms:W3CDTF">2024-10-17T05:12:13Z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5AF5623A884C4F3FB336CD2583EFF1F4_13</vt:lpwstr>
  </property>
</Properties>
</file>