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4CF28">
      <w:pPr>
        <w:spacing w:line="720" w:lineRule="exact"/>
        <w:ind w:firstLine="0" w:firstLineChars="0"/>
        <w:rPr>
          <w:rFonts w:hint="eastAsia" w:ascii="华康简魏碑" w:eastAsia="华康简魏碑"/>
          <w:b/>
          <w:bCs/>
          <w:color w:val="auto"/>
          <w:spacing w:val="80"/>
          <w:sz w:val="60"/>
          <w:szCs w:val="60"/>
          <w:highlight w:val="none"/>
          <w:lang w:eastAsia="zh-CN"/>
        </w:rPr>
      </w:pPr>
      <w:r>
        <w:rPr>
          <w:rFonts w:hint="eastAsia" w:ascii="华文新魏" w:eastAsia="华文新魏"/>
          <w:color w:val="auto"/>
          <w:spacing w:val="90"/>
          <w:sz w:val="60"/>
          <w:szCs w:val="60"/>
          <w:highlight w:val="none"/>
          <w:lang w:eastAsia="zh-CN"/>
        </w:rPr>
        <w:t>广西银泰工程管理有限公司</w:t>
      </w:r>
    </w:p>
    <w:p w14:paraId="2B2C3C71">
      <w:pPr>
        <w:pStyle w:val="154"/>
        <w:tabs>
          <w:tab w:val="left" w:pos="3969"/>
        </w:tabs>
        <w:ind w:left="0" w:firstLine="0" w:firstLineChars="0"/>
        <w:jc w:val="center"/>
        <w:rPr>
          <w:color w:val="auto"/>
          <w:highlight w:val="none"/>
        </w:rPr>
      </w:pPr>
    </w:p>
    <w:p w14:paraId="0BDD3254">
      <w:pPr>
        <w:spacing w:before="312" w:beforeLines="100" w:after="156" w:afterLines="50" w:line="600" w:lineRule="exact"/>
        <w:ind w:firstLine="0" w:firstLineChars="0"/>
        <w:jc w:val="center"/>
        <w:rPr>
          <w:rFonts w:hint="eastAsia" w:ascii="宋体" w:hAnsi="宋体" w:cs="宋体"/>
          <w:b/>
          <w:color w:val="auto"/>
          <w:sz w:val="72"/>
          <w:szCs w:val="72"/>
          <w:highlight w:val="none"/>
        </w:rPr>
      </w:pPr>
    </w:p>
    <w:p w14:paraId="21739462">
      <w:pPr>
        <w:spacing w:before="312" w:beforeLines="100" w:after="156" w:afterLines="50" w:line="600" w:lineRule="exact"/>
        <w:ind w:firstLine="0" w:firstLineChars="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竞争性磋商文件</w:t>
      </w:r>
      <w:bookmarkStart w:id="161" w:name="_GoBack"/>
      <w:bookmarkEnd w:id="161"/>
    </w:p>
    <w:p w14:paraId="694542AA">
      <w:pPr>
        <w:spacing w:before="312" w:beforeLines="100" w:after="156" w:afterLines="50" w:line="600" w:lineRule="exact"/>
        <w:ind w:firstLine="0" w:firstLineChars="0"/>
        <w:jc w:val="center"/>
        <w:rPr>
          <w:rFonts w:hint="eastAsia" w:ascii="宋体" w:hAnsi="宋体" w:cs="宋体"/>
          <w:b/>
          <w:color w:val="auto"/>
          <w:sz w:val="72"/>
          <w:szCs w:val="72"/>
          <w:highlight w:val="none"/>
        </w:rPr>
      </w:pPr>
    </w:p>
    <w:p w14:paraId="09F924A7">
      <w:pPr>
        <w:spacing w:before="312" w:beforeLines="100" w:after="156" w:afterLines="50" w:line="600" w:lineRule="exact"/>
        <w:ind w:firstLine="0" w:firstLineChars="0"/>
        <w:jc w:val="center"/>
        <w:rPr>
          <w:rFonts w:hint="eastAsia" w:ascii="宋体" w:hAnsi="宋体" w:cs="宋体"/>
          <w:b/>
          <w:color w:val="auto"/>
          <w:sz w:val="72"/>
          <w:szCs w:val="72"/>
          <w:highlight w:val="none"/>
        </w:rPr>
      </w:pPr>
    </w:p>
    <w:p w14:paraId="2593A771">
      <w:pPr>
        <w:spacing w:before="312" w:beforeLines="100" w:after="156" w:afterLines="50" w:line="600" w:lineRule="exact"/>
        <w:ind w:firstLine="0" w:firstLineChars="0"/>
        <w:jc w:val="center"/>
        <w:rPr>
          <w:rFonts w:hint="eastAsia" w:ascii="宋体" w:hAnsi="宋体" w:cs="宋体"/>
          <w:b/>
          <w:color w:val="auto"/>
          <w:sz w:val="72"/>
          <w:szCs w:val="72"/>
          <w:highlight w:val="none"/>
        </w:rPr>
      </w:pPr>
    </w:p>
    <w:p w14:paraId="7B193E18">
      <w:pPr>
        <w:spacing w:line="360" w:lineRule="auto"/>
        <w:ind w:firstLine="0" w:firstLineChars="0"/>
        <w:rPr>
          <w:rFonts w:ascii="宋体" w:hAnsi="宋体" w:cs="宋体"/>
          <w:b/>
          <w:color w:val="auto"/>
          <w:sz w:val="32"/>
          <w:szCs w:val="32"/>
          <w:highlight w:val="none"/>
        </w:rPr>
      </w:pPr>
    </w:p>
    <w:p w14:paraId="07D9B0F7">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left"/>
        <w:textAlignment w:val="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eastAsia="zh-CN"/>
        </w:rPr>
        <w:t>柳州市人民医院污水处理服务采购</w:t>
      </w:r>
    </w:p>
    <w:p w14:paraId="6CF14587">
      <w:pPr>
        <w:keepNext w:val="0"/>
        <w:keepLines w:val="0"/>
        <w:pageBreakBefore w:val="0"/>
        <w:widowControl w:val="0"/>
        <w:kinsoku/>
        <w:wordWrap/>
        <w:overflowPunct/>
        <w:topLinePunct w:val="0"/>
        <w:autoSpaceDE/>
        <w:autoSpaceDN/>
        <w:bidi w:val="0"/>
        <w:adjustRightInd/>
        <w:snapToGrid/>
        <w:spacing w:line="480" w:lineRule="auto"/>
        <w:ind w:firstLine="960" w:firstLineChars="300"/>
        <w:jc w:val="left"/>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项目编号：LZZC2025-C3-990106-YTGC</w:t>
      </w:r>
    </w:p>
    <w:p w14:paraId="5D3059AC">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eastAsia="zh-CN"/>
        </w:rPr>
        <w:t>：柳州市人民医院</w:t>
      </w:r>
    </w:p>
    <w:p w14:paraId="3903D33F">
      <w:pPr>
        <w:keepNext w:val="0"/>
        <w:keepLines w:val="0"/>
        <w:pageBreakBefore w:val="0"/>
        <w:widowControl w:val="0"/>
        <w:kinsoku/>
        <w:wordWrap/>
        <w:overflowPunct/>
        <w:topLinePunct w:val="0"/>
        <w:autoSpaceDE/>
        <w:autoSpaceDN/>
        <w:bidi w:val="0"/>
        <w:adjustRightInd/>
        <w:snapToGrid/>
        <w:spacing w:line="480" w:lineRule="auto"/>
        <w:ind w:firstLine="960" w:firstLineChars="300"/>
        <w:textAlignment w:val="auto"/>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广西银泰工程管理有限公司</w:t>
      </w:r>
    </w:p>
    <w:p w14:paraId="77120E60">
      <w:pPr>
        <w:spacing w:line="400" w:lineRule="exact"/>
        <w:ind w:firstLine="1158" w:firstLineChars="362"/>
        <w:rPr>
          <w:rFonts w:hint="eastAsia" w:ascii="宋体" w:hAnsi="宋体" w:cs="宋体"/>
          <w:b/>
          <w:color w:val="auto"/>
          <w:sz w:val="32"/>
          <w:szCs w:val="32"/>
          <w:highlight w:val="none"/>
        </w:rPr>
      </w:pPr>
    </w:p>
    <w:p w14:paraId="0B34DAA8">
      <w:pPr>
        <w:spacing w:line="400" w:lineRule="exact"/>
        <w:ind w:firstLine="0" w:firstLineChars="0"/>
        <w:jc w:val="center"/>
        <w:rPr>
          <w:rFonts w:hint="eastAsia" w:ascii="宋体" w:hAnsi="宋体" w:cs="宋体"/>
          <w:b/>
          <w:color w:val="auto"/>
          <w:sz w:val="32"/>
          <w:szCs w:val="32"/>
          <w:highlight w:val="none"/>
        </w:rPr>
      </w:pPr>
    </w:p>
    <w:p w14:paraId="6F82FD0E">
      <w:pPr>
        <w:spacing w:line="400" w:lineRule="exact"/>
        <w:ind w:firstLine="0" w:firstLineChars="0"/>
        <w:jc w:val="center"/>
        <w:rPr>
          <w:rFonts w:hint="eastAsia" w:ascii="宋体" w:hAnsi="宋体" w:cs="宋体"/>
          <w:b/>
          <w:color w:val="auto"/>
          <w:sz w:val="32"/>
          <w:szCs w:val="32"/>
          <w:highlight w:val="none"/>
        </w:rPr>
      </w:pPr>
    </w:p>
    <w:p w14:paraId="6570AB4B">
      <w:pPr>
        <w:spacing w:line="400" w:lineRule="exact"/>
        <w:ind w:firstLine="0" w:firstLineChars="0"/>
        <w:rPr>
          <w:rFonts w:hint="eastAsia" w:ascii="宋体" w:hAnsi="宋体" w:cs="宋体"/>
          <w:b/>
          <w:color w:val="auto"/>
          <w:sz w:val="32"/>
          <w:szCs w:val="32"/>
          <w:highlight w:val="none"/>
        </w:rPr>
      </w:pPr>
    </w:p>
    <w:p w14:paraId="5B43A46D">
      <w:pPr>
        <w:spacing w:line="400" w:lineRule="exact"/>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03</w:t>
      </w:r>
      <w:r>
        <w:rPr>
          <w:rFonts w:ascii="宋体" w:hAnsi="宋体" w:cs="宋体"/>
          <w:b/>
          <w:color w:val="auto"/>
          <w:sz w:val="32"/>
          <w:szCs w:val="32"/>
          <w:highlight w:val="none"/>
        </w:rPr>
        <w:t>月</w:t>
      </w:r>
    </w:p>
    <w:p w14:paraId="4EC66267">
      <w:pPr>
        <w:widowControl/>
        <w:spacing w:line="240" w:lineRule="auto"/>
        <w:ind w:firstLine="0" w:firstLineChars="0"/>
        <w:jc w:val="left"/>
        <w:rPr>
          <w:rFonts w:hint="eastAsia" w:ascii="宋体" w:hAnsi="宋体" w:cs="宋体"/>
          <w:b/>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pgNumType w:start="0"/>
          <w:cols w:space="720" w:num="1"/>
          <w:docGrid w:type="linesAndChars" w:linePitch="312" w:charSpace="0"/>
        </w:sectPr>
      </w:pPr>
      <w:r>
        <w:rPr>
          <w:rFonts w:hint="eastAsia" w:ascii="宋体" w:hAnsi="宋体" w:cs="宋体"/>
          <w:b/>
          <w:color w:val="auto"/>
          <w:sz w:val="32"/>
          <w:szCs w:val="32"/>
          <w:highlight w:val="none"/>
        </w:rPr>
        <w:br w:type="page"/>
      </w:r>
    </w:p>
    <w:p w14:paraId="0AFD177B">
      <w:pPr>
        <w:spacing w:line="400" w:lineRule="exact"/>
        <w:ind w:firstLine="0" w:firstLineChars="0"/>
        <w:jc w:val="center"/>
        <w:rPr>
          <w:rFonts w:hint="eastAsia" w:ascii="宋体" w:hAnsi="宋体" w:cs="宋体"/>
          <w:b/>
          <w:color w:val="auto"/>
          <w:sz w:val="36"/>
          <w:szCs w:val="36"/>
          <w:highlight w:val="none"/>
        </w:rPr>
      </w:pPr>
    </w:p>
    <w:p w14:paraId="712E913D">
      <w:pPr>
        <w:spacing w:line="400" w:lineRule="exact"/>
        <w:ind w:firstLine="0" w:firstLineChars="0"/>
        <w:jc w:val="center"/>
        <w:rPr>
          <w:rFonts w:hint="eastAsia" w:ascii="宋体" w:hAnsi="宋体" w:cs="宋体"/>
          <w:b/>
          <w:color w:val="auto"/>
          <w:sz w:val="36"/>
          <w:szCs w:val="36"/>
          <w:highlight w:val="none"/>
        </w:rPr>
      </w:pPr>
    </w:p>
    <w:p w14:paraId="3D581CC7">
      <w:pPr>
        <w:spacing w:line="400" w:lineRule="exact"/>
        <w:ind w:firstLine="0" w:firstLineChars="0"/>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目   录</w:t>
      </w:r>
    </w:p>
    <w:p w14:paraId="1F6E3423">
      <w:pPr>
        <w:spacing w:line="400" w:lineRule="exact"/>
        <w:ind w:firstLine="0" w:firstLineChars="0"/>
        <w:jc w:val="center"/>
        <w:rPr>
          <w:rFonts w:hint="eastAsia" w:ascii="宋体" w:hAnsi="宋体" w:cs="宋体"/>
          <w:b/>
          <w:color w:val="auto"/>
          <w:sz w:val="36"/>
          <w:szCs w:val="36"/>
          <w:highlight w:val="none"/>
        </w:rPr>
      </w:pPr>
    </w:p>
    <w:p w14:paraId="1EED86C4">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highlight w:val="none"/>
        </w:rPr>
      </w:pPr>
      <w:r>
        <w:rPr>
          <w:rStyle w:val="57"/>
          <w:rFonts w:ascii="宋体" w:hAnsi="宋体"/>
          <w:b/>
          <w:color w:val="auto"/>
          <w:sz w:val="40"/>
          <w:szCs w:val="40"/>
          <w:highlight w:val="none"/>
        </w:rPr>
        <w:fldChar w:fldCharType="begin"/>
      </w:r>
      <w:r>
        <w:rPr>
          <w:rStyle w:val="57"/>
          <w:rFonts w:ascii="宋体" w:hAnsi="宋体"/>
          <w:b/>
          <w:color w:val="auto"/>
          <w:sz w:val="40"/>
          <w:szCs w:val="40"/>
          <w:highlight w:val="none"/>
        </w:rPr>
        <w:instrText xml:space="preserve"> </w:instrText>
      </w:r>
      <w:r>
        <w:rPr>
          <w:rStyle w:val="57"/>
          <w:rFonts w:hint="eastAsia" w:ascii="宋体" w:hAnsi="宋体"/>
          <w:b/>
          <w:color w:val="auto"/>
          <w:sz w:val="40"/>
          <w:szCs w:val="40"/>
          <w:highlight w:val="none"/>
        </w:rPr>
        <w:instrText xml:space="preserve">TOC \o "1-3" \h \z \u</w:instrText>
      </w:r>
      <w:r>
        <w:rPr>
          <w:rStyle w:val="57"/>
          <w:rFonts w:ascii="宋体" w:hAnsi="宋体"/>
          <w:b/>
          <w:color w:val="auto"/>
          <w:sz w:val="40"/>
          <w:szCs w:val="40"/>
          <w:highlight w:val="none"/>
        </w:rPr>
        <w:instrText xml:space="preserve"> </w:instrText>
      </w:r>
      <w:r>
        <w:rPr>
          <w:rStyle w:val="57"/>
          <w:rFonts w:ascii="宋体" w:hAnsi="宋体"/>
          <w:b/>
          <w:color w:val="auto"/>
          <w:sz w:val="40"/>
          <w:szCs w:val="40"/>
          <w:highlight w:val="none"/>
        </w:rPr>
        <w:fldChar w:fldCharType="separate"/>
      </w:r>
      <w:r>
        <w:rPr>
          <w:rFonts w:ascii="宋体" w:hAnsi="宋体"/>
          <w:color w:val="auto"/>
          <w:sz w:val="28"/>
          <w:szCs w:val="40"/>
          <w:highlight w:val="none"/>
        </w:rPr>
        <w:fldChar w:fldCharType="begin"/>
      </w:r>
      <w:r>
        <w:rPr>
          <w:rFonts w:ascii="宋体" w:hAnsi="宋体"/>
          <w:color w:val="auto"/>
          <w:sz w:val="28"/>
          <w:szCs w:val="40"/>
          <w:highlight w:val="none"/>
        </w:rPr>
        <w:instrText xml:space="preserve"> HYPERLINK \l _Toc28114 </w:instrText>
      </w:r>
      <w:r>
        <w:rPr>
          <w:rFonts w:ascii="宋体" w:hAnsi="宋体"/>
          <w:color w:val="auto"/>
          <w:sz w:val="28"/>
          <w:szCs w:val="40"/>
          <w:highlight w:val="none"/>
        </w:rPr>
        <w:fldChar w:fldCharType="separate"/>
      </w:r>
      <w:r>
        <w:rPr>
          <w:rFonts w:hint="eastAsia" w:ascii="宋体" w:hAnsi="宋体" w:cs="宋体"/>
          <w:color w:val="auto"/>
          <w:sz w:val="28"/>
          <w:szCs w:val="36"/>
          <w:highlight w:val="none"/>
        </w:rPr>
        <w:t>第一章  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_Toc28114 \h </w:instrText>
      </w:r>
      <w:r>
        <w:rPr>
          <w:color w:val="auto"/>
          <w:sz w:val="28"/>
          <w:szCs w:val="36"/>
          <w:highlight w:val="none"/>
        </w:rPr>
        <w:fldChar w:fldCharType="separate"/>
      </w:r>
      <w:r>
        <w:rPr>
          <w:color w:val="auto"/>
          <w:sz w:val="28"/>
          <w:szCs w:val="36"/>
          <w:highlight w:val="none"/>
        </w:rPr>
        <w:t>1</w:t>
      </w:r>
      <w:r>
        <w:rPr>
          <w:color w:val="auto"/>
          <w:sz w:val="28"/>
          <w:szCs w:val="36"/>
          <w:highlight w:val="none"/>
        </w:rPr>
        <w:fldChar w:fldCharType="end"/>
      </w:r>
      <w:r>
        <w:rPr>
          <w:rFonts w:ascii="宋体" w:hAnsi="宋体"/>
          <w:color w:val="auto"/>
          <w:sz w:val="28"/>
          <w:szCs w:val="40"/>
          <w:highlight w:val="none"/>
        </w:rPr>
        <w:fldChar w:fldCharType="end"/>
      </w:r>
    </w:p>
    <w:p w14:paraId="0F6D8F1F">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highlight w:val="none"/>
        </w:rPr>
      </w:pPr>
      <w:r>
        <w:rPr>
          <w:rFonts w:ascii="宋体" w:hAnsi="宋体"/>
          <w:color w:val="auto"/>
          <w:sz w:val="28"/>
          <w:szCs w:val="40"/>
          <w:highlight w:val="none"/>
        </w:rPr>
        <w:fldChar w:fldCharType="begin"/>
      </w:r>
      <w:r>
        <w:rPr>
          <w:rFonts w:ascii="宋体" w:hAnsi="宋体"/>
          <w:color w:val="auto"/>
          <w:sz w:val="28"/>
          <w:szCs w:val="40"/>
          <w:highlight w:val="none"/>
        </w:rPr>
        <w:instrText xml:space="preserve"> HYPERLINK \l _Toc21075 </w:instrText>
      </w:r>
      <w:r>
        <w:rPr>
          <w:rFonts w:ascii="宋体" w:hAnsi="宋体"/>
          <w:color w:val="auto"/>
          <w:sz w:val="28"/>
          <w:szCs w:val="40"/>
          <w:highlight w:val="none"/>
        </w:rPr>
        <w:fldChar w:fldCharType="separate"/>
      </w:r>
      <w:r>
        <w:rPr>
          <w:rFonts w:hint="eastAsia" w:ascii="宋体" w:hAnsi="宋体" w:cs="宋体"/>
          <w:color w:val="auto"/>
          <w:sz w:val="28"/>
          <w:szCs w:val="36"/>
          <w:highlight w:val="none"/>
        </w:rPr>
        <w:t xml:space="preserve">第二章  </w:t>
      </w:r>
      <w:r>
        <w:rPr>
          <w:rFonts w:hint="eastAsia" w:ascii="宋体" w:hAnsi="宋体" w:cs="宋体"/>
          <w:color w:val="auto"/>
          <w:sz w:val="28"/>
          <w:szCs w:val="36"/>
          <w:highlight w:val="none"/>
          <w:lang w:eastAsia="zh-CN"/>
        </w:rPr>
        <w:t>供应商</w:t>
      </w:r>
      <w:r>
        <w:rPr>
          <w:rFonts w:hint="eastAsia" w:ascii="宋体" w:hAnsi="宋体" w:cs="宋体"/>
          <w:color w:val="auto"/>
          <w:sz w:val="28"/>
          <w:szCs w:val="36"/>
          <w:highlight w:val="none"/>
        </w:rPr>
        <w:t>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_Toc21075 \h </w:instrText>
      </w:r>
      <w:r>
        <w:rPr>
          <w:color w:val="auto"/>
          <w:sz w:val="28"/>
          <w:szCs w:val="36"/>
          <w:highlight w:val="none"/>
        </w:rPr>
        <w:fldChar w:fldCharType="separate"/>
      </w:r>
      <w:r>
        <w:rPr>
          <w:color w:val="auto"/>
          <w:sz w:val="28"/>
          <w:szCs w:val="36"/>
          <w:highlight w:val="none"/>
        </w:rPr>
        <w:t>4</w:t>
      </w:r>
      <w:r>
        <w:rPr>
          <w:color w:val="auto"/>
          <w:sz w:val="28"/>
          <w:szCs w:val="36"/>
          <w:highlight w:val="none"/>
        </w:rPr>
        <w:fldChar w:fldCharType="end"/>
      </w:r>
      <w:r>
        <w:rPr>
          <w:rFonts w:ascii="宋体" w:hAnsi="宋体"/>
          <w:color w:val="auto"/>
          <w:sz w:val="28"/>
          <w:szCs w:val="40"/>
          <w:highlight w:val="none"/>
        </w:rPr>
        <w:fldChar w:fldCharType="end"/>
      </w:r>
    </w:p>
    <w:p w14:paraId="278DCAC9">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highlight w:val="none"/>
        </w:rPr>
      </w:pPr>
      <w:r>
        <w:rPr>
          <w:rFonts w:ascii="宋体" w:hAnsi="宋体"/>
          <w:color w:val="auto"/>
          <w:sz w:val="28"/>
          <w:szCs w:val="40"/>
          <w:highlight w:val="none"/>
        </w:rPr>
        <w:fldChar w:fldCharType="begin"/>
      </w:r>
      <w:r>
        <w:rPr>
          <w:rFonts w:ascii="宋体" w:hAnsi="宋体"/>
          <w:color w:val="auto"/>
          <w:sz w:val="28"/>
          <w:szCs w:val="40"/>
          <w:highlight w:val="none"/>
        </w:rPr>
        <w:instrText xml:space="preserve"> HYPERLINK \l _Toc9112 </w:instrText>
      </w:r>
      <w:r>
        <w:rPr>
          <w:rFonts w:ascii="宋体" w:hAnsi="宋体"/>
          <w:color w:val="auto"/>
          <w:sz w:val="28"/>
          <w:szCs w:val="40"/>
          <w:highlight w:val="none"/>
        </w:rPr>
        <w:fldChar w:fldCharType="separate"/>
      </w:r>
      <w:r>
        <w:rPr>
          <w:rFonts w:hint="eastAsia" w:ascii="宋体" w:hAnsi="宋体" w:cs="宋体"/>
          <w:color w:val="auto"/>
          <w:sz w:val="28"/>
          <w:szCs w:val="36"/>
          <w:highlight w:val="none"/>
        </w:rPr>
        <w:t>第三章</w:t>
      </w:r>
      <w:r>
        <w:rPr>
          <w:rFonts w:hint="eastAsia" w:ascii="宋体" w:hAnsi="宋体" w:cs="宋体"/>
          <w:color w:val="auto"/>
          <w:sz w:val="28"/>
          <w:szCs w:val="36"/>
          <w:highlight w:val="none"/>
          <w:lang w:eastAsia="zh-CN"/>
        </w:rPr>
        <w:t xml:space="preserve"> </w:t>
      </w:r>
      <w:r>
        <w:rPr>
          <w:rFonts w:hint="eastAsia" w:ascii="宋体" w:hAnsi="宋体" w:cs="宋体"/>
          <w:color w:val="auto"/>
          <w:sz w:val="28"/>
          <w:szCs w:val="36"/>
          <w:highlight w:val="none"/>
        </w:rPr>
        <w:t>采购需求</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_Toc9112 \h </w:instrText>
      </w:r>
      <w:r>
        <w:rPr>
          <w:color w:val="auto"/>
          <w:sz w:val="28"/>
          <w:szCs w:val="36"/>
          <w:highlight w:val="none"/>
        </w:rPr>
        <w:fldChar w:fldCharType="separate"/>
      </w:r>
      <w:r>
        <w:rPr>
          <w:color w:val="auto"/>
          <w:sz w:val="28"/>
          <w:szCs w:val="36"/>
          <w:highlight w:val="none"/>
        </w:rPr>
        <w:t>23</w:t>
      </w:r>
      <w:r>
        <w:rPr>
          <w:color w:val="auto"/>
          <w:sz w:val="28"/>
          <w:szCs w:val="36"/>
          <w:highlight w:val="none"/>
        </w:rPr>
        <w:fldChar w:fldCharType="end"/>
      </w:r>
      <w:r>
        <w:rPr>
          <w:rFonts w:ascii="宋体" w:hAnsi="宋体"/>
          <w:color w:val="auto"/>
          <w:sz w:val="28"/>
          <w:szCs w:val="40"/>
          <w:highlight w:val="none"/>
        </w:rPr>
        <w:fldChar w:fldCharType="end"/>
      </w:r>
    </w:p>
    <w:p w14:paraId="3C1EF7BF">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highlight w:val="none"/>
        </w:rPr>
      </w:pPr>
      <w:r>
        <w:rPr>
          <w:rFonts w:ascii="宋体" w:hAnsi="宋体"/>
          <w:color w:val="auto"/>
          <w:sz w:val="28"/>
          <w:szCs w:val="40"/>
          <w:highlight w:val="none"/>
        </w:rPr>
        <w:fldChar w:fldCharType="begin"/>
      </w:r>
      <w:r>
        <w:rPr>
          <w:rFonts w:ascii="宋体" w:hAnsi="宋体"/>
          <w:color w:val="auto"/>
          <w:sz w:val="28"/>
          <w:szCs w:val="40"/>
          <w:highlight w:val="none"/>
        </w:rPr>
        <w:instrText xml:space="preserve"> HYPERLINK \l _Toc1917 </w:instrText>
      </w:r>
      <w:r>
        <w:rPr>
          <w:rFonts w:ascii="宋体" w:hAnsi="宋体"/>
          <w:color w:val="auto"/>
          <w:sz w:val="28"/>
          <w:szCs w:val="40"/>
          <w:highlight w:val="none"/>
        </w:rPr>
        <w:fldChar w:fldCharType="separate"/>
      </w:r>
      <w:r>
        <w:rPr>
          <w:rFonts w:hint="eastAsia" w:ascii="宋体" w:hAnsi="宋体" w:cs="宋体"/>
          <w:color w:val="auto"/>
          <w:sz w:val="28"/>
          <w:szCs w:val="36"/>
          <w:highlight w:val="none"/>
        </w:rPr>
        <w:t xml:space="preserve">第四章  </w:t>
      </w:r>
      <w:r>
        <w:rPr>
          <w:rFonts w:hint="eastAsia"/>
          <w:color w:val="auto"/>
          <w:sz w:val="28"/>
          <w:szCs w:val="36"/>
          <w:highlight w:val="none"/>
        </w:rPr>
        <w:t>评审程序、评审方法和评审标准</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_Toc1917 \h </w:instrText>
      </w:r>
      <w:r>
        <w:rPr>
          <w:color w:val="auto"/>
          <w:sz w:val="28"/>
          <w:szCs w:val="36"/>
          <w:highlight w:val="none"/>
        </w:rPr>
        <w:fldChar w:fldCharType="separate"/>
      </w:r>
      <w:r>
        <w:rPr>
          <w:color w:val="auto"/>
          <w:sz w:val="28"/>
          <w:szCs w:val="36"/>
          <w:highlight w:val="none"/>
        </w:rPr>
        <w:t>29</w:t>
      </w:r>
      <w:r>
        <w:rPr>
          <w:color w:val="auto"/>
          <w:sz w:val="28"/>
          <w:szCs w:val="36"/>
          <w:highlight w:val="none"/>
        </w:rPr>
        <w:fldChar w:fldCharType="end"/>
      </w:r>
      <w:r>
        <w:rPr>
          <w:rFonts w:ascii="宋体" w:hAnsi="宋体"/>
          <w:color w:val="auto"/>
          <w:sz w:val="28"/>
          <w:szCs w:val="40"/>
          <w:highlight w:val="none"/>
        </w:rPr>
        <w:fldChar w:fldCharType="end"/>
      </w:r>
    </w:p>
    <w:p w14:paraId="4F1D4716">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highlight w:val="none"/>
        </w:rPr>
      </w:pPr>
      <w:r>
        <w:rPr>
          <w:rFonts w:ascii="宋体" w:hAnsi="宋体"/>
          <w:color w:val="auto"/>
          <w:sz w:val="28"/>
          <w:szCs w:val="40"/>
          <w:highlight w:val="none"/>
        </w:rPr>
        <w:fldChar w:fldCharType="begin"/>
      </w:r>
      <w:r>
        <w:rPr>
          <w:rFonts w:ascii="宋体" w:hAnsi="宋体"/>
          <w:color w:val="auto"/>
          <w:sz w:val="28"/>
          <w:szCs w:val="40"/>
          <w:highlight w:val="none"/>
        </w:rPr>
        <w:instrText xml:space="preserve"> HYPERLINK \l _Toc29472 </w:instrText>
      </w:r>
      <w:r>
        <w:rPr>
          <w:rFonts w:ascii="宋体" w:hAnsi="宋体"/>
          <w:color w:val="auto"/>
          <w:sz w:val="28"/>
          <w:szCs w:val="40"/>
          <w:highlight w:val="none"/>
        </w:rPr>
        <w:fldChar w:fldCharType="separate"/>
      </w:r>
      <w:r>
        <w:rPr>
          <w:rFonts w:hint="eastAsia" w:ascii="宋体" w:hAnsi="宋体" w:cs="宋体"/>
          <w:color w:val="auto"/>
          <w:sz w:val="28"/>
          <w:szCs w:val="36"/>
          <w:highlight w:val="none"/>
        </w:rPr>
        <w:t>第五章  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_Toc29472 \h </w:instrText>
      </w:r>
      <w:r>
        <w:rPr>
          <w:color w:val="auto"/>
          <w:sz w:val="28"/>
          <w:szCs w:val="36"/>
          <w:highlight w:val="none"/>
        </w:rPr>
        <w:fldChar w:fldCharType="separate"/>
      </w:r>
      <w:r>
        <w:rPr>
          <w:color w:val="auto"/>
          <w:sz w:val="28"/>
          <w:szCs w:val="36"/>
          <w:highlight w:val="none"/>
        </w:rPr>
        <w:t>45</w:t>
      </w:r>
      <w:r>
        <w:rPr>
          <w:color w:val="auto"/>
          <w:sz w:val="28"/>
          <w:szCs w:val="36"/>
          <w:highlight w:val="none"/>
        </w:rPr>
        <w:fldChar w:fldCharType="end"/>
      </w:r>
      <w:r>
        <w:rPr>
          <w:rFonts w:ascii="宋体" w:hAnsi="宋体"/>
          <w:color w:val="auto"/>
          <w:sz w:val="28"/>
          <w:szCs w:val="40"/>
          <w:highlight w:val="none"/>
        </w:rPr>
        <w:fldChar w:fldCharType="end"/>
      </w:r>
    </w:p>
    <w:p w14:paraId="18D02F29">
      <w:pPr>
        <w:pStyle w:val="42"/>
        <w:keepNext w:val="0"/>
        <w:keepLines w:val="0"/>
        <w:pageBreakBefore w:val="0"/>
        <w:widowControl w:val="0"/>
        <w:tabs>
          <w:tab w:val="right" w:leader="dot" w:pos="9638"/>
          <w:tab w:val="clear" w:pos="8450"/>
        </w:tabs>
        <w:kinsoku/>
        <w:wordWrap/>
        <w:overflowPunct/>
        <w:topLinePunct w:val="0"/>
        <w:autoSpaceDE/>
        <w:autoSpaceDN/>
        <w:bidi w:val="0"/>
        <w:adjustRightInd/>
        <w:snapToGrid/>
        <w:spacing w:line="360" w:lineRule="auto"/>
        <w:ind w:left="0" w:leftChars="0" w:firstLine="0" w:firstLineChars="0"/>
        <w:textAlignment w:val="auto"/>
        <w:rPr>
          <w:color w:val="auto"/>
          <w:sz w:val="28"/>
          <w:szCs w:val="36"/>
          <w:highlight w:val="none"/>
        </w:rPr>
      </w:pPr>
      <w:r>
        <w:rPr>
          <w:rFonts w:ascii="宋体" w:hAnsi="宋体"/>
          <w:color w:val="auto"/>
          <w:sz w:val="28"/>
          <w:szCs w:val="40"/>
          <w:highlight w:val="none"/>
        </w:rPr>
        <w:fldChar w:fldCharType="begin"/>
      </w:r>
      <w:r>
        <w:rPr>
          <w:rFonts w:ascii="宋体" w:hAnsi="宋体"/>
          <w:color w:val="auto"/>
          <w:sz w:val="28"/>
          <w:szCs w:val="40"/>
          <w:highlight w:val="none"/>
        </w:rPr>
        <w:instrText xml:space="preserve"> HYPERLINK \l _Toc28981 </w:instrText>
      </w:r>
      <w:r>
        <w:rPr>
          <w:rFonts w:ascii="宋体" w:hAnsi="宋体"/>
          <w:color w:val="auto"/>
          <w:sz w:val="28"/>
          <w:szCs w:val="40"/>
          <w:highlight w:val="none"/>
        </w:rPr>
        <w:fldChar w:fldCharType="separate"/>
      </w:r>
      <w:r>
        <w:rPr>
          <w:rFonts w:hint="eastAsia" w:ascii="宋体" w:hAnsi="宋体" w:cs="宋体"/>
          <w:color w:val="auto"/>
          <w:sz w:val="28"/>
          <w:szCs w:val="36"/>
          <w:highlight w:val="none"/>
        </w:rPr>
        <w:t>第六章 合同</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_Toc28981 \h </w:instrText>
      </w:r>
      <w:r>
        <w:rPr>
          <w:color w:val="auto"/>
          <w:sz w:val="28"/>
          <w:szCs w:val="36"/>
          <w:highlight w:val="none"/>
        </w:rPr>
        <w:fldChar w:fldCharType="separate"/>
      </w:r>
      <w:r>
        <w:rPr>
          <w:color w:val="auto"/>
          <w:sz w:val="28"/>
          <w:szCs w:val="36"/>
          <w:highlight w:val="none"/>
        </w:rPr>
        <w:t>68</w:t>
      </w:r>
      <w:r>
        <w:rPr>
          <w:color w:val="auto"/>
          <w:sz w:val="28"/>
          <w:szCs w:val="36"/>
          <w:highlight w:val="none"/>
        </w:rPr>
        <w:fldChar w:fldCharType="end"/>
      </w:r>
      <w:r>
        <w:rPr>
          <w:rFonts w:ascii="宋体" w:hAnsi="宋体"/>
          <w:color w:val="auto"/>
          <w:sz w:val="28"/>
          <w:szCs w:val="40"/>
          <w:highlight w:val="none"/>
        </w:rPr>
        <w:fldChar w:fldCharType="end"/>
      </w:r>
    </w:p>
    <w:p w14:paraId="045DBFA1">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562"/>
        <w:textAlignment w:val="auto"/>
        <w:rPr>
          <w:rStyle w:val="57"/>
          <w:rFonts w:hint="eastAsia"/>
          <w:color w:val="auto"/>
          <w:sz w:val="32"/>
          <w:szCs w:val="32"/>
          <w:highlight w:val="none"/>
        </w:rPr>
      </w:pPr>
      <w:r>
        <w:rPr>
          <w:rFonts w:ascii="宋体" w:hAnsi="宋体"/>
          <w:color w:val="auto"/>
          <w:sz w:val="28"/>
          <w:szCs w:val="40"/>
          <w:highlight w:val="none"/>
        </w:rPr>
        <w:fldChar w:fldCharType="end"/>
      </w:r>
    </w:p>
    <w:p w14:paraId="44C49A89">
      <w:pPr>
        <w:spacing w:line="480" w:lineRule="auto"/>
        <w:ind w:firstLine="643"/>
        <w:jc w:val="left"/>
        <w:rPr>
          <w:rFonts w:hint="eastAsia" w:ascii="宋体" w:hAnsi="宋体" w:cs="宋体"/>
          <w:b/>
          <w:color w:val="auto"/>
          <w:sz w:val="32"/>
          <w:szCs w:val="32"/>
          <w:highlight w:val="none"/>
        </w:rPr>
      </w:pPr>
    </w:p>
    <w:p w14:paraId="452708C5">
      <w:pPr>
        <w:spacing w:line="400" w:lineRule="exact"/>
        <w:ind w:firstLine="643"/>
        <w:jc w:val="center"/>
        <w:rPr>
          <w:rFonts w:hint="eastAsia" w:ascii="宋体" w:hAnsi="宋体" w:cs="宋体"/>
          <w:b/>
          <w:color w:val="auto"/>
          <w:sz w:val="32"/>
          <w:szCs w:val="32"/>
          <w:highlight w:val="none"/>
        </w:rPr>
      </w:pPr>
    </w:p>
    <w:p w14:paraId="370CD609">
      <w:pPr>
        <w:spacing w:line="400" w:lineRule="exact"/>
        <w:ind w:firstLine="643"/>
        <w:jc w:val="center"/>
        <w:rPr>
          <w:rFonts w:hint="eastAsia" w:ascii="宋体" w:hAnsi="宋体" w:cs="宋体"/>
          <w:b/>
          <w:color w:val="auto"/>
          <w:sz w:val="32"/>
          <w:szCs w:val="32"/>
          <w:highlight w:val="none"/>
        </w:rPr>
      </w:pPr>
    </w:p>
    <w:p w14:paraId="3443B0EF">
      <w:pPr>
        <w:spacing w:line="400" w:lineRule="exact"/>
        <w:ind w:firstLine="643"/>
        <w:jc w:val="center"/>
        <w:rPr>
          <w:rFonts w:hint="eastAsia" w:ascii="宋体" w:hAnsi="宋体" w:cs="宋体"/>
          <w:b/>
          <w:color w:val="auto"/>
          <w:sz w:val="32"/>
          <w:szCs w:val="32"/>
          <w:highlight w:val="none"/>
        </w:rPr>
      </w:pPr>
    </w:p>
    <w:p w14:paraId="54830BC5">
      <w:pPr>
        <w:spacing w:line="400" w:lineRule="exact"/>
        <w:ind w:firstLine="643"/>
        <w:jc w:val="center"/>
        <w:rPr>
          <w:rFonts w:hint="eastAsia" w:ascii="宋体" w:hAnsi="宋体" w:cs="宋体"/>
          <w:b/>
          <w:color w:val="auto"/>
          <w:sz w:val="32"/>
          <w:szCs w:val="32"/>
          <w:highlight w:val="none"/>
        </w:rPr>
      </w:pPr>
    </w:p>
    <w:p w14:paraId="44D8B41C">
      <w:pPr>
        <w:spacing w:line="400" w:lineRule="exact"/>
        <w:ind w:firstLine="643"/>
        <w:jc w:val="center"/>
        <w:rPr>
          <w:rFonts w:hint="eastAsia" w:ascii="宋体" w:hAnsi="宋体" w:cs="宋体"/>
          <w:b/>
          <w:color w:val="auto"/>
          <w:sz w:val="32"/>
          <w:szCs w:val="32"/>
          <w:highlight w:val="none"/>
        </w:rPr>
      </w:pPr>
    </w:p>
    <w:p w14:paraId="6603BB17">
      <w:pPr>
        <w:pStyle w:val="3"/>
        <w:spacing w:line="420" w:lineRule="exact"/>
        <w:ind w:firstLine="0" w:firstLineChars="0"/>
        <w:jc w:val="center"/>
        <w:rPr>
          <w:rFonts w:hint="eastAsia" w:ascii="宋体" w:hAnsi="宋体" w:cs="宋体"/>
          <w:color w:val="auto"/>
          <w:highlight w:val="none"/>
        </w:rPr>
        <w:sectPr>
          <w:headerReference r:id="rId11" w:type="default"/>
          <w:footerReference r:id="rId12" w:type="default"/>
          <w:pgSz w:w="11906" w:h="16838"/>
          <w:pgMar w:top="1134" w:right="1134" w:bottom="1134" w:left="1134" w:header="851" w:footer="992" w:gutter="0"/>
          <w:cols w:space="720" w:num="1"/>
          <w:docGrid w:type="linesAndChars" w:linePitch="312" w:charSpace="0"/>
        </w:sectPr>
      </w:pPr>
      <w:bookmarkStart w:id="0" w:name="_Toc89760756"/>
      <w:bookmarkStart w:id="1" w:name="_Toc3395201"/>
    </w:p>
    <w:bookmarkEnd w:id="0"/>
    <w:bookmarkEnd w:id="1"/>
    <w:p w14:paraId="5874D540">
      <w:pPr>
        <w:pStyle w:val="3"/>
        <w:spacing w:line="420" w:lineRule="exact"/>
        <w:ind w:firstLine="0" w:firstLineChars="0"/>
        <w:jc w:val="center"/>
        <w:rPr>
          <w:rFonts w:hint="eastAsia" w:ascii="宋体" w:hAnsi="宋体" w:cs="宋体"/>
          <w:color w:val="auto"/>
          <w:highlight w:val="none"/>
        </w:rPr>
      </w:pPr>
      <w:bookmarkStart w:id="2" w:name="_Toc28114"/>
      <w:r>
        <w:rPr>
          <w:rFonts w:hint="eastAsia" w:ascii="宋体" w:hAnsi="宋体" w:cs="宋体"/>
          <w:color w:val="auto"/>
          <w:highlight w:val="none"/>
        </w:rPr>
        <w:t>第一章  竞争性磋商公告</w:t>
      </w:r>
      <w:bookmarkEnd w:id="2"/>
    </w:p>
    <w:p w14:paraId="57156C68">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仿宋"/>
          <w:color w:val="auto"/>
          <w:szCs w:val="21"/>
          <w:highlight w:val="none"/>
        </w:rPr>
      </w:pPr>
      <w:r>
        <w:rPr>
          <w:rFonts w:hint="eastAsia" w:ascii="宋体" w:hAnsi="宋体" w:cs="仿宋"/>
          <w:color w:val="auto"/>
          <w:szCs w:val="21"/>
          <w:highlight w:val="none"/>
        </w:rPr>
        <w:t>项目概况</w:t>
      </w:r>
    </w:p>
    <w:p w14:paraId="432C302F">
      <w:pPr>
        <w:pBdr>
          <w:top w:val="single" w:color="auto" w:sz="4" w:space="1"/>
          <w:left w:val="single" w:color="auto" w:sz="4" w:space="4"/>
          <w:bottom w:val="single" w:color="auto" w:sz="4" w:space="1"/>
          <w:right w:val="single" w:color="auto" w:sz="4" w:space="4"/>
        </w:pBdr>
        <w:spacing w:line="420" w:lineRule="exact"/>
        <w:ind w:firstLine="420"/>
        <w:jc w:val="left"/>
        <w:rPr>
          <w:rFonts w:ascii="宋体" w:hAnsi="宋体" w:cs="仿宋"/>
          <w:color w:val="auto"/>
          <w:szCs w:val="21"/>
          <w:highlight w:val="none"/>
        </w:rPr>
      </w:pPr>
      <w:r>
        <w:rPr>
          <w:rFonts w:hint="eastAsia" w:ascii="宋体" w:hAnsi="宋体" w:cs="仿宋"/>
          <w:color w:val="auto"/>
          <w:szCs w:val="21"/>
          <w:highlight w:val="none"/>
          <w:lang w:eastAsia="zh-CN"/>
        </w:rPr>
        <w:t>柳州市人民医院污水处理服务采购</w:t>
      </w:r>
      <w:r>
        <w:rPr>
          <w:rFonts w:hint="eastAsia" w:ascii="宋体" w:hAnsi="宋体" w:cs="仿宋"/>
          <w:color w:val="auto"/>
          <w:szCs w:val="21"/>
          <w:highlight w:val="none"/>
        </w:rPr>
        <w:t>项</w:t>
      </w:r>
      <w:r>
        <w:rPr>
          <w:rFonts w:hint="eastAsia" w:ascii="宋体" w:hAnsi="宋体" w:cs="仿宋"/>
          <w:color w:val="auto"/>
          <w:szCs w:val="21"/>
          <w:highlight w:val="none"/>
        </w:rPr>
        <w:t>目的潜在供应商应在</w:t>
      </w:r>
      <w:r>
        <w:rPr>
          <w:rFonts w:hint="eastAsia" w:hAnsi="宋体"/>
          <w:iCs/>
          <w:color w:val="auto"/>
          <w:highlight w:val="none"/>
          <w:lang w:eastAsia="zh-CN"/>
        </w:rPr>
        <w:t>广西政府采购云平台</w:t>
      </w:r>
      <w:r>
        <w:rPr>
          <w:rFonts w:hint="eastAsia" w:hAnsi="宋体"/>
          <w:iCs/>
          <w:color w:val="auto"/>
          <w:highlight w:val="none"/>
        </w:rPr>
        <w:t>（</w:t>
      </w:r>
      <w:r>
        <w:rPr>
          <w:rFonts w:hint="eastAsia" w:hAnsi="宋体"/>
          <w:iCs/>
          <w:color w:val="auto"/>
          <w:highlight w:val="none"/>
          <w:lang w:eastAsia="zh-CN"/>
        </w:rPr>
        <w:t>https://www.gcy.zfcg.gxzf.gov.cn/</w:t>
      </w:r>
      <w:r>
        <w:rPr>
          <w:rFonts w:hint="eastAsia" w:hAnsi="宋体"/>
          <w:iCs/>
          <w:color w:val="auto"/>
          <w:highlight w:val="none"/>
        </w:rPr>
        <w:t>）</w:t>
      </w:r>
      <w:r>
        <w:rPr>
          <w:rFonts w:hint="eastAsia" w:ascii="宋体" w:hAnsi="宋体" w:cs="仿宋"/>
          <w:color w:val="auto"/>
          <w:szCs w:val="21"/>
          <w:highlight w:val="none"/>
        </w:rPr>
        <w:t>获取采购文件，并于</w:t>
      </w:r>
      <w:r>
        <w:rPr>
          <w:rFonts w:hint="eastAsia" w:ascii="宋体" w:hAnsi="宋体" w:cs="仿宋"/>
          <w:bCs/>
          <w:color w:val="auto"/>
          <w:szCs w:val="21"/>
          <w:highlight w:val="none"/>
        </w:rPr>
        <w:t>202</w:t>
      </w:r>
      <w:r>
        <w:rPr>
          <w:rFonts w:hint="eastAsia" w:ascii="宋体" w:hAnsi="宋体" w:cs="仿宋"/>
          <w:bCs/>
          <w:color w:val="auto"/>
          <w:szCs w:val="21"/>
          <w:highlight w:val="none"/>
          <w:lang w:val="en-US" w:eastAsia="zh-CN"/>
        </w:rPr>
        <w:t>5</w:t>
      </w:r>
      <w:r>
        <w:rPr>
          <w:rFonts w:hint="eastAsia" w:ascii="宋体" w:hAnsi="宋体" w:cs="仿宋"/>
          <w:bCs/>
          <w:color w:val="auto"/>
          <w:szCs w:val="21"/>
          <w:highlight w:val="none"/>
        </w:rPr>
        <w:t>年0</w:t>
      </w:r>
      <w:r>
        <w:rPr>
          <w:rFonts w:hint="eastAsia" w:ascii="宋体" w:hAnsi="宋体" w:cs="仿宋"/>
          <w:bCs/>
          <w:color w:val="auto"/>
          <w:szCs w:val="21"/>
          <w:highlight w:val="none"/>
          <w:lang w:val="en-US" w:eastAsia="zh-CN"/>
        </w:rPr>
        <w:t>4</w:t>
      </w:r>
      <w:r>
        <w:rPr>
          <w:rFonts w:hint="eastAsia" w:ascii="宋体" w:hAnsi="宋体" w:cs="仿宋"/>
          <w:bCs/>
          <w:color w:val="auto"/>
          <w:szCs w:val="21"/>
          <w:highlight w:val="none"/>
        </w:rPr>
        <w:t>月</w:t>
      </w:r>
      <w:r>
        <w:rPr>
          <w:rFonts w:hint="eastAsia" w:ascii="宋体" w:hAnsi="宋体" w:cs="仿宋"/>
          <w:bCs/>
          <w:color w:val="auto"/>
          <w:szCs w:val="21"/>
          <w:highlight w:val="none"/>
          <w:lang w:val="en-US" w:eastAsia="zh-CN"/>
        </w:rPr>
        <w:t>08</w:t>
      </w:r>
      <w:r>
        <w:rPr>
          <w:rFonts w:hint="eastAsia" w:ascii="宋体" w:hAnsi="宋体" w:cs="仿宋"/>
          <w:bCs/>
          <w:color w:val="auto"/>
          <w:szCs w:val="21"/>
          <w:highlight w:val="none"/>
        </w:rPr>
        <w:t>日</w:t>
      </w:r>
      <w:r>
        <w:rPr>
          <w:rFonts w:hint="eastAsia" w:ascii="宋体" w:hAnsi="宋体" w:cs="仿宋"/>
          <w:bCs/>
          <w:color w:val="auto"/>
          <w:szCs w:val="21"/>
          <w:highlight w:val="none"/>
        </w:rPr>
        <w:t>09:</w:t>
      </w:r>
      <w:r>
        <w:rPr>
          <w:rFonts w:hint="eastAsia" w:ascii="宋体" w:hAnsi="宋体" w:cs="仿宋"/>
          <w:bCs/>
          <w:color w:val="auto"/>
          <w:szCs w:val="21"/>
          <w:highlight w:val="none"/>
          <w:lang w:val="en-US" w:eastAsia="zh-CN"/>
        </w:rPr>
        <w:t>2</w:t>
      </w:r>
      <w:r>
        <w:rPr>
          <w:rFonts w:hint="eastAsia" w:ascii="宋体" w:hAnsi="宋体" w:cs="仿宋"/>
          <w:bCs/>
          <w:color w:val="auto"/>
          <w:szCs w:val="21"/>
          <w:highlight w:val="none"/>
        </w:rPr>
        <w:t>0（北京时间）前提交响应文件</w:t>
      </w:r>
      <w:r>
        <w:rPr>
          <w:rFonts w:hint="eastAsia" w:ascii="宋体" w:hAnsi="宋体" w:cs="仿宋"/>
          <w:color w:val="auto"/>
          <w:szCs w:val="21"/>
          <w:highlight w:val="none"/>
        </w:rPr>
        <w:t>。</w:t>
      </w:r>
    </w:p>
    <w:p w14:paraId="450115C2">
      <w:pPr>
        <w:pStyle w:val="3"/>
        <w:spacing w:before="0" w:after="0" w:line="420" w:lineRule="exact"/>
        <w:ind w:firstLine="422"/>
        <w:rPr>
          <w:rFonts w:ascii="宋体" w:hAnsi="宋体" w:cs="仿宋"/>
          <w:bCs w:val="0"/>
          <w:color w:val="auto"/>
          <w:sz w:val="21"/>
          <w:szCs w:val="21"/>
          <w:highlight w:val="none"/>
        </w:rPr>
      </w:pPr>
      <w:bookmarkStart w:id="3" w:name="_Toc28359089"/>
      <w:bookmarkStart w:id="4" w:name="_Toc14271"/>
      <w:bookmarkStart w:id="5" w:name="_Toc35393629"/>
      <w:bookmarkStart w:id="6" w:name="_Toc89760757"/>
      <w:bookmarkStart w:id="7" w:name="_Toc118483106"/>
      <w:bookmarkStart w:id="8" w:name="_Toc28359012"/>
      <w:bookmarkStart w:id="9" w:name="_Toc35393798"/>
      <w:bookmarkStart w:id="10" w:name="_Toc44405609"/>
      <w:bookmarkStart w:id="11" w:name="_Toc55053339"/>
      <w:r>
        <w:rPr>
          <w:rFonts w:hint="eastAsia" w:ascii="宋体" w:hAnsi="宋体" w:cs="仿宋"/>
          <w:bCs w:val="0"/>
          <w:color w:val="auto"/>
          <w:sz w:val="21"/>
          <w:szCs w:val="21"/>
          <w:highlight w:val="none"/>
        </w:rPr>
        <w:t>一、项目基本情况</w:t>
      </w:r>
      <w:bookmarkEnd w:id="3"/>
      <w:bookmarkEnd w:id="4"/>
      <w:bookmarkEnd w:id="5"/>
      <w:bookmarkEnd w:id="6"/>
      <w:bookmarkEnd w:id="7"/>
      <w:bookmarkEnd w:id="8"/>
      <w:bookmarkEnd w:id="9"/>
      <w:bookmarkEnd w:id="10"/>
      <w:bookmarkEnd w:id="11"/>
    </w:p>
    <w:p w14:paraId="070E90B3">
      <w:pPr>
        <w:spacing w:line="420" w:lineRule="exact"/>
        <w:ind w:firstLine="42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项目编号：LZZC2025-C3-990106-YTGC</w:t>
      </w:r>
    </w:p>
    <w:p w14:paraId="0AFE2D05">
      <w:pPr>
        <w:spacing w:line="420" w:lineRule="exact"/>
        <w:ind w:firstLine="420"/>
        <w:rPr>
          <w:rFonts w:hint="eastAsia" w:ascii="宋体" w:hAnsi="宋体" w:eastAsia="宋体" w:cs="仿宋"/>
          <w:color w:val="auto"/>
          <w:szCs w:val="21"/>
          <w:highlight w:val="none"/>
          <w:u w:val="single"/>
          <w:lang w:eastAsia="zh-CN"/>
        </w:rPr>
      </w:pPr>
      <w:r>
        <w:rPr>
          <w:rFonts w:hint="eastAsia" w:ascii="宋体" w:hAnsi="宋体" w:cs="仿宋"/>
          <w:color w:val="auto"/>
          <w:szCs w:val="21"/>
          <w:highlight w:val="none"/>
        </w:rPr>
        <w:t>项目名</w:t>
      </w:r>
      <w:r>
        <w:rPr>
          <w:rFonts w:hint="eastAsia" w:ascii="宋体" w:hAnsi="宋体" w:cs="仿宋"/>
          <w:color w:val="auto"/>
          <w:szCs w:val="21"/>
          <w:highlight w:val="none"/>
        </w:rPr>
        <w:t>称：</w:t>
      </w:r>
      <w:r>
        <w:rPr>
          <w:rFonts w:hint="eastAsia" w:ascii="宋体" w:hAnsi="宋体" w:cs="仿宋"/>
          <w:color w:val="auto"/>
          <w:szCs w:val="21"/>
          <w:highlight w:val="none"/>
          <w:lang w:eastAsia="zh-CN"/>
        </w:rPr>
        <w:t>柳州市人民医院污水处理服务采购</w:t>
      </w:r>
    </w:p>
    <w:p w14:paraId="4B75C39E">
      <w:pPr>
        <w:spacing w:line="420" w:lineRule="exact"/>
        <w:ind w:firstLine="420"/>
        <w:rPr>
          <w:rFonts w:hint="eastAsia" w:ascii="宋体" w:hAnsi="宋体" w:cs="仿宋"/>
          <w:color w:val="auto"/>
          <w:szCs w:val="21"/>
          <w:highlight w:val="none"/>
        </w:rPr>
      </w:pPr>
      <w:r>
        <w:rPr>
          <w:rFonts w:hint="eastAsia" w:ascii="宋体" w:hAnsi="宋体" w:cs="仿宋"/>
          <w:color w:val="auto"/>
          <w:szCs w:val="21"/>
          <w:highlight w:val="none"/>
        </w:rPr>
        <w:t>采购方式：竞争性磋商</w:t>
      </w:r>
    </w:p>
    <w:p w14:paraId="22B6824D">
      <w:pPr>
        <w:spacing w:line="420" w:lineRule="exact"/>
        <w:ind w:firstLine="420"/>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rPr>
        <w:t>预算总金</w:t>
      </w:r>
      <w:r>
        <w:rPr>
          <w:rFonts w:hint="eastAsia" w:ascii="宋体" w:hAnsi="宋体" w:cs="仿宋"/>
          <w:color w:val="auto"/>
          <w:szCs w:val="21"/>
          <w:highlight w:val="none"/>
        </w:rPr>
        <w:t>额（元）：</w:t>
      </w:r>
      <w:r>
        <w:rPr>
          <w:rFonts w:hint="eastAsia" w:ascii="宋体" w:hAnsi="宋体"/>
          <w:color w:val="auto"/>
          <w:highlight w:val="none"/>
          <w:lang w:val="en-US" w:eastAsia="zh-CN"/>
        </w:rPr>
        <w:t>2208000</w:t>
      </w:r>
    </w:p>
    <w:p w14:paraId="0DC2C865">
      <w:pPr>
        <w:spacing w:line="420" w:lineRule="exact"/>
        <w:ind w:firstLine="420"/>
        <w:rPr>
          <w:rFonts w:hint="eastAsia" w:ascii="宋体" w:hAnsi="宋体" w:cs="仿宋"/>
          <w:color w:val="auto"/>
          <w:szCs w:val="21"/>
          <w:highlight w:val="none"/>
        </w:rPr>
      </w:pPr>
      <w:r>
        <w:rPr>
          <w:rFonts w:hint="eastAsia" w:ascii="宋体" w:hAnsi="宋体" w:cs="仿宋"/>
          <w:color w:val="auto"/>
          <w:szCs w:val="21"/>
          <w:highlight w:val="none"/>
        </w:rPr>
        <w:t>采购需求:</w:t>
      </w:r>
    </w:p>
    <w:p w14:paraId="710D060D">
      <w:pPr>
        <w:spacing w:line="420" w:lineRule="exact"/>
        <w:ind w:firstLine="42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标项名称：</w:t>
      </w:r>
      <w:r>
        <w:rPr>
          <w:rFonts w:hint="eastAsia" w:ascii="宋体" w:hAnsi="宋体" w:cs="仿宋"/>
          <w:color w:val="auto"/>
          <w:szCs w:val="21"/>
          <w:highlight w:val="none"/>
          <w:lang w:eastAsia="zh-CN"/>
        </w:rPr>
        <w:t>柳州市人民医院污水处理服务采购</w:t>
      </w:r>
    </w:p>
    <w:p w14:paraId="759EB020">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数量：1</w:t>
      </w:r>
    </w:p>
    <w:p w14:paraId="6338E61D">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预算金额（元）：</w:t>
      </w:r>
      <w:r>
        <w:rPr>
          <w:rFonts w:hint="eastAsia" w:ascii="宋体" w:hAnsi="宋体"/>
          <w:color w:val="auto"/>
          <w:highlight w:val="none"/>
          <w:lang w:val="en-US" w:eastAsia="zh-CN"/>
        </w:rPr>
        <w:t>2208000</w:t>
      </w:r>
    </w:p>
    <w:p w14:paraId="3085AEB9">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简要规格描述或项目基本概况介绍、用途：拟</w:t>
      </w:r>
      <w:r>
        <w:rPr>
          <w:rFonts w:ascii="宋体" w:hAnsi="宋体" w:cs="仿宋"/>
          <w:color w:val="auto"/>
          <w:szCs w:val="21"/>
          <w:highlight w:val="none"/>
        </w:rPr>
        <w:t>采购</w:t>
      </w:r>
      <w:r>
        <w:rPr>
          <w:rFonts w:hint="eastAsia" w:ascii="宋体" w:hAnsi="宋体" w:cs="仿宋"/>
          <w:color w:val="auto"/>
          <w:szCs w:val="21"/>
          <w:highlight w:val="none"/>
          <w:lang w:eastAsia="zh-CN"/>
        </w:rPr>
        <w:t>柳州市人民医院污水处理服务采购</w:t>
      </w:r>
      <w:r>
        <w:rPr>
          <w:rFonts w:hint="eastAsia" w:ascii="宋体" w:hAnsi="宋体" w:cs="仿宋"/>
          <w:color w:val="auto"/>
          <w:szCs w:val="21"/>
          <w:highlight w:val="none"/>
        </w:rPr>
        <w:t>1项，具体内容详见采购文件《采购需求》。</w:t>
      </w:r>
    </w:p>
    <w:p w14:paraId="123F86B3">
      <w:pPr>
        <w:spacing w:line="420" w:lineRule="exact"/>
        <w:ind w:firstLine="42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最高限价（如有）</w:t>
      </w:r>
      <w:r>
        <w:rPr>
          <w:rFonts w:hint="eastAsia" w:ascii="宋体" w:hAnsi="宋体" w:cs="仿宋"/>
          <w:color w:val="auto"/>
          <w:szCs w:val="21"/>
          <w:highlight w:val="none"/>
        </w:rPr>
        <w:t>：</w:t>
      </w:r>
      <w:r>
        <w:rPr>
          <w:rFonts w:hint="eastAsia" w:ascii="宋体" w:hAnsi="宋体"/>
          <w:color w:val="auto"/>
          <w:highlight w:val="none"/>
          <w:lang w:val="en-US" w:eastAsia="zh-CN"/>
        </w:rPr>
        <w:t>2200000</w:t>
      </w:r>
    </w:p>
    <w:p w14:paraId="49FB65BD">
      <w:pPr>
        <w:spacing w:line="420" w:lineRule="exact"/>
        <w:ind w:firstLine="42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合同履约期限：</w:t>
      </w:r>
      <w:r>
        <w:rPr>
          <w:rFonts w:hint="eastAsia" w:ascii="宋体" w:hAnsi="宋体" w:cs="仿宋"/>
          <w:color w:val="auto"/>
          <w:szCs w:val="21"/>
          <w:highlight w:val="none"/>
          <w:lang w:eastAsia="zh-CN"/>
        </w:rPr>
        <w:t>三年，从合同签订之日起计算。</w:t>
      </w:r>
    </w:p>
    <w:p w14:paraId="29BBB02E">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本标项（否）接受联合体投标</w:t>
      </w:r>
    </w:p>
    <w:p w14:paraId="3B2CEA83">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备注：</w:t>
      </w:r>
      <w:r>
        <w:rPr>
          <w:rFonts w:hint="eastAsia"/>
          <w:color w:val="auto"/>
          <w:highlight w:val="none"/>
        </w:rPr>
        <w:t>本项目为线上电子招标项目，有意向参与本项目的供应商应当做好参与全流程电子招投标交易的充分准备。</w:t>
      </w:r>
    </w:p>
    <w:p w14:paraId="29EE281F">
      <w:pPr>
        <w:pStyle w:val="3"/>
        <w:spacing w:before="0" w:after="0" w:line="420" w:lineRule="exact"/>
        <w:ind w:firstLine="422"/>
        <w:rPr>
          <w:rFonts w:ascii="宋体" w:hAnsi="宋体" w:cs="仿宋"/>
          <w:bCs w:val="0"/>
          <w:color w:val="auto"/>
          <w:sz w:val="21"/>
          <w:szCs w:val="21"/>
          <w:highlight w:val="none"/>
        </w:rPr>
      </w:pPr>
      <w:bookmarkStart w:id="12" w:name="_Toc35393630"/>
      <w:bookmarkStart w:id="13" w:name="_Toc28359013"/>
      <w:bookmarkStart w:id="14" w:name="_Toc55053341"/>
      <w:bookmarkStart w:id="15" w:name="_Toc28359090"/>
      <w:bookmarkStart w:id="16" w:name="_Toc35393799"/>
      <w:bookmarkStart w:id="17" w:name="_Toc44405610"/>
      <w:bookmarkStart w:id="18" w:name="_Toc118483107"/>
      <w:bookmarkStart w:id="19" w:name="_Toc89760758"/>
      <w:bookmarkStart w:id="20" w:name="_Toc9370"/>
      <w:r>
        <w:rPr>
          <w:rFonts w:hint="eastAsia" w:ascii="宋体" w:hAnsi="宋体" w:cs="仿宋"/>
          <w:bCs w:val="0"/>
          <w:color w:val="auto"/>
          <w:sz w:val="21"/>
          <w:szCs w:val="21"/>
          <w:highlight w:val="none"/>
        </w:rPr>
        <w:t>二、</w:t>
      </w:r>
      <w:bookmarkEnd w:id="12"/>
      <w:bookmarkEnd w:id="13"/>
      <w:bookmarkEnd w:id="14"/>
      <w:bookmarkEnd w:id="15"/>
      <w:bookmarkEnd w:id="16"/>
      <w:bookmarkEnd w:id="17"/>
      <w:r>
        <w:rPr>
          <w:rFonts w:hint="eastAsia" w:ascii="宋体" w:hAnsi="宋体" w:cs="仿宋"/>
          <w:bCs w:val="0"/>
          <w:color w:val="auto"/>
          <w:sz w:val="21"/>
          <w:szCs w:val="21"/>
          <w:highlight w:val="none"/>
        </w:rPr>
        <w:t>申请人的资格要求：</w:t>
      </w:r>
      <w:bookmarkEnd w:id="18"/>
      <w:bookmarkEnd w:id="19"/>
      <w:bookmarkEnd w:id="20"/>
    </w:p>
    <w:p w14:paraId="3D484B96">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1.满足《中华人民共和国政府采购法》第二十二条规定；</w:t>
      </w:r>
    </w:p>
    <w:p w14:paraId="6198F9DD">
      <w:pPr>
        <w:spacing w:line="420" w:lineRule="exact"/>
        <w:ind w:right="-105" w:rightChars="-50" w:firstLine="420"/>
        <w:rPr>
          <w:rFonts w:hint="eastAsia" w:ascii="宋体" w:hAnsi="宋体" w:eastAsia="宋体" w:cs="仿宋"/>
          <w:color w:val="auto"/>
          <w:szCs w:val="21"/>
          <w:highlight w:val="none"/>
          <w:lang w:eastAsia="zh-CN"/>
        </w:rPr>
      </w:pPr>
      <w:bookmarkStart w:id="21" w:name="_Toc28359091"/>
      <w:bookmarkStart w:id="22" w:name="_Toc28359014"/>
      <w:r>
        <w:rPr>
          <w:rFonts w:hint="eastAsia" w:ascii="宋体" w:hAnsi="宋体" w:cs="仿宋"/>
          <w:color w:val="auto"/>
          <w:szCs w:val="21"/>
          <w:highlight w:val="none"/>
        </w:rPr>
        <w:t>2.落实政府采购政策需满足的资格要求：分标1：</w:t>
      </w:r>
      <w:r>
        <w:rPr>
          <w:rFonts w:hint="eastAsia" w:ascii="宋体" w:hAnsi="宋体" w:cs="仿宋"/>
          <w:color w:val="auto"/>
          <w:szCs w:val="21"/>
          <w:highlight w:val="none"/>
        </w:rPr>
        <w:t>本项目属于专门面向</w:t>
      </w:r>
      <w:r>
        <w:rPr>
          <w:rFonts w:hint="eastAsia" w:ascii="宋体" w:hAnsi="宋体" w:cs="仿宋"/>
          <w:color w:val="auto"/>
          <w:szCs w:val="21"/>
          <w:highlight w:val="none"/>
          <w:lang w:val="en-US" w:eastAsia="zh-CN"/>
        </w:rPr>
        <w:t>中小</w:t>
      </w:r>
      <w:r>
        <w:rPr>
          <w:rFonts w:hint="eastAsia" w:ascii="宋体" w:hAnsi="宋体" w:cs="仿宋"/>
          <w:color w:val="auto"/>
          <w:szCs w:val="21"/>
          <w:highlight w:val="none"/>
        </w:rPr>
        <w:t>企业采购的项目，监狱企业、残疾人福利单位视同小型、微型企业；小微企业须符合本项目采购标的所属行业对应的小微企业划分标准</w:t>
      </w:r>
      <w:r>
        <w:rPr>
          <w:rFonts w:hint="eastAsia" w:ascii="宋体" w:hAnsi="宋体" w:cs="仿宋"/>
          <w:color w:val="auto"/>
          <w:szCs w:val="21"/>
          <w:highlight w:val="none"/>
          <w:lang w:eastAsia="zh-CN"/>
        </w:rPr>
        <w:t>；</w:t>
      </w:r>
    </w:p>
    <w:p w14:paraId="48DA508C">
      <w:pPr>
        <w:spacing w:line="420" w:lineRule="exact"/>
        <w:ind w:firstLine="420"/>
        <w:rPr>
          <w:rFonts w:hint="eastAsia" w:ascii="宋体" w:hAnsi="宋体" w:cs="仿宋"/>
          <w:color w:val="auto"/>
          <w:szCs w:val="21"/>
          <w:highlight w:val="none"/>
        </w:rPr>
      </w:pPr>
      <w:r>
        <w:rPr>
          <w:rFonts w:hint="eastAsia" w:ascii="宋体" w:hAnsi="宋体" w:cs="仿宋"/>
          <w:color w:val="auto"/>
          <w:szCs w:val="21"/>
          <w:highlight w:val="none"/>
        </w:rPr>
        <w:t>3.本项目的特定资格要求：无</w:t>
      </w:r>
      <w:r>
        <w:rPr>
          <w:rFonts w:hint="eastAsia" w:hAnsi="宋体"/>
          <w:color w:val="auto"/>
          <w:highlight w:val="none"/>
        </w:rPr>
        <w:t>。</w:t>
      </w:r>
    </w:p>
    <w:p w14:paraId="056610A8">
      <w:pPr>
        <w:pStyle w:val="3"/>
        <w:spacing w:before="0" w:after="0" w:line="420" w:lineRule="exact"/>
        <w:ind w:firstLine="422"/>
        <w:rPr>
          <w:rFonts w:ascii="宋体" w:hAnsi="宋体" w:cs="仿宋"/>
          <w:bCs w:val="0"/>
          <w:color w:val="auto"/>
          <w:sz w:val="21"/>
          <w:szCs w:val="21"/>
          <w:highlight w:val="none"/>
        </w:rPr>
      </w:pPr>
      <w:bookmarkStart w:id="23" w:name="_Toc26266"/>
      <w:bookmarkStart w:id="24" w:name="_Toc35393631"/>
      <w:bookmarkStart w:id="25" w:name="_Toc35393800"/>
      <w:bookmarkStart w:id="26" w:name="_Toc89760759"/>
      <w:bookmarkStart w:id="27" w:name="_Toc118483108"/>
      <w:bookmarkStart w:id="28" w:name="_Toc55053342"/>
      <w:bookmarkStart w:id="29" w:name="_Toc44405611"/>
      <w:r>
        <w:rPr>
          <w:rFonts w:hint="eastAsia" w:ascii="宋体" w:hAnsi="宋体" w:cs="仿宋"/>
          <w:bCs w:val="0"/>
          <w:color w:val="auto"/>
          <w:sz w:val="21"/>
          <w:szCs w:val="21"/>
          <w:highlight w:val="none"/>
        </w:rPr>
        <w:t>三、获取</w:t>
      </w:r>
      <w:r>
        <w:rPr>
          <w:rFonts w:hint="eastAsia" w:ascii="宋体" w:hAnsi="宋体" w:cs="仿宋"/>
          <w:bCs w:val="0"/>
          <w:color w:val="auto"/>
          <w:sz w:val="21"/>
          <w:szCs w:val="21"/>
          <w:highlight w:val="none"/>
          <w:lang w:eastAsia="zh-CN"/>
        </w:rPr>
        <w:t>采购</w:t>
      </w:r>
      <w:r>
        <w:rPr>
          <w:rFonts w:hint="eastAsia" w:ascii="宋体" w:hAnsi="宋体" w:cs="仿宋"/>
          <w:bCs w:val="0"/>
          <w:color w:val="auto"/>
          <w:sz w:val="21"/>
          <w:szCs w:val="21"/>
          <w:highlight w:val="none"/>
        </w:rPr>
        <w:t>文件</w:t>
      </w:r>
      <w:bookmarkEnd w:id="21"/>
      <w:bookmarkEnd w:id="22"/>
      <w:bookmarkEnd w:id="23"/>
      <w:bookmarkEnd w:id="24"/>
      <w:bookmarkEnd w:id="25"/>
      <w:bookmarkEnd w:id="26"/>
      <w:bookmarkEnd w:id="27"/>
      <w:bookmarkEnd w:id="28"/>
      <w:bookmarkEnd w:id="29"/>
    </w:p>
    <w:p w14:paraId="50675D38">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时</w:t>
      </w:r>
      <w:r>
        <w:rPr>
          <w:rFonts w:hint="eastAsia" w:ascii="宋体" w:hAnsi="宋体" w:cs="仿宋"/>
          <w:color w:val="auto"/>
          <w:szCs w:val="21"/>
          <w:highlight w:val="none"/>
        </w:rPr>
        <w:t>间：</w:t>
      </w:r>
      <w:r>
        <w:rPr>
          <w:rFonts w:hint="eastAsia" w:ascii="宋体" w:hAnsi="宋体" w:cs="仿宋"/>
          <w:color w:val="auto"/>
          <w:szCs w:val="21"/>
          <w:highlight w:val="none"/>
        </w:rPr>
        <w:t>202</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年</w:t>
      </w:r>
      <w:r>
        <w:rPr>
          <w:rFonts w:hint="eastAsia" w:ascii="宋体" w:hAnsi="宋体" w:cs="仿宋"/>
          <w:color w:val="auto"/>
          <w:szCs w:val="21"/>
          <w:highlight w:val="none"/>
          <w:lang w:val="en-US" w:eastAsia="zh-CN"/>
        </w:rPr>
        <w:t>03</w:t>
      </w:r>
      <w:r>
        <w:rPr>
          <w:rFonts w:hint="eastAsia" w:ascii="宋体" w:hAnsi="宋体" w:cs="仿宋"/>
          <w:color w:val="auto"/>
          <w:szCs w:val="21"/>
          <w:highlight w:val="none"/>
        </w:rPr>
        <w:t>月</w:t>
      </w:r>
      <w:r>
        <w:rPr>
          <w:rFonts w:hint="eastAsia" w:ascii="宋体" w:hAnsi="宋体" w:cs="仿宋"/>
          <w:color w:val="auto"/>
          <w:szCs w:val="21"/>
          <w:highlight w:val="none"/>
          <w:lang w:val="en-US" w:eastAsia="zh-CN"/>
        </w:rPr>
        <w:t>24</w:t>
      </w:r>
      <w:r>
        <w:rPr>
          <w:rFonts w:hint="eastAsia" w:ascii="宋体" w:hAnsi="宋体" w:cs="仿宋"/>
          <w:color w:val="auto"/>
          <w:szCs w:val="21"/>
          <w:highlight w:val="none"/>
        </w:rPr>
        <w:t>日</w:t>
      </w:r>
      <w:r>
        <w:rPr>
          <w:rFonts w:hint="eastAsia" w:ascii="宋体" w:hAnsi="宋体" w:cs="仿宋"/>
          <w:color w:val="auto"/>
          <w:szCs w:val="21"/>
          <w:highlight w:val="none"/>
        </w:rPr>
        <w:t>至</w:t>
      </w:r>
      <w:r>
        <w:rPr>
          <w:rFonts w:hint="eastAsia" w:ascii="宋体" w:hAnsi="宋体" w:cs="仿宋"/>
          <w:color w:val="auto"/>
          <w:szCs w:val="21"/>
          <w:highlight w:val="none"/>
        </w:rPr>
        <w:t>202</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年</w:t>
      </w:r>
      <w:r>
        <w:rPr>
          <w:rFonts w:hint="eastAsia" w:ascii="宋体" w:hAnsi="宋体" w:cs="仿宋"/>
          <w:color w:val="auto"/>
          <w:szCs w:val="21"/>
          <w:highlight w:val="none"/>
          <w:lang w:val="en-US" w:eastAsia="zh-CN"/>
        </w:rPr>
        <w:t>04</w:t>
      </w:r>
      <w:r>
        <w:rPr>
          <w:rFonts w:hint="eastAsia" w:ascii="宋体" w:hAnsi="宋体" w:cs="仿宋"/>
          <w:color w:val="auto"/>
          <w:szCs w:val="21"/>
          <w:highlight w:val="none"/>
        </w:rPr>
        <w:t>月</w:t>
      </w:r>
      <w:r>
        <w:rPr>
          <w:rFonts w:hint="eastAsia" w:ascii="宋体" w:hAnsi="宋体" w:cs="仿宋"/>
          <w:color w:val="auto"/>
          <w:szCs w:val="21"/>
          <w:highlight w:val="none"/>
          <w:lang w:val="en-US" w:eastAsia="zh-CN"/>
        </w:rPr>
        <w:t>02</w:t>
      </w:r>
      <w:r>
        <w:rPr>
          <w:rFonts w:hint="eastAsia" w:ascii="宋体" w:hAnsi="宋体" w:cs="仿宋"/>
          <w:color w:val="auto"/>
          <w:szCs w:val="21"/>
          <w:highlight w:val="none"/>
        </w:rPr>
        <w:t>日</w:t>
      </w:r>
      <w:r>
        <w:rPr>
          <w:rFonts w:hint="eastAsia" w:ascii="宋体" w:hAnsi="宋体" w:cs="仿宋"/>
          <w:color w:val="auto"/>
          <w:szCs w:val="21"/>
          <w:highlight w:val="none"/>
        </w:rPr>
        <w:t>，每天上午0</w:t>
      </w:r>
      <w:r>
        <w:rPr>
          <w:rFonts w:ascii="宋体" w:hAnsi="宋体" w:cs="仿宋"/>
          <w:color w:val="auto"/>
          <w:szCs w:val="21"/>
          <w:highlight w:val="none"/>
        </w:rPr>
        <w:t>0</w:t>
      </w:r>
      <w:r>
        <w:rPr>
          <w:rFonts w:hint="eastAsia" w:ascii="宋体" w:hAnsi="宋体" w:cs="仿宋"/>
          <w:color w:val="auto"/>
          <w:szCs w:val="21"/>
          <w:highlight w:val="none"/>
        </w:rPr>
        <w:t>:00至12:00，下午12:00至</w:t>
      </w:r>
      <w:r>
        <w:rPr>
          <w:rFonts w:ascii="宋体" w:hAnsi="宋体" w:cs="仿宋"/>
          <w:color w:val="auto"/>
          <w:szCs w:val="21"/>
          <w:highlight w:val="none"/>
        </w:rPr>
        <w:t>23</w:t>
      </w:r>
      <w:r>
        <w:rPr>
          <w:rFonts w:hint="eastAsia" w:ascii="宋体" w:hAnsi="宋体" w:cs="仿宋"/>
          <w:color w:val="auto"/>
          <w:szCs w:val="21"/>
          <w:highlight w:val="none"/>
        </w:rPr>
        <w:t>:</w:t>
      </w:r>
      <w:r>
        <w:rPr>
          <w:rFonts w:ascii="宋体" w:hAnsi="宋体" w:cs="仿宋"/>
          <w:color w:val="auto"/>
          <w:szCs w:val="21"/>
          <w:highlight w:val="none"/>
        </w:rPr>
        <w:t>59</w:t>
      </w:r>
      <w:r>
        <w:rPr>
          <w:rFonts w:hint="eastAsia" w:ascii="宋体" w:hAnsi="宋体" w:cs="仿宋"/>
          <w:color w:val="auto"/>
          <w:szCs w:val="21"/>
          <w:highlight w:val="none"/>
        </w:rPr>
        <w:t>（北京时间，法定节假日除外）</w:t>
      </w:r>
    </w:p>
    <w:p w14:paraId="28844300">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地点（网址）：</w:t>
      </w:r>
      <w:r>
        <w:rPr>
          <w:rFonts w:hint="eastAsia" w:hAnsi="宋体"/>
          <w:color w:val="auto"/>
          <w:highlight w:val="none"/>
          <w:lang w:eastAsia="zh-CN"/>
        </w:rPr>
        <w:t>广西政府采购云平台</w:t>
      </w:r>
      <w:r>
        <w:rPr>
          <w:rFonts w:hint="eastAsia" w:hAnsi="宋体"/>
          <w:color w:val="auto"/>
          <w:highlight w:val="none"/>
        </w:rPr>
        <w:t>（</w:t>
      </w:r>
      <w:r>
        <w:rPr>
          <w:rFonts w:hint="eastAsia" w:hAnsi="宋体"/>
          <w:color w:val="auto"/>
          <w:highlight w:val="none"/>
          <w:lang w:eastAsia="zh-CN"/>
        </w:rPr>
        <w:t>https://www.gcy.zfcg.gxzf.gov.cn/</w:t>
      </w:r>
      <w:r>
        <w:rPr>
          <w:rFonts w:hint="eastAsia" w:hAnsi="宋体"/>
          <w:color w:val="auto"/>
          <w:highlight w:val="none"/>
        </w:rPr>
        <w:t>）</w:t>
      </w:r>
    </w:p>
    <w:p w14:paraId="14770EB7">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方式：网上下载。本项目不提供纸质文件，潜在供应商需使用账号登录或者使用CA登录广西政府采购云平台（https://www.gcy.zfcg.gxzf.gov.cn/）-进入“项目采购”应用，在获取采购文件菜单中选择项目，获取</w:t>
      </w:r>
      <w:r>
        <w:rPr>
          <w:rFonts w:hint="eastAsia" w:ascii="宋体" w:hAnsi="宋体" w:cs="仿宋"/>
          <w:color w:val="auto"/>
          <w:szCs w:val="21"/>
          <w:highlight w:val="none"/>
          <w:lang w:eastAsia="zh-CN"/>
        </w:rPr>
        <w:t>磋商文件</w:t>
      </w:r>
      <w:r>
        <w:rPr>
          <w:rFonts w:hint="eastAsia" w:ascii="宋体" w:hAnsi="宋体" w:cs="仿宋"/>
          <w:color w:val="auto"/>
          <w:szCs w:val="21"/>
          <w:highlight w:val="none"/>
        </w:rPr>
        <w:t>。电子</w:t>
      </w:r>
      <w:r>
        <w:rPr>
          <w:rFonts w:hint="eastAsia" w:ascii="宋体" w:hAnsi="宋体" w:cs="仿宋"/>
          <w:color w:val="auto"/>
          <w:szCs w:val="21"/>
          <w:highlight w:val="none"/>
          <w:lang w:eastAsia="zh-CN"/>
        </w:rPr>
        <w:t>响应文件</w:t>
      </w:r>
      <w:r>
        <w:rPr>
          <w:rFonts w:hint="eastAsia" w:ascii="宋体" w:hAnsi="宋体" w:cs="仿宋"/>
          <w:color w:val="auto"/>
          <w:szCs w:val="21"/>
          <w:highlight w:val="none"/>
        </w:rPr>
        <w:t>制作需要基于广西政府采购云平台获取的</w:t>
      </w:r>
      <w:r>
        <w:rPr>
          <w:rFonts w:hint="eastAsia" w:ascii="宋体" w:hAnsi="宋体" w:cs="仿宋"/>
          <w:color w:val="auto"/>
          <w:szCs w:val="21"/>
          <w:highlight w:val="none"/>
          <w:lang w:eastAsia="zh-CN"/>
        </w:rPr>
        <w:t>磋商文件</w:t>
      </w:r>
      <w:r>
        <w:rPr>
          <w:rFonts w:hint="eastAsia" w:ascii="宋体" w:hAnsi="宋体" w:cs="仿宋"/>
          <w:color w:val="auto"/>
          <w:szCs w:val="21"/>
          <w:highlight w:val="none"/>
        </w:rPr>
        <w:t>编制，通过其他方式获取</w:t>
      </w:r>
      <w:r>
        <w:rPr>
          <w:rFonts w:hint="eastAsia" w:ascii="宋体" w:hAnsi="宋体" w:cs="仿宋"/>
          <w:color w:val="auto"/>
          <w:szCs w:val="21"/>
          <w:highlight w:val="none"/>
          <w:lang w:eastAsia="zh-CN"/>
        </w:rPr>
        <w:t>磋商文件</w:t>
      </w:r>
      <w:r>
        <w:rPr>
          <w:rFonts w:hint="eastAsia" w:ascii="宋体" w:hAnsi="宋体" w:cs="仿宋"/>
          <w:color w:val="auto"/>
          <w:szCs w:val="21"/>
          <w:highlight w:val="none"/>
        </w:rPr>
        <w:t>的，将有可能导致供应商无法在“广西政府采购云平台”编制及上传</w:t>
      </w:r>
      <w:r>
        <w:rPr>
          <w:rFonts w:hint="eastAsia" w:ascii="宋体" w:hAnsi="宋体" w:cs="仿宋"/>
          <w:color w:val="auto"/>
          <w:szCs w:val="21"/>
          <w:highlight w:val="none"/>
          <w:lang w:eastAsia="zh-CN"/>
        </w:rPr>
        <w:t>响应文件</w:t>
      </w:r>
      <w:r>
        <w:rPr>
          <w:rFonts w:hint="eastAsia" w:ascii="宋体" w:hAnsi="宋体"/>
          <w:color w:val="auto"/>
          <w:highlight w:val="none"/>
        </w:rPr>
        <w:t>。</w:t>
      </w:r>
    </w:p>
    <w:p w14:paraId="23116ECE">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售价（元）：0</w:t>
      </w:r>
    </w:p>
    <w:p w14:paraId="62D3BD92">
      <w:pPr>
        <w:spacing w:line="420" w:lineRule="exact"/>
        <w:ind w:firstLine="422"/>
        <w:rPr>
          <w:rFonts w:ascii="宋体" w:hAnsi="宋体" w:cs="仿宋"/>
          <w:b/>
          <w:bCs/>
          <w:color w:val="auto"/>
          <w:szCs w:val="21"/>
          <w:highlight w:val="none"/>
        </w:rPr>
      </w:pPr>
      <w:bookmarkStart w:id="30" w:name="_Toc28359015"/>
      <w:bookmarkStart w:id="31" w:name="_Toc55053343"/>
      <w:bookmarkStart w:id="32" w:name="_Toc28359092"/>
      <w:bookmarkStart w:id="33" w:name="_Toc44405612"/>
      <w:bookmarkStart w:id="34" w:name="_Toc35393632"/>
      <w:bookmarkStart w:id="35" w:name="_Toc35393801"/>
      <w:r>
        <w:rPr>
          <w:rFonts w:hint="eastAsia" w:ascii="宋体" w:hAnsi="宋体" w:cs="仿宋"/>
          <w:b/>
          <w:bCs/>
          <w:color w:val="auto"/>
          <w:szCs w:val="21"/>
          <w:highlight w:val="none"/>
        </w:rPr>
        <w:t>四、响应文件提交</w:t>
      </w:r>
      <w:bookmarkEnd w:id="30"/>
      <w:bookmarkEnd w:id="31"/>
      <w:bookmarkEnd w:id="32"/>
      <w:bookmarkEnd w:id="33"/>
      <w:bookmarkEnd w:id="34"/>
      <w:bookmarkEnd w:id="35"/>
    </w:p>
    <w:p w14:paraId="52F4763D">
      <w:pPr>
        <w:spacing w:line="420" w:lineRule="exact"/>
        <w:ind w:firstLine="420"/>
        <w:rPr>
          <w:rFonts w:ascii="宋体" w:hAnsi="宋体" w:cs="仿宋"/>
          <w:color w:val="auto"/>
          <w:szCs w:val="21"/>
          <w:highlight w:val="none"/>
        </w:rPr>
      </w:pPr>
      <w:r>
        <w:rPr>
          <w:rFonts w:hint="eastAsia" w:ascii="宋体" w:hAnsi="宋体" w:cs="仿宋"/>
          <w:color w:val="auto"/>
          <w:szCs w:val="21"/>
          <w:highlight w:val="none"/>
        </w:rPr>
        <w:t>截止时间</w:t>
      </w:r>
      <w:r>
        <w:rPr>
          <w:rFonts w:hint="eastAsia" w:ascii="宋体" w:hAnsi="宋体" w:cs="仿宋"/>
          <w:color w:val="auto"/>
          <w:szCs w:val="21"/>
          <w:highlight w:val="none"/>
        </w:rPr>
        <w:t>：</w:t>
      </w:r>
      <w:r>
        <w:rPr>
          <w:rFonts w:hint="eastAsia" w:ascii="宋体" w:hAnsi="宋体" w:cs="仿宋"/>
          <w:color w:val="auto"/>
          <w:szCs w:val="21"/>
          <w:highlight w:val="none"/>
        </w:rPr>
        <w:t>202</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年0</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月</w:t>
      </w:r>
      <w:r>
        <w:rPr>
          <w:rFonts w:hint="eastAsia" w:ascii="宋体" w:hAnsi="宋体" w:cs="仿宋"/>
          <w:color w:val="auto"/>
          <w:szCs w:val="21"/>
          <w:highlight w:val="none"/>
          <w:lang w:val="en-US" w:eastAsia="zh-CN"/>
        </w:rPr>
        <w:t>08</w:t>
      </w:r>
      <w:r>
        <w:rPr>
          <w:rFonts w:hint="eastAsia" w:ascii="宋体" w:hAnsi="宋体" w:cs="仿宋"/>
          <w:color w:val="auto"/>
          <w:szCs w:val="21"/>
          <w:highlight w:val="none"/>
        </w:rPr>
        <w:t>日</w:t>
      </w:r>
      <w:r>
        <w:rPr>
          <w:rFonts w:hint="eastAsia" w:ascii="宋体" w:hAnsi="宋体" w:cs="Arial"/>
          <w:color w:val="auto"/>
          <w:szCs w:val="21"/>
          <w:highlight w:val="none"/>
        </w:rPr>
        <w:t>09:</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0（北京时间）</w:t>
      </w:r>
    </w:p>
    <w:p w14:paraId="2B2D39C9">
      <w:pPr>
        <w:snapToGrid w:val="0"/>
        <w:spacing w:line="420" w:lineRule="exact"/>
        <w:ind w:firstLine="420"/>
        <w:rPr>
          <w:rFonts w:hAnsi="宋体"/>
          <w:color w:val="auto"/>
          <w:highlight w:val="none"/>
        </w:rPr>
      </w:pPr>
      <w:r>
        <w:rPr>
          <w:rFonts w:hint="eastAsia" w:hAnsi="宋体"/>
          <w:color w:val="auto"/>
          <w:highlight w:val="none"/>
        </w:rPr>
        <w:t>地点（网址）：</w:t>
      </w:r>
      <w:r>
        <w:rPr>
          <w:rFonts w:hint="eastAsia" w:hAnsi="宋体"/>
          <w:color w:val="auto"/>
          <w:highlight w:val="none"/>
          <w:lang w:eastAsia="zh-CN"/>
        </w:rPr>
        <w:t>广西政府采购云平台</w:t>
      </w:r>
      <w:r>
        <w:rPr>
          <w:rFonts w:hint="eastAsia" w:hAnsi="宋体"/>
          <w:color w:val="auto"/>
          <w:highlight w:val="none"/>
        </w:rPr>
        <w:t>（</w:t>
      </w:r>
      <w:r>
        <w:rPr>
          <w:rFonts w:hint="eastAsia" w:hAnsi="宋体"/>
          <w:color w:val="auto"/>
          <w:highlight w:val="none"/>
          <w:lang w:eastAsia="zh-CN"/>
        </w:rPr>
        <w:t>https://www.gcy.zfcg.gxzf.gov.cn/</w:t>
      </w:r>
      <w:r>
        <w:rPr>
          <w:rFonts w:hint="eastAsia" w:hAnsi="宋体"/>
          <w:color w:val="auto"/>
          <w:highlight w:val="none"/>
        </w:rPr>
        <w:t>）</w:t>
      </w:r>
    </w:p>
    <w:p w14:paraId="7F9DD906">
      <w:pPr>
        <w:pStyle w:val="3"/>
        <w:spacing w:before="0" w:after="0" w:line="420" w:lineRule="exact"/>
        <w:ind w:firstLine="422"/>
        <w:rPr>
          <w:rFonts w:ascii="宋体" w:hAnsi="宋体" w:cs="宋体"/>
          <w:bCs w:val="0"/>
          <w:color w:val="auto"/>
          <w:sz w:val="21"/>
          <w:szCs w:val="21"/>
          <w:highlight w:val="none"/>
        </w:rPr>
      </w:pPr>
      <w:bookmarkStart w:id="36" w:name="_Toc44405623"/>
      <w:bookmarkStart w:id="37" w:name="_Toc89760760"/>
      <w:bookmarkStart w:id="38" w:name="_Toc55053344"/>
      <w:bookmarkStart w:id="39" w:name="_Toc44229882"/>
      <w:bookmarkStart w:id="40" w:name="_Toc118483109"/>
      <w:bookmarkStart w:id="41" w:name="_Toc3476"/>
      <w:bookmarkStart w:id="42" w:name="_Toc28359017"/>
      <w:bookmarkStart w:id="43" w:name="_Toc28359094"/>
      <w:bookmarkStart w:id="44" w:name="_Toc35393634"/>
      <w:bookmarkStart w:id="45" w:name="_Toc44405614"/>
      <w:bookmarkStart w:id="46" w:name="_Toc35393803"/>
      <w:r>
        <w:rPr>
          <w:rFonts w:hint="eastAsia" w:ascii="宋体" w:hAnsi="宋体" w:cs="宋体"/>
          <w:bCs w:val="0"/>
          <w:color w:val="auto"/>
          <w:sz w:val="21"/>
          <w:szCs w:val="21"/>
          <w:highlight w:val="none"/>
        </w:rPr>
        <w:t>五、响应文件开启</w:t>
      </w:r>
      <w:bookmarkEnd w:id="36"/>
      <w:bookmarkEnd w:id="37"/>
      <w:bookmarkEnd w:id="38"/>
      <w:bookmarkEnd w:id="39"/>
      <w:bookmarkEnd w:id="40"/>
      <w:bookmarkEnd w:id="41"/>
    </w:p>
    <w:p w14:paraId="53E32061">
      <w:pPr>
        <w:spacing w:line="420" w:lineRule="exact"/>
        <w:ind w:firstLine="420"/>
        <w:rPr>
          <w:rFonts w:ascii="宋体" w:hAnsi="宋体"/>
          <w:bCs/>
          <w:color w:val="auto"/>
          <w:szCs w:val="21"/>
          <w:highlight w:val="none"/>
        </w:rPr>
      </w:pPr>
      <w:r>
        <w:rPr>
          <w:rFonts w:hint="eastAsia" w:ascii="宋体" w:hAnsi="宋体"/>
          <w:color w:val="auto"/>
          <w:szCs w:val="21"/>
          <w:highlight w:val="none"/>
        </w:rPr>
        <w:t>开启时间：</w:t>
      </w:r>
      <w:r>
        <w:rPr>
          <w:rFonts w:hint="eastAsia" w:ascii="宋体" w:hAnsi="宋体" w:cs="仿宋"/>
          <w:color w:val="auto"/>
          <w:szCs w:val="21"/>
          <w:highlight w:val="none"/>
        </w:rPr>
        <w:t>202</w:t>
      </w:r>
      <w:r>
        <w:rPr>
          <w:rFonts w:hint="eastAsia" w:ascii="宋体" w:hAnsi="宋体" w:cs="仿宋"/>
          <w:color w:val="auto"/>
          <w:szCs w:val="21"/>
          <w:highlight w:val="none"/>
          <w:lang w:val="en-US" w:eastAsia="zh-CN"/>
        </w:rPr>
        <w:t>5</w:t>
      </w:r>
      <w:r>
        <w:rPr>
          <w:rFonts w:hint="eastAsia" w:ascii="宋体" w:hAnsi="宋体" w:cs="仿宋"/>
          <w:color w:val="auto"/>
          <w:szCs w:val="21"/>
          <w:highlight w:val="none"/>
        </w:rPr>
        <w:t>年0</w:t>
      </w: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月</w:t>
      </w:r>
      <w:r>
        <w:rPr>
          <w:rFonts w:hint="eastAsia" w:ascii="宋体" w:hAnsi="宋体" w:cs="仿宋"/>
          <w:color w:val="auto"/>
          <w:szCs w:val="21"/>
          <w:highlight w:val="none"/>
          <w:lang w:val="en-US" w:eastAsia="zh-CN"/>
        </w:rPr>
        <w:t>08</w:t>
      </w:r>
      <w:r>
        <w:rPr>
          <w:rFonts w:hint="eastAsia" w:ascii="宋体" w:hAnsi="宋体" w:cs="仿宋"/>
          <w:color w:val="auto"/>
          <w:szCs w:val="21"/>
          <w:highlight w:val="none"/>
        </w:rPr>
        <w:t>日</w:t>
      </w:r>
      <w:r>
        <w:rPr>
          <w:rFonts w:hint="eastAsia" w:ascii="宋体" w:hAnsi="宋体" w:cs="Arial"/>
          <w:color w:val="auto"/>
          <w:szCs w:val="21"/>
          <w:highlight w:val="none"/>
        </w:rPr>
        <w:t>09:</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 xml:space="preserve">0 </w:t>
      </w:r>
      <w:r>
        <w:rPr>
          <w:rFonts w:hint="eastAsia" w:ascii="宋体" w:hAnsi="宋体" w:cs="Arial"/>
          <w:color w:val="auto"/>
          <w:szCs w:val="21"/>
          <w:highlight w:val="none"/>
        </w:rPr>
        <w:t>（北京时间）</w:t>
      </w:r>
    </w:p>
    <w:p w14:paraId="56D23347">
      <w:pPr>
        <w:spacing w:line="420" w:lineRule="exact"/>
        <w:ind w:firstLine="420"/>
        <w:rPr>
          <w:rFonts w:hint="eastAsia" w:ascii="宋体" w:hAnsi="宋体"/>
          <w:bCs/>
          <w:color w:val="auto"/>
          <w:szCs w:val="21"/>
          <w:highlight w:val="none"/>
        </w:rPr>
      </w:pPr>
      <w:r>
        <w:rPr>
          <w:rFonts w:hint="eastAsia" w:ascii="宋体" w:hAnsi="宋体"/>
          <w:color w:val="auto"/>
          <w:szCs w:val="21"/>
          <w:highlight w:val="none"/>
        </w:rPr>
        <w:t>地点：</w:t>
      </w:r>
      <w:r>
        <w:rPr>
          <w:rFonts w:hint="eastAsia" w:hAnsi="宋体"/>
          <w:color w:val="auto"/>
          <w:highlight w:val="none"/>
        </w:rPr>
        <w:t>通过</w:t>
      </w:r>
      <w:r>
        <w:rPr>
          <w:rFonts w:hint="eastAsia" w:hAnsi="宋体"/>
          <w:color w:val="auto"/>
          <w:highlight w:val="none"/>
          <w:lang w:eastAsia="zh-CN"/>
        </w:rPr>
        <w:t>广西政府采购云平台</w:t>
      </w:r>
      <w:r>
        <w:rPr>
          <w:rFonts w:hint="eastAsia" w:hAnsi="宋体"/>
          <w:color w:val="auto"/>
          <w:highlight w:val="none"/>
        </w:rPr>
        <w:t>（</w:t>
      </w:r>
      <w:r>
        <w:rPr>
          <w:rFonts w:hint="eastAsia" w:hAnsi="宋体"/>
          <w:color w:val="auto"/>
          <w:highlight w:val="none"/>
          <w:lang w:eastAsia="zh-CN"/>
        </w:rPr>
        <w:t>https://www.gcy.zfcg.gxzf.gov.cn/</w:t>
      </w:r>
      <w:r>
        <w:rPr>
          <w:rFonts w:hint="eastAsia" w:hAnsi="宋体"/>
          <w:color w:val="auto"/>
          <w:highlight w:val="none"/>
        </w:rPr>
        <w:t>）在线解密开启响应文件。</w:t>
      </w:r>
    </w:p>
    <w:p w14:paraId="217FACAD">
      <w:pPr>
        <w:pStyle w:val="3"/>
        <w:spacing w:before="0" w:after="0" w:line="420" w:lineRule="exact"/>
        <w:ind w:firstLine="422"/>
        <w:rPr>
          <w:rFonts w:ascii="宋体" w:hAnsi="宋体" w:cs="仿宋"/>
          <w:bCs w:val="0"/>
          <w:color w:val="auto"/>
          <w:sz w:val="21"/>
          <w:szCs w:val="21"/>
          <w:highlight w:val="none"/>
        </w:rPr>
      </w:pPr>
      <w:bookmarkStart w:id="47" w:name="_Toc55053345"/>
      <w:bookmarkStart w:id="48" w:name="_Toc89760761"/>
      <w:bookmarkStart w:id="49" w:name="_Toc32168"/>
      <w:bookmarkStart w:id="50" w:name="_Toc118483110"/>
      <w:r>
        <w:rPr>
          <w:rFonts w:hint="eastAsia" w:ascii="宋体" w:hAnsi="宋体" w:cs="仿宋"/>
          <w:bCs w:val="0"/>
          <w:color w:val="auto"/>
          <w:sz w:val="21"/>
          <w:szCs w:val="21"/>
          <w:highlight w:val="none"/>
          <w:lang w:eastAsia="zh-CN"/>
        </w:rPr>
        <w:t>六</w:t>
      </w:r>
      <w:r>
        <w:rPr>
          <w:rFonts w:hint="eastAsia" w:ascii="宋体" w:hAnsi="宋体" w:cs="仿宋"/>
          <w:bCs w:val="0"/>
          <w:color w:val="auto"/>
          <w:sz w:val="21"/>
          <w:szCs w:val="21"/>
          <w:highlight w:val="none"/>
        </w:rPr>
        <w:t>、公告期限</w:t>
      </w:r>
      <w:bookmarkEnd w:id="42"/>
      <w:bookmarkEnd w:id="43"/>
      <w:bookmarkEnd w:id="44"/>
      <w:bookmarkEnd w:id="45"/>
      <w:bookmarkEnd w:id="46"/>
      <w:bookmarkEnd w:id="47"/>
      <w:bookmarkEnd w:id="48"/>
      <w:bookmarkEnd w:id="49"/>
      <w:bookmarkEnd w:id="50"/>
    </w:p>
    <w:p w14:paraId="3D7768E3">
      <w:pPr>
        <w:spacing w:line="420" w:lineRule="exact"/>
        <w:ind w:firstLine="420"/>
        <w:rPr>
          <w:rFonts w:ascii="宋体" w:hAnsi="宋体" w:cs="仿宋"/>
          <w:color w:val="auto"/>
          <w:kern w:val="0"/>
          <w:szCs w:val="21"/>
          <w:highlight w:val="none"/>
        </w:rPr>
      </w:pPr>
      <w:r>
        <w:rPr>
          <w:rFonts w:hint="eastAsia" w:ascii="宋体" w:hAnsi="宋体" w:cs="仿宋"/>
          <w:color w:val="auto"/>
          <w:kern w:val="0"/>
          <w:szCs w:val="21"/>
          <w:highlight w:val="none"/>
        </w:rPr>
        <w:t>自本公告发布之日起</w:t>
      </w:r>
      <w:r>
        <w:rPr>
          <w:rFonts w:hint="eastAsia" w:ascii="宋体" w:hAnsi="宋体" w:cs="仿宋"/>
          <w:color w:val="auto"/>
          <w:kern w:val="0"/>
          <w:szCs w:val="21"/>
          <w:highlight w:val="none"/>
          <w:lang w:val="en-US" w:eastAsia="zh-CN"/>
        </w:rPr>
        <w:t>5</w:t>
      </w:r>
      <w:r>
        <w:rPr>
          <w:rFonts w:hint="eastAsia" w:ascii="宋体" w:hAnsi="宋体" w:cs="仿宋"/>
          <w:color w:val="auto"/>
          <w:kern w:val="0"/>
          <w:szCs w:val="21"/>
          <w:highlight w:val="none"/>
        </w:rPr>
        <w:t>个工作日。</w:t>
      </w:r>
    </w:p>
    <w:p w14:paraId="7FBC918C">
      <w:pPr>
        <w:pStyle w:val="3"/>
        <w:spacing w:before="0" w:after="0" w:line="420" w:lineRule="exact"/>
        <w:ind w:firstLine="422"/>
        <w:rPr>
          <w:rFonts w:hint="eastAsia" w:ascii="宋体" w:hAnsi="宋体" w:cs="仿宋"/>
          <w:bCs w:val="0"/>
          <w:color w:val="auto"/>
          <w:sz w:val="21"/>
          <w:szCs w:val="21"/>
          <w:highlight w:val="none"/>
          <w:lang w:eastAsia="zh-CN"/>
        </w:rPr>
      </w:pPr>
      <w:bookmarkStart w:id="51" w:name="_Toc35393635"/>
      <w:bookmarkStart w:id="52" w:name="_Toc118483111"/>
      <w:bookmarkStart w:id="53" w:name="_Toc44405615"/>
      <w:bookmarkStart w:id="54" w:name="_Toc15000"/>
      <w:bookmarkStart w:id="55" w:name="_Toc55053346"/>
      <w:bookmarkStart w:id="56" w:name="_Toc35393804"/>
      <w:bookmarkStart w:id="57" w:name="_Toc89760762"/>
      <w:r>
        <w:rPr>
          <w:rFonts w:hint="eastAsia" w:ascii="宋体" w:hAnsi="宋体" w:cs="仿宋"/>
          <w:bCs w:val="0"/>
          <w:color w:val="auto"/>
          <w:sz w:val="21"/>
          <w:szCs w:val="21"/>
          <w:highlight w:val="none"/>
          <w:lang w:eastAsia="zh-CN"/>
        </w:rPr>
        <w:t>七</w:t>
      </w:r>
      <w:r>
        <w:rPr>
          <w:rFonts w:hint="eastAsia" w:ascii="宋体" w:hAnsi="宋体" w:cs="仿宋"/>
          <w:bCs w:val="0"/>
          <w:color w:val="auto"/>
          <w:sz w:val="21"/>
          <w:szCs w:val="21"/>
          <w:highlight w:val="none"/>
        </w:rPr>
        <w:t>、其他补充事宜</w:t>
      </w:r>
      <w:bookmarkEnd w:id="51"/>
      <w:bookmarkEnd w:id="52"/>
      <w:bookmarkEnd w:id="53"/>
      <w:bookmarkEnd w:id="54"/>
      <w:bookmarkEnd w:id="55"/>
      <w:bookmarkEnd w:id="56"/>
      <w:bookmarkEnd w:id="57"/>
    </w:p>
    <w:p w14:paraId="2149AE65">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highlight w:val="none"/>
        </w:rPr>
      </w:pPr>
      <w:bookmarkStart w:id="58" w:name="_Toc35393805"/>
      <w:bookmarkStart w:id="59" w:name="_Toc35393636"/>
      <w:bookmarkStart w:id="60" w:name="_Toc55053347"/>
      <w:bookmarkStart w:id="61" w:name="_Toc44405616"/>
      <w:bookmarkStart w:id="62" w:name="_Toc28359018"/>
      <w:bookmarkStart w:id="63" w:name="_Toc28359095"/>
      <w:bookmarkStart w:id="64" w:name="_Toc89760763"/>
      <w:r>
        <w:rPr>
          <w:rFonts w:hint="eastAsia" w:ascii="宋体" w:hAnsi="宋体" w:cs="仿宋"/>
          <w:bCs/>
          <w:color w:val="auto"/>
          <w:szCs w:val="21"/>
          <w:highlight w:val="none"/>
        </w:rPr>
        <w:t>1.供应商竞标注意事项</w:t>
      </w:r>
    </w:p>
    <w:p w14:paraId="454EE57E">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highlight w:val="none"/>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1</w:t>
      </w:r>
      <w:r>
        <w:rPr>
          <w:rFonts w:hint="eastAsia" w:ascii="宋体" w:hAnsi="宋体" w:cs="仿宋"/>
          <w:bCs/>
          <w:color w:val="auto"/>
          <w:szCs w:val="21"/>
          <w:highlight w:val="none"/>
        </w:rPr>
        <w:t>）磋商保证金：本项目无需提交磋商保证金。</w:t>
      </w:r>
    </w:p>
    <w:p w14:paraId="7652F33D">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highlight w:val="none"/>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2</w:t>
      </w:r>
      <w:r>
        <w:rPr>
          <w:rFonts w:hint="eastAsia" w:ascii="宋体" w:hAnsi="宋体" w:cs="仿宋"/>
          <w:bCs/>
          <w:color w:val="auto"/>
          <w:szCs w:val="21"/>
          <w:highlight w:val="none"/>
        </w:rPr>
        <w:t>）本项目为全流程电子化采购项目，通过广西政府采购云平台（https：//www.zcygov.cn）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6EF13FEE">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highlight w:val="none"/>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3</w:t>
      </w:r>
      <w:r>
        <w:rPr>
          <w:rFonts w:hint="eastAsia" w:ascii="宋体" w:hAnsi="宋体" w:cs="仿宋"/>
          <w:bCs/>
          <w:color w:val="auto"/>
          <w:szCs w:val="21"/>
          <w:highlight w:val="none"/>
        </w:rPr>
        <w:t>）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14:paraId="089960BE">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highlight w:val="none"/>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4</w:t>
      </w:r>
      <w:r>
        <w:rPr>
          <w:rFonts w:hint="eastAsia" w:ascii="宋体" w:hAnsi="宋体" w:cs="仿宋"/>
          <w:bCs/>
          <w:color w:val="auto"/>
          <w:szCs w:val="21"/>
          <w:highlight w:val="none"/>
        </w:rPr>
        <w:t>）CA证书在线解密：首次响应文件开启时，需携带制作响应文件时用来加密的有效数字证书（CA认证）登录广西政府采购云平台电子开标大厅现场按规定时间对加密的响应文件进行解密，否则后果自负。</w:t>
      </w:r>
    </w:p>
    <w:p w14:paraId="0E7F0004">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highlight w:val="none"/>
        </w:rPr>
      </w:pPr>
      <w:r>
        <w:rPr>
          <w:rFonts w:hint="eastAsia" w:ascii="宋体" w:hAnsi="宋体" w:cs="仿宋"/>
          <w:bCs/>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5F433BB">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ascii="宋体" w:hAnsi="宋体" w:cs="仿宋"/>
          <w:bCs/>
          <w:color w:val="auto"/>
          <w:szCs w:val="21"/>
          <w:highlight w:val="none"/>
        </w:rPr>
      </w:pPr>
      <w:r>
        <w:rPr>
          <w:rFonts w:hint="eastAsia" w:ascii="宋体" w:hAnsi="宋体" w:cs="仿宋"/>
          <w:bCs/>
          <w:color w:val="auto"/>
          <w:szCs w:val="21"/>
          <w:highlight w:val="none"/>
        </w:rPr>
        <w:t>（</w:t>
      </w:r>
      <w:r>
        <w:rPr>
          <w:rFonts w:hint="eastAsia" w:ascii="宋体" w:hAnsi="宋体" w:cs="仿宋"/>
          <w:bCs/>
          <w:color w:val="auto"/>
          <w:szCs w:val="21"/>
          <w:highlight w:val="none"/>
          <w:lang w:val="en-US" w:eastAsia="zh-CN"/>
        </w:rPr>
        <w:t>5</w:t>
      </w:r>
      <w:r>
        <w:rPr>
          <w:rFonts w:hint="eastAsia" w:ascii="宋体" w:hAnsi="宋体" w:cs="仿宋"/>
          <w:bCs/>
          <w:color w:val="auto"/>
          <w:szCs w:val="21"/>
          <w:highlight w:val="none"/>
        </w:rPr>
        <w:t>）供应商需要在具备有摄像头及语音功能且互联网网络状况良好的电脑登录广西政府采购云平台远程开标大厅参与本次磋商，否则后果自负。</w:t>
      </w:r>
    </w:p>
    <w:p w14:paraId="56D92989">
      <w:pPr>
        <w:keepNext w:val="0"/>
        <w:keepLines w:val="0"/>
        <w:pageBreakBefore w:val="0"/>
        <w:widowControl w:val="0"/>
        <w:kinsoku/>
        <w:wordWrap/>
        <w:overflowPunct/>
        <w:topLinePunct w:val="0"/>
        <w:autoSpaceDE/>
        <w:autoSpaceDN/>
        <w:bidi w:val="0"/>
        <w:adjustRightInd/>
        <w:snapToGrid/>
        <w:spacing w:line="420" w:lineRule="exact"/>
        <w:ind w:firstLine="420"/>
        <w:jc w:val="left"/>
        <w:textAlignment w:val="auto"/>
        <w:rPr>
          <w:rFonts w:hint="eastAsia" w:ascii="宋体" w:hAnsi="宋体" w:cs="仿宋"/>
          <w:bCs/>
          <w:color w:val="auto"/>
          <w:szCs w:val="21"/>
          <w:highlight w:val="none"/>
        </w:rPr>
      </w:pPr>
      <w:r>
        <w:rPr>
          <w:rFonts w:hint="eastAsia" w:ascii="宋体" w:hAnsi="宋体" w:cs="仿宋"/>
          <w:bCs/>
          <w:color w:val="auto"/>
          <w:szCs w:val="21"/>
          <w:highlight w:val="none"/>
          <w:lang w:val="en-US" w:eastAsia="zh-CN"/>
        </w:rPr>
        <w:t>2</w:t>
      </w:r>
      <w:r>
        <w:rPr>
          <w:rFonts w:hint="eastAsia" w:ascii="宋体" w:hAnsi="宋体" w:cs="仿宋"/>
          <w:bCs/>
          <w:color w:val="auto"/>
          <w:szCs w:val="21"/>
          <w:highlight w:val="none"/>
        </w:rPr>
        <w:t>.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14:paraId="39557D73">
      <w:pPr>
        <w:spacing w:line="420" w:lineRule="exact"/>
        <w:ind w:firstLine="420"/>
        <w:rPr>
          <w:rFonts w:ascii="宋体" w:hAnsi="宋体" w:cs="仿宋"/>
          <w:color w:val="auto"/>
          <w:kern w:val="0"/>
          <w:szCs w:val="21"/>
          <w:highlight w:val="none"/>
        </w:rPr>
      </w:pPr>
      <w:r>
        <w:rPr>
          <w:rFonts w:hint="eastAsia" w:ascii="宋体" w:hAnsi="宋体" w:cs="仿宋"/>
          <w:color w:val="auto"/>
          <w:kern w:val="0"/>
          <w:szCs w:val="21"/>
          <w:highlight w:val="none"/>
          <w:lang w:val="en-US" w:eastAsia="zh-CN"/>
        </w:rPr>
        <w:t>3</w:t>
      </w:r>
      <w:r>
        <w:rPr>
          <w:rFonts w:hint="eastAsia" w:ascii="宋体" w:hAnsi="宋体" w:cs="仿宋"/>
          <w:color w:val="auto"/>
          <w:kern w:val="0"/>
          <w:szCs w:val="21"/>
          <w:highlight w:val="none"/>
        </w:rPr>
        <w:t>.网上查询地址：www.ccgp.gov.cn（中国政府采购网）、zfcg.gxzf.gov.cn（广西壮族自治区政府采购网）、</w:t>
      </w:r>
      <w:r>
        <w:rPr>
          <w:rFonts w:ascii="宋体" w:hAnsi="宋体" w:cs="仿宋"/>
          <w:color w:val="auto"/>
          <w:kern w:val="0"/>
          <w:szCs w:val="21"/>
          <w:highlight w:val="none"/>
        </w:rPr>
        <w:t>zfcg.lzscz.liuzhou.gov.cn</w:t>
      </w:r>
      <w:r>
        <w:rPr>
          <w:rFonts w:hint="eastAsia" w:ascii="宋体" w:hAnsi="宋体" w:cs="仿宋"/>
          <w:color w:val="auto"/>
          <w:kern w:val="0"/>
          <w:szCs w:val="21"/>
          <w:highlight w:val="none"/>
        </w:rPr>
        <w:t>（广西柳州政府采购网）。</w:t>
      </w:r>
    </w:p>
    <w:p w14:paraId="6911E3F7">
      <w:pPr>
        <w:spacing w:line="420" w:lineRule="exact"/>
        <w:ind w:firstLine="420"/>
        <w:rPr>
          <w:rFonts w:hint="eastAsia" w:ascii="宋体" w:hAnsi="宋体" w:cs="仿宋"/>
          <w:color w:val="auto"/>
          <w:kern w:val="0"/>
          <w:szCs w:val="21"/>
          <w:highlight w:val="none"/>
        </w:rPr>
      </w:pPr>
      <w:r>
        <w:rPr>
          <w:rFonts w:hint="eastAsia" w:ascii="宋体" w:hAnsi="宋体" w:cs="仿宋"/>
          <w:color w:val="auto"/>
          <w:szCs w:val="21"/>
          <w:highlight w:val="none"/>
          <w:lang w:val="en-US" w:eastAsia="zh-CN"/>
        </w:rPr>
        <w:t>4</w:t>
      </w:r>
      <w:r>
        <w:rPr>
          <w:rFonts w:hint="eastAsia" w:ascii="宋体" w:hAnsi="宋体" w:cs="仿宋"/>
          <w:color w:val="auto"/>
          <w:szCs w:val="21"/>
          <w:highlight w:val="none"/>
        </w:rPr>
        <w:t>.</w:t>
      </w:r>
      <w:r>
        <w:rPr>
          <w:rFonts w:hint="eastAsia" w:ascii="宋体" w:hAnsi="宋体" w:cs="仿宋"/>
          <w:color w:val="auto"/>
          <w:kern w:val="0"/>
          <w:szCs w:val="21"/>
          <w:highlight w:val="none"/>
        </w:rPr>
        <w:t>本项目需要落实的政府采购政策：（1）政府采购促进中小企业发展；（2）政府采购支持采用本国产品的政策；（3）本项目为服务项目，采购内容不涉及政府强制采购节能产品；（4）政府采购促进残疾人就业政策；（5）政府采购支持监狱企业发展。</w:t>
      </w:r>
    </w:p>
    <w:p w14:paraId="3F62DE79">
      <w:pPr>
        <w:pStyle w:val="3"/>
        <w:spacing w:before="0" w:after="0" w:line="420" w:lineRule="exact"/>
        <w:ind w:firstLine="422"/>
        <w:rPr>
          <w:rFonts w:ascii="宋体" w:hAnsi="宋体" w:cs="仿宋"/>
          <w:bCs w:val="0"/>
          <w:color w:val="auto"/>
          <w:sz w:val="21"/>
          <w:szCs w:val="21"/>
          <w:highlight w:val="none"/>
          <w:lang w:eastAsia="zh-CN"/>
        </w:rPr>
      </w:pPr>
      <w:bookmarkStart w:id="65" w:name="_Toc118483112"/>
      <w:bookmarkStart w:id="66" w:name="_Toc26546"/>
      <w:r>
        <w:rPr>
          <w:rFonts w:hint="eastAsia" w:ascii="宋体" w:hAnsi="宋体" w:cs="仿宋"/>
          <w:bCs w:val="0"/>
          <w:color w:val="auto"/>
          <w:sz w:val="21"/>
          <w:szCs w:val="21"/>
          <w:highlight w:val="none"/>
          <w:lang w:eastAsia="zh-CN"/>
        </w:rPr>
        <w:t>八</w:t>
      </w:r>
      <w:r>
        <w:rPr>
          <w:rFonts w:hint="eastAsia" w:ascii="宋体" w:hAnsi="宋体" w:cs="仿宋"/>
          <w:bCs w:val="0"/>
          <w:color w:val="auto"/>
          <w:sz w:val="21"/>
          <w:szCs w:val="21"/>
          <w:highlight w:val="none"/>
        </w:rPr>
        <w:t>、</w:t>
      </w:r>
      <w:bookmarkEnd w:id="58"/>
      <w:bookmarkEnd w:id="59"/>
      <w:bookmarkEnd w:id="60"/>
      <w:bookmarkEnd w:id="61"/>
      <w:bookmarkEnd w:id="62"/>
      <w:bookmarkEnd w:id="63"/>
      <w:r>
        <w:rPr>
          <w:rFonts w:hint="eastAsia" w:ascii="宋体" w:hAnsi="宋体" w:cs="仿宋"/>
          <w:bCs w:val="0"/>
          <w:color w:val="auto"/>
          <w:sz w:val="21"/>
          <w:szCs w:val="21"/>
          <w:highlight w:val="none"/>
          <w:lang w:eastAsia="zh-CN"/>
        </w:rPr>
        <w:t>凡</w:t>
      </w:r>
      <w:r>
        <w:rPr>
          <w:rFonts w:hint="eastAsia" w:ascii="宋体" w:hAnsi="宋体" w:cs="仿宋"/>
          <w:bCs w:val="0"/>
          <w:color w:val="auto"/>
          <w:sz w:val="21"/>
          <w:szCs w:val="21"/>
          <w:highlight w:val="none"/>
        </w:rPr>
        <w:t>对本次</w:t>
      </w:r>
      <w:r>
        <w:rPr>
          <w:rFonts w:hint="eastAsia" w:ascii="宋体" w:hAnsi="宋体" w:cs="仿宋"/>
          <w:bCs w:val="0"/>
          <w:color w:val="auto"/>
          <w:sz w:val="21"/>
          <w:szCs w:val="21"/>
          <w:highlight w:val="none"/>
          <w:lang w:eastAsia="zh-CN"/>
        </w:rPr>
        <w:t>招标</w:t>
      </w:r>
      <w:r>
        <w:rPr>
          <w:rFonts w:hint="eastAsia" w:ascii="宋体" w:hAnsi="宋体" w:cs="仿宋"/>
          <w:bCs w:val="0"/>
          <w:color w:val="auto"/>
          <w:sz w:val="21"/>
          <w:szCs w:val="21"/>
          <w:highlight w:val="none"/>
        </w:rPr>
        <w:t>提出询问，请按以下方式联系</w:t>
      </w:r>
      <w:bookmarkEnd w:id="64"/>
      <w:bookmarkEnd w:id="65"/>
      <w:bookmarkEnd w:id="66"/>
    </w:p>
    <w:p w14:paraId="338AF49A">
      <w:pPr>
        <w:spacing w:line="420" w:lineRule="exact"/>
        <w:ind w:firstLine="420"/>
        <w:rPr>
          <w:rFonts w:ascii="宋体" w:hAnsi="宋体" w:cs="仿宋"/>
          <w:color w:val="auto"/>
          <w:kern w:val="0"/>
          <w:szCs w:val="21"/>
          <w:highlight w:val="none"/>
        </w:rPr>
      </w:pPr>
      <w:bookmarkStart w:id="67" w:name="_Toc35393806"/>
      <w:bookmarkStart w:id="68" w:name="_Toc28359019"/>
      <w:bookmarkStart w:id="69" w:name="_Toc28359096"/>
      <w:bookmarkStart w:id="70" w:name="_Toc35393637"/>
      <w:r>
        <w:rPr>
          <w:rFonts w:hint="eastAsia" w:ascii="宋体" w:hAnsi="宋体" w:cs="仿宋"/>
          <w:color w:val="auto"/>
          <w:kern w:val="0"/>
          <w:szCs w:val="21"/>
          <w:highlight w:val="none"/>
        </w:rPr>
        <w:t>1.采购人信息</w:t>
      </w:r>
      <w:bookmarkEnd w:id="67"/>
      <w:bookmarkEnd w:id="68"/>
      <w:bookmarkEnd w:id="69"/>
      <w:bookmarkEnd w:id="70"/>
    </w:p>
    <w:p w14:paraId="5EE47DC4">
      <w:pPr>
        <w:snapToGrid w:val="0"/>
        <w:spacing w:line="420" w:lineRule="exact"/>
        <w:ind w:firstLine="420"/>
        <w:rPr>
          <w:rFonts w:hint="eastAsia" w:hAnsi="宋体" w:eastAsia="宋体"/>
          <w:color w:val="auto"/>
          <w:highlight w:val="none"/>
          <w:lang w:eastAsia="zh-CN"/>
        </w:rPr>
      </w:pPr>
      <w:r>
        <w:rPr>
          <w:rFonts w:hint="eastAsia" w:hAnsi="宋体"/>
          <w:color w:val="auto"/>
          <w:highlight w:val="none"/>
        </w:rPr>
        <w:t>名称：</w:t>
      </w:r>
      <w:r>
        <w:rPr>
          <w:rFonts w:hint="eastAsia" w:hAnsi="宋体"/>
          <w:color w:val="auto"/>
          <w:highlight w:val="none"/>
          <w:lang w:eastAsia="zh-CN"/>
        </w:rPr>
        <w:t>柳州市人民医院</w:t>
      </w:r>
    </w:p>
    <w:p w14:paraId="392B573C">
      <w:pPr>
        <w:snapToGrid w:val="0"/>
        <w:spacing w:line="420" w:lineRule="exact"/>
        <w:ind w:firstLine="420"/>
        <w:rPr>
          <w:rFonts w:hint="eastAsia" w:hAnsi="宋体" w:eastAsia="宋体"/>
          <w:color w:val="auto"/>
          <w:highlight w:val="none"/>
          <w:lang w:eastAsia="zh-CN"/>
        </w:rPr>
      </w:pPr>
      <w:r>
        <w:rPr>
          <w:rFonts w:hint="eastAsia" w:hAnsi="宋体"/>
          <w:color w:val="auto"/>
          <w:highlight w:val="none"/>
        </w:rPr>
        <w:t>地</w:t>
      </w:r>
      <w:r>
        <w:rPr>
          <w:rFonts w:hint="eastAsia" w:hAnsi="宋体"/>
          <w:color w:val="auto"/>
          <w:highlight w:val="none"/>
        </w:rPr>
        <w:t>址：</w:t>
      </w:r>
      <w:r>
        <w:rPr>
          <w:rFonts w:hint="eastAsia" w:hAnsi="宋体"/>
          <w:color w:val="auto"/>
          <w:highlight w:val="none"/>
          <w:lang w:eastAsia="zh-CN"/>
        </w:rPr>
        <w:t>广西柳州市文昌路8号</w:t>
      </w:r>
    </w:p>
    <w:p w14:paraId="2F018B5D">
      <w:pPr>
        <w:spacing w:line="420" w:lineRule="exact"/>
        <w:ind w:firstLine="420"/>
        <w:jc w:val="left"/>
        <w:rPr>
          <w:rFonts w:hint="eastAsia" w:ascii="宋体" w:hAnsi="宋体" w:eastAsia="宋体" w:cs="仿宋"/>
          <w:color w:val="auto"/>
          <w:szCs w:val="21"/>
          <w:highlight w:val="none"/>
          <w:lang w:val="en-US" w:eastAsia="zh-CN"/>
        </w:rPr>
      </w:pPr>
      <w:r>
        <w:rPr>
          <w:rFonts w:hint="eastAsia" w:ascii="宋体" w:hAnsi="宋体" w:cs="仿宋"/>
          <w:color w:val="auto"/>
          <w:szCs w:val="21"/>
          <w:highlight w:val="none"/>
        </w:rPr>
        <w:t>项目联系人：</w:t>
      </w:r>
      <w:r>
        <w:rPr>
          <w:rFonts w:hint="eastAsia" w:ascii="宋体" w:hAnsi="宋体" w:cs="仿宋"/>
          <w:color w:val="auto"/>
          <w:szCs w:val="21"/>
          <w:highlight w:val="none"/>
          <w:lang w:eastAsia="zh-CN"/>
        </w:rPr>
        <w:t>葛瑛</w:t>
      </w:r>
    </w:p>
    <w:p w14:paraId="64DF51B4">
      <w:pPr>
        <w:spacing w:line="420" w:lineRule="exact"/>
        <w:ind w:firstLine="420"/>
        <w:jc w:val="left"/>
        <w:rPr>
          <w:rFonts w:hint="default" w:ascii="宋体" w:hAnsi="宋体" w:eastAsia="宋体" w:cs="仿宋"/>
          <w:color w:val="auto"/>
          <w:szCs w:val="21"/>
          <w:highlight w:val="none"/>
          <w:lang w:val="en-US" w:eastAsia="zh-CN"/>
        </w:rPr>
      </w:pPr>
      <w:r>
        <w:rPr>
          <w:rFonts w:hint="eastAsia" w:ascii="宋体" w:hAnsi="宋体" w:cs="仿宋"/>
          <w:color w:val="auto"/>
          <w:szCs w:val="21"/>
          <w:highlight w:val="none"/>
        </w:rPr>
        <w:t>项目联系方式：</w:t>
      </w:r>
      <w:r>
        <w:rPr>
          <w:rFonts w:hint="eastAsia" w:ascii="宋体" w:hAnsi="宋体" w:cs="仿宋"/>
          <w:color w:val="auto"/>
          <w:szCs w:val="21"/>
          <w:highlight w:val="none"/>
          <w:lang w:val="en-US" w:eastAsia="zh-CN"/>
        </w:rPr>
        <w:t>0772-2662036</w:t>
      </w:r>
    </w:p>
    <w:p w14:paraId="5F9FED0E">
      <w:pPr>
        <w:spacing w:line="420" w:lineRule="exact"/>
        <w:ind w:firstLine="420"/>
        <w:rPr>
          <w:rFonts w:ascii="宋体" w:hAnsi="宋体" w:cs="仿宋"/>
          <w:color w:val="auto"/>
          <w:kern w:val="0"/>
          <w:szCs w:val="21"/>
          <w:highlight w:val="none"/>
        </w:rPr>
      </w:pPr>
      <w:bookmarkStart w:id="71" w:name="_Toc28359097"/>
      <w:bookmarkStart w:id="72" w:name="_Toc35393638"/>
      <w:bookmarkStart w:id="73" w:name="_Toc28359020"/>
      <w:bookmarkStart w:id="74" w:name="_Toc35393807"/>
      <w:r>
        <w:rPr>
          <w:rFonts w:hint="eastAsia" w:ascii="宋体" w:hAnsi="宋体" w:cs="仿宋"/>
          <w:color w:val="auto"/>
          <w:kern w:val="0"/>
          <w:szCs w:val="21"/>
          <w:highlight w:val="none"/>
        </w:rPr>
        <w:t>2.采购代理机构信息</w:t>
      </w:r>
      <w:bookmarkEnd w:id="71"/>
      <w:bookmarkEnd w:id="72"/>
      <w:bookmarkEnd w:id="73"/>
      <w:bookmarkEnd w:id="74"/>
    </w:p>
    <w:p w14:paraId="12EA4797">
      <w:pPr>
        <w:spacing w:line="420" w:lineRule="exact"/>
        <w:ind w:firstLine="42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名称：</w:t>
      </w:r>
      <w:r>
        <w:rPr>
          <w:rFonts w:hint="eastAsia" w:ascii="宋体" w:hAnsi="宋体" w:cs="仿宋"/>
          <w:color w:val="auto"/>
          <w:szCs w:val="21"/>
          <w:highlight w:val="none"/>
          <w:lang w:eastAsia="zh-CN"/>
        </w:rPr>
        <w:t>广西银泰工程管理有限公司</w:t>
      </w:r>
    </w:p>
    <w:p w14:paraId="6430676D">
      <w:pPr>
        <w:spacing w:line="420" w:lineRule="exact"/>
        <w:ind w:firstLine="42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地址：广西柳州市东环大道168号翡翠龙庭</w:t>
      </w:r>
      <w:r>
        <w:rPr>
          <w:rFonts w:hint="eastAsia" w:ascii="宋体" w:hAnsi="宋体" w:cs="仿宋"/>
          <w:color w:val="auto"/>
          <w:szCs w:val="21"/>
          <w:highlight w:val="none"/>
          <w:lang w:eastAsia="zh-CN"/>
        </w:rPr>
        <w:t>12栋3-17</w:t>
      </w:r>
    </w:p>
    <w:p w14:paraId="0CE239B6">
      <w:pPr>
        <w:snapToGrid w:val="0"/>
        <w:spacing w:line="420" w:lineRule="exact"/>
        <w:ind w:firstLine="420"/>
        <w:rPr>
          <w:rFonts w:hint="default" w:hAnsi="宋体" w:eastAsia="宋体"/>
          <w:color w:val="auto"/>
          <w:highlight w:val="none"/>
          <w:lang w:val="en-US" w:eastAsia="zh-CN"/>
        </w:rPr>
      </w:pPr>
      <w:r>
        <w:rPr>
          <w:rFonts w:hint="eastAsia" w:ascii="宋体" w:hAnsi="宋体" w:cs="仿宋"/>
          <w:color w:val="auto"/>
          <w:szCs w:val="21"/>
          <w:highlight w:val="none"/>
        </w:rPr>
        <w:t>项目联系人：</w:t>
      </w:r>
      <w:r>
        <w:rPr>
          <w:rFonts w:hint="eastAsia" w:ascii="宋体" w:hAnsi="宋体" w:cs="仿宋"/>
          <w:color w:val="auto"/>
          <w:szCs w:val="21"/>
          <w:highlight w:val="none"/>
          <w:lang w:val="en-US" w:eastAsia="zh-CN"/>
        </w:rPr>
        <w:t>刘国亮、覃薏惠、刘洁</w:t>
      </w:r>
    </w:p>
    <w:p w14:paraId="6FDEAE06">
      <w:pPr>
        <w:spacing w:line="420" w:lineRule="exact"/>
        <w:ind w:firstLine="420"/>
        <w:rPr>
          <w:rFonts w:hint="eastAsia" w:ascii="宋体" w:hAnsi="宋体" w:eastAsia="宋体" w:cs="仿宋"/>
          <w:color w:val="auto"/>
          <w:szCs w:val="21"/>
          <w:highlight w:val="none"/>
          <w:lang w:eastAsia="zh-CN"/>
        </w:rPr>
      </w:pPr>
      <w:r>
        <w:rPr>
          <w:rFonts w:hint="eastAsia" w:ascii="宋体" w:hAnsi="宋体" w:cs="仿宋"/>
          <w:color w:val="auto"/>
          <w:szCs w:val="21"/>
          <w:highlight w:val="none"/>
        </w:rPr>
        <w:t>项目联系方式：</w:t>
      </w:r>
      <w:r>
        <w:rPr>
          <w:rFonts w:hint="eastAsia" w:ascii="宋体" w:hAnsi="宋体" w:cs="仿宋"/>
          <w:color w:val="auto"/>
          <w:szCs w:val="21"/>
          <w:highlight w:val="none"/>
          <w:lang w:eastAsia="zh-CN"/>
        </w:rPr>
        <w:t>0772-2813184</w:t>
      </w:r>
    </w:p>
    <w:p w14:paraId="10C23B24">
      <w:pPr>
        <w:spacing w:line="420" w:lineRule="exact"/>
        <w:ind w:firstLine="420"/>
        <w:rPr>
          <w:rFonts w:hint="eastAsia" w:ascii="宋体" w:hAnsi="宋体" w:cs="仿宋"/>
          <w:color w:val="auto"/>
          <w:szCs w:val="21"/>
          <w:highlight w:val="none"/>
        </w:rPr>
      </w:pPr>
    </w:p>
    <w:p w14:paraId="1750E13A">
      <w:pPr>
        <w:spacing w:line="420" w:lineRule="exact"/>
        <w:ind w:firstLine="630" w:firstLineChars="300"/>
        <w:jc w:val="right"/>
        <w:rPr>
          <w:rFonts w:ascii="宋体" w:hAnsi="宋体" w:cs="仿宋"/>
          <w:color w:val="auto"/>
          <w:szCs w:val="21"/>
          <w:highlight w:val="none"/>
          <w:u w:val="single"/>
        </w:rPr>
      </w:pPr>
    </w:p>
    <w:p w14:paraId="7AC7D413">
      <w:pPr>
        <w:spacing w:line="420" w:lineRule="exact"/>
        <w:ind w:firstLine="420"/>
        <w:jc w:val="right"/>
        <w:rPr>
          <w:rFonts w:hint="eastAsia" w:ascii="宋体" w:hAnsi="宋体" w:cs="Arial"/>
          <w:color w:val="auto"/>
          <w:szCs w:val="21"/>
          <w:highlight w:val="none"/>
        </w:rPr>
      </w:pPr>
    </w:p>
    <w:p w14:paraId="7992B410">
      <w:pPr>
        <w:spacing w:line="420" w:lineRule="exact"/>
        <w:ind w:firstLine="0" w:firstLineChars="0"/>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0DC9A4CD">
      <w:pPr>
        <w:pStyle w:val="3"/>
        <w:spacing w:line="420" w:lineRule="exact"/>
        <w:ind w:firstLine="0" w:firstLineChars="0"/>
        <w:jc w:val="center"/>
        <w:rPr>
          <w:rFonts w:hint="eastAsia" w:ascii="宋体" w:hAnsi="宋体" w:cs="宋体"/>
          <w:color w:val="auto"/>
          <w:highlight w:val="none"/>
        </w:rPr>
      </w:pPr>
      <w:bookmarkStart w:id="75" w:name="_Hlt106033517"/>
      <w:bookmarkEnd w:id="75"/>
      <w:bookmarkStart w:id="76" w:name="_Toc21075"/>
      <w:bookmarkStart w:id="77" w:name="_Toc3395202"/>
      <w:r>
        <w:rPr>
          <w:rFonts w:hint="eastAsia" w:ascii="宋体" w:hAnsi="宋体" w:cs="宋体"/>
          <w:color w:val="auto"/>
          <w:highlight w:val="none"/>
        </w:rPr>
        <w:t xml:space="preserve">第二章  </w:t>
      </w:r>
      <w:r>
        <w:rPr>
          <w:rFonts w:hint="eastAsia" w:ascii="宋体" w:hAnsi="宋体" w:cs="宋体"/>
          <w:color w:val="auto"/>
          <w:highlight w:val="none"/>
          <w:lang w:eastAsia="zh-CN"/>
        </w:rPr>
        <w:t>供应商</w:t>
      </w:r>
      <w:r>
        <w:rPr>
          <w:rFonts w:hint="eastAsia" w:ascii="宋体" w:hAnsi="宋体" w:cs="宋体"/>
          <w:color w:val="auto"/>
          <w:highlight w:val="none"/>
        </w:rPr>
        <w:t>须知</w:t>
      </w:r>
      <w:bookmarkEnd w:id="76"/>
      <w:bookmarkEnd w:id="77"/>
    </w:p>
    <w:p w14:paraId="7F00DD71">
      <w:pPr>
        <w:spacing w:line="420" w:lineRule="exact"/>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14:paraId="3939E3A9">
      <w:pPr>
        <w:spacing w:line="420" w:lineRule="exact"/>
        <w:ind w:firstLine="643"/>
        <w:jc w:val="center"/>
        <w:rPr>
          <w:rFonts w:hint="eastAsia" w:ascii="宋体" w:hAnsi="宋体" w:cs="宋体"/>
          <w:b/>
          <w:color w:val="auto"/>
          <w:sz w:val="32"/>
          <w:szCs w:val="32"/>
          <w:highlight w:val="none"/>
        </w:rPr>
      </w:pPr>
    </w:p>
    <w:tbl>
      <w:tblPr>
        <w:tblStyle w:val="51"/>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992"/>
        <w:gridCol w:w="7938"/>
      </w:tblGrid>
      <w:tr w14:paraId="2180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top"/>
          </w:tcPr>
          <w:p w14:paraId="450B1D90">
            <w:pPr>
              <w:spacing w:line="360" w:lineRule="auto"/>
              <w:ind w:firstLine="0"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992" w:type="dxa"/>
            <w:noWrap w:val="0"/>
            <w:vAlign w:val="top"/>
          </w:tcPr>
          <w:p w14:paraId="66F575E5">
            <w:pPr>
              <w:spacing w:line="360" w:lineRule="auto"/>
              <w:ind w:firstLine="0"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38" w:type="dxa"/>
            <w:noWrap w:val="0"/>
            <w:vAlign w:val="top"/>
          </w:tcPr>
          <w:p w14:paraId="59D8B2CA">
            <w:pPr>
              <w:spacing w:line="360" w:lineRule="auto"/>
              <w:ind w:firstLine="0" w:firstLineChars="0"/>
              <w:jc w:val="center"/>
              <w:rPr>
                <w:rFonts w:hint="eastAsia" w:ascii="宋体" w:hAnsi="宋体" w:cs="宋体"/>
                <w:b/>
                <w:color w:val="auto"/>
                <w:szCs w:val="21"/>
                <w:highlight w:val="none"/>
              </w:rPr>
            </w:pPr>
            <w:r>
              <w:rPr>
                <w:rFonts w:hint="eastAsia" w:ascii="宋体" w:hAnsi="宋体" w:cs="宋体"/>
                <w:b/>
                <w:color w:val="auto"/>
                <w:szCs w:val="21"/>
                <w:highlight w:val="none"/>
              </w:rPr>
              <w:t>内    容</w:t>
            </w:r>
          </w:p>
        </w:tc>
      </w:tr>
      <w:tr w14:paraId="5ED9C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32D90100">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92" w:type="dxa"/>
            <w:noWrap w:val="0"/>
            <w:vAlign w:val="center"/>
          </w:tcPr>
          <w:p w14:paraId="280F7AA5">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38" w:type="dxa"/>
            <w:noWrap w:val="0"/>
            <w:vAlign w:val="center"/>
          </w:tcPr>
          <w:p w14:paraId="3FCF4577">
            <w:pPr>
              <w:spacing w:line="360" w:lineRule="auto"/>
              <w:ind w:firstLine="0" w:firstLineChars="0"/>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3043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5EB7A854">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92" w:type="dxa"/>
            <w:noWrap w:val="0"/>
            <w:vAlign w:val="center"/>
          </w:tcPr>
          <w:p w14:paraId="25DB3E21">
            <w:pPr>
              <w:spacing w:line="360" w:lineRule="auto"/>
              <w:ind w:firstLine="33" w:firstLineChars="16"/>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38" w:type="dxa"/>
            <w:noWrap w:val="0"/>
            <w:vAlign w:val="center"/>
          </w:tcPr>
          <w:p w14:paraId="5ABF26A3">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14:paraId="3BEB8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710" w:type="dxa"/>
            <w:noWrap w:val="0"/>
            <w:vAlign w:val="center"/>
          </w:tcPr>
          <w:p w14:paraId="6D9F694A">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92" w:type="dxa"/>
            <w:noWrap w:val="0"/>
            <w:vAlign w:val="center"/>
          </w:tcPr>
          <w:p w14:paraId="6461F84E">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38" w:type="dxa"/>
            <w:noWrap w:val="0"/>
            <w:vAlign w:val="center"/>
          </w:tcPr>
          <w:p w14:paraId="0A208477">
            <w:pPr>
              <w:pStyle w:val="17"/>
              <w:spacing w:line="360" w:lineRule="auto"/>
              <w:ind w:firstLine="33" w:firstLineChars="16"/>
              <w:rPr>
                <w:rFonts w:ascii="宋体" w:hAnsi="宋体"/>
                <w:color w:val="auto"/>
                <w:szCs w:val="21"/>
                <w:highlight w:val="none"/>
                <w:lang w:val="en-US" w:eastAsia="zh-CN"/>
              </w:rPr>
            </w:pPr>
            <w:r>
              <w:rPr>
                <w:rFonts w:hint="eastAsia" w:ascii="MS Gothic" w:hAnsi="MS Gothic" w:eastAsia="MS Gothic" w:cs="MS Gothic"/>
                <w:color w:val="auto"/>
                <w:szCs w:val="21"/>
                <w:highlight w:val="none"/>
                <w:lang w:val="en-US" w:eastAsia="zh-CN"/>
              </w:rPr>
              <w:t>☑</w:t>
            </w:r>
            <w:r>
              <w:rPr>
                <w:rFonts w:hint="eastAsia" w:ascii="宋体" w:hAnsi="宋体"/>
                <w:color w:val="auto"/>
                <w:szCs w:val="21"/>
                <w:highlight w:val="none"/>
                <w:lang w:val="en-US" w:eastAsia="zh-CN"/>
              </w:rPr>
              <w:t>不允许分包</w:t>
            </w:r>
          </w:p>
          <w:p w14:paraId="34F4D849">
            <w:pPr>
              <w:pStyle w:val="17"/>
              <w:spacing w:line="360" w:lineRule="auto"/>
              <w:ind w:firstLine="33" w:firstLineChars="1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□允许分包</w:t>
            </w:r>
          </w:p>
        </w:tc>
      </w:tr>
      <w:tr w14:paraId="18E98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6777194D">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992" w:type="dxa"/>
            <w:noWrap w:val="0"/>
            <w:vAlign w:val="center"/>
          </w:tcPr>
          <w:p w14:paraId="73EB5448">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7938" w:type="dxa"/>
            <w:noWrap w:val="0"/>
            <w:vAlign w:val="center"/>
          </w:tcPr>
          <w:p w14:paraId="55404762">
            <w:pPr>
              <w:spacing w:line="360" w:lineRule="auto"/>
              <w:ind w:firstLine="0" w:firstLineChars="0"/>
              <w:rPr>
                <w:rFonts w:hint="eastAsia" w:ascii="宋体" w:hAnsi="宋体" w:cs="宋体"/>
                <w:color w:val="auto"/>
                <w:szCs w:val="21"/>
                <w:highlight w:val="none"/>
              </w:rPr>
            </w:pPr>
            <w:r>
              <w:rPr>
                <w:rFonts w:hint="eastAsia" w:ascii="宋体" w:hAnsi="宋体" w:cs="宋体"/>
                <w:b/>
                <w:color w:val="auto"/>
                <w:szCs w:val="21"/>
                <w:highlight w:val="none"/>
              </w:rPr>
              <w:t>资格证明文件【下列第1至</w:t>
            </w:r>
            <w:r>
              <w:rPr>
                <w:rFonts w:hint="eastAsia" w:ascii="宋体" w:hAnsi="宋体" w:cs="宋体"/>
                <w:b/>
                <w:color w:val="auto"/>
                <w:szCs w:val="21"/>
                <w:highlight w:val="none"/>
                <w:lang w:val="en-US" w:eastAsia="zh-CN"/>
              </w:rPr>
              <w:t>8</w:t>
            </w:r>
            <w:r>
              <w:rPr>
                <w:rFonts w:hint="eastAsia" w:ascii="宋体" w:hAnsi="宋体" w:cs="宋体"/>
                <w:b/>
                <w:color w:val="auto"/>
                <w:szCs w:val="21"/>
                <w:highlight w:val="none"/>
              </w:rPr>
              <w:t>项必须提供</w:t>
            </w:r>
            <w:r>
              <w:rPr>
                <w:rFonts w:hint="eastAsia" w:hAnsi="宋体" w:cs="Courier New"/>
                <w:b/>
                <w:color w:val="auto"/>
                <w:highlight w:val="none"/>
              </w:rPr>
              <w:t>（注明不须提供的情形除外）</w:t>
            </w:r>
            <w:r>
              <w:rPr>
                <w:rFonts w:hint="eastAsia" w:ascii="宋体" w:hAnsi="宋体" w:cs="宋体"/>
                <w:b/>
                <w:color w:val="auto"/>
                <w:szCs w:val="21"/>
                <w:highlight w:val="none"/>
              </w:rPr>
              <w:t>，否则响应文件按竞标无效处理，其他如有请提供】</w:t>
            </w:r>
            <w:r>
              <w:rPr>
                <w:rFonts w:hint="eastAsia" w:ascii="宋体" w:hAnsi="宋体" w:cs="宋体"/>
                <w:color w:val="auto"/>
                <w:szCs w:val="21"/>
                <w:highlight w:val="none"/>
              </w:rPr>
              <w:t>：</w:t>
            </w:r>
          </w:p>
          <w:p w14:paraId="05FBF7E3">
            <w:pPr>
              <w:numPr>
                <w:ilvl w:val="0"/>
                <w:numId w:val="8"/>
              </w:numPr>
              <w:spacing w:line="360" w:lineRule="auto"/>
              <w:ind w:left="0" w:firstLine="0" w:firstLineChars="0"/>
              <w:rPr>
                <w:rFonts w:hint="eastAsia" w:ascii="宋体" w:hAnsi="宋体" w:cs="宋体"/>
                <w:color w:val="auto"/>
                <w:szCs w:val="21"/>
                <w:highlight w:val="none"/>
              </w:rPr>
            </w:pPr>
            <w:r>
              <w:rPr>
                <w:rFonts w:hint="eastAsia" w:ascii="宋体" w:hAnsi="宋体" w:cs="宋体"/>
                <w:color w:val="auto"/>
                <w:szCs w:val="21"/>
                <w:highlight w:val="none"/>
              </w:rPr>
              <w:t>供应商合法的主体资格证明（如营业执照、事业单位法人证书、执业许可证、个体工商户营业执照、自然人身份证等）复印件；</w:t>
            </w:r>
          </w:p>
          <w:p w14:paraId="13B70D18">
            <w:pPr>
              <w:numPr>
                <w:ilvl w:val="0"/>
                <w:numId w:val="8"/>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法定代表人身份证明（按第五章响应文件格式要求填写，自然人竞标的不须提供）；</w:t>
            </w:r>
          </w:p>
          <w:p w14:paraId="400380E3">
            <w:pPr>
              <w:numPr>
                <w:ilvl w:val="0"/>
                <w:numId w:val="8"/>
              </w:numPr>
              <w:spacing w:line="360" w:lineRule="auto"/>
              <w:ind w:left="0" w:firstLine="0" w:firstLineChars="0"/>
              <w:rPr>
                <w:rFonts w:ascii="宋体" w:hAnsi="宋体" w:cs="宋体"/>
                <w:color w:val="auto"/>
                <w:szCs w:val="21"/>
                <w:highlight w:val="none"/>
              </w:rPr>
            </w:pPr>
            <w:r>
              <w:rPr>
                <w:rFonts w:hint="eastAsia" w:ascii="宋体" w:hAnsi="宋体" w:cs="宋体"/>
                <w:color w:val="auto"/>
                <w:szCs w:val="21"/>
                <w:highlight w:val="none"/>
              </w:rPr>
              <w:t>法定代表人授权委托书及委托代理人有效身份证件复印件【委托代理时，按第五章响应文件格式要求填写，法定代表人参加的不须提供】；</w:t>
            </w:r>
          </w:p>
          <w:p w14:paraId="2C6AE936">
            <w:pPr>
              <w:numPr>
                <w:ilvl w:val="0"/>
                <w:numId w:val="8"/>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政府采购供应商资格信用承诺函（按第五章响应文件格式要求填写）；</w:t>
            </w:r>
          </w:p>
          <w:p w14:paraId="7380C49E">
            <w:pPr>
              <w:numPr>
                <w:ilvl w:val="0"/>
                <w:numId w:val="8"/>
              </w:numPr>
              <w:spacing w:line="360" w:lineRule="auto"/>
              <w:ind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供应商直接控股股东信息表</w:t>
            </w:r>
            <w:r>
              <w:rPr>
                <w:rFonts w:hint="eastAsia" w:asciiTheme="minorEastAsia" w:hAnsiTheme="minorEastAsia" w:eastAsiaTheme="minorEastAsia" w:cstheme="minorEastAsia"/>
                <w:bCs/>
                <w:color w:val="auto"/>
                <w:szCs w:val="21"/>
                <w:highlight w:val="none"/>
              </w:rPr>
              <w:t>（按第</w:t>
            </w:r>
            <w:r>
              <w:rPr>
                <w:rFonts w:hint="eastAsia" w:asciiTheme="minorEastAsia" w:hAnsiTheme="minorEastAsia" w:eastAsiaTheme="minorEastAsia" w:cstheme="minorEastAsia"/>
                <w:color w:val="auto"/>
                <w:szCs w:val="21"/>
                <w:highlight w:val="none"/>
              </w:rPr>
              <w:t>五</w:t>
            </w:r>
            <w:r>
              <w:rPr>
                <w:rFonts w:hint="eastAsia" w:asciiTheme="minorEastAsia" w:hAnsiTheme="minorEastAsia" w:eastAsiaTheme="minorEastAsia" w:cstheme="minorEastAsia"/>
                <w:bCs/>
                <w:color w:val="auto"/>
                <w:szCs w:val="21"/>
                <w:highlight w:val="none"/>
              </w:rPr>
              <w:t>章响应文件格式要求填写）</w:t>
            </w:r>
            <w:r>
              <w:rPr>
                <w:rFonts w:hint="eastAsia" w:asciiTheme="minorEastAsia" w:hAnsiTheme="minorEastAsia" w:eastAsiaTheme="minorEastAsia" w:cstheme="minorEastAsia"/>
                <w:color w:val="auto"/>
                <w:szCs w:val="21"/>
                <w:highlight w:val="none"/>
              </w:rPr>
              <w:t>；</w:t>
            </w:r>
          </w:p>
          <w:p w14:paraId="49A01DE4">
            <w:pPr>
              <w:numPr>
                <w:ilvl w:val="0"/>
                <w:numId w:val="8"/>
              </w:numPr>
              <w:spacing w:line="360" w:lineRule="auto"/>
              <w:ind w:firstLine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供应商直接管理关系信息表</w:t>
            </w:r>
            <w:r>
              <w:rPr>
                <w:rFonts w:hint="eastAsia" w:asciiTheme="minorEastAsia" w:hAnsiTheme="minorEastAsia" w:eastAsiaTheme="minorEastAsia" w:cstheme="minorEastAsia"/>
                <w:bCs/>
                <w:color w:val="auto"/>
                <w:szCs w:val="21"/>
                <w:highlight w:val="none"/>
              </w:rPr>
              <w:t>（按第</w:t>
            </w:r>
            <w:r>
              <w:rPr>
                <w:rFonts w:hint="eastAsia" w:asciiTheme="minorEastAsia" w:hAnsiTheme="minorEastAsia" w:eastAsiaTheme="minorEastAsia" w:cstheme="minorEastAsia"/>
                <w:color w:val="auto"/>
                <w:szCs w:val="21"/>
                <w:highlight w:val="none"/>
              </w:rPr>
              <w:t>五</w:t>
            </w:r>
            <w:r>
              <w:rPr>
                <w:rFonts w:hint="eastAsia" w:asciiTheme="minorEastAsia" w:hAnsiTheme="minorEastAsia" w:eastAsiaTheme="minorEastAsia" w:cstheme="minorEastAsia"/>
                <w:bCs/>
                <w:color w:val="auto"/>
                <w:szCs w:val="21"/>
                <w:highlight w:val="none"/>
              </w:rPr>
              <w:t>章响应文件格式要求填写）</w:t>
            </w:r>
            <w:r>
              <w:rPr>
                <w:rFonts w:hint="eastAsia" w:asciiTheme="minorEastAsia" w:hAnsiTheme="minorEastAsia" w:eastAsiaTheme="minorEastAsia" w:cstheme="minorEastAsia"/>
                <w:color w:val="auto"/>
                <w:szCs w:val="21"/>
                <w:highlight w:val="none"/>
              </w:rPr>
              <w:t>；</w:t>
            </w:r>
          </w:p>
          <w:p w14:paraId="1CBE130B">
            <w:pPr>
              <w:numPr>
                <w:ilvl w:val="0"/>
                <w:numId w:val="8"/>
              </w:numPr>
              <w:ind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竞标声明</w:t>
            </w:r>
            <w:r>
              <w:rPr>
                <w:rFonts w:hint="eastAsia" w:asciiTheme="minorEastAsia" w:hAnsiTheme="minorEastAsia" w:eastAsiaTheme="minorEastAsia" w:cstheme="minorEastAsia"/>
                <w:bCs/>
                <w:color w:val="auto"/>
                <w:szCs w:val="21"/>
                <w:highlight w:val="none"/>
              </w:rPr>
              <w:t>（按第</w:t>
            </w:r>
            <w:r>
              <w:rPr>
                <w:rFonts w:hint="eastAsia" w:asciiTheme="minorEastAsia" w:hAnsiTheme="minorEastAsia" w:eastAsiaTheme="minorEastAsia" w:cstheme="minorEastAsia"/>
                <w:color w:val="auto"/>
                <w:szCs w:val="21"/>
                <w:highlight w:val="none"/>
              </w:rPr>
              <w:t>五</w:t>
            </w:r>
            <w:r>
              <w:rPr>
                <w:rFonts w:hint="eastAsia" w:asciiTheme="minorEastAsia" w:hAnsiTheme="minorEastAsia" w:eastAsiaTheme="minorEastAsia" w:cstheme="minorEastAsia"/>
                <w:bCs/>
                <w:color w:val="auto"/>
                <w:szCs w:val="21"/>
                <w:highlight w:val="none"/>
              </w:rPr>
              <w:t>章响应文件格式要求填写）</w:t>
            </w:r>
            <w:r>
              <w:rPr>
                <w:rFonts w:hint="eastAsia" w:asciiTheme="minorEastAsia" w:hAnsiTheme="minorEastAsia" w:eastAsiaTheme="minorEastAsia" w:cstheme="minorEastAsia"/>
                <w:color w:val="auto"/>
                <w:szCs w:val="21"/>
                <w:highlight w:val="none"/>
              </w:rPr>
              <w:t>；</w:t>
            </w:r>
          </w:p>
          <w:p w14:paraId="0DD6522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中小企业声明函或者残疾人福利性单位声明函或者供应商属于监狱企业的证明材料</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本项目如为专门面向中小企业（或者小型、微型企业）采购时必须提供</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w:t>
            </w:r>
          </w:p>
          <w:p w14:paraId="0C023F56">
            <w:pPr>
              <w:numPr>
                <w:ilvl w:val="0"/>
                <w:numId w:val="8"/>
              </w:numPr>
              <w:spacing w:line="360" w:lineRule="auto"/>
              <w:ind w:firstLineChars="0"/>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除</w:t>
            </w:r>
            <w:r>
              <w:rPr>
                <w:rFonts w:hint="eastAsia" w:ascii="宋体" w:hAnsi="宋体" w:cs="宋体"/>
                <w:color w:val="auto"/>
                <w:szCs w:val="21"/>
                <w:highlight w:val="none"/>
              </w:rPr>
              <w:t>竞争性磋商文件规定必须提供以外，供应商认为需要提供的其他证明材料；</w:t>
            </w:r>
          </w:p>
          <w:p w14:paraId="786182D3">
            <w:pPr>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注：</w:t>
            </w:r>
          </w:p>
          <w:p w14:paraId="68DA9075">
            <w:pPr>
              <w:snapToGrid w:val="0"/>
              <w:spacing w:line="360" w:lineRule="auto"/>
              <w:ind w:firstLine="411"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1.以上文件均须法定代表人或被授权人在规定签章处签字（或者电子签名或者加盖电子印章）并加盖单位电子公章，否则作竞标无效处理。</w:t>
            </w:r>
          </w:p>
          <w:p w14:paraId="6F3F9980">
            <w:pPr>
              <w:snapToGrid w:val="0"/>
              <w:spacing w:line="360" w:lineRule="auto"/>
              <w:ind w:firstLine="411"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2.以上文件属于复印件的，必须加盖供应商电子公章，否则作竞标无效处理。</w:t>
            </w:r>
          </w:p>
        </w:tc>
      </w:tr>
      <w:tr w14:paraId="5FE5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712AFBE2">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92" w:type="dxa"/>
            <w:noWrap w:val="0"/>
            <w:vAlign w:val="center"/>
          </w:tcPr>
          <w:p w14:paraId="75C77129">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12.1.2</w:t>
            </w:r>
          </w:p>
        </w:tc>
        <w:tc>
          <w:tcPr>
            <w:tcW w:w="7938" w:type="dxa"/>
            <w:noWrap w:val="0"/>
            <w:vAlign w:val="center"/>
          </w:tcPr>
          <w:p w14:paraId="1E93C401">
            <w:pPr>
              <w:spacing w:line="360" w:lineRule="auto"/>
              <w:ind w:firstLine="0" w:firstLineChars="0"/>
              <w:rPr>
                <w:rFonts w:hint="eastAsia" w:ascii="宋体" w:hAnsi="宋体" w:cs="宋体"/>
                <w:color w:val="auto"/>
                <w:szCs w:val="21"/>
                <w:highlight w:val="none"/>
              </w:rPr>
            </w:pPr>
            <w:r>
              <w:rPr>
                <w:rFonts w:hint="eastAsia" w:ascii="宋体" w:hAnsi="宋体" w:cs="宋体"/>
                <w:b/>
                <w:color w:val="auto"/>
                <w:szCs w:val="21"/>
                <w:highlight w:val="none"/>
              </w:rPr>
              <w:t>报价商务技术文件【下列第1至</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项必须提供，否则响应文件按竞标无效处理</w:t>
            </w:r>
            <w:r>
              <w:rPr>
                <w:rFonts w:hint="eastAsia" w:ascii="宋体" w:hAnsi="宋体"/>
                <w:b/>
                <w:color w:val="auto"/>
                <w:szCs w:val="21"/>
                <w:highlight w:val="none"/>
              </w:rPr>
              <w:t>；</w:t>
            </w:r>
            <w:r>
              <w:rPr>
                <w:rFonts w:hint="eastAsia" w:ascii="宋体" w:hAnsi="宋体" w:cs="宋体"/>
                <w:b/>
                <w:color w:val="auto"/>
                <w:szCs w:val="21"/>
                <w:highlight w:val="none"/>
              </w:rPr>
              <w:t>其他如有请提供】：</w:t>
            </w:r>
          </w:p>
          <w:p w14:paraId="02D2DA7E">
            <w:pPr>
              <w:numPr>
                <w:ilvl w:val="0"/>
                <w:numId w:val="9"/>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 xml:space="preserve">报价表（按第五章响应文件格式要求填写）； </w:t>
            </w:r>
          </w:p>
          <w:p w14:paraId="6C5603DB">
            <w:pPr>
              <w:numPr>
                <w:ilvl w:val="0"/>
                <w:numId w:val="9"/>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无串通竞标行为的承诺函</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69D398A8">
            <w:pPr>
              <w:numPr>
                <w:ilvl w:val="0"/>
                <w:numId w:val="9"/>
              </w:numPr>
              <w:spacing w:line="360" w:lineRule="auto"/>
              <w:ind w:firstLineChars="0"/>
              <w:rPr>
                <w:rFonts w:hint="eastAsia" w:ascii="宋体" w:hAnsi="宋体" w:cs="宋体"/>
                <w:color w:val="auto"/>
                <w:szCs w:val="21"/>
                <w:highlight w:val="none"/>
              </w:rPr>
            </w:pPr>
            <w:r>
              <w:rPr>
                <w:rFonts w:hint="eastAsia" w:ascii="宋体" w:hAnsi="宋体" w:cs="宋体"/>
                <w:color w:val="auto"/>
                <w:szCs w:val="21"/>
                <w:highlight w:val="none"/>
              </w:rPr>
              <w:t>商务条款偏离表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407B48F9">
            <w:pPr>
              <w:numPr>
                <w:ilvl w:val="0"/>
                <w:numId w:val="9"/>
              </w:numPr>
              <w:spacing w:line="360" w:lineRule="auto"/>
              <w:ind w:firstLineChars="0"/>
              <w:rPr>
                <w:rFonts w:ascii="宋体" w:hAnsi="宋体" w:cs="宋体"/>
                <w:color w:val="auto"/>
                <w:szCs w:val="21"/>
                <w:highlight w:val="none"/>
              </w:rPr>
            </w:pPr>
            <w:r>
              <w:rPr>
                <w:rFonts w:hint="eastAsia" w:ascii="宋体" w:hAnsi="宋体" w:cs="宋体"/>
                <w:color w:val="auto"/>
                <w:szCs w:val="21"/>
                <w:highlight w:val="none"/>
              </w:rPr>
              <w:t>服务需求偏离表</w:t>
            </w:r>
            <w:r>
              <w:rPr>
                <w:rFonts w:hint="eastAsia" w:ascii="宋体" w:hAnsi="宋体" w:cs="宋体"/>
                <w:bCs/>
                <w:color w:val="auto"/>
                <w:szCs w:val="21"/>
                <w:highlight w:val="none"/>
              </w:rPr>
              <w:t>（按第</w:t>
            </w:r>
            <w:r>
              <w:rPr>
                <w:rFonts w:hint="eastAsia" w:ascii="宋体" w:hAnsi="宋体" w:cs="宋体"/>
                <w:color w:val="auto"/>
                <w:szCs w:val="21"/>
                <w:highlight w:val="none"/>
              </w:rPr>
              <w:t>五</w:t>
            </w:r>
            <w:r>
              <w:rPr>
                <w:rFonts w:hint="eastAsia" w:ascii="宋体" w:hAnsi="宋体" w:cs="宋体"/>
                <w:bCs/>
                <w:color w:val="auto"/>
                <w:szCs w:val="21"/>
                <w:highlight w:val="none"/>
              </w:rPr>
              <w:t>章响应文件格式要求填写）</w:t>
            </w:r>
            <w:r>
              <w:rPr>
                <w:rFonts w:hint="eastAsia" w:ascii="宋体" w:hAnsi="宋体" w:cs="宋体"/>
                <w:color w:val="auto"/>
                <w:szCs w:val="21"/>
                <w:highlight w:val="none"/>
              </w:rPr>
              <w:t>；</w:t>
            </w:r>
          </w:p>
          <w:p w14:paraId="53DFE01A">
            <w:pPr>
              <w:numPr>
                <w:ilvl w:val="0"/>
                <w:numId w:val="9"/>
              </w:numPr>
              <w:spacing w:line="360" w:lineRule="auto"/>
              <w:ind w:firstLineChars="0"/>
              <w:rPr>
                <w:rFonts w:hint="eastAsia"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技术方案</w:t>
            </w:r>
            <w:r>
              <w:rPr>
                <w:rFonts w:hint="eastAsia" w:ascii="宋体" w:hAnsi="宋体" w:cs="宋体"/>
                <w:bCs/>
                <w:color w:val="auto"/>
                <w:szCs w:val="21"/>
                <w:highlight w:val="none"/>
              </w:rPr>
              <w:t>（</w:t>
            </w:r>
            <w:r>
              <w:rPr>
                <w:rFonts w:hint="eastAsia" w:asciiTheme="minorEastAsia" w:hAnsiTheme="minorEastAsia" w:eastAsiaTheme="minorEastAsia" w:cstheme="minorEastAsia"/>
                <w:bCs/>
                <w:color w:val="auto"/>
                <w:szCs w:val="21"/>
                <w:highlight w:val="none"/>
              </w:rPr>
              <w:t>按第</w:t>
            </w:r>
            <w:r>
              <w:rPr>
                <w:rFonts w:hint="eastAsia" w:asciiTheme="minorEastAsia" w:hAnsiTheme="minorEastAsia" w:eastAsiaTheme="minorEastAsia" w:cstheme="minorEastAsia"/>
                <w:color w:val="auto"/>
                <w:szCs w:val="21"/>
                <w:highlight w:val="none"/>
              </w:rPr>
              <w:t>五</w:t>
            </w:r>
            <w:r>
              <w:rPr>
                <w:rFonts w:hint="eastAsia" w:asciiTheme="minorEastAsia" w:hAnsiTheme="minorEastAsia" w:eastAsiaTheme="minorEastAsia" w:cstheme="minorEastAsia"/>
                <w:bCs/>
                <w:color w:val="auto"/>
                <w:szCs w:val="21"/>
                <w:highlight w:val="none"/>
              </w:rPr>
              <w:t>章响应文件格式要求填写）</w:t>
            </w:r>
            <w:r>
              <w:rPr>
                <w:rFonts w:hint="eastAsia" w:asciiTheme="minorEastAsia" w:hAnsiTheme="minorEastAsia" w:eastAsiaTheme="minorEastAsia" w:cstheme="minorEastAsia"/>
                <w:color w:val="auto"/>
                <w:szCs w:val="21"/>
                <w:highlight w:val="none"/>
              </w:rPr>
              <w:t>；</w:t>
            </w:r>
          </w:p>
          <w:p w14:paraId="2CBE33EA">
            <w:pPr>
              <w:numPr>
                <w:ilvl w:val="0"/>
                <w:numId w:val="9"/>
              </w:numPr>
              <w:spacing w:line="360" w:lineRule="auto"/>
              <w:ind w:firstLineChars="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项目服务人员一览表</w:t>
            </w:r>
            <w:r>
              <w:rPr>
                <w:rFonts w:hint="eastAsia" w:asciiTheme="minorEastAsia" w:hAnsiTheme="minorEastAsia" w:eastAsiaTheme="minorEastAsia" w:cstheme="minorEastAsia"/>
                <w:bCs/>
                <w:color w:val="auto"/>
                <w:szCs w:val="21"/>
                <w:highlight w:val="none"/>
              </w:rPr>
              <w:t>（按第</w:t>
            </w:r>
            <w:r>
              <w:rPr>
                <w:rFonts w:hint="eastAsia" w:asciiTheme="minorEastAsia" w:hAnsiTheme="minorEastAsia" w:eastAsiaTheme="minorEastAsia" w:cstheme="minorEastAsia"/>
                <w:color w:val="auto"/>
                <w:szCs w:val="21"/>
                <w:highlight w:val="none"/>
              </w:rPr>
              <w:t>五</w:t>
            </w:r>
            <w:r>
              <w:rPr>
                <w:rFonts w:hint="eastAsia" w:asciiTheme="minorEastAsia" w:hAnsiTheme="minorEastAsia" w:eastAsiaTheme="minorEastAsia" w:cstheme="minorEastAsia"/>
                <w:bCs/>
                <w:color w:val="auto"/>
                <w:szCs w:val="21"/>
                <w:highlight w:val="none"/>
              </w:rPr>
              <w:t>章响应文件格式要求填写）；</w:t>
            </w:r>
          </w:p>
          <w:p w14:paraId="4CEA59EE">
            <w:pPr>
              <w:numPr>
                <w:ilvl w:val="0"/>
                <w:numId w:val="0"/>
              </w:numPr>
              <w:spacing w:line="360" w:lineRule="auto"/>
              <w:ind w:leftChars="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对应采购需求的服务需求、商务条款提供的其他文件资料（如有，格式自拟）；</w:t>
            </w:r>
          </w:p>
          <w:p w14:paraId="69086803">
            <w:pPr>
              <w:numPr>
                <w:ilvl w:val="0"/>
                <w:numId w:val="0"/>
              </w:numPr>
              <w:spacing w:line="360" w:lineRule="auto"/>
              <w:ind w:leftChars="0"/>
              <w:rPr>
                <w:rFonts w:hint="eastAsia" w:ascii="宋体" w:hAnsi="宋体" w:cs="宋体"/>
                <w:color w:val="auto"/>
                <w:szCs w:val="21"/>
                <w:highlight w:val="none"/>
              </w:rPr>
            </w:pP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供应商认为需要提</w:t>
            </w:r>
            <w:r>
              <w:rPr>
                <w:rFonts w:hint="eastAsia" w:ascii="宋体" w:hAnsi="宋体" w:cs="宋体"/>
                <w:color w:val="auto"/>
                <w:szCs w:val="21"/>
                <w:highlight w:val="none"/>
              </w:rPr>
              <w:t>供的其他有关资料（如有，格式自拟）。</w:t>
            </w:r>
          </w:p>
          <w:p w14:paraId="1B2E0F7E">
            <w:pPr>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注：</w:t>
            </w:r>
          </w:p>
          <w:p w14:paraId="4A3FFFA6">
            <w:pPr>
              <w:snapToGrid w:val="0"/>
              <w:spacing w:line="360" w:lineRule="auto"/>
              <w:ind w:firstLine="411"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1.以上文件均须法定代表人或被授权人在规定签章处签字（或者电子签名或者加盖电子印章）并加盖单位电子公章，否则作竞标无效处理。</w:t>
            </w:r>
          </w:p>
          <w:p w14:paraId="6152655F">
            <w:pPr>
              <w:snapToGrid w:val="0"/>
              <w:spacing w:line="360" w:lineRule="auto"/>
              <w:ind w:firstLine="411"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2.以上文件属于复印件的，必须加盖供应商电子公章，否则作竞标无效处理。</w:t>
            </w:r>
          </w:p>
          <w:p w14:paraId="281B891E">
            <w:pPr>
              <w:snapToGrid w:val="0"/>
              <w:spacing w:line="360" w:lineRule="auto"/>
              <w:ind w:firstLine="411"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3.分支机构竞标说明：</w:t>
            </w:r>
          </w:p>
          <w:p w14:paraId="1D11029A">
            <w:pPr>
              <w:snapToGrid w:val="0"/>
              <w:spacing w:line="360" w:lineRule="auto"/>
              <w:ind w:firstLine="411"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供应商如为分支机构竞标的须提供其总公司主体资格证明（如营业执照、事业单位法人证书、执业许可证等）、竞标授权书及相关资质证书。</w:t>
            </w:r>
          </w:p>
        </w:tc>
      </w:tr>
      <w:tr w14:paraId="1605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76B3CDBD">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992" w:type="dxa"/>
            <w:noWrap w:val="0"/>
            <w:vAlign w:val="center"/>
          </w:tcPr>
          <w:p w14:paraId="7C97D6B3">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38" w:type="dxa"/>
            <w:noWrap w:val="0"/>
            <w:vAlign w:val="center"/>
          </w:tcPr>
          <w:p w14:paraId="792C7513">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竞标报价是履行合同的最终价格，应包括但不限于投入本项目人员工资、交通费、通讯费、管理费、</w:t>
            </w:r>
            <w:r>
              <w:rPr>
                <w:rFonts w:hint="eastAsia" w:ascii="宋体" w:hAnsi="宋体" w:cs="宋体"/>
                <w:color w:val="auto"/>
                <w:szCs w:val="21"/>
                <w:highlight w:val="none"/>
              </w:rPr>
              <w:t>利润、验收</w:t>
            </w:r>
            <w:r>
              <w:rPr>
                <w:rFonts w:hint="eastAsia" w:ascii="宋体" w:hAnsi="宋体" w:cs="宋体"/>
                <w:color w:val="auto"/>
                <w:szCs w:val="21"/>
                <w:highlight w:val="none"/>
              </w:rPr>
              <w:t>等一切税金和费用。对于本文件中未列明，而供应商认为必需的费用也需列入总报价。在合同实施时，采购人将不予支付成交供应商没有列入的项目费用，并认为此项目的费用已包括在总报价中。</w:t>
            </w:r>
            <w:r>
              <w:rPr>
                <w:rFonts w:hint="eastAsia" w:ascii="宋体" w:hAnsi="宋体" w:cs="宋体"/>
                <w:b/>
                <w:color w:val="auto"/>
                <w:szCs w:val="21"/>
                <w:highlight w:val="none"/>
              </w:rPr>
              <w:t>（采购需求另有约定的，从其约定。）</w:t>
            </w:r>
          </w:p>
        </w:tc>
      </w:tr>
      <w:tr w14:paraId="3D66F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0D80A1D2">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992" w:type="dxa"/>
            <w:noWrap w:val="0"/>
            <w:vAlign w:val="center"/>
          </w:tcPr>
          <w:p w14:paraId="232C1CEC">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16.2</w:t>
            </w:r>
          </w:p>
        </w:tc>
        <w:tc>
          <w:tcPr>
            <w:tcW w:w="7938" w:type="dxa"/>
            <w:noWrap w:val="0"/>
            <w:vAlign w:val="center"/>
          </w:tcPr>
          <w:p w14:paraId="7CF5DD3A">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竞标有效期：自首次响应文件提交截止之日起120日。</w:t>
            </w:r>
          </w:p>
        </w:tc>
      </w:tr>
      <w:tr w14:paraId="5B109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39A648D4">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992" w:type="dxa"/>
            <w:noWrap w:val="0"/>
            <w:vAlign w:val="center"/>
          </w:tcPr>
          <w:p w14:paraId="16A2BBFC">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17.1</w:t>
            </w:r>
          </w:p>
        </w:tc>
        <w:tc>
          <w:tcPr>
            <w:tcW w:w="7938" w:type="dxa"/>
            <w:noWrap w:val="0"/>
            <w:vAlign w:val="center"/>
          </w:tcPr>
          <w:p w14:paraId="26625EC1">
            <w:pPr>
              <w:snapToGrid w:val="0"/>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磋商保证金金额：应按第一章“竞争性磋商公告”规定交纳，</w:t>
            </w:r>
            <w:r>
              <w:rPr>
                <w:rFonts w:hint="eastAsia" w:ascii="宋体" w:hAnsi="宋体"/>
                <w:b/>
                <w:color w:val="auto"/>
                <w:szCs w:val="21"/>
                <w:highlight w:val="none"/>
              </w:rPr>
              <w:t>否则竞标无效</w:t>
            </w:r>
            <w:r>
              <w:rPr>
                <w:rFonts w:hint="eastAsia" w:ascii="宋体" w:hAnsi="宋体"/>
                <w:color w:val="auto"/>
                <w:szCs w:val="21"/>
                <w:highlight w:val="none"/>
              </w:rPr>
              <w:t>。</w:t>
            </w:r>
          </w:p>
          <w:p w14:paraId="3769AA7F">
            <w:pPr>
              <w:snapToGrid w:val="0"/>
              <w:spacing w:line="360" w:lineRule="auto"/>
              <w:ind w:firstLine="0" w:firstLineChars="0"/>
              <w:rPr>
                <w:rFonts w:ascii="宋体" w:hAnsi="宋体"/>
                <w:color w:val="auto"/>
                <w:szCs w:val="21"/>
                <w:highlight w:val="none"/>
              </w:rPr>
            </w:pPr>
            <w:r>
              <w:rPr>
                <w:rFonts w:hint="eastAsia" w:ascii="宋体" w:hAnsi="宋体"/>
                <w:color w:val="auto"/>
                <w:szCs w:val="21"/>
                <w:highlight w:val="none"/>
              </w:rPr>
              <w:t>磋商保证金应在竞标有效期内保持有效。</w:t>
            </w:r>
          </w:p>
          <w:p w14:paraId="41EE7E98">
            <w:pPr>
              <w:snapToGrid w:val="0"/>
              <w:spacing w:line="360" w:lineRule="auto"/>
              <w:ind w:firstLine="0" w:firstLineChars="0"/>
              <w:rPr>
                <w:rFonts w:hint="eastAsia" w:hAnsi="宋体" w:cs="Arial"/>
                <w:color w:val="auto"/>
                <w:highlight w:val="none"/>
              </w:rPr>
            </w:pPr>
            <w:r>
              <w:rPr>
                <w:rFonts w:hint="eastAsia" w:ascii="宋体" w:hAnsi="宋体"/>
                <w:color w:val="auto"/>
                <w:szCs w:val="21"/>
                <w:highlight w:val="none"/>
              </w:rPr>
              <w:t>磋商保证金交纳方式：</w:t>
            </w:r>
            <w:r>
              <w:rPr>
                <w:rFonts w:hint="eastAsia" w:hAnsi="宋体" w:cs="Arial"/>
                <w:color w:val="auto"/>
                <w:highlight w:val="none"/>
              </w:rPr>
              <w:t>银行转账、支票、汇票、本票或者金融机构、担保机构出具的保函</w:t>
            </w:r>
            <w:r>
              <w:rPr>
                <w:rFonts w:hint="eastAsia" w:ascii="宋体" w:hAnsi="宋体"/>
                <w:color w:val="auto"/>
                <w:szCs w:val="21"/>
                <w:highlight w:val="none"/>
              </w:rPr>
              <w:t>（含电子保函，下同）</w:t>
            </w:r>
            <w:r>
              <w:rPr>
                <w:rFonts w:hint="eastAsia" w:hAnsi="宋体" w:cs="Arial"/>
                <w:color w:val="auto"/>
                <w:highlight w:val="none"/>
              </w:rPr>
              <w:t>、保险，禁止采用现钞交纳方式。</w:t>
            </w:r>
          </w:p>
          <w:p w14:paraId="745F2530">
            <w:pPr>
              <w:snapToGrid w:val="0"/>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磋商保证金交纳截止时间：首次响应文件提交截止时间前。</w:t>
            </w:r>
          </w:p>
          <w:p w14:paraId="1699B3F3">
            <w:pPr>
              <w:snapToGrid w:val="0"/>
              <w:spacing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相关要求：</w:t>
            </w:r>
          </w:p>
          <w:p w14:paraId="6C5C4A53">
            <w:pPr>
              <w:snapToGrid w:val="0"/>
              <w:spacing w:line="360" w:lineRule="auto"/>
              <w:ind w:firstLine="0" w:firstLineChars="0"/>
              <w:rPr>
                <w:rFonts w:hint="eastAsia" w:ascii="宋体" w:hAnsi="宋体"/>
                <w:b/>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磋商保证金采用银行转账交纳方式的，在响应文件提交截止时间前交至采购代理机构指定账户并且到账，供应商应将银行转账底单的复印件作为磋商保证金交纳证明，放置于报价商务技术文件中，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C7C8FFB">
            <w:pPr>
              <w:snapToGrid w:val="0"/>
              <w:spacing w:line="360" w:lineRule="auto"/>
              <w:ind w:firstLine="0" w:firstLineChars="0"/>
              <w:rPr>
                <w:rFonts w:hint="eastAsia" w:ascii="宋体" w:hAnsi="宋体"/>
                <w:b/>
                <w:color w:val="auto"/>
                <w:szCs w:val="21"/>
                <w:highlight w:val="none"/>
              </w:rPr>
            </w:pPr>
            <w:r>
              <w:rPr>
                <w:rFonts w:hint="eastAsia" w:ascii="宋体" w:hAnsi="宋体"/>
                <w:color w:val="auto"/>
                <w:szCs w:val="21"/>
                <w:highlight w:val="none"/>
              </w:rPr>
              <w:t>2.磋商保证金采用支票、汇票、本票或者金融机构、担保机构出具的保函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交纳方式的，供应商应将支票、汇票、本票或者金融机构、担保机构出具的保函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的复印件作为磋商保证金交纳证明，放置于</w:t>
            </w:r>
            <w:r>
              <w:rPr>
                <w:rFonts w:hint="eastAsia" w:ascii="宋体" w:hAnsi="宋体" w:cs="宋体"/>
                <w:color w:val="auto"/>
                <w:szCs w:val="21"/>
                <w:highlight w:val="none"/>
              </w:rPr>
              <w:t>报价商务技术文件</w:t>
            </w:r>
            <w:r>
              <w:rPr>
                <w:rFonts w:hint="eastAsia" w:ascii="宋体" w:hAnsi="宋体"/>
                <w:color w:val="auto"/>
                <w:szCs w:val="21"/>
                <w:highlight w:val="none"/>
              </w:rPr>
              <w:t>中，</w:t>
            </w:r>
            <w:r>
              <w:rPr>
                <w:rFonts w:hint="eastAsia" w:ascii="宋体" w:hAnsi="宋体"/>
                <w:b/>
                <w:color w:val="auto"/>
                <w:szCs w:val="21"/>
                <w:highlight w:val="none"/>
              </w:rPr>
              <w:t>否则竞标无效</w:t>
            </w:r>
            <w:r>
              <w:rPr>
                <w:rFonts w:hint="eastAsia" w:ascii="宋体" w:hAnsi="宋体"/>
                <w:color w:val="auto"/>
                <w:szCs w:val="21"/>
                <w:highlight w:val="none"/>
              </w:rPr>
              <w:t>。供应商必须于递交响应文件时将支票、汇票、本票或者金融机构、担保机构出具的保函</w:t>
            </w:r>
            <w:r>
              <w:rPr>
                <w:rFonts w:hint="eastAsia" w:hAnsi="宋体" w:cs="Arial"/>
                <w:color w:val="auto"/>
                <w:highlight w:val="none"/>
              </w:rPr>
              <w:t>、保险</w:t>
            </w:r>
            <w:r>
              <w:rPr>
                <w:rFonts w:hint="eastAsia" w:ascii="宋体" w:hAnsi="宋体"/>
                <w:color w:val="auto"/>
                <w:szCs w:val="21"/>
                <w:highlight w:val="none"/>
              </w:rPr>
              <w:t>原件提交给采购人或者采购代理机构</w:t>
            </w:r>
            <w:r>
              <w:rPr>
                <w:rFonts w:hint="eastAsia" w:ascii="宋体" w:hAnsi="宋体"/>
                <w:color w:val="auto"/>
                <w:highlight w:val="none"/>
              </w:rPr>
              <w:t>[提交地点：</w:t>
            </w:r>
            <w:r>
              <w:rPr>
                <w:rFonts w:hint="eastAsia" w:ascii="宋体" w:hAnsi="宋体"/>
                <w:color w:val="auto"/>
                <w:szCs w:val="21"/>
                <w:highlight w:val="none"/>
              </w:rPr>
              <w:t>柳州市龙湖路13号柳州市民服务中心北楼4楼）对应开标室，</w:t>
            </w:r>
            <w:r>
              <w:rPr>
                <w:rFonts w:hint="eastAsia" w:hAnsi="宋体"/>
                <w:color w:val="auto"/>
                <w:highlight w:val="none"/>
              </w:rPr>
              <w:t>采用电子保函方式交纳投标保证金的，不需提交</w:t>
            </w:r>
            <w:r>
              <w:rPr>
                <w:rFonts w:hint="eastAsia" w:ascii="宋体" w:hAnsi="宋体"/>
                <w:color w:val="auto"/>
                <w:highlight w:val="none"/>
              </w:rPr>
              <w:t>]</w:t>
            </w:r>
            <w:r>
              <w:rPr>
                <w:rFonts w:hint="eastAsia" w:ascii="宋体" w:hAnsi="宋体"/>
                <w:color w:val="auto"/>
                <w:szCs w:val="21"/>
                <w:highlight w:val="none"/>
              </w:rPr>
              <w:t>，由采购人或者采购代理机构向供应商出具回执，并妥善保管。</w:t>
            </w:r>
          </w:p>
          <w:p w14:paraId="17626C89">
            <w:pPr>
              <w:snapToGrid w:val="0"/>
              <w:spacing w:line="360" w:lineRule="auto"/>
              <w:ind w:firstLine="0" w:firstLineChars="0"/>
              <w:rPr>
                <w:rFonts w:hint="eastAsia" w:ascii="宋体" w:hAnsi="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39581DE2">
            <w:pPr>
              <w:snapToGrid w:val="0"/>
              <w:spacing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备注：</w:t>
            </w:r>
          </w:p>
          <w:p w14:paraId="764E71A7">
            <w:pPr>
              <w:snapToGrid w:val="0"/>
              <w:spacing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1.磋商保证金在响应文件提交截止时间后提交的，或者不按规定交纳方式交纳的，或者未足额交纳的（包含保函、保险额度不足的），视为无效磋商保证金。</w:t>
            </w:r>
          </w:p>
          <w:p w14:paraId="1AAA0B3B">
            <w:pPr>
              <w:snapToGrid w:val="0"/>
              <w:spacing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2.供应商采用现钞方式或者从个人账户（自然人竞标除外）转出的磋商保证金，视为无效磋商保证金。</w:t>
            </w:r>
          </w:p>
          <w:p w14:paraId="433589DC">
            <w:pPr>
              <w:snapToGrid w:val="0"/>
              <w:spacing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3.支票、汇票或者本票出现无效或者背书情形的，视为无效磋商保证金。</w:t>
            </w:r>
          </w:p>
          <w:p w14:paraId="103E282B">
            <w:pPr>
              <w:snapToGrid w:val="0"/>
              <w:spacing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4.保函、保险有效期低于竞标有效期的，视为无效磋商保证金。</w:t>
            </w:r>
          </w:p>
          <w:p w14:paraId="2CB768EE">
            <w:pPr>
              <w:snapToGrid w:val="0"/>
              <w:spacing w:line="360" w:lineRule="auto"/>
              <w:ind w:firstLine="0" w:firstLineChars="0"/>
              <w:rPr>
                <w:rFonts w:hint="eastAsia" w:ascii="宋体" w:hAnsi="宋体" w:cs="宋体"/>
                <w:b/>
                <w:color w:val="auto"/>
                <w:szCs w:val="21"/>
                <w:highlight w:val="none"/>
              </w:rPr>
            </w:pPr>
            <w:r>
              <w:rPr>
                <w:rFonts w:hint="eastAsia" w:ascii="宋体" w:hAnsi="宋体"/>
                <w:b/>
                <w:color w:val="auto"/>
                <w:szCs w:val="21"/>
                <w:highlight w:val="none"/>
              </w:rPr>
              <w:t>5.采用金融机构、担保机构出具保函、保险的，必须为无条</w:t>
            </w:r>
            <w:r>
              <w:rPr>
                <w:rFonts w:hint="eastAsia" w:ascii="宋体" w:hAnsi="宋体" w:cs="宋体"/>
                <w:b/>
                <w:color w:val="auto"/>
                <w:szCs w:val="21"/>
                <w:highlight w:val="none"/>
              </w:rPr>
              <w:t>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，否则视为无效磋商保证金。</w:t>
            </w:r>
          </w:p>
          <w:p w14:paraId="6C98F50A">
            <w:pPr>
              <w:snapToGrid w:val="0"/>
              <w:spacing w:line="360" w:lineRule="auto"/>
              <w:ind w:firstLine="0" w:firstLineChars="0"/>
              <w:rPr>
                <w:rFonts w:hint="eastAsia" w:ascii="宋体" w:hAnsi="宋体"/>
                <w:b/>
                <w:color w:val="auto"/>
                <w:szCs w:val="21"/>
                <w:highlight w:val="none"/>
              </w:rPr>
            </w:pPr>
            <w:r>
              <w:rPr>
                <w:rFonts w:ascii="宋体" w:hAnsi="宋体"/>
                <w:b/>
                <w:color w:val="auto"/>
                <w:highlight w:val="none"/>
              </w:rPr>
              <w:t>6.</w:t>
            </w:r>
            <w:r>
              <w:rPr>
                <w:rFonts w:hint="eastAsia" w:ascii="宋体" w:hAnsi="宋体"/>
                <w:b/>
                <w:color w:val="auto"/>
                <w:highlight w:val="none"/>
              </w:rPr>
              <w:t>采用磋商保证保险的，保单确定的受益人（本项目采购人）的权益应与采用银行保函形式同等，否则视为无效磋商保证金。</w:t>
            </w:r>
          </w:p>
        </w:tc>
      </w:tr>
      <w:tr w14:paraId="75828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59D70A66">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992" w:type="dxa"/>
            <w:noWrap w:val="0"/>
            <w:vAlign w:val="center"/>
          </w:tcPr>
          <w:p w14:paraId="46265F08">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18.2</w:t>
            </w:r>
          </w:p>
        </w:tc>
        <w:tc>
          <w:tcPr>
            <w:tcW w:w="7938" w:type="dxa"/>
            <w:noWrap w:val="0"/>
            <w:vAlign w:val="center"/>
          </w:tcPr>
          <w:p w14:paraId="04219B03">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响应文件份数：按</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在线编制要求。</w:t>
            </w:r>
          </w:p>
        </w:tc>
      </w:tr>
      <w:tr w14:paraId="4718C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76C9A3C5">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992" w:type="dxa"/>
            <w:noWrap w:val="0"/>
            <w:vAlign w:val="center"/>
          </w:tcPr>
          <w:p w14:paraId="5D27B469">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38" w:type="dxa"/>
            <w:noWrap w:val="0"/>
            <w:vAlign w:val="center"/>
          </w:tcPr>
          <w:p w14:paraId="7D7DD501">
            <w:pPr>
              <w:snapToGrid w:val="0"/>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333D0EB5">
            <w:pPr>
              <w:snapToGrid w:val="0"/>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5F5AA3AF">
            <w:pPr>
              <w:snapToGrid w:val="0"/>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供应商应当在首次响应文件提交截止时间前，将响应文件加密并上传至</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https://www.gcy.zfcg.gxzf.gov.cn/</w:t>
            </w:r>
            <w:r>
              <w:rPr>
                <w:rFonts w:hint="eastAsia" w:ascii="宋体" w:hAnsi="宋体" w:cs="宋体"/>
                <w:b/>
                <w:color w:val="auto"/>
                <w:szCs w:val="21"/>
                <w:highlight w:val="none"/>
              </w:rPr>
              <w:t>）；并在首次响应文件提交截止时间后30分钟内对上传</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的响应文件进行解密。供应商超过解密时限的，系统默认自动放弃，响应文件按无效响应处理。</w:t>
            </w:r>
          </w:p>
        </w:tc>
      </w:tr>
      <w:tr w14:paraId="5C055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6DADA7EB">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992" w:type="dxa"/>
            <w:noWrap w:val="0"/>
            <w:vAlign w:val="center"/>
          </w:tcPr>
          <w:p w14:paraId="0594AD1D">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24.1</w:t>
            </w:r>
          </w:p>
        </w:tc>
        <w:tc>
          <w:tcPr>
            <w:tcW w:w="7938" w:type="dxa"/>
            <w:noWrap w:val="0"/>
            <w:vAlign w:val="center"/>
          </w:tcPr>
          <w:p w14:paraId="6906A0C7">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5D11E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3B3405B8">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992" w:type="dxa"/>
            <w:noWrap w:val="0"/>
            <w:vAlign w:val="center"/>
          </w:tcPr>
          <w:p w14:paraId="584A7B67">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24.3</w:t>
            </w:r>
          </w:p>
        </w:tc>
        <w:tc>
          <w:tcPr>
            <w:tcW w:w="7938" w:type="dxa"/>
            <w:noWrap w:val="0"/>
            <w:vAlign w:val="center"/>
          </w:tcPr>
          <w:p w14:paraId="074F64FC">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首次响应文件的开启：由采购代理机构工作人员对在规定时间内按要求上传至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的响应文件点击“开始解密”，如未能在规定时间解密的响应文件，则</w:t>
            </w:r>
            <w:r>
              <w:rPr>
                <w:rFonts w:hint="eastAsia" w:ascii="宋体" w:hAnsi="宋体" w:cs="宋体"/>
                <w:b/>
                <w:color w:val="auto"/>
                <w:szCs w:val="21"/>
                <w:highlight w:val="none"/>
              </w:rPr>
              <w:t>响应文件按无效响应处理</w:t>
            </w:r>
            <w:r>
              <w:rPr>
                <w:rFonts w:hint="eastAsia" w:ascii="宋体" w:hAnsi="宋体" w:cs="宋体"/>
                <w:color w:val="auto"/>
                <w:szCs w:val="21"/>
                <w:highlight w:val="none"/>
              </w:rPr>
              <w:t>。</w:t>
            </w:r>
          </w:p>
        </w:tc>
      </w:tr>
      <w:tr w14:paraId="6DC6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restart"/>
            <w:noWrap w:val="0"/>
            <w:vAlign w:val="center"/>
          </w:tcPr>
          <w:p w14:paraId="06896E94">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992" w:type="dxa"/>
            <w:vMerge w:val="restart"/>
            <w:noWrap w:val="0"/>
            <w:vAlign w:val="center"/>
          </w:tcPr>
          <w:p w14:paraId="21603BAE">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38" w:type="dxa"/>
            <w:noWrap w:val="0"/>
            <w:vAlign w:val="center"/>
          </w:tcPr>
          <w:p w14:paraId="4A7E8CAB">
            <w:pPr>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商务条款评审中允许负偏离的条款数为</w:t>
            </w:r>
            <w:r>
              <w:rPr>
                <w:rFonts w:hint="eastAsia" w:ascii="宋体" w:hAnsi="宋体" w:cs="宋体"/>
                <w:b/>
                <w:color w:val="auto"/>
                <w:szCs w:val="21"/>
                <w:highlight w:val="none"/>
                <w:u w:val="single"/>
              </w:rPr>
              <w:t xml:space="preserve"> 0 </w:t>
            </w:r>
            <w:r>
              <w:rPr>
                <w:rFonts w:hint="eastAsia" w:ascii="宋体" w:hAnsi="宋体" w:cs="宋体"/>
                <w:b/>
                <w:color w:val="auto"/>
                <w:szCs w:val="21"/>
                <w:highlight w:val="none"/>
              </w:rPr>
              <w:t>项。</w:t>
            </w:r>
          </w:p>
          <w:p w14:paraId="470987D8">
            <w:pPr>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服务需求评审中允许负偏离的条款数为</w:t>
            </w:r>
            <w:r>
              <w:rPr>
                <w:rFonts w:hint="eastAsia" w:ascii="宋体" w:hAnsi="宋体" w:cs="宋体"/>
                <w:b/>
                <w:color w:val="auto"/>
                <w:szCs w:val="21"/>
                <w:highlight w:val="none"/>
                <w:u w:val="single"/>
              </w:rPr>
              <w:t xml:space="preserve"> </w:t>
            </w:r>
            <w:r>
              <w:rPr>
                <w:rFonts w:ascii="宋体" w:hAnsi="宋体" w:cs="宋体"/>
                <w:b/>
                <w:color w:val="auto"/>
                <w:szCs w:val="21"/>
                <w:highlight w:val="none"/>
                <w:u w:val="single"/>
              </w:rPr>
              <w:t>0</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rPr>
              <w:t>项。</w:t>
            </w:r>
          </w:p>
        </w:tc>
      </w:tr>
      <w:tr w14:paraId="29C9B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vMerge w:val="continue"/>
            <w:noWrap w:val="0"/>
            <w:vAlign w:val="center"/>
          </w:tcPr>
          <w:p w14:paraId="5CF82E1A">
            <w:pPr>
              <w:spacing w:line="360" w:lineRule="auto"/>
              <w:ind w:firstLine="0" w:firstLineChars="0"/>
              <w:jc w:val="center"/>
              <w:rPr>
                <w:rFonts w:hint="eastAsia" w:ascii="宋体" w:hAnsi="宋体" w:cs="宋体"/>
                <w:color w:val="auto"/>
                <w:szCs w:val="21"/>
                <w:highlight w:val="none"/>
              </w:rPr>
            </w:pPr>
          </w:p>
        </w:tc>
        <w:tc>
          <w:tcPr>
            <w:tcW w:w="992" w:type="dxa"/>
            <w:vMerge w:val="continue"/>
            <w:noWrap w:val="0"/>
            <w:vAlign w:val="center"/>
          </w:tcPr>
          <w:p w14:paraId="49991F21">
            <w:pPr>
              <w:spacing w:line="360" w:lineRule="auto"/>
              <w:ind w:firstLine="0" w:firstLineChars="0"/>
              <w:jc w:val="center"/>
              <w:rPr>
                <w:rFonts w:hint="eastAsia" w:ascii="宋体" w:hAnsi="宋体" w:cs="宋体"/>
                <w:color w:val="auto"/>
                <w:szCs w:val="21"/>
                <w:highlight w:val="none"/>
              </w:rPr>
            </w:pPr>
          </w:p>
        </w:tc>
        <w:tc>
          <w:tcPr>
            <w:tcW w:w="7938" w:type="dxa"/>
            <w:noWrap w:val="0"/>
            <w:vAlign w:val="center"/>
          </w:tcPr>
          <w:p w14:paraId="46C49C33">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磋商的顺序：</w:t>
            </w:r>
            <w:r>
              <w:rPr>
                <w:rFonts w:hint="eastAsia" w:ascii="宋体" w:hAnsi="宋体"/>
                <w:color w:val="auto"/>
                <w:szCs w:val="21"/>
                <w:highlight w:val="none"/>
              </w:rPr>
              <w:t>由磋商小组随机确定磋商的顺序，并对供应商进行磋商。符合磋商资格的供应商应当在接到磋商通知后规定时间内参加磋商，并在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）上点击开始最后报价环节。</w:t>
            </w:r>
          </w:p>
        </w:tc>
      </w:tr>
      <w:tr w14:paraId="28E45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4D8A1C54">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992" w:type="dxa"/>
            <w:noWrap w:val="0"/>
            <w:vAlign w:val="center"/>
          </w:tcPr>
          <w:p w14:paraId="10558566">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38" w:type="dxa"/>
            <w:noWrap w:val="0"/>
            <w:vAlign w:val="center"/>
          </w:tcPr>
          <w:p w14:paraId="2BA0B323">
            <w:pPr>
              <w:spacing w:line="360" w:lineRule="auto"/>
              <w:ind w:firstLine="0" w:firstLineChars="0"/>
              <w:rPr>
                <w:rFonts w:ascii="宋体" w:hAnsi="宋体" w:cs="宋体"/>
                <w:b/>
                <w:color w:val="auto"/>
                <w:szCs w:val="21"/>
                <w:highlight w:val="none"/>
              </w:rPr>
            </w:pPr>
            <w:r>
              <w:rPr>
                <w:rFonts w:hint="eastAsia" w:ascii="MS Mincho" w:hAnsi="MS Mincho" w:eastAsia="MS Mincho" w:cs="MS Mincho"/>
                <w:b/>
                <w:color w:val="auto"/>
                <w:szCs w:val="21"/>
                <w:highlight w:val="none"/>
              </w:rPr>
              <w:t>☑</w:t>
            </w:r>
            <w:r>
              <w:rPr>
                <w:rFonts w:hint="eastAsia" w:ascii="宋体" w:hAnsi="宋体" w:cs="宋体"/>
                <w:b/>
                <w:color w:val="auto"/>
                <w:szCs w:val="21"/>
                <w:highlight w:val="none"/>
              </w:rPr>
              <w:t>无履约保证金</w:t>
            </w:r>
          </w:p>
          <w:p w14:paraId="6B2D6348">
            <w:pPr>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□有履约保证金</w:t>
            </w:r>
          </w:p>
          <w:p w14:paraId="67D25B59">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1.大型企业须缴纳履约保证金金额：合同金额的5%</w:t>
            </w:r>
          </w:p>
          <w:p w14:paraId="259598EE">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2.中型企业须缴纳履约保证金金额：合同金额的2%</w:t>
            </w:r>
          </w:p>
          <w:p w14:paraId="5E6E78D7">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3.小微企业或监狱企业或残疾人福利性单位：免收履约保证金</w:t>
            </w:r>
          </w:p>
          <w:p w14:paraId="7E079F54">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履约保证金递交方式：银行转账、支票、汇票、本票或者金融机构、担保机构出具的保函</w:t>
            </w:r>
            <w:r>
              <w:rPr>
                <w:rFonts w:hint="eastAsia" w:ascii="宋体" w:hAnsi="宋体"/>
                <w:color w:val="auto"/>
                <w:szCs w:val="21"/>
                <w:highlight w:val="none"/>
              </w:rPr>
              <w:t>、保险</w:t>
            </w:r>
            <w:r>
              <w:rPr>
                <w:rFonts w:hint="eastAsia" w:ascii="宋体" w:hAnsi="宋体" w:cs="宋体"/>
                <w:color w:val="auto"/>
                <w:szCs w:val="21"/>
                <w:highlight w:val="none"/>
              </w:rPr>
              <w:t>等非现金形式</w:t>
            </w:r>
          </w:p>
          <w:p w14:paraId="01D76CEC">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履约保证金递交时间：</w:t>
            </w:r>
            <w:r>
              <w:rPr>
                <w:rFonts w:hint="eastAsia" w:ascii="宋体" w:hAnsi="宋体"/>
                <w:color w:val="auto"/>
                <w:szCs w:val="21"/>
                <w:highlight w:val="none"/>
              </w:rPr>
              <w:t>合同签订前</w:t>
            </w:r>
          </w:p>
          <w:p w14:paraId="0DAADFD1">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485BB3FB">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2324F668">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履约保证金指定账户：</w:t>
            </w:r>
          </w:p>
          <w:p w14:paraId="41CE17A6">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开户名称：</w:t>
            </w:r>
            <w:r>
              <w:rPr>
                <w:rFonts w:ascii="宋体" w:hAnsi="宋体" w:cs="宋体"/>
                <w:color w:val="auto"/>
                <w:szCs w:val="21"/>
                <w:highlight w:val="none"/>
              </w:rPr>
              <w:t>/</w:t>
            </w:r>
          </w:p>
          <w:p w14:paraId="79813DAB">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w:t>
            </w:r>
          </w:p>
          <w:p w14:paraId="44553F55">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银行账号：/</w:t>
            </w:r>
          </w:p>
          <w:p w14:paraId="27C131EE">
            <w:pPr>
              <w:spacing w:line="360" w:lineRule="auto"/>
              <w:ind w:firstLine="0" w:firstLineChars="0"/>
              <w:rPr>
                <w:rFonts w:hint="eastAsia" w:ascii="宋体" w:hAnsi="宋体"/>
                <w:b/>
                <w:color w:val="auto"/>
                <w:szCs w:val="21"/>
                <w:highlight w:val="none"/>
              </w:rPr>
            </w:pPr>
            <w:r>
              <w:rPr>
                <w:rFonts w:hint="eastAsia" w:ascii="宋体" w:hAnsi="宋体"/>
                <w:b/>
                <w:color w:val="auto"/>
                <w:szCs w:val="21"/>
                <w:highlight w:val="none"/>
              </w:rPr>
              <w:t>备注：</w:t>
            </w:r>
          </w:p>
          <w:p w14:paraId="3F9FA3FE">
            <w:pPr>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1.履约保证金不足额缴纳的（包含保函</w:t>
            </w:r>
            <w:r>
              <w:rPr>
                <w:rFonts w:hint="eastAsia" w:ascii="宋体" w:hAnsi="宋体"/>
                <w:b/>
                <w:color w:val="auto"/>
                <w:szCs w:val="21"/>
                <w:highlight w:val="none"/>
              </w:rPr>
              <w:t>、保险</w:t>
            </w:r>
            <w:r>
              <w:rPr>
                <w:rFonts w:hint="eastAsia" w:ascii="宋体" w:hAnsi="宋体" w:cs="宋体"/>
                <w:b/>
                <w:color w:val="auto"/>
                <w:szCs w:val="21"/>
                <w:highlight w:val="none"/>
              </w:rPr>
              <w:t>额度不足的），或者不按规定提交方式提交的，或者保函</w:t>
            </w:r>
            <w:r>
              <w:rPr>
                <w:rFonts w:hint="eastAsia" w:ascii="宋体" w:hAnsi="宋体"/>
                <w:b/>
                <w:color w:val="auto"/>
                <w:szCs w:val="21"/>
                <w:highlight w:val="none"/>
              </w:rPr>
              <w:t>、保险</w:t>
            </w:r>
            <w:r>
              <w:rPr>
                <w:rFonts w:hint="eastAsia" w:ascii="宋体" w:hAnsi="宋体" w:cs="宋体"/>
                <w:b/>
                <w:color w:val="auto"/>
                <w:szCs w:val="21"/>
                <w:highlight w:val="none"/>
              </w:rPr>
              <w:t>有效期低于合同履行期限的（即合同中规定的当事人履行自己的义务，如交付标的物、价款或者报酬，履行劳务、完成工作的时间界限）的，视为未按规定提交履约保证金。</w:t>
            </w:r>
          </w:p>
          <w:p w14:paraId="66FF50B9">
            <w:pPr>
              <w:spacing w:line="360" w:lineRule="auto"/>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2.采用金融机构、担保机构出具保函</w:t>
            </w:r>
            <w:r>
              <w:rPr>
                <w:rFonts w:hint="eastAsia" w:ascii="宋体" w:hAnsi="宋体"/>
                <w:b/>
                <w:color w:val="auto"/>
                <w:szCs w:val="21"/>
                <w:highlight w:val="none"/>
              </w:rPr>
              <w:t>、保险</w:t>
            </w:r>
            <w:r>
              <w:rPr>
                <w:rFonts w:hint="eastAsia" w:ascii="宋体" w:hAnsi="宋体" w:cs="宋体"/>
                <w:b/>
                <w:color w:val="auto"/>
                <w:szCs w:val="21"/>
                <w:highlight w:val="none"/>
              </w:rPr>
              <w:t>的，必须为无条件保函</w:t>
            </w:r>
            <w:r>
              <w:rPr>
                <w:rFonts w:hint="eastAsia" w:ascii="宋体" w:hAnsi="宋体"/>
                <w:b/>
                <w:color w:val="auto"/>
                <w:szCs w:val="21"/>
                <w:highlight w:val="none"/>
              </w:rPr>
              <w:t>、保险</w:t>
            </w:r>
            <w:r>
              <w:rPr>
                <w:rFonts w:hint="eastAsia" w:ascii="宋体" w:hAnsi="宋体" w:cs="宋体"/>
                <w:b/>
                <w:color w:val="auto"/>
                <w:szCs w:val="21"/>
                <w:highlight w:val="none"/>
              </w:rPr>
              <w:t>，否则视为未按规定提交履约保证金。</w:t>
            </w:r>
          </w:p>
          <w:p w14:paraId="6D9E1F0B">
            <w:pPr>
              <w:spacing w:line="360" w:lineRule="auto"/>
              <w:ind w:firstLine="0" w:firstLineChars="0"/>
              <w:rPr>
                <w:rFonts w:hint="eastAsia" w:ascii="宋体" w:hAnsi="宋体" w:cs="宋体"/>
                <w:color w:val="auto"/>
                <w:szCs w:val="21"/>
                <w:highlight w:val="none"/>
              </w:rPr>
            </w:pPr>
            <w:r>
              <w:rPr>
                <w:rFonts w:hint="eastAsia" w:ascii="宋体" w:hAnsi="宋体" w:cs="宋体"/>
                <w:b/>
                <w:color w:val="auto"/>
                <w:szCs w:val="21"/>
                <w:highlight w:val="none"/>
              </w:rPr>
              <w:t>3.供应商为联合体的，可由联合体任意一方或者联合体各方共同提交的履约保证金，视为有效履约保证金。</w:t>
            </w:r>
          </w:p>
        </w:tc>
      </w:tr>
      <w:tr w14:paraId="0D455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10E42C7A">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992" w:type="dxa"/>
            <w:noWrap w:val="0"/>
            <w:vAlign w:val="center"/>
          </w:tcPr>
          <w:p w14:paraId="5A026243">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38" w:type="dxa"/>
            <w:noWrap w:val="0"/>
            <w:vAlign w:val="center"/>
          </w:tcPr>
          <w:p w14:paraId="03E0B882">
            <w:pPr>
              <w:autoSpaceDE w:val="0"/>
              <w:autoSpaceDN w:val="0"/>
              <w:snapToGrid w:val="0"/>
              <w:spacing w:line="360" w:lineRule="auto"/>
              <w:ind w:firstLine="0" w:firstLineChars="0"/>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44B006F7">
            <w:pPr>
              <w:autoSpaceDE w:val="0"/>
              <w:autoSpaceDN w:val="0"/>
              <w:snapToGrid w:val="0"/>
              <w:spacing w:line="360" w:lineRule="auto"/>
              <w:ind w:firstLine="0" w:firstLineChars="0"/>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w:t>
            </w:r>
          </w:p>
          <w:p w14:paraId="2144FDF8">
            <w:pPr>
              <w:snapToGrid w:val="0"/>
              <w:spacing w:line="360" w:lineRule="auto"/>
              <w:ind w:firstLine="0" w:firstLineChars="0"/>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w:t>
            </w:r>
          </w:p>
        </w:tc>
      </w:tr>
      <w:tr w14:paraId="4C0E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0DC14B01">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992" w:type="dxa"/>
            <w:noWrap w:val="0"/>
            <w:vAlign w:val="center"/>
          </w:tcPr>
          <w:p w14:paraId="5EFC9410">
            <w:pPr>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38" w:type="dxa"/>
            <w:noWrap w:val="0"/>
            <w:vAlign w:val="center"/>
          </w:tcPr>
          <w:p w14:paraId="0628D4C9">
            <w:pPr>
              <w:snapToGrid w:val="0"/>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120C31C6">
            <w:pPr>
              <w:pStyle w:val="26"/>
              <w:snapToGrid w:val="0"/>
              <w:spacing w:line="360" w:lineRule="auto"/>
              <w:ind w:firstLine="0" w:firstLineChars="0"/>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lang w:eastAsia="zh-CN"/>
              </w:rPr>
              <w:t>广西银泰工程管理有限公司</w:t>
            </w:r>
            <w:r>
              <w:rPr>
                <w:rFonts w:hint="eastAsia" w:hAnsi="宋体" w:cs="宋体"/>
                <w:color w:val="auto"/>
                <w:kern w:val="2"/>
                <w:sz w:val="21"/>
                <w:highlight w:val="none"/>
                <w:lang w:val="en-US" w:eastAsia="zh-CN"/>
              </w:rPr>
              <w:t>业务部</w:t>
            </w:r>
            <w:r>
              <w:rPr>
                <w:rFonts w:hint="eastAsia" w:hAnsi="宋体" w:cs="宋体"/>
                <w:color w:val="auto"/>
                <w:kern w:val="2"/>
                <w:sz w:val="21"/>
                <w:highlight w:val="none"/>
              </w:rPr>
              <w:t>，联系电话：</w:t>
            </w:r>
            <w:r>
              <w:rPr>
                <w:rFonts w:hint="eastAsia" w:hAnsi="宋体" w:cs="宋体"/>
                <w:color w:val="auto"/>
                <w:kern w:val="2"/>
                <w:sz w:val="21"/>
                <w:highlight w:val="none"/>
                <w:lang w:eastAsia="zh-CN"/>
              </w:rPr>
              <w:t>0772-2813184</w:t>
            </w:r>
            <w:r>
              <w:rPr>
                <w:rFonts w:hint="eastAsia" w:hAnsi="宋体" w:cs="宋体"/>
                <w:color w:val="auto"/>
                <w:kern w:val="2"/>
                <w:sz w:val="21"/>
                <w:highlight w:val="none"/>
              </w:rPr>
              <w:t>，通讯地址：广西柳州市东环大道168号翡翠龙庭</w:t>
            </w:r>
            <w:r>
              <w:rPr>
                <w:rFonts w:hint="eastAsia" w:hAnsi="宋体" w:cs="宋体"/>
                <w:color w:val="auto"/>
                <w:kern w:val="2"/>
                <w:sz w:val="21"/>
                <w:highlight w:val="none"/>
                <w:lang w:eastAsia="zh-CN"/>
              </w:rPr>
              <w:t>12栋3-17</w:t>
            </w:r>
            <w:r>
              <w:rPr>
                <w:rFonts w:hint="eastAsia" w:hAnsi="宋体" w:cs="宋体"/>
                <w:color w:val="auto"/>
                <w:kern w:val="2"/>
                <w:sz w:val="21"/>
                <w:highlight w:val="none"/>
              </w:rPr>
              <w:t>。</w:t>
            </w:r>
          </w:p>
          <w:p w14:paraId="4B62D733">
            <w:pPr>
              <w:autoSpaceDE w:val="0"/>
              <w:autoSpaceDN w:val="0"/>
              <w:snapToGrid w:val="0"/>
              <w:spacing w:line="360" w:lineRule="auto"/>
              <w:ind w:firstLine="0" w:firstLineChars="0"/>
              <w:textAlignment w:val="bottom"/>
              <w:rPr>
                <w:rFonts w:hint="eastAsia" w:ascii="宋体" w:hAnsi="宋体"/>
                <w:color w:val="auto"/>
                <w:szCs w:val="21"/>
                <w:highlight w:val="none"/>
              </w:rPr>
            </w:pPr>
            <w:r>
              <w:rPr>
                <w:rFonts w:hint="eastAsia" w:hAnsi="宋体" w:cs="宋体"/>
                <w:color w:val="auto"/>
                <w:highlight w:val="none"/>
              </w:rPr>
              <w:t>业务时间：8时</w:t>
            </w:r>
            <w:r>
              <w:rPr>
                <w:rFonts w:hint="eastAsia" w:hAnsi="宋体" w:cs="宋体"/>
                <w:color w:val="auto"/>
                <w:highlight w:val="none"/>
                <w:lang w:val="en-US" w:eastAsia="zh-CN"/>
              </w:rPr>
              <w:t>3</w:t>
            </w:r>
            <w:r>
              <w:rPr>
                <w:rFonts w:hint="eastAsia" w:hAnsi="宋体" w:cs="宋体"/>
                <w:color w:val="auto"/>
                <w:highlight w:val="none"/>
              </w:rPr>
              <w:t>0分到12时00分，1</w:t>
            </w:r>
            <w:r>
              <w:rPr>
                <w:rFonts w:hint="eastAsia" w:hAnsi="宋体" w:cs="宋体"/>
                <w:color w:val="auto"/>
                <w:highlight w:val="none"/>
                <w:lang w:val="en-US" w:eastAsia="zh-CN"/>
              </w:rPr>
              <w:t>4</w:t>
            </w:r>
            <w:r>
              <w:rPr>
                <w:rFonts w:hint="eastAsia" w:hAnsi="宋体" w:cs="宋体"/>
                <w:color w:val="auto"/>
                <w:highlight w:val="none"/>
              </w:rPr>
              <w:t>时</w:t>
            </w:r>
            <w:r>
              <w:rPr>
                <w:rFonts w:hint="eastAsia" w:hAnsi="宋体" w:cs="宋体"/>
                <w:color w:val="auto"/>
                <w:highlight w:val="none"/>
                <w:lang w:val="en-US" w:eastAsia="zh-CN"/>
              </w:rPr>
              <w:t>3</w:t>
            </w:r>
            <w:r>
              <w:rPr>
                <w:rFonts w:hint="eastAsia" w:hAnsi="宋体" w:cs="宋体"/>
                <w:color w:val="auto"/>
                <w:highlight w:val="none"/>
              </w:rPr>
              <w:t>0分到</w:t>
            </w:r>
            <w:r>
              <w:rPr>
                <w:rFonts w:hAnsi="宋体" w:cs="宋体"/>
                <w:color w:val="auto"/>
                <w:highlight w:val="none"/>
              </w:rPr>
              <w:t>18</w:t>
            </w:r>
            <w:r>
              <w:rPr>
                <w:rFonts w:hint="eastAsia" w:hAnsi="宋体" w:cs="宋体"/>
                <w:color w:val="auto"/>
                <w:highlight w:val="none"/>
              </w:rPr>
              <w:t>时00分，</w:t>
            </w:r>
            <w:r>
              <w:rPr>
                <w:rFonts w:hint="eastAsia" w:hAnsi="宋体"/>
                <w:color w:val="auto"/>
                <w:highlight w:val="none"/>
              </w:rPr>
              <w:t>业务时间以外、双休日和法定节假日不办理业务。</w:t>
            </w:r>
          </w:p>
        </w:tc>
      </w:tr>
      <w:tr w14:paraId="26436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710" w:type="dxa"/>
            <w:noWrap w:val="0"/>
            <w:vAlign w:val="center"/>
          </w:tcPr>
          <w:p w14:paraId="6CC4C772">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992" w:type="dxa"/>
            <w:noWrap w:val="0"/>
            <w:vAlign w:val="center"/>
          </w:tcPr>
          <w:p w14:paraId="426034B0">
            <w:pPr>
              <w:spacing w:line="360" w:lineRule="auto"/>
              <w:ind w:firstLine="0" w:firstLineChars="0"/>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38" w:type="dxa"/>
            <w:noWrap w:val="0"/>
            <w:vAlign w:val="center"/>
          </w:tcPr>
          <w:p w14:paraId="2772D81D">
            <w:pPr>
              <w:snapToGrid w:val="0"/>
              <w:spacing w:line="360" w:lineRule="auto"/>
              <w:ind w:firstLine="0" w:firstLineChars="0"/>
              <w:rPr>
                <w:rFonts w:hint="eastAsia" w:hAnsi="宋体"/>
                <w:color w:val="auto"/>
                <w:highlight w:val="none"/>
              </w:rPr>
            </w:pPr>
            <w:r>
              <w:rPr>
                <w:rFonts w:hint="eastAsia" w:ascii="宋体" w:hAnsi="宋体" w:cs="宋体"/>
                <w:color w:val="auto"/>
                <w:szCs w:val="21"/>
                <w:highlight w:val="none"/>
              </w:rPr>
              <w:t>代理服务收费标准：1.本项目</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应以人民币报价；2.不论</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结果如何，</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均应自行承担所有与</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有关的全部费用；3.本项目的代理服务费按本须知第40.2款规定的（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类）标准采用差额定率累进计费方式下浮30%计算（取整到元），由</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供应商向采购代理机构支付。</w:t>
            </w:r>
          </w:p>
        </w:tc>
      </w:tr>
      <w:tr w14:paraId="75E18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589C1AF8">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992" w:type="dxa"/>
            <w:noWrap w:val="0"/>
            <w:vAlign w:val="center"/>
          </w:tcPr>
          <w:p w14:paraId="369C6F86">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38" w:type="dxa"/>
            <w:noWrap w:val="0"/>
            <w:vAlign w:val="center"/>
          </w:tcPr>
          <w:p w14:paraId="73967807">
            <w:pPr>
              <w:pStyle w:val="26"/>
              <w:snapToGrid w:val="0"/>
              <w:spacing w:line="360" w:lineRule="auto"/>
              <w:ind w:firstLine="0" w:firstLineChars="0"/>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竞争性磋商文件</w:t>
            </w:r>
            <w:r>
              <w:rPr>
                <w:rFonts w:hAnsi="宋体"/>
                <w:color w:val="auto"/>
                <w:sz w:val="21"/>
                <w:highlight w:val="none"/>
              </w:rPr>
              <w:t>的各个组成文件应互为解释，互为说明；除</w:t>
            </w:r>
            <w:r>
              <w:rPr>
                <w:rFonts w:hint="eastAsia" w:hAnsi="宋体"/>
                <w:color w:val="auto"/>
                <w:sz w:val="21"/>
                <w:highlight w:val="none"/>
              </w:rPr>
              <w:t>竞争性磋商文件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竞争性磋商文件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14:paraId="6B9A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0" w:type="dxa"/>
            <w:noWrap w:val="0"/>
            <w:vAlign w:val="center"/>
          </w:tcPr>
          <w:p w14:paraId="2638D30F">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992" w:type="dxa"/>
            <w:noWrap w:val="0"/>
            <w:vAlign w:val="center"/>
          </w:tcPr>
          <w:p w14:paraId="094C3ED2">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3.2</w:t>
            </w:r>
          </w:p>
        </w:tc>
        <w:tc>
          <w:tcPr>
            <w:tcW w:w="7938" w:type="dxa"/>
            <w:noWrap w:val="0"/>
            <w:vAlign w:val="center"/>
          </w:tcPr>
          <w:p w14:paraId="6EDA2236">
            <w:pPr>
              <w:pStyle w:val="26"/>
              <w:snapToGrid w:val="0"/>
              <w:spacing w:line="360" w:lineRule="auto"/>
              <w:ind w:firstLine="420"/>
              <w:rPr>
                <w:rFonts w:hint="eastAsia" w:hAnsi="宋体" w:cs="宋体"/>
                <w:color w:val="auto"/>
                <w:sz w:val="21"/>
                <w:highlight w:val="none"/>
              </w:rPr>
            </w:pPr>
            <w:r>
              <w:rPr>
                <w:rFonts w:hint="eastAsia" w:hAnsi="宋体" w:cs="宋体"/>
                <w:color w:val="auto"/>
                <w:sz w:val="21"/>
                <w:highlight w:val="none"/>
              </w:rPr>
              <w:t>1.本竞争性</w:t>
            </w:r>
            <w:r>
              <w:rPr>
                <w:rFonts w:hint="eastAsia" w:hAnsi="宋体" w:cs="宋体"/>
                <w:color w:val="auto"/>
                <w:sz w:val="21"/>
                <w:highlight w:val="none"/>
                <w:lang w:eastAsia="zh-CN"/>
              </w:rPr>
              <w:t>磋商</w:t>
            </w:r>
            <w:r>
              <w:rPr>
                <w:rFonts w:hint="eastAsia" w:hAnsi="宋体" w:cs="宋体"/>
                <w:color w:val="auto"/>
                <w:sz w:val="21"/>
                <w:highlight w:val="none"/>
              </w:rPr>
              <w:t>文件中描述供应商的“公章”是指根据我国对公章的管理规定，用供应商法定主体行为名称制作的印章，除本竞争性</w:t>
            </w:r>
            <w:r>
              <w:rPr>
                <w:rFonts w:hint="eastAsia" w:hAnsi="宋体" w:cs="宋体"/>
                <w:color w:val="auto"/>
                <w:sz w:val="21"/>
                <w:highlight w:val="none"/>
                <w:lang w:eastAsia="zh-CN"/>
              </w:rPr>
              <w:t>磋商</w:t>
            </w:r>
            <w:r>
              <w:rPr>
                <w:rFonts w:hint="eastAsia" w:hAnsi="宋体" w:cs="宋体"/>
                <w:color w:val="auto"/>
                <w:sz w:val="21"/>
                <w:highlight w:val="none"/>
              </w:rPr>
              <w:t>文件有特殊规定外，供应商的财务章、部门章、分公司章、工会章、合同章、竞标/投标专用章、业务专用章及银行的转账章、现金收讫章、现金付讫章等其他形式印章均不能代替公章。</w:t>
            </w:r>
          </w:p>
          <w:p w14:paraId="107E540B">
            <w:pPr>
              <w:pStyle w:val="26"/>
              <w:snapToGrid w:val="0"/>
              <w:spacing w:line="360" w:lineRule="auto"/>
              <w:ind w:firstLine="420"/>
              <w:rPr>
                <w:rFonts w:hint="eastAsia" w:hAnsi="宋体" w:cs="宋体"/>
                <w:color w:val="auto"/>
                <w:sz w:val="21"/>
                <w:highlight w:val="none"/>
              </w:rPr>
            </w:pPr>
            <w:r>
              <w:rPr>
                <w:rFonts w:hint="eastAsia" w:hAnsi="宋体" w:cs="宋体"/>
                <w:color w:val="auto"/>
                <w:sz w:val="21"/>
                <w:highlight w:val="none"/>
              </w:rPr>
              <w:t>2.本</w:t>
            </w:r>
            <w:r>
              <w:rPr>
                <w:rFonts w:hint="eastAsia" w:hAnsi="宋体" w:cs="宋体"/>
                <w:color w:val="auto"/>
                <w:sz w:val="21"/>
                <w:highlight w:val="none"/>
                <w:lang w:eastAsia="zh-CN"/>
              </w:rPr>
              <w:t>磋商</w:t>
            </w:r>
            <w:r>
              <w:rPr>
                <w:rFonts w:hint="eastAsia" w:hAnsi="宋体" w:cs="宋体"/>
                <w:color w:val="auto"/>
                <w:sz w:val="21"/>
                <w:highlight w:val="none"/>
              </w:rPr>
              <w:t>文件所称的“电子签章”、“电子公章”、“电子印章”、“电子签名”，是指经“</w:t>
            </w:r>
            <w:r>
              <w:rPr>
                <w:rFonts w:hint="eastAsia" w:hAnsi="宋体" w:cs="宋体"/>
                <w:color w:val="auto"/>
                <w:sz w:val="21"/>
                <w:highlight w:val="none"/>
                <w:lang w:eastAsia="zh-CN"/>
              </w:rPr>
              <w:t>广西政府采购云平台</w:t>
            </w:r>
            <w:r>
              <w:rPr>
                <w:rFonts w:hint="eastAsia" w:hAnsi="宋体" w:cs="宋体"/>
                <w:color w:val="auto"/>
                <w:sz w:val="21"/>
                <w:highlight w:val="none"/>
              </w:rPr>
              <w:t>”平台认可的CA认证的电子签名数据为表现形式的印章，可用于签署电子响应文件，电子印章与实物印章具有同等法律效力，不因其采用电子化表现形式而否定其法律效力。</w:t>
            </w:r>
          </w:p>
          <w:p w14:paraId="6B0C33E4">
            <w:pPr>
              <w:pStyle w:val="26"/>
              <w:snapToGrid w:val="0"/>
              <w:spacing w:line="360" w:lineRule="auto"/>
              <w:ind w:firstLine="420"/>
              <w:rPr>
                <w:rFonts w:hint="eastAsia" w:hAnsi="宋体" w:cs="宋体"/>
                <w:color w:val="auto"/>
                <w:sz w:val="21"/>
                <w:highlight w:val="none"/>
              </w:rPr>
            </w:pPr>
            <w:r>
              <w:rPr>
                <w:rFonts w:hint="eastAsia" w:hAnsi="宋体" w:cs="宋体"/>
                <w:color w:val="auto"/>
                <w:sz w:val="21"/>
                <w:highlight w:val="none"/>
              </w:rPr>
              <w:t>3.供应商为其他组织或者自然人时，本竞争性</w:t>
            </w:r>
            <w:r>
              <w:rPr>
                <w:rFonts w:hint="eastAsia" w:hAnsi="宋体" w:cs="宋体"/>
                <w:color w:val="auto"/>
                <w:sz w:val="21"/>
                <w:highlight w:val="none"/>
                <w:lang w:eastAsia="zh-CN"/>
              </w:rPr>
              <w:t>磋商</w:t>
            </w:r>
            <w:r>
              <w:rPr>
                <w:rFonts w:hint="eastAsia" w:hAnsi="宋体" w:cs="宋体"/>
                <w:color w:val="auto"/>
                <w:sz w:val="21"/>
                <w:highlight w:val="none"/>
              </w:rPr>
              <w:t>文件规定的法定代表人指负责人或者自然人。本竞争性</w:t>
            </w:r>
            <w:r>
              <w:rPr>
                <w:rFonts w:hint="eastAsia" w:hAnsi="宋体" w:cs="宋体"/>
                <w:color w:val="auto"/>
                <w:sz w:val="21"/>
                <w:highlight w:val="none"/>
                <w:lang w:eastAsia="zh-CN"/>
              </w:rPr>
              <w:t>磋商</w:t>
            </w:r>
            <w:r>
              <w:rPr>
                <w:rFonts w:hint="eastAsia" w:hAnsi="宋体" w:cs="宋体"/>
                <w:color w:val="auto"/>
                <w:sz w:val="21"/>
                <w:highlight w:val="none"/>
              </w:rPr>
              <w:t>文件所称负责人是指参加竞标的其他组织营业执照上的负责人，本竞争性</w:t>
            </w:r>
            <w:r>
              <w:rPr>
                <w:rFonts w:hint="eastAsia" w:hAnsi="宋体" w:cs="宋体"/>
                <w:color w:val="auto"/>
                <w:sz w:val="21"/>
                <w:highlight w:val="none"/>
                <w:lang w:eastAsia="zh-CN"/>
              </w:rPr>
              <w:t>磋商</w:t>
            </w:r>
            <w:r>
              <w:rPr>
                <w:rFonts w:hint="eastAsia" w:hAnsi="宋体" w:cs="宋体"/>
                <w:color w:val="auto"/>
                <w:sz w:val="21"/>
                <w:highlight w:val="none"/>
              </w:rPr>
              <w:t>文件所称自然人指参与竞标的自然人本人，且应具备独立承担民事责任能力，自然人应当为年满18岁以上成年人（十六周岁以上的未成年人，以自己的劳动收入为主要生活来源的，视为完全民事行为能力人）。</w:t>
            </w:r>
          </w:p>
          <w:p w14:paraId="6276282D">
            <w:pPr>
              <w:pStyle w:val="26"/>
              <w:snapToGrid w:val="0"/>
              <w:spacing w:line="360" w:lineRule="auto"/>
              <w:ind w:firstLine="420"/>
              <w:rPr>
                <w:rFonts w:hint="eastAsia" w:hAnsi="宋体" w:cs="宋体"/>
                <w:color w:val="auto"/>
                <w:sz w:val="21"/>
                <w:highlight w:val="none"/>
              </w:rPr>
            </w:pPr>
            <w:r>
              <w:rPr>
                <w:rFonts w:hint="eastAsia" w:hAnsi="宋体" w:cs="宋体"/>
                <w:color w:val="auto"/>
                <w:sz w:val="21"/>
                <w:highlight w:val="none"/>
              </w:rPr>
              <w:t>4.本竞争性</w:t>
            </w:r>
            <w:r>
              <w:rPr>
                <w:rFonts w:hint="eastAsia" w:hAnsi="宋体" w:cs="宋体"/>
                <w:color w:val="auto"/>
                <w:sz w:val="21"/>
                <w:highlight w:val="none"/>
                <w:lang w:eastAsia="zh-CN"/>
              </w:rPr>
              <w:t>磋商</w:t>
            </w:r>
            <w:r>
              <w:rPr>
                <w:rFonts w:hint="eastAsia" w:hAnsi="宋体" w:cs="宋体"/>
                <w:color w:val="auto"/>
                <w:sz w:val="21"/>
                <w:highlight w:val="none"/>
              </w:rPr>
              <w:t>文件中描述供应商的“签字”是指供应商的法定代表人或者委托代理人亲自在文件规定签署处亲笔写上个人的名字的行为，私章、签字章、印鉴、影印等其他形式均不能代替亲笔签字。</w:t>
            </w:r>
          </w:p>
          <w:p w14:paraId="7689E07D">
            <w:pPr>
              <w:pStyle w:val="26"/>
              <w:snapToGrid w:val="0"/>
              <w:spacing w:line="360" w:lineRule="auto"/>
              <w:ind w:firstLine="420"/>
              <w:rPr>
                <w:rFonts w:hint="eastAsia" w:hAnsi="宋体" w:cs="宋体"/>
                <w:color w:val="auto"/>
                <w:sz w:val="21"/>
                <w:highlight w:val="none"/>
              </w:rPr>
            </w:pPr>
            <w:r>
              <w:rPr>
                <w:rFonts w:hint="eastAsia" w:hAnsi="宋体" w:cs="宋体"/>
                <w:color w:val="auto"/>
                <w:sz w:val="21"/>
                <w:highlight w:val="none"/>
              </w:rPr>
              <w:t>5本竞争性</w:t>
            </w:r>
            <w:r>
              <w:rPr>
                <w:rFonts w:hint="eastAsia" w:hAnsi="宋体" w:cs="宋体"/>
                <w:color w:val="auto"/>
                <w:sz w:val="21"/>
                <w:highlight w:val="none"/>
                <w:lang w:eastAsia="zh-CN"/>
              </w:rPr>
              <w:t>磋商</w:t>
            </w:r>
            <w:r>
              <w:rPr>
                <w:rFonts w:hint="eastAsia" w:hAnsi="宋体" w:cs="宋体"/>
                <w:color w:val="auto"/>
                <w:sz w:val="21"/>
                <w:highlight w:val="none"/>
              </w:rPr>
              <w:t>文件所称的“以上”“以下”“以内”“届满”，包括本数；所称的“不满”“超过”“以外”，不包括本数。</w:t>
            </w:r>
          </w:p>
        </w:tc>
      </w:tr>
    </w:tbl>
    <w:p w14:paraId="0C40849C">
      <w:pPr>
        <w:spacing w:line="480" w:lineRule="exact"/>
        <w:ind w:firstLine="0" w:firstLineChars="0"/>
        <w:jc w:val="center"/>
        <w:rPr>
          <w:rFonts w:hint="eastAsia" w:ascii="宋体" w:hAnsi="宋体" w:cs="宋体"/>
          <w:b/>
          <w:color w:val="auto"/>
          <w:sz w:val="32"/>
          <w:szCs w:val="32"/>
          <w:highlight w:val="none"/>
        </w:rPr>
      </w:pPr>
      <w:r>
        <w:rPr>
          <w:rFonts w:ascii="宋体" w:hAnsi="宋体" w:cs="宋体"/>
          <w:b/>
          <w:color w:val="auto"/>
          <w:sz w:val="32"/>
          <w:szCs w:val="32"/>
          <w:highlight w:val="none"/>
        </w:rPr>
        <w:br w:type="page"/>
      </w:r>
      <w:r>
        <w:rPr>
          <w:rFonts w:hint="eastAsia" w:ascii="宋体" w:hAnsi="宋体" w:cs="宋体"/>
          <w:b/>
          <w:color w:val="auto"/>
          <w:sz w:val="32"/>
          <w:szCs w:val="32"/>
          <w:highlight w:val="none"/>
        </w:rPr>
        <w:t>供应商须知</w:t>
      </w:r>
      <w:r>
        <w:rPr>
          <w:rFonts w:hint="eastAsia" w:ascii="宋体" w:hAnsi="宋体"/>
          <w:b/>
          <w:color w:val="auto"/>
          <w:sz w:val="32"/>
          <w:szCs w:val="32"/>
          <w:highlight w:val="none"/>
        </w:rPr>
        <w:t>正文</w:t>
      </w:r>
    </w:p>
    <w:p w14:paraId="19AA887C">
      <w:pPr>
        <w:spacing w:line="480" w:lineRule="exact"/>
        <w:ind w:firstLine="420"/>
        <w:jc w:val="center"/>
        <w:rPr>
          <w:rFonts w:hint="eastAsia" w:ascii="宋体" w:hAnsi="宋体" w:cs="宋体"/>
          <w:color w:val="auto"/>
          <w:szCs w:val="21"/>
          <w:highlight w:val="none"/>
        </w:rPr>
      </w:pPr>
    </w:p>
    <w:p w14:paraId="015C083A">
      <w:pPr>
        <w:spacing w:line="400" w:lineRule="exact"/>
        <w:ind w:firstLine="0" w:firstLineChars="0"/>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20E7D0DD">
      <w:pPr>
        <w:spacing w:line="400" w:lineRule="exact"/>
        <w:ind w:firstLine="420"/>
        <w:rPr>
          <w:rFonts w:hint="eastAsia" w:ascii="宋体" w:hAnsi="宋体"/>
          <w:color w:val="auto"/>
          <w:szCs w:val="21"/>
          <w:highlight w:val="none"/>
        </w:rPr>
      </w:pPr>
    </w:p>
    <w:p w14:paraId="3536A08B">
      <w:pPr>
        <w:spacing w:line="360" w:lineRule="auto"/>
        <w:ind w:firstLine="422"/>
        <w:rPr>
          <w:rFonts w:hint="eastAsia" w:ascii="黑体" w:hAnsi="黑体" w:eastAsia="黑体" w:cs="宋体"/>
          <w:b/>
          <w:bCs/>
          <w:color w:val="auto"/>
          <w:sz w:val="24"/>
          <w:highlight w:val="none"/>
        </w:rPr>
      </w:pPr>
      <w:r>
        <w:rPr>
          <w:rFonts w:hint="eastAsia" w:ascii="宋体" w:hAnsi="宋体" w:cs="宋体"/>
          <w:b/>
          <w:color w:val="auto"/>
          <w:szCs w:val="21"/>
          <w:highlight w:val="none"/>
        </w:rPr>
        <w:t>1.适用范围</w:t>
      </w:r>
    </w:p>
    <w:p w14:paraId="2AF66443">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194194C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本竞争性磋商文件适用于本项目的所有采购程序和环节（法律、法规另有规定的，从其规定）。</w:t>
      </w:r>
    </w:p>
    <w:p w14:paraId="0C458F2E">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2.定义</w:t>
      </w:r>
    </w:p>
    <w:p w14:paraId="3E7CD2F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486A6DFA">
      <w:pPr>
        <w:spacing w:line="360" w:lineRule="auto"/>
        <w:ind w:firstLine="42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w:t>
      </w:r>
      <w:r>
        <w:rPr>
          <w:rFonts w:hint="eastAsia" w:ascii="宋体" w:hAnsi="宋体" w:cs="宋体"/>
          <w:color w:val="auto"/>
          <w:szCs w:val="21"/>
          <w:highlight w:val="none"/>
          <w:lang w:eastAsia="zh-CN"/>
        </w:rPr>
        <w:t>广西银泰工程管理有限公司</w:t>
      </w:r>
      <w:r>
        <w:rPr>
          <w:rFonts w:hint="eastAsia" w:ascii="宋体" w:hAnsi="宋体" w:cs="宋体"/>
          <w:color w:val="auto"/>
          <w:szCs w:val="21"/>
          <w:highlight w:val="none"/>
        </w:rPr>
        <w:t>。</w:t>
      </w:r>
    </w:p>
    <w:p w14:paraId="4395EB6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733BDC5">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2.4</w:t>
      </w:r>
      <w:r>
        <w:rPr>
          <w:rFonts w:hint="eastAsia" w:ascii="宋体" w:hAnsi="宋体" w:cs="宋体"/>
          <w:color w:val="auto"/>
          <w:szCs w:val="21"/>
          <w:highlight w:val="none"/>
        </w:rPr>
        <w:t>“货物”是指各种形态和种类的物品，包括原材料、燃料、设备、产品等。</w:t>
      </w:r>
    </w:p>
    <w:p w14:paraId="40DD72F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color w:val="auto"/>
          <w:szCs w:val="21"/>
          <w:highlight w:val="none"/>
        </w:rPr>
        <w:t>“服务”是指除货物和工程以外的其他政府采购对象。</w:t>
      </w:r>
    </w:p>
    <w:p w14:paraId="23372AC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2.6“竞标”是指供应商按照本项目竞争性磋商公告规定的方式获取磋商文件、提交响应文件并希望获得标的的行为。</w:t>
      </w:r>
    </w:p>
    <w:p w14:paraId="5B7955A2">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2.7“书面形式”是指合同书、信件和数据电文（包括电报、电传、传真、电子数据交换和电子邮件）等可以有形地表现所载内容的形式。</w:t>
      </w:r>
    </w:p>
    <w:p w14:paraId="59E7F8CF">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2.8“响应文件”</w:t>
      </w:r>
      <w:r>
        <w:rPr>
          <w:rFonts w:hint="eastAsia" w:ascii="宋体" w:hAnsi="宋体" w:cs="宋体"/>
          <w:color w:val="auto"/>
          <w:spacing w:val="-6"/>
          <w:szCs w:val="21"/>
          <w:highlight w:val="none"/>
        </w:rPr>
        <w:t>是指：供应商根据本竞争性磋商文件要求，编制包含资格证明、报价商务技术等所有内容的文件。</w:t>
      </w:r>
    </w:p>
    <w:p w14:paraId="0137B3C6">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2.9“实质性要求”是指竞争性磋商文件中已经指明不满足则响应文件按无效响应处理的条款，或者不能负偏离的条款，或者采购需求中带“▲”的条款。</w:t>
      </w:r>
    </w:p>
    <w:p w14:paraId="3F99BE77">
      <w:pPr>
        <w:spacing w:line="360" w:lineRule="auto"/>
        <w:ind w:firstLine="420"/>
        <w:contextualSpacing/>
        <w:rPr>
          <w:rFonts w:ascii="宋体" w:hAnsi="宋体" w:cs="宋体"/>
          <w:color w:val="auto"/>
          <w:szCs w:val="21"/>
          <w:highlight w:val="none"/>
        </w:rPr>
      </w:pPr>
      <w:r>
        <w:rPr>
          <w:rFonts w:hint="eastAsia" w:ascii="宋体" w:hAnsi="宋体" w:cs="宋体"/>
          <w:color w:val="auto"/>
          <w:szCs w:val="21"/>
          <w:highlight w:val="none"/>
        </w:rPr>
        <w:t>2.10“正偏离”，是指响应文件对竞争性磋商文件“采购需求”中有关条款作出的响应优于条款要求并有利于采购人的情形。</w:t>
      </w:r>
    </w:p>
    <w:p w14:paraId="5B4297CE">
      <w:pPr>
        <w:spacing w:line="360" w:lineRule="auto"/>
        <w:ind w:firstLine="42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11“负偏离”，是指响应文件对竞争性磋商文件“采购需求”中有关条款作出的响应不满足条款要求，导致采购人要求不能得到满足的情形。</w:t>
      </w:r>
    </w:p>
    <w:p w14:paraId="60B382B0">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2.12“允许负偏离的条款”是指采购需求中的不属于“实质性要求”的条款。</w:t>
      </w:r>
    </w:p>
    <w:p w14:paraId="5728A207">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3“首次报价”是指供应商提交的首次响应文件中的报价。</w:t>
      </w:r>
    </w:p>
    <w:p w14:paraId="54D589B7">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2.14“评审价”是指供应商提交的最后报价并经修正和政策功能价格扣除后的价格。</w:t>
      </w:r>
    </w:p>
    <w:p w14:paraId="73B982B9">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3.供应商的资格条件</w:t>
      </w:r>
    </w:p>
    <w:p w14:paraId="6CCB1DC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6AA59F9">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4.竞标费用</w:t>
      </w:r>
    </w:p>
    <w:p w14:paraId="6AB0EB9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供应商应承担参与本次采购活动有关的所有费用，包括但不限于获取竞争性磋商文件、勘查现场、编制和提交响应文件、参加磋商与应答、签订合同等，不论竞标结果如何，均应自行承担。</w:t>
      </w:r>
    </w:p>
    <w:p w14:paraId="538B86E3">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5.联合体竞标</w:t>
      </w:r>
    </w:p>
    <w:p w14:paraId="479178E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44D9FE0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3F6C759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5.3</w:t>
      </w:r>
      <w:bookmarkStart w:id="78" w:name="_Hlk66782192"/>
      <w:r>
        <w:rPr>
          <w:rFonts w:hint="eastAsia" w:ascii="宋体" w:hAnsi="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%的扣除，用扣除后的价格参加评审。</w:t>
      </w:r>
      <w:bookmarkEnd w:id="78"/>
    </w:p>
    <w:p w14:paraId="017A6EF6">
      <w:pPr>
        <w:spacing w:line="360" w:lineRule="auto"/>
        <w:ind w:firstLine="422"/>
        <w:rPr>
          <w:rFonts w:hint="eastAsia" w:ascii="黑体" w:hAnsi="黑体" w:eastAsia="黑体" w:cs="宋体"/>
          <w:b/>
          <w:bCs/>
          <w:color w:val="auto"/>
          <w:sz w:val="24"/>
          <w:highlight w:val="none"/>
        </w:rPr>
      </w:pPr>
      <w:r>
        <w:rPr>
          <w:rFonts w:hint="eastAsia" w:ascii="宋体" w:hAnsi="宋体" w:cs="宋体"/>
          <w:b/>
          <w:color w:val="auto"/>
          <w:szCs w:val="21"/>
          <w:highlight w:val="none"/>
        </w:rPr>
        <w:t xml:space="preserve">6.转包与分包  </w:t>
      </w:r>
      <w:r>
        <w:rPr>
          <w:rFonts w:hint="eastAsia" w:ascii="黑体" w:hAnsi="黑体" w:eastAsia="黑体" w:cs="宋体"/>
          <w:b/>
          <w:bCs/>
          <w:color w:val="auto"/>
          <w:sz w:val="24"/>
          <w:highlight w:val="none"/>
        </w:rPr>
        <w:t xml:space="preserve">           </w:t>
      </w:r>
    </w:p>
    <w:p w14:paraId="1AD1E1D1">
      <w:pPr>
        <w:spacing w:line="360" w:lineRule="auto"/>
        <w:ind w:firstLine="420"/>
        <w:rPr>
          <w:rFonts w:hint="eastAsia" w:ascii="宋体" w:hAnsi="宋体"/>
          <w:color w:val="auto"/>
          <w:szCs w:val="21"/>
          <w:highlight w:val="none"/>
        </w:rPr>
      </w:pPr>
      <w:bookmarkStart w:id="79" w:name="_Toc254970673"/>
      <w:bookmarkStart w:id="80" w:name="_Toc254970532"/>
      <w:r>
        <w:rPr>
          <w:rFonts w:hint="eastAsia" w:ascii="宋体" w:hAnsi="宋体"/>
          <w:color w:val="auto"/>
          <w:szCs w:val="21"/>
          <w:highlight w:val="none"/>
        </w:rPr>
        <w:t>6.1本项目不允许转包。</w:t>
      </w:r>
    </w:p>
    <w:p w14:paraId="0BB612AA">
      <w:pPr>
        <w:pStyle w:val="6"/>
        <w:keepNext w:val="0"/>
        <w:keepLines w:val="0"/>
        <w:numPr>
          <w:ilvl w:val="0"/>
          <w:numId w:val="0"/>
        </w:numPr>
        <w:spacing w:before="0" w:after="0" w:line="360" w:lineRule="auto"/>
        <w:ind w:firstLine="420" w:firstLineChars="200"/>
        <w:rPr>
          <w:rFonts w:hint="eastAsia" w:ascii="宋体" w:hAnsi="宋体"/>
          <w:b w:val="0"/>
          <w:color w:val="auto"/>
          <w:sz w:val="21"/>
          <w:szCs w:val="21"/>
          <w:highlight w:val="none"/>
        </w:rPr>
      </w:pPr>
      <w:r>
        <w:rPr>
          <w:rFonts w:hint="eastAsia" w:ascii="宋体" w:hAnsi="宋体"/>
          <w:b w:val="0"/>
          <w:color w:val="auto"/>
          <w:sz w:val="21"/>
          <w:szCs w:val="21"/>
          <w:highlight w:val="none"/>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133C2AF0">
      <w:pPr>
        <w:pStyle w:val="6"/>
        <w:keepNext w:val="0"/>
        <w:keepLines w:val="0"/>
        <w:spacing w:before="0" w:after="0" w:line="360" w:lineRule="auto"/>
        <w:ind w:firstLine="315" w:firstLineChars="150"/>
        <w:rPr>
          <w:rFonts w:hint="eastAsia" w:ascii="宋体" w:hAnsi="宋体"/>
          <w:b w:val="0"/>
          <w:color w:val="auto"/>
          <w:sz w:val="21"/>
          <w:szCs w:val="21"/>
          <w:highlight w:val="none"/>
        </w:rPr>
      </w:pPr>
      <w:r>
        <w:rPr>
          <w:rFonts w:hint="eastAsia" w:ascii="宋体" w:hAnsi="宋体"/>
          <w:b w:val="0"/>
          <w:color w:val="auto"/>
          <w:sz w:val="21"/>
          <w:szCs w:val="21"/>
          <w:highlight w:val="none"/>
        </w:rPr>
        <w:t xml:space="preserve"> 6.3供应商根据竞争性磋商文件的规定和采购项目的实际情况，拟在成交后将成交项目的非主体、非关键性工作分包的，应当在响应文件中载明分包承担主体，分包承担主体应当具备相应资质条件且不得再次分包。</w:t>
      </w:r>
    </w:p>
    <w:p w14:paraId="08F52CCB">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7.特别说明</w:t>
      </w:r>
      <w:bookmarkEnd w:id="79"/>
      <w:bookmarkEnd w:id="80"/>
    </w:p>
    <w:p w14:paraId="081F6785">
      <w:pPr>
        <w:spacing w:line="360" w:lineRule="auto"/>
        <w:ind w:firstLine="420"/>
        <w:rPr>
          <w:rFonts w:hint="eastAsia" w:ascii="宋体" w:hAnsi="宋体" w:cs="宋体"/>
          <w:color w:val="auto"/>
          <w:szCs w:val="21"/>
          <w:highlight w:val="none"/>
        </w:rPr>
      </w:pPr>
      <w:bookmarkStart w:id="81" w:name="_8.1提供相同品牌产品且通过资格审查、符合性审查的不同投标人参加同一合"/>
      <w:bookmarkEnd w:id="81"/>
      <w:bookmarkStart w:id="82" w:name="_Hlk65832145"/>
      <w:r>
        <w:rPr>
          <w:rFonts w:hint="eastAsia" w:ascii="宋体" w:hAnsi="宋体" w:cs="宋体"/>
          <w:color w:val="auto"/>
          <w:szCs w:val="21"/>
          <w:highlight w:val="none"/>
        </w:rPr>
        <w:t>7.1使用综合评分法的采购项目，提供相同品牌产品且通过资格审查、符合性审查的不同供应商参加同一合同项下竞标的，按一家供应商计算，评审后得分最高的同品牌供应商获得成交供应商推荐资格；评审得分相同的，由采购人或者采购人委托磋商小组按照竞争性磋商文件规定的方式确定一个供应商获得成交供应商推荐资格，竞争性磋商文件未规定的采取随机抽取方式确定，其他同品牌供应商不作为成交候选人。</w:t>
      </w:r>
    </w:p>
    <w:p w14:paraId="1AAF11A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非单一产品采购项目，多家供应商提供的核心产品品牌相同的，按前款规定处理。</w:t>
      </w:r>
    </w:p>
    <w:p w14:paraId="211A556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7.2服务类项目不设置核心产品，不执行本须知正文第7.1条的规定。</w:t>
      </w:r>
    </w:p>
    <w:p w14:paraId="6A864AD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7.3</w:t>
      </w:r>
      <w:r>
        <w:rPr>
          <w:rFonts w:hint="eastAsia" w:ascii="宋体" w:hAnsi="宋体"/>
          <w:color w:val="auto"/>
          <w:szCs w:val="21"/>
          <w:highlight w:val="none"/>
        </w:rPr>
        <w:t>如果本竞争性磋商文件要求提供供应商或制造商的资格、信誉、荣誉、业绩与企业认证等材料的，资格、信誉、荣誉、业绩与企业认证等必须为供应商或者制造商所拥有或自身获得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bookmarkEnd w:id="82"/>
    <w:p w14:paraId="49F8785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7.4供应商应仔细阅读竞争性磋商文件的所有内容，按照竞争性磋商文件的要求提交响应文件，并对所提供的全部资料的真实性承担法律责任。</w:t>
      </w:r>
    </w:p>
    <w:p w14:paraId="18AFE03E">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7.5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1DE1880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在政府采购活动中，采购人员及相关人员与供应商有下列利害关系之一的，应当回避：</w:t>
      </w:r>
    </w:p>
    <w:p w14:paraId="4D13252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343D7CB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0F2A8E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0C9EABB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6019AF0">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892F38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5ADDDF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7.7有下列情形之一的视为供应商相互串通竞标，响应文件将被视为无效：</w:t>
      </w:r>
    </w:p>
    <w:p w14:paraId="60B86FE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36F625D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C6FE07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E134F0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3271194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1D433D20">
      <w:pPr>
        <w:tabs>
          <w:tab w:val="left" w:pos="6931"/>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14:paraId="76A0FCA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7.8供应商有下列情形之一的，属于恶意串通行为，将报同级监督管理部门：</w:t>
      </w:r>
    </w:p>
    <w:p w14:paraId="6CD8C7C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F29FEE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7B2706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37A23F3">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09A5E4A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6E5E69D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7E8C2D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573B376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7.9关联供应商不得参加同一合同项下政府采购活动，否则响应文件将被视为无效：</w:t>
      </w:r>
    </w:p>
    <w:p w14:paraId="0485220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17A1008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（2）生产厂商授权给供应商后自己不得参加同一合同项下的政府采购活动。</w:t>
      </w:r>
    </w:p>
    <w:p w14:paraId="4DF64CA6">
      <w:pPr>
        <w:spacing w:line="360" w:lineRule="auto"/>
        <w:ind w:firstLine="420"/>
        <w:rPr>
          <w:rFonts w:hint="eastAsia" w:ascii="宋体" w:hAnsi="宋体" w:cs="宋体"/>
          <w:color w:val="auto"/>
          <w:szCs w:val="21"/>
          <w:highlight w:val="none"/>
        </w:rPr>
      </w:pPr>
    </w:p>
    <w:p w14:paraId="633AC2C8">
      <w:pPr>
        <w:spacing w:line="360" w:lineRule="auto"/>
        <w:ind w:firstLine="0" w:firstLineChars="0"/>
        <w:jc w:val="center"/>
        <w:rPr>
          <w:rFonts w:hint="eastAsia" w:ascii="宋体" w:hAnsi="宋体"/>
          <w:b/>
          <w:bCs/>
          <w:color w:val="auto"/>
          <w:sz w:val="32"/>
          <w:szCs w:val="32"/>
          <w:highlight w:val="none"/>
        </w:rPr>
      </w:pPr>
      <w:bookmarkStart w:id="83" w:name="_Toc254970675"/>
      <w:bookmarkStart w:id="84" w:name="_Toc254970534"/>
      <w:r>
        <w:rPr>
          <w:rFonts w:hint="eastAsia" w:ascii="宋体" w:hAnsi="宋体"/>
          <w:b/>
          <w:bCs/>
          <w:color w:val="auto"/>
          <w:sz w:val="32"/>
          <w:szCs w:val="32"/>
          <w:highlight w:val="none"/>
        </w:rPr>
        <w:t>二、磋商文件</w:t>
      </w:r>
      <w:bookmarkEnd w:id="83"/>
      <w:bookmarkEnd w:id="84"/>
    </w:p>
    <w:p w14:paraId="353AB4D4">
      <w:pPr>
        <w:spacing w:line="360" w:lineRule="auto"/>
        <w:ind w:firstLine="420"/>
        <w:rPr>
          <w:rFonts w:hint="eastAsia" w:ascii="宋体" w:hAnsi="宋体"/>
          <w:color w:val="auto"/>
          <w:szCs w:val="21"/>
          <w:highlight w:val="none"/>
        </w:rPr>
      </w:pPr>
    </w:p>
    <w:p w14:paraId="190208C9">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8.磋商文件的构成</w:t>
      </w:r>
    </w:p>
    <w:p w14:paraId="6B1E8E19">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69F7B6B1">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06D04CFD">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（3）采购需求；</w:t>
      </w:r>
    </w:p>
    <w:p w14:paraId="6896FA13">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41488319">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（5）响应文件格式；</w:t>
      </w:r>
    </w:p>
    <w:p w14:paraId="173D39A1">
      <w:pPr>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（6）合同文本。</w:t>
      </w:r>
    </w:p>
    <w:p w14:paraId="3620D065">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9.供应商的询问</w:t>
      </w:r>
    </w:p>
    <w:p w14:paraId="136743F1">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供应商应认真阅读竞争性磋商文件的采购需求，如供应商对竞争性磋商文件有疑问的，如要求采购人作出澄清或者修改的，供应商尽可能在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5537FADD">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10.磋商文件的澄清和修改</w:t>
      </w:r>
    </w:p>
    <w:p w14:paraId="3256DBB3">
      <w:pPr>
        <w:spacing w:line="360" w:lineRule="auto"/>
        <w:ind w:firstLine="42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竞争性磋商文件的供应商，不足3个工作日的，应当顺延提交首次响应文件截止之日。</w:t>
      </w:r>
    </w:p>
    <w:p w14:paraId="03EAB16A">
      <w:pPr>
        <w:spacing w:line="360" w:lineRule="auto"/>
        <w:ind w:firstLine="420"/>
        <w:rPr>
          <w:rFonts w:hint="eastAsia" w:ascii="宋体" w:hAnsi="宋体"/>
          <w:color w:val="auto"/>
          <w:szCs w:val="21"/>
          <w:highlight w:val="none"/>
        </w:rPr>
      </w:pPr>
    </w:p>
    <w:p w14:paraId="35864BD3">
      <w:pPr>
        <w:spacing w:line="360" w:lineRule="auto"/>
        <w:ind w:firstLine="0" w:firstLineChars="0"/>
        <w:jc w:val="center"/>
        <w:rPr>
          <w:rFonts w:hint="eastAsia" w:ascii="宋体" w:hAnsi="宋体"/>
          <w:b/>
          <w:bCs/>
          <w:color w:val="auto"/>
          <w:sz w:val="32"/>
          <w:szCs w:val="32"/>
          <w:highlight w:val="none"/>
        </w:rPr>
      </w:pPr>
    </w:p>
    <w:p w14:paraId="6FB6CD56">
      <w:pPr>
        <w:spacing w:line="360" w:lineRule="auto"/>
        <w:ind w:firstLine="0" w:firstLineChars="0"/>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0875EAAC">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11.响应文件的编制原则</w:t>
      </w:r>
    </w:p>
    <w:p w14:paraId="2FBEC57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供应商必须按照竞争性磋商文件的要求编制响应文件，并对其提交的响应文件的真实性、合法性承担法律责任。响应文件必须对竞争性磋商文件作出实质性响应。</w:t>
      </w:r>
    </w:p>
    <w:p w14:paraId="2C0B23A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12.响应文件的组成</w:t>
      </w:r>
    </w:p>
    <w:p w14:paraId="3A9E883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334D2EB8">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14:paraId="6FAF0C91">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14:paraId="5AAA963A">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13.计量单位</w:t>
      </w:r>
    </w:p>
    <w:p w14:paraId="326631C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竞争性磋商文件已有明确规定的，使用竞争性磋商文件规定的计量单位；竞争性磋商文件没有规定的，应采用中华人民共和国法定计量单位，货币种类为人民币，否则视同未响应。</w:t>
      </w:r>
    </w:p>
    <w:p w14:paraId="0E213ABA">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14.竞标的风险</w:t>
      </w:r>
    </w:p>
    <w:p w14:paraId="4EF9C84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供应商没有按照竞争性磋商文件要求提供全部资料，或者供应商没有对竞争性磋商文件在各方面作出实质性响应可能导致其响应无效，是供应商应当考虑的风险。</w:t>
      </w:r>
    </w:p>
    <w:p w14:paraId="3D7EEF1C">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15.竞标报价</w:t>
      </w:r>
    </w:p>
    <w:p w14:paraId="19A9F437">
      <w:pPr>
        <w:tabs>
          <w:tab w:val="left" w:pos="2492"/>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15.1竞标报价应按竞争性磋商文件中“报价表”格式填写。</w:t>
      </w:r>
    </w:p>
    <w:p w14:paraId="56C8DF27">
      <w:pPr>
        <w:tabs>
          <w:tab w:val="left" w:pos="2492"/>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1DD658FA">
      <w:pPr>
        <w:tabs>
          <w:tab w:val="left" w:pos="2492"/>
        </w:tabs>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3819CDA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14351A55">
      <w:pPr>
        <w:tabs>
          <w:tab w:val="left" w:pos="2492"/>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（1）供应商必须就“采购需求”中所竞标的全部内容分别作完整唯一总价报价，不得存在漏项报价；</w:t>
      </w:r>
    </w:p>
    <w:p w14:paraId="28E73AD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）供应商必须就所竞标的标项的单项内容作唯一报价。</w:t>
      </w:r>
    </w:p>
    <w:p w14:paraId="7BCCE92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竞标报价（包含首次报价、最后报价）超过所竞标项（分标）规定的采购预算金额或者最高限价的（如本项目公布了最高限价），其响应文件将作无效处理。</w:t>
      </w:r>
    </w:p>
    <w:p w14:paraId="5730AEF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85" w:name="_Hlk42592874"/>
      <w:r>
        <w:rPr>
          <w:rFonts w:hint="eastAsia" w:ascii="宋体" w:hAnsi="宋体" w:cs="宋体"/>
          <w:color w:val="auto"/>
          <w:szCs w:val="21"/>
          <w:highlight w:val="none"/>
        </w:rPr>
        <w:t>竞标报价（包含首次报价、最后报价）超过分项采购预算金额或者最高限价的（如本项目公布了最高限价），其响应文件将作无效处理。</w:t>
      </w:r>
    </w:p>
    <w:bookmarkEnd w:id="85"/>
    <w:p w14:paraId="2425CA66">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16.竞标有效期</w:t>
      </w:r>
    </w:p>
    <w:p w14:paraId="543393D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731750C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06C64F1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293AF0E9">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17.磋商保证金</w:t>
      </w:r>
    </w:p>
    <w:p w14:paraId="6AD801C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29504A3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14:paraId="78072BCA">
      <w:pPr>
        <w:spacing w:line="360" w:lineRule="auto"/>
        <w:ind w:firstLine="420"/>
        <w:rPr>
          <w:rFonts w:hint="eastAsia" w:ascii="宋体" w:hAnsi="宋体" w:cs="宋体"/>
          <w:color w:val="auto"/>
          <w:szCs w:val="21"/>
          <w:highlight w:val="none"/>
        </w:rPr>
      </w:pPr>
      <w:bookmarkStart w:id="86" w:name="_Hlk66782243"/>
      <w:r>
        <w:rPr>
          <w:rFonts w:hint="eastAsia" w:ascii="宋体" w:hAnsi="宋体" w:cs="宋体"/>
          <w:color w:val="auto"/>
          <w:szCs w:val="21"/>
          <w:highlight w:val="none"/>
        </w:rPr>
        <w:t>未成交供应商的竞标保证金自成交通知书发出之日起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个工作日内退还；成交供应商的磋商保证金自签订合同之日起</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个工作日内退还。</w:t>
      </w:r>
      <w:bookmarkEnd w:id="86"/>
      <w:r>
        <w:rPr>
          <w:rFonts w:hint="eastAsia" w:ascii="宋体" w:hAnsi="宋体" w:cs="宋体"/>
          <w:color w:val="auto"/>
          <w:szCs w:val="21"/>
          <w:highlight w:val="none"/>
        </w:rPr>
        <w:t xml:space="preserve"> </w:t>
      </w:r>
    </w:p>
    <w:p w14:paraId="585D463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（1）采用银行转账支付方式的，均以转账方式退回到供应商银行账户。</w:t>
      </w:r>
    </w:p>
    <w:p w14:paraId="5C00B3E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（2）采用支票、汇票或本票方式的，以转账方式退回到供应商银行账户或由供应商代表持相关授权证明材料至采购人或采购代理机构办理支票、汇票或本票原件退还手续。 </w:t>
      </w:r>
    </w:p>
    <w:p w14:paraId="1EAA163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（3）采用金融机构、担保机构出具的保函、保险方式的，由供应商代表持相关授权证明材料至采购人或采购代理机构办理保函、保险原件退还手续。</w:t>
      </w:r>
    </w:p>
    <w:p w14:paraId="24B0818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14:paraId="1E52046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2513D53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0D70178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1F890DD0">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60F5F1F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6EAB464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09FDDA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（6）法律法规规定的其他情形。</w:t>
      </w:r>
    </w:p>
    <w:p w14:paraId="4DA92D06">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18.响应文件编制的要求</w:t>
      </w:r>
    </w:p>
    <w:p w14:paraId="27BC039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18.1供应商应先安装“</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投标客户端”（请自行前往“</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”进行下载），并按照本项目竞争性磋商文件规定的格式和顺序和“</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”的要求编制并加密。响应文件内容不完整、编排混乱导致响应文件被误读、漏读或者查找不到相关内容的，由此引发的后果由供应商承担</w:t>
      </w:r>
      <w:r>
        <w:rPr>
          <w:rFonts w:hint="eastAsia" w:ascii="宋体" w:hAnsi="宋体" w:cs="宋体"/>
          <w:color w:val="auto"/>
          <w:spacing w:val="-6"/>
          <w:szCs w:val="21"/>
          <w:highlight w:val="none"/>
        </w:rPr>
        <w:t>。</w:t>
      </w:r>
    </w:p>
    <w:p w14:paraId="42B25B8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18.2确保网上操作合法、有效和安全，供应商应当在提交响应文件截止时间前完成在“</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”的身份认证，确保在电子竞标过程中能够对相关数据电文进行加密和使用电子签章。</w:t>
      </w:r>
    </w:p>
    <w:p w14:paraId="28241B10">
      <w:pPr>
        <w:spacing w:line="360" w:lineRule="auto"/>
        <w:ind w:firstLine="420"/>
        <w:rPr>
          <w:rFonts w:hint="eastAsia" w:ascii="宋体" w:hAnsi="宋体" w:cs="宋体"/>
          <w:b/>
          <w:color w:val="auto"/>
          <w:szCs w:val="21"/>
          <w:highlight w:val="none"/>
        </w:rPr>
      </w:pPr>
      <w:r>
        <w:rPr>
          <w:rFonts w:hint="eastAsia" w:ascii="宋体" w:hAnsi="宋体" w:cs="宋体"/>
          <w:color w:val="auto"/>
          <w:szCs w:val="21"/>
          <w:highlight w:val="none"/>
        </w:rPr>
        <w:t>18.3</w:t>
      </w:r>
      <w:r>
        <w:rPr>
          <w:rFonts w:hint="eastAsia" w:ascii="宋体" w:hAnsi="宋体" w:cs="宋体"/>
          <w:b/>
          <w:color w:val="auto"/>
          <w:szCs w:val="21"/>
          <w:highlight w:val="none"/>
        </w:rPr>
        <w:t>响应文件须由供应商在规定位置签字、盖章（具体以供应商须知前附表或响应文件格式规定为准），否则按无效响应处理。</w:t>
      </w:r>
    </w:p>
    <w:p w14:paraId="3E6408DC">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18.4</w:t>
      </w:r>
      <w:r>
        <w:rPr>
          <w:rFonts w:hint="eastAsia" w:ascii="宋体" w:hAnsi="宋体"/>
          <w:b/>
          <w:color w:val="auto"/>
          <w:szCs w:val="21"/>
          <w:highlight w:val="none"/>
        </w:rPr>
        <w:t>供应商应准确设置评审关联点。未设置或设置错误导致响应文件被误读、漏读或者查找不到相关内容的，是供应商的责任</w:t>
      </w:r>
      <w:r>
        <w:rPr>
          <w:rFonts w:hint="eastAsia" w:ascii="宋体" w:hAnsi="宋体" w:cs="宋体"/>
          <w:b/>
          <w:color w:val="auto"/>
          <w:szCs w:val="21"/>
          <w:highlight w:val="none"/>
        </w:rPr>
        <w:t>。</w:t>
      </w:r>
    </w:p>
    <w:p w14:paraId="77A25C4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18.5</w:t>
      </w:r>
      <w:r>
        <w:rPr>
          <w:rFonts w:hint="eastAsia" w:ascii="宋体" w:hAnsi="宋体" w:cs="宋体"/>
          <w:b/>
          <w:color w:val="auto"/>
          <w:szCs w:val="21"/>
          <w:highlight w:val="none"/>
        </w:rPr>
        <w:t>响应文件所提供的相关材料清晰度应该能够在电脑上被阅读、识别和判断</w:t>
      </w:r>
      <w:r>
        <w:rPr>
          <w:rFonts w:hint="eastAsia" w:ascii="宋体" w:hAnsi="宋体" w:cs="宋体"/>
          <w:color w:val="auto"/>
          <w:szCs w:val="21"/>
          <w:highlight w:val="none"/>
        </w:rPr>
        <w:t>。</w:t>
      </w:r>
    </w:p>
    <w:p w14:paraId="6295F21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18.6响应文件中标注的供应商名称应与营业执照（事业单位法人证书、执业许可证、自然人身份证）及公章一致，否则其响应文件按无效响应处理。</w:t>
      </w:r>
    </w:p>
    <w:p w14:paraId="7E2D4DE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18.7响应文件应尽量避免涂改、行间插字或者删除。如果出现上述情况，改动之处应由供应商的法定代表人或者其委托代理人签字（</w:t>
      </w:r>
      <w:r>
        <w:rPr>
          <w:rFonts w:hint="eastAsia" w:hAnsi="宋体"/>
          <w:color w:val="auto"/>
          <w:highlight w:val="none"/>
        </w:rPr>
        <w:t>或者电子签名或者加盖电子印章</w:t>
      </w:r>
      <w:r>
        <w:rPr>
          <w:rFonts w:hint="eastAsia" w:ascii="宋体" w:hAnsi="宋体" w:cs="宋体"/>
          <w:color w:val="auto"/>
          <w:szCs w:val="21"/>
          <w:highlight w:val="none"/>
        </w:rPr>
        <w:t>）或者加盖</w:t>
      </w:r>
      <w:r>
        <w:rPr>
          <w:rFonts w:hint="eastAsia" w:hAnsi="宋体"/>
          <w:color w:val="auto"/>
          <w:highlight w:val="none"/>
        </w:rPr>
        <w:t>电子公章</w:t>
      </w:r>
      <w:r>
        <w:rPr>
          <w:rFonts w:hint="eastAsia" w:ascii="宋体" w:hAnsi="宋体" w:cs="宋体"/>
          <w:color w:val="auto"/>
          <w:szCs w:val="21"/>
          <w:highlight w:val="none"/>
        </w:rPr>
        <w:t>。响应文件因涂改、行间插字或者删除导致字迹潦草或者表达不清所引起的后果由供应商承担。</w:t>
      </w:r>
    </w:p>
    <w:p w14:paraId="5470AC5E">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19.响应文件应在规定的时间内加密并上传至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r>
        <w:rPr>
          <w:rFonts w:hint="eastAsia" w:ascii="宋体" w:hAnsi="宋体" w:cs="宋体"/>
          <w:color w:val="auto"/>
          <w:szCs w:val="21"/>
          <w:highlight w:val="none"/>
          <w:lang w:eastAsia="zh-CN"/>
        </w:rPr>
        <w:t>https://www.gcy.zfcg.gxzf.gov.cn/</w:t>
      </w:r>
      <w:r>
        <w:rPr>
          <w:rFonts w:hint="eastAsia" w:ascii="宋体" w:hAnsi="宋体" w:cs="宋体"/>
          <w:color w:val="auto"/>
          <w:szCs w:val="21"/>
          <w:highlight w:val="none"/>
        </w:rPr>
        <w:t>）。</w:t>
      </w:r>
    </w:p>
    <w:p w14:paraId="2967191B">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20.响应文件的提交</w:t>
      </w:r>
    </w:p>
    <w:p w14:paraId="2406404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0.1</w:t>
      </w:r>
      <w:r>
        <w:rPr>
          <w:rFonts w:hint="eastAsia" w:ascii="宋体" w:hAnsi="宋体" w:cs="宋体"/>
          <w:color w:val="auto"/>
          <w:szCs w:val="21"/>
          <w:highlight w:val="none"/>
        </w:rPr>
        <w:t>供应商必须在“供应商须知前附表”规定的时间和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w:t>
      </w:r>
    </w:p>
    <w:p w14:paraId="763812BE">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0.2</w:t>
      </w:r>
      <w:r>
        <w:rPr>
          <w:rFonts w:hint="eastAsia" w:ascii="宋体" w:hAnsi="宋体" w:cs="宋体"/>
          <w:b/>
          <w:color w:val="auto"/>
          <w:szCs w:val="21"/>
          <w:highlight w:val="none"/>
        </w:rPr>
        <w:t>未在规定时间内提交或者未按照磋商文件要求加密的电子响应文件，“</w:t>
      </w:r>
      <w:r>
        <w:rPr>
          <w:rFonts w:hint="eastAsia" w:ascii="宋体" w:hAnsi="宋体" w:cs="宋体"/>
          <w:b/>
          <w:color w:val="auto"/>
          <w:szCs w:val="21"/>
          <w:highlight w:val="none"/>
          <w:lang w:eastAsia="zh-CN"/>
        </w:rPr>
        <w:t>广西政府采购云平台</w:t>
      </w:r>
      <w:r>
        <w:rPr>
          <w:rFonts w:hint="eastAsia" w:ascii="宋体" w:hAnsi="宋体" w:cs="宋体"/>
          <w:b/>
          <w:color w:val="auto"/>
          <w:szCs w:val="21"/>
          <w:highlight w:val="none"/>
        </w:rPr>
        <w:t>”平台将拒收。</w:t>
      </w:r>
    </w:p>
    <w:p w14:paraId="5BD8E8F5">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21.首次响应文件的补充、修改与撤回</w:t>
      </w:r>
    </w:p>
    <w:p w14:paraId="5F38B5F4">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”将予以拒收。（补充、修改或者撤回方式可登陆“</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”，进入“服务中心”中查看“电子响应文件制作与投送教程”）。</w:t>
      </w:r>
    </w:p>
    <w:p w14:paraId="03DE2555">
      <w:pPr>
        <w:spacing w:line="360" w:lineRule="auto"/>
        <w:ind w:firstLine="420"/>
        <w:rPr>
          <w:rFonts w:ascii="宋体" w:hAnsi="宋体"/>
          <w:color w:val="auto"/>
          <w:szCs w:val="21"/>
          <w:highlight w:val="none"/>
        </w:rPr>
      </w:pPr>
      <w:r>
        <w:rPr>
          <w:rFonts w:hint="eastAsia" w:ascii="宋体" w:hAnsi="宋体"/>
          <w:color w:val="auto"/>
          <w:szCs w:val="21"/>
          <w:highlight w:val="none"/>
        </w:rPr>
        <w:t>21.2在提交响应文件截止时间前，除供应商补充、修改或者撤回响应文件外，任何单位和个人不得解密或提取响应文件</w:t>
      </w:r>
    </w:p>
    <w:p w14:paraId="3C8B408B">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22.响应文件的退回</w:t>
      </w:r>
    </w:p>
    <w:p w14:paraId="6473E991">
      <w:pPr>
        <w:spacing w:line="360" w:lineRule="auto"/>
        <w:ind w:firstLine="420"/>
        <w:rPr>
          <w:rFonts w:ascii="宋体" w:hAnsi="宋体" w:cs="宋体"/>
          <w:color w:val="auto"/>
          <w:szCs w:val="21"/>
          <w:highlight w:val="none"/>
        </w:rPr>
      </w:pPr>
      <w:r>
        <w:rPr>
          <w:color w:val="auto"/>
          <w:highlight w:val="none"/>
        </w:rPr>
        <w:t>采购人和采购代理机构对已提交的响应文件概不退回</w:t>
      </w:r>
      <w:r>
        <w:rPr>
          <w:rFonts w:hint="eastAsia" w:ascii="宋体" w:hAnsi="宋体" w:cs="宋体"/>
          <w:color w:val="auto"/>
          <w:szCs w:val="21"/>
          <w:highlight w:val="none"/>
        </w:rPr>
        <w:t>。</w:t>
      </w:r>
    </w:p>
    <w:p w14:paraId="2E1DF7EB">
      <w:pPr>
        <w:spacing w:line="360" w:lineRule="auto"/>
        <w:ind w:firstLine="422"/>
        <w:rPr>
          <w:rFonts w:ascii="宋体" w:hAnsi="宋体"/>
          <w:b/>
          <w:color w:val="auto"/>
          <w:szCs w:val="21"/>
          <w:highlight w:val="none"/>
        </w:rPr>
      </w:pPr>
      <w:r>
        <w:rPr>
          <w:rFonts w:hint="eastAsia" w:ascii="宋体" w:hAnsi="宋体"/>
          <w:b/>
          <w:color w:val="auto"/>
          <w:szCs w:val="21"/>
          <w:highlight w:val="none"/>
        </w:rPr>
        <w:t>23.截止时间后的撤回</w:t>
      </w:r>
    </w:p>
    <w:p w14:paraId="49AA7A05">
      <w:pPr>
        <w:spacing w:line="360" w:lineRule="auto"/>
        <w:ind w:firstLine="420"/>
        <w:rPr>
          <w:color w:val="auto"/>
          <w:highlight w:val="none"/>
        </w:rPr>
      </w:pPr>
      <w:r>
        <w:rPr>
          <w:color w:val="auto"/>
          <w:highlight w:val="none"/>
        </w:rPr>
        <w:t>供应商在响应文件提交截止时间后向采购人、采购代理机构书面申请撤回响应文件的，将根据本须知正文17.4的规定不予退还其磋商保证金。</w:t>
      </w:r>
    </w:p>
    <w:p w14:paraId="3E248944">
      <w:pPr>
        <w:spacing w:line="360" w:lineRule="auto"/>
        <w:ind w:firstLine="0" w:firstLineChars="0"/>
        <w:jc w:val="center"/>
        <w:rPr>
          <w:rFonts w:ascii="宋体" w:hAnsi="宋体"/>
          <w:b/>
          <w:bCs/>
          <w:color w:val="auto"/>
          <w:sz w:val="32"/>
          <w:szCs w:val="32"/>
          <w:highlight w:val="none"/>
        </w:rPr>
      </w:pPr>
    </w:p>
    <w:p w14:paraId="1759DB26">
      <w:pPr>
        <w:spacing w:line="360" w:lineRule="auto"/>
        <w:ind w:firstLine="0" w:firstLineChars="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1D2D12AD">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24.磋商小组成立及响应文件的开启</w:t>
      </w:r>
    </w:p>
    <w:p w14:paraId="031BAC1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22A18B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F438F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24.3采购代理机构应当基于“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”抽（选）取评审专家。</w:t>
      </w:r>
    </w:p>
    <w:p w14:paraId="5138101F">
      <w:pPr>
        <w:spacing w:line="360" w:lineRule="auto"/>
        <w:ind w:firstLine="422"/>
        <w:rPr>
          <w:rFonts w:hint="eastAsia" w:ascii="宋体" w:hAnsi="宋体" w:cs="宋体"/>
          <w:b/>
          <w:color w:val="auto"/>
          <w:szCs w:val="21"/>
          <w:highlight w:val="none"/>
        </w:rPr>
      </w:pPr>
      <w:r>
        <w:rPr>
          <w:rFonts w:ascii="宋体" w:hAnsi="宋体" w:cs="宋体"/>
          <w:b/>
          <w:color w:val="auto"/>
          <w:szCs w:val="21"/>
          <w:highlight w:val="none"/>
        </w:rPr>
        <w:t>25.</w:t>
      </w:r>
      <w:r>
        <w:rPr>
          <w:rFonts w:hint="eastAsia" w:ascii="宋体" w:hAnsi="宋体" w:cs="宋体"/>
          <w:b/>
          <w:color w:val="auto"/>
          <w:szCs w:val="21"/>
          <w:highlight w:val="none"/>
        </w:rPr>
        <w:t>首次响应文件的开启：</w:t>
      </w:r>
      <w:r>
        <w:rPr>
          <w:rFonts w:hint="eastAsia" w:ascii="宋体" w:hAnsi="宋体" w:cs="宋体"/>
          <w:color w:val="auto"/>
          <w:szCs w:val="21"/>
          <w:highlight w:val="none"/>
        </w:rPr>
        <w:t>具体详见“供应商须知前附表”。</w:t>
      </w:r>
    </w:p>
    <w:p w14:paraId="10BCF13C">
      <w:pPr>
        <w:spacing w:line="360" w:lineRule="auto"/>
        <w:ind w:firstLine="422"/>
        <w:rPr>
          <w:rFonts w:hint="eastAsia" w:ascii="宋体" w:hAnsi="宋体" w:cs="宋体"/>
          <w:b/>
          <w:color w:val="auto"/>
          <w:szCs w:val="21"/>
          <w:highlight w:val="none"/>
        </w:rPr>
      </w:pPr>
      <w:r>
        <w:rPr>
          <w:rFonts w:ascii="宋体" w:hAnsi="宋体" w:cs="宋体"/>
          <w:b/>
          <w:color w:val="auto"/>
          <w:szCs w:val="21"/>
          <w:highlight w:val="none"/>
        </w:rPr>
        <w:t>26</w:t>
      </w:r>
      <w:r>
        <w:rPr>
          <w:rFonts w:hint="eastAsia" w:ascii="宋体" w:hAnsi="宋体" w:cs="宋体"/>
          <w:b/>
          <w:color w:val="auto"/>
          <w:szCs w:val="21"/>
          <w:highlight w:val="none"/>
        </w:rPr>
        <w:t>.评审程序、评审方法和评审标准</w:t>
      </w:r>
    </w:p>
    <w:p w14:paraId="1699D5F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43737480">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7709176F">
      <w:pPr>
        <w:spacing w:line="360" w:lineRule="auto"/>
        <w:ind w:firstLine="422"/>
        <w:rPr>
          <w:rFonts w:hint="eastAsia" w:ascii="宋体" w:hAnsi="宋体" w:cs="宋体"/>
          <w:b/>
          <w:color w:val="auto"/>
          <w:szCs w:val="21"/>
          <w:highlight w:val="none"/>
        </w:rPr>
      </w:pPr>
      <w:r>
        <w:rPr>
          <w:rFonts w:ascii="宋体" w:hAnsi="宋体" w:cs="宋体"/>
          <w:b/>
          <w:color w:val="auto"/>
          <w:szCs w:val="21"/>
          <w:highlight w:val="none"/>
        </w:rPr>
        <w:t>27</w:t>
      </w:r>
      <w:r>
        <w:rPr>
          <w:rFonts w:hint="eastAsia" w:ascii="宋体" w:hAnsi="宋体" w:cs="宋体"/>
          <w:b/>
          <w:color w:val="auto"/>
          <w:szCs w:val="21"/>
          <w:highlight w:val="none"/>
        </w:rPr>
        <w:t>.确定成交供应商及结果公告</w:t>
      </w:r>
    </w:p>
    <w:p w14:paraId="3ADAB085">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D827EED">
      <w:pPr>
        <w:spacing w:line="360" w:lineRule="auto"/>
        <w:ind w:firstLine="42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bookmarkStart w:id="87"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87"/>
    </w:p>
    <w:p w14:paraId="4B2588D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0F49F32">
      <w:pPr>
        <w:spacing w:line="360" w:lineRule="auto"/>
        <w:ind w:firstLine="420"/>
        <w:rPr>
          <w:rFonts w:hint="eastAsia"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FD84F13">
      <w:pPr>
        <w:spacing w:line="360" w:lineRule="auto"/>
        <w:ind w:firstLine="422"/>
        <w:rPr>
          <w:rFonts w:hint="eastAsia" w:ascii="宋体" w:hAnsi="宋体" w:cs="宋体"/>
          <w:b/>
          <w:color w:val="auto"/>
          <w:szCs w:val="21"/>
          <w:highlight w:val="none"/>
        </w:rPr>
      </w:pPr>
      <w:r>
        <w:rPr>
          <w:rFonts w:ascii="宋体" w:hAnsi="宋体" w:cs="宋体"/>
          <w:b/>
          <w:color w:val="auto"/>
          <w:szCs w:val="21"/>
          <w:highlight w:val="none"/>
        </w:rPr>
        <w:t>28</w:t>
      </w:r>
      <w:r>
        <w:rPr>
          <w:rFonts w:hint="eastAsia" w:ascii="宋体" w:hAnsi="宋体" w:cs="宋体"/>
          <w:b/>
          <w:color w:val="auto"/>
          <w:szCs w:val="21"/>
          <w:highlight w:val="none"/>
        </w:rPr>
        <w:t>.履约保证金</w:t>
      </w:r>
    </w:p>
    <w:p w14:paraId="4D80FF5B">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7A55FA43">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14:paraId="68CDAA79">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在履约保证金退还日期前，若成交供应商的开户名称、开户银行、帐号有变动的，请以书面形式通知履约保证金收取单位，否则由此产生的后果由成交供应商自行承担。</w:t>
      </w:r>
    </w:p>
    <w:p w14:paraId="75A163EA">
      <w:pPr>
        <w:spacing w:line="360" w:lineRule="auto"/>
        <w:ind w:firstLine="422"/>
        <w:rPr>
          <w:rFonts w:hint="eastAsia" w:ascii="宋体" w:hAnsi="宋体" w:cs="宋体"/>
          <w:b/>
          <w:color w:val="auto"/>
          <w:szCs w:val="21"/>
          <w:highlight w:val="none"/>
        </w:rPr>
      </w:pPr>
      <w:r>
        <w:rPr>
          <w:rFonts w:ascii="宋体" w:hAnsi="宋体" w:cs="宋体"/>
          <w:b/>
          <w:color w:val="auto"/>
          <w:szCs w:val="21"/>
          <w:highlight w:val="none"/>
        </w:rPr>
        <w:t>29</w:t>
      </w:r>
      <w:r>
        <w:rPr>
          <w:rFonts w:hint="eastAsia" w:ascii="宋体" w:hAnsi="宋体" w:cs="宋体"/>
          <w:b/>
          <w:color w:val="auto"/>
          <w:szCs w:val="21"/>
          <w:highlight w:val="none"/>
        </w:rPr>
        <w:t>.签订合同</w:t>
      </w:r>
    </w:p>
    <w:p w14:paraId="592EA508">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 “供应商须知前附表”，经采购人核验合格后方可签订合同。</w:t>
      </w:r>
    </w:p>
    <w:p w14:paraId="118A5813">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.2签订合同时间：按成交通知书规定的时间与采购人签订政府采购合同。</w:t>
      </w:r>
    </w:p>
    <w:p w14:paraId="4991E9CE">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w:t>
      </w:r>
      <w:r>
        <w:rPr>
          <w:rFonts w:hint="eastAsia" w:ascii="宋体" w:hAnsi="宋体" w:cs="Courier New"/>
          <w:color w:val="auto"/>
          <w:szCs w:val="21"/>
          <w:highlight w:val="none"/>
        </w:rPr>
        <w:t>成交供应商拒绝签订政府采购和或者放弃成交或者因不可抗力提出不能履行合同</w:t>
      </w:r>
      <w:r>
        <w:rPr>
          <w:rFonts w:hint="eastAsia" w:ascii="宋体" w:hAnsi="宋体" w:cs="宋体"/>
          <w:color w:val="auto"/>
          <w:szCs w:val="21"/>
          <w:highlight w:val="none"/>
        </w:rPr>
        <w:t>，采购人可以按照评审报告推荐的成交候选人名单排序，确定下一候选人为成交供应商，也可以重新开展政府采购活动。拒绝签订政府采购合同的成交供应商不得参加对该合同项重新开展的采购活动。</w:t>
      </w:r>
    </w:p>
    <w:p w14:paraId="721FE0D3">
      <w:pPr>
        <w:spacing w:line="360" w:lineRule="auto"/>
        <w:ind w:firstLine="422"/>
        <w:rPr>
          <w:rFonts w:hint="eastAsia" w:ascii="宋体" w:hAnsi="宋体" w:cs="宋体"/>
          <w:b/>
          <w:color w:val="auto"/>
          <w:szCs w:val="21"/>
          <w:highlight w:val="none"/>
        </w:rPr>
      </w:pPr>
      <w:r>
        <w:rPr>
          <w:rFonts w:ascii="宋体" w:hAnsi="宋体" w:cs="宋体"/>
          <w:b/>
          <w:color w:val="auto"/>
          <w:szCs w:val="21"/>
          <w:highlight w:val="none"/>
        </w:rPr>
        <w:t>30</w:t>
      </w:r>
      <w:r>
        <w:rPr>
          <w:rFonts w:hint="eastAsia" w:ascii="宋体" w:hAnsi="宋体" w:cs="宋体"/>
          <w:b/>
          <w:color w:val="auto"/>
          <w:szCs w:val="21"/>
          <w:highlight w:val="none"/>
        </w:rPr>
        <w:t>.政府采购合同公告</w:t>
      </w:r>
    </w:p>
    <w:p w14:paraId="1B070D2E">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DEC9BD1">
      <w:pPr>
        <w:spacing w:line="360" w:lineRule="auto"/>
        <w:ind w:firstLine="422"/>
        <w:rPr>
          <w:rFonts w:hint="eastAsia" w:ascii="宋体" w:hAnsi="宋体" w:cs="宋体"/>
          <w:b/>
          <w:color w:val="auto"/>
          <w:szCs w:val="21"/>
          <w:highlight w:val="none"/>
        </w:rPr>
      </w:pPr>
      <w:r>
        <w:rPr>
          <w:rFonts w:ascii="宋体" w:hAnsi="宋体" w:cs="宋体"/>
          <w:b/>
          <w:color w:val="auto"/>
          <w:szCs w:val="21"/>
          <w:highlight w:val="none"/>
        </w:rPr>
        <w:t>31</w:t>
      </w:r>
      <w:r>
        <w:rPr>
          <w:rFonts w:hint="eastAsia" w:ascii="宋体" w:hAnsi="宋体" w:cs="宋体"/>
          <w:b/>
          <w:color w:val="auto"/>
          <w:szCs w:val="21"/>
          <w:highlight w:val="none"/>
        </w:rPr>
        <w:t>.询问、质疑和投诉</w:t>
      </w:r>
    </w:p>
    <w:p w14:paraId="233DD7D4">
      <w:pPr>
        <w:spacing w:line="360" w:lineRule="auto"/>
        <w:ind w:firstLine="42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14:paraId="73A6AFEF">
      <w:pPr>
        <w:spacing w:line="360" w:lineRule="auto"/>
        <w:ind w:firstLine="42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.2供应商认为竞争性磋商文件、采购过程或者成交结果使自己的合法权益受到损害的，应当在知道或者应知其权益受到损害之日起7个工作日内，以书面形式向采购人、采购代理机构提出质疑，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rPr>
        <w:t>接收质疑函的方式、联系部门、联系电话和通讯地址等信息</w:t>
      </w:r>
      <w:r>
        <w:rPr>
          <w:rFonts w:hint="eastAsia" w:ascii="宋体" w:hAnsi="宋体" w:cs="Arial"/>
          <w:color w:val="auto"/>
          <w:highlight w:val="none"/>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775005BF">
      <w:pPr>
        <w:spacing w:line="360" w:lineRule="auto"/>
        <w:ind w:firstLine="420"/>
        <w:rPr>
          <w:rFonts w:hint="eastAsia" w:ascii="宋体" w:hAnsi="宋体" w:cs="宋体"/>
          <w:color w:val="auto"/>
          <w:highlight w:val="none"/>
        </w:rPr>
      </w:pPr>
      <w:r>
        <w:rPr>
          <w:rFonts w:hint="eastAsia" w:ascii="宋体" w:hAnsi="宋体" w:cs="宋体"/>
          <w:color w:val="auto"/>
          <w:highlight w:val="none"/>
        </w:rPr>
        <w:t>（1）对可以质疑的竞争性磋商文件提出质疑的，为收到竞争性磋商文件之日或者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7EA5EED7">
      <w:pPr>
        <w:spacing w:line="360" w:lineRule="auto"/>
        <w:ind w:firstLine="42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53FDE3C1">
      <w:pPr>
        <w:spacing w:line="360" w:lineRule="auto"/>
        <w:ind w:firstLine="42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219F03C9">
      <w:pPr>
        <w:spacing w:line="360" w:lineRule="auto"/>
        <w:ind w:firstLine="42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5DBAE071">
      <w:pPr>
        <w:spacing w:line="360" w:lineRule="auto"/>
        <w:ind w:firstLine="42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p>
    <w:p w14:paraId="16CC88A3">
      <w:pPr>
        <w:spacing w:line="360" w:lineRule="auto"/>
        <w:ind w:firstLine="42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281B2C3">
      <w:pPr>
        <w:spacing w:line="360" w:lineRule="auto"/>
        <w:ind w:firstLine="420"/>
        <w:rPr>
          <w:rFonts w:hint="eastAsia" w:ascii="宋体" w:hAnsi="宋体" w:cs="宋体"/>
          <w:color w:val="auto"/>
          <w:highlight w:val="none"/>
        </w:rPr>
      </w:pPr>
      <w:r>
        <w:rPr>
          <w:rFonts w:hint="eastAsia" w:ascii="宋体" w:hAnsi="宋体" w:cs="宋体"/>
          <w:color w:val="auto"/>
          <w:highlight w:val="none"/>
        </w:rPr>
        <w:t>（2）质疑项目的名称、编号；</w:t>
      </w:r>
    </w:p>
    <w:p w14:paraId="613C5B53">
      <w:pPr>
        <w:spacing w:line="360" w:lineRule="auto"/>
        <w:ind w:firstLine="42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7A841209">
      <w:pPr>
        <w:spacing w:line="360" w:lineRule="auto"/>
        <w:ind w:firstLine="420"/>
        <w:rPr>
          <w:rFonts w:hint="eastAsia" w:ascii="宋体" w:hAnsi="宋体" w:cs="宋体"/>
          <w:color w:val="auto"/>
          <w:highlight w:val="none"/>
        </w:rPr>
      </w:pPr>
      <w:r>
        <w:rPr>
          <w:rFonts w:hint="eastAsia" w:ascii="宋体" w:hAnsi="宋体" w:cs="宋体"/>
          <w:color w:val="auto"/>
          <w:highlight w:val="none"/>
        </w:rPr>
        <w:t>（4）事实依据；</w:t>
      </w:r>
    </w:p>
    <w:p w14:paraId="15063323">
      <w:pPr>
        <w:spacing w:line="360" w:lineRule="auto"/>
        <w:ind w:firstLine="420"/>
        <w:rPr>
          <w:rFonts w:hint="eastAsia" w:ascii="宋体" w:hAnsi="宋体" w:cs="宋体"/>
          <w:color w:val="auto"/>
          <w:highlight w:val="none"/>
        </w:rPr>
      </w:pPr>
      <w:r>
        <w:rPr>
          <w:rFonts w:hint="eastAsia" w:ascii="宋体" w:hAnsi="宋体" w:cs="宋体"/>
          <w:color w:val="auto"/>
          <w:highlight w:val="none"/>
        </w:rPr>
        <w:t>（5）必要的法律依据；</w:t>
      </w:r>
    </w:p>
    <w:p w14:paraId="2169C04B">
      <w:pPr>
        <w:spacing w:line="360" w:lineRule="auto"/>
        <w:ind w:firstLine="420"/>
        <w:rPr>
          <w:rFonts w:hint="eastAsia" w:ascii="宋体" w:hAnsi="宋体" w:cs="宋体"/>
          <w:color w:val="auto"/>
          <w:highlight w:val="none"/>
        </w:rPr>
      </w:pPr>
      <w:r>
        <w:rPr>
          <w:rFonts w:hint="eastAsia" w:ascii="宋体" w:hAnsi="宋体" w:cs="宋体"/>
          <w:color w:val="auto"/>
          <w:highlight w:val="none"/>
        </w:rPr>
        <w:t>（6）提出质疑的日期。</w:t>
      </w:r>
    </w:p>
    <w:p w14:paraId="6E3C469C">
      <w:pPr>
        <w:spacing w:line="360" w:lineRule="auto"/>
        <w:ind w:firstLine="42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A7F3190">
      <w:pPr>
        <w:spacing w:line="360" w:lineRule="auto"/>
        <w:ind w:firstLine="42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1869BC1F">
      <w:pPr>
        <w:spacing w:line="360" w:lineRule="auto"/>
        <w:ind w:firstLine="420"/>
        <w:rPr>
          <w:rFonts w:ascii="宋体" w:hAnsi="宋体" w:cs="宋体"/>
          <w:color w:val="auto"/>
          <w:highlight w:val="none"/>
        </w:rPr>
      </w:pPr>
      <w:r>
        <w:rPr>
          <w:rFonts w:hint="eastAsia" w:ascii="宋体" w:hAnsi="宋体" w:cs="宋体"/>
          <w:color w:val="auto"/>
          <w:highlight w:val="none"/>
        </w:rPr>
        <w:t>（1）对竞争性磋商文件提出的质疑，依法通过澄清或者修改可以继续开展采购活动的，澄清或者修改竞争性磋商文件后继续开展采购活动；否则应当修改竞争性磋商文件后重新开展采购活动。</w:t>
      </w:r>
    </w:p>
    <w:p w14:paraId="10B4EAD6">
      <w:pPr>
        <w:spacing w:line="360" w:lineRule="auto"/>
        <w:ind w:firstLine="42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14:paraId="402991B5">
      <w:pPr>
        <w:spacing w:line="360" w:lineRule="auto"/>
        <w:ind w:firstLine="42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3E74C727">
      <w:pPr>
        <w:spacing w:line="360" w:lineRule="auto"/>
        <w:ind w:firstLine="42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30EE8726">
      <w:pPr>
        <w:spacing w:line="360" w:lineRule="auto"/>
        <w:ind w:firstLine="422"/>
        <w:rPr>
          <w:rFonts w:hint="eastAsia" w:ascii="宋体" w:hAnsi="宋体" w:cs="宋体"/>
          <w:b/>
          <w:color w:val="auto"/>
          <w:szCs w:val="21"/>
          <w:highlight w:val="none"/>
        </w:rPr>
      </w:pPr>
      <w:r>
        <w:rPr>
          <w:rFonts w:ascii="宋体" w:hAnsi="宋体" w:cs="宋体"/>
          <w:b/>
          <w:color w:val="auto"/>
          <w:szCs w:val="21"/>
          <w:highlight w:val="none"/>
        </w:rPr>
        <w:t>32</w:t>
      </w:r>
      <w:r>
        <w:rPr>
          <w:rFonts w:hint="eastAsia" w:ascii="宋体" w:hAnsi="宋体" w:cs="宋体"/>
          <w:b/>
          <w:color w:val="auto"/>
          <w:szCs w:val="21"/>
          <w:highlight w:val="none"/>
        </w:rPr>
        <w:t>.其他内容</w:t>
      </w:r>
    </w:p>
    <w:p w14:paraId="595247AD">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.1代理服务收费标准详见“供应商须知前附表”，供应商为联合体的，可以由联合体中的一方或者多方共同交纳代理服务费。</w:t>
      </w:r>
    </w:p>
    <w:p w14:paraId="7EBE1B9C">
      <w:pPr>
        <w:tabs>
          <w:tab w:val="left" w:pos="2835"/>
        </w:tabs>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5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842"/>
        <w:gridCol w:w="1843"/>
        <w:gridCol w:w="1843"/>
      </w:tblGrid>
      <w:tr w14:paraId="411C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62B1727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2A5BB8A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842" w:type="dxa"/>
            <w:noWrap w:val="0"/>
            <w:vAlign w:val="center"/>
          </w:tcPr>
          <w:p w14:paraId="49670453">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843" w:type="dxa"/>
            <w:noWrap w:val="0"/>
            <w:vAlign w:val="center"/>
          </w:tcPr>
          <w:p w14:paraId="10E4D33D">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843" w:type="dxa"/>
            <w:noWrap w:val="0"/>
            <w:vAlign w:val="center"/>
          </w:tcPr>
          <w:p w14:paraId="32BCF148">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5771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A3D200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842" w:type="dxa"/>
            <w:noWrap w:val="0"/>
            <w:vAlign w:val="top"/>
          </w:tcPr>
          <w:p w14:paraId="229D87D2">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 xml:space="preserve">1.5%                </w:t>
            </w:r>
          </w:p>
        </w:tc>
        <w:tc>
          <w:tcPr>
            <w:tcW w:w="1843" w:type="dxa"/>
            <w:noWrap w:val="0"/>
            <w:vAlign w:val="top"/>
          </w:tcPr>
          <w:p w14:paraId="30634C79">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843" w:type="dxa"/>
            <w:noWrap w:val="0"/>
            <w:vAlign w:val="top"/>
          </w:tcPr>
          <w:p w14:paraId="326441E3">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 xml:space="preserve">1.0% </w:t>
            </w:r>
          </w:p>
        </w:tc>
      </w:tr>
      <w:tr w14:paraId="064C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DF5D2E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842" w:type="dxa"/>
            <w:noWrap w:val="0"/>
            <w:vAlign w:val="top"/>
          </w:tcPr>
          <w:p w14:paraId="24CC4A53">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843" w:type="dxa"/>
            <w:noWrap w:val="0"/>
            <w:vAlign w:val="top"/>
          </w:tcPr>
          <w:p w14:paraId="0A5378BC">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1843" w:type="dxa"/>
            <w:noWrap w:val="0"/>
            <w:vAlign w:val="top"/>
          </w:tcPr>
          <w:p w14:paraId="39B8BC42">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 xml:space="preserve">0.7% </w:t>
            </w:r>
          </w:p>
        </w:tc>
      </w:tr>
      <w:tr w14:paraId="77ED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CC63AC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842" w:type="dxa"/>
            <w:noWrap w:val="0"/>
            <w:vAlign w:val="top"/>
          </w:tcPr>
          <w:p w14:paraId="1B49E2EF">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 xml:space="preserve">0.8%                </w:t>
            </w:r>
          </w:p>
        </w:tc>
        <w:tc>
          <w:tcPr>
            <w:tcW w:w="1843" w:type="dxa"/>
            <w:noWrap w:val="0"/>
            <w:vAlign w:val="top"/>
          </w:tcPr>
          <w:p w14:paraId="739B3254">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0.45%</w:t>
            </w:r>
          </w:p>
        </w:tc>
        <w:tc>
          <w:tcPr>
            <w:tcW w:w="1843" w:type="dxa"/>
            <w:noWrap w:val="0"/>
            <w:vAlign w:val="top"/>
          </w:tcPr>
          <w:p w14:paraId="1ACF799F">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0.55%</w:t>
            </w:r>
          </w:p>
        </w:tc>
      </w:tr>
      <w:tr w14:paraId="49FC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45399CB2">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842" w:type="dxa"/>
            <w:noWrap w:val="0"/>
            <w:vAlign w:val="top"/>
          </w:tcPr>
          <w:p w14:paraId="1D94BB61">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0.5%</w:t>
            </w:r>
          </w:p>
        </w:tc>
        <w:tc>
          <w:tcPr>
            <w:tcW w:w="1843" w:type="dxa"/>
            <w:noWrap w:val="0"/>
            <w:vAlign w:val="top"/>
          </w:tcPr>
          <w:p w14:paraId="7A20A51D">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0.25%</w:t>
            </w:r>
          </w:p>
        </w:tc>
        <w:tc>
          <w:tcPr>
            <w:tcW w:w="1843" w:type="dxa"/>
            <w:noWrap w:val="0"/>
            <w:vAlign w:val="top"/>
          </w:tcPr>
          <w:p w14:paraId="57EF5AEF">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 xml:space="preserve">0.35% </w:t>
            </w:r>
          </w:p>
        </w:tc>
      </w:tr>
      <w:tr w14:paraId="2E37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FDD313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842" w:type="dxa"/>
            <w:noWrap w:val="0"/>
            <w:vAlign w:val="top"/>
          </w:tcPr>
          <w:p w14:paraId="01006EC2">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0.25%</w:t>
            </w:r>
          </w:p>
        </w:tc>
        <w:tc>
          <w:tcPr>
            <w:tcW w:w="1843" w:type="dxa"/>
            <w:noWrap w:val="0"/>
            <w:vAlign w:val="top"/>
          </w:tcPr>
          <w:p w14:paraId="6645C869">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0.1%</w:t>
            </w:r>
          </w:p>
        </w:tc>
        <w:tc>
          <w:tcPr>
            <w:tcW w:w="1843" w:type="dxa"/>
            <w:noWrap w:val="0"/>
            <w:vAlign w:val="top"/>
          </w:tcPr>
          <w:p w14:paraId="7F86419F">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0.2%</w:t>
            </w:r>
          </w:p>
        </w:tc>
      </w:tr>
      <w:tr w14:paraId="29BD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92D32E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842" w:type="dxa"/>
            <w:noWrap w:val="0"/>
            <w:vAlign w:val="top"/>
          </w:tcPr>
          <w:p w14:paraId="23C91CA5">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0.05%</w:t>
            </w:r>
          </w:p>
        </w:tc>
        <w:tc>
          <w:tcPr>
            <w:tcW w:w="1843" w:type="dxa"/>
            <w:noWrap w:val="0"/>
            <w:vAlign w:val="top"/>
          </w:tcPr>
          <w:p w14:paraId="4D505C43">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0.05%</w:t>
            </w:r>
          </w:p>
        </w:tc>
        <w:tc>
          <w:tcPr>
            <w:tcW w:w="1843" w:type="dxa"/>
            <w:noWrap w:val="0"/>
            <w:vAlign w:val="top"/>
          </w:tcPr>
          <w:p w14:paraId="305EE6FD">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0.05%</w:t>
            </w:r>
          </w:p>
        </w:tc>
      </w:tr>
      <w:tr w14:paraId="67F0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1F16E1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842" w:type="dxa"/>
            <w:noWrap w:val="0"/>
            <w:vAlign w:val="top"/>
          </w:tcPr>
          <w:p w14:paraId="4E718A4A">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843" w:type="dxa"/>
            <w:noWrap w:val="0"/>
            <w:vAlign w:val="top"/>
          </w:tcPr>
          <w:p w14:paraId="4D854561">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843" w:type="dxa"/>
            <w:noWrap w:val="0"/>
            <w:vAlign w:val="top"/>
          </w:tcPr>
          <w:p w14:paraId="52B66D76">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0.035%</w:t>
            </w:r>
          </w:p>
        </w:tc>
      </w:tr>
      <w:tr w14:paraId="4A1F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D3AE38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842" w:type="dxa"/>
            <w:noWrap w:val="0"/>
            <w:vAlign w:val="top"/>
          </w:tcPr>
          <w:p w14:paraId="3C52C989">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843" w:type="dxa"/>
            <w:noWrap w:val="0"/>
            <w:vAlign w:val="top"/>
          </w:tcPr>
          <w:p w14:paraId="19FF3D87">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843" w:type="dxa"/>
            <w:noWrap w:val="0"/>
            <w:vAlign w:val="top"/>
          </w:tcPr>
          <w:p w14:paraId="37EF4283">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0.008%</w:t>
            </w:r>
          </w:p>
        </w:tc>
      </w:tr>
      <w:tr w14:paraId="5227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554049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842" w:type="dxa"/>
            <w:noWrap w:val="0"/>
            <w:vAlign w:val="top"/>
          </w:tcPr>
          <w:p w14:paraId="6DF392E8">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843" w:type="dxa"/>
            <w:noWrap w:val="0"/>
            <w:vAlign w:val="top"/>
          </w:tcPr>
          <w:p w14:paraId="089D45DC">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843" w:type="dxa"/>
            <w:noWrap w:val="0"/>
            <w:vAlign w:val="top"/>
          </w:tcPr>
          <w:p w14:paraId="3A0C9C23">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0.006%</w:t>
            </w:r>
          </w:p>
        </w:tc>
      </w:tr>
      <w:tr w14:paraId="138E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743134C">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842" w:type="dxa"/>
            <w:noWrap w:val="0"/>
            <w:vAlign w:val="top"/>
          </w:tcPr>
          <w:p w14:paraId="4B7FBC84">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843" w:type="dxa"/>
            <w:noWrap w:val="0"/>
            <w:vAlign w:val="top"/>
          </w:tcPr>
          <w:p w14:paraId="0B0BC76F">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843" w:type="dxa"/>
            <w:noWrap w:val="0"/>
            <w:vAlign w:val="top"/>
          </w:tcPr>
          <w:p w14:paraId="5DD859C5">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1CE4E6FB">
      <w:pPr>
        <w:spacing w:line="360" w:lineRule="auto"/>
        <w:ind w:firstLine="420"/>
        <w:rPr>
          <w:rFonts w:ascii="宋体" w:hAnsi="宋体" w:cs="宋体"/>
          <w:color w:val="auto"/>
          <w:highlight w:val="none"/>
        </w:rPr>
      </w:pPr>
      <w:r>
        <w:rPr>
          <w:rFonts w:ascii="宋体" w:hAnsi="宋体" w:cs="宋体"/>
          <w:color w:val="auto"/>
          <w:highlight w:val="none"/>
        </w:rPr>
        <w:t>注：</w:t>
      </w:r>
    </w:p>
    <w:p w14:paraId="27EAA4B9">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按本表费率计算的收费为</w:t>
      </w:r>
      <w:r>
        <w:rPr>
          <w:rFonts w:hint="eastAsia" w:ascii="宋体" w:hAnsi="宋体" w:cs="宋体"/>
          <w:color w:val="auto"/>
          <w:szCs w:val="21"/>
          <w:highlight w:val="none"/>
        </w:rPr>
        <w:t>采购</w:t>
      </w:r>
      <w:r>
        <w:rPr>
          <w:rFonts w:ascii="宋体" w:hAnsi="宋体" w:cs="宋体"/>
          <w:color w:val="auto"/>
          <w:szCs w:val="21"/>
          <w:highlight w:val="none"/>
        </w:rPr>
        <w:t>代理的收费基准价格</w:t>
      </w:r>
      <w:r>
        <w:rPr>
          <w:rFonts w:hint="eastAsia" w:ascii="宋体" w:hAnsi="宋体" w:cs="宋体"/>
          <w:color w:val="auto"/>
          <w:szCs w:val="21"/>
          <w:highlight w:val="none"/>
        </w:rPr>
        <w:t>；</w:t>
      </w:r>
    </w:p>
    <w:p w14:paraId="3B94E33E">
      <w:pPr>
        <w:tabs>
          <w:tab w:val="left" w:pos="2835"/>
        </w:tabs>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（2）采购</w:t>
      </w:r>
      <w:r>
        <w:rPr>
          <w:rFonts w:ascii="宋体" w:hAnsi="宋体" w:cs="宋体"/>
          <w:color w:val="auto"/>
          <w:szCs w:val="21"/>
          <w:highlight w:val="none"/>
        </w:rPr>
        <w:t>代理收费按差额定率累进法计算。</w:t>
      </w:r>
    </w:p>
    <w:p w14:paraId="38375C3F">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例如：某</w:t>
      </w:r>
      <w:r>
        <w:rPr>
          <w:rFonts w:hint="eastAsia" w:ascii="宋体" w:hAnsi="宋体" w:cs="宋体"/>
          <w:color w:val="auto"/>
          <w:szCs w:val="21"/>
          <w:highlight w:val="none"/>
        </w:rPr>
        <w:t>服务采购</w:t>
      </w:r>
      <w:r>
        <w:rPr>
          <w:rFonts w:ascii="宋体" w:hAnsi="宋体" w:cs="宋体"/>
          <w:color w:val="auto"/>
          <w:szCs w:val="21"/>
          <w:highlight w:val="none"/>
        </w:rPr>
        <w:t>代理业务</w:t>
      </w:r>
      <w:r>
        <w:rPr>
          <w:rFonts w:hint="eastAsia" w:ascii="宋体" w:hAnsi="宋体" w:cs="宋体"/>
          <w:color w:val="auto"/>
          <w:szCs w:val="21"/>
          <w:highlight w:val="none"/>
        </w:rPr>
        <w:t>成交</w:t>
      </w:r>
      <w:r>
        <w:rPr>
          <w:rFonts w:ascii="宋体" w:hAnsi="宋体" w:cs="宋体"/>
          <w:color w:val="auto"/>
          <w:szCs w:val="21"/>
          <w:highlight w:val="none"/>
        </w:rPr>
        <w:t>金额</w:t>
      </w:r>
      <w:r>
        <w:rPr>
          <w:rFonts w:hint="eastAsia" w:ascii="宋体" w:hAnsi="宋体" w:cs="宋体"/>
          <w:color w:val="auto"/>
          <w:szCs w:val="21"/>
          <w:highlight w:val="none"/>
        </w:rPr>
        <w:t>或者暂定价</w:t>
      </w:r>
      <w:r>
        <w:rPr>
          <w:rFonts w:ascii="宋体" w:hAnsi="宋体" w:cs="宋体"/>
          <w:color w:val="auto"/>
          <w:szCs w:val="21"/>
          <w:highlight w:val="none"/>
        </w:rPr>
        <w:t>为</w:t>
      </w:r>
      <w:r>
        <w:rPr>
          <w:rFonts w:hint="eastAsia" w:ascii="宋体" w:hAnsi="宋体" w:cs="宋体"/>
          <w:color w:val="auto"/>
          <w:szCs w:val="21"/>
          <w:highlight w:val="none"/>
        </w:rPr>
        <w:t>200</w:t>
      </w:r>
      <w:r>
        <w:rPr>
          <w:rFonts w:ascii="宋体" w:hAnsi="宋体" w:cs="宋体"/>
          <w:color w:val="auto"/>
          <w:szCs w:val="21"/>
          <w:highlight w:val="none"/>
        </w:rPr>
        <w:t>万元，计算</w:t>
      </w:r>
      <w:r>
        <w:rPr>
          <w:rFonts w:hint="eastAsia" w:ascii="宋体" w:hAnsi="宋体" w:cs="宋体"/>
          <w:color w:val="auto"/>
          <w:szCs w:val="21"/>
          <w:highlight w:val="none"/>
        </w:rPr>
        <w:t>采购</w:t>
      </w:r>
      <w:r>
        <w:rPr>
          <w:rFonts w:ascii="宋体" w:hAnsi="宋体" w:cs="宋体"/>
          <w:color w:val="auto"/>
          <w:szCs w:val="21"/>
          <w:highlight w:val="none"/>
        </w:rPr>
        <w:t>代理收费额如下：</w:t>
      </w:r>
    </w:p>
    <w:p w14:paraId="4D401255">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100万元×l.5%＝1.5万元</w:t>
      </w:r>
    </w:p>
    <w:p w14:paraId="72EAB069">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200</w:t>
      </w:r>
      <w:r>
        <w:rPr>
          <w:rFonts w:ascii="宋体" w:hAnsi="宋体" w:cs="宋体"/>
          <w:color w:val="auto"/>
          <w:szCs w:val="21"/>
          <w:highlight w:val="none"/>
        </w:rPr>
        <w:t>－100）万元×0.8%＝0.</w:t>
      </w:r>
      <w:r>
        <w:rPr>
          <w:rFonts w:hint="eastAsia" w:ascii="宋体" w:hAnsi="宋体" w:cs="宋体"/>
          <w:color w:val="auto"/>
          <w:szCs w:val="21"/>
          <w:highlight w:val="none"/>
        </w:rPr>
        <w:t>8</w:t>
      </w:r>
      <w:r>
        <w:rPr>
          <w:rFonts w:ascii="宋体" w:hAnsi="宋体" w:cs="宋体"/>
          <w:color w:val="auto"/>
          <w:szCs w:val="21"/>
          <w:highlight w:val="none"/>
        </w:rPr>
        <w:t>万元</w:t>
      </w:r>
    </w:p>
    <w:p w14:paraId="2F24BE8C">
      <w:pPr>
        <w:tabs>
          <w:tab w:val="left" w:pos="2835"/>
        </w:tabs>
        <w:spacing w:line="360" w:lineRule="auto"/>
        <w:ind w:firstLine="420"/>
        <w:rPr>
          <w:rFonts w:ascii="宋体" w:hAnsi="宋体" w:cs="宋体"/>
          <w:color w:val="auto"/>
          <w:szCs w:val="21"/>
          <w:highlight w:val="none"/>
        </w:rPr>
      </w:pPr>
      <w:r>
        <w:rPr>
          <w:rFonts w:ascii="宋体" w:hAnsi="宋体" w:cs="宋体"/>
          <w:color w:val="auto"/>
          <w:szCs w:val="21"/>
          <w:highlight w:val="none"/>
        </w:rPr>
        <w:t>合计收费＝1.5＋0.</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2.3</w:t>
      </w:r>
      <w:r>
        <w:rPr>
          <w:rFonts w:ascii="宋体" w:hAnsi="宋体" w:cs="宋体"/>
          <w:color w:val="auto"/>
          <w:szCs w:val="21"/>
          <w:highlight w:val="none"/>
        </w:rPr>
        <w:t>万元</w:t>
      </w:r>
    </w:p>
    <w:p w14:paraId="2D8C0F88">
      <w:pPr>
        <w:spacing w:line="360" w:lineRule="auto"/>
        <w:ind w:firstLine="422"/>
        <w:rPr>
          <w:rFonts w:hint="eastAsia" w:ascii="宋体" w:hAnsi="宋体" w:cs="宋体"/>
          <w:b/>
          <w:color w:val="auto"/>
          <w:szCs w:val="21"/>
          <w:highlight w:val="none"/>
        </w:rPr>
      </w:pPr>
      <w:r>
        <w:rPr>
          <w:rFonts w:hint="eastAsia" w:ascii="宋体" w:hAnsi="宋体" w:cs="宋体"/>
          <w:b/>
          <w:color w:val="auto"/>
          <w:szCs w:val="21"/>
          <w:highlight w:val="none"/>
        </w:rPr>
        <w:t>3</w:t>
      </w:r>
      <w:r>
        <w:rPr>
          <w:rFonts w:ascii="宋体" w:hAnsi="宋体" w:cs="宋体"/>
          <w:b/>
          <w:color w:val="auto"/>
          <w:szCs w:val="21"/>
          <w:highlight w:val="none"/>
        </w:rPr>
        <w:t>3.需要补充的其他内容</w:t>
      </w:r>
    </w:p>
    <w:p w14:paraId="0007353C">
      <w:pPr>
        <w:pStyle w:val="26"/>
        <w:spacing w:line="360" w:lineRule="auto"/>
        <w:ind w:firstLine="42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本竞争性磋商文件解释规则详见“供应商须知前附表”。</w:t>
      </w:r>
    </w:p>
    <w:p w14:paraId="34B79CB9">
      <w:pPr>
        <w:pStyle w:val="26"/>
        <w:spacing w:line="360" w:lineRule="auto"/>
        <w:ind w:firstLine="42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其他事项详见“供应商须知前附表”。</w:t>
      </w:r>
    </w:p>
    <w:p w14:paraId="58C645A9">
      <w:pPr>
        <w:pStyle w:val="26"/>
        <w:spacing w:line="360" w:lineRule="auto"/>
        <w:ind w:firstLine="42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5E31EECC">
      <w:pPr>
        <w:pStyle w:val="26"/>
        <w:spacing w:line="360" w:lineRule="auto"/>
        <w:ind w:firstLine="42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566C6BA">
      <w:pPr>
        <w:pStyle w:val="26"/>
        <w:spacing w:line="360" w:lineRule="auto"/>
        <w:ind w:firstLine="42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36081150">
      <w:pPr>
        <w:pStyle w:val="26"/>
        <w:spacing w:line="360" w:lineRule="auto"/>
        <w:ind w:firstLine="42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67E85BE0">
      <w:pPr>
        <w:pStyle w:val="26"/>
        <w:spacing w:line="360" w:lineRule="auto"/>
        <w:ind w:firstLine="42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C729ED1">
      <w:pPr>
        <w:tabs>
          <w:tab w:val="left" w:pos="2835"/>
        </w:tabs>
        <w:spacing w:line="480" w:lineRule="exact"/>
        <w:ind w:firstLine="422" w:firstLineChars="201"/>
        <w:rPr>
          <w:rFonts w:hint="eastAsia" w:hAnsi="宋体" w:cs="宋体"/>
          <w:color w:val="auto"/>
          <w:highlight w:val="none"/>
        </w:rPr>
      </w:pPr>
      <w:r>
        <w:rPr>
          <w:rFonts w:hint="eastAsia" w:hAnsi="宋体" w:cs="宋体"/>
          <w:color w:val="auto"/>
          <w:highlight w:val="none"/>
        </w:rPr>
        <w:t>依据本文件规定享受扶持政策获得政府采购合同的，小微企业不得将合同分包给大中型企业，中型企业不得将合同分包给大型企业。</w:t>
      </w:r>
    </w:p>
    <w:p w14:paraId="2CCF6E69">
      <w:pPr>
        <w:tabs>
          <w:tab w:val="left" w:pos="2835"/>
        </w:tabs>
        <w:spacing w:line="480" w:lineRule="exact"/>
        <w:ind w:firstLine="422" w:firstLineChars="201"/>
        <w:rPr>
          <w:rFonts w:hint="eastAsia" w:hAnsi="宋体" w:cs="宋体"/>
          <w:b/>
          <w:color w:val="auto"/>
          <w:highlight w:val="none"/>
        </w:rPr>
      </w:pPr>
      <w:r>
        <w:rPr>
          <w:rFonts w:hint="eastAsia" w:hAnsi="宋体" w:cs="宋体"/>
          <w:b/>
          <w:color w:val="auto"/>
          <w:highlight w:val="none"/>
        </w:rPr>
        <w:t>34.验收</w:t>
      </w:r>
    </w:p>
    <w:p w14:paraId="04897F34">
      <w:pPr>
        <w:tabs>
          <w:tab w:val="left" w:pos="2835"/>
        </w:tabs>
        <w:spacing w:line="480" w:lineRule="exact"/>
        <w:ind w:firstLine="422" w:firstLineChars="201"/>
        <w:rPr>
          <w:rFonts w:hint="eastAsia" w:hAnsi="宋体" w:cs="宋体"/>
          <w:color w:val="auto"/>
          <w:highlight w:val="none"/>
        </w:rPr>
      </w:pPr>
      <w:r>
        <w:rPr>
          <w:rFonts w:hint="eastAsia" w:hAnsi="宋体" w:cs="宋体"/>
          <w:color w:val="auto"/>
          <w:highlight w:val="none"/>
        </w:rPr>
        <w:t>34.1采购人组织对供应商履约的验收，采购代理机构应协助采购人开展验收工作。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2045C9">
      <w:pPr>
        <w:tabs>
          <w:tab w:val="left" w:pos="2835"/>
        </w:tabs>
        <w:spacing w:line="480" w:lineRule="exact"/>
        <w:ind w:firstLine="422" w:firstLineChars="201"/>
        <w:rPr>
          <w:rFonts w:hint="eastAsia" w:hAnsi="宋体" w:cs="宋体"/>
          <w:color w:val="auto"/>
          <w:highlight w:val="none"/>
        </w:rPr>
      </w:pPr>
      <w:r>
        <w:rPr>
          <w:rFonts w:hint="eastAsia" w:hAnsi="宋体" w:cs="宋体"/>
          <w:color w:val="auto"/>
          <w:highlight w:val="none"/>
        </w:rPr>
        <w:t>34.2采购人可以邀请参加本项目的其他供应商或者第三方机构参与验收。参与验收的供应商或者第三方机构的意见作为验收书的参考资料一并存档。</w:t>
      </w:r>
    </w:p>
    <w:p w14:paraId="1ECBBE56">
      <w:pPr>
        <w:tabs>
          <w:tab w:val="left" w:pos="2835"/>
        </w:tabs>
        <w:spacing w:line="480" w:lineRule="exact"/>
        <w:ind w:firstLine="422" w:firstLineChars="201"/>
        <w:rPr>
          <w:rFonts w:hint="eastAsia" w:hAnsi="宋体" w:cs="宋体"/>
          <w:color w:val="auto"/>
          <w:highlight w:val="none"/>
        </w:rPr>
      </w:pPr>
      <w:r>
        <w:rPr>
          <w:rFonts w:hint="eastAsia" w:hAnsi="宋体" w:cs="宋体"/>
          <w:color w:val="auto"/>
          <w:highlight w:val="none"/>
        </w:rPr>
        <w:t>34.3严格按照采购合同开展履约验收。采购人成立验收小组，按照采购合同的约定对供应商履约情况进行验收。验收时，按照采购合同的约定对每一项技术、货物、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39A529">
      <w:pPr>
        <w:tabs>
          <w:tab w:val="left" w:pos="2835"/>
        </w:tabs>
        <w:spacing w:line="480" w:lineRule="exact"/>
        <w:ind w:firstLine="422" w:firstLineChars="201"/>
        <w:rPr>
          <w:rFonts w:hint="eastAsia" w:hAnsi="宋体" w:cs="宋体"/>
          <w:color w:val="auto"/>
          <w:highlight w:val="none"/>
        </w:rPr>
      </w:pPr>
      <w:r>
        <w:rPr>
          <w:rFonts w:hint="eastAsia" w:hAnsi="宋体" w:cs="宋体"/>
          <w:color w:val="auto"/>
          <w:highlight w:val="none"/>
        </w:rPr>
        <w:t>34.4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03549BD">
      <w:pPr>
        <w:tabs>
          <w:tab w:val="left" w:pos="2835"/>
        </w:tabs>
        <w:spacing w:line="480" w:lineRule="exact"/>
        <w:ind w:firstLine="422" w:firstLineChars="201"/>
        <w:rPr>
          <w:rFonts w:hint="eastAsia" w:hAnsi="宋体" w:eastAsia="宋体" w:cs="宋体"/>
          <w:color w:val="auto"/>
          <w:highlight w:val="none"/>
          <w:lang w:eastAsia="zh-CN"/>
        </w:rPr>
      </w:pPr>
      <w:r>
        <w:rPr>
          <w:rFonts w:hint="eastAsia" w:hAnsi="宋体" w:cs="宋体"/>
          <w:color w:val="auto"/>
          <w:highlight w:val="none"/>
        </w:rPr>
        <w:t>34.5项目验收合格，成交供应商将壹份《广西壮族自治区政府采购项目合同验收书》（格式详见附件）送采购代理机构存档。</w:t>
      </w:r>
    </w:p>
    <w:p w14:paraId="5AF81E94">
      <w:pPr>
        <w:tabs>
          <w:tab w:val="left" w:pos="2835"/>
        </w:tabs>
        <w:spacing w:line="480" w:lineRule="exact"/>
        <w:ind w:firstLine="422" w:firstLineChars="201"/>
        <w:rPr>
          <w:rFonts w:hAnsi="宋体" w:cs="宋体"/>
          <w:color w:val="auto"/>
          <w:highlight w:val="none"/>
        </w:rPr>
      </w:pPr>
    </w:p>
    <w:p w14:paraId="32D5B546">
      <w:pPr>
        <w:tabs>
          <w:tab w:val="left" w:pos="2835"/>
        </w:tabs>
        <w:ind w:firstLine="0" w:firstLineChars="0"/>
        <w:rPr>
          <w:rFonts w:hint="eastAsia" w:ascii="宋体" w:hAnsi="宋体" w:cs="宋体"/>
          <w:b/>
          <w:color w:val="auto"/>
          <w:highlight w:val="none"/>
        </w:rPr>
      </w:pPr>
      <w:r>
        <w:rPr>
          <w:rFonts w:ascii="宋体" w:hAnsi="宋体" w:cs="宋体"/>
          <w:b/>
          <w:color w:val="auto"/>
          <w:highlight w:val="none"/>
        </w:rPr>
        <w:br w:type="page"/>
      </w:r>
      <w:r>
        <w:rPr>
          <w:rFonts w:hint="eastAsia" w:ascii="宋体" w:hAnsi="宋体" w:cs="宋体"/>
          <w:b/>
          <w:color w:val="auto"/>
          <w:highlight w:val="none"/>
        </w:rPr>
        <w:t>附件1</w:t>
      </w:r>
    </w:p>
    <w:p w14:paraId="2B923B90">
      <w:pPr>
        <w:pStyle w:val="26"/>
        <w:snapToGrid w:val="0"/>
        <w:spacing w:line="360" w:lineRule="auto"/>
        <w:ind w:firstLine="0" w:firstLineChars="0"/>
        <w:jc w:val="center"/>
        <w:rPr>
          <w:rFonts w:hint="eastAsia" w:hAnsi="宋体" w:cs="宋体"/>
          <w:color w:val="auto"/>
          <w:sz w:val="36"/>
          <w:szCs w:val="36"/>
          <w:highlight w:val="none"/>
        </w:rPr>
      </w:pPr>
      <w:r>
        <w:rPr>
          <w:rFonts w:hint="eastAsia" w:hAnsi="宋体" w:cs="宋体"/>
          <w:b/>
          <w:color w:val="auto"/>
          <w:sz w:val="36"/>
          <w:szCs w:val="36"/>
          <w:highlight w:val="none"/>
        </w:rPr>
        <w:t>广西壮族自治区政府采购项目合同验收书</w:t>
      </w:r>
      <w:r>
        <w:rPr>
          <w:rFonts w:hint="eastAsia" w:hAnsi="宋体" w:cs="宋体"/>
          <w:color w:val="auto"/>
          <w:sz w:val="36"/>
          <w:szCs w:val="36"/>
          <w:highlight w:val="none"/>
        </w:rPr>
        <w:t>（格式）</w:t>
      </w:r>
    </w:p>
    <w:p w14:paraId="3BCA7C05">
      <w:pPr>
        <w:widowControl/>
        <w:shd w:val="clear" w:color="auto" w:fill="FFFFFF"/>
        <w:snapToGrid w:val="0"/>
        <w:spacing w:line="360" w:lineRule="auto"/>
        <w:ind w:firstLine="424" w:firstLineChars="20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项目名称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 政府采购项目</w:t>
      </w:r>
      <w:r>
        <w:rPr>
          <w:rFonts w:hint="eastAsia" w:ascii="宋体" w:hAnsi="宋体" w:cs="宋体"/>
          <w:color w:val="auto"/>
          <w:kern w:val="0"/>
          <w:szCs w:val="21"/>
          <w:highlight w:val="none"/>
        </w:rPr>
        <w:t>中标（或成交）供应商（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提供的货物（或工程、服务）进行了验收，验收情况如下：</w:t>
      </w:r>
    </w:p>
    <w:tbl>
      <w:tblPr>
        <w:tblStyle w:val="51"/>
        <w:tblW w:w="9639" w:type="dxa"/>
        <w:jc w:val="center"/>
        <w:tblLayout w:type="fixed"/>
        <w:tblCellMar>
          <w:top w:w="0" w:type="dxa"/>
          <w:left w:w="0" w:type="dxa"/>
          <w:bottom w:w="0" w:type="dxa"/>
          <w:right w:w="0" w:type="dxa"/>
        </w:tblCellMar>
      </w:tblPr>
      <w:tblGrid>
        <w:gridCol w:w="1519"/>
        <w:gridCol w:w="2193"/>
        <w:gridCol w:w="911"/>
        <w:gridCol w:w="116"/>
        <w:gridCol w:w="2285"/>
        <w:gridCol w:w="203"/>
        <w:gridCol w:w="782"/>
        <w:gridCol w:w="1630"/>
      </w:tblGrid>
      <w:tr w14:paraId="2B0A7E08">
        <w:tblPrEx>
          <w:tblCellMar>
            <w:top w:w="0" w:type="dxa"/>
            <w:left w:w="0" w:type="dxa"/>
            <w:bottom w:w="0" w:type="dxa"/>
            <w:right w:w="0" w:type="dxa"/>
          </w:tblCellMar>
        </w:tblPrEx>
        <w:trPr>
          <w:trHeight w:val="497" w:hRule="atLeast"/>
          <w:jc w:val="center"/>
        </w:trPr>
        <w:tc>
          <w:tcPr>
            <w:tcW w:w="3712" w:type="dxa"/>
            <w:gridSpan w:val="2"/>
            <w:tcBorders>
              <w:top w:val="single" w:color="auto" w:sz="8" w:space="0"/>
              <w:left w:val="single" w:color="auto" w:sz="8" w:space="0"/>
              <w:bottom w:val="single" w:color="auto" w:sz="8" w:space="0"/>
              <w:right w:val="single" w:color="auto" w:sz="8" w:space="0"/>
            </w:tcBorders>
            <w:noWrap w:val="0"/>
            <w:vAlign w:val="center"/>
          </w:tcPr>
          <w:p w14:paraId="031C986D">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927" w:type="dxa"/>
            <w:gridSpan w:val="6"/>
            <w:tcBorders>
              <w:top w:val="single" w:color="auto" w:sz="8" w:space="0"/>
              <w:left w:val="nil"/>
              <w:bottom w:val="single" w:color="auto" w:sz="8" w:space="0"/>
              <w:right w:val="single" w:color="auto" w:sz="8" w:space="0"/>
            </w:tcBorders>
            <w:noWrap w:val="0"/>
            <w:vAlign w:val="center"/>
          </w:tcPr>
          <w:p w14:paraId="6D6A5111">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639CE3B0">
        <w:tblPrEx>
          <w:tblCellMar>
            <w:top w:w="0" w:type="dxa"/>
            <w:left w:w="0" w:type="dxa"/>
            <w:bottom w:w="0" w:type="dxa"/>
            <w:right w:w="0" w:type="dxa"/>
          </w:tblCellMar>
        </w:tblPrEx>
        <w:trPr>
          <w:trHeight w:val="622" w:hRule="atLeast"/>
          <w:jc w:val="center"/>
        </w:trPr>
        <w:tc>
          <w:tcPr>
            <w:tcW w:w="1519" w:type="dxa"/>
            <w:tcBorders>
              <w:top w:val="nil"/>
              <w:left w:val="single" w:color="auto" w:sz="8" w:space="0"/>
              <w:bottom w:val="single" w:color="auto" w:sz="8" w:space="0"/>
              <w:right w:val="single" w:color="auto" w:sz="8" w:space="0"/>
            </w:tcBorders>
            <w:noWrap w:val="0"/>
            <w:vAlign w:val="center"/>
          </w:tcPr>
          <w:p w14:paraId="7D9148FA">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193" w:type="dxa"/>
            <w:tcBorders>
              <w:top w:val="nil"/>
              <w:left w:val="nil"/>
              <w:bottom w:val="single" w:color="auto" w:sz="8" w:space="0"/>
              <w:right w:val="single" w:color="auto" w:sz="8" w:space="0"/>
            </w:tcBorders>
            <w:noWrap w:val="0"/>
            <w:vAlign w:val="center"/>
          </w:tcPr>
          <w:p w14:paraId="08D5EE3A">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p>
        </w:tc>
        <w:tc>
          <w:tcPr>
            <w:tcW w:w="3312" w:type="dxa"/>
            <w:gridSpan w:val="3"/>
            <w:tcBorders>
              <w:top w:val="nil"/>
              <w:left w:val="nil"/>
              <w:bottom w:val="single" w:color="auto" w:sz="8" w:space="0"/>
              <w:right w:val="single" w:color="auto" w:sz="8" w:space="0"/>
            </w:tcBorders>
            <w:noWrap w:val="0"/>
            <w:vAlign w:val="center"/>
          </w:tcPr>
          <w:p w14:paraId="14B6EE80">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985" w:type="dxa"/>
            <w:gridSpan w:val="2"/>
            <w:tcBorders>
              <w:top w:val="nil"/>
              <w:left w:val="nil"/>
              <w:bottom w:val="single" w:color="auto" w:sz="8" w:space="0"/>
              <w:right w:val="single" w:color="auto" w:sz="8" w:space="0"/>
            </w:tcBorders>
            <w:noWrap w:val="0"/>
            <w:vAlign w:val="center"/>
          </w:tcPr>
          <w:p w14:paraId="1A46EF23">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630" w:type="dxa"/>
            <w:tcBorders>
              <w:top w:val="nil"/>
              <w:left w:val="nil"/>
              <w:bottom w:val="single" w:color="auto" w:sz="8" w:space="0"/>
              <w:right w:val="single" w:color="auto" w:sz="8" w:space="0"/>
            </w:tcBorders>
            <w:noWrap w:val="0"/>
            <w:vAlign w:val="center"/>
          </w:tcPr>
          <w:p w14:paraId="5FA64D6D">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6099ED44">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noWrap w:val="0"/>
            <w:vAlign w:val="center"/>
          </w:tcPr>
          <w:p w14:paraId="4B464421">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noWrap w:val="0"/>
            <w:vAlign w:val="center"/>
          </w:tcPr>
          <w:p w14:paraId="49C92996">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noWrap w:val="0"/>
            <w:vAlign w:val="center"/>
          </w:tcPr>
          <w:p w14:paraId="594FF9A8">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noWrap w:val="0"/>
            <w:vAlign w:val="center"/>
          </w:tcPr>
          <w:p w14:paraId="26EAF110">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noWrap w:val="0"/>
            <w:vAlign w:val="center"/>
          </w:tcPr>
          <w:p w14:paraId="002692A1">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11A3D4CE">
        <w:tblPrEx>
          <w:tblCellMar>
            <w:top w:w="0" w:type="dxa"/>
            <w:left w:w="0" w:type="dxa"/>
            <w:bottom w:w="0" w:type="dxa"/>
            <w:right w:w="0" w:type="dxa"/>
          </w:tblCellMar>
        </w:tblPrEx>
        <w:trPr>
          <w:trHeight w:val="487" w:hRule="atLeast"/>
          <w:jc w:val="center"/>
        </w:trPr>
        <w:tc>
          <w:tcPr>
            <w:tcW w:w="1519" w:type="dxa"/>
            <w:tcBorders>
              <w:top w:val="nil"/>
              <w:left w:val="single" w:color="auto" w:sz="8" w:space="0"/>
              <w:bottom w:val="single" w:color="auto" w:sz="8" w:space="0"/>
              <w:right w:val="single" w:color="auto" w:sz="8" w:space="0"/>
            </w:tcBorders>
            <w:noWrap w:val="0"/>
            <w:vAlign w:val="center"/>
          </w:tcPr>
          <w:p w14:paraId="5A1EB38A">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193" w:type="dxa"/>
            <w:tcBorders>
              <w:top w:val="nil"/>
              <w:left w:val="nil"/>
              <w:bottom w:val="single" w:color="auto" w:sz="8" w:space="0"/>
              <w:right w:val="single" w:color="auto" w:sz="8" w:space="0"/>
            </w:tcBorders>
            <w:noWrap w:val="0"/>
            <w:vAlign w:val="center"/>
          </w:tcPr>
          <w:p w14:paraId="03D5D5AA">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3312" w:type="dxa"/>
            <w:gridSpan w:val="3"/>
            <w:tcBorders>
              <w:top w:val="nil"/>
              <w:left w:val="nil"/>
              <w:bottom w:val="single" w:color="auto" w:sz="8" w:space="0"/>
              <w:right w:val="single" w:color="auto" w:sz="8" w:space="0"/>
            </w:tcBorders>
            <w:noWrap w:val="0"/>
            <w:vAlign w:val="center"/>
          </w:tcPr>
          <w:p w14:paraId="0D43BDCA">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985" w:type="dxa"/>
            <w:gridSpan w:val="2"/>
            <w:tcBorders>
              <w:top w:val="nil"/>
              <w:left w:val="nil"/>
              <w:bottom w:val="single" w:color="auto" w:sz="8" w:space="0"/>
              <w:right w:val="single" w:color="auto" w:sz="8" w:space="0"/>
            </w:tcBorders>
            <w:noWrap w:val="0"/>
            <w:vAlign w:val="center"/>
          </w:tcPr>
          <w:p w14:paraId="35CC8A71">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noWrap w:val="0"/>
            <w:vAlign w:val="center"/>
          </w:tcPr>
          <w:p w14:paraId="3861B3F9">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39939603">
        <w:tblPrEx>
          <w:tblCellMar>
            <w:top w:w="0" w:type="dxa"/>
            <w:left w:w="0" w:type="dxa"/>
            <w:bottom w:w="0" w:type="dxa"/>
            <w:right w:w="0" w:type="dxa"/>
          </w:tblCellMar>
        </w:tblPrEx>
        <w:trPr>
          <w:trHeight w:val="487" w:hRule="atLeast"/>
          <w:jc w:val="center"/>
        </w:trPr>
        <w:tc>
          <w:tcPr>
            <w:tcW w:w="7024" w:type="dxa"/>
            <w:gridSpan w:val="5"/>
            <w:tcBorders>
              <w:top w:val="nil"/>
              <w:left w:val="single" w:color="auto" w:sz="8" w:space="0"/>
              <w:bottom w:val="single" w:color="auto" w:sz="8" w:space="0"/>
              <w:right w:val="single" w:color="auto" w:sz="8" w:space="0"/>
            </w:tcBorders>
            <w:noWrap w:val="0"/>
            <w:vAlign w:val="center"/>
          </w:tcPr>
          <w:p w14:paraId="22F0701D">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合计</w:t>
            </w:r>
          </w:p>
        </w:tc>
        <w:tc>
          <w:tcPr>
            <w:tcW w:w="985" w:type="dxa"/>
            <w:gridSpan w:val="2"/>
            <w:tcBorders>
              <w:top w:val="nil"/>
              <w:left w:val="nil"/>
              <w:bottom w:val="single" w:color="auto" w:sz="8" w:space="0"/>
              <w:right w:val="single" w:color="auto" w:sz="8" w:space="0"/>
            </w:tcBorders>
            <w:noWrap w:val="0"/>
            <w:vAlign w:val="center"/>
          </w:tcPr>
          <w:p w14:paraId="2BB87525">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1630" w:type="dxa"/>
            <w:tcBorders>
              <w:top w:val="nil"/>
              <w:left w:val="nil"/>
              <w:bottom w:val="single" w:color="auto" w:sz="8" w:space="0"/>
              <w:right w:val="single" w:color="auto" w:sz="8" w:space="0"/>
            </w:tcBorders>
            <w:noWrap w:val="0"/>
            <w:vAlign w:val="center"/>
          </w:tcPr>
          <w:p w14:paraId="342F1B05">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0ED64F0F">
        <w:tblPrEx>
          <w:tblCellMar>
            <w:top w:w="0" w:type="dxa"/>
            <w:left w:w="0" w:type="dxa"/>
            <w:bottom w:w="0" w:type="dxa"/>
            <w:right w:w="0" w:type="dxa"/>
          </w:tblCellMar>
        </w:tblPrEx>
        <w:trPr>
          <w:trHeight w:val="641" w:hRule="atLeast"/>
          <w:jc w:val="center"/>
        </w:trPr>
        <w:tc>
          <w:tcPr>
            <w:tcW w:w="9639" w:type="dxa"/>
            <w:gridSpan w:val="8"/>
            <w:tcBorders>
              <w:top w:val="nil"/>
              <w:left w:val="single" w:color="auto" w:sz="8" w:space="0"/>
              <w:bottom w:val="single" w:color="auto" w:sz="8" w:space="0"/>
              <w:right w:val="single" w:color="auto" w:sz="8" w:space="0"/>
            </w:tcBorders>
            <w:noWrap w:val="0"/>
            <w:vAlign w:val="center"/>
          </w:tcPr>
          <w:p w14:paraId="193D2DA0">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25396652">
        <w:tblPrEx>
          <w:tblCellMar>
            <w:top w:w="0" w:type="dxa"/>
            <w:left w:w="0" w:type="dxa"/>
            <w:bottom w:w="0" w:type="dxa"/>
            <w:right w:w="0" w:type="dxa"/>
          </w:tblCellMar>
        </w:tblPrEx>
        <w:trPr>
          <w:trHeight w:val="641" w:hRule="atLeast"/>
          <w:jc w:val="center"/>
        </w:trPr>
        <w:tc>
          <w:tcPr>
            <w:tcW w:w="1519" w:type="dxa"/>
            <w:tcBorders>
              <w:top w:val="nil"/>
              <w:left w:val="single" w:color="auto" w:sz="8" w:space="0"/>
              <w:bottom w:val="single" w:color="auto" w:sz="8" w:space="0"/>
              <w:right w:val="single" w:color="auto" w:sz="8" w:space="0"/>
            </w:tcBorders>
            <w:noWrap w:val="0"/>
            <w:vAlign w:val="center"/>
          </w:tcPr>
          <w:p w14:paraId="5438946B">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104" w:type="dxa"/>
            <w:gridSpan w:val="2"/>
            <w:tcBorders>
              <w:top w:val="nil"/>
              <w:left w:val="nil"/>
              <w:bottom w:val="single" w:color="auto" w:sz="8" w:space="0"/>
              <w:right w:val="single" w:color="auto" w:sz="8" w:space="0"/>
            </w:tcBorders>
            <w:noWrap w:val="0"/>
            <w:vAlign w:val="center"/>
          </w:tcPr>
          <w:p w14:paraId="08DC2637">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noWrap w:val="0"/>
            <w:vAlign w:val="center"/>
          </w:tcPr>
          <w:p w14:paraId="2B42182B">
            <w:pPr>
              <w:widowControl/>
              <w:snapToGrid w:val="0"/>
              <w:spacing w:before="100" w:beforeAutospacing="1" w:after="100" w:afterAutospacing="1" w:line="360" w:lineRule="auto"/>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412" w:type="dxa"/>
            <w:gridSpan w:val="2"/>
            <w:tcBorders>
              <w:top w:val="nil"/>
              <w:left w:val="nil"/>
              <w:bottom w:val="single" w:color="auto" w:sz="8" w:space="0"/>
              <w:right w:val="single" w:color="auto" w:sz="8" w:space="0"/>
            </w:tcBorders>
            <w:noWrap w:val="0"/>
            <w:vAlign w:val="center"/>
          </w:tcPr>
          <w:p w14:paraId="0C230D5C">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31DBAB8A">
        <w:tblPrEx>
          <w:tblCellMar>
            <w:top w:w="0" w:type="dxa"/>
            <w:left w:w="0" w:type="dxa"/>
            <w:bottom w:w="0" w:type="dxa"/>
            <w:right w:w="0" w:type="dxa"/>
          </w:tblCellMar>
        </w:tblPrEx>
        <w:trPr>
          <w:trHeight w:val="394" w:hRule="atLeast"/>
          <w:jc w:val="center"/>
        </w:trPr>
        <w:tc>
          <w:tcPr>
            <w:tcW w:w="1519" w:type="dxa"/>
            <w:tcBorders>
              <w:top w:val="nil"/>
              <w:left w:val="single" w:color="auto" w:sz="8" w:space="0"/>
              <w:bottom w:val="single" w:color="auto" w:sz="8" w:space="0"/>
              <w:right w:val="single" w:color="auto" w:sz="8" w:space="0"/>
            </w:tcBorders>
            <w:noWrap w:val="0"/>
            <w:vAlign w:val="center"/>
          </w:tcPr>
          <w:p w14:paraId="4DC0FD5A">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3104" w:type="dxa"/>
            <w:gridSpan w:val="2"/>
            <w:tcBorders>
              <w:top w:val="nil"/>
              <w:left w:val="nil"/>
              <w:bottom w:val="single" w:color="auto" w:sz="8" w:space="0"/>
              <w:right w:val="single" w:color="auto" w:sz="8" w:space="0"/>
            </w:tcBorders>
            <w:noWrap w:val="0"/>
            <w:vAlign w:val="center"/>
          </w:tcPr>
          <w:p w14:paraId="79FCD9F5">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604" w:type="dxa"/>
            <w:gridSpan w:val="3"/>
            <w:tcBorders>
              <w:top w:val="nil"/>
              <w:left w:val="nil"/>
              <w:bottom w:val="single" w:color="auto" w:sz="8" w:space="0"/>
              <w:right w:val="single" w:color="auto" w:sz="8" w:space="0"/>
            </w:tcBorders>
            <w:noWrap w:val="0"/>
            <w:vAlign w:val="center"/>
          </w:tcPr>
          <w:p w14:paraId="1C2BB5DA">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c>
          <w:tcPr>
            <w:tcW w:w="2412" w:type="dxa"/>
            <w:gridSpan w:val="2"/>
            <w:tcBorders>
              <w:top w:val="nil"/>
              <w:left w:val="nil"/>
              <w:bottom w:val="single" w:color="auto" w:sz="8" w:space="0"/>
              <w:right w:val="single" w:color="auto" w:sz="8" w:space="0"/>
            </w:tcBorders>
            <w:noWrap w:val="0"/>
            <w:vAlign w:val="center"/>
          </w:tcPr>
          <w:p w14:paraId="1EDD15DA">
            <w:pPr>
              <w:widowControl/>
              <w:spacing w:before="100" w:beforeAutospacing="1" w:after="100" w:afterAutospacing="1" w:line="360" w:lineRule="auto"/>
              <w:ind w:firstLine="0" w:firstLineChars="0"/>
              <w:jc w:val="center"/>
              <w:rPr>
                <w:rFonts w:hint="eastAsia" w:ascii="宋体" w:hAnsi="宋体" w:cs="宋体"/>
                <w:color w:val="auto"/>
                <w:kern w:val="0"/>
                <w:szCs w:val="21"/>
                <w:highlight w:val="none"/>
              </w:rPr>
            </w:pPr>
          </w:p>
        </w:tc>
      </w:tr>
      <w:tr w14:paraId="0B384E37">
        <w:tblPrEx>
          <w:tblCellMar>
            <w:top w:w="0" w:type="dxa"/>
            <w:left w:w="0" w:type="dxa"/>
            <w:bottom w:w="0" w:type="dxa"/>
            <w:right w:w="0" w:type="dxa"/>
          </w:tblCellMar>
        </w:tblPrEx>
        <w:trPr>
          <w:trHeight w:val="693" w:hRule="atLeast"/>
          <w:jc w:val="center"/>
        </w:trPr>
        <w:tc>
          <w:tcPr>
            <w:tcW w:w="151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EAED7BA">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2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AABB41">
            <w:pPr>
              <w:widowControl/>
              <w:snapToGrid w:val="0"/>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竞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128F0391">
        <w:tblPrEx>
          <w:tblCellMar>
            <w:top w:w="0" w:type="dxa"/>
            <w:left w:w="0" w:type="dxa"/>
            <w:bottom w:w="0" w:type="dxa"/>
            <w:right w:w="0" w:type="dxa"/>
          </w:tblCellMar>
        </w:tblPrEx>
        <w:trPr>
          <w:trHeight w:val="1281" w:hRule="atLeast"/>
          <w:jc w:val="center"/>
        </w:trPr>
        <w:tc>
          <w:tcPr>
            <w:tcW w:w="151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D62D7F">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20" w:type="dxa"/>
            <w:gridSpan w:val="7"/>
            <w:tcBorders>
              <w:top w:val="nil"/>
              <w:left w:val="nil"/>
              <w:bottom w:val="single" w:color="auto" w:sz="8" w:space="0"/>
              <w:right w:val="single" w:color="auto" w:sz="8" w:space="0"/>
            </w:tcBorders>
            <w:noWrap w:val="0"/>
            <w:vAlign w:val="center"/>
          </w:tcPr>
          <w:p w14:paraId="5AEC302C">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48110EAF">
        <w:tblPrEx>
          <w:tblCellMar>
            <w:top w:w="0" w:type="dxa"/>
            <w:left w:w="0" w:type="dxa"/>
            <w:bottom w:w="0" w:type="dxa"/>
            <w:right w:w="0" w:type="dxa"/>
          </w:tblCellMar>
        </w:tblPrEx>
        <w:trPr>
          <w:trHeight w:val="607" w:hRule="atLeast"/>
          <w:jc w:val="center"/>
        </w:trPr>
        <w:tc>
          <w:tcPr>
            <w:tcW w:w="1519" w:type="dxa"/>
            <w:vMerge w:val="continue"/>
            <w:tcBorders>
              <w:top w:val="nil"/>
              <w:left w:val="single" w:color="auto" w:sz="8" w:space="0"/>
              <w:bottom w:val="single" w:color="auto" w:sz="8" w:space="0"/>
              <w:right w:val="single" w:color="auto" w:sz="8" w:space="0"/>
            </w:tcBorders>
            <w:noWrap w:val="0"/>
            <w:vAlign w:val="center"/>
          </w:tcPr>
          <w:p w14:paraId="626B48D3">
            <w:pPr>
              <w:widowControl/>
              <w:spacing w:line="360" w:lineRule="auto"/>
              <w:ind w:firstLine="0" w:firstLineChars="0"/>
              <w:jc w:val="left"/>
              <w:rPr>
                <w:rFonts w:hint="eastAsia" w:ascii="宋体" w:hAnsi="宋体" w:cs="宋体"/>
                <w:color w:val="auto"/>
                <w:kern w:val="0"/>
                <w:szCs w:val="21"/>
                <w:highlight w:val="none"/>
              </w:rPr>
            </w:pPr>
          </w:p>
        </w:tc>
        <w:tc>
          <w:tcPr>
            <w:tcW w:w="8120" w:type="dxa"/>
            <w:gridSpan w:val="7"/>
            <w:tcBorders>
              <w:top w:val="nil"/>
              <w:left w:val="nil"/>
              <w:bottom w:val="single" w:color="auto" w:sz="8" w:space="0"/>
              <w:right w:val="single" w:color="auto" w:sz="8" w:space="0"/>
            </w:tcBorders>
            <w:noWrap w:val="0"/>
            <w:vAlign w:val="center"/>
          </w:tcPr>
          <w:p w14:paraId="2168CB67">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A93D6C2">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p>
        </w:tc>
      </w:tr>
      <w:tr w14:paraId="38E7AC2A">
        <w:tblPrEx>
          <w:tblCellMar>
            <w:top w:w="0" w:type="dxa"/>
            <w:left w:w="0" w:type="dxa"/>
            <w:bottom w:w="0" w:type="dxa"/>
            <w:right w:w="0" w:type="dxa"/>
          </w:tblCellMar>
        </w:tblPrEx>
        <w:trPr>
          <w:trHeight w:val="507" w:hRule="atLeast"/>
          <w:jc w:val="center"/>
        </w:trPr>
        <w:tc>
          <w:tcPr>
            <w:tcW w:w="9639"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0AC4ED">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7B18A35">
        <w:tblPrEx>
          <w:tblCellMar>
            <w:top w:w="0" w:type="dxa"/>
            <w:left w:w="0" w:type="dxa"/>
            <w:bottom w:w="0" w:type="dxa"/>
            <w:right w:w="0" w:type="dxa"/>
          </w:tblCellMar>
        </w:tblPrEx>
        <w:trPr>
          <w:trHeight w:val="736" w:hRule="atLeast"/>
          <w:jc w:val="center"/>
        </w:trPr>
        <w:tc>
          <w:tcPr>
            <w:tcW w:w="9639"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E98A64">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7E27331D">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1969615">
        <w:tblPrEx>
          <w:tblCellMar>
            <w:top w:w="0" w:type="dxa"/>
            <w:left w:w="0" w:type="dxa"/>
            <w:bottom w:w="0" w:type="dxa"/>
            <w:right w:w="0" w:type="dxa"/>
          </w:tblCellMar>
        </w:tblPrEx>
        <w:trPr>
          <w:trHeight w:val="758" w:hRule="atLeast"/>
          <w:jc w:val="center"/>
        </w:trPr>
        <w:tc>
          <w:tcPr>
            <w:tcW w:w="4739"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0A4479D1">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2D9544CC">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900" w:type="dxa"/>
            <w:gridSpan w:val="4"/>
            <w:tcBorders>
              <w:top w:val="nil"/>
              <w:left w:val="nil"/>
              <w:bottom w:val="single" w:color="auto" w:sz="8" w:space="0"/>
              <w:right w:val="single" w:color="auto" w:sz="8" w:space="0"/>
            </w:tcBorders>
            <w:noWrap w:val="0"/>
            <w:vAlign w:val="center"/>
          </w:tcPr>
          <w:p w14:paraId="56CB9739">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采购人或受托机构的意见（盖章）：</w:t>
            </w:r>
          </w:p>
          <w:p w14:paraId="1F36B8E2">
            <w:pPr>
              <w:widowControl/>
              <w:spacing w:before="100" w:beforeAutospacing="1" w:after="100" w:afterAutospacing="1" w:line="360" w:lineRule="auto"/>
              <w:ind w:firstLine="0" w:firstLineChars="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376C2655">
      <w:pPr>
        <w:ind w:firstLine="422"/>
        <w:jc w:val="left"/>
        <w:rPr>
          <w:rFonts w:hAnsi="宋体"/>
          <w:b/>
          <w:color w:val="auto"/>
          <w:highlight w:val="none"/>
        </w:rPr>
      </w:pPr>
      <w:bookmarkStart w:id="88" w:name="_Toc3395203"/>
    </w:p>
    <w:p w14:paraId="1663B66D">
      <w:pPr>
        <w:tabs>
          <w:tab w:val="left" w:pos="2835"/>
        </w:tabs>
        <w:ind w:firstLine="0" w:firstLineChars="0"/>
        <w:rPr>
          <w:rFonts w:hint="eastAsia" w:ascii="宋体" w:hAnsi="宋体" w:cs="宋体"/>
          <w:b/>
          <w:color w:val="auto"/>
          <w:highlight w:val="none"/>
        </w:rPr>
      </w:pPr>
      <w:r>
        <w:rPr>
          <w:rFonts w:hAnsi="宋体"/>
          <w:b/>
          <w:color w:val="auto"/>
          <w:highlight w:val="none"/>
        </w:rPr>
        <w:br w:type="page"/>
      </w:r>
      <w:r>
        <w:rPr>
          <w:rFonts w:hint="eastAsia" w:ascii="宋体" w:hAnsi="宋体" w:cs="宋体"/>
          <w:b/>
          <w:color w:val="auto"/>
          <w:highlight w:val="none"/>
        </w:rPr>
        <w:t>附件2：</w:t>
      </w:r>
    </w:p>
    <w:p w14:paraId="00419C02">
      <w:pPr>
        <w:pStyle w:val="26"/>
        <w:snapToGrid w:val="0"/>
        <w:spacing w:line="360" w:lineRule="auto"/>
        <w:ind w:firstLine="0" w:firstLineChars="0"/>
        <w:jc w:val="center"/>
        <w:rPr>
          <w:rFonts w:hint="eastAsia" w:hAnsi="宋体" w:cs="宋体"/>
          <w:b/>
          <w:color w:val="auto"/>
          <w:sz w:val="36"/>
          <w:szCs w:val="36"/>
          <w:highlight w:val="none"/>
          <w:lang w:eastAsia="zh-CN"/>
        </w:rPr>
      </w:pPr>
      <w:r>
        <w:rPr>
          <w:rFonts w:hint="eastAsia" w:hAnsi="宋体" w:cs="宋体"/>
          <w:b/>
          <w:color w:val="auto"/>
          <w:sz w:val="36"/>
          <w:szCs w:val="36"/>
          <w:highlight w:val="none"/>
        </w:rPr>
        <w:t>政府采购项目履约保证金退付意见书</w:t>
      </w:r>
      <w:r>
        <w:rPr>
          <w:rFonts w:hint="eastAsia" w:hAnsi="宋体" w:cs="宋体"/>
          <w:color w:val="auto"/>
          <w:sz w:val="36"/>
          <w:szCs w:val="36"/>
          <w:highlight w:val="none"/>
        </w:rPr>
        <w:t>（参考）</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4418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noWrap w:val="0"/>
            <w:vAlign w:val="center"/>
          </w:tcPr>
          <w:p w14:paraId="7860812F">
            <w:pPr>
              <w:ind w:left="1" w:leftChars="-51" w:hanging="108" w:hangingChars="45"/>
              <w:jc w:val="center"/>
              <w:rPr>
                <w:rFonts w:hint="eastAsia"/>
                <w:color w:val="auto"/>
                <w:sz w:val="24"/>
                <w:highlight w:val="none"/>
              </w:rPr>
            </w:pPr>
            <w:r>
              <w:rPr>
                <w:rFonts w:hint="eastAsia"/>
                <w:color w:val="auto"/>
                <w:sz w:val="24"/>
                <w:highlight w:val="none"/>
              </w:rPr>
              <w:t>供</w:t>
            </w:r>
          </w:p>
          <w:p w14:paraId="7D5E317C">
            <w:pPr>
              <w:ind w:left="1" w:leftChars="-51" w:hanging="108" w:hangingChars="45"/>
              <w:jc w:val="center"/>
              <w:rPr>
                <w:rFonts w:hint="eastAsia"/>
                <w:color w:val="auto"/>
                <w:sz w:val="24"/>
                <w:highlight w:val="none"/>
              </w:rPr>
            </w:pPr>
            <w:r>
              <w:rPr>
                <w:rFonts w:hint="eastAsia"/>
                <w:color w:val="auto"/>
                <w:sz w:val="24"/>
                <w:highlight w:val="none"/>
              </w:rPr>
              <w:t>应</w:t>
            </w:r>
          </w:p>
          <w:p w14:paraId="5C7B7734">
            <w:pPr>
              <w:ind w:left="1" w:leftChars="-51" w:hanging="108" w:hangingChars="45"/>
              <w:jc w:val="center"/>
              <w:rPr>
                <w:rFonts w:hint="eastAsia"/>
                <w:color w:val="auto"/>
                <w:sz w:val="24"/>
                <w:highlight w:val="none"/>
              </w:rPr>
            </w:pPr>
            <w:r>
              <w:rPr>
                <w:rFonts w:hint="eastAsia"/>
                <w:color w:val="auto"/>
                <w:sz w:val="24"/>
                <w:highlight w:val="none"/>
              </w:rPr>
              <w:t>商</w:t>
            </w:r>
          </w:p>
          <w:p w14:paraId="6DF4B2D6">
            <w:pPr>
              <w:ind w:left="1" w:leftChars="-51" w:hanging="108" w:hangingChars="45"/>
              <w:jc w:val="center"/>
              <w:rPr>
                <w:rFonts w:hint="eastAsia"/>
                <w:color w:val="auto"/>
                <w:sz w:val="24"/>
                <w:highlight w:val="none"/>
              </w:rPr>
            </w:pPr>
            <w:r>
              <w:rPr>
                <w:rFonts w:hint="eastAsia"/>
                <w:color w:val="auto"/>
                <w:sz w:val="24"/>
                <w:highlight w:val="none"/>
              </w:rPr>
              <w:t>申</w:t>
            </w:r>
          </w:p>
          <w:p w14:paraId="348E8755">
            <w:pPr>
              <w:ind w:left="1" w:leftChars="-51" w:hanging="108" w:hangingChars="45"/>
              <w:jc w:val="center"/>
              <w:rPr>
                <w:rFonts w:hint="eastAsia"/>
                <w:color w:val="auto"/>
                <w:sz w:val="24"/>
                <w:highlight w:val="none"/>
              </w:rPr>
            </w:pPr>
            <w:r>
              <w:rPr>
                <w:rFonts w:hint="eastAsia"/>
                <w:color w:val="auto"/>
                <w:sz w:val="24"/>
                <w:highlight w:val="none"/>
              </w:rPr>
              <w:t>请</w:t>
            </w:r>
          </w:p>
        </w:tc>
        <w:tc>
          <w:tcPr>
            <w:tcW w:w="8456" w:type="dxa"/>
            <w:noWrap w:val="0"/>
            <w:vAlign w:val="center"/>
          </w:tcPr>
          <w:p w14:paraId="35E62F21">
            <w:pPr>
              <w:ind w:firstLine="480"/>
              <w:rPr>
                <w:rFonts w:hint="eastAsia"/>
                <w:color w:val="auto"/>
                <w:sz w:val="24"/>
                <w:highlight w:val="none"/>
              </w:rPr>
            </w:pPr>
            <w:r>
              <w:rPr>
                <w:rFonts w:hint="eastAsia"/>
                <w:color w:val="auto"/>
                <w:sz w:val="24"/>
                <w:highlight w:val="none"/>
              </w:rPr>
              <w:t>项目编号：</w:t>
            </w:r>
          </w:p>
        </w:tc>
      </w:tr>
      <w:tr w14:paraId="2B61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noWrap w:val="0"/>
            <w:vAlign w:val="center"/>
          </w:tcPr>
          <w:p w14:paraId="04932BE8">
            <w:pPr>
              <w:ind w:left="1" w:leftChars="-51" w:hanging="108" w:hangingChars="45"/>
              <w:rPr>
                <w:rFonts w:hint="eastAsia"/>
                <w:color w:val="auto"/>
                <w:sz w:val="24"/>
                <w:highlight w:val="none"/>
              </w:rPr>
            </w:pPr>
          </w:p>
        </w:tc>
        <w:tc>
          <w:tcPr>
            <w:tcW w:w="8456" w:type="dxa"/>
            <w:noWrap w:val="0"/>
            <w:vAlign w:val="center"/>
          </w:tcPr>
          <w:p w14:paraId="2AF7DA17">
            <w:pPr>
              <w:ind w:firstLine="480"/>
              <w:rPr>
                <w:rFonts w:hint="eastAsia"/>
                <w:color w:val="auto"/>
                <w:sz w:val="24"/>
                <w:highlight w:val="none"/>
              </w:rPr>
            </w:pPr>
            <w:r>
              <w:rPr>
                <w:rFonts w:hint="eastAsia"/>
                <w:color w:val="auto"/>
                <w:sz w:val="24"/>
                <w:highlight w:val="none"/>
              </w:rPr>
              <w:t>项目名称：</w:t>
            </w:r>
          </w:p>
        </w:tc>
      </w:tr>
      <w:tr w14:paraId="3DC1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top"/>
          </w:tcPr>
          <w:p w14:paraId="5B4CECED">
            <w:pPr>
              <w:ind w:left="1" w:leftChars="-51" w:hanging="108" w:hangingChars="45"/>
              <w:rPr>
                <w:rFonts w:hint="eastAsia"/>
                <w:color w:val="auto"/>
                <w:sz w:val="24"/>
                <w:highlight w:val="none"/>
              </w:rPr>
            </w:pPr>
          </w:p>
        </w:tc>
        <w:tc>
          <w:tcPr>
            <w:tcW w:w="8456" w:type="dxa"/>
            <w:noWrap w:val="0"/>
            <w:vAlign w:val="top"/>
          </w:tcPr>
          <w:p w14:paraId="14C40A8E">
            <w:pPr>
              <w:ind w:firstLine="480"/>
              <w:rPr>
                <w:rFonts w:hint="eastAsia"/>
                <w:color w:val="auto"/>
                <w:sz w:val="24"/>
                <w:highlight w:val="none"/>
              </w:rPr>
            </w:pPr>
            <w:r>
              <w:rPr>
                <w:rFonts w:hint="eastAsia"/>
                <w:color w:val="auto"/>
                <w:sz w:val="24"/>
                <w:highlight w:val="none"/>
              </w:rPr>
              <w:t xml:space="preserve">  </w:t>
            </w:r>
          </w:p>
          <w:p w14:paraId="430CAF3E">
            <w:pPr>
              <w:spacing w:line="400" w:lineRule="exact"/>
              <w:ind w:firstLine="48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（小写）退付到达以下帐户。</w:t>
            </w:r>
          </w:p>
          <w:p w14:paraId="471C4077">
            <w:pPr>
              <w:spacing w:line="400" w:lineRule="exact"/>
              <w:ind w:firstLine="480"/>
              <w:rPr>
                <w:rFonts w:hint="eastAsia"/>
                <w:color w:val="auto"/>
                <w:sz w:val="24"/>
                <w:highlight w:val="none"/>
              </w:rPr>
            </w:pPr>
            <w:r>
              <w:rPr>
                <w:rFonts w:hint="eastAsia"/>
                <w:color w:val="auto"/>
                <w:sz w:val="24"/>
                <w:highlight w:val="none"/>
              </w:rPr>
              <w:t>单位名称：</w:t>
            </w:r>
          </w:p>
          <w:p w14:paraId="77890E9E">
            <w:pPr>
              <w:spacing w:line="400" w:lineRule="exact"/>
              <w:ind w:firstLine="480"/>
              <w:rPr>
                <w:rFonts w:hint="eastAsia"/>
                <w:color w:val="auto"/>
                <w:sz w:val="24"/>
                <w:highlight w:val="none"/>
              </w:rPr>
            </w:pPr>
            <w:r>
              <w:rPr>
                <w:rFonts w:hint="eastAsia"/>
                <w:color w:val="auto"/>
                <w:sz w:val="24"/>
                <w:highlight w:val="none"/>
              </w:rPr>
              <w:t>开户银行：</w:t>
            </w:r>
          </w:p>
          <w:p w14:paraId="7E01DCCF">
            <w:pPr>
              <w:spacing w:line="400" w:lineRule="exact"/>
              <w:ind w:firstLine="480"/>
              <w:rPr>
                <w:rFonts w:hint="eastAsia"/>
                <w:color w:val="auto"/>
                <w:sz w:val="24"/>
                <w:highlight w:val="none"/>
              </w:rPr>
            </w:pPr>
            <w:r>
              <w:rPr>
                <w:rFonts w:hint="eastAsia"/>
                <w:color w:val="auto"/>
                <w:sz w:val="24"/>
                <w:highlight w:val="none"/>
              </w:rPr>
              <w:t>帐   号：</w:t>
            </w:r>
          </w:p>
          <w:p w14:paraId="7334C229">
            <w:pPr>
              <w:spacing w:line="400" w:lineRule="exact"/>
              <w:ind w:firstLine="480"/>
              <w:rPr>
                <w:rFonts w:hint="eastAsia"/>
                <w:color w:val="auto"/>
                <w:sz w:val="24"/>
                <w:highlight w:val="none"/>
              </w:rPr>
            </w:pPr>
            <w:r>
              <w:rPr>
                <w:rFonts w:hint="eastAsia"/>
                <w:color w:val="auto"/>
                <w:sz w:val="24"/>
                <w:highlight w:val="none"/>
              </w:rPr>
              <w:t>联系人及电话：</w:t>
            </w:r>
          </w:p>
          <w:p w14:paraId="5BBA6B7D">
            <w:pPr>
              <w:spacing w:line="400" w:lineRule="exact"/>
              <w:ind w:firstLine="480"/>
              <w:rPr>
                <w:rFonts w:hint="eastAsia"/>
                <w:color w:val="auto"/>
                <w:sz w:val="24"/>
                <w:highlight w:val="none"/>
              </w:rPr>
            </w:pPr>
          </w:p>
          <w:p w14:paraId="0E4AC981">
            <w:pPr>
              <w:spacing w:line="520" w:lineRule="exact"/>
              <w:ind w:firstLine="480"/>
              <w:jc w:val="center"/>
              <w:rPr>
                <w:rFonts w:hint="eastAsia"/>
                <w:color w:val="auto"/>
                <w:sz w:val="24"/>
                <w:highlight w:val="none"/>
              </w:rPr>
            </w:pPr>
            <w:r>
              <w:rPr>
                <w:rFonts w:hint="eastAsia"/>
                <w:color w:val="auto"/>
                <w:sz w:val="24"/>
                <w:highlight w:val="none"/>
              </w:rPr>
              <w:t xml:space="preserve">         供应商签章：</w:t>
            </w:r>
          </w:p>
          <w:p w14:paraId="02C267D2">
            <w:pPr>
              <w:spacing w:line="520" w:lineRule="exact"/>
              <w:ind w:firstLine="480"/>
              <w:jc w:val="center"/>
              <w:rPr>
                <w:rFonts w:hint="eastAsia"/>
                <w:color w:val="auto"/>
                <w:sz w:val="24"/>
                <w:highlight w:val="none"/>
              </w:rPr>
            </w:pPr>
            <w:r>
              <w:rPr>
                <w:rFonts w:hint="eastAsia"/>
                <w:color w:val="auto"/>
                <w:sz w:val="24"/>
                <w:highlight w:val="none"/>
              </w:rPr>
              <w:t xml:space="preserve">                           年    月     日</w:t>
            </w:r>
          </w:p>
        </w:tc>
      </w:tr>
      <w:tr w14:paraId="4F60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noWrap w:val="0"/>
            <w:vAlign w:val="center"/>
          </w:tcPr>
          <w:p w14:paraId="6D62AE0D">
            <w:pPr>
              <w:ind w:left="1" w:leftChars="-51" w:hanging="108" w:hangingChars="45"/>
              <w:jc w:val="center"/>
              <w:rPr>
                <w:rFonts w:hint="eastAsia"/>
                <w:color w:val="auto"/>
                <w:sz w:val="24"/>
                <w:highlight w:val="none"/>
              </w:rPr>
            </w:pPr>
            <w:r>
              <w:rPr>
                <w:rFonts w:hint="eastAsia"/>
                <w:color w:val="auto"/>
                <w:sz w:val="24"/>
                <w:highlight w:val="none"/>
              </w:rPr>
              <w:t>采</w:t>
            </w:r>
          </w:p>
          <w:p w14:paraId="0AEFDAF6">
            <w:pPr>
              <w:ind w:left="1" w:leftChars="-51" w:hanging="108" w:hangingChars="45"/>
              <w:jc w:val="center"/>
              <w:rPr>
                <w:rFonts w:hint="eastAsia"/>
                <w:color w:val="auto"/>
                <w:sz w:val="24"/>
                <w:highlight w:val="none"/>
              </w:rPr>
            </w:pPr>
            <w:r>
              <w:rPr>
                <w:rFonts w:hint="eastAsia"/>
                <w:color w:val="auto"/>
                <w:sz w:val="24"/>
                <w:highlight w:val="none"/>
              </w:rPr>
              <w:t>购</w:t>
            </w:r>
          </w:p>
          <w:p w14:paraId="5F2B803C">
            <w:pPr>
              <w:ind w:left="1" w:leftChars="-51" w:hanging="108" w:hangingChars="45"/>
              <w:jc w:val="center"/>
              <w:rPr>
                <w:rFonts w:hint="eastAsia"/>
                <w:color w:val="auto"/>
                <w:sz w:val="24"/>
                <w:highlight w:val="none"/>
              </w:rPr>
            </w:pPr>
            <w:r>
              <w:rPr>
                <w:rFonts w:hint="eastAsia"/>
                <w:color w:val="auto"/>
                <w:sz w:val="24"/>
                <w:highlight w:val="none"/>
              </w:rPr>
              <w:t>人</w:t>
            </w:r>
          </w:p>
          <w:p w14:paraId="4AF7201D">
            <w:pPr>
              <w:ind w:left="1" w:leftChars="-51" w:hanging="108" w:hangingChars="45"/>
              <w:jc w:val="center"/>
              <w:rPr>
                <w:rFonts w:hint="eastAsia"/>
                <w:color w:val="auto"/>
                <w:sz w:val="24"/>
                <w:highlight w:val="none"/>
              </w:rPr>
            </w:pPr>
            <w:r>
              <w:rPr>
                <w:rFonts w:hint="eastAsia"/>
                <w:color w:val="auto"/>
                <w:sz w:val="24"/>
                <w:highlight w:val="none"/>
              </w:rPr>
              <w:t>意</w:t>
            </w:r>
          </w:p>
          <w:p w14:paraId="40C31AE8">
            <w:pPr>
              <w:ind w:left="1" w:leftChars="-51" w:hanging="108" w:hangingChars="45"/>
              <w:jc w:val="center"/>
              <w:rPr>
                <w:rFonts w:hint="eastAsia"/>
                <w:color w:val="auto"/>
                <w:sz w:val="24"/>
                <w:highlight w:val="none"/>
              </w:rPr>
            </w:pPr>
            <w:r>
              <w:rPr>
                <w:rFonts w:hint="eastAsia"/>
                <w:color w:val="auto"/>
                <w:sz w:val="24"/>
                <w:highlight w:val="none"/>
              </w:rPr>
              <w:t>见</w:t>
            </w:r>
          </w:p>
        </w:tc>
        <w:tc>
          <w:tcPr>
            <w:tcW w:w="8456" w:type="dxa"/>
            <w:noWrap w:val="0"/>
            <w:vAlign w:val="top"/>
          </w:tcPr>
          <w:p w14:paraId="1ED19198">
            <w:pPr>
              <w:ind w:firstLine="480"/>
              <w:rPr>
                <w:rFonts w:hint="eastAsia"/>
                <w:color w:val="auto"/>
                <w:sz w:val="24"/>
                <w:highlight w:val="none"/>
              </w:rPr>
            </w:pPr>
          </w:p>
          <w:p w14:paraId="66206507">
            <w:pPr>
              <w:ind w:firstLine="480"/>
              <w:rPr>
                <w:rFonts w:hint="eastAsia"/>
                <w:color w:val="auto"/>
                <w:sz w:val="24"/>
                <w:highlight w:val="none"/>
              </w:rPr>
            </w:pPr>
            <w:r>
              <w:rPr>
                <w:rFonts w:hint="eastAsia"/>
                <w:color w:val="auto"/>
                <w:sz w:val="24"/>
                <w:highlight w:val="none"/>
              </w:rPr>
              <w:t>退付意见：（是否同意退付履约保证金及退付金额）</w:t>
            </w:r>
          </w:p>
          <w:p w14:paraId="678884C8">
            <w:pPr>
              <w:ind w:firstLine="480"/>
              <w:rPr>
                <w:rFonts w:hint="eastAsia"/>
                <w:color w:val="auto"/>
                <w:sz w:val="24"/>
                <w:highlight w:val="none"/>
              </w:rPr>
            </w:pPr>
          </w:p>
          <w:p w14:paraId="6803C652">
            <w:pPr>
              <w:ind w:firstLine="480"/>
              <w:rPr>
                <w:rFonts w:hint="eastAsia"/>
                <w:color w:val="auto"/>
                <w:sz w:val="24"/>
                <w:highlight w:val="none"/>
              </w:rPr>
            </w:pPr>
          </w:p>
          <w:p w14:paraId="495D12DE">
            <w:pPr>
              <w:ind w:firstLine="480"/>
              <w:rPr>
                <w:rFonts w:hint="eastAsia"/>
                <w:color w:val="auto"/>
                <w:sz w:val="24"/>
                <w:highlight w:val="none"/>
              </w:rPr>
            </w:pPr>
          </w:p>
          <w:p w14:paraId="4E8C15DA">
            <w:pPr>
              <w:ind w:firstLine="480"/>
              <w:rPr>
                <w:rFonts w:hint="eastAsia"/>
                <w:color w:val="auto"/>
                <w:sz w:val="24"/>
                <w:highlight w:val="none"/>
              </w:rPr>
            </w:pPr>
          </w:p>
          <w:p w14:paraId="0391016C">
            <w:pPr>
              <w:spacing w:line="520" w:lineRule="exact"/>
              <w:ind w:firstLine="480"/>
              <w:rPr>
                <w:rFonts w:hint="eastAsia"/>
                <w:color w:val="auto"/>
                <w:sz w:val="24"/>
                <w:highlight w:val="none"/>
              </w:rPr>
            </w:pPr>
            <w:r>
              <w:rPr>
                <w:rFonts w:hint="eastAsia"/>
                <w:color w:val="auto"/>
                <w:sz w:val="24"/>
                <w:highlight w:val="none"/>
              </w:rPr>
              <w:t>联系人及电话：                         采购人签章</w:t>
            </w:r>
          </w:p>
          <w:p w14:paraId="10A706AE">
            <w:pPr>
              <w:spacing w:line="520" w:lineRule="exact"/>
              <w:ind w:firstLine="480"/>
              <w:jc w:val="center"/>
              <w:rPr>
                <w:rFonts w:hint="eastAsia"/>
                <w:color w:val="auto"/>
                <w:sz w:val="24"/>
                <w:highlight w:val="none"/>
              </w:rPr>
            </w:pPr>
            <w:r>
              <w:rPr>
                <w:rFonts w:hint="eastAsia"/>
                <w:color w:val="auto"/>
                <w:sz w:val="24"/>
                <w:highlight w:val="none"/>
              </w:rPr>
              <w:t xml:space="preserve">                                        年    月     日</w:t>
            </w:r>
          </w:p>
          <w:p w14:paraId="293BF93E">
            <w:pPr>
              <w:spacing w:line="520" w:lineRule="exact"/>
              <w:ind w:firstLine="480"/>
              <w:jc w:val="center"/>
              <w:rPr>
                <w:rFonts w:hint="eastAsia"/>
                <w:color w:val="auto"/>
                <w:sz w:val="24"/>
                <w:highlight w:val="none"/>
              </w:rPr>
            </w:pPr>
          </w:p>
        </w:tc>
      </w:tr>
    </w:tbl>
    <w:p w14:paraId="762256D6">
      <w:pPr>
        <w:ind w:firstLine="180" w:firstLineChars="100"/>
        <w:rPr>
          <w:rFonts w:hint="eastAsia" w:ascii="黑体" w:hAnsi="黑体" w:eastAsia="黑体"/>
          <w:color w:val="auto"/>
          <w:szCs w:val="21"/>
          <w:highlight w:val="none"/>
        </w:rPr>
      </w:pPr>
      <w:r>
        <w:rPr>
          <w:rFonts w:hint="eastAsia" w:ascii="宋体"/>
          <w:b/>
          <w:bCs/>
          <w:color w:val="auto"/>
          <w:sz w:val="18"/>
          <w:szCs w:val="18"/>
          <w:highlight w:val="none"/>
        </w:rPr>
        <w:t>注：供应商凭经采购人审批的退付意见书到履约保证金收取单位财务部门办理履约保证金退付事宜。</w:t>
      </w:r>
    </w:p>
    <w:p w14:paraId="3B2F8931">
      <w:pPr>
        <w:ind w:firstLine="720"/>
        <w:jc w:val="center"/>
        <w:rPr>
          <w:rFonts w:hint="eastAsia" w:ascii="黑体" w:hAnsi="黑体" w:eastAsia="黑体"/>
          <w:color w:val="auto"/>
          <w:sz w:val="36"/>
          <w:szCs w:val="36"/>
          <w:highlight w:val="none"/>
        </w:rPr>
      </w:pPr>
    </w:p>
    <w:p w14:paraId="752FFAD8">
      <w:pPr>
        <w:ind w:firstLine="0" w:firstLineChars="0"/>
        <w:rPr>
          <w:rFonts w:hint="eastAsia" w:ascii="黑体" w:hAnsi="黑体" w:eastAsia="黑体"/>
          <w:color w:val="auto"/>
          <w:sz w:val="36"/>
          <w:szCs w:val="36"/>
          <w:highlight w:val="none"/>
        </w:rPr>
      </w:pPr>
      <w:r>
        <w:rPr>
          <w:rFonts w:ascii="黑体" w:hAnsi="黑体" w:eastAsia="黑体"/>
          <w:color w:val="auto"/>
          <w:sz w:val="36"/>
          <w:szCs w:val="36"/>
          <w:highlight w:val="none"/>
        </w:rPr>
        <w:br w:type="page"/>
      </w:r>
    </w:p>
    <w:p w14:paraId="706A0AF0">
      <w:pPr>
        <w:pStyle w:val="3"/>
        <w:spacing w:line="460" w:lineRule="exact"/>
        <w:ind w:firstLine="0" w:firstLineChars="0"/>
        <w:jc w:val="center"/>
        <w:rPr>
          <w:rFonts w:hint="eastAsia" w:ascii="宋体" w:hAnsi="宋体" w:cs="宋体"/>
          <w:color w:val="auto"/>
          <w:highlight w:val="none"/>
          <w:lang w:eastAsia="zh-CN"/>
        </w:rPr>
      </w:pPr>
      <w:bookmarkStart w:id="89" w:name="_Toc9112"/>
      <w:r>
        <w:rPr>
          <w:rFonts w:hint="eastAsia" w:ascii="宋体" w:hAnsi="宋体" w:cs="宋体"/>
          <w:color w:val="auto"/>
          <w:highlight w:val="none"/>
        </w:rPr>
        <w:t>第三章</w:t>
      </w:r>
      <w:r>
        <w:rPr>
          <w:rFonts w:hint="eastAsia" w:ascii="宋体" w:hAnsi="宋体" w:cs="宋体"/>
          <w:color w:val="auto"/>
          <w:highlight w:val="none"/>
          <w:lang w:eastAsia="zh-CN"/>
        </w:rPr>
        <w:t xml:space="preserve"> </w:t>
      </w:r>
      <w:r>
        <w:rPr>
          <w:rFonts w:hint="eastAsia" w:ascii="宋体" w:hAnsi="宋体" w:cs="宋体"/>
          <w:color w:val="auto"/>
          <w:highlight w:val="none"/>
        </w:rPr>
        <w:t>采购需求</w:t>
      </w:r>
      <w:bookmarkEnd w:id="88"/>
      <w:bookmarkEnd w:id="89"/>
    </w:p>
    <w:p w14:paraId="227D74BD">
      <w:pPr>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说明：</w:t>
      </w:r>
    </w:p>
    <w:p w14:paraId="176852EF">
      <w:pPr>
        <w:spacing w:line="360" w:lineRule="auto"/>
        <w:ind w:firstLine="424" w:firstLineChars="202"/>
        <w:rPr>
          <w:rFonts w:ascii="宋体" w:hAnsi="宋体" w:cs="宋体"/>
          <w:bCs/>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按照《财政部、司法部关于政府采购支持监狱企业发展有关问题的通知》（财库〔2014〕68号）之规定，监狱企业视同小型、微型企业。</w:t>
      </w:r>
      <w:r>
        <w:rPr>
          <w:rFonts w:hint="eastAsia" w:ascii="宋体" w:hAnsi="宋体" w:cs="宋体"/>
          <w:bCs/>
          <w:color w:val="auto"/>
          <w:szCs w:val="21"/>
          <w:highlight w:val="none"/>
        </w:rPr>
        <w:t>按照《财政部 民政部 中国残疾人联合会关于促进残疾人就业政府采购政策的通知》（财库〔2017〕141号）之规定，残疾人福利性单位视同小型、微型企业。</w:t>
      </w:r>
    </w:p>
    <w:p w14:paraId="2E3B7346">
      <w:pPr>
        <w:spacing w:line="360" w:lineRule="auto"/>
        <w:ind w:firstLine="424" w:firstLineChars="202"/>
        <w:rPr>
          <w:rFonts w:hAnsi="宋体"/>
          <w:b/>
          <w:bCs/>
          <w:color w:val="auto"/>
          <w:highlight w:val="none"/>
        </w:rPr>
      </w:pPr>
      <w:r>
        <w:rPr>
          <w:rFonts w:hint="eastAsia" w:ascii="宋体" w:hAnsi="宋体" w:cs="宋体"/>
          <w:b/>
          <w:bCs/>
          <w:color w:val="auto"/>
          <w:szCs w:val="21"/>
          <w:highlight w:val="none"/>
        </w:rPr>
        <w:t>2</w:t>
      </w:r>
      <w:r>
        <w:rPr>
          <w:rFonts w:ascii="宋体" w:hAnsi="宋体" w:cs="宋体"/>
          <w:b/>
          <w:bCs/>
          <w:color w:val="auto"/>
          <w:szCs w:val="21"/>
          <w:highlight w:val="none"/>
        </w:rPr>
        <w:t>.</w:t>
      </w:r>
      <w:r>
        <w:rPr>
          <w:rFonts w:hint="eastAsia" w:hAnsi="宋体"/>
          <w:b/>
          <w:bCs/>
          <w:color w:val="auto"/>
          <w:highlight w:val="none"/>
        </w:rPr>
        <w:t>“实质性要求”是指竞争性磋商文件中已经指明不满足则响应无效的条款，或者不能负偏离的条款，或者采购需求中带“</w:t>
      </w:r>
      <w:r>
        <w:rPr>
          <w:rFonts w:hint="eastAsia" w:hAnsi="宋体"/>
          <w:b/>
          <w:bCs/>
          <w:color w:val="auto"/>
          <w:highlight w:val="none"/>
        </w:rPr>
        <w:t>▲”的条款。</w:t>
      </w:r>
    </w:p>
    <w:p w14:paraId="753798EB">
      <w:pPr>
        <w:spacing w:line="360" w:lineRule="auto"/>
        <w:ind w:firstLine="422"/>
        <w:jc w:val="left"/>
        <w:rPr>
          <w:rFonts w:hint="eastAsia"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.本采购项目所属行业：</w:t>
      </w:r>
      <w:r>
        <w:rPr>
          <w:rFonts w:hint="eastAsia" w:ascii="宋体" w:hAnsi="宋体" w:cs="宋体"/>
          <w:b/>
          <w:color w:val="auto"/>
          <w:szCs w:val="21"/>
          <w:highlight w:val="none"/>
        </w:rPr>
        <w:t>其他未列明行业</w:t>
      </w:r>
      <w:r>
        <w:rPr>
          <w:rFonts w:hint="eastAsia" w:ascii="宋体" w:hAnsi="宋体"/>
          <w:b/>
          <w:color w:val="auto"/>
          <w:szCs w:val="21"/>
          <w:highlight w:val="none"/>
        </w:rPr>
        <w:t>。</w:t>
      </w:r>
    </w:p>
    <w:tbl>
      <w:tblPr>
        <w:tblStyle w:val="51"/>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881"/>
        <w:gridCol w:w="851"/>
        <w:gridCol w:w="6274"/>
      </w:tblGrid>
      <w:tr w14:paraId="1129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433" w:type="dxa"/>
            <w:gridSpan w:val="4"/>
            <w:noWrap w:val="0"/>
            <w:vAlign w:val="center"/>
          </w:tcPr>
          <w:p w14:paraId="6C2854F1">
            <w:pPr>
              <w:keepNext w:val="0"/>
              <w:keepLines w:val="0"/>
              <w:pageBreakBefore w:val="0"/>
              <w:widowControl w:val="0"/>
              <w:kinsoku/>
              <w:wordWrap/>
              <w:overflowPunct/>
              <w:topLinePunct w:val="0"/>
              <w:autoSpaceDE/>
              <w:autoSpaceDN/>
              <w:bidi w:val="0"/>
              <w:spacing w:line="440" w:lineRule="exact"/>
              <w:ind w:firstLine="0" w:firstLineChars="0"/>
              <w:jc w:val="left"/>
              <w:rPr>
                <w:rFonts w:ascii="宋体" w:hAnsi="宋体" w:cs="宋体"/>
                <w:b/>
                <w:color w:val="auto"/>
                <w:szCs w:val="21"/>
                <w:highlight w:val="none"/>
              </w:rPr>
            </w:pPr>
            <w:bookmarkStart w:id="90" w:name="_Toc417902276"/>
            <w:bookmarkStart w:id="91" w:name="_Toc418776785"/>
            <w:bookmarkStart w:id="92" w:name="_Toc3395204"/>
            <w:r>
              <w:rPr>
                <w:rFonts w:hint="eastAsia" w:ascii="宋体" w:hAnsi="宋体" w:cs="宋体"/>
                <w:color w:val="auto"/>
                <w:szCs w:val="21"/>
                <w:highlight w:val="none"/>
              </w:rPr>
              <w:t>▲</w:t>
            </w:r>
            <w:r>
              <w:rPr>
                <w:rFonts w:hint="eastAsia" w:ascii="宋体" w:hAnsi="宋体" w:cs="宋体"/>
                <w:b/>
                <w:color w:val="auto"/>
                <w:szCs w:val="21"/>
                <w:highlight w:val="none"/>
              </w:rPr>
              <w:t>一、项目要求及技术参数需求</w:t>
            </w:r>
            <w:bookmarkEnd w:id="90"/>
            <w:bookmarkEnd w:id="91"/>
          </w:p>
        </w:tc>
      </w:tr>
      <w:tr w14:paraId="4A3A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27" w:type="dxa"/>
            <w:noWrap w:val="0"/>
            <w:vAlign w:val="center"/>
          </w:tcPr>
          <w:p w14:paraId="0544F97D">
            <w:pPr>
              <w:keepNext w:val="0"/>
              <w:keepLines w:val="0"/>
              <w:pageBreakBefore w:val="0"/>
              <w:widowControl w:val="0"/>
              <w:kinsoku/>
              <w:wordWrap/>
              <w:overflowPunct/>
              <w:topLinePunct w:val="0"/>
              <w:autoSpaceDE/>
              <w:autoSpaceDN/>
              <w:bidi w:val="0"/>
              <w:adjustRightInd w:val="0"/>
              <w:spacing w:line="440" w:lineRule="exact"/>
              <w:ind w:firstLine="0" w:firstLineChars="0"/>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881" w:type="dxa"/>
            <w:noWrap w:val="0"/>
            <w:vAlign w:val="center"/>
          </w:tcPr>
          <w:p w14:paraId="0AE87AF2">
            <w:pPr>
              <w:keepNext w:val="0"/>
              <w:keepLines w:val="0"/>
              <w:pageBreakBefore w:val="0"/>
              <w:widowControl w:val="0"/>
              <w:kinsoku/>
              <w:wordWrap/>
              <w:overflowPunct/>
              <w:topLinePunct w:val="0"/>
              <w:autoSpaceDE/>
              <w:autoSpaceDN/>
              <w:bidi w:val="0"/>
              <w:spacing w:line="440" w:lineRule="exact"/>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标的的名称</w:t>
            </w:r>
          </w:p>
        </w:tc>
        <w:tc>
          <w:tcPr>
            <w:tcW w:w="851" w:type="dxa"/>
            <w:noWrap w:val="0"/>
            <w:vAlign w:val="center"/>
          </w:tcPr>
          <w:p w14:paraId="51427C66">
            <w:pPr>
              <w:keepNext w:val="0"/>
              <w:keepLines w:val="0"/>
              <w:pageBreakBefore w:val="0"/>
              <w:widowControl w:val="0"/>
              <w:kinsoku/>
              <w:wordWrap/>
              <w:overflowPunct/>
              <w:topLinePunct w:val="0"/>
              <w:autoSpaceDE/>
              <w:autoSpaceDN/>
              <w:bidi w:val="0"/>
              <w:spacing w:line="440" w:lineRule="exact"/>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数量及单位</w:t>
            </w:r>
          </w:p>
        </w:tc>
        <w:tc>
          <w:tcPr>
            <w:tcW w:w="6274" w:type="dxa"/>
            <w:noWrap w:val="0"/>
            <w:vAlign w:val="center"/>
          </w:tcPr>
          <w:p w14:paraId="4F700C32">
            <w:pPr>
              <w:keepNext w:val="0"/>
              <w:keepLines w:val="0"/>
              <w:pageBreakBefore w:val="0"/>
              <w:widowControl w:val="0"/>
              <w:kinsoku/>
              <w:wordWrap/>
              <w:overflowPunct/>
              <w:topLinePunct w:val="0"/>
              <w:autoSpaceDE/>
              <w:autoSpaceDN/>
              <w:bidi w:val="0"/>
              <w:spacing w:line="440" w:lineRule="exact"/>
              <w:ind w:firstLine="0" w:firstLineChars="0"/>
              <w:jc w:val="center"/>
              <w:rPr>
                <w:rFonts w:ascii="宋体" w:hAnsi="宋体" w:cs="宋体"/>
                <w:b/>
                <w:color w:val="auto"/>
                <w:szCs w:val="21"/>
                <w:highlight w:val="none"/>
              </w:rPr>
            </w:pPr>
            <w:r>
              <w:rPr>
                <w:rFonts w:hint="eastAsia" w:ascii="宋体" w:hAnsi="宋体" w:cs="宋体"/>
                <w:b/>
                <w:bCs/>
                <w:color w:val="auto"/>
                <w:szCs w:val="21"/>
                <w:highlight w:val="none"/>
              </w:rPr>
              <w:t>服务要求</w:t>
            </w:r>
          </w:p>
        </w:tc>
      </w:tr>
      <w:tr w14:paraId="6CED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27" w:type="dxa"/>
            <w:noWrap w:val="0"/>
            <w:vAlign w:val="center"/>
          </w:tcPr>
          <w:p w14:paraId="07928EA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1881" w:type="dxa"/>
            <w:noWrap w:val="0"/>
            <w:vAlign w:val="center"/>
          </w:tcPr>
          <w:p w14:paraId="16564CCF">
            <w:pPr>
              <w:keepNext w:val="0"/>
              <w:keepLines w:val="0"/>
              <w:pageBreakBefore w:val="0"/>
              <w:widowControl w:val="0"/>
              <w:tabs>
                <w:tab w:val="left" w:pos="180"/>
                <w:tab w:val="left" w:pos="1620"/>
              </w:tabs>
              <w:kinsoku/>
              <w:wordWrap/>
              <w:overflowPunct/>
              <w:topLinePunct w:val="0"/>
              <w:autoSpaceDE/>
              <w:autoSpaceDN/>
              <w:bidi w:val="0"/>
              <w:spacing w:line="440" w:lineRule="exact"/>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柳州市人民医院污水处理服务采购</w:t>
            </w:r>
          </w:p>
        </w:tc>
        <w:tc>
          <w:tcPr>
            <w:tcW w:w="851" w:type="dxa"/>
            <w:noWrap w:val="0"/>
            <w:vAlign w:val="center"/>
          </w:tcPr>
          <w:p w14:paraId="5ACA9142">
            <w:pPr>
              <w:keepNext w:val="0"/>
              <w:keepLines w:val="0"/>
              <w:pageBreakBefore w:val="0"/>
              <w:widowControl w:val="0"/>
              <w:kinsoku/>
              <w:wordWrap/>
              <w:overflowPunct/>
              <w:topLinePunct w:val="0"/>
              <w:autoSpaceDE/>
              <w:autoSpaceDN/>
              <w:bidi w:val="0"/>
              <w:spacing w:line="440" w:lineRule="exact"/>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274" w:type="dxa"/>
            <w:noWrap w:val="0"/>
            <w:vAlign w:val="center"/>
          </w:tcPr>
          <w:p w14:paraId="5420B562">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lang w:eastAsia="zh-CN"/>
              </w:rPr>
              <w:t>项目地点：</w:t>
            </w:r>
            <w:r>
              <w:rPr>
                <w:rFonts w:hint="eastAsia" w:ascii="宋体" w:hAnsi="宋体" w:eastAsia="宋体" w:cs="宋体"/>
                <w:color w:val="auto"/>
                <w:szCs w:val="21"/>
                <w:highlight w:val="none"/>
                <w:lang w:val="en-US" w:eastAsia="zh-CN"/>
              </w:rPr>
              <w:t>柳州市城中区文昌路8号柳州市人民医院</w:t>
            </w:r>
          </w:p>
          <w:p w14:paraId="56AFC14E">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lang w:val="en-US" w:eastAsia="zh-CN"/>
              </w:rPr>
              <w:t>概况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柳州市人民</w:t>
            </w:r>
            <w:r>
              <w:rPr>
                <w:rFonts w:hint="eastAsia" w:ascii="宋体" w:hAnsi="宋体" w:eastAsia="宋体" w:cs="宋体"/>
                <w:color w:val="auto"/>
                <w:szCs w:val="21"/>
                <w:highlight w:val="none"/>
                <w:lang w:eastAsia="zh-CN"/>
              </w:rPr>
              <w:t>医院设有污水处理站一座，主要负责医院日常产生的医疗废水处理，</w:t>
            </w:r>
            <w:r>
              <w:rPr>
                <w:rFonts w:hint="eastAsia" w:ascii="宋体" w:hAnsi="宋体" w:eastAsia="宋体" w:cs="宋体"/>
                <w:color w:val="auto"/>
                <w:szCs w:val="21"/>
                <w:highlight w:val="none"/>
                <w:lang w:val="en-US" w:eastAsia="zh-CN"/>
              </w:rPr>
              <w:t>设计处理能力为2100吨/天，</w:t>
            </w:r>
            <w:r>
              <w:rPr>
                <w:rFonts w:hint="eastAsia" w:ascii="宋体" w:hAnsi="宋体" w:eastAsia="宋体" w:cs="宋体"/>
                <w:color w:val="auto"/>
                <w:szCs w:val="21"/>
                <w:highlight w:val="none"/>
                <w:lang w:eastAsia="zh-CN"/>
              </w:rPr>
              <w:t>目前</w:t>
            </w:r>
            <w:r>
              <w:rPr>
                <w:rFonts w:hint="eastAsia" w:ascii="宋体" w:hAnsi="宋体" w:eastAsia="宋体" w:cs="宋体"/>
                <w:color w:val="auto"/>
                <w:szCs w:val="21"/>
                <w:highlight w:val="none"/>
                <w:lang w:val="en-US" w:eastAsia="zh-CN"/>
              </w:rPr>
              <w:t>平均</w:t>
            </w:r>
            <w:r>
              <w:rPr>
                <w:rFonts w:hint="eastAsia" w:ascii="宋体" w:hAnsi="宋体" w:eastAsia="宋体" w:cs="宋体"/>
                <w:color w:val="auto"/>
                <w:szCs w:val="21"/>
                <w:highlight w:val="none"/>
                <w:lang w:eastAsia="zh-CN"/>
              </w:rPr>
              <w:t xml:space="preserve">处理水量约为 </w:t>
            </w: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eastAsia="zh-CN"/>
              </w:rPr>
              <w:t>00 吨/天。服务内容包括但不限于设备日常巡检、故障排查与修复，定期水质检测、数据分析，确保处理效果达标。</w:t>
            </w:r>
          </w:p>
          <w:p w14:paraId="691EF5DA">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三、服务期限：三年，从合同签订之日起计算。</w:t>
            </w:r>
          </w:p>
          <w:p w14:paraId="059010FC">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四、项目预算：预算控制单价为1.4元/吨，三年采购预算总金额约为220万元。</w:t>
            </w:r>
          </w:p>
          <w:p w14:paraId="76726FF1">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五</w:t>
            </w:r>
            <w:r>
              <w:rPr>
                <w:rFonts w:hint="eastAsia" w:ascii="宋体" w:hAnsi="宋体" w:eastAsia="宋体" w:cs="宋体"/>
                <w:color w:val="auto"/>
                <w:szCs w:val="21"/>
                <w:highlight w:val="none"/>
                <w:lang w:val="en-US" w:eastAsia="zh-CN"/>
              </w:rPr>
              <w:t>、运营管理服务内容</w:t>
            </w:r>
          </w:p>
          <w:p w14:paraId="754BBFB3">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1.供应商需负责污水处理所需药剂的采购、运输、保管及投放</w:t>
            </w:r>
            <w:r>
              <w:rPr>
                <w:rFonts w:hint="eastAsia" w:ascii="宋体" w:hAnsi="宋体" w:eastAsia="宋体" w:cs="宋体"/>
                <w:color w:val="auto"/>
                <w:szCs w:val="21"/>
                <w:highlight w:val="none"/>
                <w:lang w:val="en-US" w:eastAsia="zh-CN"/>
              </w:rPr>
              <w:t>工作</w:t>
            </w:r>
            <w:r>
              <w:rPr>
                <w:rFonts w:hint="eastAsia" w:ascii="宋体" w:hAnsi="宋体" w:eastAsia="宋体" w:cs="宋体"/>
                <w:color w:val="auto"/>
                <w:szCs w:val="21"/>
                <w:highlight w:val="none"/>
                <w:lang w:eastAsia="zh-CN"/>
              </w:rPr>
              <w:t>，并</w:t>
            </w:r>
            <w:r>
              <w:rPr>
                <w:rFonts w:hint="eastAsia" w:ascii="宋体" w:hAnsi="宋体" w:eastAsia="宋体" w:cs="宋体"/>
                <w:color w:val="auto"/>
                <w:szCs w:val="21"/>
                <w:highlight w:val="none"/>
                <w:lang w:val="en-US" w:eastAsia="zh-CN"/>
              </w:rPr>
              <w:t>负责</w:t>
            </w:r>
            <w:r>
              <w:rPr>
                <w:rFonts w:hint="eastAsia" w:ascii="宋体" w:hAnsi="宋体" w:eastAsia="宋体" w:cs="宋体"/>
                <w:color w:val="auto"/>
                <w:szCs w:val="21"/>
                <w:highlight w:val="none"/>
                <w:lang w:eastAsia="zh-CN"/>
              </w:rPr>
              <w:t>日常管理运营中所需安全防护用品的</w:t>
            </w:r>
            <w:r>
              <w:rPr>
                <w:rFonts w:hint="eastAsia" w:ascii="宋体" w:hAnsi="宋体" w:eastAsia="宋体" w:cs="宋体"/>
                <w:color w:val="auto"/>
                <w:szCs w:val="21"/>
                <w:highlight w:val="none"/>
                <w:lang w:val="en-US" w:eastAsia="zh-CN"/>
              </w:rPr>
              <w:t>配备，相关费用由供应商自行承担</w:t>
            </w:r>
            <w:r>
              <w:rPr>
                <w:rFonts w:hint="eastAsia" w:ascii="宋体" w:hAnsi="宋体" w:eastAsia="宋体" w:cs="宋体"/>
                <w:color w:val="auto"/>
                <w:szCs w:val="21"/>
                <w:highlight w:val="none"/>
                <w:lang w:eastAsia="zh-CN"/>
              </w:rPr>
              <w:t>。</w:t>
            </w:r>
          </w:p>
          <w:p w14:paraId="4DC6C8CF">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val="en-US" w:eastAsia="zh-CN"/>
              </w:rPr>
              <w:t>须</w:t>
            </w:r>
            <w:r>
              <w:rPr>
                <w:rFonts w:hint="eastAsia" w:ascii="宋体" w:hAnsi="宋体" w:eastAsia="宋体" w:cs="宋体"/>
                <w:color w:val="auto"/>
                <w:szCs w:val="21"/>
                <w:highlight w:val="none"/>
                <w:lang w:eastAsia="zh-CN"/>
              </w:rPr>
              <w:t>安排人员全天候24小时</w:t>
            </w:r>
            <w:r>
              <w:rPr>
                <w:rFonts w:hint="eastAsia" w:ascii="宋体" w:hAnsi="宋体" w:eastAsia="宋体" w:cs="宋体"/>
                <w:color w:val="auto"/>
                <w:szCs w:val="21"/>
                <w:highlight w:val="none"/>
                <w:lang w:val="en-US" w:eastAsia="zh-CN"/>
              </w:rPr>
              <w:t>值守</w:t>
            </w:r>
            <w:r>
              <w:rPr>
                <w:rFonts w:hint="eastAsia" w:ascii="宋体" w:hAnsi="宋体" w:eastAsia="宋体" w:cs="宋体"/>
                <w:color w:val="auto"/>
                <w:szCs w:val="21"/>
                <w:highlight w:val="none"/>
                <w:lang w:eastAsia="zh-CN"/>
              </w:rPr>
              <w:t>污水处理站。在设备运行期间，供应商需确保至少有一名工作人员在现场</w:t>
            </w:r>
            <w:r>
              <w:rPr>
                <w:rFonts w:hint="eastAsia" w:ascii="宋体" w:hAnsi="宋体" w:eastAsia="宋体" w:cs="宋体"/>
                <w:color w:val="auto"/>
                <w:szCs w:val="21"/>
                <w:highlight w:val="none"/>
                <w:lang w:val="en-US" w:eastAsia="zh-CN"/>
              </w:rPr>
              <w:t>监督运营</w:t>
            </w:r>
            <w:r>
              <w:rPr>
                <w:rFonts w:hint="eastAsia" w:ascii="宋体" w:hAnsi="宋体" w:eastAsia="宋体" w:cs="宋体"/>
                <w:color w:val="auto"/>
                <w:szCs w:val="21"/>
                <w:highlight w:val="none"/>
                <w:lang w:eastAsia="zh-CN"/>
              </w:rPr>
              <w:t>。</w:t>
            </w:r>
          </w:p>
          <w:p w14:paraId="2E2C5844">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供应商需负责污水处理站的设施设备日常运行记录、保养、维护、维修、更换以及清洁工作。供应商还应确保污水处理设备的保养和维修</w:t>
            </w:r>
            <w:r>
              <w:rPr>
                <w:rFonts w:hint="eastAsia" w:ascii="宋体" w:hAnsi="宋体" w:eastAsia="宋体" w:cs="宋体"/>
                <w:color w:val="auto"/>
                <w:szCs w:val="21"/>
                <w:highlight w:val="none"/>
                <w:lang w:val="en-US" w:eastAsia="zh-CN"/>
              </w:rPr>
              <w:t>符合医院要求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设备</w:t>
            </w:r>
            <w:r>
              <w:rPr>
                <w:rFonts w:hint="eastAsia" w:ascii="宋体" w:hAnsi="宋体" w:eastAsia="宋体" w:cs="宋体"/>
                <w:color w:val="auto"/>
                <w:szCs w:val="21"/>
                <w:highlight w:val="none"/>
                <w:lang w:eastAsia="zh-CN"/>
              </w:rPr>
              <w:t>维护保养与维修清单见附件1），</w:t>
            </w:r>
            <w:r>
              <w:rPr>
                <w:rFonts w:hint="eastAsia" w:ascii="宋体" w:hAnsi="宋体" w:eastAsia="宋体" w:cs="宋体"/>
                <w:color w:val="auto"/>
                <w:szCs w:val="21"/>
                <w:highlight w:val="none"/>
                <w:lang w:val="en-US" w:eastAsia="zh-CN"/>
              </w:rPr>
              <w:t>以保证</w:t>
            </w:r>
            <w:r>
              <w:rPr>
                <w:rFonts w:hint="eastAsia" w:ascii="宋体" w:hAnsi="宋体" w:eastAsia="宋体" w:cs="宋体"/>
                <w:color w:val="auto"/>
                <w:szCs w:val="21"/>
                <w:highlight w:val="none"/>
                <w:lang w:eastAsia="zh-CN"/>
              </w:rPr>
              <w:t>达到国家相关法规、污水处理排放标准或环保主管部门的要求，并承担由此产生的一切费用。若因操作不当等人为因素导致设备报废或损坏，由成交供应商承担相应的设备添置或维修费用。因成交供应商责任，使得采购人设施提前报废的，成交供应商补偿相应损失。</w:t>
            </w:r>
          </w:p>
          <w:p w14:paraId="6239881E">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成交供应商负责建立本项目的服务管理档案（包括但不限于日常管理维护记录、运行监测记录、设备故障维修处理记录、巡查及改进记录、培训记录、药剂采购档案等），各类台账齐全，并在每月10日前将上月台账报甲方备案，同时保证合同期间的污水处理所有台账、记录存档（保存时间5年以上），随时备查。</w:t>
            </w:r>
          </w:p>
          <w:p w14:paraId="7DFA6C07">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5.在服务期内，若因运营管理需求而必须对设备进行升级、更新或更换，相关责任和费用均由成交供应商承担。包括但不限于以下情形：</w:t>
            </w:r>
          </w:p>
          <w:p w14:paraId="340A1717">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（1）服务期内涉及到污水处理站设备大修、升级、报废、更换或增加（包括备用应急设备）等；</w:t>
            </w:r>
          </w:p>
          <w:p w14:paraId="689F7097">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当国家相关法规、污水处理排放标准或环保主管部门的要求发生变更时，成交供应商需负责及时调整设备（包括购置新设备）。</w:t>
            </w:r>
          </w:p>
          <w:p w14:paraId="4031E0D1">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随着采购人规模的扩大以及污水量的增加，若现有设备的处理能力无法满足需求的，成交供应商必须及时</w:t>
            </w:r>
            <w:r>
              <w:rPr>
                <w:rFonts w:hint="eastAsia" w:ascii="宋体" w:hAnsi="宋体" w:eastAsia="宋体" w:cs="宋体"/>
                <w:color w:val="auto"/>
                <w:szCs w:val="21"/>
                <w:highlight w:val="none"/>
                <w:lang w:val="en-US" w:eastAsia="zh-CN"/>
              </w:rPr>
              <w:t>购置</w:t>
            </w:r>
            <w:r>
              <w:rPr>
                <w:rFonts w:hint="eastAsia" w:ascii="宋体" w:hAnsi="宋体" w:eastAsia="宋体" w:cs="宋体"/>
                <w:color w:val="auto"/>
                <w:szCs w:val="21"/>
                <w:highlight w:val="none"/>
                <w:lang w:eastAsia="zh-CN"/>
              </w:rPr>
              <w:t>新设备。</w:t>
            </w:r>
          </w:p>
          <w:p w14:paraId="134FC3B1">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设备的升级、更新或更换应提前以书面形式详细报告给采购人，并在获得</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lang w:eastAsia="zh-CN"/>
              </w:rPr>
              <w:t>同意后方可</w:t>
            </w:r>
            <w:r>
              <w:rPr>
                <w:rFonts w:hint="eastAsia" w:ascii="宋体" w:hAnsi="宋体" w:eastAsia="宋体" w:cs="宋体"/>
                <w:color w:val="auto"/>
                <w:szCs w:val="21"/>
                <w:highlight w:val="none"/>
                <w:lang w:val="en-US" w:eastAsia="zh-CN"/>
              </w:rPr>
              <w:t>实施</w:t>
            </w:r>
            <w:r>
              <w:rPr>
                <w:rFonts w:hint="eastAsia" w:ascii="宋体" w:hAnsi="宋体" w:eastAsia="宋体" w:cs="宋体"/>
                <w:color w:val="auto"/>
                <w:szCs w:val="21"/>
                <w:highlight w:val="none"/>
                <w:lang w:eastAsia="zh-CN"/>
              </w:rPr>
              <w:t>，相关费用均由成交供应商承担。</w:t>
            </w:r>
            <w:r>
              <w:rPr>
                <w:rFonts w:hint="eastAsia" w:ascii="宋体" w:hAnsi="宋体" w:eastAsia="宋体" w:cs="宋体"/>
                <w:color w:val="auto"/>
                <w:szCs w:val="21"/>
                <w:highlight w:val="none"/>
                <w:lang w:val="en-US" w:eastAsia="zh-CN"/>
              </w:rPr>
              <w:t>服务期满后，成交供应商投入且预计仍可以正常使用五年以上的设备，采购人可接收购入，支付价格由评估公司评估，不超过原价的50%。</w:t>
            </w:r>
          </w:p>
          <w:p w14:paraId="4FE93923">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6.服务期间，成交供应商如需对建筑物进行内部装修（如办公地点室内环境改善装修等），均应提前将详细内容以书面形式报采购人，经过采购人同意后方可实施，费用由成交供应商自行承担。</w:t>
            </w:r>
          </w:p>
          <w:p w14:paraId="24AFD8E0">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7.供应商负责环保部门、卫生监督部门等所有部门工作检查中的汇报和答疑，且配合医院制作检查时所需材料，如安全生产检查、环保检查等。</w:t>
            </w:r>
          </w:p>
          <w:p w14:paraId="2BA1164A">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供应商每年至少应执行一次对污水处理站沉淀池、淤泥回收池</w:t>
            </w:r>
            <w:r>
              <w:rPr>
                <w:rFonts w:hint="eastAsia" w:ascii="宋体" w:hAnsi="宋体" w:eastAsia="宋体" w:cs="宋体"/>
                <w:color w:val="auto"/>
                <w:szCs w:val="21"/>
                <w:highlight w:val="none"/>
                <w:lang w:val="en-US" w:eastAsia="zh-CN"/>
              </w:rPr>
              <w:t>等等</w:t>
            </w:r>
            <w:r>
              <w:rPr>
                <w:rFonts w:hint="eastAsia" w:ascii="宋体" w:hAnsi="宋体" w:eastAsia="宋体" w:cs="宋体"/>
                <w:color w:val="auto"/>
                <w:szCs w:val="21"/>
                <w:highlight w:val="none"/>
                <w:lang w:eastAsia="zh-CN"/>
              </w:rPr>
              <w:t>各功能池的淤泥</w:t>
            </w:r>
            <w:r>
              <w:rPr>
                <w:rFonts w:hint="eastAsia" w:ascii="宋体" w:hAnsi="宋体" w:eastAsia="宋体" w:cs="宋体"/>
                <w:color w:val="auto"/>
                <w:szCs w:val="21"/>
                <w:highlight w:val="none"/>
                <w:lang w:val="en-US" w:eastAsia="zh-CN"/>
              </w:rPr>
              <w:t>清掏工作</w:t>
            </w:r>
            <w:r>
              <w:rPr>
                <w:rFonts w:hint="eastAsia" w:ascii="宋体" w:hAnsi="宋体" w:eastAsia="宋体" w:cs="宋体"/>
                <w:color w:val="auto"/>
                <w:szCs w:val="21"/>
                <w:highlight w:val="none"/>
                <w:lang w:eastAsia="zh-CN"/>
              </w:rPr>
              <w:t>，清掏过程中产生的淤泥必须依照危险废物处理的相应规定进行</w:t>
            </w:r>
            <w:r>
              <w:rPr>
                <w:rFonts w:hint="eastAsia" w:ascii="宋体" w:hAnsi="宋体" w:eastAsia="宋体" w:cs="宋体"/>
                <w:color w:val="auto"/>
                <w:szCs w:val="21"/>
                <w:highlight w:val="none"/>
                <w:lang w:val="en-US" w:eastAsia="zh-CN"/>
              </w:rPr>
              <w:t>清运</w:t>
            </w:r>
            <w:r>
              <w:rPr>
                <w:rFonts w:hint="eastAsia" w:ascii="宋体" w:hAnsi="宋体" w:eastAsia="宋体" w:cs="宋体"/>
                <w:color w:val="auto"/>
                <w:szCs w:val="21"/>
                <w:highlight w:val="none"/>
                <w:lang w:eastAsia="zh-CN"/>
              </w:rPr>
              <w:t>和处置，</w:t>
            </w:r>
            <w:r>
              <w:rPr>
                <w:rFonts w:hint="eastAsia" w:ascii="宋体" w:hAnsi="宋体" w:eastAsia="宋体" w:cs="宋体"/>
                <w:color w:val="auto"/>
                <w:szCs w:val="21"/>
                <w:highlight w:val="none"/>
                <w:lang w:val="en-US" w:eastAsia="zh-CN"/>
              </w:rPr>
              <w:t>运营管理期间，</w:t>
            </w:r>
            <w:r>
              <w:rPr>
                <w:rFonts w:hint="eastAsia" w:ascii="宋体" w:hAnsi="宋体" w:eastAsia="宋体" w:cs="宋体"/>
                <w:color w:val="auto"/>
                <w:szCs w:val="21"/>
                <w:highlight w:val="none"/>
                <w:lang w:eastAsia="zh-CN"/>
              </w:rPr>
              <w:t>即便未到预定清理周期，一旦出现堵塞现象，也应立即进行处理，清理工作完成后</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确保出入口畅通无阻，污水不会溢出地面。</w:t>
            </w:r>
            <w:r>
              <w:rPr>
                <w:rFonts w:hint="eastAsia" w:ascii="宋体" w:hAnsi="宋体" w:eastAsia="宋体" w:cs="宋体"/>
                <w:color w:val="auto"/>
                <w:szCs w:val="21"/>
                <w:highlight w:val="none"/>
                <w:lang w:val="en-US" w:eastAsia="zh-CN"/>
              </w:rPr>
              <w:t>淤泥清掏产生的</w:t>
            </w:r>
            <w:r>
              <w:rPr>
                <w:rFonts w:hint="eastAsia" w:ascii="宋体" w:hAnsi="宋体" w:eastAsia="宋体" w:cs="宋体"/>
                <w:color w:val="auto"/>
                <w:szCs w:val="21"/>
                <w:highlight w:val="none"/>
                <w:lang w:eastAsia="zh-CN"/>
              </w:rPr>
              <w:t>所有相关费用由供应商负责。</w:t>
            </w:r>
          </w:p>
          <w:p w14:paraId="0D5B5C24">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六</w:t>
            </w:r>
            <w:r>
              <w:rPr>
                <w:rFonts w:hint="eastAsia" w:ascii="宋体" w:hAnsi="宋体" w:eastAsia="宋体" w:cs="宋体"/>
                <w:color w:val="auto"/>
                <w:szCs w:val="21"/>
                <w:highlight w:val="none"/>
                <w:lang w:val="en-US" w:eastAsia="zh-CN"/>
              </w:rPr>
              <w:t>、管理质量要求</w:t>
            </w:r>
          </w:p>
          <w:p w14:paraId="462C1EFC">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（一）人员要求</w:t>
            </w:r>
          </w:p>
          <w:p w14:paraId="7A0F8783">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1.成交供应商负责派具有操作经验的操作人员操作运行全套污水处理系统，拟投入的人员不少于4人。</w:t>
            </w:r>
          </w:p>
          <w:p w14:paraId="18A556A2">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2.成交供应商为本项目配置的运营管理人员应每年进行健康体检（费用由成交供应商全额负责），体检项目需包含环保部门、卫监部门及医院要求的必检项目，并留存污水处理人员健康体检报告随时备查。</w:t>
            </w:r>
          </w:p>
          <w:p w14:paraId="008A8EDE">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在采购人场所内工作和生活的成交供应商有关人员，需服从采购人的监督与管理，自觉遵守国家法律法规以及医院的规章制度，不得影响医院正常工作和生活，否则采购人有权要求成交供应商更换人员直至终止合同。</w:t>
            </w:r>
            <w:r>
              <w:rPr>
                <w:rFonts w:hint="eastAsia" w:ascii="宋体" w:hAnsi="宋体" w:eastAsia="宋体" w:cs="宋体"/>
                <w:color w:val="auto"/>
                <w:szCs w:val="21"/>
                <w:highlight w:val="none"/>
                <w:lang w:eastAsia="zh-CN"/>
              </w:rPr>
              <w:t>另外，成交供应商所聘请的工作人员工资福利、医疗保险、人身安全</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lang w:eastAsia="zh-CN"/>
              </w:rPr>
              <w:t>突发伤亡等所产生的一切开支均由成交供应商负责，与采购人无关。</w:t>
            </w:r>
          </w:p>
          <w:p w14:paraId="4595D12B">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（二）管理要求</w:t>
            </w:r>
          </w:p>
          <w:p w14:paraId="32A4986E">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成交供应商的资质和证照在服务期内必须保持合法有效。一旦供应商根据国家规定完成审查并更新证照，应立即提交加盖公章的有效证照复印件至医院进行备案。</w:t>
            </w:r>
          </w:p>
          <w:p w14:paraId="4A233E0D">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2.成交供应商必须建立一套完善的污水处理站运营管理规章制度，其中包括硬件设备的维护方案、日常运行管理制度、规范的操作流程以及应急预案等，</w:t>
            </w:r>
            <w:r>
              <w:rPr>
                <w:rFonts w:hint="eastAsia" w:ascii="宋体" w:hAnsi="宋体" w:eastAsia="宋体" w:cs="宋体"/>
                <w:color w:val="auto"/>
                <w:szCs w:val="21"/>
                <w:highlight w:val="none"/>
                <w:lang w:val="en-US" w:eastAsia="zh-CN"/>
              </w:rPr>
              <w:t>并报采购人备案。</w:t>
            </w:r>
          </w:p>
          <w:p w14:paraId="48B2B027">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3.成交供应商必须确保在污水处理过程中，污水处理人员</w:t>
            </w:r>
            <w:r>
              <w:rPr>
                <w:rFonts w:hint="eastAsia" w:ascii="宋体" w:hAnsi="宋体" w:eastAsia="宋体" w:cs="宋体"/>
                <w:color w:val="auto"/>
                <w:szCs w:val="21"/>
                <w:highlight w:val="none"/>
                <w:lang w:val="en-US" w:eastAsia="zh-CN"/>
              </w:rPr>
              <w:t>做好相应的</w:t>
            </w:r>
            <w:r>
              <w:rPr>
                <w:rFonts w:hint="eastAsia" w:ascii="宋体" w:hAnsi="宋体" w:eastAsia="宋体" w:cs="宋体"/>
                <w:color w:val="auto"/>
                <w:szCs w:val="21"/>
                <w:highlight w:val="none"/>
                <w:lang w:eastAsia="zh-CN"/>
              </w:rPr>
              <w:t>个人防护措施。</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lang w:eastAsia="zh-CN"/>
              </w:rPr>
              <w:t>定期或不定期地对污水处理人员进行个人防护培训、应急培训以及应急演练，保留相应的培训记录，以</w:t>
            </w:r>
            <w:r>
              <w:rPr>
                <w:rFonts w:hint="eastAsia" w:ascii="宋体" w:hAnsi="宋体" w:eastAsia="宋体" w:cs="宋体"/>
                <w:color w:val="auto"/>
                <w:szCs w:val="21"/>
                <w:highlight w:val="none"/>
                <w:lang w:val="en-US" w:eastAsia="zh-CN"/>
              </w:rPr>
              <w:t>供采购人</w:t>
            </w:r>
            <w:r>
              <w:rPr>
                <w:rFonts w:hint="eastAsia" w:ascii="宋体" w:hAnsi="宋体" w:eastAsia="宋体" w:cs="宋体"/>
                <w:color w:val="auto"/>
                <w:szCs w:val="21"/>
                <w:highlight w:val="none"/>
                <w:lang w:eastAsia="zh-CN"/>
              </w:rPr>
              <w:t>随时进行核查。</w:t>
            </w:r>
          </w:p>
          <w:p w14:paraId="70AC05EA">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4.供应商运营期间须接受采购人的统一管理，不得影响采购人的正常工作秩序，所有操作、施工都要规范化施工、做好必要的提示、围挡及其他安全处理措施。</w:t>
            </w:r>
          </w:p>
          <w:p w14:paraId="260DA847">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（三）服务质量要求</w:t>
            </w:r>
          </w:p>
          <w:p w14:paraId="78C9D436">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1.医院污水处理排放水质要求：污水处理水质标准达到《医疗机构水污染物排放标准》（GB18466-2005）预处理排放标准，大气污染物排放标准达到《恶臭污染物排放标准》（GB 14554-93）及《排污许可证》等要求正常运营和合格排放的其他各项标准，如合同履行期间发生不可预见的疫情或其它卫生突发紧急事件，污水处理水质除达到上述标准，还需达到政府管理部门要求的其他相关标准（如有）。</w:t>
            </w:r>
          </w:p>
          <w:p w14:paraId="2B9BA3F5">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2.故障响应：如设备发生故障需要维修，须在 1 小时内到场（包含夜间），并在国家规定的合理的时间范围内修复，保证污水处理站正常运转。</w:t>
            </w:r>
          </w:p>
          <w:p w14:paraId="4AC5E3CA">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自</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lang w:eastAsia="zh-CN"/>
              </w:rPr>
              <w:t>供应商开始提供服务之日起直至服务期结束，采购</w:t>
            </w:r>
            <w:r>
              <w:rPr>
                <w:rFonts w:hint="eastAsia" w:ascii="宋体" w:hAnsi="宋体" w:eastAsia="宋体" w:cs="宋体"/>
                <w:color w:val="auto"/>
                <w:szCs w:val="21"/>
                <w:highlight w:val="none"/>
                <w:lang w:val="en-US" w:eastAsia="zh-CN"/>
              </w:rPr>
              <w:t>人将依照管理</w:t>
            </w:r>
            <w:r>
              <w:rPr>
                <w:rFonts w:hint="eastAsia" w:ascii="宋体" w:hAnsi="宋体" w:eastAsia="宋体" w:cs="宋体"/>
                <w:color w:val="auto"/>
                <w:szCs w:val="21"/>
                <w:highlight w:val="none"/>
                <w:lang w:eastAsia="zh-CN"/>
              </w:rPr>
              <w:t>规范</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lang w:eastAsia="zh-CN"/>
              </w:rPr>
              <w:t>每月安排具有相应资质的第三方检测机构对污水</w:t>
            </w:r>
            <w:r>
              <w:rPr>
                <w:rFonts w:hint="eastAsia" w:ascii="宋体" w:hAnsi="宋体" w:eastAsia="宋体" w:cs="宋体"/>
                <w:color w:val="auto"/>
                <w:szCs w:val="21"/>
                <w:highlight w:val="none"/>
                <w:lang w:val="en-US" w:eastAsia="zh-CN"/>
              </w:rPr>
              <w:t>处理质量</w:t>
            </w:r>
            <w:r>
              <w:rPr>
                <w:rFonts w:hint="eastAsia" w:ascii="宋体" w:hAnsi="宋体" w:eastAsia="宋体" w:cs="宋体"/>
                <w:color w:val="auto"/>
                <w:szCs w:val="21"/>
                <w:highlight w:val="none"/>
                <w:lang w:eastAsia="zh-CN"/>
              </w:rPr>
              <w:t>进行检测。若检测结果不合格，由此产生的补测费用将由供应商承担。</w:t>
            </w:r>
          </w:p>
          <w:p w14:paraId="3092D236">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采购人有权邀请第三方机构监督供应商污水处理站的运行情况，如供应商出现一年中连续3次以上环保、卫生部门监测不达标或采购人发现供应商运营过程中存在违规、不合理操作，采购人有权要求供应商限期整改，整改不到位，采购人认为影响到污水处理站的运营质量的，采购人有权解除合同，由此造成的损失全部由供应商承担。</w:t>
            </w:r>
          </w:p>
          <w:p w14:paraId="7ABE3587">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eastAsia="zh-CN"/>
              </w:rPr>
              <w:t>将依据《柳州市人民医院污水处理站服务管理考核表》对成交供应商进行严格的日常管理考核（详见附件2）。</w:t>
            </w:r>
          </w:p>
          <w:p w14:paraId="17C78146">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（四）其他要求</w:t>
            </w:r>
          </w:p>
          <w:p w14:paraId="44AEF24D">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签订合同后成交供应商必须在</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日内与采购人完成污水处理设备的交接，并开始正式负责相关工作。</w:t>
            </w:r>
          </w:p>
          <w:p w14:paraId="5762AD41">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运营服务期限内，供应商自行承担各项费用、风险和所有责任，包括安全事故、污染事故和超标排放责任。负责项目设施的运营与维护，包含污水处理所需净水剂、消毒剂等药剂，负责废弃物的妥善处置，保证污水处理稳定达标排放。如环保有关部门监测或验收检查不达标，其一切后果由供应商承担。</w:t>
            </w:r>
          </w:p>
          <w:p w14:paraId="428F09FC">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3.合同终止时，成交供应商必须向采购人移交相关管理档案资料，否则采购人有权暂停支付应付供应商的费用。</w:t>
            </w:r>
          </w:p>
          <w:p w14:paraId="5841DAB5">
            <w:pPr>
              <w:keepNext w:val="0"/>
              <w:keepLines w:val="0"/>
              <w:pageBreakBefore w:val="0"/>
              <w:widowControl w:val="0"/>
              <w:tabs>
                <w:tab w:val="left" w:pos="180"/>
                <w:tab w:val="left" w:pos="1620"/>
              </w:tabs>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4.在合同有效期内，任何一方因不可抗力事件导致不能履行合同，应立即通知对方，并提供有关机构出具的证明。</w:t>
            </w:r>
          </w:p>
        </w:tc>
      </w:tr>
      <w:tr w14:paraId="282B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433" w:type="dxa"/>
            <w:gridSpan w:val="4"/>
            <w:noWrap w:val="0"/>
            <w:vAlign w:val="center"/>
          </w:tcPr>
          <w:p w14:paraId="3BEFB38F">
            <w:pPr>
              <w:keepNext w:val="0"/>
              <w:keepLines w:val="0"/>
              <w:pageBreakBefore w:val="0"/>
              <w:widowControl w:val="0"/>
              <w:kinsoku/>
              <w:wordWrap/>
              <w:overflowPunct/>
              <w:topLinePunct w:val="0"/>
              <w:autoSpaceDE/>
              <w:autoSpaceDN/>
              <w:bidi w:val="0"/>
              <w:spacing w:line="440" w:lineRule="exact"/>
              <w:ind w:firstLine="0" w:firstLineChars="0"/>
              <w:jc w:val="left"/>
              <w:rPr>
                <w:rFonts w:ascii="宋体" w:hAnsi="宋体" w:cs="宋体"/>
                <w:b/>
                <w:color w:val="auto"/>
                <w:szCs w:val="21"/>
                <w:highlight w:val="none"/>
              </w:rPr>
            </w:pPr>
            <w:bookmarkStart w:id="93" w:name="_Toc417902277"/>
            <w:r>
              <w:rPr>
                <w:rFonts w:hint="eastAsia" w:ascii="宋体" w:hAnsi="宋体" w:cs="宋体"/>
                <w:color w:val="auto"/>
                <w:szCs w:val="21"/>
                <w:highlight w:val="none"/>
              </w:rPr>
              <w:t>▲</w:t>
            </w:r>
            <w:r>
              <w:rPr>
                <w:rFonts w:hint="eastAsia" w:ascii="宋体" w:hAnsi="宋体" w:cs="宋体"/>
                <w:b/>
                <w:color w:val="auto"/>
                <w:szCs w:val="21"/>
                <w:highlight w:val="none"/>
              </w:rPr>
              <w:t>二、</w:t>
            </w:r>
            <w:bookmarkEnd w:id="93"/>
            <w:r>
              <w:rPr>
                <w:rFonts w:hint="eastAsia" w:ascii="宋体" w:hAnsi="宋体" w:cs="宋体"/>
                <w:b/>
                <w:color w:val="auto"/>
                <w:szCs w:val="21"/>
                <w:highlight w:val="none"/>
              </w:rPr>
              <w:t>商务要求</w:t>
            </w:r>
          </w:p>
        </w:tc>
      </w:tr>
      <w:tr w14:paraId="2482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08" w:type="dxa"/>
            <w:gridSpan w:val="2"/>
            <w:noWrap w:val="0"/>
            <w:vAlign w:val="center"/>
          </w:tcPr>
          <w:p w14:paraId="33CCA508">
            <w:pPr>
              <w:keepNext w:val="0"/>
              <w:keepLines w:val="0"/>
              <w:pageBreakBefore w:val="0"/>
              <w:widowControl w:val="0"/>
              <w:kinsoku/>
              <w:wordWrap/>
              <w:overflowPunct/>
              <w:topLinePunct w:val="0"/>
              <w:autoSpaceDE/>
              <w:autoSpaceDN/>
              <w:bidi w:val="0"/>
              <w:spacing w:line="440" w:lineRule="exact"/>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服务期限</w:t>
            </w:r>
          </w:p>
        </w:tc>
        <w:tc>
          <w:tcPr>
            <w:tcW w:w="7125" w:type="dxa"/>
            <w:gridSpan w:val="2"/>
            <w:noWrap w:val="0"/>
            <w:vAlign w:val="center"/>
          </w:tcPr>
          <w:p w14:paraId="2B10C878">
            <w:pPr>
              <w:keepNext w:val="0"/>
              <w:keepLines w:val="0"/>
              <w:pageBreakBefore w:val="0"/>
              <w:widowControl w:val="0"/>
              <w:kinsoku/>
              <w:wordWrap/>
              <w:overflowPunct/>
              <w:topLinePunct w:val="0"/>
              <w:autoSpaceDE/>
              <w:autoSpaceDN/>
              <w:bidi w:val="0"/>
              <w:spacing w:line="440" w:lineRule="exact"/>
              <w:ind w:firstLine="0" w:firstLineChars="0"/>
              <w:jc w:val="left"/>
              <w:rPr>
                <w:rFonts w:hint="eastAsia" w:ascii="宋体" w:hAnsi="宋体" w:eastAsia="宋体" w:cs="宋体"/>
                <w:color w:val="auto"/>
                <w:kern w:val="0"/>
                <w:szCs w:val="21"/>
                <w:highlight w:val="none"/>
                <w:lang w:eastAsia="zh-CN"/>
              </w:rPr>
            </w:pPr>
            <w:r>
              <w:rPr>
                <w:rFonts w:hint="eastAsia" w:ascii="宋体" w:hAnsi="宋体" w:cs="仿宋"/>
                <w:color w:val="auto"/>
                <w:szCs w:val="21"/>
                <w:highlight w:val="none"/>
                <w:lang w:eastAsia="zh-CN"/>
              </w:rPr>
              <w:t>三年，从合同签订之日起计算。</w:t>
            </w:r>
          </w:p>
        </w:tc>
      </w:tr>
      <w:tr w14:paraId="6D5C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08" w:type="dxa"/>
            <w:gridSpan w:val="2"/>
            <w:noWrap w:val="0"/>
            <w:vAlign w:val="center"/>
          </w:tcPr>
          <w:p w14:paraId="09E12DEF">
            <w:pPr>
              <w:keepNext w:val="0"/>
              <w:keepLines w:val="0"/>
              <w:pageBreakBefore w:val="0"/>
              <w:widowControl w:val="0"/>
              <w:kinsoku/>
              <w:wordWrap/>
              <w:overflowPunct/>
              <w:topLinePunct w:val="0"/>
              <w:autoSpaceDE/>
              <w:autoSpaceDN/>
              <w:bidi w:val="0"/>
              <w:spacing w:line="440" w:lineRule="exact"/>
              <w:ind w:firstLine="0" w:firstLineChars="0"/>
              <w:jc w:val="center"/>
              <w:rPr>
                <w:rFonts w:hint="eastAsia" w:ascii="宋体" w:hAnsi="宋体" w:cs="宋体"/>
                <w:b/>
                <w:color w:val="auto"/>
                <w:szCs w:val="21"/>
                <w:highlight w:val="none"/>
              </w:rPr>
            </w:pPr>
            <w:r>
              <w:rPr>
                <w:rFonts w:hint="eastAsia" w:ascii="宋体" w:hAnsi="宋体"/>
                <w:b/>
                <w:color w:val="auto"/>
                <w:kern w:val="0"/>
                <w:szCs w:val="21"/>
                <w:highlight w:val="none"/>
              </w:rPr>
              <w:t>服务地点</w:t>
            </w:r>
          </w:p>
        </w:tc>
        <w:tc>
          <w:tcPr>
            <w:tcW w:w="7125" w:type="dxa"/>
            <w:gridSpan w:val="2"/>
            <w:noWrap w:val="0"/>
            <w:vAlign w:val="center"/>
          </w:tcPr>
          <w:p w14:paraId="51129C20">
            <w:pPr>
              <w:keepNext w:val="0"/>
              <w:keepLines w:val="0"/>
              <w:pageBreakBefore w:val="0"/>
              <w:widowControl w:val="0"/>
              <w:kinsoku/>
              <w:wordWrap/>
              <w:overflowPunct/>
              <w:topLinePunct w:val="0"/>
              <w:autoSpaceDE/>
              <w:autoSpaceDN/>
              <w:bidi w:val="0"/>
              <w:spacing w:line="440" w:lineRule="exact"/>
              <w:ind w:firstLine="0" w:firstLineChars="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柳州市人民医院</w:t>
            </w:r>
          </w:p>
        </w:tc>
      </w:tr>
      <w:tr w14:paraId="2B0F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08" w:type="dxa"/>
            <w:gridSpan w:val="2"/>
            <w:noWrap w:val="0"/>
            <w:vAlign w:val="center"/>
          </w:tcPr>
          <w:p w14:paraId="382EFC47">
            <w:pPr>
              <w:keepNext w:val="0"/>
              <w:keepLines w:val="0"/>
              <w:pageBreakBefore w:val="0"/>
              <w:widowControl w:val="0"/>
              <w:kinsoku/>
              <w:wordWrap/>
              <w:overflowPunct/>
              <w:topLinePunct w:val="0"/>
              <w:autoSpaceDE/>
              <w:autoSpaceDN/>
              <w:bidi w:val="0"/>
              <w:spacing w:line="440" w:lineRule="exact"/>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合同签订时间</w:t>
            </w:r>
          </w:p>
        </w:tc>
        <w:tc>
          <w:tcPr>
            <w:tcW w:w="7125" w:type="dxa"/>
            <w:gridSpan w:val="2"/>
            <w:noWrap w:val="0"/>
            <w:vAlign w:val="center"/>
          </w:tcPr>
          <w:p w14:paraId="66FE4C40">
            <w:pPr>
              <w:keepNext w:val="0"/>
              <w:keepLines w:val="0"/>
              <w:pageBreakBefore w:val="0"/>
              <w:widowControl w:val="0"/>
              <w:kinsoku/>
              <w:wordWrap/>
              <w:overflowPunct/>
              <w:topLinePunct w:val="0"/>
              <w:autoSpaceDE/>
              <w:autoSpaceDN/>
              <w:bidi w:val="0"/>
              <w:spacing w:line="440" w:lineRule="exact"/>
              <w:ind w:firstLine="0" w:firstLineChars="0"/>
              <w:rPr>
                <w:rFonts w:ascii="宋体" w:hAnsi="宋体" w:cs="宋体"/>
                <w:color w:val="auto"/>
                <w:szCs w:val="21"/>
                <w:highlight w:val="none"/>
              </w:rPr>
            </w:pPr>
            <w:r>
              <w:rPr>
                <w:rFonts w:hint="eastAsia" w:ascii="宋体" w:hAnsi="宋体" w:cs="宋体"/>
                <w:bCs/>
                <w:color w:val="auto"/>
                <w:szCs w:val="21"/>
                <w:highlight w:val="none"/>
              </w:rPr>
              <w:t>自成交通知书发出之日起25日内。</w:t>
            </w:r>
          </w:p>
        </w:tc>
      </w:tr>
      <w:tr w14:paraId="1428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gridSpan w:val="2"/>
            <w:noWrap w:val="0"/>
            <w:vAlign w:val="center"/>
          </w:tcPr>
          <w:p w14:paraId="7AB1913B">
            <w:pPr>
              <w:keepNext w:val="0"/>
              <w:keepLines w:val="0"/>
              <w:pageBreakBefore w:val="0"/>
              <w:widowControl w:val="0"/>
              <w:kinsoku/>
              <w:wordWrap/>
              <w:overflowPunct/>
              <w:topLinePunct w:val="0"/>
              <w:autoSpaceDE/>
              <w:autoSpaceDN/>
              <w:bidi w:val="0"/>
              <w:spacing w:line="440" w:lineRule="exact"/>
              <w:ind w:firstLine="0" w:firstLineChars="0"/>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报价要求</w:t>
            </w:r>
          </w:p>
        </w:tc>
        <w:tc>
          <w:tcPr>
            <w:tcW w:w="7125" w:type="dxa"/>
            <w:gridSpan w:val="2"/>
            <w:noWrap w:val="0"/>
            <w:vAlign w:val="center"/>
          </w:tcPr>
          <w:p w14:paraId="75CA1AC7">
            <w:pPr>
              <w:keepNext w:val="0"/>
              <w:keepLines w:val="0"/>
              <w:pageBreakBefore w:val="0"/>
              <w:widowControl w:val="0"/>
              <w:kinsoku/>
              <w:wordWrap/>
              <w:overflowPunct/>
              <w:topLinePunct w:val="0"/>
              <w:autoSpaceDE/>
              <w:autoSpaceDN/>
              <w:bidi w:val="0"/>
              <w:spacing w:line="440" w:lineRule="exact"/>
              <w:ind w:left="0" w:leftChars="0" w:firstLine="0" w:firstLineChars="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1.污水处理量、运营用水和用电量以及水电费用的核定</w:t>
            </w:r>
          </w:p>
          <w:p w14:paraId="0E3A993E">
            <w:pPr>
              <w:keepNext w:val="0"/>
              <w:keepLines w:val="0"/>
              <w:pageBreakBefore w:val="0"/>
              <w:widowControl w:val="0"/>
              <w:kinsoku/>
              <w:wordWrap/>
              <w:overflowPunct/>
              <w:topLinePunct w:val="0"/>
              <w:autoSpaceDE/>
              <w:autoSpaceDN/>
              <w:bidi w:val="0"/>
              <w:spacing w:line="440" w:lineRule="exact"/>
              <w:ind w:left="0" w:leftChars="0" w:firstLine="0" w:firstLineChars="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（1）污水处理量核定：每季度末双方共同抄表，按采购人在线监测设备中污水流量表数据核定污水处理量。</w:t>
            </w:r>
          </w:p>
          <w:p w14:paraId="69F6A7F5">
            <w:pPr>
              <w:keepNext w:val="0"/>
              <w:keepLines w:val="0"/>
              <w:pageBreakBefore w:val="0"/>
              <w:widowControl w:val="0"/>
              <w:kinsoku/>
              <w:wordWrap/>
              <w:overflowPunct/>
              <w:topLinePunct w:val="0"/>
              <w:autoSpaceDE/>
              <w:autoSpaceDN/>
              <w:bidi w:val="0"/>
              <w:spacing w:line="440" w:lineRule="exact"/>
              <w:ind w:left="0" w:leftChars="0" w:firstLine="0" w:firstLineChars="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（2）运营用水电量及水电费的核定：每季度末，双方将共同进行抄表，以核定用水和用电量。采购人将依据供电公司和自来水公司的水电价格，向成交的供应商收取相应的运营水电费。</w:t>
            </w:r>
          </w:p>
          <w:p w14:paraId="55CAE6FF">
            <w:pPr>
              <w:keepNext w:val="0"/>
              <w:keepLines w:val="0"/>
              <w:pageBreakBefore w:val="0"/>
              <w:widowControl w:val="0"/>
              <w:kinsoku/>
              <w:wordWrap/>
              <w:overflowPunct/>
              <w:topLinePunct w:val="0"/>
              <w:autoSpaceDE/>
              <w:autoSpaceDN/>
              <w:bidi w:val="0"/>
              <w:spacing w:line="440" w:lineRule="exact"/>
              <w:ind w:left="0" w:leftChars="0" w:firstLine="0" w:firstLineChars="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2.服务费用的计算</w:t>
            </w:r>
          </w:p>
          <w:p w14:paraId="0752DDCD">
            <w:pPr>
              <w:keepNext w:val="0"/>
              <w:keepLines w:val="0"/>
              <w:pageBreakBefore w:val="0"/>
              <w:widowControl w:val="0"/>
              <w:kinsoku/>
              <w:wordWrap/>
              <w:overflowPunct/>
              <w:topLinePunct w:val="0"/>
              <w:autoSpaceDE/>
              <w:autoSpaceDN/>
              <w:bidi w:val="0"/>
              <w:spacing w:line="440" w:lineRule="exact"/>
              <w:ind w:left="0" w:leftChars="0" w:firstLine="0" w:firstLineChars="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本项目为固定单价项目，</w:t>
            </w:r>
            <w:r>
              <w:rPr>
                <w:rFonts w:hint="eastAsia" w:ascii="宋体" w:hAnsi="宋体" w:cs="宋体"/>
                <w:color w:val="auto"/>
                <w:szCs w:val="21"/>
                <w:highlight w:val="none"/>
                <w:lang w:val="en-US" w:eastAsia="zh-CN"/>
              </w:rPr>
              <w:t>成交供应商的成交单价报价为固定单价，</w:t>
            </w:r>
            <w:r>
              <w:rPr>
                <w:rFonts w:hint="default" w:ascii="宋体" w:hAnsi="宋体" w:eastAsia="宋体" w:cs="宋体"/>
                <w:color w:val="auto"/>
                <w:szCs w:val="21"/>
                <w:highlight w:val="none"/>
                <w:lang w:val="en-US" w:eastAsia="zh-CN"/>
              </w:rPr>
              <w:t>以实际处理污水量进行结算，服务期间单价不变，污水处理单价包含：污水处理所需药剂的采购、运输、保管费，人工费，税费，设备保养、增加、维修费等一切相关费用，不再另行增加费用。</w:t>
            </w:r>
          </w:p>
          <w:p w14:paraId="497D0FF7">
            <w:pPr>
              <w:keepNext w:val="0"/>
              <w:keepLines w:val="0"/>
              <w:pageBreakBefore w:val="0"/>
              <w:widowControl w:val="0"/>
              <w:kinsoku/>
              <w:wordWrap/>
              <w:overflowPunct/>
              <w:topLinePunct w:val="0"/>
              <w:autoSpaceDE/>
              <w:autoSpaceDN/>
              <w:bidi w:val="0"/>
              <w:spacing w:line="440" w:lineRule="exact"/>
              <w:ind w:left="0" w:leftChars="0" w:firstLine="0" w:firstLineChars="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支付金额=实际处理污水量×污水处理单价-运营水电费-考核扣款。</w:t>
            </w:r>
          </w:p>
        </w:tc>
      </w:tr>
      <w:tr w14:paraId="1E06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gridSpan w:val="2"/>
            <w:noWrap w:val="0"/>
            <w:vAlign w:val="center"/>
          </w:tcPr>
          <w:p w14:paraId="19656C28">
            <w:pPr>
              <w:keepNext w:val="0"/>
              <w:keepLines w:val="0"/>
              <w:pageBreakBefore w:val="0"/>
              <w:widowControl w:val="0"/>
              <w:kinsoku/>
              <w:wordWrap/>
              <w:overflowPunct/>
              <w:topLinePunct w:val="0"/>
              <w:autoSpaceDE/>
              <w:autoSpaceDN/>
              <w:bidi w:val="0"/>
              <w:spacing w:line="440" w:lineRule="exact"/>
              <w:ind w:firstLine="0" w:firstLineChars="0"/>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付款方式</w:t>
            </w:r>
          </w:p>
        </w:tc>
        <w:tc>
          <w:tcPr>
            <w:tcW w:w="7125" w:type="dxa"/>
            <w:gridSpan w:val="2"/>
            <w:noWrap w:val="0"/>
            <w:vAlign w:val="center"/>
          </w:tcPr>
          <w:p w14:paraId="5B097131">
            <w:pPr>
              <w:keepNext w:val="0"/>
              <w:keepLines w:val="0"/>
              <w:pageBreakBefore w:val="0"/>
              <w:widowControl w:val="0"/>
              <w:kinsoku/>
              <w:wordWrap/>
              <w:overflowPunct/>
              <w:topLinePunct w:val="0"/>
              <w:autoSpaceDE/>
              <w:autoSpaceDN/>
              <w:bidi w:val="0"/>
              <w:spacing w:line="440" w:lineRule="exact"/>
              <w:ind w:left="0" w:leftChars="0" w:firstLine="0" w:firstLineChars="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每季度支付一次，季度服务费将根据实际处理的污水量产生的服务费和服务质量考核扣款进行计算，并扣除运营水电费后据实结算。成交供应商需在每季度初向采购人开具上一季度应付金额的增值税专用发票。采购人应在收到发票后，向成交供应商支付上一季度的污水处理服务费。</w:t>
            </w:r>
          </w:p>
        </w:tc>
      </w:tr>
      <w:tr w14:paraId="2D93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gridSpan w:val="2"/>
            <w:noWrap w:val="0"/>
            <w:vAlign w:val="center"/>
          </w:tcPr>
          <w:p w14:paraId="4F1A472F">
            <w:pPr>
              <w:keepNext w:val="0"/>
              <w:keepLines w:val="0"/>
              <w:pageBreakBefore w:val="0"/>
              <w:widowControl w:val="0"/>
              <w:kinsoku/>
              <w:wordWrap/>
              <w:overflowPunct/>
              <w:topLinePunct w:val="0"/>
              <w:autoSpaceDE/>
              <w:autoSpaceDN/>
              <w:bidi w:val="0"/>
              <w:spacing w:line="440" w:lineRule="exact"/>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采购标的验收标准</w:t>
            </w:r>
          </w:p>
        </w:tc>
        <w:tc>
          <w:tcPr>
            <w:tcW w:w="7125" w:type="dxa"/>
            <w:gridSpan w:val="2"/>
            <w:noWrap w:val="0"/>
            <w:vAlign w:val="center"/>
          </w:tcPr>
          <w:p w14:paraId="49288F24">
            <w:pPr>
              <w:keepNext w:val="0"/>
              <w:keepLines w:val="0"/>
              <w:pageBreakBefore w:val="0"/>
              <w:widowControl w:val="0"/>
              <w:kinsoku/>
              <w:wordWrap/>
              <w:overflowPunct/>
              <w:topLinePunct w:val="0"/>
              <w:autoSpaceDE/>
              <w:autoSpaceDN/>
              <w:bidi w:val="0"/>
              <w:spacing w:line="44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1.验收标准：符合竞争性磋商文件、响应文件及合同承诺中采购人认可的各项服务要求。</w:t>
            </w:r>
          </w:p>
          <w:p w14:paraId="11B725D1">
            <w:pPr>
              <w:keepNext w:val="0"/>
              <w:keepLines w:val="0"/>
              <w:pageBreakBefore w:val="0"/>
              <w:widowControl w:val="0"/>
              <w:kinsoku/>
              <w:wordWrap/>
              <w:overflowPunct/>
              <w:topLinePunct w:val="0"/>
              <w:autoSpaceDE/>
              <w:autoSpaceDN/>
              <w:bidi w:val="0"/>
              <w:spacing w:line="44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2.验收方</w:t>
            </w:r>
            <w:r>
              <w:rPr>
                <w:rFonts w:hint="eastAsia" w:ascii="宋体" w:hAnsi="宋体" w:cs="宋体"/>
                <w:color w:val="auto"/>
                <w:szCs w:val="21"/>
                <w:highlight w:val="none"/>
              </w:rPr>
              <w:t>式和程序：由采购人组织验收小组检查服务需求的落实情况，详按第二章“</w:t>
            </w:r>
            <w:r>
              <w:rPr>
                <w:rFonts w:hint="eastAsia" w:ascii="宋体" w:hAnsi="宋体" w:cs="宋体"/>
                <w:color w:val="auto"/>
                <w:szCs w:val="21"/>
                <w:highlight w:val="none"/>
                <w:u w:val="single"/>
              </w:rPr>
              <w:t>供应商须知正文”第四条“评审及磋商”中的第34款“验收”的规定进行验收</w:t>
            </w:r>
            <w:r>
              <w:rPr>
                <w:rFonts w:hint="eastAsia" w:ascii="宋体" w:hAnsi="宋体" w:cs="宋体"/>
                <w:color w:val="auto"/>
                <w:szCs w:val="21"/>
                <w:highlight w:val="none"/>
              </w:rPr>
              <w:t>。</w:t>
            </w:r>
          </w:p>
          <w:p w14:paraId="4407AE9B">
            <w:pPr>
              <w:keepNext w:val="0"/>
              <w:keepLines w:val="0"/>
              <w:pageBreakBefore w:val="0"/>
              <w:widowControl w:val="0"/>
              <w:kinsoku/>
              <w:wordWrap/>
              <w:overflowPunct/>
              <w:topLinePunct w:val="0"/>
              <w:autoSpaceDE/>
              <w:autoSpaceDN/>
              <w:bidi w:val="0"/>
              <w:spacing w:line="44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3.采购人有权委托</w:t>
            </w:r>
            <w:r>
              <w:rPr>
                <w:rFonts w:hint="eastAsia" w:ascii="宋体" w:hAnsi="宋体" w:cs="宋体"/>
                <w:color w:val="auto"/>
                <w:szCs w:val="21"/>
                <w:highlight w:val="none"/>
              </w:rPr>
              <w:t>第三方进行履约验收，履约验收费用由成交供应商支付。供应商在报价时自行考虑。</w:t>
            </w:r>
          </w:p>
        </w:tc>
      </w:tr>
      <w:tr w14:paraId="0E04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8" w:type="dxa"/>
            <w:gridSpan w:val="2"/>
            <w:noWrap w:val="0"/>
            <w:vAlign w:val="center"/>
          </w:tcPr>
          <w:p w14:paraId="151475CE">
            <w:pPr>
              <w:keepNext w:val="0"/>
              <w:keepLines w:val="0"/>
              <w:pageBreakBefore w:val="0"/>
              <w:widowControl w:val="0"/>
              <w:kinsoku/>
              <w:wordWrap/>
              <w:overflowPunct/>
              <w:topLinePunct w:val="0"/>
              <w:autoSpaceDE/>
              <w:autoSpaceDN/>
              <w:bidi w:val="0"/>
              <w:spacing w:line="440" w:lineRule="exact"/>
              <w:ind w:firstLine="0" w:firstLineChars="0"/>
              <w:jc w:val="center"/>
              <w:rPr>
                <w:rFonts w:ascii="宋体" w:hAnsi="宋体" w:cs="宋体"/>
                <w:b/>
                <w:color w:val="auto"/>
                <w:szCs w:val="21"/>
                <w:highlight w:val="none"/>
              </w:rPr>
            </w:pPr>
            <w:r>
              <w:rPr>
                <w:rFonts w:hint="eastAsia" w:ascii="宋体" w:hAnsi="宋体" w:cs="宋体"/>
                <w:b/>
                <w:color w:val="auto"/>
                <w:szCs w:val="21"/>
                <w:highlight w:val="none"/>
              </w:rPr>
              <w:t>保密要求</w:t>
            </w:r>
          </w:p>
        </w:tc>
        <w:tc>
          <w:tcPr>
            <w:tcW w:w="7125" w:type="dxa"/>
            <w:gridSpan w:val="2"/>
            <w:noWrap w:val="0"/>
            <w:vAlign w:val="center"/>
          </w:tcPr>
          <w:p w14:paraId="76764F45">
            <w:pPr>
              <w:keepNext w:val="0"/>
              <w:keepLines w:val="0"/>
              <w:pageBreakBefore w:val="0"/>
              <w:widowControl w:val="0"/>
              <w:kinsoku/>
              <w:wordWrap/>
              <w:overflowPunct/>
              <w:topLinePunct w:val="0"/>
              <w:autoSpaceDE/>
              <w:autoSpaceDN/>
              <w:bidi w:val="0"/>
              <w:spacing w:line="440" w:lineRule="exact"/>
              <w:ind w:firstLine="0" w:firstLineChars="0"/>
              <w:jc w:val="left"/>
              <w:rPr>
                <w:rFonts w:hint="eastAsia" w:ascii="宋体" w:hAnsi="宋体" w:cs="宋体"/>
                <w:color w:val="auto"/>
                <w:szCs w:val="21"/>
                <w:highlight w:val="none"/>
              </w:rPr>
            </w:pPr>
            <w:r>
              <w:rPr>
                <w:rFonts w:hint="eastAsia" w:ascii="宋体" w:hAnsi="宋体" w:cs="宋体"/>
                <w:bCs/>
                <w:color w:val="auto"/>
                <w:szCs w:val="21"/>
                <w:highlight w:val="none"/>
              </w:rPr>
              <w:t>成交供应商须严格遵守采购人保密制度要求，在项目开展过程中，对本项目所有项目信息以及接触到数据予以保密，未经采购人书面允许，不得以任何形式向第三方透露本项目的任何内容。</w:t>
            </w:r>
          </w:p>
        </w:tc>
      </w:tr>
    </w:tbl>
    <w:p w14:paraId="587D1386">
      <w:pPr>
        <w:spacing w:line="380" w:lineRule="exact"/>
        <w:ind w:firstLine="197" w:firstLineChars="94"/>
        <w:rPr>
          <w:rFonts w:ascii="宋体" w:hAnsi="宋体" w:cs="宋体"/>
          <w:b/>
          <w:bCs/>
          <w:color w:val="auto"/>
          <w:szCs w:val="21"/>
          <w:highlight w:val="none"/>
        </w:rPr>
      </w:pPr>
    </w:p>
    <w:p w14:paraId="4B591E2D">
      <w:pPr>
        <w:spacing w:line="380" w:lineRule="exact"/>
        <w:ind w:firstLine="197" w:firstLineChars="94"/>
        <w:rPr>
          <w:rFonts w:ascii="宋体" w:hAnsi="宋体" w:cs="宋体"/>
          <w:b/>
          <w:bCs/>
          <w:color w:val="auto"/>
          <w:szCs w:val="21"/>
          <w:highlight w:val="none"/>
        </w:rPr>
      </w:pPr>
    </w:p>
    <w:p w14:paraId="7D495E3B">
      <w:pPr>
        <w:ind w:firstLine="420"/>
        <w:rPr>
          <w:rFonts w:eastAsia="仿宋_GB2312"/>
          <w:color w:val="auto"/>
          <w:szCs w:val="21"/>
          <w:highlight w:val="none"/>
        </w:rPr>
      </w:pPr>
      <w:bookmarkStart w:id="94" w:name="_Hlt106032257"/>
      <w:bookmarkEnd w:id="94"/>
      <w:bookmarkStart w:id="95" w:name="_Hlt106033424"/>
      <w:bookmarkEnd w:id="95"/>
    </w:p>
    <w:p w14:paraId="288E819A">
      <w:pPr>
        <w:spacing w:line="400" w:lineRule="exact"/>
        <w:ind w:firstLine="640"/>
        <w:rPr>
          <w:rFonts w:hint="eastAsia" w:ascii="仿宋_GB2312" w:hAnsi="仿宋_GB2312" w:eastAsia="仿宋_GB2312" w:cs="仿宋_GB2312"/>
          <w:color w:val="auto"/>
          <w:kern w:val="0"/>
          <w:sz w:val="32"/>
          <w:szCs w:val="32"/>
          <w:highlight w:val="none"/>
        </w:rPr>
      </w:pPr>
    </w:p>
    <w:p w14:paraId="69619535">
      <w:pPr>
        <w:pStyle w:val="3"/>
        <w:ind w:firstLine="0" w:firstLineChars="0"/>
        <w:jc w:val="center"/>
        <w:rPr>
          <w:rFonts w:ascii="宋体" w:hAnsi="宋体" w:cs="宋体"/>
          <w:color w:val="auto"/>
          <w:highlight w:val="none"/>
          <w:lang w:val="en-US"/>
        </w:rPr>
      </w:pPr>
    </w:p>
    <w:p w14:paraId="291F6DDA">
      <w:pPr>
        <w:pStyle w:val="3"/>
        <w:ind w:firstLine="0" w:firstLineChars="0"/>
        <w:jc w:val="center"/>
        <w:rPr>
          <w:rFonts w:ascii="宋体" w:hAnsi="宋体" w:cs="宋体"/>
          <w:color w:val="auto"/>
          <w:highlight w:val="none"/>
        </w:rPr>
      </w:pPr>
    </w:p>
    <w:p w14:paraId="1E8FA1BF">
      <w:pPr>
        <w:pStyle w:val="3"/>
        <w:ind w:firstLine="0" w:firstLineChars="0"/>
        <w:rPr>
          <w:rFonts w:ascii="宋体" w:hAnsi="宋体" w:cs="宋体"/>
          <w:color w:val="auto"/>
          <w:highlight w:val="none"/>
        </w:rPr>
      </w:pPr>
    </w:p>
    <w:p w14:paraId="007241B2">
      <w:pPr>
        <w:ind w:firstLine="420"/>
        <w:rPr>
          <w:color w:val="auto"/>
          <w:highlight w:val="none"/>
        </w:rPr>
      </w:pPr>
    </w:p>
    <w:p w14:paraId="1B99D9B4">
      <w:pPr>
        <w:ind w:firstLine="420"/>
        <w:rPr>
          <w:color w:val="auto"/>
          <w:highlight w:val="none"/>
        </w:rPr>
      </w:pPr>
    </w:p>
    <w:p w14:paraId="7D3202B0">
      <w:pPr>
        <w:pStyle w:val="3"/>
        <w:ind w:firstLine="0" w:firstLineChars="0"/>
        <w:jc w:val="center"/>
        <w:rPr>
          <w:rFonts w:ascii="宋体" w:hAnsi="宋体" w:cs="宋体"/>
          <w:color w:val="auto"/>
          <w:highlight w:val="none"/>
        </w:rPr>
      </w:pPr>
    </w:p>
    <w:p w14:paraId="62D0AA87">
      <w:pPr>
        <w:ind w:firstLine="420"/>
        <w:rPr>
          <w:color w:val="auto"/>
          <w:highlight w:val="none"/>
        </w:rPr>
      </w:pPr>
    </w:p>
    <w:p w14:paraId="45C984A2">
      <w:pPr>
        <w:pStyle w:val="3"/>
        <w:ind w:firstLine="0" w:firstLineChars="0"/>
        <w:jc w:val="center"/>
        <w:rPr>
          <w:rFonts w:hint="eastAsia" w:ascii="宋体" w:hAnsi="宋体" w:cs="宋体"/>
          <w:color w:val="auto"/>
          <w:highlight w:val="none"/>
        </w:rPr>
        <w:sectPr>
          <w:footerReference r:id="rId13" w:type="default"/>
          <w:pgSz w:w="11906" w:h="16838"/>
          <w:pgMar w:top="1134" w:right="1134" w:bottom="1134" w:left="1134" w:header="851" w:footer="992" w:gutter="0"/>
          <w:pgNumType w:fmt="decimal" w:start="1"/>
          <w:cols w:space="720" w:num="1"/>
          <w:docGrid w:type="linesAndChars" w:linePitch="312" w:charSpace="0"/>
        </w:sectPr>
      </w:pPr>
      <w:bookmarkStart w:id="96" w:name="_Toc1917"/>
    </w:p>
    <w:p w14:paraId="7F44B41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Courier New"/>
          <w:color w:val="auto"/>
          <w:sz w:val="28"/>
          <w:szCs w:val="28"/>
          <w:highlight w:val="none"/>
          <w:lang w:val="en-US" w:eastAsia="zh-CN"/>
        </w:rPr>
      </w:pPr>
      <w:r>
        <w:rPr>
          <w:rFonts w:hint="eastAsia" w:ascii="宋体" w:hAnsi="Courier New"/>
          <w:color w:val="auto"/>
          <w:sz w:val="28"/>
          <w:szCs w:val="28"/>
          <w:highlight w:val="none"/>
          <w:lang w:val="en-US" w:eastAsia="zh-CN"/>
        </w:rPr>
        <w:t xml:space="preserve">附件1：     </w:t>
      </w:r>
    </w:p>
    <w:p w14:paraId="510E1C4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Courier New"/>
          <w:b/>
          <w:bCs/>
          <w:color w:val="auto"/>
          <w:sz w:val="28"/>
          <w:szCs w:val="28"/>
          <w:highlight w:val="none"/>
        </w:rPr>
      </w:pPr>
      <w:r>
        <w:rPr>
          <w:rFonts w:hint="eastAsia" w:ascii="宋体" w:hAnsi="Courier New"/>
          <w:b/>
          <w:bCs/>
          <w:color w:val="auto"/>
          <w:sz w:val="28"/>
          <w:szCs w:val="28"/>
          <w:highlight w:val="none"/>
        </w:rPr>
        <w:t>柳州市人民医院污水处理站设备维护保养与维修清单</w:t>
      </w:r>
    </w:p>
    <w:tbl>
      <w:tblPr>
        <w:tblStyle w:val="51"/>
        <w:tblpPr w:leftFromText="180" w:rightFromText="180" w:vertAnchor="text" w:horzAnchor="page" w:tblpXSpec="center" w:tblpY="462"/>
        <w:tblOverlap w:val="never"/>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31"/>
        <w:gridCol w:w="441"/>
        <w:gridCol w:w="84"/>
        <w:gridCol w:w="156"/>
        <w:gridCol w:w="702"/>
        <w:gridCol w:w="608"/>
        <w:gridCol w:w="4912"/>
        <w:gridCol w:w="860"/>
        <w:gridCol w:w="924"/>
      </w:tblGrid>
      <w:tr w14:paraId="35E0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38" w:type="dxa"/>
            <w:noWrap/>
            <w:vAlign w:val="center"/>
          </w:tcPr>
          <w:p w14:paraId="5E884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序号</w:t>
            </w:r>
          </w:p>
        </w:tc>
        <w:tc>
          <w:tcPr>
            <w:tcW w:w="731" w:type="dxa"/>
            <w:vAlign w:val="center"/>
          </w:tcPr>
          <w:p w14:paraId="4F511F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项目名称</w:t>
            </w:r>
          </w:p>
        </w:tc>
        <w:tc>
          <w:tcPr>
            <w:tcW w:w="1383" w:type="dxa"/>
            <w:gridSpan w:val="4"/>
            <w:noWrap/>
            <w:vAlign w:val="center"/>
          </w:tcPr>
          <w:p w14:paraId="5F6157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设备名称</w:t>
            </w:r>
          </w:p>
        </w:tc>
        <w:tc>
          <w:tcPr>
            <w:tcW w:w="608" w:type="dxa"/>
            <w:noWrap/>
            <w:vAlign w:val="center"/>
          </w:tcPr>
          <w:p w14:paraId="571EC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数量</w:t>
            </w:r>
          </w:p>
        </w:tc>
        <w:tc>
          <w:tcPr>
            <w:tcW w:w="4912" w:type="dxa"/>
            <w:noWrap/>
            <w:vAlign w:val="center"/>
          </w:tcPr>
          <w:p w14:paraId="6AE64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维护保养内容</w:t>
            </w:r>
          </w:p>
        </w:tc>
        <w:tc>
          <w:tcPr>
            <w:tcW w:w="860" w:type="dxa"/>
            <w:noWrap/>
            <w:vAlign w:val="center"/>
          </w:tcPr>
          <w:p w14:paraId="36348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维护保养周期</w:t>
            </w:r>
          </w:p>
        </w:tc>
        <w:tc>
          <w:tcPr>
            <w:tcW w:w="924" w:type="dxa"/>
            <w:noWrap/>
            <w:vAlign w:val="center"/>
          </w:tcPr>
          <w:p w14:paraId="5A669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备注</w:t>
            </w:r>
          </w:p>
        </w:tc>
      </w:tr>
      <w:tr w14:paraId="1EEB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38" w:type="dxa"/>
            <w:vMerge w:val="restart"/>
            <w:noWrap/>
            <w:vAlign w:val="center"/>
          </w:tcPr>
          <w:p w14:paraId="65C91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w:t>
            </w:r>
          </w:p>
        </w:tc>
        <w:tc>
          <w:tcPr>
            <w:tcW w:w="731" w:type="dxa"/>
            <w:vMerge w:val="restart"/>
            <w:vAlign w:val="center"/>
          </w:tcPr>
          <w:p w14:paraId="306389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第二住院楼污水预处理设备</w:t>
            </w:r>
          </w:p>
        </w:tc>
        <w:tc>
          <w:tcPr>
            <w:tcW w:w="1383" w:type="dxa"/>
            <w:gridSpan w:val="4"/>
            <w:noWrap/>
            <w:vAlign w:val="center"/>
          </w:tcPr>
          <w:p w14:paraId="487B27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隔栅</w:t>
            </w:r>
            <w:r>
              <w:rPr>
                <w:rFonts w:hint="eastAsia" w:ascii="宋体" w:hAnsi="宋体" w:eastAsia="宋体" w:cs="宋体"/>
                <w:bCs/>
                <w:color w:val="auto"/>
                <w:kern w:val="0"/>
                <w:sz w:val="21"/>
                <w:szCs w:val="21"/>
                <w:highlight w:val="none"/>
                <w:lang w:eastAsia="zh-CN"/>
              </w:rPr>
              <w:t>池</w:t>
            </w:r>
          </w:p>
        </w:tc>
        <w:tc>
          <w:tcPr>
            <w:tcW w:w="608" w:type="dxa"/>
            <w:noWrap/>
            <w:vAlign w:val="center"/>
          </w:tcPr>
          <w:p w14:paraId="10030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Align w:val="center"/>
          </w:tcPr>
          <w:p w14:paraId="5F135E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 定期清理栅渣</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 检查隔栅网是否破损堵塞</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0D24B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每周</w:t>
            </w:r>
          </w:p>
        </w:tc>
        <w:tc>
          <w:tcPr>
            <w:tcW w:w="924" w:type="dxa"/>
            <w:vMerge w:val="restart"/>
            <w:vAlign w:val="center"/>
          </w:tcPr>
          <w:p w14:paraId="3CC575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由</w:t>
            </w:r>
            <w:r>
              <w:rPr>
                <w:rFonts w:hint="eastAsia" w:ascii="宋体" w:hAnsi="宋体" w:eastAsia="宋体" w:cs="宋体"/>
                <w:bCs/>
                <w:color w:val="auto"/>
                <w:kern w:val="0"/>
                <w:sz w:val="21"/>
                <w:szCs w:val="21"/>
                <w:highlight w:val="none"/>
                <w:lang w:eastAsia="zh-CN"/>
              </w:rPr>
              <w:t>成交供应商</w:t>
            </w:r>
            <w:r>
              <w:rPr>
                <w:rFonts w:hint="eastAsia" w:ascii="宋体" w:hAnsi="宋体" w:eastAsia="宋体" w:cs="宋体"/>
                <w:bCs/>
                <w:color w:val="auto"/>
                <w:kern w:val="0"/>
                <w:sz w:val="21"/>
                <w:szCs w:val="21"/>
                <w:highlight w:val="none"/>
              </w:rPr>
              <w:t>负责维护保养与维修</w:t>
            </w:r>
          </w:p>
        </w:tc>
      </w:tr>
      <w:tr w14:paraId="151B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38" w:type="dxa"/>
            <w:vMerge w:val="continue"/>
            <w:noWrap/>
            <w:vAlign w:val="center"/>
          </w:tcPr>
          <w:p w14:paraId="67D59D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3B81A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09214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提升泵（潜污泵）</w:t>
            </w:r>
          </w:p>
        </w:tc>
        <w:tc>
          <w:tcPr>
            <w:tcW w:w="608" w:type="dxa"/>
            <w:noWrap/>
            <w:vAlign w:val="center"/>
          </w:tcPr>
          <w:p w14:paraId="30065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2台</w:t>
            </w:r>
          </w:p>
        </w:tc>
        <w:tc>
          <w:tcPr>
            <w:tcW w:w="4912" w:type="dxa"/>
            <w:vAlign w:val="center"/>
          </w:tcPr>
          <w:p w14:paraId="42E827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1208F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206BAA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223D61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70941F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72601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78BE7A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23E7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38" w:type="dxa"/>
            <w:vMerge w:val="continue"/>
            <w:noWrap/>
            <w:vAlign w:val="center"/>
          </w:tcPr>
          <w:p w14:paraId="66E8FF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7A9F76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60524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回流泵（潜污泵）</w:t>
            </w:r>
          </w:p>
        </w:tc>
        <w:tc>
          <w:tcPr>
            <w:tcW w:w="608" w:type="dxa"/>
            <w:noWrap/>
            <w:vAlign w:val="center"/>
          </w:tcPr>
          <w:p w14:paraId="4F7A3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1台</w:t>
            </w:r>
          </w:p>
        </w:tc>
        <w:tc>
          <w:tcPr>
            <w:tcW w:w="4912" w:type="dxa"/>
            <w:vAlign w:val="center"/>
          </w:tcPr>
          <w:p w14:paraId="09BF7B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40DFBC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7A3398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1D8335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2F663F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113D51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7CE7ED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AE6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438" w:type="dxa"/>
            <w:vMerge w:val="continue"/>
            <w:noWrap/>
            <w:vAlign w:val="center"/>
          </w:tcPr>
          <w:p w14:paraId="4EE1AA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1CC39E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42E34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电磁隔膜计量泵</w:t>
            </w:r>
          </w:p>
        </w:tc>
        <w:tc>
          <w:tcPr>
            <w:tcW w:w="608" w:type="dxa"/>
            <w:noWrap/>
            <w:vAlign w:val="center"/>
          </w:tcPr>
          <w:p w14:paraId="515915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2台</w:t>
            </w:r>
          </w:p>
        </w:tc>
        <w:tc>
          <w:tcPr>
            <w:tcW w:w="4912" w:type="dxa"/>
            <w:vAlign w:val="center"/>
          </w:tcPr>
          <w:p w14:paraId="4D4EC1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进出药管有无腐蚀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破裂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，单向阀有无异物堵塞</w:t>
            </w:r>
            <w:r>
              <w:rPr>
                <w:rFonts w:hint="eastAsia" w:ascii="宋体" w:hAnsi="宋体" w:eastAsia="宋体" w:cs="宋体"/>
                <w:color w:val="auto"/>
                <w:sz w:val="21"/>
                <w:szCs w:val="21"/>
                <w:highlight w:val="none"/>
                <w:lang w:val="en-US" w:eastAsia="zh-CN"/>
              </w:rPr>
              <w:sym w:font="Wingdings" w:char="00A8"/>
            </w:r>
          </w:p>
          <w:p w14:paraId="7E19D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泵头连接螺钉有无松动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各连接件有无漏液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膜片有无损坏</w:t>
            </w:r>
            <w:r>
              <w:rPr>
                <w:rFonts w:hint="eastAsia" w:ascii="宋体" w:hAnsi="宋体" w:eastAsia="宋体" w:cs="宋体"/>
                <w:color w:val="auto"/>
                <w:sz w:val="21"/>
                <w:szCs w:val="21"/>
                <w:highlight w:val="none"/>
                <w:lang w:val="en-US" w:eastAsia="zh-CN"/>
              </w:rPr>
              <w:sym w:font="Wingdings" w:char="00A8"/>
            </w:r>
          </w:p>
          <w:p w14:paraId="705D76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排气阀门有无松动，漏气</w:t>
            </w:r>
            <w:r>
              <w:rPr>
                <w:rFonts w:hint="eastAsia" w:ascii="宋体" w:hAnsi="宋体" w:eastAsia="宋体" w:cs="宋体"/>
                <w:color w:val="auto"/>
                <w:sz w:val="21"/>
                <w:szCs w:val="21"/>
                <w:highlight w:val="none"/>
                <w:lang w:val="en-US" w:eastAsia="zh-CN"/>
              </w:rPr>
              <w:sym w:font="Wingdings" w:char="00A8"/>
            </w:r>
          </w:p>
          <w:p w14:paraId="47D4EE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电缆是否有破损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035454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43FA6E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6A8FBE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9A6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8" w:type="dxa"/>
            <w:vMerge w:val="continue"/>
            <w:noWrap/>
            <w:vAlign w:val="center"/>
          </w:tcPr>
          <w:p w14:paraId="020FCB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38EABC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56C0E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加药装置</w:t>
            </w:r>
          </w:p>
        </w:tc>
        <w:tc>
          <w:tcPr>
            <w:tcW w:w="608" w:type="dxa"/>
            <w:noWrap/>
            <w:vAlign w:val="center"/>
          </w:tcPr>
          <w:p w14:paraId="1FD9A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Align w:val="center"/>
          </w:tcPr>
          <w:p w14:paraId="6B9D02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各管路，阀门，连接管件是否漏液</w:t>
            </w:r>
            <w:r>
              <w:rPr>
                <w:rFonts w:hint="eastAsia" w:ascii="宋体" w:hAnsi="宋体" w:eastAsia="宋体" w:cs="宋体"/>
                <w:color w:val="auto"/>
                <w:sz w:val="21"/>
                <w:szCs w:val="21"/>
                <w:highlight w:val="none"/>
                <w:lang w:val="en-US" w:eastAsia="zh-CN"/>
              </w:rPr>
              <w:sym w:font="Wingdings" w:char="00A8"/>
            </w:r>
          </w:p>
          <w:p w14:paraId="7F86AE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 药箱表面有无腐蚀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焊接口是否漏液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tc>
        <w:tc>
          <w:tcPr>
            <w:tcW w:w="860" w:type="dxa"/>
            <w:vAlign w:val="center"/>
          </w:tcPr>
          <w:p w14:paraId="2EB957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2791F8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FBA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38" w:type="dxa"/>
            <w:vMerge w:val="continue"/>
            <w:noWrap/>
            <w:vAlign w:val="center"/>
          </w:tcPr>
          <w:p w14:paraId="246A9F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9C84C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7BBE18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电控箱（PLC)</w:t>
            </w:r>
          </w:p>
        </w:tc>
        <w:tc>
          <w:tcPr>
            <w:tcW w:w="608" w:type="dxa"/>
            <w:noWrap/>
            <w:vAlign w:val="center"/>
          </w:tcPr>
          <w:p w14:paraId="5D6A1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Align w:val="top"/>
          </w:tcPr>
          <w:p w14:paraId="425082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6B8E71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2F85E5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08D1A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7D8DCC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68A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38" w:type="dxa"/>
            <w:vMerge w:val="continue"/>
            <w:noWrap/>
            <w:vAlign w:val="center"/>
          </w:tcPr>
          <w:p w14:paraId="492C6C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2B1660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16F0AB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液位传感器</w:t>
            </w:r>
          </w:p>
        </w:tc>
        <w:tc>
          <w:tcPr>
            <w:tcW w:w="608" w:type="dxa"/>
            <w:noWrap/>
            <w:vAlign w:val="center"/>
          </w:tcPr>
          <w:p w14:paraId="7F592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Align w:val="top"/>
          </w:tcPr>
          <w:p w14:paraId="2ED23D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1导线绝缘是否损坏或老化</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57EAB4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液位显示是否正常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0E343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传感器端头是否淤堵</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5D5789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025C8D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8E8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38" w:type="dxa"/>
            <w:vMerge w:val="restart"/>
            <w:noWrap/>
            <w:vAlign w:val="center"/>
          </w:tcPr>
          <w:p w14:paraId="16C67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w:t>
            </w:r>
          </w:p>
        </w:tc>
        <w:tc>
          <w:tcPr>
            <w:tcW w:w="731" w:type="dxa"/>
            <w:vMerge w:val="restart"/>
            <w:vAlign w:val="center"/>
          </w:tcPr>
          <w:p w14:paraId="4C75F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门诊化验室污水预处理</w:t>
            </w:r>
          </w:p>
        </w:tc>
        <w:tc>
          <w:tcPr>
            <w:tcW w:w="1383" w:type="dxa"/>
            <w:gridSpan w:val="4"/>
            <w:noWrap/>
            <w:vAlign w:val="center"/>
          </w:tcPr>
          <w:p w14:paraId="69EA7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隔栅</w:t>
            </w:r>
            <w:r>
              <w:rPr>
                <w:rFonts w:hint="eastAsia" w:ascii="宋体" w:hAnsi="宋体" w:eastAsia="宋体" w:cs="宋体"/>
                <w:bCs/>
                <w:color w:val="auto"/>
                <w:kern w:val="0"/>
                <w:sz w:val="21"/>
                <w:szCs w:val="21"/>
                <w:highlight w:val="none"/>
                <w:lang w:eastAsia="zh-CN"/>
              </w:rPr>
              <w:t>池</w:t>
            </w:r>
          </w:p>
        </w:tc>
        <w:tc>
          <w:tcPr>
            <w:tcW w:w="608" w:type="dxa"/>
            <w:noWrap/>
            <w:vAlign w:val="center"/>
          </w:tcPr>
          <w:p w14:paraId="5F011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Align w:val="center"/>
          </w:tcPr>
          <w:p w14:paraId="37723B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 定期清理栅渣</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 检查隔栅网是否破损堵塞</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63283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18A051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7EA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438" w:type="dxa"/>
            <w:vMerge w:val="continue"/>
            <w:noWrap/>
            <w:vAlign w:val="center"/>
          </w:tcPr>
          <w:p w14:paraId="1E85F2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64B2E1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06074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提升泵（离心泵）</w:t>
            </w:r>
          </w:p>
        </w:tc>
        <w:tc>
          <w:tcPr>
            <w:tcW w:w="608" w:type="dxa"/>
            <w:noWrap/>
            <w:vAlign w:val="center"/>
          </w:tcPr>
          <w:p w14:paraId="00FDD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3台</w:t>
            </w:r>
          </w:p>
        </w:tc>
        <w:tc>
          <w:tcPr>
            <w:tcW w:w="4912" w:type="dxa"/>
            <w:vAlign w:val="center"/>
          </w:tcPr>
          <w:p w14:paraId="3A612C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52F145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6C9504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014E8D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3BD95C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35419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45CC16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97E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38" w:type="dxa"/>
            <w:vMerge w:val="continue"/>
            <w:noWrap/>
            <w:vAlign w:val="center"/>
          </w:tcPr>
          <w:p w14:paraId="7904DB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0C89D2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65862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搅拌机</w:t>
            </w:r>
          </w:p>
        </w:tc>
        <w:tc>
          <w:tcPr>
            <w:tcW w:w="608" w:type="dxa"/>
            <w:noWrap/>
            <w:vAlign w:val="center"/>
          </w:tcPr>
          <w:p w14:paraId="4AF22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1台</w:t>
            </w:r>
          </w:p>
        </w:tc>
        <w:tc>
          <w:tcPr>
            <w:tcW w:w="4912" w:type="dxa"/>
            <w:vAlign w:val="center"/>
          </w:tcPr>
          <w:p w14:paraId="0A8E40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 保持机体的清洁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 检查电路及控制设备是否完好</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1953D6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16EB417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384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438" w:type="dxa"/>
            <w:vMerge w:val="continue"/>
            <w:noWrap/>
            <w:vAlign w:val="center"/>
          </w:tcPr>
          <w:p w14:paraId="570AFE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1EE79B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52F58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电磁隔膜计量泵</w:t>
            </w:r>
          </w:p>
        </w:tc>
        <w:tc>
          <w:tcPr>
            <w:tcW w:w="608" w:type="dxa"/>
            <w:noWrap/>
            <w:vAlign w:val="center"/>
          </w:tcPr>
          <w:p w14:paraId="3E568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2台</w:t>
            </w:r>
          </w:p>
        </w:tc>
        <w:tc>
          <w:tcPr>
            <w:tcW w:w="4912" w:type="dxa"/>
            <w:vAlign w:val="center"/>
          </w:tcPr>
          <w:p w14:paraId="5D1FEC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进出药管有无腐蚀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破裂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，单向阀有无异物堵塞</w:t>
            </w:r>
            <w:r>
              <w:rPr>
                <w:rFonts w:hint="eastAsia" w:ascii="宋体" w:hAnsi="宋体" w:eastAsia="宋体" w:cs="宋体"/>
                <w:color w:val="auto"/>
                <w:sz w:val="21"/>
                <w:szCs w:val="21"/>
                <w:highlight w:val="none"/>
                <w:lang w:val="en-US" w:eastAsia="zh-CN"/>
              </w:rPr>
              <w:sym w:font="Wingdings" w:char="00A8"/>
            </w:r>
          </w:p>
          <w:p w14:paraId="5E023F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泵头连接螺钉有无松动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各连接件有无漏液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膜片有无损坏</w:t>
            </w:r>
            <w:r>
              <w:rPr>
                <w:rFonts w:hint="eastAsia" w:ascii="宋体" w:hAnsi="宋体" w:eastAsia="宋体" w:cs="宋体"/>
                <w:color w:val="auto"/>
                <w:sz w:val="21"/>
                <w:szCs w:val="21"/>
                <w:highlight w:val="none"/>
                <w:lang w:val="en-US" w:eastAsia="zh-CN"/>
              </w:rPr>
              <w:sym w:font="Wingdings" w:char="00A8"/>
            </w:r>
          </w:p>
          <w:p w14:paraId="35FBD7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排气阀门有无松动，漏气</w:t>
            </w:r>
            <w:r>
              <w:rPr>
                <w:rFonts w:hint="eastAsia" w:ascii="宋体" w:hAnsi="宋体" w:eastAsia="宋体" w:cs="宋体"/>
                <w:color w:val="auto"/>
                <w:sz w:val="21"/>
                <w:szCs w:val="21"/>
                <w:highlight w:val="none"/>
                <w:lang w:val="en-US" w:eastAsia="zh-CN"/>
              </w:rPr>
              <w:sym w:font="Wingdings" w:char="00A8"/>
            </w:r>
          </w:p>
          <w:p w14:paraId="1B596A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电缆是否有破损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018EB0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401FC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4A09B2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CF8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38" w:type="dxa"/>
            <w:vMerge w:val="continue"/>
            <w:noWrap/>
            <w:vAlign w:val="center"/>
          </w:tcPr>
          <w:p w14:paraId="6D404C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5CBD4C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167F9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加药装置</w:t>
            </w:r>
          </w:p>
        </w:tc>
        <w:tc>
          <w:tcPr>
            <w:tcW w:w="608" w:type="dxa"/>
            <w:noWrap/>
            <w:vAlign w:val="center"/>
          </w:tcPr>
          <w:p w14:paraId="08F900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2套</w:t>
            </w:r>
          </w:p>
        </w:tc>
        <w:tc>
          <w:tcPr>
            <w:tcW w:w="4912" w:type="dxa"/>
            <w:vAlign w:val="center"/>
          </w:tcPr>
          <w:p w14:paraId="412002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各管路，阀门，连接管件是否漏液</w:t>
            </w:r>
            <w:r>
              <w:rPr>
                <w:rFonts w:hint="eastAsia" w:ascii="宋体" w:hAnsi="宋体" w:eastAsia="宋体" w:cs="宋体"/>
                <w:color w:val="auto"/>
                <w:sz w:val="21"/>
                <w:szCs w:val="21"/>
                <w:highlight w:val="none"/>
                <w:lang w:val="en-US" w:eastAsia="zh-CN"/>
              </w:rPr>
              <w:sym w:font="Wingdings" w:char="00A8"/>
            </w:r>
          </w:p>
          <w:p w14:paraId="576609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2 药箱表面有无腐蚀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焊接口是否漏液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tc>
        <w:tc>
          <w:tcPr>
            <w:tcW w:w="860" w:type="dxa"/>
            <w:vAlign w:val="center"/>
          </w:tcPr>
          <w:p w14:paraId="3BF64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30E84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3B2D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438" w:type="dxa"/>
            <w:vMerge w:val="continue"/>
            <w:noWrap/>
            <w:vAlign w:val="center"/>
          </w:tcPr>
          <w:p w14:paraId="068BE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10ADBA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36D67E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电控箱（PLC)</w:t>
            </w:r>
          </w:p>
        </w:tc>
        <w:tc>
          <w:tcPr>
            <w:tcW w:w="608" w:type="dxa"/>
            <w:noWrap/>
            <w:vAlign w:val="center"/>
          </w:tcPr>
          <w:p w14:paraId="5DC3F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Align w:val="center"/>
          </w:tcPr>
          <w:p w14:paraId="58B99A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038843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4E2AD2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290E2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0112E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735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38" w:type="dxa"/>
            <w:vMerge w:val="continue"/>
            <w:noWrap/>
            <w:vAlign w:val="center"/>
          </w:tcPr>
          <w:p w14:paraId="68678F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79709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5A1FD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液位传感器</w:t>
            </w:r>
          </w:p>
        </w:tc>
        <w:tc>
          <w:tcPr>
            <w:tcW w:w="608" w:type="dxa"/>
            <w:noWrap/>
            <w:vAlign w:val="center"/>
          </w:tcPr>
          <w:p w14:paraId="158FA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Align w:val="center"/>
          </w:tcPr>
          <w:p w14:paraId="1A6E29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1导线绝缘是否损坏或老化</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 液位显示是否正常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3 传感器端头是否淤堵</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72859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23EECC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FAE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438" w:type="dxa"/>
            <w:vMerge w:val="continue"/>
            <w:noWrap/>
            <w:vAlign w:val="center"/>
          </w:tcPr>
          <w:p w14:paraId="60D55B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7D9FA9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08CEC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PH在线检测仪</w:t>
            </w:r>
          </w:p>
        </w:tc>
        <w:tc>
          <w:tcPr>
            <w:tcW w:w="608" w:type="dxa"/>
            <w:noWrap/>
            <w:vAlign w:val="center"/>
          </w:tcPr>
          <w:p w14:paraId="22E6F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1台</w:t>
            </w:r>
          </w:p>
        </w:tc>
        <w:tc>
          <w:tcPr>
            <w:tcW w:w="4912" w:type="dxa"/>
            <w:vAlign w:val="top"/>
          </w:tcPr>
          <w:p w14:paraId="613A576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 检查进出水管路是否正常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2检查仪表数值显示是否有故障异常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3检查电极膜头是否有污垢污损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4、检查电极内电解液是否正常需定期加注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5定期对仪表进行标定（每月1次）</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33AFD9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424E03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1A3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38" w:type="dxa"/>
            <w:vMerge w:val="restart"/>
            <w:noWrap/>
            <w:vAlign w:val="center"/>
          </w:tcPr>
          <w:p w14:paraId="6E6C5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3</w:t>
            </w:r>
          </w:p>
        </w:tc>
        <w:tc>
          <w:tcPr>
            <w:tcW w:w="731" w:type="dxa"/>
            <w:vMerge w:val="restart"/>
            <w:vAlign w:val="center"/>
          </w:tcPr>
          <w:p w14:paraId="563B4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综合污水预处理设备</w:t>
            </w:r>
          </w:p>
        </w:tc>
        <w:tc>
          <w:tcPr>
            <w:tcW w:w="1383" w:type="dxa"/>
            <w:gridSpan w:val="4"/>
            <w:noWrap/>
            <w:vAlign w:val="center"/>
          </w:tcPr>
          <w:p w14:paraId="7ABE8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隔栅</w:t>
            </w:r>
            <w:r>
              <w:rPr>
                <w:rFonts w:hint="eastAsia" w:ascii="宋体" w:hAnsi="宋体" w:eastAsia="宋体" w:cs="宋体"/>
                <w:bCs/>
                <w:color w:val="auto"/>
                <w:kern w:val="0"/>
                <w:sz w:val="21"/>
                <w:szCs w:val="21"/>
                <w:highlight w:val="none"/>
                <w:lang w:eastAsia="zh-CN"/>
              </w:rPr>
              <w:t>池</w:t>
            </w:r>
          </w:p>
        </w:tc>
        <w:tc>
          <w:tcPr>
            <w:tcW w:w="608" w:type="dxa"/>
            <w:noWrap/>
            <w:vAlign w:val="center"/>
          </w:tcPr>
          <w:p w14:paraId="216DF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2个</w:t>
            </w:r>
          </w:p>
        </w:tc>
        <w:tc>
          <w:tcPr>
            <w:tcW w:w="4912" w:type="dxa"/>
            <w:vAlign w:val="center"/>
          </w:tcPr>
          <w:p w14:paraId="50C6CB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 定期清理栅渣</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 检查隔栅网是否破损堵塞</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5E4ACB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6BF082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3476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38" w:type="dxa"/>
            <w:vMerge w:val="continue"/>
            <w:noWrap/>
            <w:vAlign w:val="center"/>
          </w:tcPr>
          <w:p w14:paraId="3F559F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039B7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6AAA0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提升泵（潜污泵4KW）</w:t>
            </w:r>
          </w:p>
        </w:tc>
        <w:tc>
          <w:tcPr>
            <w:tcW w:w="608" w:type="dxa"/>
            <w:noWrap/>
            <w:vAlign w:val="center"/>
          </w:tcPr>
          <w:p w14:paraId="53E68A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4台</w:t>
            </w:r>
          </w:p>
        </w:tc>
        <w:tc>
          <w:tcPr>
            <w:tcW w:w="4912" w:type="dxa"/>
            <w:vAlign w:val="center"/>
          </w:tcPr>
          <w:p w14:paraId="04C6E2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5FA8C5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152625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536188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1E25AF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76E41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2561D5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680B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438" w:type="dxa"/>
            <w:vMerge w:val="continue"/>
            <w:noWrap/>
            <w:vAlign w:val="center"/>
          </w:tcPr>
          <w:p w14:paraId="26AC64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6B34EC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33A5ED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回流泵（潜污泵）</w:t>
            </w:r>
          </w:p>
        </w:tc>
        <w:tc>
          <w:tcPr>
            <w:tcW w:w="608" w:type="dxa"/>
            <w:noWrap/>
            <w:vAlign w:val="center"/>
          </w:tcPr>
          <w:p w14:paraId="45357E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2台</w:t>
            </w:r>
          </w:p>
        </w:tc>
        <w:tc>
          <w:tcPr>
            <w:tcW w:w="4912" w:type="dxa"/>
            <w:vAlign w:val="center"/>
          </w:tcPr>
          <w:p w14:paraId="2E5E33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2A3531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3E8757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10F595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4D7E71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26C32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6E3267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0C8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38" w:type="dxa"/>
            <w:vMerge w:val="continue"/>
            <w:noWrap/>
            <w:vAlign w:val="center"/>
          </w:tcPr>
          <w:p w14:paraId="20AE3F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5E62E6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441" w:type="dxa"/>
            <w:vMerge w:val="restart"/>
            <w:noWrap/>
            <w:vAlign w:val="center"/>
          </w:tcPr>
          <w:p w14:paraId="2E482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加药装置</w:t>
            </w:r>
          </w:p>
        </w:tc>
        <w:tc>
          <w:tcPr>
            <w:tcW w:w="942" w:type="dxa"/>
            <w:gridSpan w:val="3"/>
            <w:vAlign w:val="center"/>
          </w:tcPr>
          <w:p w14:paraId="6AA4E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机械隔膜计量泵（艾力芬特）</w:t>
            </w:r>
          </w:p>
        </w:tc>
        <w:tc>
          <w:tcPr>
            <w:tcW w:w="608" w:type="dxa"/>
            <w:noWrap/>
            <w:vAlign w:val="center"/>
          </w:tcPr>
          <w:p w14:paraId="53D80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4台</w:t>
            </w:r>
          </w:p>
        </w:tc>
        <w:tc>
          <w:tcPr>
            <w:tcW w:w="4912" w:type="dxa"/>
            <w:vMerge w:val="restart"/>
            <w:vAlign w:val="center"/>
          </w:tcPr>
          <w:p w14:paraId="0069BA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进出药管有无腐蚀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破裂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，单向阀有无异物堵塞</w:t>
            </w:r>
            <w:r>
              <w:rPr>
                <w:rFonts w:hint="eastAsia" w:ascii="宋体" w:hAnsi="宋体" w:eastAsia="宋体" w:cs="宋体"/>
                <w:color w:val="auto"/>
                <w:sz w:val="21"/>
                <w:szCs w:val="21"/>
                <w:highlight w:val="none"/>
                <w:lang w:val="en-US" w:eastAsia="zh-CN"/>
              </w:rPr>
              <w:sym w:font="Wingdings" w:char="00A8"/>
            </w:r>
          </w:p>
          <w:p w14:paraId="44FE11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泵头连接螺钉有无松动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各连接件有无漏液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膜片有无损坏</w:t>
            </w:r>
            <w:r>
              <w:rPr>
                <w:rFonts w:hint="eastAsia" w:ascii="宋体" w:hAnsi="宋体" w:eastAsia="宋体" w:cs="宋体"/>
                <w:color w:val="auto"/>
                <w:sz w:val="21"/>
                <w:szCs w:val="21"/>
                <w:highlight w:val="none"/>
                <w:lang w:val="en-US" w:eastAsia="zh-CN"/>
              </w:rPr>
              <w:sym w:font="Wingdings" w:char="00A8"/>
            </w:r>
          </w:p>
          <w:p w14:paraId="51CC0F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排气阀门有无松动，漏气</w:t>
            </w:r>
            <w:r>
              <w:rPr>
                <w:rFonts w:hint="eastAsia" w:ascii="宋体" w:hAnsi="宋体" w:eastAsia="宋体" w:cs="宋体"/>
                <w:color w:val="auto"/>
                <w:sz w:val="21"/>
                <w:szCs w:val="21"/>
                <w:highlight w:val="none"/>
                <w:lang w:val="en-US" w:eastAsia="zh-CN"/>
              </w:rPr>
              <w:sym w:font="Wingdings" w:char="00A8"/>
            </w:r>
          </w:p>
          <w:p w14:paraId="20B31B4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电缆是否有破损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2D43A4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tc>
        <w:tc>
          <w:tcPr>
            <w:tcW w:w="860" w:type="dxa"/>
            <w:vMerge w:val="restart"/>
            <w:vAlign w:val="center"/>
          </w:tcPr>
          <w:p w14:paraId="46539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lang w:eastAsia="zh-CN"/>
              </w:rPr>
            </w:pPr>
          </w:p>
          <w:p w14:paraId="4684D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restart"/>
            <w:vAlign w:val="center"/>
          </w:tcPr>
          <w:p w14:paraId="31F8EA6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CCD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38" w:type="dxa"/>
            <w:vMerge w:val="continue"/>
            <w:noWrap/>
            <w:vAlign w:val="center"/>
          </w:tcPr>
          <w:p w14:paraId="07D36E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5269BF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441" w:type="dxa"/>
            <w:vMerge w:val="continue"/>
            <w:noWrap/>
            <w:vAlign w:val="center"/>
          </w:tcPr>
          <w:p w14:paraId="7A75C7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942" w:type="dxa"/>
            <w:gridSpan w:val="3"/>
            <w:noWrap/>
            <w:vAlign w:val="center"/>
          </w:tcPr>
          <w:p w14:paraId="1F07A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药管</w:t>
            </w:r>
          </w:p>
        </w:tc>
        <w:tc>
          <w:tcPr>
            <w:tcW w:w="608" w:type="dxa"/>
            <w:noWrap/>
            <w:vAlign w:val="center"/>
          </w:tcPr>
          <w:p w14:paraId="56B99A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Merge w:val="continue"/>
            <w:vAlign w:val="center"/>
          </w:tcPr>
          <w:p w14:paraId="6BB1B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Cs/>
                <w:color w:val="auto"/>
                <w:kern w:val="0"/>
                <w:sz w:val="21"/>
                <w:szCs w:val="21"/>
                <w:highlight w:val="none"/>
              </w:rPr>
            </w:pPr>
          </w:p>
        </w:tc>
        <w:tc>
          <w:tcPr>
            <w:tcW w:w="860" w:type="dxa"/>
            <w:vMerge w:val="continue"/>
            <w:vAlign w:val="center"/>
          </w:tcPr>
          <w:p w14:paraId="314CD8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924" w:type="dxa"/>
            <w:vMerge w:val="continue"/>
            <w:vAlign w:val="center"/>
          </w:tcPr>
          <w:p w14:paraId="19EFF7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0CF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438" w:type="dxa"/>
            <w:vMerge w:val="continue"/>
            <w:noWrap/>
            <w:vAlign w:val="center"/>
          </w:tcPr>
          <w:p w14:paraId="3D6D80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8179B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441" w:type="dxa"/>
            <w:vMerge w:val="continue"/>
            <w:noWrap/>
            <w:vAlign w:val="center"/>
          </w:tcPr>
          <w:p w14:paraId="7B6F21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942" w:type="dxa"/>
            <w:gridSpan w:val="3"/>
            <w:noWrap/>
            <w:vAlign w:val="center"/>
          </w:tcPr>
          <w:p w14:paraId="20443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污泥消毒泵</w:t>
            </w:r>
          </w:p>
        </w:tc>
        <w:tc>
          <w:tcPr>
            <w:tcW w:w="608" w:type="dxa"/>
            <w:noWrap/>
            <w:vAlign w:val="center"/>
          </w:tcPr>
          <w:p w14:paraId="0A82E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1台</w:t>
            </w:r>
          </w:p>
        </w:tc>
        <w:tc>
          <w:tcPr>
            <w:tcW w:w="4912" w:type="dxa"/>
            <w:vAlign w:val="center"/>
          </w:tcPr>
          <w:p w14:paraId="0A3910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18FC0E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488441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1E3AA9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30CBB1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3C847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6CE5C5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B39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438" w:type="dxa"/>
            <w:vMerge w:val="continue"/>
            <w:noWrap/>
            <w:vAlign w:val="center"/>
          </w:tcPr>
          <w:p w14:paraId="6AD075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73024E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441" w:type="dxa"/>
            <w:vMerge w:val="restart"/>
            <w:vAlign w:val="center"/>
          </w:tcPr>
          <w:p w14:paraId="37BA0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停车楼预处理</w:t>
            </w:r>
          </w:p>
        </w:tc>
        <w:tc>
          <w:tcPr>
            <w:tcW w:w="942" w:type="dxa"/>
            <w:gridSpan w:val="3"/>
            <w:vAlign w:val="center"/>
          </w:tcPr>
          <w:p w14:paraId="402670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停车楼预处理1号泵</w:t>
            </w:r>
          </w:p>
        </w:tc>
        <w:tc>
          <w:tcPr>
            <w:tcW w:w="608" w:type="dxa"/>
            <w:noWrap/>
            <w:vAlign w:val="center"/>
          </w:tcPr>
          <w:p w14:paraId="50D4A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1台</w:t>
            </w:r>
          </w:p>
        </w:tc>
        <w:tc>
          <w:tcPr>
            <w:tcW w:w="4912" w:type="dxa"/>
            <w:vAlign w:val="center"/>
          </w:tcPr>
          <w:p w14:paraId="34F4C1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49D0D05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48DC2CA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12AD0D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540AC4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0B463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5401D4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233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438" w:type="dxa"/>
            <w:vMerge w:val="continue"/>
            <w:noWrap/>
            <w:vAlign w:val="center"/>
          </w:tcPr>
          <w:p w14:paraId="3919E6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1927AB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441" w:type="dxa"/>
            <w:vMerge w:val="continue"/>
            <w:vAlign w:val="center"/>
          </w:tcPr>
          <w:p w14:paraId="54561E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942" w:type="dxa"/>
            <w:gridSpan w:val="3"/>
            <w:vAlign w:val="center"/>
          </w:tcPr>
          <w:p w14:paraId="3F157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停车楼预处理2号泵</w:t>
            </w:r>
          </w:p>
        </w:tc>
        <w:tc>
          <w:tcPr>
            <w:tcW w:w="608" w:type="dxa"/>
            <w:noWrap/>
            <w:vAlign w:val="center"/>
          </w:tcPr>
          <w:p w14:paraId="47C8F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1台</w:t>
            </w:r>
          </w:p>
        </w:tc>
        <w:tc>
          <w:tcPr>
            <w:tcW w:w="4912" w:type="dxa"/>
            <w:vAlign w:val="center"/>
          </w:tcPr>
          <w:p w14:paraId="2682CD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5A40A5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366094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494120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1A13D6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708A0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41B816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12F0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438" w:type="dxa"/>
            <w:vMerge w:val="continue"/>
            <w:noWrap/>
            <w:vAlign w:val="center"/>
          </w:tcPr>
          <w:p w14:paraId="756C171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3556AB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441" w:type="dxa"/>
            <w:vMerge w:val="continue"/>
            <w:vAlign w:val="center"/>
          </w:tcPr>
          <w:p w14:paraId="06171B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942" w:type="dxa"/>
            <w:gridSpan w:val="3"/>
            <w:vAlign w:val="center"/>
          </w:tcPr>
          <w:p w14:paraId="05FE1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提升泵</w:t>
            </w:r>
          </w:p>
        </w:tc>
        <w:tc>
          <w:tcPr>
            <w:tcW w:w="608" w:type="dxa"/>
            <w:noWrap/>
            <w:vAlign w:val="center"/>
          </w:tcPr>
          <w:p w14:paraId="04D78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2台</w:t>
            </w:r>
          </w:p>
        </w:tc>
        <w:tc>
          <w:tcPr>
            <w:tcW w:w="4912" w:type="dxa"/>
            <w:vAlign w:val="center"/>
          </w:tcPr>
          <w:p w14:paraId="223ADA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06C956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7B02F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138BB8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0A3FC8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729145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06522F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583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438" w:type="dxa"/>
            <w:vMerge w:val="continue"/>
            <w:noWrap/>
            <w:vAlign w:val="center"/>
          </w:tcPr>
          <w:p w14:paraId="756D34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08F4EC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441" w:type="dxa"/>
            <w:vMerge w:val="continue"/>
            <w:vAlign w:val="center"/>
          </w:tcPr>
          <w:p w14:paraId="06AE36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942" w:type="dxa"/>
            <w:gridSpan w:val="3"/>
            <w:vAlign w:val="center"/>
          </w:tcPr>
          <w:p w14:paraId="070AF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回流泵</w:t>
            </w:r>
          </w:p>
        </w:tc>
        <w:tc>
          <w:tcPr>
            <w:tcW w:w="608" w:type="dxa"/>
            <w:noWrap/>
            <w:vAlign w:val="center"/>
          </w:tcPr>
          <w:p w14:paraId="441132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1台</w:t>
            </w:r>
          </w:p>
        </w:tc>
        <w:tc>
          <w:tcPr>
            <w:tcW w:w="4912" w:type="dxa"/>
            <w:vAlign w:val="center"/>
          </w:tcPr>
          <w:p w14:paraId="1CE629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15744F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4AE2FB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604D36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72EBB4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6620EA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6817BC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D9F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438" w:type="dxa"/>
            <w:vMerge w:val="continue"/>
            <w:noWrap/>
            <w:vAlign w:val="center"/>
          </w:tcPr>
          <w:p w14:paraId="36E2F5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0C341B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54B51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电控箱</w:t>
            </w:r>
          </w:p>
        </w:tc>
        <w:tc>
          <w:tcPr>
            <w:tcW w:w="608" w:type="dxa"/>
            <w:noWrap/>
            <w:vAlign w:val="center"/>
          </w:tcPr>
          <w:p w14:paraId="7EAE0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Align w:val="center"/>
          </w:tcPr>
          <w:p w14:paraId="2E3922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1AB5CA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3F4052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7D5D6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restart"/>
            <w:vAlign w:val="center"/>
          </w:tcPr>
          <w:p w14:paraId="74FA42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F59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38" w:type="dxa"/>
            <w:vMerge w:val="continue"/>
            <w:noWrap/>
            <w:vAlign w:val="center"/>
          </w:tcPr>
          <w:p w14:paraId="7C4ED1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76D9C2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6FADE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液位传感器</w:t>
            </w:r>
          </w:p>
        </w:tc>
        <w:tc>
          <w:tcPr>
            <w:tcW w:w="608" w:type="dxa"/>
            <w:noWrap/>
            <w:vAlign w:val="center"/>
          </w:tcPr>
          <w:p w14:paraId="7F8B1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2套</w:t>
            </w:r>
          </w:p>
        </w:tc>
        <w:tc>
          <w:tcPr>
            <w:tcW w:w="4912" w:type="dxa"/>
            <w:vAlign w:val="center"/>
          </w:tcPr>
          <w:p w14:paraId="7133BF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1导线绝缘是否损坏或老化</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51BA51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液位显示是否正常</w:t>
            </w:r>
            <w:r>
              <w:rPr>
                <w:rFonts w:hint="eastAsia" w:ascii="宋体" w:hAnsi="宋体" w:eastAsia="宋体" w:cs="宋体"/>
                <w:color w:val="auto"/>
                <w:sz w:val="21"/>
                <w:szCs w:val="21"/>
                <w:highlight w:val="none"/>
                <w:lang w:val="en-US" w:eastAsia="zh-CN"/>
              </w:rPr>
              <w:sym w:font="Wingdings" w:char="00A8"/>
            </w:r>
          </w:p>
          <w:p w14:paraId="31F2AA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传感器端头是否淤堵</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2BF5F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06711D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1B67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438" w:type="dxa"/>
            <w:vMerge w:val="continue"/>
            <w:noWrap/>
            <w:vAlign w:val="center"/>
          </w:tcPr>
          <w:p w14:paraId="79163D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6AE25F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vAlign w:val="center"/>
          </w:tcPr>
          <w:p w14:paraId="0B3D3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配电柜（包括1个PLC柜）</w:t>
            </w:r>
          </w:p>
        </w:tc>
        <w:tc>
          <w:tcPr>
            <w:tcW w:w="608" w:type="dxa"/>
            <w:noWrap/>
            <w:vAlign w:val="center"/>
          </w:tcPr>
          <w:p w14:paraId="0C8ED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3个</w:t>
            </w:r>
          </w:p>
        </w:tc>
        <w:tc>
          <w:tcPr>
            <w:tcW w:w="4912" w:type="dxa"/>
            <w:vAlign w:val="center"/>
          </w:tcPr>
          <w:p w14:paraId="0F69EC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266023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409C5B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3C521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36696E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6CEC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38" w:type="dxa"/>
            <w:vMerge w:val="continue"/>
            <w:noWrap/>
            <w:vAlign w:val="center"/>
          </w:tcPr>
          <w:p w14:paraId="0F23AE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A0C04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525" w:type="dxa"/>
            <w:gridSpan w:val="2"/>
            <w:vMerge w:val="restart"/>
            <w:vAlign w:val="center"/>
          </w:tcPr>
          <w:p w14:paraId="3015A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软化水系统</w:t>
            </w:r>
          </w:p>
        </w:tc>
        <w:tc>
          <w:tcPr>
            <w:tcW w:w="858" w:type="dxa"/>
            <w:gridSpan w:val="2"/>
            <w:noWrap/>
            <w:vAlign w:val="center"/>
          </w:tcPr>
          <w:p w14:paraId="5AA534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1号处理器</w:t>
            </w:r>
          </w:p>
        </w:tc>
        <w:tc>
          <w:tcPr>
            <w:tcW w:w="608" w:type="dxa"/>
            <w:noWrap/>
            <w:vAlign w:val="center"/>
          </w:tcPr>
          <w:p w14:paraId="42B59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Merge w:val="restart"/>
            <w:vAlign w:val="center"/>
          </w:tcPr>
          <w:p w14:paraId="5E9B862F">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1检查软化水硬度是否符合要求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1281FB91">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检查软水机各状态的出水情况是否正常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软水管路是否泄漏</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软水罐液位是否正常</w:t>
            </w:r>
            <w:r>
              <w:rPr>
                <w:rFonts w:hint="eastAsia" w:ascii="宋体" w:hAnsi="宋体" w:eastAsia="宋体" w:cs="宋体"/>
                <w:color w:val="auto"/>
                <w:sz w:val="21"/>
                <w:szCs w:val="21"/>
                <w:highlight w:val="none"/>
                <w:lang w:val="en-US" w:eastAsia="zh-CN"/>
              </w:rPr>
              <w:sym w:font="Wingdings" w:char="00A8"/>
            </w:r>
          </w:p>
          <w:p w14:paraId="3F982C35">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3检查冷水机压力表压力是否正常</w:t>
            </w:r>
            <w:r>
              <w:rPr>
                <w:rFonts w:hint="eastAsia" w:ascii="宋体" w:hAnsi="宋体" w:eastAsia="宋体" w:cs="宋体"/>
                <w:color w:val="auto"/>
                <w:sz w:val="21"/>
                <w:szCs w:val="21"/>
                <w:highlight w:val="none"/>
                <w:lang w:val="en-US" w:eastAsia="zh-CN"/>
              </w:rPr>
              <w:sym w:font="Wingdings" w:char="00A8"/>
            </w:r>
          </w:p>
          <w:p w14:paraId="71E52EE6">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检查温控控制器是否正常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6B84D431">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5清洗媒体回水过滤器</w:t>
            </w:r>
            <w:r>
              <w:rPr>
                <w:rFonts w:hint="eastAsia" w:ascii="宋体" w:hAnsi="宋体" w:eastAsia="宋体" w:cs="宋体"/>
                <w:color w:val="auto"/>
                <w:sz w:val="21"/>
                <w:szCs w:val="21"/>
                <w:highlight w:val="none"/>
                <w:lang w:val="en-US" w:eastAsia="zh-CN"/>
              </w:rPr>
              <w:sym w:font="Wingdings" w:char="00A8"/>
            </w:r>
          </w:p>
          <w:p w14:paraId="4D8ED9BC">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清洗冷却水进水过滤器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16F3D37E">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7清洗冷凝器过滤网</w:t>
            </w:r>
            <w:r>
              <w:rPr>
                <w:rFonts w:hint="eastAsia" w:ascii="宋体" w:hAnsi="宋体" w:eastAsia="宋体" w:cs="宋体"/>
                <w:color w:val="auto"/>
                <w:sz w:val="21"/>
                <w:szCs w:val="21"/>
                <w:highlight w:val="none"/>
                <w:lang w:val="en-US" w:eastAsia="zh-CN"/>
              </w:rPr>
              <w:sym w:font="Wingdings" w:char="00A8"/>
            </w:r>
          </w:p>
          <w:p w14:paraId="6473BAC3">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8检查压缩机电流</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6167D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924" w:type="dxa"/>
            <w:vMerge w:val="restart"/>
            <w:vAlign w:val="center"/>
          </w:tcPr>
          <w:p w14:paraId="412C2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由</w:t>
            </w:r>
            <w:r>
              <w:rPr>
                <w:rFonts w:hint="eastAsia" w:ascii="宋体" w:hAnsi="宋体" w:eastAsia="宋体" w:cs="宋体"/>
                <w:bCs/>
                <w:color w:val="auto"/>
                <w:kern w:val="0"/>
                <w:sz w:val="21"/>
                <w:szCs w:val="21"/>
                <w:highlight w:val="none"/>
                <w:lang w:eastAsia="zh-CN"/>
              </w:rPr>
              <w:t>成交供应商</w:t>
            </w:r>
            <w:r>
              <w:rPr>
                <w:rFonts w:hint="eastAsia" w:ascii="宋体" w:hAnsi="宋体" w:eastAsia="宋体" w:cs="宋体"/>
                <w:bCs/>
                <w:color w:val="auto"/>
                <w:kern w:val="0"/>
                <w:sz w:val="21"/>
                <w:szCs w:val="21"/>
                <w:highlight w:val="none"/>
              </w:rPr>
              <w:t>负责维护保养与维修</w:t>
            </w:r>
          </w:p>
        </w:tc>
      </w:tr>
      <w:tr w14:paraId="6B3A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38" w:type="dxa"/>
            <w:vMerge w:val="continue"/>
            <w:noWrap/>
            <w:vAlign w:val="center"/>
          </w:tcPr>
          <w:p w14:paraId="5A1946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09F089E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525" w:type="dxa"/>
            <w:gridSpan w:val="2"/>
            <w:vMerge w:val="continue"/>
            <w:vAlign w:val="center"/>
          </w:tcPr>
          <w:p w14:paraId="761C02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858" w:type="dxa"/>
            <w:gridSpan w:val="2"/>
            <w:noWrap/>
            <w:vAlign w:val="center"/>
          </w:tcPr>
          <w:p w14:paraId="283C6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2号处理器</w:t>
            </w:r>
          </w:p>
        </w:tc>
        <w:tc>
          <w:tcPr>
            <w:tcW w:w="608" w:type="dxa"/>
            <w:noWrap/>
            <w:vAlign w:val="center"/>
          </w:tcPr>
          <w:p w14:paraId="3D95C5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Merge w:val="continue"/>
            <w:vAlign w:val="center"/>
          </w:tcPr>
          <w:p w14:paraId="0C74D0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860" w:type="dxa"/>
            <w:vAlign w:val="center"/>
          </w:tcPr>
          <w:p w14:paraId="09AA2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536DC8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314F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38" w:type="dxa"/>
            <w:vMerge w:val="continue"/>
            <w:noWrap/>
            <w:vAlign w:val="center"/>
          </w:tcPr>
          <w:p w14:paraId="758430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D24A4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525" w:type="dxa"/>
            <w:gridSpan w:val="2"/>
            <w:vMerge w:val="continue"/>
            <w:vAlign w:val="center"/>
          </w:tcPr>
          <w:p w14:paraId="47C526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858" w:type="dxa"/>
            <w:gridSpan w:val="2"/>
            <w:noWrap/>
            <w:vAlign w:val="center"/>
          </w:tcPr>
          <w:p w14:paraId="736C2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冷水机组</w:t>
            </w:r>
          </w:p>
        </w:tc>
        <w:tc>
          <w:tcPr>
            <w:tcW w:w="608" w:type="dxa"/>
            <w:noWrap/>
            <w:vAlign w:val="center"/>
          </w:tcPr>
          <w:p w14:paraId="07BF2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Merge w:val="continue"/>
            <w:vAlign w:val="center"/>
          </w:tcPr>
          <w:p w14:paraId="36C3E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860" w:type="dxa"/>
            <w:vAlign w:val="center"/>
          </w:tcPr>
          <w:p w14:paraId="50495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2A1D9C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11D2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38" w:type="dxa"/>
            <w:vMerge w:val="continue"/>
            <w:noWrap/>
            <w:vAlign w:val="center"/>
          </w:tcPr>
          <w:p w14:paraId="19C3A7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707685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525" w:type="dxa"/>
            <w:gridSpan w:val="2"/>
            <w:vMerge w:val="continue"/>
            <w:vAlign w:val="center"/>
          </w:tcPr>
          <w:p w14:paraId="558BC5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858" w:type="dxa"/>
            <w:gridSpan w:val="2"/>
            <w:noWrap/>
            <w:vAlign w:val="center"/>
          </w:tcPr>
          <w:p w14:paraId="3FAE9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酸洗系统</w:t>
            </w:r>
          </w:p>
        </w:tc>
        <w:tc>
          <w:tcPr>
            <w:tcW w:w="608" w:type="dxa"/>
            <w:noWrap/>
            <w:vAlign w:val="center"/>
          </w:tcPr>
          <w:p w14:paraId="26782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Merge w:val="continue"/>
            <w:vAlign w:val="center"/>
          </w:tcPr>
          <w:p w14:paraId="60E38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860" w:type="dxa"/>
            <w:vAlign w:val="center"/>
          </w:tcPr>
          <w:p w14:paraId="7292D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656F6E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2E64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38" w:type="dxa"/>
            <w:vMerge w:val="continue"/>
            <w:noWrap/>
            <w:vAlign w:val="center"/>
          </w:tcPr>
          <w:p w14:paraId="01D007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08D643B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525" w:type="dxa"/>
            <w:gridSpan w:val="2"/>
            <w:vMerge w:val="continue"/>
            <w:vAlign w:val="center"/>
          </w:tcPr>
          <w:p w14:paraId="596AFA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858" w:type="dxa"/>
            <w:gridSpan w:val="2"/>
            <w:noWrap/>
            <w:vAlign w:val="center"/>
          </w:tcPr>
          <w:p w14:paraId="76D30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软水</w:t>
            </w:r>
            <w:r>
              <w:rPr>
                <w:rFonts w:hint="eastAsia" w:ascii="宋体" w:hAnsi="宋体" w:eastAsia="宋体" w:cs="宋体"/>
                <w:bCs/>
                <w:color w:val="auto"/>
                <w:kern w:val="0"/>
                <w:sz w:val="21"/>
                <w:szCs w:val="21"/>
                <w:highlight w:val="none"/>
                <w:lang w:eastAsia="zh-CN"/>
              </w:rPr>
              <w:t>储罐</w:t>
            </w:r>
          </w:p>
        </w:tc>
        <w:tc>
          <w:tcPr>
            <w:tcW w:w="608" w:type="dxa"/>
            <w:noWrap/>
            <w:vAlign w:val="center"/>
          </w:tcPr>
          <w:p w14:paraId="2051B3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Merge w:val="continue"/>
            <w:vAlign w:val="center"/>
          </w:tcPr>
          <w:p w14:paraId="3D0106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860" w:type="dxa"/>
            <w:vAlign w:val="center"/>
          </w:tcPr>
          <w:p w14:paraId="6887A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5BFCF0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3B58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38" w:type="dxa"/>
            <w:vMerge w:val="continue"/>
            <w:noWrap/>
            <w:vAlign w:val="center"/>
          </w:tcPr>
          <w:p w14:paraId="28C053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2FE8E9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525" w:type="dxa"/>
            <w:gridSpan w:val="2"/>
            <w:vMerge w:val="restart"/>
            <w:noWrap/>
            <w:vAlign w:val="center"/>
          </w:tcPr>
          <w:p w14:paraId="3C7B7A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溶盐系统</w:t>
            </w:r>
          </w:p>
        </w:tc>
        <w:tc>
          <w:tcPr>
            <w:tcW w:w="858" w:type="dxa"/>
            <w:gridSpan w:val="2"/>
            <w:vAlign w:val="center"/>
          </w:tcPr>
          <w:p w14:paraId="7F8D2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螺旋绞龙上料机</w:t>
            </w:r>
          </w:p>
        </w:tc>
        <w:tc>
          <w:tcPr>
            <w:tcW w:w="608" w:type="dxa"/>
            <w:noWrap/>
            <w:vAlign w:val="center"/>
          </w:tcPr>
          <w:p w14:paraId="3AEBD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Merge w:val="restart"/>
            <w:vAlign w:val="center"/>
          </w:tcPr>
          <w:p w14:paraId="5E14D246">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1检查盐水罐内进水浮球开关是否正常、灵活好用</w:t>
            </w:r>
            <w:r>
              <w:rPr>
                <w:rFonts w:hint="eastAsia" w:ascii="宋体" w:hAnsi="宋体" w:eastAsia="宋体" w:cs="宋体"/>
                <w:color w:val="auto"/>
                <w:sz w:val="21"/>
                <w:szCs w:val="21"/>
                <w:highlight w:val="none"/>
                <w:lang w:val="en-US" w:eastAsia="zh-CN"/>
              </w:rPr>
              <w:sym w:font="Wingdings" w:char="00A8"/>
            </w:r>
          </w:p>
          <w:p w14:paraId="0E598A50">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检查清理盐罐内杂物</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检查盐位水位是否正常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盐位不低于最低盐位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5700EE05">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3检查浓盐罐内液位是否正常</w:t>
            </w:r>
            <w:r>
              <w:rPr>
                <w:rFonts w:hint="eastAsia" w:ascii="宋体" w:hAnsi="宋体" w:eastAsia="宋体" w:cs="宋体"/>
                <w:color w:val="auto"/>
                <w:sz w:val="21"/>
                <w:szCs w:val="21"/>
                <w:highlight w:val="none"/>
                <w:lang w:val="en-US" w:eastAsia="zh-CN"/>
              </w:rPr>
              <w:sym w:font="Wingdings" w:char="00A8"/>
            </w:r>
          </w:p>
          <w:p w14:paraId="53BADF52">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检查盐水管路是否畅通/渗漏</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626EDD4A">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5检查盐上料螺旋输送机是否正常</w:t>
            </w:r>
            <w:r>
              <w:rPr>
                <w:rFonts w:hint="eastAsia" w:ascii="宋体" w:hAnsi="宋体" w:eastAsia="宋体" w:cs="宋体"/>
                <w:color w:val="auto"/>
                <w:sz w:val="21"/>
                <w:szCs w:val="21"/>
                <w:highlight w:val="none"/>
                <w:lang w:val="en-US" w:eastAsia="zh-CN"/>
              </w:rPr>
              <w:sym w:font="Wingdings" w:char="00A8"/>
            </w:r>
          </w:p>
          <w:p w14:paraId="496CC237">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检查螺旋输送机皮带是否正常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6178711C">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7定期加注润滑油脂</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57010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restart"/>
            <w:vAlign w:val="center"/>
          </w:tcPr>
          <w:p w14:paraId="3D1C47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由</w:t>
            </w:r>
            <w:r>
              <w:rPr>
                <w:rFonts w:hint="eastAsia" w:ascii="宋体" w:hAnsi="宋体" w:eastAsia="宋体" w:cs="宋体"/>
                <w:bCs/>
                <w:color w:val="auto"/>
                <w:kern w:val="0"/>
                <w:sz w:val="21"/>
                <w:szCs w:val="21"/>
                <w:highlight w:val="none"/>
                <w:lang w:eastAsia="zh-CN"/>
              </w:rPr>
              <w:t>成交供应商</w:t>
            </w:r>
            <w:r>
              <w:rPr>
                <w:rFonts w:hint="eastAsia" w:ascii="宋体" w:hAnsi="宋体" w:eastAsia="宋体" w:cs="宋体"/>
                <w:bCs/>
                <w:color w:val="auto"/>
                <w:kern w:val="0"/>
                <w:sz w:val="21"/>
                <w:szCs w:val="21"/>
                <w:highlight w:val="none"/>
              </w:rPr>
              <w:t>负责维护保养与维修</w:t>
            </w:r>
          </w:p>
        </w:tc>
      </w:tr>
      <w:tr w14:paraId="058F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438" w:type="dxa"/>
            <w:vMerge w:val="continue"/>
            <w:noWrap/>
            <w:vAlign w:val="center"/>
          </w:tcPr>
          <w:p w14:paraId="12161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6D10E0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525" w:type="dxa"/>
            <w:gridSpan w:val="2"/>
            <w:vMerge w:val="continue"/>
            <w:noWrap/>
            <w:vAlign w:val="center"/>
          </w:tcPr>
          <w:p w14:paraId="2B52B0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858" w:type="dxa"/>
            <w:gridSpan w:val="2"/>
            <w:vAlign w:val="center"/>
          </w:tcPr>
          <w:p w14:paraId="6FC03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4000G溶盐罐</w:t>
            </w:r>
          </w:p>
        </w:tc>
        <w:tc>
          <w:tcPr>
            <w:tcW w:w="608" w:type="dxa"/>
            <w:noWrap/>
            <w:vAlign w:val="center"/>
          </w:tcPr>
          <w:p w14:paraId="2C444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Merge w:val="continue"/>
            <w:vAlign w:val="center"/>
          </w:tcPr>
          <w:p w14:paraId="4D412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860" w:type="dxa"/>
            <w:vAlign w:val="center"/>
          </w:tcPr>
          <w:p w14:paraId="5ACEC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33C0D9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39E2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438" w:type="dxa"/>
            <w:vMerge w:val="continue"/>
            <w:noWrap/>
            <w:vAlign w:val="center"/>
          </w:tcPr>
          <w:p w14:paraId="673A3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DA121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081E9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次氯酸钠发生器</w:t>
            </w:r>
          </w:p>
        </w:tc>
        <w:tc>
          <w:tcPr>
            <w:tcW w:w="608" w:type="dxa"/>
            <w:noWrap/>
            <w:vAlign w:val="center"/>
          </w:tcPr>
          <w:p w14:paraId="75135A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2套</w:t>
            </w:r>
          </w:p>
        </w:tc>
        <w:tc>
          <w:tcPr>
            <w:tcW w:w="4912" w:type="dxa"/>
            <w:vMerge w:val="restart"/>
            <w:vAlign w:val="center"/>
          </w:tcPr>
          <w:p w14:paraId="097AB877">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1检查各设备供电指示灯是否正常，电源指示灯亮</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 检查发生器的管道与电极连接处是否渗漏</w:t>
            </w:r>
            <w:r>
              <w:rPr>
                <w:rFonts w:hint="eastAsia" w:ascii="宋体" w:hAnsi="宋体" w:eastAsia="宋体" w:cs="宋体"/>
                <w:color w:val="auto"/>
                <w:sz w:val="21"/>
                <w:szCs w:val="21"/>
                <w:highlight w:val="none"/>
                <w:lang w:val="en-US" w:eastAsia="zh-CN"/>
              </w:rPr>
              <w:sym w:font="Wingdings" w:char="00A8"/>
            </w:r>
          </w:p>
          <w:p w14:paraId="47DAE548">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3检查发生器各阀门开闭是否处于正确位置</w:t>
            </w:r>
            <w:r>
              <w:rPr>
                <w:rFonts w:hint="eastAsia" w:ascii="宋体" w:hAnsi="宋体" w:eastAsia="宋体" w:cs="宋体"/>
                <w:color w:val="auto"/>
                <w:sz w:val="21"/>
                <w:szCs w:val="21"/>
                <w:highlight w:val="none"/>
                <w:lang w:val="en-US" w:eastAsia="zh-CN"/>
              </w:rPr>
              <w:sym w:font="Wingdings" w:char="00A8"/>
            </w:r>
          </w:p>
          <w:p w14:paraId="64C9B17F">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检查水泵冲程及油位是否正常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7F977408">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5检查整流器供电电流、电压是否正常</w:t>
            </w:r>
            <w:r>
              <w:rPr>
                <w:rFonts w:hint="eastAsia" w:ascii="宋体" w:hAnsi="宋体" w:eastAsia="宋体" w:cs="宋体"/>
                <w:color w:val="auto"/>
                <w:sz w:val="21"/>
                <w:szCs w:val="21"/>
                <w:highlight w:val="none"/>
                <w:lang w:val="en-US" w:eastAsia="zh-CN"/>
              </w:rPr>
              <w:sym w:font="Wingdings" w:char="00A8"/>
            </w:r>
          </w:p>
          <w:p w14:paraId="4D86C1E0">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 检查发生器进出水温度是否正常进水温度大于10℃，出口次氯酸钠溶液温度应小于50℃ </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C4C9A0E">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7检查电解槽内电解反应气泡是否正常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4E1DD4C1">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8检查脱氢系统风机是否运转正常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7D0530AA">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9检查产出的次氯酸钠溶液浓度是否正常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292BA0FC">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10电解槽需参照说明定期保养（至少2个月一次）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tc>
        <w:tc>
          <w:tcPr>
            <w:tcW w:w="860" w:type="dxa"/>
            <w:vAlign w:val="center"/>
          </w:tcPr>
          <w:p w14:paraId="3AC07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restart"/>
            <w:vAlign w:val="center"/>
          </w:tcPr>
          <w:p w14:paraId="3815E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由</w:t>
            </w:r>
            <w:r>
              <w:rPr>
                <w:rFonts w:hint="eastAsia" w:ascii="宋体" w:hAnsi="宋体" w:eastAsia="宋体" w:cs="宋体"/>
                <w:bCs/>
                <w:color w:val="auto"/>
                <w:kern w:val="0"/>
                <w:sz w:val="21"/>
                <w:szCs w:val="21"/>
                <w:highlight w:val="none"/>
                <w:lang w:eastAsia="zh-CN"/>
              </w:rPr>
              <w:t>成交供应商</w:t>
            </w:r>
            <w:r>
              <w:rPr>
                <w:rFonts w:hint="eastAsia" w:ascii="宋体" w:hAnsi="宋体" w:eastAsia="宋体" w:cs="宋体"/>
                <w:bCs/>
                <w:color w:val="auto"/>
                <w:kern w:val="0"/>
                <w:sz w:val="21"/>
                <w:szCs w:val="21"/>
                <w:highlight w:val="none"/>
              </w:rPr>
              <w:t>负责维护保养与维修</w:t>
            </w:r>
          </w:p>
        </w:tc>
      </w:tr>
      <w:tr w14:paraId="1CD2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38" w:type="dxa"/>
            <w:vMerge w:val="continue"/>
            <w:noWrap/>
            <w:vAlign w:val="center"/>
          </w:tcPr>
          <w:p w14:paraId="13D0B0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4CA300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225555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电导率仪</w:t>
            </w:r>
          </w:p>
        </w:tc>
        <w:tc>
          <w:tcPr>
            <w:tcW w:w="608" w:type="dxa"/>
            <w:noWrap/>
            <w:vAlign w:val="center"/>
          </w:tcPr>
          <w:p w14:paraId="7F387C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2套</w:t>
            </w:r>
          </w:p>
        </w:tc>
        <w:tc>
          <w:tcPr>
            <w:tcW w:w="4912" w:type="dxa"/>
            <w:vMerge w:val="continue"/>
            <w:vAlign w:val="center"/>
          </w:tcPr>
          <w:p w14:paraId="2E04C2DF">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
              </w:rPr>
            </w:pPr>
          </w:p>
        </w:tc>
        <w:tc>
          <w:tcPr>
            <w:tcW w:w="860" w:type="dxa"/>
            <w:vAlign w:val="center"/>
          </w:tcPr>
          <w:p w14:paraId="5249BD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0F9515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295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438" w:type="dxa"/>
            <w:vMerge w:val="continue"/>
            <w:noWrap/>
            <w:vAlign w:val="center"/>
          </w:tcPr>
          <w:p w14:paraId="2C48D6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545993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2D511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次氯酸钠消毒液储罐</w:t>
            </w:r>
          </w:p>
        </w:tc>
        <w:tc>
          <w:tcPr>
            <w:tcW w:w="608" w:type="dxa"/>
            <w:noWrap/>
            <w:vAlign w:val="center"/>
          </w:tcPr>
          <w:p w14:paraId="2B8638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Merge w:val="continue"/>
            <w:vAlign w:val="center"/>
          </w:tcPr>
          <w:p w14:paraId="70326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Cs/>
                <w:color w:val="auto"/>
                <w:kern w:val="0"/>
                <w:sz w:val="21"/>
                <w:szCs w:val="21"/>
                <w:highlight w:val="none"/>
              </w:rPr>
            </w:pPr>
          </w:p>
        </w:tc>
        <w:tc>
          <w:tcPr>
            <w:tcW w:w="860" w:type="dxa"/>
            <w:vAlign w:val="center"/>
          </w:tcPr>
          <w:p w14:paraId="2202D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5EC5B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41EB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38" w:type="dxa"/>
            <w:vMerge w:val="continue"/>
            <w:noWrap/>
            <w:vAlign w:val="center"/>
          </w:tcPr>
          <w:p w14:paraId="4B8F74C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375AD8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681" w:type="dxa"/>
            <w:gridSpan w:val="3"/>
            <w:vMerge w:val="restart"/>
            <w:vAlign w:val="center"/>
          </w:tcPr>
          <w:p w14:paraId="2ED23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等离子活性炭除臭装置</w:t>
            </w:r>
          </w:p>
        </w:tc>
        <w:tc>
          <w:tcPr>
            <w:tcW w:w="702" w:type="dxa"/>
            <w:noWrap/>
            <w:vAlign w:val="center"/>
          </w:tcPr>
          <w:p w14:paraId="73B67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除臭箱</w:t>
            </w:r>
          </w:p>
        </w:tc>
        <w:tc>
          <w:tcPr>
            <w:tcW w:w="608" w:type="dxa"/>
            <w:vMerge w:val="restart"/>
            <w:noWrap/>
            <w:vAlign w:val="center"/>
          </w:tcPr>
          <w:p w14:paraId="093DF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Merge w:val="restart"/>
            <w:vAlign w:val="center"/>
          </w:tcPr>
          <w:p w14:paraId="173AFE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3A1C0DE4">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运行指示灯是否指示正常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0996F48">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3引风机及风管是否正常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3、检查过滤棉是否堵塞，定期更换</w:t>
            </w:r>
            <w:r>
              <w:rPr>
                <w:rFonts w:hint="eastAsia" w:ascii="宋体" w:hAnsi="宋体" w:eastAsia="宋体" w:cs="宋体"/>
                <w:color w:val="auto"/>
                <w:sz w:val="21"/>
                <w:szCs w:val="21"/>
                <w:highlight w:val="none"/>
                <w:lang w:val="en-US" w:eastAsia="zh-CN"/>
              </w:rPr>
              <w:sym w:font="Wingdings" w:char="00A8"/>
            </w:r>
          </w:p>
          <w:p w14:paraId="6DBE512B">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4检查等离子电场是否污损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7222BA04">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5检查过滤活性炭是否污饱和需定期更换</w:t>
            </w:r>
            <w:r>
              <w:rPr>
                <w:rFonts w:hint="eastAsia" w:ascii="宋体" w:hAnsi="宋体" w:eastAsia="宋体" w:cs="宋体"/>
                <w:color w:val="auto"/>
                <w:sz w:val="21"/>
                <w:szCs w:val="21"/>
                <w:highlight w:val="none"/>
                <w:lang w:val="en-US" w:eastAsia="zh-CN"/>
              </w:rPr>
              <w:sym w:font="Wingdings" w:char="00A8"/>
            </w:r>
          </w:p>
        </w:tc>
        <w:tc>
          <w:tcPr>
            <w:tcW w:w="860" w:type="dxa"/>
            <w:vMerge w:val="restart"/>
            <w:vAlign w:val="center"/>
          </w:tcPr>
          <w:p w14:paraId="6F91A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lang w:eastAsia="zh-CN"/>
              </w:rPr>
            </w:pPr>
          </w:p>
          <w:p w14:paraId="3E67C3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restart"/>
            <w:vAlign w:val="center"/>
          </w:tcPr>
          <w:p w14:paraId="37BAE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由</w:t>
            </w:r>
            <w:r>
              <w:rPr>
                <w:rFonts w:hint="eastAsia" w:ascii="宋体" w:hAnsi="宋体" w:eastAsia="宋体" w:cs="宋体"/>
                <w:bCs/>
                <w:color w:val="auto"/>
                <w:kern w:val="0"/>
                <w:sz w:val="21"/>
                <w:szCs w:val="21"/>
                <w:highlight w:val="none"/>
                <w:lang w:eastAsia="zh-CN"/>
              </w:rPr>
              <w:t>成交供应商</w:t>
            </w:r>
            <w:r>
              <w:rPr>
                <w:rFonts w:hint="eastAsia" w:ascii="宋体" w:hAnsi="宋体" w:eastAsia="宋体" w:cs="宋体"/>
                <w:bCs/>
                <w:color w:val="auto"/>
                <w:kern w:val="0"/>
                <w:sz w:val="21"/>
                <w:szCs w:val="21"/>
                <w:highlight w:val="none"/>
              </w:rPr>
              <w:t>负责维护保养与维修</w:t>
            </w:r>
          </w:p>
        </w:tc>
      </w:tr>
      <w:tr w14:paraId="1228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38" w:type="dxa"/>
            <w:vMerge w:val="continue"/>
            <w:noWrap/>
            <w:vAlign w:val="center"/>
          </w:tcPr>
          <w:p w14:paraId="79A313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55608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681" w:type="dxa"/>
            <w:gridSpan w:val="3"/>
            <w:vMerge w:val="continue"/>
            <w:vAlign w:val="center"/>
          </w:tcPr>
          <w:p w14:paraId="3CCCC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02" w:type="dxa"/>
            <w:noWrap/>
            <w:vAlign w:val="center"/>
          </w:tcPr>
          <w:p w14:paraId="6F13FA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电箱</w:t>
            </w:r>
          </w:p>
        </w:tc>
        <w:tc>
          <w:tcPr>
            <w:tcW w:w="608" w:type="dxa"/>
            <w:vMerge w:val="continue"/>
            <w:noWrap/>
            <w:vAlign w:val="center"/>
          </w:tcPr>
          <w:p w14:paraId="7DC9F5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4912" w:type="dxa"/>
            <w:vMerge w:val="continue"/>
            <w:vAlign w:val="center"/>
          </w:tcPr>
          <w:p w14:paraId="4815AD16">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p>
        </w:tc>
        <w:tc>
          <w:tcPr>
            <w:tcW w:w="860" w:type="dxa"/>
            <w:vMerge w:val="continue"/>
            <w:vAlign w:val="center"/>
          </w:tcPr>
          <w:p w14:paraId="4516D8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924" w:type="dxa"/>
            <w:vMerge w:val="continue"/>
            <w:vAlign w:val="center"/>
          </w:tcPr>
          <w:p w14:paraId="66962C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17D8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38" w:type="dxa"/>
            <w:vMerge w:val="continue"/>
            <w:noWrap/>
            <w:vAlign w:val="center"/>
          </w:tcPr>
          <w:p w14:paraId="188EDD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2440F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681" w:type="dxa"/>
            <w:gridSpan w:val="3"/>
            <w:vMerge w:val="restart"/>
            <w:vAlign w:val="center"/>
          </w:tcPr>
          <w:p w14:paraId="68F5C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污泥脱水机组</w:t>
            </w:r>
          </w:p>
        </w:tc>
        <w:tc>
          <w:tcPr>
            <w:tcW w:w="702" w:type="dxa"/>
            <w:vAlign w:val="center"/>
          </w:tcPr>
          <w:p w14:paraId="2D9893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板框脱水机</w:t>
            </w:r>
          </w:p>
        </w:tc>
        <w:tc>
          <w:tcPr>
            <w:tcW w:w="608" w:type="dxa"/>
            <w:noWrap/>
            <w:vAlign w:val="center"/>
          </w:tcPr>
          <w:p w14:paraId="7D2DF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Merge w:val="restart"/>
            <w:vAlign w:val="center"/>
          </w:tcPr>
          <w:p w14:paraId="473F1424">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检查滤板、滤布是否破损渗漏</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303AD97C">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2检查压力表是否正常 </w:t>
            </w:r>
            <w:r>
              <w:rPr>
                <w:rFonts w:hint="eastAsia" w:ascii="宋体" w:hAnsi="宋体" w:eastAsia="宋体" w:cs="宋体"/>
                <w:color w:val="auto"/>
                <w:sz w:val="21"/>
                <w:szCs w:val="21"/>
                <w:highlight w:val="none"/>
                <w:lang w:val="en-US" w:eastAsia="zh-CN"/>
              </w:rPr>
              <w:sym w:font="Wingdings" w:char="00A8"/>
            </w:r>
          </w:p>
          <w:p w14:paraId="1BC3DB54">
            <w:pPr>
              <w:keepNext w:val="0"/>
              <w:keepLines w:val="0"/>
              <w:pageBreakBefore w:val="0"/>
              <w:suppressLineNumbers w:val="0"/>
              <w:kinsoku/>
              <w:wordWrap/>
              <w:overflowPunct/>
              <w:topLinePunct w:val="0"/>
              <w:autoSpaceDE/>
              <w:autoSpaceDN/>
              <w:bidi w:val="0"/>
              <w:adjustRightInd/>
              <w:snapToGri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3检查液压油位是否正常</w:t>
            </w:r>
            <w:r>
              <w:rPr>
                <w:rFonts w:hint="eastAsia" w:ascii="宋体" w:hAnsi="宋体" w:eastAsia="宋体" w:cs="宋体"/>
                <w:color w:val="auto"/>
                <w:sz w:val="21"/>
                <w:szCs w:val="21"/>
                <w:highlight w:val="none"/>
                <w:lang w:val="en-US" w:eastAsia="zh-CN"/>
              </w:rPr>
              <w:sym w:font="Wingdings" w:char="00A8"/>
            </w:r>
          </w:p>
          <w:p w14:paraId="71D6FCC7">
            <w:pPr>
              <w:keepNext w:val="0"/>
              <w:keepLines w:val="0"/>
              <w:pageBreakBefore w:val="0"/>
              <w:numPr>
                <w:ilvl w:val="0"/>
                <w:numId w:val="0"/>
              </w:numPr>
              <w:suppressLineNumbers w:val="0"/>
              <w:kinsoku/>
              <w:wordWrap/>
              <w:overflowPunct/>
              <w:topLinePunct w:val="0"/>
              <w:autoSpaceDE/>
              <w:autoSpaceDN/>
              <w:bidi w:val="0"/>
              <w:adjustRightInd/>
              <w:snapToGrid/>
              <w:spacing w:before="78" w:beforeLines="25" w:beforeAutospacing="0" w:after="0" w:afterAutospacing="0" w:line="240" w:lineRule="auto"/>
              <w:ind w:leftChars="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4检查进料泵是否工作正常</w:t>
            </w:r>
            <w:r>
              <w:rPr>
                <w:rFonts w:hint="eastAsia" w:ascii="宋体" w:hAnsi="宋体" w:eastAsia="宋体" w:cs="宋体"/>
                <w:color w:val="auto"/>
                <w:sz w:val="21"/>
                <w:szCs w:val="21"/>
                <w:highlight w:val="none"/>
                <w:lang w:val="en-US" w:eastAsia="zh-CN"/>
              </w:rPr>
              <w:sym w:font="Wingdings" w:char="00A8"/>
            </w:r>
          </w:p>
          <w:p w14:paraId="16F3AFF2">
            <w:pPr>
              <w:keepNext w:val="0"/>
              <w:keepLines w:val="0"/>
              <w:pageBreakBefore w:val="0"/>
              <w:numPr>
                <w:ilvl w:val="0"/>
                <w:numId w:val="0"/>
              </w:numPr>
              <w:suppressLineNumbers w:val="0"/>
              <w:kinsoku/>
              <w:wordWrap/>
              <w:overflowPunct/>
              <w:topLinePunct w:val="0"/>
              <w:autoSpaceDE/>
              <w:autoSpaceDN/>
              <w:bidi w:val="0"/>
              <w:adjustRightInd/>
              <w:snapToGrid/>
              <w:spacing w:before="78" w:beforeLines="25" w:beforeAutospacing="0" w:after="0" w:afterAutospacing="0" w:line="240" w:lineRule="auto"/>
              <w:ind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5检查污泥罐泥位是否正常</w:t>
            </w:r>
            <w:r>
              <w:rPr>
                <w:rFonts w:hint="eastAsia" w:ascii="宋体" w:hAnsi="宋体" w:eastAsia="宋体" w:cs="宋体"/>
                <w:color w:val="auto"/>
                <w:sz w:val="21"/>
                <w:szCs w:val="21"/>
                <w:highlight w:val="none"/>
                <w:lang w:val="en-US" w:eastAsia="zh-CN"/>
              </w:rPr>
              <w:sym w:font="Wingdings" w:char="00A8"/>
            </w:r>
          </w:p>
        </w:tc>
        <w:tc>
          <w:tcPr>
            <w:tcW w:w="860" w:type="dxa"/>
            <w:vMerge w:val="restart"/>
            <w:vAlign w:val="center"/>
          </w:tcPr>
          <w:p w14:paraId="00602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lang w:eastAsia="zh-CN"/>
              </w:rPr>
            </w:pPr>
          </w:p>
          <w:p w14:paraId="392BB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restart"/>
            <w:vAlign w:val="center"/>
          </w:tcPr>
          <w:p w14:paraId="1B2A282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62A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38" w:type="dxa"/>
            <w:vMerge w:val="continue"/>
            <w:noWrap/>
            <w:vAlign w:val="center"/>
          </w:tcPr>
          <w:p w14:paraId="3B6062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3006DD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681" w:type="dxa"/>
            <w:gridSpan w:val="3"/>
            <w:vMerge w:val="continue"/>
            <w:vAlign w:val="center"/>
          </w:tcPr>
          <w:p w14:paraId="780E2C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02" w:type="dxa"/>
            <w:vAlign w:val="center"/>
          </w:tcPr>
          <w:p w14:paraId="1BA6C8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污泥储罐</w:t>
            </w:r>
          </w:p>
        </w:tc>
        <w:tc>
          <w:tcPr>
            <w:tcW w:w="608" w:type="dxa"/>
            <w:noWrap/>
            <w:vAlign w:val="center"/>
          </w:tcPr>
          <w:p w14:paraId="5D70C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Merge w:val="continue"/>
            <w:vAlign w:val="center"/>
          </w:tcPr>
          <w:p w14:paraId="5B482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Cs/>
                <w:color w:val="auto"/>
                <w:kern w:val="0"/>
                <w:sz w:val="21"/>
                <w:szCs w:val="21"/>
                <w:highlight w:val="none"/>
              </w:rPr>
            </w:pPr>
          </w:p>
        </w:tc>
        <w:tc>
          <w:tcPr>
            <w:tcW w:w="860" w:type="dxa"/>
            <w:vMerge w:val="continue"/>
            <w:vAlign w:val="center"/>
          </w:tcPr>
          <w:p w14:paraId="03ABB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924" w:type="dxa"/>
            <w:vMerge w:val="continue"/>
            <w:vAlign w:val="center"/>
          </w:tcPr>
          <w:p w14:paraId="23FA6C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0F141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38" w:type="dxa"/>
            <w:vMerge w:val="continue"/>
            <w:noWrap/>
            <w:vAlign w:val="center"/>
          </w:tcPr>
          <w:p w14:paraId="325FFE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39FE3C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681" w:type="dxa"/>
            <w:gridSpan w:val="3"/>
            <w:vMerge w:val="restart"/>
            <w:vAlign w:val="center"/>
          </w:tcPr>
          <w:p w14:paraId="6B9EF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流量监测柜</w:t>
            </w:r>
          </w:p>
        </w:tc>
        <w:tc>
          <w:tcPr>
            <w:tcW w:w="702" w:type="dxa"/>
            <w:vAlign w:val="center"/>
          </w:tcPr>
          <w:p w14:paraId="34E7C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流量计</w:t>
            </w:r>
          </w:p>
        </w:tc>
        <w:tc>
          <w:tcPr>
            <w:tcW w:w="608" w:type="dxa"/>
            <w:noWrap/>
            <w:vAlign w:val="center"/>
          </w:tcPr>
          <w:p w14:paraId="6B4E4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Merge w:val="restart"/>
            <w:vAlign w:val="top"/>
          </w:tcPr>
          <w:p w14:paraId="319D43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3BD761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245CFF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860" w:type="dxa"/>
            <w:vMerge w:val="restart"/>
            <w:vAlign w:val="center"/>
          </w:tcPr>
          <w:p w14:paraId="5FFCB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lang w:eastAsia="zh-CN"/>
              </w:rPr>
            </w:pPr>
          </w:p>
          <w:p w14:paraId="64860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Merge w:val="continue"/>
            <w:vAlign w:val="center"/>
          </w:tcPr>
          <w:p w14:paraId="577310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2515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38" w:type="dxa"/>
            <w:vMerge w:val="continue"/>
            <w:noWrap/>
            <w:vAlign w:val="center"/>
          </w:tcPr>
          <w:p w14:paraId="5C1EE9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67448B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681" w:type="dxa"/>
            <w:gridSpan w:val="3"/>
            <w:vMerge w:val="continue"/>
            <w:vAlign w:val="center"/>
          </w:tcPr>
          <w:p w14:paraId="12EDEDA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02" w:type="dxa"/>
            <w:vAlign w:val="center"/>
          </w:tcPr>
          <w:p w14:paraId="47591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数采仪</w:t>
            </w:r>
          </w:p>
        </w:tc>
        <w:tc>
          <w:tcPr>
            <w:tcW w:w="608" w:type="dxa"/>
            <w:noWrap/>
            <w:vAlign w:val="center"/>
          </w:tcPr>
          <w:p w14:paraId="4F46F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1个</w:t>
            </w:r>
          </w:p>
        </w:tc>
        <w:tc>
          <w:tcPr>
            <w:tcW w:w="4912" w:type="dxa"/>
            <w:vMerge w:val="continue"/>
            <w:vAlign w:val="center"/>
          </w:tcPr>
          <w:p w14:paraId="4C9412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860" w:type="dxa"/>
            <w:vMerge w:val="continue"/>
            <w:vAlign w:val="center"/>
          </w:tcPr>
          <w:p w14:paraId="5DF620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p>
        </w:tc>
        <w:tc>
          <w:tcPr>
            <w:tcW w:w="924" w:type="dxa"/>
            <w:vMerge w:val="continue"/>
            <w:vAlign w:val="center"/>
          </w:tcPr>
          <w:p w14:paraId="25FCE2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r w14:paraId="77F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438" w:type="dxa"/>
            <w:vMerge w:val="continue"/>
            <w:noWrap/>
            <w:vAlign w:val="center"/>
          </w:tcPr>
          <w:p w14:paraId="1AD55D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731" w:type="dxa"/>
            <w:vMerge w:val="continue"/>
            <w:vAlign w:val="center"/>
          </w:tcPr>
          <w:p w14:paraId="5F1D91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c>
          <w:tcPr>
            <w:tcW w:w="1383" w:type="dxa"/>
            <w:gridSpan w:val="4"/>
            <w:noWrap/>
            <w:vAlign w:val="center"/>
          </w:tcPr>
          <w:p w14:paraId="2F131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余氯、PH在线检测仪</w:t>
            </w:r>
          </w:p>
        </w:tc>
        <w:tc>
          <w:tcPr>
            <w:tcW w:w="608" w:type="dxa"/>
            <w:noWrap/>
            <w:vAlign w:val="center"/>
          </w:tcPr>
          <w:p w14:paraId="2EA23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1套</w:t>
            </w:r>
          </w:p>
        </w:tc>
        <w:tc>
          <w:tcPr>
            <w:tcW w:w="4912" w:type="dxa"/>
            <w:vAlign w:val="center"/>
          </w:tcPr>
          <w:p w14:paraId="602C9C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检查进出水管路是否正常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2B5FC5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2检查仪表数值显示是否有故障异常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77B35A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3检查电极膜头是否有污垢污损</w:t>
            </w:r>
            <w:r>
              <w:rPr>
                <w:rFonts w:hint="eastAsia" w:ascii="宋体" w:hAnsi="宋体" w:eastAsia="宋体" w:cs="宋体"/>
                <w:color w:val="auto"/>
                <w:sz w:val="21"/>
                <w:szCs w:val="21"/>
                <w:highlight w:val="none"/>
                <w:lang w:val="en-US" w:eastAsia="zh-CN"/>
              </w:rPr>
              <w:sym w:font="Wingdings" w:char="00A8"/>
            </w:r>
          </w:p>
          <w:p w14:paraId="4686B293">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4检查电极内电解液是否正常需定期加注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4AB6B4B8">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5定期对仪表进行标定（每月1次）</w:t>
            </w:r>
            <w:r>
              <w:rPr>
                <w:rFonts w:hint="eastAsia" w:ascii="宋体" w:hAnsi="宋体" w:eastAsia="宋体" w:cs="宋体"/>
                <w:color w:val="auto"/>
                <w:sz w:val="21"/>
                <w:szCs w:val="21"/>
                <w:highlight w:val="none"/>
                <w:lang w:val="en-US" w:eastAsia="zh-CN"/>
              </w:rPr>
              <w:sym w:font="Wingdings" w:char="00A8"/>
            </w:r>
          </w:p>
        </w:tc>
        <w:tc>
          <w:tcPr>
            <w:tcW w:w="860" w:type="dxa"/>
            <w:vAlign w:val="center"/>
          </w:tcPr>
          <w:p w14:paraId="68D191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每周</w:t>
            </w:r>
          </w:p>
        </w:tc>
        <w:tc>
          <w:tcPr>
            <w:tcW w:w="924" w:type="dxa"/>
            <w:vAlign w:val="center"/>
          </w:tcPr>
          <w:p w14:paraId="45C7E4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color w:val="auto"/>
                <w:sz w:val="21"/>
                <w:szCs w:val="21"/>
                <w:highlight w:val="none"/>
              </w:rPr>
            </w:pPr>
          </w:p>
        </w:tc>
      </w:tr>
    </w:tbl>
    <w:p w14:paraId="735F4490">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Courier New"/>
          <w:b/>
          <w:bCs/>
          <w:color w:val="auto"/>
          <w:sz w:val="28"/>
          <w:szCs w:val="28"/>
          <w:highlight w:val="none"/>
        </w:rPr>
      </w:pPr>
    </w:p>
    <w:p w14:paraId="4A954655">
      <w:pPr>
        <w:spacing w:line="240" w:lineRule="auto"/>
        <w:ind w:left="0" w:leftChars="0" w:firstLine="0" w:firstLineChars="0"/>
        <w:jc w:val="left"/>
        <w:rPr>
          <w:rFonts w:ascii="黑体" w:hAnsi="黑体" w:eastAsia="黑体" w:cs="黑体"/>
          <w:color w:val="auto"/>
          <w:sz w:val="22"/>
          <w:szCs w:val="22"/>
          <w:highlight w:val="none"/>
        </w:rPr>
      </w:pPr>
    </w:p>
    <w:p w14:paraId="327A38E9">
      <w:pPr>
        <w:spacing w:line="360" w:lineRule="auto"/>
        <w:jc w:val="center"/>
        <w:rPr>
          <w:rFonts w:hint="eastAsia"/>
          <w:color w:val="auto"/>
          <w:sz w:val="24"/>
          <w:highlight w:val="none"/>
        </w:rPr>
      </w:pPr>
    </w:p>
    <w:p w14:paraId="7E86A04D">
      <w:pPr>
        <w:pStyle w:val="32"/>
        <w:rPr>
          <w:rFonts w:hint="eastAsia"/>
          <w:color w:val="auto"/>
          <w:sz w:val="24"/>
          <w:highlight w:val="none"/>
        </w:rPr>
      </w:pPr>
    </w:p>
    <w:p w14:paraId="0ABAF694">
      <w:pPr>
        <w:spacing w:line="360" w:lineRule="auto"/>
        <w:rPr>
          <w:rFonts w:hint="eastAsia" w:ascii="黑体" w:hAnsi="黑体" w:eastAsia="黑体" w:cs="黑体"/>
          <w:color w:val="auto"/>
          <w:sz w:val="24"/>
          <w:highlight w:val="none"/>
        </w:rPr>
        <w:sectPr>
          <w:pgSz w:w="11906" w:h="16838"/>
          <w:pgMar w:top="1134" w:right="1134" w:bottom="1134" w:left="1134" w:header="851" w:footer="992" w:gutter="0"/>
          <w:pgNumType w:fmt="decimal"/>
          <w:cols w:space="720" w:num="1"/>
          <w:docGrid w:type="linesAndChars" w:linePitch="312" w:charSpace="0"/>
        </w:sectPr>
      </w:pPr>
    </w:p>
    <w:p w14:paraId="7C8497AA">
      <w:pPr>
        <w:spacing w:line="360" w:lineRule="auto"/>
        <w:rPr>
          <w:rFonts w:ascii="黑体" w:hAnsi="黑体" w:eastAsia="黑体" w:cs="黑体"/>
          <w:color w:val="auto"/>
          <w:sz w:val="24"/>
          <w:highlight w:val="none"/>
        </w:rPr>
      </w:pPr>
      <w:r>
        <w:rPr>
          <w:rFonts w:hint="eastAsia" w:ascii="黑体" w:hAnsi="黑体" w:eastAsia="黑体" w:cs="黑体"/>
          <w:color w:val="auto"/>
          <w:sz w:val="24"/>
          <w:highlight w:val="none"/>
        </w:rPr>
        <w:t>附件</w:t>
      </w: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w:t>
      </w:r>
    </w:p>
    <w:p w14:paraId="1496AF99">
      <w:pPr>
        <w:keepNext w:val="0"/>
        <w:keepLines w:val="0"/>
        <w:pageBreakBefore w:val="0"/>
        <w:widowControl w:val="0"/>
        <w:kinsoku/>
        <w:wordWrap/>
        <w:overflowPunct/>
        <w:topLinePunct w:val="0"/>
        <w:autoSpaceDE/>
        <w:autoSpaceDN/>
        <w:bidi w:val="0"/>
        <w:adjustRightInd/>
        <w:spacing w:line="360" w:lineRule="auto"/>
        <w:ind w:firstLine="0" w:firstLineChars="0"/>
        <w:jc w:val="center"/>
        <w:textAlignment w:val="auto"/>
        <w:rPr>
          <w:rFonts w:ascii="黑体" w:hAnsi="黑体" w:eastAsia="黑体" w:cs="黑体"/>
          <w:color w:val="auto"/>
          <w:sz w:val="32"/>
          <w:szCs w:val="40"/>
          <w:highlight w:val="none"/>
        </w:rPr>
      </w:pPr>
      <w:r>
        <w:rPr>
          <w:rFonts w:hint="eastAsia" w:ascii="黑体" w:hAnsi="黑体" w:eastAsia="黑体" w:cs="黑体"/>
          <w:color w:val="auto"/>
          <w:sz w:val="32"/>
          <w:szCs w:val="40"/>
          <w:highlight w:val="none"/>
        </w:rPr>
        <w:t>柳州市人民医院污水处理站服务管理考核表</w:t>
      </w:r>
    </w:p>
    <w:tbl>
      <w:tblPr>
        <w:tblStyle w:val="51"/>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04"/>
        <w:gridCol w:w="116"/>
        <w:gridCol w:w="3565"/>
        <w:gridCol w:w="701"/>
        <w:gridCol w:w="1576"/>
        <w:gridCol w:w="416"/>
        <w:gridCol w:w="709"/>
        <w:gridCol w:w="1065"/>
      </w:tblGrid>
      <w:tr w14:paraId="37AE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930" w:type="dxa"/>
            <w:gridSpan w:val="3"/>
            <w:vAlign w:val="center"/>
          </w:tcPr>
          <w:p w14:paraId="263D432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名称</w:t>
            </w:r>
          </w:p>
        </w:tc>
        <w:tc>
          <w:tcPr>
            <w:tcW w:w="4266" w:type="dxa"/>
            <w:gridSpan w:val="2"/>
            <w:vAlign w:val="center"/>
          </w:tcPr>
          <w:p w14:paraId="2ED0EAC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576" w:type="dxa"/>
            <w:vAlign w:val="center"/>
          </w:tcPr>
          <w:p w14:paraId="67EC093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负责人</w:t>
            </w:r>
          </w:p>
        </w:tc>
        <w:tc>
          <w:tcPr>
            <w:tcW w:w="2190" w:type="dxa"/>
            <w:gridSpan w:val="3"/>
            <w:vAlign w:val="center"/>
          </w:tcPr>
          <w:p w14:paraId="23171ED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0495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930" w:type="dxa"/>
            <w:gridSpan w:val="3"/>
            <w:vAlign w:val="center"/>
          </w:tcPr>
          <w:p w14:paraId="6699BED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联系地址</w:t>
            </w:r>
          </w:p>
        </w:tc>
        <w:tc>
          <w:tcPr>
            <w:tcW w:w="4266" w:type="dxa"/>
            <w:gridSpan w:val="2"/>
            <w:vAlign w:val="center"/>
          </w:tcPr>
          <w:p w14:paraId="4D36C1C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576" w:type="dxa"/>
            <w:vAlign w:val="center"/>
          </w:tcPr>
          <w:p w14:paraId="19C8C19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190" w:type="dxa"/>
            <w:gridSpan w:val="3"/>
            <w:vAlign w:val="center"/>
          </w:tcPr>
          <w:p w14:paraId="26A4F5D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7C77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exact"/>
          <w:jc w:val="center"/>
        </w:trPr>
        <w:tc>
          <w:tcPr>
            <w:tcW w:w="9962" w:type="dxa"/>
            <w:gridSpan w:val="9"/>
            <w:vAlign w:val="center"/>
          </w:tcPr>
          <w:p w14:paraId="29DE3E6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考核说明：</w:t>
            </w:r>
          </w:p>
          <w:p w14:paraId="0D11CCE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每</w:t>
            </w:r>
            <w:r>
              <w:rPr>
                <w:rFonts w:hint="eastAsia" w:ascii="宋体" w:hAnsi="宋体" w:eastAsia="宋体" w:cs="宋体"/>
                <w:b/>
                <w:color w:val="auto"/>
                <w:sz w:val="21"/>
                <w:szCs w:val="21"/>
                <w:highlight w:val="none"/>
                <w:lang w:eastAsia="zh-CN"/>
              </w:rPr>
              <w:t>月</w:t>
            </w:r>
            <w:r>
              <w:rPr>
                <w:rFonts w:hint="eastAsia" w:ascii="宋体" w:hAnsi="宋体" w:eastAsia="宋体" w:cs="宋体"/>
                <w:b/>
                <w:color w:val="auto"/>
                <w:sz w:val="21"/>
                <w:szCs w:val="21"/>
                <w:highlight w:val="none"/>
              </w:rPr>
              <w:t>按照柳州市疾病预防控制中心和环保局要求对废水进行采样、送检，不达标本季度考核不合格，不予付款。</w:t>
            </w:r>
          </w:p>
          <w:p w14:paraId="2C63F19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1、考核标准：</w:t>
            </w:r>
            <w:r>
              <w:rPr>
                <w:rFonts w:hint="eastAsia" w:ascii="宋体" w:hAnsi="宋体" w:eastAsia="宋体" w:cs="宋体"/>
                <w:color w:val="auto"/>
                <w:sz w:val="21"/>
                <w:szCs w:val="21"/>
                <w:highlight w:val="none"/>
                <w:lang w:eastAsia="zh-CN"/>
              </w:rPr>
              <w:t>考核分≥</w:t>
            </w:r>
            <w:r>
              <w:rPr>
                <w:rFonts w:hint="eastAsia" w:ascii="宋体" w:hAnsi="宋体" w:eastAsia="宋体" w:cs="宋体"/>
                <w:color w:val="auto"/>
                <w:sz w:val="21"/>
                <w:szCs w:val="21"/>
                <w:highlight w:val="none"/>
                <w:lang w:val="en-US" w:eastAsia="zh-CN"/>
              </w:rPr>
              <w:t>70分，</w:t>
            </w:r>
            <w:r>
              <w:rPr>
                <w:rFonts w:hint="eastAsia" w:ascii="宋体" w:hAnsi="宋体" w:eastAsia="宋体" w:cs="宋体"/>
                <w:color w:val="auto"/>
                <w:sz w:val="21"/>
                <w:szCs w:val="21"/>
                <w:highlight w:val="none"/>
              </w:rPr>
              <w:t>按1分等于50元服务费的标准扣款。</w:t>
            </w:r>
          </w:p>
          <w:p w14:paraId="1F538D9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60分≤</w:t>
            </w:r>
            <w:r>
              <w:rPr>
                <w:rFonts w:hint="eastAsia" w:ascii="宋体" w:hAnsi="宋体" w:eastAsia="宋体" w:cs="宋体"/>
                <w:color w:val="auto"/>
                <w:sz w:val="21"/>
                <w:szCs w:val="21"/>
                <w:highlight w:val="none"/>
              </w:rPr>
              <w:t>考核分﹤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扣款本月50%服务费</w:t>
            </w:r>
            <w:r>
              <w:rPr>
                <w:rFonts w:hint="eastAsia" w:ascii="宋体" w:hAnsi="宋体" w:eastAsia="宋体" w:cs="宋体"/>
                <w:color w:val="auto"/>
                <w:sz w:val="21"/>
                <w:szCs w:val="21"/>
                <w:highlight w:val="none"/>
              </w:rPr>
              <w:t>；</w:t>
            </w:r>
          </w:p>
          <w:p w14:paraId="75EA107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考核分﹤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扣款本月100%服务费</w:t>
            </w:r>
            <w:r>
              <w:rPr>
                <w:rFonts w:hint="eastAsia" w:ascii="宋体" w:hAnsi="宋体" w:eastAsia="宋体" w:cs="宋体"/>
                <w:color w:val="auto"/>
                <w:sz w:val="21"/>
                <w:szCs w:val="21"/>
                <w:highlight w:val="none"/>
              </w:rPr>
              <w:t>；</w:t>
            </w:r>
          </w:p>
          <w:p w14:paraId="293DA6A0">
            <w:pPr>
              <w:pStyle w:val="3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lang w:val="en-US" w:eastAsia="zh-CN"/>
              </w:rPr>
            </w:pPr>
          </w:p>
          <w:p w14:paraId="55C0DD6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left"/>
              <w:textAlignment w:val="auto"/>
              <w:rPr>
                <w:rFonts w:hint="eastAsia" w:ascii="宋体" w:hAnsi="宋体" w:eastAsia="宋体" w:cs="宋体"/>
                <w:color w:val="auto"/>
                <w:sz w:val="21"/>
                <w:szCs w:val="21"/>
                <w:highlight w:val="none"/>
              </w:rPr>
            </w:pPr>
          </w:p>
          <w:p w14:paraId="339D1F3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tc>
      </w:tr>
      <w:tr w14:paraId="3478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710" w:type="dxa"/>
            <w:vAlign w:val="center"/>
          </w:tcPr>
          <w:p w14:paraId="095E7A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04" w:type="dxa"/>
            <w:tcBorders>
              <w:right w:val="single" w:color="000000" w:sz="12" w:space="0"/>
            </w:tcBorders>
            <w:vAlign w:val="center"/>
          </w:tcPr>
          <w:p w14:paraId="62FF56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评定项目</w:t>
            </w:r>
          </w:p>
        </w:tc>
        <w:tc>
          <w:tcPr>
            <w:tcW w:w="6374" w:type="dxa"/>
            <w:gridSpan w:val="5"/>
            <w:tcBorders>
              <w:left w:val="single" w:color="000000" w:sz="12" w:space="0"/>
            </w:tcBorders>
            <w:vAlign w:val="center"/>
          </w:tcPr>
          <w:p w14:paraId="0D6F71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评定细则</w:t>
            </w:r>
          </w:p>
        </w:tc>
        <w:tc>
          <w:tcPr>
            <w:tcW w:w="709" w:type="dxa"/>
            <w:vAlign w:val="center"/>
          </w:tcPr>
          <w:p w14:paraId="1EBE434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w:t>
            </w:r>
          </w:p>
        </w:tc>
        <w:tc>
          <w:tcPr>
            <w:tcW w:w="1065" w:type="dxa"/>
            <w:vAlign w:val="center"/>
          </w:tcPr>
          <w:p w14:paraId="726A5ED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r>
      <w:tr w14:paraId="129A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10" w:type="dxa"/>
            <w:vMerge w:val="restart"/>
            <w:vAlign w:val="center"/>
          </w:tcPr>
          <w:p w14:paraId="5548328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04" w:type="dxa"/>
            <w:vMerge w:val="restart"/>
            <w:tcBorders>
              <w:right w:val="single" w:color="000000" w:sz="12" w:space="0"/>
            </w:tcBorders>
            <w:vAlign w:val="center"/>
          </w:tcPr>
          <w:p w14:paraId="2552E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污染防治管理</w:t>
            </w:r>
          </w:p>
          <w:p w14:paraId="6C6EF5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6374" w:type="dxa"/>
            <w:gridSpan w:val="5"/>
            <w:tcBorders>
              <w:left w:val="single" w:color="000000" w:sz="12" w:space="0"/>
            </w:tcBorders>
            <w:vAlign w:val="center"/>
          </w:tcPr>
          <w:p w14:paraId="228A0DF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每日至少进行两次出水检测，出水余氯保持在2-8mg/L，并做好运行记录。</w:t>
            </w:r>
            <w:r>
              <w:rPr>
                <w:rFonts w:hint="eastAsia" w:ascii="宋体" w:hAnsi="宋体" w:eastAsia="宋体" w:cs="宋体"/>
                <w:color w:val="auto"/>
                <w:sz w:val="21"/>
                <w:szCs w:val="21"/>
                <w:highlight w:val="none"/>
                <w:lang w:val="en-US" w:eastAsia="zh-CN"/>
              </w:rPr>
              <w:t>未做出水检测或记录缺失1次扣5分，扣完为止。</w:t>
            </w:r>
            <w:r>
              <w:rPr>
                <w:rFonts w:hint="eastAsia" w:ascii="宋体" w:hAnsi="宋体" w:eastAsia="宋体" w:cs="宋体"/>
                <w:color w:val="auto"/>
                <w:sz w:val="21"/>
                <w:szCs w:val="21"/>
                <w:highlight w:val="none"/>
              </w:rPr>
              <w:t>(10分)</w:t>
            </w:r>
          </w:p>
        </w:tc>
        <w:tc>
          <w:tcPr>
            <w:tcW w:w="709" w:type="dxa"/>
            <w:vAlign w:val="center"/>
          </w:tcPr>
          <w:p w14:paraId="2D6AB0C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restart"/>
            <w:vAlign w:val="center"/>
          </w:tcPr>
          <w:p w14:paraId="18126EA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363C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710" w:type="dxa"/>
            <w:vMerge w:val="continue"/>
            <w:vAlign w:val="center"/>
          </w:tcPr>
          <w:p w14:paraId="3E86C41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tcPr>
          <w:p w14:paraId="0556BB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3A1F4D1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各类检测药剂应登记购买时间及药品有效期，接近过期的药品要及时更换，过期药品必须作废禁止使用。（5分）</w:t>
            </w:r>
          </w:p>
        </w:tc>
        <w:tc>
          <w:tcPr>
            <w:tcW w:w="709" w:type="dxa"/>
            <w:vAlign w:val="center"/>
          </w:tcPr>
          <w:p w14:paraId="66668EF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182706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124A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710" w:type="dxa"/>
            <w:vMerge w:val="continue"/>
            <w:vAlign w:val="center"/>
          </w:tcPr>
          <w:p w14:paraId="5F8C98D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tcPr>
          <w:p w14:paraId="2BA9B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20BF37E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按要求统计药品消耗量，并详细记录每天投放量。（5分）</w:t>
            </w:r>
          </w:p>
        </w:tc>
        <w:tc>
          <w:tcPr>
            <w:tcW w:w="709" w:type="dxa"/>
            <w:vAlign w:val="center"/>
          </w:tcPr>
          <w:p w14:paraId="1C21AD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57A8CC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0655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710" w:type="dxa"/>
            <w:vMerge w:val="restart"/>
            <w:vAlign w:val="center"/>
          </w:tcPr>
          <w:p w14:paraId="5A3331C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04" w:type="dxa"/>
            <w:vMerge w:val="restart"/>
            <w:tcBorders>
              <w:right w:val="single" w:color="000000" w:sz="12" w:space="0"/>
            </w:tcBorders>
            <w:vAlign w:val="center"/>
          </w:tcPr>
          <w:p w14:paraId="18661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p w14:paraId="451F2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6374" w:type="dxa"/>
            <w:gridSpan w:val="5"/>
            <w:tcBorders>
              <w:left w:val="single" w:color="000000" w:sz="12" w:space="0"/>
            </w:tcBorders>
            <w:vAlign w:val="center"/>
          </w:tcPr>
          <w:p w14:paraId="57AE73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污水处理站环境潮湿，污水处理药剂具有腐蚀性，操作人员应每天检查电器设备的开启和关闭是否正常，并做好检查记录。（5分）</w:t>
            </w:r>
          </w:p>
        </w:tc>
        <w:tc>
          <w:tcPr>
            <w:tcW w:w="709" w:type="dxa"/>
            <w:vAlign w:val="center"/>
          </w:tcPr>
          <w:p w14:paraId="74543F9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restart"/>
            <w:vAlign w:val="center"/>
          </w:tcPr>
          <w:p w14:paraId="331302F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6933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710" w:type="dxa"/>
            <w:vMerge w:val="continue"/>
            <w:vAlign w:val="center"/>
          </w:tcPr>
          <w:p w14:paraId="6AE54FA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0E689A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1050F91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操作人员在操作设备、取样检测、配制药剂时必须按要求佩戴防护用品（防毒面具、橡胶手套等），做好自身防护，并有相关管理制度。（5分）</w:t>
            </w:r>
          </w:p>
        </w:tc>
        <w:tc>
          <w:tcPr>
            <w:tcW w:w="709" w:type="dxa"/>
            <w:vAlign w:val="center"/>
          </w:tcPr>
          <w:p w14:paraId="3BE6E69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4B4DBA1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67B0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10" w:type="dxa"/>
            <w:vMerge w:val="continue"/>
            <w:vAlign w:val="center"/>
          </w:tcPr>
          <w:p w14:paraId="3A088F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01D91E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43A92E6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每次对污水取样检测后，对接触污水的容器、手套、操作台等设施应立即清洗，晾干备用。（5分）</w:t>
            </w:r>
          </w:p>
        </w:tc>
        <w:tc>
          <w:tcPr>
            <w:tcW w:w="709" w:type="dxa"/>
            <w:vAlign w:val="center"/>
          </w:tcPr>
          <w:p w14:paraId="3F5A8C6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2F99B3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03E6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710" w:type="dxa"/>
            <w:vMerge w:val="continue"/>
            <w:vAlign w:val="center"/>
          </w:tcPr>
          <w:p w14:paraId="07046E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41B01D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700E4D0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严禁无关人员进入污水处理站，对非工作人员来访的，有来访登记记录。（5分）</w:t>
            </w:r>
          </w:p>
        </w:tc>
        <w:tc>
          <w:tcPr>
            <w:tcW w:w="709" w:type="dxa"/>
            <w:vAlign w:val="center"/>
          </w:tcPr>
          <w:p w14:paraId="132D10F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62F0BAB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2353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10" w:type="dxa"/>
            <w:vMerge w:val="continue"/>
            <w:vAlign w:val="center"/>
          </w:tcPr>
          <w:p w14:paraId="44596C9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1304A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2FE57C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工作区域不能使用大功率（1000W以上）电器，做好防火防盗工作，发现一次扣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9" w:type="dxa"/>
            <w:vAlign w:val="center"/>
          </w:tcPr>
          <w:p w14:paraId="7BCC4E0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5CA7D9C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03B7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710" w:type="dxa"/>
            <w:vMerge w:val="continue"/>
            <w:vAlign w:val="center"/>
          </w:tcPr>
          <w:p w14:paraId="70E5CA1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27FE0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49C285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严禁工作人员在污水处理站范围内开火煮食，发现一次扣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A10F0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9" w:type="dxa"/>
            <w:vAlign w:val="center"/>
          </w:tcPr>
          <w:p w14:paraId="50908E8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286B38A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0FB8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jc w:val="center"/>
        </w:trPr>
        <w:tc>
          <w:tcPr>
            <w:tcW w:w="710" w:type="dxa"/>
            <w:vMerge w:val="continue"/>
            <w:vAlign w:val="center"/>
          </w:tcPr>
          <w:p w14:paraId="1AF719F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746B8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749D206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污水处理站范围内严禁吸烟，工作人员应做好控烟工作，工作人员在工作区域内或穿工作服在院区吸烟的，发现一次扣10分。（10分）</w:t>
            </w:r>
          </w:p>
        </w:tc>
        <w:tc>
          <w:tcPr>
            <w:tcW w:w="709" w:type="dxa"/>
            <w:vAlign w:val="center"/>
          </w:tcPr>
          <w:p w14:paraId="5C1B08B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21A63D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66D2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10" w:type="dxa"/>
            <w:vMerge w:val="restart"/>
            <w:vAlign w:val="center"/>
          </w:tcPr>
          <w:p w14:paraId="72E503E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04" w:type="dxa"/>
            <w:vMerge w:val="restart"/>
            <w:tcBorders>
              <w:right w:val="single" w:color="000000" w:sz="12" w:space="0"/>
            </w:tcBorders>
            <w:vAlign w:val="center"/>
          </w:tcPr>
          <w:p w14:paraId="0DFD2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环境管理</w:t>
            </w:r>
          </w:p>
          <w:p w14:paraId="44C7ED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6374" w:type="dxa"/>
            <w:gridSpan w:val="5"/>
            <w:tcBorders>
              <w:left w:val="single" w:color="000000" w:sz="12" w:space="0"/>
            </w:tcBorders>
            <w:vAlign w:val="center"/>
          </w:tcPr>
          <w:p w14:paraId="79F026D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污水处理站产生的垃圾应按照医疗垃圾处理，密封包裹后送到院内垃圾站处理，并做好相关记录。（2分）</w:t>
            </w:r>
          </w:p>
        </w:tc>
        <w:tc>
          <w:tcPr>
            <w:tcW w:w="709" w:type="dxa"/>
            <w:vAlign w:val="center"/>
          </w:tcPr>
          <w:p w14:paraId="3A25244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restart"/>
            <w:vAlign w:val="center"/>
          </w:tcPr>
          <w:p w14:paraId="4C11C4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1CE0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710" w:type="dxa"/>
            <w:vMerge w:val="continue"/>
            <w:vAlign w:val="center"/>
          </w:tcPr>
          <w:p w14:paraId="2EE2A59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6076D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4801C0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做好污水处理站工作区域的环境卫生和门前三包区域的卫生清扫工作，不留卫生死角。（2分）</w:t>
            </w:r>
          </w:p>
        </w:tc>
        <w:tc>
          <w:tcPr>
            <w:tcW w:w="709" w:type="dxa"/>
            <w:vAlign w:val="center"/>
          </w:tcPr>
          <w:p w14:paraId="38DBE05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6192C11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792D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710" w:type="dxa"/>
            <w:vMerge w:val="continue"/>
            <w:vAlign w:val="center"/>
          </w:tcPr>
          <w:p w14:paraId="42E4B7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0F3EC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122977A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污水处理站周围不能有污水臭味，发现或投诉1次扣</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t>分。（8分）</w:t>
            </w:r>
          </w:p>
        </w:tc>
        <w:tc>
          <w:tcPr>
            <w:tcW w:w="709" w:type="dxa"/>
            <w:vAlign w:val="center"/>
          </w:tcPr>
          <w:p w14:paraId="6F0E8ED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restart"/>
            <w:vAlign w:val="center"/>
          </w:tcPr>
          <w:p w14:paraId="0DF9ABC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1F1C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710" w:type="dxa"/>
            <w:vMerge w:val="continue"/>
            <w:vAlign w:val="center"/>
          </w:tcPr>
          <w:p w14:paraId="0728FCB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2D6816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1D879B8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做好</w:t>
            </w:r>
            <w:r>
              <w:rPr>
                <w:rFonts w:hint="eastAsia" w:ascii="宋体" w:hAnsi="宋体" w:eastAsia="宋体" w:cs="宋体"/>
                <w:color w:val="auto"/>
                <w:sz w:val="21"/>
                <w:szCs w:val="21"/>
                <w:highlight w:val="none"/>
                <w:lang w:val="en-US" w:eastAsia="zh-CN"/>
              </w:rPr>
              <w:t>各项药品</w:t>
            </w:r>
            <w:r>
              <w:rPr>
                <w:rFonts w:hint="eastAsia" w:ascii="宋体" w:hAnsi="宋体" w:eastAsia="宋体" w:cs="宋体"/>
                <w:color w:val="auto"/>
                <w:sz w:val="21"/>
                <w:szCs w:val="21"/>
                <w:highlight w:val="none"/>
              </w:rPr>
              <w:t>的保管工作，防止</w:t>
            </w:r>
            <w:r>
              <w:rPr>
                <w:rFonts w:hint="eastAsia" w:ascii="宋体" w:hAnsi="宋体" w:eastAsia="宋体" w:cs="宋体"/>
                <w:color w:val="auto"/>
                <w:sz w:val="21"/>
                <w:szCs w:val="21"/>
                <w:highlight w:val="none"/>
                <w:lang w:val="en-US" w:eastAsia="zh-CN"/>
              </w:rPr>
              <w:t>药品泄露</w:t>
            </w:r>
            <w:r>
              <w:rPr>
                <w:rFonts w:hint="eastAsia" w:ascii="宋体" w:hAnsi="宋体" w:eastAsia="宋体" w:cs="宋体"/>
                <w:color w:val="auto"/>
                <w:sz w:val="21"/>
                <w:szCs w:val="21"/>
                <w:highlight w:val="none"/>
              </w:rPr>
              <w:t>对环境造成影响。如发生</w:t>
            </w:r>
            <w:r>
              <w:rPr>
                <w:rFonts w:hint="eastAsia" w:ascii="宋体" w:hAnsi="宋体" w:eastAsia="宋体" w:cs="宋体"/>
                <w:color w:val="auto"/>
                <w:sz w:val="21"/>
                <w:szCs w:val="21"/>
                <w:highlight w:val="none"/>
                <w:lang w:val="en-US" w:eastAsia="zh-CN"/>
              </w:rPr>
              <w:t>药品泄漏事故</w:t>
            </w:r>
            <w:r>
              <w:rPr>
                <w:rFonts w:hint="eastAsia" w:ascii="宋体" w:hAnsi="宋体" w:eastAsia="宋体" w:cs="宋体"/>
                <w:color w:val="auto"/>
                <w:sz w:val="21"/>
                <w:szCs w:val="21"/>
                <w:highlight w:val="none"/>
              </w:rPr>
              <w:t>，立即启动</w:t>
            </w:r>
            <w:r>
              <w:rPr>
                <w:rFonts w:hint="eastAsia" w:ascii="宋体" w:hAnsi="宋体" w:eastAsia="宋体" w:cs="宋体"/>
                <w:color w:val="auto"/>
                <w:sz w:val="21"/>
                <w:szCs w:val="21"/>
                <w:highlight w:val="none"/>
                <w:lang w:val="en-US" w:eastAsia="zh-CN"/>
              </w:rPr>
              <w:t>药品泄漏</w:t>
            </w:r>
            <w:r>
              <w:rPr>
                <w:rFonts w:hint="eastAsia" w:ascii="宋体" w:hAnsi="宋体" w:eastAsia="宋体" w:cs="宋体"/>
                <w:color w:val="auto"/>
                <w:sz w:val="21"/>
                <w:szCs w:val="21"/>
                <w:highlight w:val="none"/>
              </w:rPr>
              <w:t>应急预案把影响控制到最小。</w:t>
            </w:r>
            <w:r>
              <w:rPr>
                <w:rFonts w:hint="eastAsia" w:ascii="宋体" w:hAnsi="宋体" w:eastAsia="宋体" w:cs="宋体"/>
                <w:color w:val="auto"/>
                <w:sz w:val="21"/>
                <w:szCs w:val="21"/>
                <w:highlight w:val="none"/>
                <w:lang w:val="en-US" w:eastAsia="zh-CN"/>
              </w:rPr>
              <w:t>药品泄露1次扣5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扣完15分为止。</w:t>
            </w:r>
          </w:p>
        </w:tc>
        <w:tc>
          <w:tcPr>
            <w:tcW w:w="709" w:type="dxa"/>
            <w:vAlign w:val="center"/>
          </w:tcPr>
          <w:p w14:paraId="14EDABF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59E14E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7790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710" w:type="dxa"/>
            <w:vMerge w:val="restart"/>
            <w:vAlign w:val="center"/>
          </w:tcPr>
          <w:p w14:paraId="79B8DE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104" w:type="dxa"/>
            <w:vMerge w:val="restart"/>
            <w:tcBorders>
              <w:right w:val="single" w:color="000000" w:sz="12" w:space="0"/>
            </w:tcBorders>
            <w:vAlign w:val="center"/>
          </w:tcPr>
          <w:p w14:paraId="5FB5B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设备及</w:t>
            </w:r>
          </w:p>
          <w:p w14:paraId="1BF55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设施管理</w:t>
            </w:r>
          </w:p>
          <w:p w14:paraId="57C621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6374" w:type="dxa"/>
            <w:gridSpan w:val="5"/>
            <w:tcBorders>
              <w:left w:val="single" w:color="000000" w:sz="12" w:space="0"/>
            </w:tcBorders>
            <w:vAlign w:val="center"/>
          </w:tcPr>
          <w:p w14:paraId="452F988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定期对《柳州市人民医院污水处理站设备维护保养与维修清单》</w:t>
            </w:r>
            <w:r>
              <w:rPr>
                <w:rFonts w:hint="eastAsia" w:ascii="宋体" w:hAnsi="宋体" w:eastAsia="宋体" w:cs="宋体"/>
                <w:color w:val="auto"/>
                <w:sz w:val="21"/>
                <w:szCs w:val="21"/>
                <w:highlight w:val="none"/>
                <w:lang w:eastAsia="zh-CN"/>
              </w:rPr>
              <w:t>的内容</w:t>
            </w:r>
            <w:r>
              <w:rPr>
                <w:rFonts w:hint="eastAsia" w:ascii="宋体" w:hAnsi="宋体" w:eastAsia="宋体" w:cs="宋体"/>
                <w:color w:val="auto"/>
                <w:sz w:val="21"/>
                <w:szCs w:val="21"/>
                <w:highlight w:val="none"/>
              </w:rPr>
              <w:t>进行维护保养，并有维护保养记录。</w:t>
            </w:r>
            <w:r>
              <w:rPr>
                <w:rFonts w:hint="eastAsia" w:ascii="宋体" w:hAnsi="宋体" w:eastAsia="宋体" w:cs="宋体"/>
                <w:color w:val="auto"/>
                <w:sz w:val="21"/>
                <w:szCs w:val="21"/>
                <w:highlight w:val="none"/>
                <w:lang w:eastAsia="zh-CN"/>
              </w:rPr>
              <w:t>违反一次扣</w:t>
            </w:r>
            <w:r>
              <w:rPr>
                <w:rFonts w:hint="eastAsia" w:ascii="宋体" w:hAnsi="宋体" w:eastAsia="宋体" w:cs="宋体"/>
                <w:color w:val="auto"/>
                <w:sz w:val="21"/>
                <w:szCs w:val="21"/>
                <w:highlight w:val="none"/>
                <w:lang w:val="en-US" w:eastAsia="zh-CN"/>
              </w:rPr>
              <w:t>5分，扣完20分为止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9" w:type="dxa"/>
            <w:vAlign w:val="center"/>
          </w:tcPr>
          <w:p w14:paraId="20CEE5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restart"/>
            <w:vAlign w:val="center"/>
          </w:tcPr>
          <w:p w14:paraId="363A1A9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3EAF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710" w:type="dxa"/>
            <w:vMerge w:val="continue"/>
            <w:vAlign w:val="center"/>
          </w:tcPr>
          <w:p w14:paraId="276D40B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0D4AE4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73A8A59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建立设备档案管理和设备</w:t>
            </w:r>
            <w:r>
              <w:rPr>
                <w:rFonts w:hint="eastAsia" w:ascii="宋体" w:hAnsi="宋体" w:eastAsia="宋体" w:cs="宋体"/>
                <w:color w:val="auto"/>
                <w:sz w:val="21"/>
                <w:szCs w:val="21"/>
                <w:highlight w:val="none"/>
                <w:lang w:eastAsia="zh-CN"/>
              </w:rPr>
              <w:t>台账</w:t>
            </w:r>
            <w:r>
              <w:rPr>
                <w:rFonts w:hint="eastAsia" w:ascii="宋体" w:hAnsi="宋体" w:eastAsia="宋体" w:cs="宋体"/>
                <w:color w:val="auto"/>
                <w:sz w:val="21"/>
                <w:szCs w:val="21"/>
                <w:highlight w:val="none"/>
              </w:rPr>
              <w:t>管理制度，设备事故报告制度和工作管理制度；</w:t>
            </w:r>
            <w:r>
              <w:rPr>
                <w:rFonts w:hint="eastAsia" w:ascii="宋体" w:hAnsi="宋体" w:eastAsia="宋体" w:cs="宋体"/>
                <w:color w:val="auto"/>
                <w:sz w:val="21"/>
                <w:szCs w:val="21"/>
                <w:highlight w:val="none"/>
                <w:lang w:val="en-US" w:eastAsia="zh-CN"/>
              </w:rPr>
              <w:t>缺一项扣5分，扣完20分为止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分） </w:t>
            </w:r>
          </w:p>
        </w:tc>
        <w:tc>
          <w:tcPr>
            <w:tcW w:w="709" w:type="dxa"/>
            <w:vAlign w:val="center"/>
          </w:tcPr>
          <w:p w14:paraId="20B1C60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779EFE7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5CE0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710" w:type="dxa"/>
            <w:vMerge w:val="continue"/>
            <w:vAlign w:val="center"/>
          </w:tcPr>
          <w:p w14:paraId="2717557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325695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6E32DCD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有完善的设施设备检修计划，包括大、中、小检修。（</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09" w:type="dxa"/>
            <w:vAlign w:val="center"/>
          </w:tcPr>
          <w:p w14:paraId="19D6B7B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299DEE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17C6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710" w:type="dxa"/>
            <w:vMerge w:val="continue"/>
            <w:vAlign w:val="center"/>
          </w:tcPr>
          <w:p w14:paraId="64C8423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411B26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30B699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是否备有常用的备品备件，并有相应的零配件采购计划；污水处理设备的故障维修方面，按规定填写相关维修记录。（</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709" w:type="dxa"/>
            <w:vAlign w:val="center"/>
          </w:tcPr>
          <w:p w14:paraId="2BD5BF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3B9D539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29FE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710" w:type="dxa"/>
            <w:vMerge w:val="continue"/>
            <w:vAlign w:val="center"/>
          </w:tcPr>
          <w:p w14:paraId="050848F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vAlign w:val="center"/>
          </w:tcPr>
          <w:p w14:paraId="1A7B1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1D50164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按时开关污水处理设备，保证污水达标排放；夜班需将调节池水位处理到低水位，以保证次日白班的处理要求。（</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09" w:type="dxa"/>
            <w:vAlign w:val="center"/>
          </w:tcPr>
          <w:p w14:paraId="1A55E5E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67D70AC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08B1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10" w:type="dxa"/>
            <w:vMerge w:val="restart"/>
            <w:vAlign w:val="center"/>
          </w:tcPr>
          <w:p w14:paraId="0D82706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104" w:type="dxa"/>
            <w:vMerge w:val="restart"/>
            <w:tcBorders>
              <w:right w:val="single" w:color="000000" w:sz="12" w:space="0"/>
            </w:tcBorders>
            <w:vAlign w:val="center"/>
          </w:tcPr>
          <w:p w14:paraId="186293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档案及信息管理</w:t>
            </w:r>
          </w:p>
          <w:p w14:paraId="1719D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374" w:type="dxa"/>
            <w:gridSpan w:val="5"/>
            <w:tcBorders>
              <w:left w:val="single" w:color="000000" w:sz="12" w:space="0"/>
            </w:tcBorders>
            <w:vAlign w:val="center"/>
          </w:tcPr>
          <w:p w14:paraId="75E34CD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建立健全档案及信息归档制度，如实做好污水处理站日常运行数据记录、并于每月15日前将相关档案归档至</w:t>
            </w:r>
            <w:r>
              <w:rPr>
                <w:rFonts w:hint="eastAsia" w:ascii="宋体" w:hAnsi="宋体" w:eastAsia="宋体" w:cs="宋体"/>
                <w:color w:val="auto"/>
                <w:sz w:val="21"/>
                <w:szCs w:val="21"/>
                <w:highlight w:val="none"/>
                <w:lang w:val="en-US" w:eastAsia="zh-CN"/>
              </w:rPr>
              <w:t>后勤服务管理办公室</w:t>
            </w:r>
            <w:r>
              <w:rPr>
                <w:rFonts w:hint="eastAsia" w:ascii="宋体" w:hAnsi="宋体" w:eastAsia="宋体" w:cs="宋体"/>
                <w:color w:val="auto"/>
                <w:sz w:val="21"/>
                <w:szCs w:val="21"/>
                <w:highlight w:val="none"/>
              </w:rPr>
              <w:t>。（3分）</w:t>
            </w:r>
          </w:p>
        </w:tc>
        <w:tc>
          <w:tcPr>
            <w:tcW w:w="709" w:type="dxa"/>
            <w:vAlign w:val="center"/>
          </w:tcPr>
          <w:p w14:paraId="3CA29DA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restart"/>
            <w:vAlign w:val="center"/>
          </w:tcPr>
          <w:p w14:paraId="38C9B7C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085C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10" w:type="dxa"/>
            <w:vMerge w:val="continue"/>
          </w:tcPr>
          <w:p w14:paraId="7CA507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tcPr>
          <w:p w14:paraId="74F0D2E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1AE9CD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应妥善保管档案资料，注意防火、防潮、防尘、防虫、防鼠、防丢失等，并做好相关的保密工作（1分）</w:t>
            </w:r>
          </w:p>
        </w:tc>
        <w:tc>
          <w:tcPr>
            <w:tcW w:w="709" w:type="dxa"/>
            <w:vAlign w:val="center"/>
          </w:tcPr>
          <w:p w14:paraId="66BABC1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4A8836C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7822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710" w:type="dxa"/>
            <w:vMerge w:val="continue"/>
          </w:tcPr>
          <w:p w14:paraId="0EEF51D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tc>
        <w:tc>
          <w:tcPr>
            <w:tcW w:w="1104" w:type="dxa"/>
            <w:vMerge w:val="continue"/>
            <w:tcBorders>
              <w:right w:val="single" w:color="000000" w:sz="12" w:space="0"/>
            </w:tcBorders>
          </w:tcPr>
          <w:p w14:paraId="493C873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tc>
        <w:tc>
          <w:tcPr>
            <w:tcW w:w="6374" w:type="dxa"/>
            <w:gridSpan w:val="5"/>
            <w:tcBorders>
              <w:left w:val="single" w:color="000000" w:sz="12" w:space="0"/>
            </w:tcBorders>
            <w:vAlign w:val="center"/>
          </w:tcPr>
          <w:p w14:paraId="1CA519C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积极配合医院和环保机构的各种检查，做好迎检准备工作保证检查顺利通过。（1分）</w:t>
            </w:r>
          </w:p>
        </w:tc>
        <w:tc>
          <w:tcPr>
            <w:tcW w:w="709" w:type="dxa"/>
            <w:vAlign w:val="center"/>
          </w:tcPr>
          <w:p w14:paraId="761E7A7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c>
          <w:tcPr>
            <w:tcW w:w="1065" w:type="dxa"/>
            <w:vMerge w:val="continue"/>
            <w:vAlign w:val="center"/>
          </w:tcPr>
          <w:p w14:paraId="032A487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64C8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710" w:type="dxa"/>
            <w:vAlign w:val="center"/>
          </w:tcPr>
          <w:p w14:paraId="5728810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tc>
        <w:tc>
          <w:tcPr>
            <w:tcW w:w="4785" w:type="dxa"/>
            <w:gridSpan w:val="3"/>
            <w:vAlign w:val="center"/>
          </w:tcPr>
          <w:p w14:paraId="7BA1692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总分值：100分</w:t>
            </w:r>
          </w:p>
        </w:tc>
        <w:tc>
          <w:tcPr>
            <w:tcW w:w="3402" w:type="dxa"/>
            <w:gridSpan w:val="4"/>
            <w:vAlign w:val="center"/>
          </w:tcPr>
          <w:p w14:paraId="55977D1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实际得分</w:t>
            </w:r>
          </w:p>
        </w:tc>
        <w:tc>
          <w:tcPr>
            <w:tcW w:w="1065" w:type="dxa"/>
            <w:vAlign w:val="center"/>
          </w:tcPr>
          <w:p w14:paraId="26A0B9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jc w:val="center"/>
              <w:textAlignment w:val="auto"/>
              <w:rPr>
                <w:rFonts w:hint="eastAsia" w:ascii="宋体" w:hAnsi="宋体" w:eastAsia="宋体" w:cs="宋体"/>
                <w:color w:val="auto"/>
                <w:sz w:val="21"/>
                <w:szCs w:val="21"/>
                <w:highlight w:val="none"/>
              </w:rPr>
            </w:pPr>
          </w:p>
        </w:tc>
      </w:tr>
      <w:tr w14:paraId="7D97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exact"/>
          <w:jc w:val="center"/>
        </w:trPr>
        <w:tc>
          <w:tcPr>
            <w:tcW w:w="710" w:type="dxa"/>
            <w:vAlign w:val="center"/>
          </w:tcPr>
          <w:p w14:paraId="7FE2731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考核意见</w:t>
            </w:r>
          </w:p>
        </w:tc>
        <w:tc>
          <w:tcPr>
            <w:tcW w:w="9252" w:type="dxa"/>
            <w:gridSpan w:val="8"/>
            <w:vAlign w:val="center"/>
          </w:tcPr>
          <w:p w14:paraId="028AD1E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质量考核意见：</w:t>
            </w:r>
          </w:p>
          <w:p w14:paraId="7A78AC2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p w14:paraId="1D2E2BE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p w14:paraId="40AD490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p w14:paraId="3D18E2E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签名：                                              日期：          年     月     日</w:t>
            </w:r>
          </w:p>
          <w:p w14:paraId="15D3489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firstLine="0" w:firstLineChars="0"/>
              <w:textAlignment w:val="auto"/>
              <w:rPr>
                <w:rFonts w:hint="eastAsia" w:ascii="宋体" w:hAnsi="宋体" w:eastAsia="宋体" w:cs="宋体"/>
                <w:color w:val="auto"/>
                <w:sz w:val="21"/>
                <w:szCs w:val="21"/>
                <w:highlight w:val="none"/>
              </w:rPr>
            </w:pPr>
          </w:p>
        </w:tc>
      </w:tr>
    </w:tbl>
    <w:p w14:paraId="71CCEC28">
      <w:pPr>
        <w:spacing w:line="420" w:lineRule="auto"/>
        <w:rPr>
          <w:rFonts w:ascii="宋体" w:hAnsi="Courier New"/>
          <w:color w:val="auto"/>
          <w:sz w:val="24"/>
          <w:highlight w:val="none"/>
        </w:rPr>
      </w:pPr>
    </w:p>
    <w:p w14:paraId="41B67160">
      <w:pPr>
        <w:pStyle w:val="3"/>
        <w:ind w:firstLine="0" w:firstLineChars="0"/>
        <w:jc w:val="center"/>
        <w:rPr>
          <w:rFonts w:hint="eastAsia" w:ascii="宋体" w:hAnsi="宋体" w:cs="宋体"/>
          <w:color w:val="auto"/>
          <w:highlight w:val="none"/>
        </w:rPr>
        <w:sectPr>
          <w:pgSz w:w="11906" w:h="16838"/>
          <w:pgMar w:top="1134" w:right="1134" w:bottom="1134" w:left="1134" w:header="851" w:footer="992" w:gutter="0"/>
          <w:pgNumType w:fmt="decimal"/>
          <w:cols w:space="720" w:num="1"/>
          <w:docGrid w:type="linesAndChars" w:linePitch="312" w:charSpace="0"/>
        </w:sectPr>
      </w:pPr>
    </w:p>
    <w:p w14:paraId="496AA113">
      <w:pPr>
        <w:pStyle w:val="3"/>
        <w:ind w:firstLine="0" w:firstLineChars="0"/>
        <w:jc w:val="center"/>
        <w:rPr>
          <w:rFonts w:hint="eastAsia" w:ascii="宋体" w:hAnsi="宋体" w:cs="宋体"/>
          <w:color w:val="auto"/>
          <w:highlight w:val="none"/>
        </w:rPr>
      </w:pPr>
    </w:p>
    <w:p w14:paraId="59B642F8">
      <w:pPr>
        <w:pStyle w:val="3"/>
        <w:ind w:firstLine="0" w:firstLineChars="0"/>
        <w:jc w:val="center"/>
        <w:rPr>
          <w:rFonts w:hint="eastAsia" w:ascii="宋体" w:hAnsi="宋体" w:cs="宋体"/>
          <w:color w:val="auto"/>
          <w:highlight w:val="none"/>
        </w:rPr>
      </w:pPr>
    </w:p>
    <w:p w14:paraId="53EBE75C">
      <w:pPr>
        <w:pStyle w:val="3"/>
        <w:ind w:firstLine="0" w:firstLineChars="0"/>
        <w:jc w:val="center"/>
        <w:rPr>
          <w:rFonts w:hint="eastAsia" w:ascii="宋体" w:hAnsi="宋体" w:cs="宋体"/>
          <w:color w:val="auto"/>
          <w:highlight w:val="none"/>
        </w:rPr>
      </w:pPr>
    </w:p>
    <w:p w14:paraId="30818C95">
      <w:pPr>
        <w:pStyle w:val="3"/>
        <w:ind w:firstLine="0" w:firstLineChars="0"/>
        <w:jc w:val="center"/>
        <w:rPr>
          <w:rFonts w:hint="eastAsia" w:ascii="宋体" w:hAnsi="宋体" w:cs="宋体"/>
          <w:color w:val="auto"/>
          <w:highlight w:val="none"/>
        </w:rPr>
      </w:pPr>
    </w:p>
    <w:p w14:paraId="357C5A86">
      <w:pPr>
        <w:pStyle w:val="3"/>
        <w:ind w:firstLine="0" w:firstLineChars="0"/>
        <w:jc w:val="center"/>
        <w:rPr>
          <w:rFonts w:hint="eastAsia" w:ascii="宋体" w:hAnsi="宋体" w:cs="宋体"/>
          <w:color w:val="auto"/>
          <w:highlight w:val="none"/>
        </w:rPr>
      </w:pPr>
    </w:p>
    <w:p w14:paraId="22CCDB31">
      <w:pPr>
        <w:pStyle w:val="3"/>
        <w:ind w:firstLine="0" w:firstLineChars="0"/>
        <w:jc w:val="center"/>
        <w:rPr>
          <w:rFonts w:hint="eastAsia" w:ascii="宋体" w:hAnsi="宋体" w:cs="宋体"/>
          <w:color w:val="auto"/>
          <w:highlight w:val="none"/>
        </w:rPr>
      </w:pPr>
    </w:p>
    <w:p w14:paraId="77C8CCF9">
      <w:pPr>
        <w:pStyle w:val="3"/>
        <w:ind w:firstLine="0" w:firstLineChars="0"/>
        <w:jc w:val="center"/>
        <w:rPr>
          <w:rFonts w:hint="eastAsia" w:ascii="宋体" w:hAnsi="宋体" w:cs="宋体"/>
          <w:color w:val="auto"/>
          <w:highlight w:val="none"/>
        </w:rPr>
      </w:pPr>
      <w:r>
        <w:rPr>
          <w:rFonts w:hint="eastAsia" w:ascii="宋体" w:hAnsi="宋体" w:cs="宋体"/>
          <w:color w:val="auto"/>
          <w:highlight w:val="none"/>
        </w:rPr>
        <w:t xml:space="preserve">第四章  </w:t>
      </w:r>
      <w:bookmarkEnd w:id="92"/>
      <w:r>
        <w:rPr>
          <w:rFonts w:hint="eastAsia"/>
          <w:color w:val="auto"/>
          <w:highlight w:val="none"/>
        </w:rPr>
        <w:t>评审程序、评审方法和评审标准</w:t>
      </w:r>
      <w:bookmarkEnd w:id="96"/>
    </w:p>
    <w:p w14:paraId="06A3795D">
      <w:pPr>
        <w:spacing w:line="240" w:lineRule="atLeast"/>
        <w:ind w:firstLine="643"/>
        <w:jc w:val="center"/>
        <w:rPr>
          <w:rFonts w:hint="eastAsia" w:ascii="宋体" w:hAnsi="宋体" w:cs="宋体"/>
          <w:b/>
          <w:color w:val="auto"/>
          <w:sz w:val="32"/>
          <w:szCs w:val="32"/>
          <w:highlight w:val="none"/>
        </w:rPr>
      </w:pPr>
    </w:p>
    <w:p w14:paraId="46BCE128">
      <w:pPr>
        <w:spacing w:line="240" w:lineRule="atLeast"/>
        <w:ind w:firstLine="643"/>
        <w:jc w:val="center"/>
        <w:rPr>
          <w:rFonts w:hint="eastAsia" w:ascii="宋体" w:hAnsi="宋体" w:cs="宋体"/>
          <w:b/>
          <w:color w:val="auto"/>
          <w:sz w:val="32"/>
          <w:szCs w:val="32"/>
          <w:highlight w:val="none"/>
        </w:rPr>
      </w:pPr>
    </w:p>
    <w:p w14:paraId="311FF8DD">
      <w:pPr>
        <w:spacing w:line="240" w:lineRule="atLeast"/>
        <w:ind w:firstLine="643"/>
        <w:jc w:val="center"/>
        <w:rPr>
          <w:rFonts w:hint="eastAsia" w:ascii="宋体" w:hAnsi="宋体" w:cs="宋体"/>
          <w:b/>
          <w:color w:val="auto"/>
          <w:sz w:val="32"/>
          <w:szCs w:val="32"/>
          <w:highlight w:val="none"/>
        </w:rPr>
      </w:pPr>
    </w:p>
    <w:p w14:paraId="189A2BBD">
      <w:pPr>
        <w:spacing w:line="240" w:lineRule="atLeast"/>
        <w:ind w:firstLine="643"/>
        <w:jc w:val="center"/>
        <w:rPr>
          <w:rFonts w:hint="eastAsia" w:ascii="宋体" w:hAnsi="宋体" w:cs="宋体"/>
          <w:b/>
          <w:color w:val="auto"/>
          <w:sz w:val="32"/>
          <w:szCs w:val="32"/>
          <w:highlight w:val="none"/>
        </w:rPr>
      </w:pPr>
    </w:p>
    <w:p w14:paraId="4F11D659">
      <w:pPr>
        <w:spacing w:line="240" w:lineRule="atLeast"/>
        <w:ind w:firstLine="643"/>
        <w:jc w:val="center"/>
        <w:rPr>
          <w:rFonts w:hint="eastAsia" w:ascii="宋体" w:hAnsi="宋体" w:cs="宋体"/>
          <w:b/>
          <w:color w:val="auto"/>
          <w:sz w:val="32"/>
          <w:szCs w:val="32"/>
          <w:highlight w:val="none"/>
        </w:rPr>
      </w:pPr>
    </w:p>
    <w:p w14:paraId="46A438FC">
      <w:pPr>
        <w:spacing w:line="240" w:lineRule="atLeast"/>
        <w:ind w:firstLine="643"/>
        <w:jc w:val="center"/>
        <w:rPr>
          <w:rFonts w:hint="eastAsia" w:ascii="宋体" w:hAnsi="宋体" w:cs="宋体"/>
          <w:b/>
          <w:color w:val="auto"/>
          <w:sz w:val="32"/>
          <w:szCs w:val="32"/>
          <w:highlight w:val="none"/>
        </w:rPr>
      </w:pPr>
    </w:p>
    <w:p w14:paraId="3F35F83D">
      <w:pPr>
        <w:spacing w:line="240" w:lineRule="atLeast"/>
        <w:ind w:firstLine="643"/>
        <w:jc w:val="center"/>
        <w:rPr>
          <w:rFonts w:hint="eastAsia" w:ascii="宋体" w:hAnsi="宋体" w:cs="宋体"/>
          <w:b/>
          <w:color w:val="auto"/>
          <w:sz w:val="32"/>
          <w:szCs w:val="32"/>
          <w:highlight w:val="none"/>
        </w:rPr>
      </w:pPr>
    </w:p>
    <w:p w14:paraId="78CDE73A">
      <w:pPr>
        <w:spacing w:line="240" w:lineRule="atLeast"/>
        <w:ind w:firstLine="643"/>
        <w:jc w:val="center"/>
        <w:rPr>
          <w:rFonts w:hint="eastAsia" w:ascii="宋体" w:hAnsi="宋体" w:cs="宋体"/>
          <w:b/>
          <w:color w:val="auto"/>
          <w:sz w:val="32"/>
          <w:szCs w:val="32"/>
          <w:highlight w:val="none"/>
        </w:rPr>
      </w:pPr>
    </w:p>
    <w:p w14:paraId="7547F05B">
      <w:pPr>
        <w:spacing w:line="240" w:lineRule="atLeast"/>
        <w:ind w:firstLine="643"/>
        <w:jc w:val="center"/>
        <w:rPr>
          <w:rFonts w:hint="eastAsia" w:ascii="宋体" w:hAnsi="宋体" w:cs="宋体"/>
          <w:b/>
          <w:color w:val="auto"/>
          <w:sz w:val="32"/>
          <w:szCs w:val="32"/>
          <w:highlight w:val="none"/>
        </w:rPr>
      </w:pPr>
    </w:p>
    <w:p w14:paraId="480EAD68">
      <w:pPr>
        <w:numPr>
          <w:ilvl w:val="0"/>
          <w:numId w:val="10"/>
        </w:numPr>
        <w:spacing w:line="360" w:lineRule="auto"/>
        <w:ind w:firstLineChars="0"/>
        <w:jc w:val="center"/>
        <w:rPr>
          <w:rFonts w:hint="eastAsia" w:ascii="宋体" w:hAnsi="宋体"/>
          <w:b/>
          <w:color w:val="auto"/>
          <w:sz w:val="32"/>
          <w:szCs w:val="32"/>
          <w:highlight w:val="none"/>
        </w:rPr>
      </w:pPr>
      <w:r>
        <w:rPr>
          <w:rFonts w:hAnsi="宋体" w:cs="宋体"/>
          <w:b/>
          <w:color w:val="auto"/>
          <w:sz w:val="32"/>
          <w:szCs w:val="32"/>
          <w:highlight w:val="none"/>
        </w:rPr>
        <w:br w:type="page"/>
      </w:r>
      <w:r>
        <w:rPr>
          <w:rFonts w:hint="eastAsia" w:ascii="宋体" w:hAnsi="宋体"/>
          <w:b/>
          <w:color w:val="auto"/>
          <w:sz w:val="32"/>
          <w:szCs w:val="32"/>
          <w:highlight w:val="none"/>
        </w:rPr>
        <w:t>评审程序和评审方法</w:t>
      </w:r>
    </w:p>
    <w:p w14:paraId="63D8A887">
      <w:pPr>
        <w:spacing w:line="360" w:lineRule="auto"/>
        <w:ind w:firstLine="422"/>
        <w:rPr>
          <w:rFonts w:hint="eastAsia"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.资格审查</w:t>
      </w:r>
    </w:p>
    <w:p w14:paraId="616C0C29">
      <w:pPr>
        <w:snapToGrid w:val="0"/>
        <w:spacing w:line="360" w:lineRule="auto"/>
        <w:ind w:firstLine="42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14:paraId="54B1DB44">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注：磋商小组在资格审查结束前，对供应商进行信用查询。</w:t>
      </w:r>
    </w:p>
    <w:p w14:paraId="6BB5622A">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08D4F470">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E22BC98">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（3）查询记录和证据留存方式：在查询网站中直接打印查询记录，打印材料作为评审资料保存。</w:t>
      </w:r>
    </w:p>
    <w:p w14:paraId="7F0D91F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）信用信息使用规则：对在“信用中国”网站(www.creditchina.gov.cn) 、中国政府采购网(www.ccgp.gov.cn)被列入失信被执行人、重大税收违法失信主体 、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A6CB28">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.2资格审查标准为本竞争性磋商文件中载明对供应商资格要求的条件。资格审查采用合格制，凡符合竞争性磋商文件规定的供应商资格要求的响应文件均通过资格审查。</w:t>
      </w:r>
    </w:p>
    <w:p w14:paraId="44334FE4">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.3供应商有下列情形之一的，资格审查不通过，其响应文件按无效响应处理：</w:t>
      </w:r>
    </w:p>
    <w:p w14:paraId="08D9B1A1">
      <w:pPr>
        <w:snapToGrid w:val="0"/>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）不具备竞争性磋商文件中规定的资格要求的；</w:t>
      </w:r>
    </w:p>
    <w:p w14:paraId="7AA8F500">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）响应文件未提供任一项“供应商须知前附表”资格证明文件规定的“必须提供”的文件资料的；</w:t>
      </w:r>
    </w:p>
    <w:p w14:paraId="42B56BE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）响应文件提供的资格证明文件出现任一项不符合“供应商须知前附表”资格证明文件规定的“必须提供”的文件资料要求或者无效的。</w:t>
      </w:r>
    </w:p>
    <w:p w14:paraId="3ABB7088">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7C11DA70">
      <w:pPr>
        <w:spacing w:line="360" w:lineRule="auto"/>
        <w:ind w:firstLine="422"/>
        <w:rPr>
          <w:rFonts w:hint="eastAsia" w:ascii="宋体" w:hAns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.符合性审查</w:t>
      </w:r>
    </w:p>
    <w:p w14:paraId="47648454">
      <w:pPr>
        <w:spacing w:line="360" w:lineRule="auto"/>
        <w:ind w:firstLine="420"/>
        <w:rPr>
          <w:rFonts w:hint="eastAsia" w:ascii="宋体" w:hAnsi="宋体" w:cs="宋体"/>
          <w:color w:val="auto"/>
          <w:szCs w:val="21"/>
          <w:highlight w:val="none"/>
        </w:rPr>
      </w:pPr>
      <w:bookmarkStart w:id="97"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的响应文件的竞标报价、商务、技术等实质性要求进行符合性审查，以确定其是否满足竞争性磋商文件的实质性要求。</w:t>
      </w:r>
    </w:p>
    <w:bookmarkEnd w:id="97"/>
    <w:p w14:paraId="59140DAF">
      <w:pPr>
        <w:spacing w:line="360" w:lineRule="auto"/>
        <w:ind w:firstLine="42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A17FAA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4BADEF49">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1CBCDD3">
      <w:pPr>
        <w:spacing w:line="360" w:lineRule="auto"/>
        <w:ind w:firstLine="396"/>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24D74496">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B03316D">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2E39A67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7503FDE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A84D0C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0351E06">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14:paraId="655C21A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4B7ED7A">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（1）商务技术评审</w:t>
      </w:r>
    </w:p>
    <w:p w14:paraId="3401FF57">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14:paraId="05A82B6B">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2）响应文件未按竞争性磋商文件要求签署、盖章；</w:t>
      </w:r>
    </w:p>
    <w:p w14:paraId="02914B53">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4857AB51">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4）提交的磋商保证金无效的或者未按照竞争性磋商文件的规定提交磋商保证金；</w:t>
      </w:r>
    </w:p>
    <w:p w14:paraId="761978F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4A08B665">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14:paraId="600EFA82">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）未对竞标有效期作出响应或者响应文件承诺的竞标有效期不满足竞争性磋商文件要求；</w:t>
      </w:r>
    </w:p>
    <w:p w14:paraId="79284B55">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）响应文件的实质性内容未使用中文表述、使用计量单位不符合竞争性磋商文件要求；</w:t>
      </w:r>
    </w:p>
    <w:p w14:paraId="68B224B2">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14:paraId="576B5952">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14:paraId="68F59253">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14:paraId="25F971D3">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2）技术需求允许负偏离的条款数超过“供应商须知前附表”规定项数；</w:t>
      </w:r>
    </w:p>
    <w:p w14:paraId="60A3B1DB">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3）虚假竞标，或者出现其他情形而导致被磋商小组认定无效；</w:t>
      </w:r>
    </w:p>
    <w:p w14:paraId="3F16A50F">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bookmarkStart w:id="98" w:name="_Hlk71704147"/>
      <w:r>
        <w:rPr>
          <w:rFonts w:hint="eastAsia" w:ascii="宋体" w:hAnsi="宋体" w:cs="宋体"/>
          <w:color w:val="auto"/>
          <w:szCs w:val="21"/>
          <w:highlight w:val="none"/>
        </w:rPr>
        <w:t>竞争性磋商文件未载明允许提供备选（替代）竞标方案或明确不允许提供备选（替代）竞标方案时，供应商提供了备选（替代）竞标方案的；</w:t>
      </w:r>
      <w:bookmarkEnd w:id="98"/>
    </w:p>
    <w:p w14:paraId="6B8B33AF">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）响应文件标注的项目名称或者项目编号与竞争性磋商文件标注的项目名称或者项目编号不一致的；</w:t>
      </w:r>
    </w:p>
    <w:p w14:paraId="6BCA8289">
      <w:pPr>
        <w:spacing w:line="360" w:lineRule="auto"/>
        <w:ind w:firstLine="42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6）未响应竞争性磋商文件实质性要求；</w:t>
      </w:r>
    </w:p>
    <w:p w14:paraId="251EE57A">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）法律、法规和竞争性磋商文件规定的其他无效情形。</w:t>
      </w:r>
    </w:p>
    <w:p w14:paraId="7E38485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14:paraId="713EDCC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响应文件未提供“供应商须知前附表” 报价商务技术文件中规定的“报价表”；</w:t>
      </w:r>
    </w:p>
    <w:p w14:paraId="7DF0233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2）未采用人民币报价或者未按照竞争性磋商文件标明的币种报价；</w:t>
      </w:r>
    </w:p>
    <w:p w14:paraId="0E17DD4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3）供应商未就所竞标项（分标）进行报价或者存在漏项报价；供应商未就所竞标项（分标）的单项内容作唯一报价；供应商未就所竞标项（分标）的全部内容作唯一总价报价；供应商响应文件中存在有选择、有条件报价的（竞争性磋商文件允许有备选方案或者其他约定的除外）；</w:t>
      </w:r>
    </w:p>
    <w:p w14:paraId="6B9BE449">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4）竞标报价（包含首次报价、最后报价）超过所竞标项（分标）规定的采购预算金额或者最高限价的（如本项目公布了最高限价）；</w:t>
      </w:r>
      <w:bookmarkStart w:id="99" w:name="_Hlk42596405"/>
      <w:r>
        <w:rPr>
          <w:rFonts w:hint="eastAsia" w:ascii="宋体" w:hAnsi="宋体" w:cs="宋体"/>
          <w:color w:val="auto"/>
          <w:szCs w:val="21"/>
          <w:highlight w:val="none"/>
        </w:rPr>
        <w:t>竞标报价（包含首次报价、最后报价）</w:t>
      </w:r>
      <w:bookmarkEnd w:id="99"/>
      <w:bookmarkStart w:id="100" w:name="_Hlk42596276"/>
      <w:r>
        <w:rPr>
          <w:rFonts w:hint="eastAsia" w:ascii="宋体" w:hAnsi="宋体" w:cs="宋体"/>
          <w:color w:val="auto"/>
          <w:szCs w:val="21"/>
          <w:highlight w:val="none"/>
        </w:rPr>
        <w:t>超过竞争性磋商文件分项采购预算金额或者最高限价的</w:t>
      </w:r>
      <w:bookmarkEnd w:id="100"/>
      <w:r>
        <w:rPr>
          <w:rFonts w:hint="eastAsia" w:ascii="宋体" w:hAnsi="宋体" w:cs="宋体"/>
          <w:color w:val="auto"/>
          <w:szCs w:val="21"/>
          <w:highlight w:val="none"/>
        </w:rPr>
        <w:t>（如本项目公布了最高限价）；</w:t>
      </w:r>
    </w:p>
    <w:p w14:paraId="4B4B1FF4">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项（分标）规定的采购预算金额或者最高限价（如本项目公布了最高限价）；或者经供应商确认修正后竞标报价（包含首次报价、最后报价）超过竞争性磋商文件分项采购预算金额或者最高限价的（如本项目公布了最高限价）。</w:t>
      </w:r>
    </w:p>
    <w:p w14:paraId="67E17865">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响应文件响应的标的数量及单位与竞争性磋商文件要求实质性不一致的。</w:t>
      </w:r>
    </w:p>
    <w:p w14:paraId="3F7CE395">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竞争性磋商文件的响应文件按无效处理，磋商小组应当将资格和符合性不通过的情况告知有关供应商。磋商小组从符合竞争性磋商文件规定的相应资格条件的供应商名单中确定不少于3家的供应商参加磋商。</w:t>
      </w:r>
    </w:p>
    <w:p w14:paraId="6DE1B1EE">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14:paraId="2E8F78A0">
      <w:pPr>
        <w:spacing w:line="360" w:lineRule="auto"/>
        <w:ind w:firstLine="422"/>
        <w:rPr>
          <w:rFonts w:ascii="宋体" w:hAnsi="宋体" w:cs="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.磋商程序</w:t>
      </w:r>
    </w:p>
    <w:p w14:paraId="3158ED9F">
      <w:pPr>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810BED9">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竞争性磋商文件和磋商情况实质性变动采购需求中的技术、服务要求以及合同草案条款，但不得变动竞争性磋商文件中的其他内容。实质性变动的内容，须经采购人代表确认。可能实质性变动的内容为采购需求中的技术、服务要求以及合同草案条款。</w:t>
      </w:r>
    </w:p>
    <w:p w14:paraId="36074C30">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对竞争性磋商文件作出的实质性变动是竞争性磋商文件的有效组成部分，由磋商小组及时以书面形式同时通知所有参加磋商的供应商。</w:t>
      </w:r>
    </w:p>
    <w:p w14:paraId="176669C4">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 xml:space="preserve"> 供应商必须按照磋商文件的变动情况和磋商小组的要求以回函的形式重新提交响应文件，并加盖电子签章。参加磋商的供应商未在规定时间内重新提交响应文件的，视同退出磋商，其响应文件按无效处理。</w:t>
      </w:r>
    </w:p>
    <w:p w14:paraId="0B8A0FB2">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14:paraId="5DFBF122">
      <w:pPr>
        <w:widowControl/>
        <w:tabs>
          <w:tab w:val="left" w:pos="540"/>
        </w:tabs>
        <w:spacing w:line="360" w:lineRule="auto"/>
        <w:ind w:firstLine="42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w:t>
      </w:r>
    </w:p>
    <w:p w14:paraId="39072901">
      <w:pPr>
        <w:widowControl/>
        <w:tabs>
          <w:tab w:val="left" w:pos="540"/>
        </w:tabs>
        <w:spacing w:line="360" w:lineRule="auto"/>
        <w:ind w:firstLine="42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14:paraId="399FD794">
      <w:pPr>
        <w:tabs>
          <w:tab w:val="left" w:pos="2835"/>
        </w:tabs>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3.8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6D3DAF66">
      <w:pPr>
        <w:spacing w:line="360" w:lineRule="auto"/>
        <w:ind w:firstLine="422"/>
        <w:rPr>
          <w:rFonts w:ascii="宋体" w:hAnsi="宋体" w:cs="宋体"/>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最后报价</w:t>
      </w:r>
    </w:p>
    <w:p w14:paraId="2A93F5C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竞争性磋商文件能够详细列明采购标的的技术、服务要求的，磋商结束后，由磋商小组要求所有继续参加磋商的供应商在规定时间内提交最后报价，除本章第</w:t>
      </w:r>
      <w:r>
        <w:rPr>
          <w:rFonts w:ascii="宋体" w:hAnsi="宋体" w:cs="宋体"/>
          <w:color w:val="auto"/>
          <w:szCs w:val="21"/>
          <w:highlight w:val="none"/>
        </w:rPr>
        <w:t>4.3</w:t>
      </w:r>
      <w:r>
        <w:rPr>
          <w:rFonts w:hint="eastAsia" w:ascii="宋体" w:hAnsi="宋体" w:cs="宋体"/>
          <w:color w:val="auto"/>
          <w:szCs w:val="21"/>
          <w:highlight w:val="none"/>
        </w:rPr>
        <w:t>条外，提交最后报价的供应商不得少于3家，否则必须重新采购。</w:t>
      </w:r>
    </w:p>
    <w:p w14:paraId="2B1BDBE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竞争性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14:paraId="5A3F2201">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A85F423">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14:paraId="38B69EFB">
      <w:pPr>
        <w:spacing w:line="360" w:lineRule="auto"/>
        <w:ind w:firstLine="42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w:t>
      </w:r>
    </w:p>
    <w:p w14:paraId="1055BE9D">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最后报价开启后，磋商小组对最后报价进行有效性、完整性和响应程度的审查。</w:t>
      </w:r>
    </w:p>
    <w:p w14:paraId="0127E1A4">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14:paraId="0B4F0511">
      <w:pPr>
        <w:spacing w:line="360" w:lineRule="auto"/>
        <w:ind w:firstLine="42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14:paraId="36C7624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（1）供应商不确认的；</w:t>
      </w:r>
    </w:p>
    <w:p w14:paraId="42A3956C">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（2）经供应商确认修正后的竞标报价（包含首次报价、最后报价）超过所竞标项（分标）规定的采购预算金额或者最高限价的（如本项目公布了最高限价）；</w:t>
      </w:r>
    </w:p>
    <w:p w14:paraId="3266A7F1">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54536901">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14:paraId="6486813B">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34465008">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14:paraId="241575FB">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w:t>
      </w:r>
      <w:r>
        <w:rPr>
          <w:rFonts w:hint="eastAsia" w:ascii="宋体" w:hAnsi="宋体" w:cs="宋体"/>
          <w:b/>
          <w:bCs/>
          <w:color w:val="auto"/>
          <w:szCs w:val="21"/>
          <w:highlight w:val="none"/>
        </w:rPr>
        <w:t>比较与评价</w:t>
      </w:r>
    </w:p>
    <w:p w14:paraId="0C0DB44C">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14:paraId="231799E2">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14:paraId="4CD37A07">
      <w:pPr>
        <w:spacing w:line="360" w:lineRule="auto"/>
        <w:ind w:firstLine="42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14:paraId="7248CD7F">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（1）磋商小组按照竞争性磋商文件中规定的评审标准计算各供应商的报价得分。项目评审过程中，不得去掉最后报价中的最高报价和最低报价。</w:t>
      </w:r>
    </w:p>
    <w:p w14:paraId="3B67BF82">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23D7FD36">
      <w:pPr>
        <w:spacing w:line="360" w:lineRule="auto"/>
        <w:ind w:firstLine="42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829D235">
      <w:pPr>
        <w:spacing w:line="360" w:lineRule="auto"/>
        <w:ind w:firstLine="420"/>
        <w:rPr>
          <w:rFonts w:hint="eastAsia"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由磋商小组根据综合评分情况，按照评审得分由高到低顺序推荐3名以上成交候选供应商，并编写评</w:t>
      </w:r>
      <w:r>
        <w:rPr>
          <w:rFonts w:hint="eastAsia" w:ascii="宋体" w:hAnsi="宋体"/>
          <w:color w:val="auto"/>
          <w:kern w:val="0"/>
          <w:szCs w:val="21"/>
          <w:highlight w:val="none"/>
        </w:rPr>
        <w:t>审报告。符合本章第</w:t>
      </w:r>
      <w:r>
        <w:rPr>
          <w:rFonts w:ascii="宋体" w:hAnsi="宋体"/>
          <w:color w:val="auto"/>
          <w:kern w:val="0"/>
          <w:szCs w:val="21"/>
          <w:highlight w:val="none"/>
        </w:rPr>
        <w:t>4.3</w:t>
      </w:r>
      <w:r>
        <w:rPr>
          <w:rFonts w:hint="eastAsia" w:ascii="宋体" w:hAnsi="宋体"/>
          <w:color w:val="auto"/>
          <w:kern w:val="0"/>
          <w:szCs w:val="21"/>
          <w:highlight w:val="none"/>
        </w:rPr>
        <w:t>条情形的，可以推荐2家成交候选供应商。评审得分相同的，按照最后报价由低到高的顺序推荐。评审得分且最后报价相同的，按照技术指标优劣顺序推荐。</w:t>
      </w:r>
    </w:p>
    <w:p w14:paraId="59C853F1">
      <w:pPr>
        <w:spacing w:line="360" w:lineRule="auto"/>
        <w:ind w:firstLine="420"/>
        <w:rPr>
          <w:rFonts w:hint="eastAsia" w:ascii="宋体" w:hAnsi="宋体"/>
          <w:color w:val="auto"/>
          <w:kern w:val="0"/>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B79CE6">
      <w:pPr>
        <w:spacing w:line="360" w:lineRule="auto"/>
        <w:ind w:firstLine="420"/>
        <w:rPr>
          <w:rFonts w:hint="eastAsia" w:ascii="宋体" w:hAnsi="宋体"/>
          <w:color w:val="auto"/>
          <w:kern w:val="0"/>
          <w:szCs w:val="21"/>
          <w:highlight w:val="none"/>
        </w:rPr>
      </w:pPr>
    </w:p>
    <w:p w14:paraId="09A090EE">
      <w:pPr>
        <w:spacing w:line="360" w:lineRule="auto"/>
        <w:ind w:firstLine="420"/>
        <w:rPr>
          <w:rFonts w:hint="eastAsia" w:ascii="宋体" w:hAnsi="宋体"/>
          <w:color w:val="auto"/>
          <w:kern w:val="0"/>
          <w:szCs w:val="21"/>
          <w:highlight w:val="none"/>
        </w:rPr>
      </w:pPr>
    </w:p>
    <w:p w14:paraId="54A17716">
      <w:pPr>
        <w:spacing w:line="360" w:lineRule="auto"/>
        <w:ind w:firstLine="420"/>
        <w:rPr>
          <w:rFonts w:hint="eastAsia" w:ascii="宋体" w:hAnsi="宋体" w:cs="宋体"/>
          <w:color w:val="auto"/>
          <w:szCs w:val="21"/>
          <w:highlight w:val="none"/>
        </w:rPr>
      </w:pPr>
    </w:p>
    <w:p w14:paraId="0404A524">
      <w:pPr>
        <w:spacing w:line="360" w:lineRule="auto"/>
        <w:ind w:firstLine="643"/>
        <w:jc w:val="center"/>
        <w:rPr>
          <w:rFonts w:hint="eastAsia" w:ascii="宋体" w:hAnsi="宋体"/>
          <w:b/>
          <w:color w:val="auto"/>
          <w:sz w:val="32"/>
          <w:szCs w:val="32"/>
          <w:highlight w:val="none"/>
        </w:rPr>
      </w:pPr>
    </w:p>
    <w:p w14:paraId="7E6E2297">
      <w:pPr>
        <w:spacing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二、评审标准</w:t>
      </w:r>
    </w:p>
    <w:p w14:paraId="1BB79C99">
      <w:pPr>
        <w:spacing w:line="360" w:lineRule="auto"/>
        <w:ind w:firstLine="420"/>
        <w:rPr>
          <w:rFonts w:hint="eastAsia" w:ascii="宋体" w:hAnsi="宋体"/>
          <w:bCs/>
          <w:color w:val="auto"/>
          <w:szCs w:val="21"/>
          <w:highlight w:val="none"/>
        </w:rPr>
      </w:pPr>
      <w:r>
        <w:rPr>
          <w:rFonts w:hint="eastAsia" w:ascii="宋体" w:hAnsi="宋体"/>
          <w:bCs/>
          <w:color w:val="auto"/>
          <w:szCs w:val="21"/>
          <w:highlight w:val="none"/>
        </w:rPr>
        <w:t>6.评审依据：磋商小组将以竞争性竞争性磋商文件为评审依据，对供应商的响应文件按百分制打分。（计分方法按四舍五入取至百分位）</w:t>
      </w:r>
    </w:p>
    <w:tbl>
      <w:tblPr>
        <w:tblStyle w:val="51"/>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985"/>
        <w:gridCol w:w="7170"/>
      </w:tblGrid>
      <w:tr w14:paraId="6F2A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42DAB8F3">
            <w:pPr>
              <w:adjustRightInd w:val="0"/>
              <w:spacing w:line="360" w:lineRule="auto"/>
              <w:ind w:firstLine="0" w:firstLineChars="0"/>
              <w:jc w:val="center"/>
              <w:textAlignment w:val="baseline"/>
              <w:rPr>
                <w:rFonts w:ascii="宋体" w:hAnsi="宋体" w:cs="宋体"/>
                <w:color w:val="auto"/>
                <w:szCs w:val="21"/>
                <w:highlight w:val="none"/>
              </w:rPr>
            </w:pPr>
            <w:r>
              <w:rPr>
                <w:rFonts w:hint="eastAsia" w:ascii="宋体" w:hAnsi="宋体" w:cs="宋体"/>
                <w:b/>
                <w:color w:val="auto"/>
                <w:szCs w:val="21"/>
                <w:highlight w:val="none"/>
              </w:rPr>
              <w:t>序号</w:t>
            </w:r>
          </w:p>
        </w:tc>
        <w:tc>
          <w:tcPr>
            <w:tcW w:w="1985" w:type="dxa"/>
            <w:noWrap w:val="0"/>
            <w:vAlign w:val="center"/>
          </w:tcPr>
          <w:p w14:paraId="5F53F1E7">
            <w:pPr>
              <w:adjustRightInd w:val="0"/>
              <w:spacing w:line="360" w:lineRule="auto"/>
              <w:ind w:firstLine="0" w:firstLineChars="0"/>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w:t>
            </w:r>
            <w:r>
              <w:rPr>
                <w:rFonts w:hint="eastAsia" w:ascii="宋体" w:hAnsi="宋体" w:cs="Tahoma"/>
                <w:b/>
                <w:bCs/>
                <w:color w:val="auto"/>
                <w:kern w:val="0"/>
                <w:szCs w:val="21"/>
                <w:highlight w:val="none"/>
              </w:rPr>
              <w:t>审</w:t>
            </w:r>
            <w:r>
              <w:rPr>
                <w:rFonts w:hint="eastAsia" w:ascii="宋体" w:hAnsi="宋体" w:cs="宋体"/>
                <w:b/>
                <w:color w:val="auto"/>
                <w:szCs w:val="21"/>
                <w:highlight w:val="none"/>
              </w:rPr>
              <w:t>因素</w:t>
            </w:r>
          </w:p>
        </w:tc>
        <w:tc>
          <w:tcPr>
            <w:tcW w:w="7170" w:type="dxa"/>
            <w:noWrap w:val="0"/>
            <w:vAlign w:val="center"/>
          </w:tcPr>
          <w:p w14:paraId="3E93C5A2">
            <w:pPr>
              <w:adjustRightInd w:val="0"/>
              <w:spacing w:line="360" w:lineRule="auto"/>
              <w:ind w:firstLine="0" w:firstLineChars="0"/>
              <w:jc w:val="center"/>
              <w:textAlignment w:val="baseline"/>
              <w:rPr>
                <w:rFonts w:ascii="宋体" w:hAnsi="宋体" w:cs="宋体"/>
                <w:color w:val="auto"/>
                <w:szCs w:val="21"/>
                <w:highlight w:val="none"/>
              </w:rPr>
            </w:pPr>
            <w:r>
              <w:rPr>
                <w:rFonts w:hint="eastAsia" w:ascii="宋体" w:hAnsi="宋体" w:cs="Tahoma"/>
                <w:b/>
                <w:bCs/>
                <w:color w:val="auto"/>
                <w:kern w:val="0"/>
                <w:szCs w:val="21"/>
                <w:highlight w:val="none"/>
              </w:rPr>
              <w:t>评审因素具体内容</w:t>
            </w:r>
          </w:p>
        </w:tc>
      </w:tr>
      <w:tr w14:paraId="2C99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51" w:type="dxa"/>
            <w:noWrap w:val="0"/>
            <w:vAlign w:val="center"/>
          </w:tcPr>
          <w:p w14:paraId="5AC13313">
            <w:pPr>
              <w:adjustRightInd w:val="0"/>
              <w:spacing w:line="360" w:lineRule="auto"/>
              <w:ind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1985" w:type="dxa"/>
            <w:noWrap w:val="0"/>
            <w:vAlign w:val="center"/>
          </w:tcPr>
          <w:p w14:paraId="647768C4">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价格分</w:t>
            </w:r>
          </w:p>
          <w:p w14:paraId="4887C3BF">
            <w:pPr>
              <w:adjustRightInd w:val="0"/>
              <w:spacing w:line="360" w:lineRule="auto"/>
              <w:ind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（满分</w:t>
            </w: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7170" w:type="dxa"/>
            <w:noWrap w:val="0"/>
            <w:vAlign w:val="center"/>
          </w:tcPr>
          <w:p w14:paraId="053D9122">
            <w:pPr>
              <w:adjustRightInd w:val="0"/>
              <w:spacing w:line="360" w:lineRule="auto"/>
              <w:ind w:firstLine="42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w:t>
            </w:r>
            <w:r>
              <w:rPr>
                <w:rFonts w:hint="eastAsia" w:ascii="宋体" w:hAnsi="宋体" w:eastAsia="宋体" w:cs="Times New Roman"/>
                <w:bCs/>
                <w:color w:val="auto"/>
                <w:szCs w:val="21"/>
                <w:highlight w:val="none"/>
                <w:lang w:eastAsia="zh-CN"/>
              </w:rPr>
              <w:t>竞争性磋商文件</w:t>
            </w:r>
            <w:r>
              <w:rPr>
                <w:rFonts w:hint="eastAsia" w:ascii="宋体" w:hAnsi="宋体" w:eastAsia="宋体" w:cs="Times New Roman"/>
                <w:bCs/>
                <w:color w:val="auto"/>
                <w:szCs w:val="21"/>
                <w:highlight w:val="none"/>
              </w:rPr>
              <w:t>要求且价格最低的</w:t>
            </w:r>
            <w:r>
              <w:rPr>
                <w:rFonts w:hint="eastAsia" w:ascii="宋体" w:hAnsi="宋体" w:eastAsia="宋体" w:cs="Times New Roman"/>
                <w:bCs/>
                <w:color w:val="auto"/>
                <w:szCs w:val="21"/>
                <w:highlight w:val="none"/>
                <w:lang w:val="en-US" w:eastAsia="zh-CN"/>
              </w:rPr>
              <w:t>最后</w:t>
            </w:r>
            <w:r>
              <w:rPr>
                <w:rFonts w:hint="eastAsia" w:ascii="宋体" w:hAnsi="宋体" w:eastAsia="宋体" w:cs="Times New Roman"/>
                <w:bCs/>
                <w:color w:val="auto"/>
                <w:szCs w:val="21"/>
                <w:highlight w:val="none"/>
              </w:rPr>
              <w:t>报价为基准价，其</w:t>
            </w:r>
            <w:r>
              <w:rPr>
                <w:rFonts w:hint="eastAsia" w:ascii="宋体" w:hAnsi="宋体" w:eastAsia="宋体" w:cs="Times New Roman"/>
                <w:bCs/>
                <w:color w:val="auto"/>
                <w:szCs w:val="21"/>
                <w:highlight w:val="none"/>
                <w:lang w:val="en-US" w:eastAsia="zh-CN"/>
              </w:rPr>
              <w:t>供应商</w:t>
            </w:r>
            <w:r>
              <w:rPr>
                <w:rFonts w:hint="eastAsia" w:ascii="宋体" w:hAnsi="宋体" w:eastAsia="宋体" w:cs="Times New Roman"/>
                <w:bCs/>
                <w:color w:val="auto"/>
                <w:szCs w:val="21"/>
                <w:highlight w:val="none"/>
              </w:rPr>
              <w:t>的报价分为最高分1</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分；</w:t>
            </w:r>
          </w:p>
          <w:p w14:paraId="3B132220">
            <w:pPr>
              <w:adjustRightInd w:val="0"/>
              <w:spacing w:line="360" w:lineRule="auto"/>
              <w:ind w:firstLine="42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2.其他</w:t>
            </w:r>
            <w:r>
              <w:rPr>
                <w:rFonts w:hint="eastAsia" w:ascii="宋体" w:hAnsi="宋体" w:eastAsia="宋体" w:cs="Times New Roman"/>
                <w:bCs/>
                <w:color w:val="auto"/>
                <w:szCs w:val="21"/>
                <w:highlight w:val="none"/>
                <w:lang w:eastAsia="zh-CN"/>
              </w:rPr>
              <w:t>供应商</w:t>
            </w:r>
            <w:r>
              <w:rPr>
                <w:rFonts w:hint="eastAsia" w:ascii="宋体" w:hAnsi="宋体" w:eastAsia="宋体" w:cs="Times New Roman"/>
                <w:bCs/>
                <w:color w:val="auto"/>
                <w:szCs w:val="21"/>
                <w:highlight w:val="none"/>
              </w:rPr>
              <w:t>的报价得分按以下公式计算：</w:t>
            </w:r>
          </w:p>
          <w:p w14:paraId="026C7E86">
            <w:pPr>
              <w:adjustRightInd w:val="0"/>
              <w:spacing w:line="360" w:lineRule="auto"/>
              <w:ind w:firstLine="42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报价得分=（基准价／某</w:t>
            </w:r>
            <w:r>
              <w:rPr>
                <w:rFonts w:hint="eastAsia" w:ascii="宋体" w:hAnsi="宋体" w:eastAsia="宋体" w:cs="Times New Roman"/>
                <w:bCs/>
                <w:color w:val="auto"/>
                <w:szCs w:val="21"/>
                <w:highlight w:val="none"/>
                <w:lang w:val="en-US" w:eastAsia="zh-CN"/>
              </w:rPr>
              <w:t>供应商最后</w:t>
            </w:r>
            <w:r>
              <w:rPr>
                <w:rFonts w:hint="eastAsia" w:ascii="宋体" w:hAnsi="宋体" w:eastAsia="宋体" w:cs="Times New Roman"/>
                <w:bCs/>
                <w:color w:val="auto"/>
                <w:szCs w:val="21"/>
                <w:highlight w:val="none"/>
              </w:rPr>
              <w:t>报价）×1</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分；</w:t>
            </w:r>
          </w:p>
          <w:p w14:paraId="5C8598D9">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
                <w:bCs w:val="0"/>
                <w:color w:val="auto"/>
                <w:szCs w:val="21"/>
                <w:highlight w:val="none"/>
              </w:rPr>
              <w:t>注：专门面向</w:t>
            </w:r>
            <w:r>
              <w:rPr>
                <w:rFonts w:hint="eastAsia" w:ascii="宋体" w:hAnsi="宋体" w:eastAsia="宋体" w:cs="Times New Roman"/>
                <w:b/>
                <w:bCs w:val="0"/>
                <w:color w:val="auto"/>
                <w:szCs w:val="21"/>
                <w:highlight w:val="none"/>
                <w:lang w:val="en-US" w:eastAsia="zh-CN"/>
              </w:rPr>
              <w:t>小微</w:t>
            </w:r>
            <w:r>
              <w:rPr>
                <w:rFonts w:hint="eastAsia" w:ascii="宋体" w:hAnsi="宋体" w:eastAsia="宋体" w:cs="Times New Roman"/>
                <w:b/>
                <w:bCs w:val="0"/>
                <w:color w:val="auto"/>
                <w:szCs w:val="21"/>
                <w:highlight w:val="none"/>
              </w:rPr>
              <w:t>企业采购的项目或者采购包，不再执行价格评审优惠的扶持政策。</w:t>
            </w:r>
          </w:p>
        </w:tc>
      </w:tr>
      <w:tr w14:paraId="3C11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noWrap w:val="0"/>
            <w:vAlign w:val="center"/>
          </w:tcPr>
          <w:p w14:paraId="633BBA0D">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2</w:t>
            </w:r>
          </w:p>
        </w:tc>
        <w:tc>
          <w:tcPr>
            <w:tcW w:w="1985" w:type="dxa"/>
            <w:noWrap w:val="0"/>
            <w:vAlign w:val="center"/>
          </w:tcPr>
          <w:p w14:paraId="5C460B10">
            <w:pPr>
              <w:adjustRightInd w:val="0"/>
              <w:spacing w:line="360" w:lineRule="auto"/>
              <w:ind w:firstLine="0" w:firstLineChars="0"/>
              <w:jc w:val="center"/>
              <w:textAlignment w:val="baseline"/>
              <w:rPr>
                <w:rFonts w:ascii="宋体" w:hAnsi="宋体" w:cs="宋体"/>
                <w:color w:val="auto"/>
                <w:szCs w:val="21"/>
                <w:highlight w:val="none"/>
              </w:rPr>
            </w:pPr>
            <w:r>
              <w:rPr>
                <w:rFonts w:hint="eastAsia" w:ascii="宋体" w:hAnsi="宋体" w:cs="宋体"/>
                <w:color w:val="auto"/>
                <w:szCs w:val="21"/>
                <w:highlight w:val="none"/>
              </w:rPr>
              <w:t>技术分</w:t>
            </w:r>
          </w:p>
          <w:p w14:paraId="2D700C0D">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81</w:t>
            </w:r>
            <w:r>
              <w:rPr>
                <w:rFonts w:hint="eastAsia" w:ascii="宋体" w:hAnsi="宋体" w:cs="宋体"/>
                <w:color w:val="auto"/>
                <w:szCs w:val="21"/>
                <w:highlight w:val="none"/>
              </w:rPr>
              <w:t>分）</w:t>
            </w:r>
          </w:p>
        </w:tc>
        <w:tc>
          <w:tcPr>
            <w:tcW w:w="7170" w:type="dxa"/>
            <w:noWrap w:val="0"/>
            <w:vAlign w:val="center"/>
          </w:tcPr>
          <w:p w14:paraId="6F592C9D">
            <w:pPr>
              <w:adjustRightInd w:val="0"/>
              <w:spacing w:line="360" w:lineRule="auto"/>
              <w:ind w:firstLine="33" w:firstLineChars="16"/>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r>
      <w:tr w14:paraId="65E8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14:paraId="3D406CEF">
            <w:pPr>
              <w:tabs>
                <w:tab w:val="left" w:pos="0"/>
              </w:tabs>
              <w:adjustRightIn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1</w:t>
            </w:r>
          </w:p>
        </w:tc>
        <w:tc>
          <w:tcPr>
            <w:tcW w:w="1985" w:type="dxa"/>
            <w:noWrap w:val="0"/>
            <w:vAlign w:val="center"/>
          </w:tcPr>
          <w:p w14:paraId="438EBD1F">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olor w:val="auto"/>
                <w:szCs w:val="21"/>
                <w:highlight w:val="none"/>
                <w:lang w:val="en-US" w:eastAsia="zh-CN"/>
              </w:rPr>
              <w:t>项目实施</w:t>
            </w:r>
            <w:r>
              <w:rPr>
                <w:rFonts w:hint="eastAsia" w:ascii="宋体" w:hAnsi="宋体"/>
                <w:color w:val="auto"/>
                <w:szCs w:val="21"/>
                <w:highlight w:val="none"/>
              </w:rPr>
              <w:t>方案分（满分</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7170" w:type="dxa"/>
            <w:noWrap w:val="0"/>
            <w:vAlign w:val="center"/>
          </w:tcPr>
          <w:p w14:paraId="332796F4">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 xml:space="preserve">一档（0分）：供应商提供的实施方案不合理不能满足项目实施要求； </w:t>
            </w:r>
          </w:p>
          <w:p w14:paraId="5E97B0D0">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一</w:t>
            </w:r>
            <w:r>
              <w:rPr>
                <w:rFonts w:hint="eastAsia" w:ascii="宋体" w:hAnsi="宋体" w:eastAsia="宋体" w:cs="Times New Roman"/>
                <w:bCs/>
                <w:color w:val="auto"/>
                <w:szCs w:val="21"/>
                <w:highlight w:val="none"/>
                <w:lang w:val="en-US" w:eastAsia="zh-CN"/>
              </w:rPr>
              <w:t>档（</w:t>
            </w:r>
            <w:r>
              <w:rPr>
                <w:rFonts w:hint="eastAsia" w:ascii="宋体" w:hAnsi="宋体" w:cs="Times New Roman"/>
                <w:bCs/>
                <w:color w:val="auto"/>
                <w:szCs w:val="21"/>
                <w:highlight w:val="none"/>
                <w:lang w:val="en-US" w:eastAsia="zh-CN"/>
              </w:rPr>
              <w:t>10</w:t>
            </w:r>
            <w:r>
              <w:rPr>
                <w:rFonts w:hint="eastAsia" w:ascii="宋体" w:hAnsi="宋体" w:eastAsia="宋体" w:cs="Times New Roman"/>
                <w:bCs/>
                <w:color w:val="auto"/>
                <w:szCs w:val="21"/>
                <w:highlight w:val="none"/>
                <w:lang w:val="en-US" w:eastAsia="zh-CN"/>
              </w:rPr>
              <w:t>分）：供应商所提供的项目实施方案无针对性，内容有缺漏或不完整；</w:t>
            </w:r>
          </w:p>
          <w:p w14:paraId="206C791F">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三档（</w:t>
            </w:r>
            <w:r>
              <w:rPr>
                <w:rFonts w:hint="eastAsia" w:ascii="宋体" w:hAnsi="宋体" w:cs="Times New Roman"/>
                <w:bCs/>
                <w:color w:val="auto"/>
                <w:szCs w:val="21"/>
                <w:highlight w:val="none"/>
                <w:lang w:val="en-US" w:eastAsia="zh-CN"/>
              </w:rPr>
              <w:t>18</w:t>
            </w:r>
            <w:r>
              <w:rPr>
                <w:rFonts w:hint="eastAsia" w:ascii="宋体" w:hAnsi="宋体" w:eastAsia="宋体" w:cs="Times New Roman"/>
                <w:bCs/>
                <w:color w:val="auto"/>
                <w:szCs w:val="21"/>
                <w:highlight w:val="none"/>
                <w:lang w:val="en-US" w:eastAsia="zh-CN"/>
              </w:rPr>
              <w:t>分）：供应商所提供的项目实施方案内容包含了对项目基本情况的了解、本项目工艺运行管理、日常设备操作及维护、质量控制及质量保证规章制度等，但描述简单，针对性较差；</w:t>
            </w:r>
          </w:p>
          <w:p w14:paraId="3BE4720A">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四档（</w:t>
            </w:r>
            <w:r>
              <w:rPr>
                <w:rFonts w:hint="eastAsia" w:ascii="宋体" w:hAnsi="宋体" w:cs="Times New Roman"/>
                <w:bCs/>
                <w:color w:val="auto"/>
                <w:szCs w:val="21"/>
                <w:highlight w:val="none"/>
                <w:lang w:val="en-US" w:eastAsia="zh-CN"/>
              </w:rPr>
              <w:t>24</w:t>
            </w:r>
            <w:r>
              <w:rPr>
                <w:rFonts w:hint="eastAsia" w:ascii="宋体" w:hAnsi="宋体" w:eastAsia="宋体" w:cs="Times New Roman"/>
                <w:bCs/>
                <w:color w:val="auto"/>
                <w:szCs w:val="21"/>
                <w:highlight w:val="none"/>
                <w:lang w:val="en-US" w:eastAsia="zh-CN"/>
              </w:rPr>
              <w:t>分）：供应商所提供的项目实施方案内容包含了对项目基本情况的了解（能准确理解及描述污水处理的工作原理）、本项目工艺运行管理、日常设备操作及维护、 质量控制及质量保证规章制度、运行记录保存及报告、异常问题的分析及故障诊断与排除等，能够根据实际情况专业性、针对性的 制定方案；</w:t>
            </w:r>
          </w:p>
          <w:p w14:paraId="7B742C2F">
            <w:pPr>
              <w:adjustRightInd w:val="0"/>
              <w:spacing w:line="360" w:lineRule="auto"/>
              <w:ind w:firstLine="420"/>
              <w:rPr>
                <w:rFonts w:hint="eastAsia" w:ascii="宋体" w:hAnsi="宋体" w:cs="宋体"/>
                <w:bCs/>
                <w:color w:val="auto"/>
                <w:szCs w:val="21"/>
                <w:highlight w:val="none"/>
              </w:rPr>
            </w:pPr>
            <w:r>
              <w:rPr>
                <w:rFonts w:hint="eastAsia" w:ascii="宋体" w:hAnsi="宋体" w:eastAsia="宋体" w:cs="Times New Roman"/>
                <w:bCs/>
                <w:color w:val="auto"/>
                <w:szCs w:val="21"/>
                <w:highlight w:val="none"/>
                <w:lang w:val="en-US" w:eastAsia="zh-CN"/>
              </w:rPr>
              <w:t>五档（</w:t>
            </w:r>
            <w:r>
              <w:rPr>
                <w:rFonts w:hint="eastAsia" w:ascii="宋体" w:hAnsi="宋体" w:cs="Times New Roman"/>
                <w:bCs/>
                <w:color w:val="auto"/>
                <w:szCs w:val="21"/>
                <w:highlight w:val="none"/>
                <w:lang w:val="en-US" w:eastAsia="zh-CN"/>
              </w:rPr>
              <w:t>30</w:t>
            </w:r>
            <w:r>
              <w:rPr>
                <w:rFonts w:hint="eastAsia" w:ascii="宋体" w:hAnsi="宋体" w:eastAsia="宋体" w:cs="Times New Roman"/>
                <w:bCs/>
                <w:color w:val="auto"/>
                <w:szCs w:val="21"/>
                <w:highlight w:val="none"/>
                <w:lang w:val="en-US" w:eastAsia="zh-CN"/>
              </w:rPr>
              <w:t>分）：供应商提供的项目实施方案内容包含了对项目基本情况的了解（能准确理解及描述污水处理的工作原理，并配以工艺流程图，图文与项目实际相结合）、本项目工艺运行管理、日常设备操作及维护、质量控制及质量保证规章制度、运行记录保存及报告、异常问题的分析及故障诊断与排除等，熟悉本项目工艺运营管理，整体方案思路清晰、科学合理，能够根据实际情况专业性、针对性的制定方案，切实可行的制定具体的设施运维措施等内容。</w:t>
            </w:r>
          </w:p>
        </w:tc>
      </w:tr>
      <w:tr w14:paraId="1BAFF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14:paraId="0F45EE78">
            <w:pPr>
              <w:tabs>
                <w:tab w:val="left" w:pos="0"/>
              </w:tabs>
              <w:adjustRightIn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2.2</w:t>
            </w:r>
          </w:p>
        </w:tc>
        <w:tc>
          <w:tcPr>
            <w:tcW w:w="1985" w:type="dxa"/>
            <w:noWrap w:val="0"/>
            <w:vAlign w:val="center"/>
          </w:tcPr>
          <w:p w14:paraId="6881856F">
            <w:pPr>
              <w:pStyle w:val="198"/>
              <w:spacing w:before="68" w:line="221" w:lineRule="auto"/>
              <w:ind w:left="188"/>
              <w:rPr>
                <w:color w:val="auto"/>
                <w:highlight w:val="none"/>
              </w:rPr>
            </w:pPr>
            <w:r>
              <w:rPr>
                <w:color w:val="auto"/>
                <w:spacing w:val="-3"/>
                <w:highlight w:val="none"/>
              </w:rPr>
              <w:t>安全防护</w:t>
            </w:r>
          </w:p>
          <w:p w14:paraId="20C5EB28">
            <w:pPr>
              <w:pStyle w:val="198"/>
              <w:spacing w:before="22" w:line="221" w:lineRule="auto"/>
              <w:ind w:left="185"/>
              <w:rPr>
                <w:color w:val="auto"/>
                <w:highlight w:val="none"/>
              </w:rPr>
            </w:pPr>
            <w:r>
              <w:rPr>
                <w:color w:val="auto"/>
                <w:spacing w:val="-2"/>
                <w:highlight w:val="none"/>
              </w:rPr>
              <w:t>制度及应</w:t>
            </w:r>
          </w:p>
          <w:p w14:paraId="2EF782F3">
            <w:pPr>
              <w:adjustRightInd w:val="0"/>
              <w:spacing w:line="360" w:lineRule="auto"/>
              <w:ind w:firstLine="0" w:firstLineChars="0"/>
              <w:jc w:val="center"/>
              <w:textAlignment w:val="baseline"/>
              <w:rPr>
                <w:rFonts w:hint="default" w:ascii="宋体" w:hAnsi="宋体" w:eastAsia="宋体"/>
                <w:bCs/>
                <w:color w:val="auto"/>
                <w:szCs w:val="21"/>
                <w:highlight w:val="none"/>
                <w:lang w:val="en-US" w:eastAsia="zh-CN"/>
              </w:rPr>
            </w:pPr>
            <w:r>
              <w:rPr>
                <w:color w:val="auto"/>
                <w:spacing w:val="-3"/>
                <w:highlight w:val="none"/>
              </w:rPr>
              <w:t>急</w:t>
            </w:r>
            <w:r>
              <w:rPr>
                <w:rFonts w:hint="eastAsia"/>
                <w:color w:val="auto"/>
                <w:spacing w:val="-3"/>
                <w:highlight w:val="none"/>
                <w:lang w:val="en-US" w:eastAsia="zh-CN"/>
              </w:rPr>
              <w:t>方案分</w:t>
            </w:r>
          </w:p>
          <w:p w14:paraId="4B69CE91">
            <w:pPr>
              <w:adjustRightInd w:val="0"/>
              <w:spacing w:line="360" w:lineRule="auto"/>
              <w:ind w:firstLine="0" w:firstLineChars="0"/>
              <w:jc w:val="center"/>
              <w:textAlignment w:val="baseline"/>
              <w:rPr>
                <w:rFonts w:hint="eastAsia" w:ascii="宋体" w:hAnsi="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lang w:val="en-US" w:eastAsia="zh-CN"/>
              </w:rPr>
              <w:t>21</w:t>
            </w:r>
            <w:r>
              <w:rPr>
                <w:rFonts w:hint="eastAsia" w:ascii="宋体" w:hAnsi="宋体"/>
                <w:bCs/>
                <w:color w:val="auto"/>
                <w:szCs w:val="21"/>
                <w:highlight w:val="none"/>
              </w:rPr>
              <w:t>分）</w:t>
            </w:r>
          </w:p>
        </w:tc>
        <w:tc>
          <w:tcPr>
            <w:tcW w:w="7170" w:type="dxa"/>
            <w:noWrap w:val="0"/>
            <w:vAlign w:val="center"/>
          </w:tcPr>
          <w:p w14:paraId="7893CB77">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一档（0分）：供应商提供的方案不合理不能满足项目要求；</w:t>
            </w:r>
          </w:p>
          <w:p w14:paraId="1780A484">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二档（</w:t>
            </w:r>
            <w:r>
              <w:rPr>
                <w:rFonts w:hint="eastAsia" w:ascii="宋体" w:hAnsi="宋体" w:cs="Times New Roman"/>
                <w:bCs/>
                <w:color w:val="auto"/>
                <w:szCs w:val="21"/>
                <w:highlight w:val="none"/>
                <w:lang w:val="en-US" w:eastAsia="zh-CN"/>
              </w:rPr>
              <w:t>7</w:t>
            </w:r>
            <w:r>
              <w:rPr>
                <w:rFonts w:hint="eastAsia" w:ascii="宋体" w:hAnsi="宋体" w:eastAsia="宋体" w:cs="Times New Roman"/>
                <w:bCs/>
                <w:color w:val="auto"/>
                <w:szCs w:val="21"/>
                <w:highlight w:val="none"/>
                <w:lang w:val="en-US" w:eastAsia="zh-CN"/>
              </w:rPr>
              <w:t>分）：有简单安全防护制度及应急计划，基本能够保证在日常正常运行；</w:t>
            </w:r>
          </w:p>
          <w:p w14:paraId="73DAC088">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三档（</w:t>
            </w:r>
            <w:r>
              <w:rPr>
                <w:rFonts w:hint="eastAsia" w:ascii="宋体" w:hAnsi="宋体" w:cs="Times New Roman"/>
                <w:bCs/>
                <w:color w:val="auto"/>
                <w:szCs w:val="21"/>
                <w:highlight w:val="none"/>
                <w:lang w:val="en-US" w:eastAsia="zh-CN"/>
              </w:rPr>
              <w:t>14</w:t>
            </w:r>
            <w:r>
              <w:rPr>
                <w:rFonts w:hint="eastAsia" w:ascii="宋体" w:hAnsi="宋体" w:eastAsia="宋体" w:cs="Times New Roman"/>
                <w:bCs/>
                <w:color w:val="auto"/>
                <w:szCs w:val="21"/>
                <w:highlight w:val="none"/>
                <w:lang w:val="en-US" w:eastAsia="zh-CN"/>
              </w:rPr>
              <w:t>分）：有较详细的安全防护制度及应急计划，有基本的设备维护方案及日常巡检制度，基本能够保证在日常及突发事件时正常运行；</w:t>
            </w:r>
          </w:p>
          <w:p w14:paraId="6BEDEB38">
            <w:pPr>
              <w:adjustRightInd w:val="0"/>
              <w:spacing w:line="360" w:lineRule="auto"/>
              <w:ind w:firstLine="42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四档（</w:t>
            </w:r>
            <w:r>
              <w:rPr>
                <w:rFonts w:hint="eastAsia" w:ascii="宋体" w:hAnsi="宋体" w:cs="Times New Roman"/>
                <w:bCs/>
                <w:color w:val="auto"/>
                <w:szCs w:val="21"/>
                <w:highlight w:val="none"/>
                <w:lang w:val="en-US" w:eastAsia="zh-CN"/>
              </w:rPr>
              <w:t>21</w:t>
            </w:r>
            <w:r>
              <w:rPr>
                <w:rFonts w:hint="eastAsia" w:ascii="宋体" w:hAnsi="宋体" w:eastAsia="宋体" w:cs="Times New Roman"/>
                <w:bCs/>
                <w:color w:val="auto"/>
                <w:szCs w:val="21"/>
                <w:highlight w:val="none"/>
                <w:lang w:val="en-US" w:eastAsia="zh-CN"/>
              </w:rPr>
              <w:t>分）：有详细的、有效的安全防 护制度及应急计划，有详细的设备维护方案及计划、污泥处置方式、资源消耗分析、定期巡检制度和设备运行报告制度，能够充分 保证在日常及重大活动、节假日、突发事件时正常运行。</w:t>
            </w:r>
          </w:p>
        </w:tc>
      </w:tr>
      <w:tr w14:paraId="28EB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14:paraId="1A7D0F2E">
            <w:pPr>
              <w:tabs>
                <w:tab w:val="left" w:pos="0"/>
              </w:tabs>
              <w:adjustRightIn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2.3</w:t>
            </w:r>
          </w:p>
        </w:tc>
        <w:tc>
          <w:tcPr>
            <w:tcW w:w="1985" w:type="dxa"/>
            <w:noWrap w:val="0"/>
            <w:vAlign w:val="center"/>
          </w:tcPr>
          <w:p w14:paraId="383D23D9">
            <w:pPr>
              <w:adjustRightInd w:val="0"/>
              <w:spacing w:line="360" w:lineRule="auto"/>
              <w:ind w:firstLine="0" w:firstLineChars="0"/>
              <w:jc w:val="center"/>
              <w:textAlignment w:val="baseline"/>
              <w:rPr>
                <w:rFonts w:hint="eastAsia" w:ascii="宋体" w:hAnsi="宋体"/>
                <w:bCs/>
                <w:color w:val="auto"/>
                <w:szCs w:val="21"/>
                <w:highlight w:val="none"/>
              </w:rPr>
            </w:pPr>
            <w:r>
              <w:rPr>
                <w:rFonts w:hint="eastAsia" w:ascii="宋体" w:hAnsi="宋体"/>
                <w:bCs/>
                <w:color w:val="auto"/>
                <w:szCs w:val="21"/>
                <w:highlight w:val="none"/>
              </w:rPr>
              <w:t>人员配置方案分</w:t>
            </w:r>
          </w:p>
          <w:p w14:paraId="43F4BC07">
            <w:pPr>
              <w:spacing w:line="360" w:lineRule="auto"/>
              <w:ind w:left="-106" w:leftChars="-51" w:hanging="1" w:firstLineChars="0"/>
              <w:jc w:val="center"/>
              <w:rPr>
                <w:rFonts w:hint="eastAsia" w:ascii="宋体" w:hAnsi="宋体" w:cs="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w:t>
            </w:r>
          </w:p>
        </w:tc>
        <w:tc>
          <w:tcPr>
            <w:tcW w:w="7170" w:type="dxa"/>
            <w:noWrap w:val="0"/>
            <w:vAlign w:val="center"/>
          </w:tcPr>
          <w:p w14:paraId="542232FB">
            <w:pPr>
              <w:adjustRightInd w:val="0"/>
              <w:spacing w:line="360" w:lineRule="auto"/>
              <w:ind w:firstLine="420"/>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一档（0分）：未提供人员配置方案的</w:t>
            </w:r>
            <w:r>
              <w:rPr>
                <w:rFonts w:hint="eastAsia" w:ascii="宋体" w:hAnsi="宋体" w:cs="宋体"/>
                <w:bCs/>
                <w:color w:val="auto"/>
                <w:szCs w:val="21"/>
                <w:highlight w:val="none"/>
                <w:lang w:val="en-US" w:eastAsia="zh-CN"/>
              </w:rPr>
              <w:t>或未按照要求人数设置的</w:t>
            </w:r>
            <w:r>
              <w:rPr>
                <w:rFonts w:hint="eastAsia" w:ascii="宋体" w:hAnsi="宋体" w:eastAsia="宋体" w:cs="宋体"/>
                <w:bCs/>
                <w:color w:val="auto"/>
                <w:szCs w:val="21"/>
                <w:highlight w:val="none"/>
              </w:rPr>
              <w:t>不得分。</w:t>
            </w:r>
          </w:p>
          <w:p w14:paraId="0B090419">
            <w:pPr>
              <w:adjustRightInd w:val="0"/>
              <w:spacing w:line="360" w:lineRule="auto"/>
              <w:ind w:firstLine="420"/>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二档（</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分）：有基本人员配备，有岗位人员设置表</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拟投入人员</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人</w:t>
            </w:r>
            <w:r>
              <w:rPr>
                <w:rFonts w:hint="eastAsia" w:ascii="宋体" w:hAnsi="宋体" w:cs="宋体"/>
                <w:bCs/>
                <w:color w:val="auto"/>
                <w:szCs w:val="21"/>
                <w:highlight w:val="none"/>
                <w:lang w:val="en-US" w:eastAsia="zh-CN"/>
              </w:rPr>
              <w:t>及以上的</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其中具备环保专业中级以上职称的人员</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lang w:val="en-US" w:eastAsia="zh-CN"/>
              </w:rPr>
              <w:t>人</w:t>
            </w:r>
            <w:r>
              <w:rPr>
                <w:rFonts w:hint="eastAsia" w:ascii="宋体" w:hAnsi="宋体" w:eastAsia="宋体" w:cs="宋体"/>
                <w:bCs/>
                <w:color w:val="auto"/>
                <w:szCs w:val="21"/>
                <w:highlight w:val="none"/>
              </w:rPr>
              <w:t>。</w:t>
            </w:r>
          </w:p>
          <w:p w14:paraId="3492D1A7">
            <w:pPr>
              <w:adjustRightInd w:val="0"/>
              <w:spacing w:line="360" w:lineRule="auto"/>
              <w:ind w:firstLine="420"/>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三档（</w:t>
            </w:r>
            <w:r>
              <w:rPr>
                <w:rFonts w:hint="eastAsia" w:ascii="宋体" w:hAnsi="宋体" w:cs="宋体"/>
                <w:bCs/>
                <w:color w:val="auto"/>
                <w:szCs w:val="21"/>
                <w:highlight w:val="none"/>
                <w:lang w:val="en-US" w:eastAsia="zh-CN"/>
              </w:rPr>
              <w:t>20</w:t>
            </w:r>
            <w:r>
              <w:rPr>
                <w:rFonts w:hint="eastAsia" w:ascii="宋体" w:hAnsi="宋体" w:eastAsia="宋体" w:cs="宋体"/>
                <w:bCs/>
                <w:color w:val="auto"/>
                <w:szCs w:val="21"/>
                <w:highlight w:val="none"/>
              </w:rPr>
              <w:t>分）：</w:t>
            </w:r>
            <w:r>
              <w:rPr>
                <w:rFonts w:hint="eastAsia" w:ascii="宋体" w:hAnsi="宋体" w:cs="宋体"/>
                <w:bCs/>
                <w:color w:val="auto"/>
                <w:szCs w:val="21"/>
                <w:highlight w:val="none"/>
                <w:lang w:val="en-US" w:eastAsia="zh-CN"/>
              </w:rPr>
              <w:t>人员配置齐全</w:t>
            </w:r>
            <w:r>
              <w:rPr>
                <w:rFonts w:hint="eastAsia" w:ascii="宋体" w:hAnsi="宋体" w:eastAsia="宋体" w:cs="宋体"/>
                <w:bCs/>
                <w:color w:val="auto"/>
                <w:szCs w:val="21"/>
                <w:highlight w:val="none"/>
              </w:rPr>
              <w:t>，有岗位人员设置表且人员岗位清晰，人员服务管理措施可行</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拟投入人员</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人</w:t>
            </w:r>
            <w:r>
              <w:rPr>
                <w:rFonts w:hint="eastAsia" w:ascii="宋体" w:hAnsi="宋体" w:cs="宋体"/>
                <w:bCs/>
                <w:color w:val="auto"/>
                <w:szCs w:val="21"/>
                <w:highlight w:val="none"/>
                <w:lang w:val="en-US" w:eastAsia="zh-CN"/>
              </w:rPr>
              <w:t>及以上的</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其中具备环保专业中级以上职称的人员</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lang w:val="en-US" w:eastAsia="zh-CN"/>
              </w:rPr>
              <w:t>人、具备《环境保护设施运行人员技能培训合格证书》（自动监控污废水运行工）的人员</w:t>
            </w:r>
            <w:r>
              <w:rPr>
                <w:rFonts w:hint="eastAsia" w:ascii="宋体" w:hAnsi="宋体" w:eastAsia="宋体" w:cs="宋体"/>
                <w:bCs/>
                <w:color w:val="auto"/>
                <w:szCs w:val="21"/>
                <w:highlight w:val="none"/>
                <w:lang w:val="en-US" w:eastAsia="zh-CN"/>
              </w:rPr>
              <w:t>≧1人</w:t>
            </w:r>
            <w:r>
              <w:rPr>
                <w:rFonts w:hint="eastAsia" w:ascii="宋体" w:hAnsi="宋体" w:eastAsia="宋体" w:cs="宋体"/>
                <w:bCs/>
                <w:color w:val="auto"/>
                <w:szCs w:val="21"/>
                <w:highlight w:val="none"/>
              </w:rPr>
              <w:t>。</w:t>
            </w:r>
          </w:p>
          <w:p w14:paraId="60F17245">
            <w:pPr>
              <w:adjustRightInd w:val="0"/>
              <w:spacing w:line="360" w:lineRule="auto"/>
              <w:ind w:firstLine="420"/>
              <w:textAlignment w:val="baseline"/>
              <w:rPr>
                <w:rFonts w:hint="eastAsia" w:ascii="宋体" w:hAnsi="宋体" w:cs="宋体"/>
                <w:bCs/>
                <w:color w:val="auto"/>
                <w:szCs w:val="21"/>
                <w:highlight w:val="none"/>
              </w:rPr>
            </w:pPr>
            <w:r>
              <w:rPr>
                <w:rFonts w:hint="eastAsia" w:ascii="宋体" w:hAnsi="宋体" w:eastAsia="宋体" w:cs="宋体"/>
                <w:b/>
                <w:bCs w:val="0"/>
                <w:color w:val="auto"/>
                <w:szCs w:val="21"/>
                <w:highlight w:val="none"/>
              </w:rPr>
              <w:t>注:须提供以上拟投入人员</w:t>
            </w:r>
            <w:r>
              <w:rPr>
                <w:rFonts w:hint="eastAsia" w:ascii="宋体" w:hAnsi="宋体" w:cs="宋体"/>
                <w:b/>
                <w:bCs w:val="0"/>
                <w:color w:val="auto"/>
                <w:szCs w:val="21"/>
                <w:highlight w:val="none"/>
                <w:lang w:val="en-US" w:eastAsia="zh-CN"/>
              </w:rPr>
              <w:t>有效证书证明材料扫描件</w:t>
            </w:r>
            <w:r>
              <w:rPr>
                <w:rFonts w:hint="eastAsia" w:ascii="宋体" w:hAnsi="宋体" w:eastAsia="宋体" w:cs="宋体"/>
                <w:b/>
                <w:bCs w:val="0"/>
                <w:color w:val="auto"/>
                <w:szCs w:val="21"/>
                <w:highlight w:val="none"/>
                <w:lang w:val="en-US" w:eastAsia="zh-CN"/>
              </w:rPr>
              <w:t>、</w:t>
            </w:r>
            <w:r>
              <w:rPr>
                <w:rFonts w:hint="eastAsia" w:ascii="宋体" w:hAnsi="宋体" w:cs="宋体"/>
                <w:b/>
                <w:bCs w:val="0"/>
                <w:color w:val="auto"/>
                <w:szCs w:val="21"/>
                <w:highlight w:val="none"/>
                <w:lang w:val="en-US" w:eastAsia="zh-CN"/>
              </w:rPr>
              <w:t>自2025年1月以来任意一个月</w:t>
            </w:r>
            <w:r>
              <w:rPr>
                <w:rFonts w:hint="eastAsia" w:ascii="宋体" w:hAnsi="宋体" w:eastAsia="宋体" w:cs="宋体"/>
                <w:b/>
                <w:bCs w:val="0"/>
                <w:color w:val="auto"/>
                <w:szCs w:val="21"/>
                <w:highlight w:val="none"/>
                <w:lang w:val="en-US" w:eastAsia="zh-CN"/>
              </w:rPr>
              <w:t>社保证明材料扫</w:t>
            </w:r>
            <w:r>
              <w:rPr>
                <w:rFonts w:hint="eastAsia" w:ascii="宋体" w:hAnsi="宋体" w:eastAsia="宋体" w:cs="宋体"/>
                <w:b/>
                <w:bCs w:val="0"/>
                <w:color w:val="auto"/>
                <w:szCs w:val="21"/>
                <w:highlight w:val="none"/>
              </w:rPr>
              <w:t>描件并加盖供应商电子公章，未提供不得分。</w:t>
            </w:r>
          </w:p>
        </w:tc>
      </w:tr>
      <w:tr w14:paraId="2A6C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51" w:type="dxa"/>
            <w:noWrap w:val="0"/>
            <w:vAlign w:val="center"/>
          </w:tcPr>
          <w:p w14:paraId="3AAC458E">
            <w:pPr>
              <w:tabs>
                <w:tab w:val="left" w:pos="0"/>
              </w:tabs>
              <w:adjustRightInd w:val="0"/>
              <w:spacing w:line="360" w:lineRule="auto"/>
              <w:ind w:firstLine="0" w:firstLineChars="0"/>
              <w:jc w:val="center"/>
              <w:rPr>
                <w:rFonts w:hint="eastAsia" w:ascii="宋体" w:hAnsi="宋体"/>
                <w:color w:val="auto"/>
                <w:szCs w:val="21"/>
                <w:highlight w:val="none"/>
              </w:rPr>
            </w:pPr>
            <w:r>
              <w:rPr>
                <w:rFonts w:hint="eastAsia" w:ascii="宋体" w:hAnsi="宋体"/>
                <w:color w:val="auto"/>
                <w:szCs w:val="21"/>
                <w:highlight w:val="none"/>
              </w:rPr>
              <w:t>2.4</w:t>
            </w:r>
          </w:p>
        </w:tc>
        <w:tc>
          <w:tcPr>
            <w:tcW w:w="1985" w:type="dxa"/>
            <w:noWrap w:val="0"/>
            <w:vAlign w:val="center"/>
          </w:tcPr>
          <w:p w14:paraId="261BAE72">
            <w:pPr>
              <w:spacing w:line="360" w:lineRule="auto"/>
              <w:ind w:left="-106" w:leftChars="-51" w:hanging="1" w:firstLineChars="0"/>
              <w:jc w:val="center"/>
              <w:rPr>
                <w:rFonts w:hint="eastAsia" w:ascii="宋体" w:hAnsi="宋体"/>
                <w:color w:val="auto"/>
                <w:szCs w:val="21"/>
                <w:highlight w:val="none"/>
              </w:rPr>
            </w:pPr>
            <w:r>
              <w:rPr>
                <w:rFonts w:hint="eastAsia" w:ascii="宋体" w:hAnsi="宋体"/>
                <w:color w:val="auto"/>
                <w:szCs w:val="21"/>
                <w:highlight w:val="none"/>
                <w:lang w:val="en-US" w:eastAsia="zh-CN"/>
              </w:rPr>
              <w:t>人员培训</w:t>
            </w:r>
            <w:r>
              <w:rPr>
                <w:rFonts w:hint="eastAsia" w:ascii="宋体" w:hAnsi="宋体"/>
                <w:color w:val="auto"/>
                <w:szCs w:val="21"/>
                <w:highlight w:val="none"/>
              </w:rPr>
              <w:t>分</w:t>
            </w:r>
          </w:p>
          <w:p w14:paraId="6C04C1A6">
            <w:pPr>
              <w:adjustRightInd w:val="0"/>
              <w:spacing w:line="360" w:lineRule="auto"/>
              <w:ind w:firstLine="0" w:firstLineChars="0"/>
              <w:jc w:val="center"/>
              <w:textAlignment w:val="baseline"/>
              <w:rPr>
                <w:rFonts w:hint="eastAsia" w:ascii="宋体" w:hAnsi="宋体"/>
                <w:bCs/>
                <w:color w:val="auto"/>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w:t>
            </w:r>
          </w:p>
        </w:tc>
        <w:tc>
          <w:tcPr>
            <w:tcW w:w="7170" w:type="dxa"/>
            <w:noWrap w:val="0"/>
            <w:vAlign w:val="center"/>
          </w:tcPr>
          <w:p w14:paraId="78ADA8D3">
            <w:pPr>
              <w:adjustRightInd w:val="0"/>
              <w:spacing w:line="360" w:lineRule="auto"/>
              <w:ind w:firstLine="42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一档（0分）：供应商未提供培训计划；</w:t>
            </w:r>
          </w:p>
          <w:p w14:paraId="3902BC37">
            <w:pPr>
              <w:adjustRightInd w:val="0"/>
              <w:spacing w:line="360" w:lineRule="auto"/>
              <w:ind w:firstLine="420"/>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分）：供应商根据采购需求制定本项目拟投入人员的培训计划，有培训时间安排，有考核安排；</w:t>
            </w:r>
          </w:p>
          <w:p w14:paraId="73ECE27E">
            <w:pPr>
              <w:adjustRightInd w:val="0"/>
              <w:spacing w:line="360" w:lineRule="auto"/>
              <w:ind w:firstLine="420"/>
              <w:textAlignment w:val="baseline"/>
              <w:rPr>
                <w:rFonts w:hint="eastAsia"/>
                <w:color w:val="auto"/>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分）：供应商根据采购需求制定本项目拟投入人员的培训计划，有详细的培训方案，培训时间安排详细具体，并定期进行考核，能较好保障人员服务标准化及服务质量。</w:t>
            </w:r>
          </w:p>
        </w:tc>
      </w:tr>
      <w:tr w14:paraId="2567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51" w:type="dxa"/>
            <w:noWrap w:val="0"/>
            <w:vAlign w:val="center"/>
          </w:tcPr>
          <w:p w14:paraId="74A3307E">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3</w:t>
            </w:r>
          </w:p>
        </w:tc>
        <w:tc>
          <w:tcPr>
            <w:tcW w:w="1985" w:type="dxa"/>
            <w:noWrap w:val="0"/>
            <w:vAlign w:val="center"/>
          </w:tcPr>
          <w:p w14:paraId="06CCBA43">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商务分</w:t>
            </w:r>
          </w:p>
          <w:p w14:paraId="3D56331D">
            <w:pPr>
              <w:adjustRightInd w:val="0"/>
              <w:spacing w:line="360" w:lineRule="auto"/>
              <w:ind w:firstLine="0" w:firstLineChars="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c>
          <w:tcPr>
            <w:tcW w:w="7170" w:type="dxa"/>
            <w:noWrap w:val="0"/>
            <w:vAlign w:val="center"/>
          </w:tcPr>
          <w:p w14:paraId="3D936449">
            <w:pPr>
              <w:adjustRightInd w:val="0"/>
              <w:spacing w:line="360" w:lineRule="auto"/>
              <w:ind w:firstLine="33" w:firstLineChars="16"/>
              <w:jc w:val="center"/>
              <w:rPr>
                <w:rFonts w:hint="eastAsia" w:ascii="宋体" w:hAnsi="宋体" w:cs="宋体"/>
                <w:bCs/>
                <w:color w:val="auto"/>
                <w:szCs w:val="21"/>
                <w:highlight w:val="none"/>
              </w:rPr>
            </w:pPr>
            <w:r>
              <w:rPr>
                <w:rFonts w:hint="eastAsia" w:ascii="宋体" w:hAnsi="宋体" w:cs="宋体"/>
                <w:bCs/>
                <w:color w:val="auto"/>
                <w:szCs w:val="21"/>
                <w:highlight w:val="none"/>
              </w:rPr>
              <w:t>评审因素</w:t>
            </w:r>
          </w:p>
        </w:tc>
      </w:tr>
      <w:tr w14:paraId="7EA3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51" w:type="dxa"/>
            <w:noWrap w:val="0"/>
            <w:vAlign w:val="center"/>
          </w:tcPr>
          <w:p w14:paraId="4309F5D3">
            <w:pPr>
              <w:tabs>
                <w:tab w:val="left" w:pos="0"/>
              </w:tabs>
              <w:adjustRightInd w:val="0"/>
              <w:spacing w:line="360" w:lineRule="auto"/>
              <w:ind w:firstLine="0" w:firstLineChars="0"/>
              <w:jc w:val="center"/>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1</w:t>
            </w:r>
          </w:p>
        </w:tc>
        <w:tc>
          <w:tcPr>
            <w:tcW w:w="1985" w:type="dxa"/>
            <w:noWrap w:val="0"/>
            <w:vAlign w:val="center"/>
          </w:tcPr>
          <w:p w14:paraId="2EC7A78B">
            <w:pPr>
              <w:spacing w:line="360"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业绩分</w:t>
            </w:r>
          </w:p>
          <w:p w14:paraId="7003082D">
            <w:pPr>
              <w:spacing w:line="360" w:lineRule="auto"/>
              <w:ind w:firstLine="0" w:firstLineChars="0"/>
              <w:jc w:val="center"/>
              <w:rPr>
                <w:rFonts w:ascii="宋体" w:hAnsi="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lang w:val="en-US" w:eastAsia="zh-CN"/>
              </w:rPr>
              <w:t>4</w:t>
            </w:r>
            <w:r>
              <w:rPr>
                <w:rFonts w:hint="eastAsia" w:ascii="宋体" w:hAnsi="宋体"/>
                <w:bCs/>
                <w:color w:val="auto"/>
                <w:szCs w:val="21"/>
                <w:highlight w:val="none"/>
              </w:rPr>
              <w:t>分）</w:t>
            </w:r>
          </w:p>
        </w:tc>
        <w:tc>
          <w:tcPr>
            <w:tcW w:w="7170" w:type="dxa"/>
            <w:noWrap w:val="0"/>
            <w:vAlign w:val="center"/>
          </w:tcPr>
          <w:p w14:paraId="61D72380">
            <w:pPr>
              <w:pStyle w:val="26"/>
              <w:spacing w:line="360" w:lineRule="auto"/>
              <w:ind w:firstLine="420"/>
              <w:rPr>
                <w:rFonts w:hint="eastAsia" w:hAnsi="宋体"/>
                <w:bCs/>
                <w:color w:val="auto"/>
                <w:kern w:val="2"/>
                <w:sz w:val="21"/>
                <w:highlight w:val="none"/>
                <w:lang w:val="en-US" w:eastAsia="zh-CN"/>
              </w:rPr>
            </w:pPr>
            <w:r>
              <w:rPr>
                <w:rFonts w:hint="eastAsia" w:hAnsi="宋体" w:cs="宋体"/>
                <w:bCs/>
                <w:color w:val="auto"/>
                <w:sz w:val="21"/>
                <w:highlight w:val="none"/>
              </w:rPr>
              <w:t>供应商提供自20</w:t>
            </w:r>
            <w:r>
              <w:rPr>
                <w:rFonts w:hint="eastAsia" w:hAnsi="宋体" w:cs="宋体"/>
                <w:bCs/>
                <w:color w:val="auto"/>
                <w:sz w:val="21"/>
                <w:highlight w:val="none"/>
                <w:lang w:eastAsia="zh-CN"/>
              </w:rPr>
              <w:t>2</w:t>
            </w:r>
            <w:r>
              <w:rPr>
                <w:rFonts w:hint="eastAsia" w:hAnsi="宋体" w:cs="宋体"/>
                <w:bCs/>
                <w:color w:val="auto"/>
                <w:sz w:val="21"/>
                <w:highlight w:val="none"/>
                <w:lang w:val="en-US" w:eastAsia="zh-CN"/>
              </w:rPr>
              <w:t>2</w:t>
            </w:r>
            <w:r>
              <w:rPr>
                <w:rFonts w:hint="eastAsia" w:hAnsi="宋体" w:cs="宋体"/>
                <w:bCs/>
                <w:color w:val="auto"/>
                <w:sz w:val="21"/>
                <w:highlight w:val="none"/>
              </w:rPr>
              <w:t>年1月1日以来承接的同类业绩证明，每有一项得</w:t>
            </w:r>
            <w:r>
              <w:rPr>
                <w:rFonts w:hint="eastAsia" w:hAnsi="宋体" w:cs="宋体"/>
                <w:bCs/>
                <w:color w:val="auto"/>
                <w:sz w:val="21"/>
                <w:highlight w:val="none"/>
                <w:lang w:val="en-US" w:eastAsia="zh-CN"/>
              </w:rPr>
              <w:t>2</w:t>
            </w:r>
            <w:r>
              <w:rPr>
                <w:rFonts w:hint="eastAsia" w:hAnsi="宋体" w:cs="宋体"/>
                <w:bCs/>
                <w:color w:val="auto"/>
                <w:sz w:val="21"/>
                <w:highlight w:val="none"/>
              </w:rPr>
              <w:t>分</w:t>
            </w:r>
            <w:r>
              <w:rPr>
                <w:rFonts w:hint="eastAsia" w:hAnsi="宋体" w:cs="宋体"/>
                <w:bCs/>
                <w:color w:val="auto"/>
                <w:sz w:val="21"/>
                <w:highlight w:val="none"/>
                <w:lang w:eastAsia="zh-CN"/>
              </w:rPr>
              <w:t>（</w:t>
            </w:r>
            <w:r>
              <w:rPr>
                <w:rFonts w:hint="eastAsia" w:hAnsi="宋体" w:cs="宋体"/>
                <w:bCs/>
                <w:color w:val="auto"/>
                <w:sz w:val="21"/>
                <w:highlight w:val="none"/>
                <w:lang w:val="en-US" w:eastAsia="zh-CN"/>
              </w:rPr>
              <w:t>同类业绩指污水处理运维、施工安装等</w:t>
            </w:r>
            <w:r>
              <w:rPr>
                <w:rFonts w:hint="eastAsia" w:hAnsi="宋体" w:cs="宋体"/>
                <w:bCs/>
                <w:color w:val="auto"/>
                <w:sz w:val="21"/>
                <w:highlight w:val="none"/>
                <w:lang w:eastAsia="zh-CN"/>
              </w:rPr>
              <w:t>）</w:t>
            </w:r>
            <w:r>
              <w:rPr>
                <w:rFonts w:hint="eastAsia" w:hAnsi="宋体" w:cs="宋体"/>
                <w:bCs/>
                <w:color w:val="auto"/>
                <w:sz w:val="21"/>
                <w:highlight w:val="none"/>
              </w:rPr>
              <w:t>，满分</w:t>
            </w:r>
            <w:r>
              <w:rPr>
                <w:rFonts w:hint="eastAsia" w:hAnsi="宋体" w:cs="宋体"/>
                <w:bCs/>
                <w:color w:val="auto"/>
                <w:sz w:val="21"/>
                <w:highlight w:val="none"/>
                <w:lang w:val="en-US" w:eastAsia="zh-CN"/>
              </w:rPr>
              <w:t>4</w:t>
            </w:r>
            <w:r>
              <w:rPr>
                <w:rFonts w:hint="eastAsia" w:hAnsi="宋体" w:cs="宋体"/>
                <w:bCs/>
                <w:color w:val="auto"/>
                <w:sz w:val="21"/>
                <w:highlight w:val="none"/>
              </w:rPr>
              <w:t>分</w:t>
            </w:r>
            <w:r>
              <w:rPr>
                <w:rFonts w:hint="eastAsia" w:hAnsi="宋体"/>
                <w:bCs/>
                <w:color w:val="auto"/>
                <w:kern w:val="2"/>
                <w:sz w:val="21"/>
                <w:highlight w:val="none"/>
                <w:lang w:val="en-US" w:eastAsia="zh-CN"/>
              </w:rPr>
              <w:t>（响应文件中提供的合同书</w:t>
            </w:r>
            <w:r>
              <w:rPr>
                <w:rFonts w:hint="eastAsia" w:hAnsi="宋体"/>
                <w:b/>
                <w:color w:val="auto"/>
                <w:sz w:val="21"/>
                <w:highlight w:val="none"/>
                <w:lang w:val="en-US" w:eastAsia="zh-CN"/>
              </w:rPr>
              <w:t>原件扫描件</w:t>
            </w:r>
            <w:r>
              <w:rPr>
                <w:rFonts w:hint="eastAsia" w:hAnsi="宋体"/>
                <w:color w:val="auto"/>
                <w:sz w:val="21"/>
                <w:highlight w:val="none"/>
                <w:lang w:val="en-US" w:eastAsia="zh-CN"/>
              </w:rPr>
              <w:t>并加盖供应商电子公章，</w:t>
            </w:r>
            <w:r>
              <w:rPr>
                <w:rFonts w:hint="eastAsia" w:hAnsi="宋体"/>
                <w:bCs/>
                <w:color w:val="auto"/>
                <w:kern w:val="2"/>
                <w:sz w:val="21"/>
                <w:highlight w:val="none"/>
                <w:lang w:val="en-US" w:eastAsia="zh-CN"/>
              </w:rPr>
              <w:t>否则不予加分）。</w:t>
            </w:r>
          </w:p>
          <w:p w14:paraId="094A8A16">
            <w:pPr>
              <w:pStyle w:val="26"/>
              <w:spacing w:line="360" w:lineRule="auto"/>
              <w:ind w:firstLine="422"/>
              <w:rPr>
                <w:rFonts w:hint="eastAsia" w:hAnsi="宋体"/>
                <w:b/>
                <w:bCs/>
                <w:color w:val="auto"/>
                <w:kern w:val="2"/>
                <w:sz w:val="21"/>
                <w:highlight w:val="none"/>
                <w:lang w:val="en-US" w:eastAsia="zh-CN"/>
              </w:rPr>
            </w:pPr>
            <w:r>
              <w:rPr>
                <w:rFonts w:hint="eastAsia" w:hAnsi="宋体"/>
                <w:b/>
                <w:bCs/>
                <w:color w:val="auto"/>
                <w:kern w:val="2"/>
                <w:sz w:val="21"/>
                <w:highlight w:val="none"/>
                <w:lang w:val="en-US" w:eastAsia="zh-CN"/>
              </w:rPr>
              <w:t>注：合同签订日期须是</w:t>
            </w:r>
            <w:r>
              <w:rPr>
                <w:rFonts w:hint="eastAsia" w:hAnsi="宋体" w:cs="宋体"/>
                <w:b/>
                <w:bCs/>
                <w:color w:val="auto"/>
                <w:sz w:val="21"/>
                <w:highlight w:val="none"/>
              </w:rPr>
              <w:t>20</w:t>
            </w:r>
            <w:r>
              <w:rPr>
                <w:rFonts w:hint="eastAsia" w:hAnsi="宋体" w:cs="宋体"/>
                <w:b/>
                <w:bCs/>
                <w:color w:val="auto"/>
                <w:sz w:val="21"/>
                <w:highlight w:val="none"/>
                <w:lang w:eastAsia="zh-CN"/>
              </w:rPr>
              <w:t>2</w:t>
            </w:r>
            <w:r>
              <w:rPr>
                <w:rFonts w:hint="eastAsia" w:hAnsi="宋体" w:cs="宋体"/>
                <w:b/>
                <w:bCs/>
                <w:color w:val="auto"/>
                <w:sz w:val="21"/>
                <w:highlight w:val="none"/>
                <w:lang w:val="en-US" w:eastAsia="zh-CN"/>
              </w:rPr>
              <w:t>2</w:t>
            </w:r>
            <w:r>
              <w:rPr>
                <w:rFonts w:hint="eastAsia" w:hAnsi="宋体" w:cs="宋体"/>
                <w:b/>
                <w:bCs/>
                <w:color w:val="auto"/>
                <w:sz w:val="21"/>
                <w:highlight w:val="none"/>
              </w:rPr>
              <w:t>年1月1日</w:t>
            </w:r>
            <w:r>
              <w:rPr>
                <w:rFonts w:hint="eastAsia" w:hAnsi="宋体"/>
                <w:b/>
                <w:bCs/>
                <w:color w:val="auto"/>
                <w:kern w:val="2"/>
                <w:sz w:val="21"/>
                <w:highlight w:val="none"/>
                <w:lang w:val="en-US" w:eastAsia="zh-CN"/>
              </w:rPr>
              <w:t>以来的，否则不予认可。</w:t>
            </w:r>
          </w:p>
        </w:tc>
      </w:tr>
      <w:tr w14:paraId="495F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6" w:type="dxa"/>
            <w:gridSpan w:val="3"/>
            <w:noWrap w:val="0"/>
            <w:vAlign w:val="center"/>
          </w:tcPr>
          <w:p w14:paraId="053D7301">
            <w:pPr>
              <w:pStyle w:val="26"/>
              <w:spacing w:line="360" w:lineRule="auto"/>
              <w:ind w:firstLine="0" w:firstLineChars="0"/>
              <w:rPr>
                <w:rFonts w:hAnsi="宋体" w:cs="宋体"/>
                <w:bCs/>
                <w:color w:val="auto"/>
                <w:sz w:val="21"/>
                <w:highlight w:val="none"/>
                <w:lang w:val="en-US" w:eastAsia="zh-CN"/>
              </w:rPr>
            </w:pPr>
            <w:r>
              <w:rPr>
                <w:rFonts w:hint="eastAsia" w:hAnsi="宋体" w:cs="宋体"/>
                <w:b/>
                <w:bCs/>
                <w:color w:val="auto"/>
                <w:sz w:val="21"/>
                <w:highlight w:val="none"/>
                <w:lang w:val="en-US" w:eastAsia="zh-CN"/>
              </w:rPr>
              <w:t>总得分=1+2+3</w:t>
            </w:r>
          </w:p>
        </w:tc>
      </w:tr>
    </w:tbl>
    <w:p w14:paraId="791F59C1">
      <w:pPr>
        <w:pStyle w:val="32"/>
        <w:rPr>
          <w:color w:val="auto"/>
          <w:highlight w:val="none"/>
        </w:rPr>
      </w:pPr>
    </w:p>
    <w:p w14:paraId="0A5E00FB">
      <w:pPr>
        <w:spacing w:before="156" w:beforeLines="50" w:after="156" w:afterLines="50" w:line="360" w:lineRule="auto"/>
        <w:ind w:firstLine="42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由磋商小组根据综合评分情况，按照评审得分由高到低顺序推荐3名以上成交候选供应商，并编写评审报告。符合本章第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由低到高的顺序推荐。评审得分且最后报价相同的，按照技术指标优劣顺序推荐（按技术得分由高到低排序，技术得分相同的按照服务需求偏离分由高到低排序）。评审得分、最后报价、技术得分、服务需求偏离分均相同的，由磋商小组随机抽取推荐。</w:t>
      </w:r>
    </w:p>
    <w:p w14:paraId="7A2CE464">
      <w:pPr>
        <w:pStyle w:val="26"/>
        <w:spacing w:line="360" w:lineRule="auto"/>
        <w:ind w:firstLine="0" w:firstLineChars="0"/>
        <w:jc w:val="center"/>
        <w:rPr>
          <w:rFonts w:hint="eastAsia" w:hAnsi="宋体" w:cs="宋体"/>
          <w:b/>
          <w:color w:val="auto"/>
          <w:highlight w:val="none"/>
        </w:rPr>
      </w:pPr>
      <w:r>
        <w:rPr>
          <w:rFonts w:hint="eastAsia" w:hAnsi="宋体" w:cs="宋体"/>
          <w:color w:val="auto"/>
          <w:sz w:val="21"/>
          <w:highlight w:val="none"/>
        </w:rPr>
        <w:br w:type="page"/>
      </w:r>
    </w:p>
    <w:p w14:paraId="3E12B564">
      <w:pPr>
        <w:spacing w:before="156" w:beforeLines="50" w:after="156" w:afterLines="50" w:line="360" w:lineRule="auto"/>
        <w:ind w:firstLine="422"/>
        <w:rPr>
          <w:rFonts w:hint="eastAsia" w:ascii="宋体" w:hAnsi="宋体" w:cs="宋体"/>
          <w:b/>
          <w:color w:val="auto"/>
          <w:szCs w:val="21"/>
          <w:highlight w:val="none"/>
        </w:rPr>
      </w:pPr>
    </w:p>
    <w:p w14:paraId="19DF23A5">
      <w:pPr>
        <w:spacing w:line="440" w:lineRule="exact"/>
        <w:ind w:firstLine="420"/>
        <w:jc w:val="center"/>
        <w:rPr>
          <w:rFonts w:hint="eastAsia" w:ascii="宋体" w:hAnsi="宋体" w:cs="宋体"/>
          <w:color w:val="auto"/>
          <w:szCs w:val="21"/>
          <w:highlight w:val="none"/>
        </w:rPr>
      </w:pPr>
    </w:p>
    <w:p w14:paraId="54BA3093">
      <w:pPr>
        <w:spacing w:line="440" w:lineRule="exact"/>
        <w:ind w:firstLine="420"/>
        <w:jc w:val="center"/>
        <w:rPr>
          <w:rFonts w:hint="eastAsia" w:ascii="宋体" w:hAnsi="宋体" w:cs="宋体"/>
          <w:color w:val="auto"/>
          <w:szCs w:val="21"/>
          <w:highlight w:val="none"/>
        </w:rPr>
      </w:pPr>
    </w:p>
    <w:p w14:paraId="4AE54A7C">
      <w:pPr>
        <w:spacing w:line="440" w:lineRule="exact"/>
        <w:ind w:firstLine="420"/>
        <w:jc w:val="center"/>
        <w:rPr>
          <w:rFonts w:hint="eastAsia" w:ascii="宋体" w:hAnsi="宋体" w:cs="宋体"/>
          <w:color w:val="auto"/>
          <w:szCs w:val="21"/>
          <w:highlight w:val="none"/>
        </w:rPr>
      </w:pPr>
    </w:p>
    <w:p w14:paraId="0CAE0368">
      <w:pPr>
        <w:spacing w:line="440" w:lineRule="exact"/>
        <w:ind w:firstLine="420"/>
        <w:jc w:val="center"/>
        <w:rPr>
          <w:rFonts w:hint="eastAsia" w:ascii="宋体" w:hAnsi="宋体" w:cs="宋体"/>
          <w:color w:val="auto"/>
          <w:szCs w:val="21"/>
          <w:highlight w:val="none"/>
        </w:rPr>
      </w:pPr>
    </w:p>
    <w:p w14:paraId="15A49FEF">
      <w:pPr>
        <w:spacing w:line="440" w:lineRule="exact"/>
        <w:ind w:firstLine="420"/>
        <w:jc w:val="center"/>
        <w:rPr>
          <w:rFonts w:hint="eastAsia" w:ascii="宋体" w:hAnsi="宋体" w:cs="宋体"/>
          <w:color w:val="auto"/>
          <w:szCs w:val="21"/>
          <w:highlight w:val="none"/>
        </w:rPr>
      </w:pPr>
    </w:p>
    <w:p w14:paraId="1DFACFFA">
      <w:pPr>
        <w:spacing w:line="440" w:lineRule="exact"/>
        <w:ind w:firstLine="420"/>
        <w:jc w:val="center"/>
        <w:rPr>
          <w:rFonts w:hint="eastAsia" w:ascii="宋体" w:hAnsi="宋体" w:cs="宋体"/>
          <w:color w:val="auto"/>
          <w:szCs w:val="21"/>
          <w:highlight w:val="none"/>
        </w:rPr>
      </w:pPr>
    </w:p>
    <w:p w14:paraId="44D30295">
      <w:pPr>
        <w:spacing w:line="440" w:lineRule="exact"/>
        <w:ind w:firstLine="420"/>
        <w:jc w:val="center"/>
        <w:rPr>
          <w:rFonts w:hint="eastAsia" w:ascii="宋体" w:hAnsi="宋体" w:cs="宋体"/>
          <w:color w:val="auto"/>
          <w:szCs w:val="21"/>
          <w:highlight w:val="none"/>
        </w:rPr>
      </w:pPr>
    </w:p>
    <w:p w14:paraId="0A52133C">
      <w:pPr>
        <w:spacing w:line="440" w:lineRule="exact"/>
        <w:ind w:firstLine="420"/>
        <w:jc w:val="center"/>
        <w:rPr>
          <w:rFonts w:hint="eastAsia" w:ascii="宋体" w:hAnsi="宋体" w:cs="宋体"/>
          <w:color w:val="auto"/>
          <w:szCs w:val="21"/>
          <w:highlight w:val="none"/>
        </w:rPr>
      </w:pPr>
    </w:p>
    <w:p w14:paraId="690A48C5">
      <w:pPr>
        <w:spacing w:line="440" w:lineRule="exact"/>
        <w:ind w:firstLine="0" w:firstLineChars="0"/>
        <w:rPr>
          <w:rFonts w:hint="eastAsia" w:ascii="宋体" w:hAnsi="宋体" w:cs="宋体"/>
          <w:color w:val="auto"/>
          <w:szCs w:val="21"/>
          <w:highlight w:val="none"/>
        </w:rPr>
      </w:pPr>
    </w:p>
    <w:p w14:paraId="1354A3D3">
      <w:pPr>
        <w:pStyle w:val="3"/>
        <w:ind w:firstLine="0" w:firstLineChars="0"/>
        <w:jc w:val="center"/>
        <w:rPr>
          <w:rFonts w:hint="eastAsia" w:ascii="宋体" w:hAnsi="宋体" w:cs="宋体"/>
          <w:color w:val="auto"/>
          <w:highlight w:val="none"/>
        </w:rPr>
      </w:pPr>
      <w:bookmarkStart w:id="101" w:name="_Hlt106033511"/>
      <w:bookmarkEnd w:id="101"/>
      <w:bookmarkStart w:id="102" w:name="_Hlt97194059"/>
      <w:bookmarkEnd w:id="102"/>
      <w:bookmarkStart w:id="103" w:name="_Toc3395205"/>
      <w:bookmarkStart w:id="104" w:name="_Toc29472"/>
      <w:r>
        <w:rPr>
          <w:rFonts w:hint="eastAsia" w:ascii="宋体" w:hAnsi="宋体" w:cs="宋体"/>
          <w:color w:val="auto"/>
          <w:highlight w:val="none"/>
        </w:rPr>
        <w:t>第五章  响应文件格式</w:t>
      </w:r>
      <w:bookmarkEnd w:id="103"/>
      <w:bookmarkEnd w:id="104"/>
    </w:p>
    <w:p w14:paraId="70D7B215">
      <w:pPr>
        <w:spacing w:line="240" w:lineRule="atLeast"/>
        <w:ind w:firstLine="643"/>
        <w:jc w:val="center"/>
        <w:rPr>
          <w:rFonts w:hint="eastAsia" w:ascii="宋体" w:hAnsi="宋体" w:cs="宋体"/>
          <w:b/>
          <w:color w:val="auto"/>
          <w:sz w:val="32"/>
          <w:szCs w:val="32"/>
          <w:highlight w:val="none"/>
        </w:rPr>
      </w:pPr>
    </w:p>
    <w:p w14:paraId="6FD6009B">
      <w:pPr>
        <w:spacing w:line="240" w:lineRule="atLeast"/>
        <w:ind w:firstLine="643"/>
        <w:jc w:val="center"/>
        <w:rPr>
          <w:rFonts w:hint="eastAsia" w:ascii="宋体" w:hAnsi="宋体" w:cs="宋体"/>
          <w:b/>
          <w:color w:val="auto"/>
          <w:sz w:val="32"/>
          <w:szCs w:val="32"/>
          <w:highlight w:val="none"/>
        </w:rPr>
      </w:pPr>
    </w:p>
    <w:p w14:paraId="2AFD91FB">
      <w:pPr>
        <w:spacing w:line="240" w:lineRule="atLeast"/>
        <w:ind w:firstLine="643"/>
        <w:jc w:val="center"/>
        <w:rPr>
          <w:rFonts w:hint="eastAsia" w:ascii="宋体" w:hAnsi="宋体" w:cs="宋体"/>
          <w:b/>
          <w:color w:val="auto"/>
          <w:sz w:val="32"/>
          <w:szCs w:val="32"/>
          <w:highlight w:val="none"/>
        </w:rPr>
      </w:pPr>
    </w:p>
    <w:p w14:paraId="16DD28AF">
      <w:pPr>
        <w:spacing w:line="240" w:lineRule="atLeast"/>
        <w:ind w:firstLine="643"/>
        <w:jc w:val="center"/>
        <w:rPr>
          <w:rFonts w:hint="eastAsia" w:ascii="宋体" w:hAnsi="宋体" w:cs="宋体"/>
          <w:b/>
          <w:color w:val="auto"/>
          <w:sz w:val="32"/>
          <w:szCs w:val="32"/>
          <w:highlight w:val="none"/>
        </w:rPr>
      </w:pPr>
    </w:p>
    <w:p w14:paraId="3C1EFA87">
      <w:pPr>
        <w:spacing w:line="240" w:lineRule="atLeast"/>
        <w:ind w:firstLine="643"/>
        <w:jc w:val="center"/>
        <w:rPr>
          <w:rFonts w:hint="eastAsia" w:ascii="宋体" w:hAnsi="宋体" w:cs="宋体"/>
          <w:b/>
          <w:color w:val="auto"/>
          <w:sz w:val="32"/>
          <w:szCs w:val="32"/>
          <w:highlight w:val="none"/>
        </w:rPr>
      </w:pPr>
    </w:p>
    <w:p w14:paraId="2A871096">
      <w:pPr>
        <w:spacing w:line="240" w:lineRule="atLeast"/>
        <w:ind w:firstLine="643"/>
        <w:jc w:val="center"/>
        <w:rPr>
          <w:rFonts w:hint="eastAsia" w:ascii="宋体" w:hAnsi="宋体" w:cs="宋体"/>
          <w:b/>
          <w:color w:val="auto"/>
          <w:sz w:val="32"/>
          <w:szCs w:val="32"/>
          <w:highlight w:val="none"/>
        </w:rPr>
      </w:pPr>
    </w:p>
    <w:p w14:paraId="6FB2986F">
      <w:pPr>
        <w:spacing w:line="240" w:lineRule="atLeast"/>
        <w:ind w:firstLine="643"/>
        <w:jc w:val="center"/>
        <w:rPr>
          <w:rFonts w:hint="eastAsia" w:ascii="宋体" w:hAnsi="宋体" w:cs="宋体"/>
          <w:b/>
          <w:color w:val="auto"/>
          <w:sz w:val="32"/>
          <w:szCs w:val="32"/>
          <w:highlight w:val="none"/>
        </w:rPr>
      </w:pPr>
    </w:p>
    <w:p w14:paraId="2462B12F">
      <w:pPr>
        <w:spacing w:line="240" w:lineRule="atLeast"/>
        <w:ind w:firstLine="643"/>
        <w:jc w:val="center"/>
        <w:rPr>
          <w:rFonts w:hint="eastAsia" w:ascii="宋体" w:hAnsi="宋体" w:cs="宋体"/>
          <w:b/>
          <w:color w:val="auto"/>
          <w:sz w:val="32"/>
          <w:szCs w:val="32"/>
          <w:highlight w:val="none"/>
        </w:rPr>
      </w:pPr>
    </w:p>
    <w:p w14:paraId="3625FCB2">
      <w:pPr>
        <w:spacing w:line="240" w:lineRule="atLeast"/>
        <w:ind w:firstLine="643"/>
        <w:jc w:val="center"/>
        <w:rPr>
          <w:rFonts w:hint="eastAsia" w:ascii="宋体" w:hAnsi="宋体" w:cs="宋体"/>
          <w:b/>
          <w:color w:val="auto"/>
          <w:sz w:val="32"/>
          <w:szCs w:val="32"/>
          <w:highlight w:val="none"/>
        </w:rPr>
      </w:pPr>
    </w:p>
    <w:p w14:paraId="104D24BA">
      <w:pPr>
        <w:spacing w:line="240" w:lineRule="atLeast"/>
        <w:ind w:firstLine="643"/>
        <w:jc w:val="center"/>
        <w:rPr>
          <w:rFonts w:hint="eastAsia" w:ascii="宋体" w:hAnsi="宋体" w:cs="宋体"/>
          <w:b/>
          <w:color w:val="auto"/>
          <w:sz w:val="32"/>
          <w:szCs w:val="32"/>
          <w:highlight w:val="none"/>
        </w:rPr>
      </w:pPr>
    </w:p>
    <w:p w14:paraId="3237C1F3">
      <w:pPr>
        <w:spacing w:line="240" w:lineRule="atLeast"/>
        <w:ind w:firstLine="643"/>
        <w:jc w:val="center"/>
        <w:rPr>
          <w:rFonts w:hint="eastAsia" w:ascii="宋体" w:hAnsi="宋体" w:cs="宋体"/>
          <w:b/>
          <w:color w:val="auto"/>
          <w:sz w:val="32"/>
          <w:szCs w:val="32"/>
          <w:highlight w:val="none"/>
        </w:rPr>
      </w:pPr>
    </w:p>
    <w:p w14:paraId="4410B3EA">
      <w:pPr>
        <w:spacing w:line="240" w:lineRule="atLeast"/>
        <w:ind w:firstLine="643"/>
        <w:jc w:val="right"/>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 xml:space="preserve"> </w:t>
      </w:r>
    </w:p>
    <w:p w14:paraId="276221B7">
      <w:pPr>
        <w:spacing w:line="240" w:lineRule="atLeast"/>
        <w:ind w:firstLine="643"/>
        <w:jc w:val="center"/>
        <w:rPr>
          <w:rFonts w:hint="eastAsia" w:ascii="宋体" w:hAnsi="宋体" w:cs="宋体"/>
          <w:b/>
          <w:color w:val="auto"/>
          <w:sz w:val="32"/>
          <w:szCs w:val="32"/>
          <w:highlight w:val="none"/>
        </w:rPr>
      </w:pPr>
    </w:p>
    <w:p w14:paraId="2D72637F">
      <w:pPr>
        <w:spacing w:line="240" w:lineRule="atLeast"/>
        <w:ind w:firstLine="883"/>
        <w:jc w:val="center"/>
        <w:rPr>
          <w:rFonts w:hint="eastAsia" w:ascii="宋体" w:hAnsi="宋体" w:cs="宋体"/>
          <w:b/>
          <w:color w:val="auto"/>
          <w:sz w:val="44"/>
          <w:szCs w:val="44"/>
          <w:highlight w:val="none"/>
        </w:rPr>
      </w:pPr>
    </w:p>
    <w:p w14:paraId="2C749463">
      <w:pPr>
        <w:spacing w:line="240" w:lineRule="atLeast"/>
        <w:ind w:firstLine="0" w:firstLineChars="0"/>
        <w:jc w:val="center"/>
        <w:rPr>
          <w:rFonts w:hint="eastAsia" w:ascii="宋体" w:hAnsi="宋体" w:cs="宋体"/>
          <w:b/>
          <w:color w:val="auto"/>
          <w:sz w:val="44"/>
          <w:szCs w:val="44"/>
          <w:highlight w:val="none"/>
        </w:rPr>
      </w:pPr>
    </w:p>
    <w:p w14:paraId="4A28C5B2">
      <w:pPr>
        <w:spacing w:line="240" w:lineRule="atLeast"/>
        <w:ind w:firstLine="0" w:firstLineChars="0"/>
        <w:jc w:val="center"/>
        <w:rPr>
          <w:rFonts w:hint="eastAsia" w:ascii="宋体" w:hAnsi="宋体" w:cs="宋体"/>
          <w:b/>
          <w:color w:val="auto"/>
          <w:sz w:val="32"/>
          <w:szCs w:val="32"/>
          <w:highlight w:val="none"/>
        </w:rPr>
      </w:pPr>
      <w:r>
        <w:rPr>
          <w:rFonts w:hint="eastAsia" w:ascii="宋体" w:hAnsi="宋体" w:cs="宋体"/>
          <w:b/>
          <w:color w:val="auto"/>
          <w:sz w:val="84"/>
          <w:szCs w:val="84"/>
          <w:highlight w:val="none"/>
        </w:rPr>
        <w:t>响 应 文 件</w:t>
      </w:r>
    </w:p>
    <w:p w14:paraId="36897C2F">
      <w:pPr>
        <w:spacing w:line="360" w:lineRule="auto"/>
        <w:ind w:firstLine="420"/>
        <w:jc w:val="center"/>
        <w:rPr>
          <w:rFonts w:hint="eastAsia" w:ascii="宋体" w:hAnsi="宋体" w:cs="宋体"/>
          <w:color w:val="auto"/>
          <w:szCs w:val="21"/>
          <w:highlight w:val="none"/>
        </w:rPr>
      </w:pPr>
    </w:p>
    <w:p w14:paraId="4B3C0893">
      <w:pPr>
        <w:spacing w:line="360" w:lineRule="auto"/>
        <w:ind w:firstLine="420"/>
        <w:jc w:val="center"/>
        <w:rPr>
          <w:rFonts w:hint="eastAsia" w:ascii="宋体" w:hAnsi="宋体" w:cs="宋体"/>
          <w:color w:val="auto"/>
          <w:szCs w:val="21"/>
          <w:highlight w:val="none"/>
        </w:rPr>
      </w:pPr>
    </w:p>
    <w:p w14:paraId="174B60EF">
      <w:pPr>
        <w:spacing w:line="360" w:lineRule="auto"/>
        <w:ind w:firstLine="420"/>
        <w:jc w:val="center"/>
        <w:rPr>
          <w:rFonts w:hint="eastAsia" w:ascii="宋体" w:hAnsi="宋体" w:cs="宋体"/>
          <w:color w:val="auto"/>
          <w:szCs w:val="21"/>
          <w:highlight w:val="none"/>
        </w:rPr>
      </w:pPr>
    </w:p>
    <w:p w14:paraId="7E5D3D28">
      <w:pPr>
        <w:spacing w:line="360" w:lineRule="auto"/>
        <w:ind w:firstLine="420"/>
        <w:jc w:val="center"/>
        <w:rPr>
          <w:rFonts w:hint="eastAsia" w:ascii="宋体" w:hAnsi="宋体" w:cs="宋体"/>
          <w:color w:val="auto"/>
          <w:szCs w:val="21"/>
          <w:highlight w:val="none"/>
        </w:rPr>
      </w:pPr>
    </w:p>
    <w:p w14:paraId="289D1FF1">
      <w:pPr>
        <w:spacing w:line="360" w:lineRule="auto"/>
        <w:ind w:firstLine="420"/>
        <w:jc w:val="center"/>
        <w:rPr>
          <w:rFonts w:hint="eastAsia" w:ascii="宋体" w:hAnsi="宋体" w:cs="宋体"/>
          <w:color w:val="auto"/>
          <w:szCs w:val="21"/>
          <w:highlight w:val="none"/>
        </w:rPr>
      </w:pPr>
    </w:p>
    <w:p w14:paraId="66953470">
      <w:pPr>
        <w:spacing w:line="360" w:lineRule="auto"/>
        <w:ind w:firstLine="420"/>
        <w:jc w:val="center"/>
        <w:rPr>
          <w:rFonts w:hint="eastAsia" w:ascii="宋体" w:hAnsi="宋体" w:cs="宋体"/>
          <w:color w:val="auto"/>
          <w:szCs w:val="21"/>
          <w:highlight w:val="none"/>
        </w:rPr>
      </w:pPr>
    </w:p>
    <w:p w14:paraId="3EE596DC">
      <w:pPr>
        <w:tabs>
          <w:tab w:val="left" w:pos="3240"/>
        </w:tabs>
        <w:spacing w:before="156" w:beforeLines="50" w:after="156" w:afterLines="50" w:line="480" w:lineRule="auto"/>
        <w:ind w:firstLine="848" w:firstLineChars="303"/>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采购项目名称：</w:t>
      </w:r>
      <w:r>
        <w:rPr>
          <w:rFonts w:hint="eastAsia" w:ascii="宋体" w:hAnsi="宋体" w:cs="宋体"/>
          <w:color w:val="auto"/>
          <w:sz w:val="28"/>
          <w:szCs w:val="28"/>
          <w:highlight w:val="none"/>
          <w:u w:val="single"/>
        </w:rPr>
        <w:t xml:space="preserve">                                </w:t>
      </w:r>
    </w:p>
    <w:p w14:paraId="172395D6">
      <w:pPr>
        <w:spacing w:before="156" w:beforeLines="50" w:after="156" w:afterLines="50" w:line="480" w:lineRule="auto"/>
        <w:ind w:firstLine="848" w:firstLineChars="303"/>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采购项目编号：</w:t>
      </w:r>
      <w:r>
        <w:rPr>
          <w:rFonts w:hint="eastAsia" w:ascii="宋体" w:hAnsi="宋体" w:cs="宋体"/>
          <w:color w:val="auto"/>
          <w:sz w:val="28"/>
          <w:szCs w:val="28"/>
          <w:highlight w:val="none"/>
          <w:u w:val="single"/>
        </w:rPr>
        <w:t xml:space="preserve">                                </w:t>
      </w:r>
    </w:p>
    <w:p w14:paraId="380A1713">
      <w:pPr>
        <w:tabs>
          <w:tab w:val="left" w:pos="3240"/>
        </w:tabs>
        <w:spacing w:before="156" w:beforeLines="50" w:after="156" w:afterLines="50" w:line="480" w:lineRule="auto"/>
        <w:ind w:firstLine="848" w:firstLineChars="303"/>
        <w:jc w:val="left"/>
        <w:rPr>
          <w:rFonts w:ascii="宋体" w:hAnsi="宋体" w:cs="宋体"/>
          <w:color w:val="auto"/>
          <w:sz w:val="28"/>
          <w:szCs w:val="28"/>
          <w:highlight w:val="none"/>
        </w:rPr>
      </w:pPr>
      <w:r>
        <w:rPr>
          <w:rFonts w:hint="eastAsia" w:ascii="宋体" w:hAnsi="宋体" w:cs="宋体"/>
          <w:color w:val="auto"/>
          <w:sz w:val="28"/>
          <w:szCs w:val="28"/>
          <w:highlight w:val="none"/>
        </w:rPr>
        <w:t>分标号（如有）：</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0317821B">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1652A9C6">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供应商地址：</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p>
    <w:p w14:paraId="573D315C">
      <w:pPr>
        <w:tabs>
          <w:tab w:val="left" w:pos="3240"/>
        </w:tabs>
        <w:spacing w:before="156" w:beforeLines="50" w:after="156" w:afterLines="50" w:line="480" w:lineRule="auto"/>
        <w:ind w:firstLine="848" w:firstLineChars="303"/>
        <w:jc w:val="left"/>
        <w:rPr>
          <w:rFonts w:hint="eastAsia" w:ascii="宋体" w:hAnsi="宋体" w:cs="宋体"/>
          <w:color w:val="auto"/>
          <w:sz w:val="28"/>
          <w:szCs w:val="28"/>
          <w:highlight w:val="none"/>
        </w:rPr>
      </w:pPr>
    </w:p>
    <w:p w14:paraId="0C1C0D6D">
      <w:pPr>
        <w:tabs>
          <w:tab w:val="left" w:pos="2625"/>
        </w:tabs>
        <w:spacing w:line="360" w:lineRule="auto"/>
        <w:ind w:firstLine="560"/>
        <w:jc w:val="center"/>
        <w:rPr>
          <w:rFonts w:hint="eastAsia" w:ascii="宋体" w:hAnsi="宋体" w:cs="宋体"/>
          <w:color w:val="auto"/>
          <w:sz w:val="28"/>
          <w:szCs w:val="28"/>
          <w:highlight w:val="none"/>
        </w:rPr>
      </w:pPr>
    </w:p>
    <w:p w14:paraId="201DA872">
      <w:pPr>
        <w:spacing w:line="360" w:lineRule="auto"/>
        <w:ind w:firstLine="56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（供应商名称）</w:t>
      </w:r>
    </w:p>
    <w:p w14:paraId="4A2A36B5">
      <w:pPr>
        <w:wordWrap w:val="0"/>
        <w:spacing w:line="360" w:lineRule="auto"/>
        <w:ind w:right="420" w:firstLine="0" w:firstLineChars="0"/>
        <w:jc w:val="right"/>
        <w:rPr>
          <w:rFonts w:hint="eastAsia" w:ascii="宋体" w:hAnsi="宋体" w:cs="宋体"/>
          <w:color w:val="auto"/>
          <w:szCs w:val="21"/>
          <w:highlight w:val="none"/>
        </w:rPr>
      </w:pPr>
      <w:r>
        <w:rPr>
          <w:rFonts w:hint="eastAsia" w:ascii="宋体" w:hAnsi="宋体" w:cs="宋体"/>
          <w:color w:val="auto"/>
          <w:sz w:val="28"/>
          <w:szCs w:val="28"/>
          <w:highlight w:val="none"/>
        </w:rPr>
        <w:t>年     月    日</w:t>
      </w:r>
    </w:p>
    <w:p w14:paraId="26AE618C">
      <w:pPr>
        <w:spacing w:line="30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b/>
          <w:color w:val="auto"/>
          <w:szCs w:val="21"/>
          <w:highlight w:val="none"/>
        </w:rPr>
        <w:t>附件</w:t>
      </w:r>
    </w:p>
    <w:p w14:paraId="7C000076">
      <w:pPr>
        <w:pStyle w:val="26"/>
        <w:ind w:left="-10" w:firstLine="9" w:firstLineChars="3"/>
        <w:jc w:val="center"/>
        <w:rPr>
          <w:rFonts w:hAnsi="宋体" w:cs="宋体"/>
          <w:b/>
          <w:color w:val="auto"/>
          <w:sz w:val="32"/>
          <w:highlight w:val="none"/>
        </w:rPr>
      </w:pPr>
    </w:p>
    <w:p w14:paraId="7B2D2E98">
      <w:pPr>
        <w:pStyle w:val="26"/>
        <w:ind w:left="-10" w:firstLine="9" w:firstLineChars="3"/>
        <w:jc w:val="center"/>
        <w:rPr>
          <w:rFonts w:hint="eastAsia" w:hAnsi="宋体" w:cs="宋体"/>
          <w:b/>
          <w:color w:val="auto"/>
          <w:sz w:val="32"/>
          <w:highlight w:val="none"/>
        </w:rPr>
      </w:pPr>
    </w:p>
    <w:p w14:paraId="59113DE8">
      <w:pPr>
        <w:pStyle w:val="26"/>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hAnsi="宋体" w:cs="宋体"/>
          <w:b/>
          <w:color w:val="auto"/>
          <w:sz w:val="32"/>
          <w:highlight w:val="none"/>
        </w:rPr>
      </w:pPr>
      <w:r>
        <w:rPr>
          <w:rFonts w:hint="eastAsia" w:hAnsi="宋体" w:cs="宋体"/>
          <w:b/>
          <w:color w:val="auto"/>
          <w:sz w:val="32"/>
          <w:highlight w:val="none"/>
        </w:rPr>
        <w:t>法定代表人身份证明书（格式）</w:t>
      </w:r>
    </w:p>
    <w:p w14:paraId="699CA0DD">
      <w:pPr>
        <w:pStyle w:val="26"/>
        <w:spacing w:line="480" w:lineRule="auto"/>
        <w:ind w:firstLine="698" w:firstLineChars="349"/>
        <w:rPr>
          <w:rFonts w:hAnsi="宋体" w:cs="宋体"/>
          <w:color w:val="auto"/>
          <w:highlight w:val="none"/>
        </w:rPr>
      </w:pPr>
    </w:p>
    <w:p w14:paraId="695BD4D5">
      <w:pPr>
        <w:pStyle w:val="26"/>
        <w:spacing w:line="480" w:lineRule="auto"/>
        <w:ind w:firstLine="720" w:firstLineChars="300"/>
        <w:rPr>
          <w:rFonts w:hAnsi="宋体"/>
          <w:color w:val="auto"/>
          <w:sz w:val="24"/>
          <w:szCs w:val="24"/>
          <w:highlight w:val="none"/>
          <w:u w:val="single"/>
        </w:rPr>
      </w:pPr>
      <w:r>
        <w:rPr>
          <w:rFonts w:hint="eastAsia" w:hAnsi="宋体"/>
          <w:color w:val="auto"/>
          <w:sz w:val="24"/>
          <w:szCs w:val="24"/>
          <w:highlight w:val="none"/>
          <w:lang w:eastAsia="zh-CN"/>
        </w:rPr>
        <w:t>供 应 商</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p>
    <w:p w14:paraId="0B7447FF">
      <w:pPr>
        <w:pStyle w:val="26"/>
        <w:spacing w:line="480" w:lineRule="auto"/>
        <w:ind w:firstLine="720" w:firstLineChars="300"/>
        <w:rPr>
          <w:rFonts w:hint="eastAsia" w:hAnsi="宋体"/>
          <w:color w:val="auto"/>
          <w:sz w:val="24"/>
          <w:szCs w:val="24"/>
          <w:highlight w:val="none"/>
          <w:u w:val="single"/>
        </w:rPr>
      </w:pPr>
      <w:r>
        <w:rPr>
          <w:rFonts w:hint="eastAsia" w:hAnsi="宋体"/>
          <w:color w:val="auto"/>
          <w:sz w:val="24"/>
          <w:szCs w:val="24"/>
          <w:highlight w:val="none"/>
          <w:lang w:eastAsia="zh-CN"/>
        </w:rPr>
        <w:t xml:space="preserve">地 </w:t>
      </w:r>
      <w:r>
        <w:rPr>
          <w:rFonts w:hAnsi="宋体"/>
          <w:color w:val="auto"/>
          <w:sz w:val="24"/>
          <w:szCs w:val="24"/>
          <w:highlight w:val="none"/>
          <w:lang w:eastAsia="zh-CN"/>
        </w:rPr>
        <w:t xml:space="preserve">   </w:t>
      </w:r>
      <w:r>
        <w:rPr>
          <w:rFonts w:hint="eastAsia" w:hAnsi="宋体"/>
          <w:color w:val="auto"/>
          <w:sz w:val="24"/>
          <w:szCs w:val="24"/>
          <w:highlight w:val="none"/>
          <w:lang w:eastAsia="zh-CN"/>
        </w:rPr>
        <w:t>址</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14:paraId="04CA8F02">
      <w:pPr>
        <w:pStyle w:val="26"/>
        <w:spacing w:line="480" w:lineRule="auto"/>
        <w:ind w:firstLine="720" w:firstLineChars="300"/>
        <w:rPr>
          <w:rFonts w:hAnsi="宋体"/>
          <w:color w:val="auto"/>
          <w:sz w:val="24"/>
          <w:szCs w:val="24"/>
          <w:highlight w:val="none"/>
        </w:rPr>
      </w:pPr>
      <w:r>
        <w:rPr>
          <w:rFonts w:hint="eastAsia" w:hAnsi="宋体"/>
          <w:color w:val="auto"/>
          <w:sz w:val="24"/>
          <w:szCs w:val="24"/>
          <w:highlight w:val="none"/>
          <w:lang w:eastAsia="zh-CN"/>
        </w:rPr>
        <w:t xml:space="preserve">姓 </w:t>
      </w:r>
      <w:r>
        <w:rPr>
          <w:rFonts w:hAnsi="宋体"/>
          <w:color w:val="auto"/>
          <w:sz w:val="24"/>
          <w:szCs w:val="24"/>
          <w:highlight w:val="none"/>
          <w:lang w:eastAsia="zh-CN"/>
        </w:rPr>
        <w:t xml:space="preserve">   </w:t>
      </w:r>
      <w:r>
        <w:rPr>
          <w:rFonts w:hint="eastAsia" w:hAnsi="宋体"/>
          <w:color w:val="auto"/>
          <w:sz w:val="24"/>
          <w:szCs w:val="24"/>
          <w:highlight w:val="none"/>
          <w:lang w:eastAsia="zh-CN"/>
        </w:rPr>
        <w:t>名</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lang w:eastAsia="zh-CN"/>
        </w:rPr>
        <w:t xml:space="preserve">性 </w:t>
      </w:r>
      <w:r>
        <w:rPr>
          <w:rFonts w:hAnsi="宋体"/>
          <w:color w:val="auto"/>
          <w:sz w:val="24"/>
          <w:szCs w:val="24"/>
          <w:highlight w:val="none"/>
          <w:lang w:eastAsia="zh-CN"/>
        </w:rPr>
        <w:t xml:space="preserve">    </w:t>
      </w:r>
      <w:r>
        <w:rPr>
          <w:rFonts w:hint="eastAsia" w:hAnsi="宋体"/>
          <w:color w:val="auto"/>
          <w:sz w:val="24"/>
          <w:szCs w:val="24"/>
          <w:highlight w:val="none"/>
          <w:lang w:eastAsia="zh-CN"/>
        </w:rPr>
        <w:t>别：</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14:paraId="37F8B9AD">
      <w:pPr>
        <w:pStyle w:val="26"/>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lang w:eastAsia="zh-CN"/>
        </w:rPr>
        <w:t xml:space="preserve">年 </w:t>
      </w:r>
      <w:r>
        <w:rPr>
          <w:rFonts w:hAnsi="宋体"/>
          <w:color w:val="auto"/>
          <w:sz w:val="24"/>
          <w:szCs w:val="24"/>
          <w:highlight w:val="none"/>
          <w:lang w:eastAsia="zh-CN"/>
        </w:rPr>
        <w:t xml:space="preserve">   </w:t>
      </w:r>
      <w:r>
        <w:rPr>
          <w:rFonts w:hint="eastAsia" w:hAnsi="宋体"/>
          <w:color w:val="auto"/>
          <w:sz w:val="24"/>
          <w:szCs w:val="24"/>
          <w:highlight w:val="none"/>
          <w:lang w:eastAsia="zh-CN"/>
        </w:rPr>
        <w:t>龄</w:t>
      </w:r>
      <w:r>
        <w:rPr>
          <w:rFonts w:hint="eastAsia" w:hAnsi="宋体"/>
          <w:color w:val="auto"/>
          <w:sz w:val="24"/>
          <w:szCs w:val="24"/>
          <w:highlight w:val="none"/>
        </w:rPr>
        <w:t>：</w:t>
      </w:r>
      <w:r>
        <w:rPr>
          <w:rFonts w:hint="eastAsia" w:hAnsi="宋体"/>
          <w:color w:val="auto"/>
          <w:sz w:val="24"/>
          <w:szCs w:val="24"/>
          <w:highlight w:val="none"/>
          <w:u w:val="single"/>
        </w:rPr>
        <w:t xml:space="preserve">                  </w:t>
      </w:r>
      <w:r>
        <w:rPr>
          <w:rFonts w:hAnsi="宋体"/>
          <w:color w:val="auto"/>
          <w:sz w:val="24"/>
          <w:szCs w:val="24"/>
          <w:highlight w:val="none"/>
        </w:rPr>
        <w:t xml:space="preserve">     </w:t>
      </w:r>
      <w:r>
        <w:rPr>
          <w:rFonts w:hint="eastAsia" w:hAnsi="宋体"/>
          <w:color w:val="auto"/>
          <w:sz w:val="24"/>
          <w:szCs w:val="24"/>
          <w:highlight w:val="none"/>
          <w:lang w:eastAsia="zh-CN"/>
        </w:rPr>
        <w:t xml:space="preserve">职 </w:t>
      </w:r>
      <w:r>
        <w:rPr>
          <w:rFonts w:hAnsi="宋体"/>
          <w:color w:val="auto"/>
          <w:sz w:val="24"/>
          <w:szCs w:val="24"/>
          <w:highlight w:val="none"/>
          <w:lang w:eastAsia="zh-CN"/>
        </w:rPr>
        <w:t xml:space="preserve">    </w:t>
      </w:r>
      <w:r>
        <w:rPr>
          <w:rFonts w:hint="eastAsia" w:hAnsi="宋体"/>
          <w:color w:val="auto"/>
          <w:sz w:val="24"/>
          <w:szCs w:val="24"/>
          <w:highlight w:val="none"/>
          <w:lang w:eastAsia="zh-CN"/>
        </w:rPr>
        <w:t>务：</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p>
    <w:p w14:paraId="560EFD2F">
      <w:pPr>
        <w:pStyle w:val="26"/>
        <w:spacing w:line="480" w:lineRule="auto"/>
        <w:ind w:firstLine="720" w:firstLineChars="300"/>
        <w:rPr>
          <w:rFonts w:hint="eastAsia" w:hAnsi="宋体"/>
          <w:color w:val="auto"/>
          <w:sz w:val="24"/>
          <w:szCs w:val="24"/>
          <w:highlight w:val="none"/>
        </w:rPr>
      </w:pPr>
      <w:r>
        <w:rPr>
          <w:rFonts w:hint="eastAsia" w:hAnsi="宋体"/>
          <w:color w:val="auto"/>
          <w:sz w:val="24"/>
          <w:szCs w:val="24"/>
          <w:highlight w:val="none"/>
        </w:rPr>
        <w:t>系</w:t>
      </w:r>
      <w:r>
        <w:rPr>
          <w:rFonts w:hint="eastAsia" w:hAnsi="宋体"/>
          <w:color w:val="auto"/>
          <w:sz w:val="24"/>
          <w:szCs w:val="24"/>
          <w:highlight w:val="none"/>
          <w:u w:val="single"/>
        </w:rPr>
        <w:t xml:space="preserve">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供应商</w:t>
      </w:r>
      <w:r>
        <w:rPr>
          <w:rFonts w:hint="eastAsia" w:hAnsi="宋体"/>
          <w:color w:val="auto"/>
          <w:sz w:val="24"/>
          <w:szCs w:val="24"/>
          <w:highlight w:val="none"/>
          <w:u w:val="single"/>
        </w:rPr>
        <w:t xml:space="preserve">单位名称） </w:t>
      </w:r>
      <w:r>
        <w:rPr>
          <w:rFonts w:hAnsi="宋体"/>
          <w:color w:val="auto"/>
          <w:sz w:val="24"/>
          <w:szCs w:val="24"/>
          <w:highlight w:val="none"/>
          <w:u w:val="single"/>
        </w:rPr>
        <w:t xml:space="preserve">              </w:t>
      </w:r>
      <w:r>
        <w:rPr>
          <w:rFonts w:hint="eastAsia" w:hAnsi="宋体"/>
          <w:color w:val="auto"/>
          <w:sz w:val="24"/>
          <w:szCs w:val="24"/>
          <w:highlight w:val="none"/>
          <w:u w:val="single"/>
        </w:rPr>
        <w:t xml:space="preserve"> </w:t>
      </w:r>
      <w:r>
        <w:rPr>
          <w:rFonts w:hint="eastAsia" w:hAnsi="宋体"/>
          <w:color w:val="auto"/>
          <w:sz w:val="24"/>
          <w:szCs w:val="24"/>
          <w:highlight w:val="none"/>
        </w:rPr>
        <w:t>的法定代表人。</w:t>
      </w:r>
    </w:p>
    <w:p w14:paraId="6E90AB9E">
      <w:pPr>
        <w:pStyle w:val="26"/>
        <w:spacing w:line="480" w:lineRule="auto"/>
        <w:ind w:firstLine="720" w:firstLineChars="300"/>
        <w:rPr>
          <w:rFonts w:hAnsi="宋体"/>
          <w:color w:val="auto"/>
          <w:sz w:val="24"/>
          <w:szCs w:val="24"/>
          <w:highlight w:val="none"/>
        </w:rPr>
      </w:pPr>
      <w:r>
        <w:rPr>
          <w:rFonts w:hint="eastAsia" w:hAnsi="宋体"/>
          <w:color w:val="auto"/>
          <w:sz w:val="24"/>
          <w:szCs w:val="24"/>
          <w:highlight w:val="none"/>
        </w:rPr>
        <w:t>特此证明。</w:t>
      </w:r>
    </w:p>
    <w:p w14:paraId="5C846072">
      <w:pPr>
        <w:pStyle w:val="26"/>
        <w:spacing w:line="480" w:lineRule="auto"/>
        <w:ind w:firstLine="720" w:firstLineChars="300"/>
        <w:rPr>
          <w:rFonts w:hAnsi="宋体"/>
          <w:color w:val="auto"/>
          <w:sz w:val="24"/>
          <w:szCs w:val="24"/>
          <w:highlight w:val="none"/>
        </w:rPr>
      </w:pPr>
    </w:p>
    <w:p w14:paraId="4F8E2EFE">
      <w:pPr>
        <w:pStyle w:val="26"/>
        <w:spacing w:line="480" w:lineRule="auto"/>
        <w:ind w:firstLine="840" w:firstLineChars="300"/>
        <w:rPr>
          <w:rFonts w:hAnsi="宋体"/>
          <w:color w:val="auto"/>
          <w:sz w:val="24"/>
          <w:szCs w:val="24"/>
          <w:highlight w:val="none"/>
        </w:rPr>
      </w:pPr>
      <w:r>
        <w:rPr>
          <w:b/>
          <w:color w:val="auto"/>
          <w:sz w:val="28"/>
          <w:szCs w:val="28"/>
          <w:highlight w:val="none"/>
        </w:rPr>
        <w:t>附件：法定代表人有效身份证正反面复印件</w:t>
      </w:r>
    </w:p>
    <w:p w14:paraId="14FB8ABD">
      <w:pPr>
        <w:pStyle w:val="26"/>
        <w:tabs>
          <w:tab w:val="left" w:pos="5529"/>
        </w:tabs>
        <w:wordWrap w:val="0"/>
        <w:ind w:firstLine="3968" w:firstLineChars="1890"/>
        <w:rPr>
          <w:rFonts w:hAnsi="宋体"/>
          <w:color w:val="auto"/>
          <w:kern w:val="2"/>
          <w:sz w:val="21"/>
          <w:highlight w:val="none"/>
          <w:lang w:val="en-US" w:eastAsia="zh-CN"/>
        </w:rPr>
      </w:pPr>
    </w:p>
    <w:p w14:paraId="5094E4B2">
      <w:pPr>
        <w:pStyle w:val="26"/>
        <w:tabs>
          <w:tab w:val="left" w:pos="5529"/>
        </w:tabs>
        <w:wordWrap w:val="0"/>
        <w:ind w:firstLine="4389" w:firstLineChars="2090"/>
        <w:rPr>
          <w:rFonts w:hAnsi="宋体"/>
          <w:color w:val="auto"/>
          <w:kern w:val="2"/>
          <w:sz w:val="21"/>
          <w:highlight w:val="none"/>
          <w:lang w:val="en-US" w:eastAsia="zh-CN"/>
        </w:rPr>
      </w:pPr>
    </w:p>
    <w:p w14:paraId="2BF876E2">
      <w:pPr>
        <w:pStyle w:val="26"/>
        <w:tabs>
          <w:tab w:val="left" w:pos="5529"/>
        </w:tabs>
        <w:wordWrap w:val="0"/>
        <w:ind w:firstLine="4389" w:firstLineChars="2090"/>
        <w:rPr>
          <w:rFonts w:hint="eastAsia" w:hAnsi="宋体"/>
          <w:color w:val="auto"/>
          <w:kern w:val="2"/>
          <w:sz w:val="21"/>
          <w:highlight w:val="none"/>
          <w:lang w:val="en-US" w:eastAsia="zh-CN"/>
        </w:rPr>
      </w:pPr>
    </w:p>
    <w:p w14:paraId="30CC9D09">
      <w:pPr>
        <w:pStyle w:val="26"/>
        <w:tabs>
          <w:tab w:val="left" w:pos="5529"/>
        </w:tabs>
        <w:wordWrap w:val="0"/>
        <w:ind w:firstLine="4389" w:firstLineChars="2090"/>
        <w:rPr>
          <w:rFonts w:hAnsi="宋体"/>
          <w:color w:val="auto"/>
          <w:kern w:val="2"/>
          <w:sz w:val="21"/>
          <w:highlight w:val="none"/>
          <w:lang w:val="en-US" w:eastAsia="zh-CN"/>
        </w:rPr>
      </w:pPr>
    </w:p>
    <w:p w14:paraId="022F3FAE">
      <w:pPr>
        <w:pStyle w:val="26"/>
        <w:tabs>
          <w:tab w:val="left" w:pos="5529"/>
        </w:tabs>
        <w:wordWrap w:val="0"/>
        <w:ind w:firstLine="4560" w:firstLineChars="1900"/>
        <w:rPr>
          <w:rFonts w:hint="eastAsia" w:hAnsi="宋体"/>
          <w:color w:val="auto"/>
          <w:kern w:val="2"/>
          <w:sz w:val="24"/>
          <w:szCs w:val="24"/>
          <w:highlight w:val="none"/>
          <w:u w:val="single"/>
          <w:lang w:val="en-US" w:eastAsia="zh-CN"/>
        </w:rPr>
      </w:pPr>
      <w:r>
        <w:rPr>
          <w:rFonts w:hint="eastAsia" w:hAnsi="宋体"/>
          <w:color w:val="auto"/>
          <w:kern w:val="2"/>
          <w:sz w:val="24"/>
          <w:szCs w:val="24"/>
          <w:highlight w:val="none"/>
          <w:lang w:val="en-US" w:eastAsia="zh-CN"/>
        </w:rPr>
        <w:t xml:space="preserve">供应商名称（电子公章）： </w:t>
      </w:r>
      <w:r>
        <w:rPr>
          <w:rFonts w:hint="eastAsia" w:hAnsi="宋体"/>
          <w:color w:val="auto"/>
          <w:sz w:val="24"/>
          <w:szCs w:val="24"/>
          <w:highlight w:val="none"/>
          <w:u w:val="single"/>
        </w:rPr>
        <w:t xml:space="preserve">                </w:t>
      </w:r>
    </w:p>
    <w:p w14:paraId="13735071">
      <w:pPr>
        <w:pStyle w:val="26"/>
        <w:tabs>
          <w:tab w:val="left" w:pos="5529"/>
        </w:tabs>
        <w:wordWrap w:val="0"/>
        <w:ind w:firstLine="4536" w:firstLineChars="1890"/>
        <w:rPr>
          <w:rFonts w:hAnsi="宋体"/>
          <w:color w:val="auto"/>
          <w:kern w:val="2"/>
          <w:sz w:val="24"/>
          <w:szCs w:val="24"/>
          <w:highlight w:val="none"/>
          <w:lang w:val="en-US" w:eastAsia="zh-CN"/>
        </w:rPr>
      </w:pPr>
      <w:r>
        <w:rPr>
          <w:rFonts w:hint="eastAsia" w:hAnsi="宋体"/>
          <w:color w:val="auto"/>
          <w:kern w:val="2"/>
          <w:sz w:val="24"/>
          <w:szCs w:val="24"/>
          <w:highlight w:val="none"/>
          <w:lang w:val="en-US" w:eastAsia="zh-CN"/>
        </w:rPr>
        <w:t xml:space="preserve">                                 </w:t>
      </w:r>
    </w:p>
    <w:p w14:paraId="723CC7BA">
      <w:pPr>
        <w:pStyle w:val="26"/>
        <w:tabs>
          <w:tab w:val="left" w:pos="5529"/>
        </w:tabs>
        <w:ind w:right="120" w:firstLine="4536" w:firstLineChars="1890"/>
        <w:jc w:val="right"/>
        <w:rPr>
          <w:color w:val="auto"/>
          <w:sz w:val="24"/>
          <w:szCs w:val="24"/>
          <w:highlight w:val="none"/>
        </w:rPr>
      </w:pPr>
      <w:r>
        <w:rPr>
          <w:color w:val="auto"/>
          <w:sz w:val="24"/>
          <w:szCs w:val="24"/>
          <w:highlight w:val="none"/>
        </w:rPr>
        <w:t>年    月    日</w:t>
      </w:r>
    </w:p>
    <w:p w14:paraId="6D86921A">
      <w:pPr>
        <w:pStyle w:val="26"/>
        <w:tabs>
          <w:tab w:val="left" w:pos="5529"/>
        </w:tabs>
        <w:ind w:right="120" w:firstLine="4536" w:firstLineChars="1890"/>
        <w:jc w:val="right"/>
        <w:rPr>
          <w:color w:val="auto"/>
          <w:sz w:val="24"/>
          <w:szCs w:val="24"/>
          <w:highlight w:val="none"/>
        </w:rPr>
      </w:pPr>
    </w:p>
    <w:p w14:paraId="2D59C8F7">
      <w:pPr>
        <w:pStyle w:val="26"/>
        <w:tabs>
          <w:tab w:val="left" w:pos="5529"/>
        </w:tabs>
        <w:ind w:right="120" w:firstLine="4536" w:firstLineChars="1890"/>
        <w:jc w:val="right"/>
        <w:rPr>
          <w:color w:val="auto"/>
          <w:sz w:val="24"/>
          <w:szCs w:val="24"/>
          <w:highlight w:val="none"/>
        </w:rPr>
      </w:pPr>
    </w:p>
    <w:p w14:paraId="1C9A34DE">
      <w:pPr>
        <w:pStyle w:val="26"/>
        <w:tabs>
          <w:tab w:val="left" w:pos="5529"/>
        </w:tabs>
        <w:ind w:right="120" w:firstLine="480"/>
        <w:rPr>
          <w:color w:val="auto"/>
          <w:sz w:val="24"/>
          <w:szCs w:val="24"/>
          <w:highlight w:val="none"/>
        </w:rPr>
      </w:pPr>
    </w:p>
    <w:p w14:paraId="54F00E50">
      <w:pPr>
        <w:pStyle w:val="26"/>
        <w:tabs>
          <w:tab w:val="left" w:pos="5529"/>
        </w:tabs>
        <w:ind w:right="120" w:firstLine="482"/>
        <w:rPr>
          <w:b/>
          <w:color w:val="auto"/>
          <w:sz w:val="24"/>
          <w:szCs w:val="24"/>
          <w:highlight w:val="none"/>
        </w:rPr>
      </w:pPr>
      <w:r>
        <w:rPr>
          <w:rFonts w:hint="eastAsia"/>
          <w:b/>
          <w:color w:val="auto"/>
          <w:sz w:val="24"/>
          <w:szCs w:val="24"/>
          <w:highlight w:val="none"/>
        </w:rPr>
        <w:t>注：自然人</w:t>
      </w:r>
      <w:r>
        <w:rPr>
          <w:rFonts w:hint="eastAsia"/>
          <w:b/>
          <w:color w:val="auto"/>
          <w:sz w:val="24"/>
          <w:szCs w:val="24"/>
          <w:highlight w:val="none"/>
          <w:lang w:eastAsia="zh-CN"/>
        </w:rPr>
        <w:t>竞</w:t>
      </w:r>
      <w:r>
        <w:rPr>
          <w:rFonts w:hint="eastAsia"/>
          <w:b/>
          <w:color w:val="auto"/>
          <w:sz w:val="24"/>
          <w:szCs w:val="24"/>
          <w:highlight w:val="none"/>
        </w:rPr>
        <w:t>标的无需提供</w:t>
      </w:r>
    </w:p>
    <w:p w14:paraId="1D349807">
      <w:pPr>
        <w:spacing w:line="300" w:lineRule="auto"/>
        <w:ind w:firstLine="0" w:firstLineChars="0"/>
        <w:rPr>
          <w:rFonts w:ascii="宋体" w:hAnsi="宋体" w:cs="宋体"/>
          <w:b/>
          <w:color w:val="auto"/>
          <w:szCs w:val="21"/>
          <w:highlight w:val="none"/>
        </w:rPr>
      </w:pPr>
    </w:p>
    <w:p w14:paraId="1CC2D7C6">
      <w:pPr>
        <w:spacing w:line="300" w:lineRule="auto"/>
        <w:ind w:firstLine="0" w:firstLineChars="0"/>
        <w:rPr>
          <w:rFonts w:ascii="宋体" w:hAnsi="宋体" w:cs="宋体"/>
          <w:b/>
          <w:color w:val="auto"/>
          <w:szCs w:val="21"/>
          <w:highlight w:val="none"/>
        </w:rPr>
      </w:pPr>
    </w:p>
    <w:p w14:paraId="7A37D149">
      <w:pPr>
        <w:spacing w:line="300" w:lineRule="auto"/>
        <w:ind w:firstLine="0" w:firstLineChars="0"/>
        <w:rPr>
          <w:rFonts w:ascii="宋体" w:hAnsi="宋体" w:cs="宋体"/>
          <w:b/>
          <w:color w:val="auto"/>
          <w:szCs w:val="21"/>
          <w:highlight w:val="none"/>
        </w:rPr>
      </w:pPr>
    </w:p>
    <w:p w14:paraId="2B82A2D7">
      <w:pPr>
        <w:spacing w:line="300" w:lineRule="auto"/>
        <w:ind w:firstLine="0" w:firstLineChars="0"/>
        <w:rPr>
          <w:rFonts w:ascii="宋体" w:hAnsi="宋体" w:cs="宋体"/>
          <w:b/>
          <w:color w:val="auto"/>
          <w:szCs w:val="21"/>
          <w:highlight w:val="none"/>
        </w:rPr>
      </w:pPr>
    </w:p>
    <w:p w14:paraId="7493DCE0">
      <w:pPr>
        <w:spacing w:line="300" w:lineRule="auto"/>
        <w:ind w:firstLine="0" w:firstLineChars="0"/>
        <w:rPr>
          <w:rFonts w:ascii="宋体" w:hAnsi="宋体" w:cs="宋体"/>
          <w:b/>
          <w:color w:val="auto"/>
          <w:szCs w:val="21"/>
          <w:highlight w:val="none"/>
        </w:rPr>
      </w:pPr>
    </w:p>
    <w:p w14:paraId="5238042E">
      <w:pPr>
        <w:spacing w:line="300" w:lineRule="auto"/>
        <w:ind w:firstLine="0" w:firstLineChars="0"/>
        <w:rPr>
          <w:rFonts w:ascii="宋体" w:hAnsi="宋体" w:cs="宋体"/>
          <w:b/>
          <w:color w:val="auto"/>
          <w:szCs w:val="21"/>
          <w:highlight w:val="none"/>
        </w:rPr>
      </w:pPr>
    </w:p>
    <w:p w14:paraId="1CBE3680">
      <w:pPr>
        <w:spacing w:line="300" w:lineRule="auto"/>
        <w:ind w:firstLine="0" w:firstLineChars="0"/>
        <w:rPr>
          <w:rFonts w:ascii="宋体" w:hAnsi="宋体" w:cs="宋体"/>
          <w:b/>
          <w:color w:val="auto"/>
          <w:szCs w:val="21"/>
          <w:highlight w:val="none"/>
        </w:rPr>
      </w:pPr>
    </w:p>
    <w:p w14:paraId="2F9F7566">
      <w:pPr>
        <w:spacing w:line="300" w:lineRule="auto"/>
        <w:ind w:firstLine="0" w:firstLineChars="0"/>
        <w:rPr>
          <w:rFonts w:ascii="宋体" w:hAnsi="宋体" w:cs="宋体"/>
          <w:b/>
          <w:color w:val="auto"/>
          <w:szCs w:val="21"/>
          <w:highlight w:val="none"/>
        </w:rPr>
      </w:pPr>
    </w:p>
    <w:p w14:paraId="5079BDFA">
      <w:pPr>
        <w:spacing w:line="300" w:lineRule="auto"/>
        <w:ind w:firstLine="0" w:firstLineChars="0"/>
        <w:rPr>
          <w:rFonts w:ascii="宋体" w:hAnsi="宋体" w:cs="宋体"/>
          <w:b/>
          <w:color w:val="auto"/>
          <w:szCs w:val="21"/>
          <w:highlight w:val="none"/>
        </w:rPr>
      </w:pPr>
    </w:p>
    <w:p w14:paraId="11A20ECC">
      <w:pPr>
        <w:spacing w:line="300" w:lineRule="auto"/>
        <w:ind w:firstLine="0" w:firstLineChars="0"/>
        <w:rPr>
          <w:rFonts w:ascii="宋体" w:hAnsi="宋体" w:cs="宋体"/>
          <w:b/>
          <w:color w:val="auto"/>
          <w:szCs w:val="21"/>
          <w:highlight w:val="none"/>
        </w:rPr>
      </w:pPr>
    </w:p>
    <w:p w14:paraId="34C4EB70">
      <w:pPr>
        <w:spacing w:line="300" w:lineRule="auto"/>
        <w:ind w:firstLine="0" w:firstLineChars="0"/>
        <w:rPr>
          <w:rFonts w:hint="eastAsia" w:ascii="宋体" w:hAnsi="宋体" w:cs="宋体"/>
          <w:color w:val="auto"/>
          <w:highlight w:val="none"/>
        </w:rPr>
      </w:pPr>
      <w:r>
        <w:rPr>
          <w:rFonts w:hint="eastAsia" w:ascii="宋体" w:hAnsi="宋体" w:cs="宋体"/>
          <w:b/>
          <w:color w:val="auto"/>
          <w:szCs w:val="21"/>
          <w:highlight w:val="none"/>
        </w:rPr>
        <w:t>附件</w:t>
      </w:r>
    </w:p>
    <w:p w14:paraId="0FB21A33">
      <w:pPr>
        <w:pStyle w:val="26"/>
        <w:ind w:left="-10" w:firstLine="9" w:firstLineChars="3"/>
        <w:jc w:val="center"/>
        <w:rPr>
          <w:rFonts w:hint="eastAsia" w:hAnsi="宋体" w:cs="宋体"/>
          <w:b/>
          <w:color w:val="auto"/>
          <w:sz w:val="32"/>
          <w:highlight w:val="none"/>
        </w:rPr>
      </w:pPr>
    </w:p>
    <w:p w14:paraId="0E9F83C1">
      <w:pPr>
        <w:pStyle w:val="26"/>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hAnsi="宋体" w:cs="宋体"/>
          <w:b/>
          <w:color w:val="auto"/>
          <w:sz w:val="32"/>
          <w:highlight w:val="none"/>
        </w:rPr>
      </w:pPr>
      <w:r>
        <w:rPr>
          <w:rFonts w:hint="eastAsia" w:hAnsi="宋体" w:cs="宋体"/>
          <w:b/>
          <w:color w:val="auto"/>
          <w:sz w:val="32"/>
          <w:highlight w:val="none"/>
        </w:rPr>
        <w:t>法定代表人授权委托书（格式）</w:t>
      </w:r>
    </w:p>
    <w:p w14:paraId="01B54993">
      <w:pPr>
        <w:pStyle w:val="26"/>
        <w:ind w:left="-10" w:firstLine="9" w:firstLineChars="3"/>
        <w:jc w:val="center"/>
        <w:rPr>
          <w:rFonts w:hint="eastAsia" w:hAnsi="宋体" w:cs="宋体"/>
          <w:b/>
          <w:color w:val="auto"/>
          <w:sz w:val="32"/>
          <w:highlight w:val="none"/>
        </w:rPr>
      </w:pPr>
    </w:p>
    <w:p w14:paraId="5858D507">
      <w:pPr>
        <w:snapToGrid w:val="0"/>
        <w:spacing w:line="360" w:lineRule="auto"/>
        <w:ind w:firstLine="420"/>
        <w:rPr>
          <w:rFonts w:hint="eastAsia" w:ascii="宋体" w:hAnsi="宋体" w:cs="宋体"/>
          <w:bCs/>
          <w:color w:val="auto"/>
          <w:szCs w:val="21"/>
          <w:highlight w:val="none"/>
        </w:rPr>
      </w:pPr>
    </w:p>
    <w:p w14:paraId="5CA942BB">
      <w:pPr>
        <w:snapToGrid w:val="0"/>
        <w:spacing w:line="480" w:lineRule="auto"/>
        <w:ind w:firstLine="0" w:firstLineChars="0"/>
        <w:rPr>
          <w:rFonts w:hint="eastAsia"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（采购人、代理机构名称）：</w:t>
      </w:r>
    </w:p>
    <w:p w14:paraId="54BA7E34">
      <w:pPr>
        <w:snapToGrid w:val="0"/>
        <w:spacing w:line="480" w:lineRule="auto"/>
        <w:ind w:firstLine="484" w:firstLineChars="202"/>
        <w:rPr>
          <w:rFonts w:hint="eastAsia" w:ascii="宋体" w:hAnsi="宋体" w:cs="宋体"/>
          <w:color w:val="auto"/>
          <w:sz w:val="24"/>
          <w:highlight w:val="none"/>
        </w:rPr>
      </w:pPr>
      <w:r>
        <w:rPr>
          <w:rFonts w:hint="eastAsia" w:ascii="宋体" w:hAnsi="宋体" w:cs="宋体"/>
          <w:color w:val="auto"/>
          <w:sz w:val="24"/>
          <w:highlight w:val="none"/>
        </w:rPr>
        <w:t xml:space="preserve">我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项目的磋商活动，并代表我方全权办理针对上述项目的递交文件、磋商、澄清、签约等具体事务和签署相关文件。</w:t>
      </w:r>
    </w:p>
    <w:p w14:paraId="6267A231">
      <w:pPr>
        <w:snapToGrid w:val="0"/>
        <w:spacing w:line="480" w:lineRule="auto"/>
        <w:ind w:firstLine="480"/>
        <w:rPr>
          <w:rFonts w:ascii="宋体" w:hAnsi="宋体" w:cs="宋体"/>
          <w:color w:val="auto"/>
          <w:sz w:val="24"/>
          <w:highlight w:val="none"/>
        </w:rPr>
      </w:pPr>
      <w:r>
        <w:rPr>
          <w:rFonts w:hint="eastAsia" w:ascii="宋体" w:hAnsi="宋体" w:cs="宋体"/>
          <w:color w:val="auto"/>
          <w:sz w:val="24"/>
          <w:highlight w:val="none"/>
        </w:rPr>
        <w:t>我方对被授权人的签字或者电子签名或者加盖电子印章事项负全部责任。</w:t>
      </w:r>
    </w:p>
    <w:p w14:paraId="7038E916">
      <w:pPr>
        <w:snapToGrid w:val="0"/>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752850C6">
      <w:pPr>
        <w:snapToGrid w:val="0"/>
        <w:spacing w:line="480" w:lineRule="auto"/>
        <w:ind w:firstLine="480"/>
        <w:rPr>
          <w:rFonts w:hint="eastAsia" w:ascii="宋体" w:hAnsi="宋体" w:cs="宋体"/>
          <w:color w:val="auto"/>
          <w:sz w:val="24"/>
          <w:highlight w:val="none"/>
        </w:rPr>
      </w:pPr>
      <w:r>
        <w:rPr>
          <w:rFonts w:hint="eastAsia" w:ascii="宋体" w:hAnsi="宋体" w:cs="宋体"/>
          <w:color w:val="auto"/>
          <w:sz w:val="24"/>
          <w:highlight w:val="none"/>
        </w:rPr>
        <w:t>被授权人无转委托权，特此委托。</w:t>
      </w:r>
    </w:p>
    <w:p w14:paraId="73E02096">
      <w:pPr>
        <w:snapToGrid w:val="0"/>
        <w:spacing w:line="360" w:lineRule="auto"/>
        <w:ind w:firstLine="480"/>
        <w:rPr>
          <w:rFonts w:hint="eastAsia" w:ascii="宋体" w:hAnsi="宋体" w:cs="宋体"/>
          <w:color w:val="auto"/>
          <w:sz w:val="24"/>
          <w:highlight w:val="none"/>
        </w:rPr>
      </w:pPr>
    </w:p>
    <w:p w14:paraId="02619DEE">
      <w:pPr>
        <w:pStyle w:val="59"/>
        <w:spacing w:line="480" w:lineRule="auto"/>
        <w:ind w:firstLine="562"/>
        <w:rPr>
          <w:rFonts w:hint="eastAsia"/>
          <w:b/>
          <w:color w:val="auto"/>
          <w:sz w:val="28"/>
          <w:szCs w:val="28"/>
          <w:highlight w:val="none"/>
        </w:rPr>
      </w:pPr>
      <w:r>
        <w:rPr>
          <w:b/>
          <w:color w:val="auto"/>
          <w:sz w:val="28"/>
          <w:szCs w:val="28"/>
          <w:highlight w:val="none"/>
        </w:rPr>
        <w:t>附件：委托代理人有效身份证正反面复印件</w:t>
      </w:r>
    </w:p>
    <w:p w14:paraId="1565BC90">
      <w:pPr>
        <w:pStyle w:val="26"/>
        <w:spacing w:line="480" w:lineRule="auto"/>
        <w:ind w:firstLine="482"/>
        <w:rPr>
          <w:rFonts w:hAnsi="宋体"/>
          <w:b/>
          <w:color w:val="auto"/>
          <w:sz w:val="24"/>
          <w:szCs w:val="24"/>
          <w:highlight w:val="none"/>
        </w:rPr>
      </w:pPr>
    </w:p>
    <w:p w14:paraId="69123F71">
      <w:pPr>
        <w:pStyle w:val="26"/>
        <w:spacing w:line="480" w:lineRule="auto"/>
        <w:ind w:firstLine="480"/>
        <w:rPr>
          <w:color w:val="auto"/>
          <w:sz w:val="24"/>
          <w:szCs w:val="24"/>
          <w:highlight w:val="none"/>
        </w:rPr>
      </w:pPr>
      <w:r>
        <w:rPr>
          <w:color w:val="auto"/>
          <w:sz w:val="24"/>
          <w:szCs w:val="24"/>
          <w:highlight w:val="none"/>
        </w:rPr>
        <w:t>法定代表人（</w:t>
      </w:r>
      <w:r>
        <w:rPr>
          <w:rFonts w:hint="eastAsia"/>
          <w:color w:val="auto"/>
          <w:sz w:val="24"/>
          <w:szCs w:val="24"/>
          <w:highlight w:val="none"/>
        </w:rPr>
        <w:t>签字或者电子签名或者加盖电子印章</w:t>
      </w:r>
      <w:r>
        <w:rPr>
          <w:color w:val="auto"/>
          <w:sz w:val="24"/>
          <w:szCs w:val="24"/>
          <w:highlight w:val="none"/>
        </w:rPr>
        <w:t>）：</w:t>
      </w:r>
      <w:r>
        <w:rPr>
          <w:color w:val="auto"/>
          <w:sz w:val="24"/>
          <w:szCs w:val="24"/>
          <w:highlight w:val="none"/>
          <w:u w:val="single"/>
          <w:lang w:eastAsia="zh-CN"/>
        </w:rPr>
        <w:t xml:space="preserve">                      </w:t>
      </w:r>
    </w:p>
    <w:p w14:paraId="444EC21E">
      <w:pPr>
        <w:pStyle w:val="26"/>
        <w:spacing w:line="480" w:lineRule="auto"/>
        <w:ind w:firstLine="480"/>
        <w:rPr>
          <w:color w:val="auto"/>
          <w:sz w:val="24"/>
          <w:szCs w:val="24"/>
          <w:highlight w:val="none"/>
        </w:rPr>
      </w:pPr>
      <w:r>
        <w:rPr>
          <w:color w:val="auto"/>
          <w:sz w:val="24"/>
          <w:szCs w:val="24"/>
          <w:highlight w:val="none"/>
        </w:rPr>
        <w:t>委托代理人（</w:t>
      </w:r>
      <w:r>
        <w:rPr>
          <w:rFonts w:hint="eastAsia"/>
          <w:color w:val="auto"/>
          <w:sz w:val="24"/>
          <w:szCs w:val="24"/>
          <w:highlight w:val="none"/>
        </w:rPr>
        <w:t>签字或者电子签名或者加盖电子印章</w:t>
      </w:r>
      <w:r>
        <w:rPr>
          <w:color w:val="auto"/>
          <w:sz w:val="24"/>
          <w:szCs w:val="24"/>
          <w:highlight w:val="none"/>
        </w:rPr>
        <w:t>）：</w:t>
      </w:r>
      <w:r>
        <w:rPr>
          <w:color w:val="auto"/>
          <w:sz w:val="24"/>
          <w:szCs w:val="24"/>
          <w:highlight w:val="none"/>
          <w:u w:val="single"/>
          <w:lang w:eastAsia="zh-CN"/>
        </w:rPr>
        <w:t xml:space="preserve">                              </w:t>
      </w:r>
    </w:p>
    <w:p w14:paraId="77573079">
      <w:pPr>
        <w:pStyle w:val="26"/>
        <w:spacing w:line="480" w:lineRule="auto"/>
        <w:ind w:firstLine="480"/>
        <w:rPr>
          <w:color w:val="auto"/>
          <w:sz w:val="24"/>
          <w:szCs w:val="24"/>
          <w:highlight w:val="none"/>
        </w:rPr>
      </w:pPr>
      <w:r>
        <w:rPr>
          <w:color w:val="auto"/>
          <w:sz w:val="24"/>
          <w:szCs w:val="24"/>
          <w:highlight w:val="none"/>
        </w:rPr>
        <w:t>委托代理人身份证号码：</w:t>
      </w:r>
      <w:r>
        <w:rPr>
          <w:rFonts w:hint="eastAsia"/>
          <w:color w:val="auto"/>
          <w:sz w:val="24"/>
          <w:szCs w:val="24"/>
          <w:highlight w:val="none"/>
          <w:u w:val="single"/>
          <w:lang w:eastAsia="zh-CN"/>
        </w:rPr>
        <w:t xml:space="preserve"> </w:t>
      </w:r>
      <w:r>
        <w:rPr>
          <w:color w:val="auto"/>
          <w:sz w:val="24"/>
          <w:szCs w:val="24"/>
          <w:highlight w:val="none"/>
          <w:u w:val="single"/>
          <w:lang w:eastAsia="zh-CN"/>
        </w:rPr>
        <w:t xml:space="preserve">                                       </w:t>
      </w:r>
    </w:p>
    <w:p w14:paraId="09086FC2">
      <w:pPr>
        <w:pStyle w:val="26"/>
        <w:spacing w:line="480" w:lineRule="auto"/>
        <w:ind w:firstLine="480"/>
        <w:rPr>
          <w:color w:val="auto"/>
          <w:sz w:val="24"/>
          <w:szCs w:val="24"/>
          <w:highlight w:val="none"/>
        </w:rPr>
      </w:pPr>
    </w:p>
    <w:p w14:paraId="06A86DA2">
      <w:pPr>
        <w:spacing w:line="480" w:lineRule="auto"/>
        <w:ind w:firstLine="3990" w:firstLineChars="1900"/>
        <w:rPr>
          <w:color w:val="auto"/>
          <w:highlight w:val="none"/>
          <w:u w:val="single"/>
        </w:rPr>
      </w:pPr>
      <w:r>
        <w:rPr>
          <w:color w:val="auto"/>
          <w:highlight w:val="none"/>
        </w:rPr>
        <w:t>供应商名称（</w:t>
      </w:r>
      <w:r>
        <w:rPr>
          <w:rFonts w:hint="eastAsia" w:hAnsi="宋体"/>
          <w:color w:val="auto"/>
          <w:highlight w:val="none"/>
        </w:rPr>
        <w:t>电子公章</w:t>
      </w:r>
      <w:r>
        <w:rPr>
          <w:color w:val="auto"/>
          <w:highlight w:val="none"/>
        </w:rPr>
        <w:t>）：</w:t>
      </w:r>
      <w:r>
        <w:rPr>
          <w:color w:val="auto"/>
          <w:highlight w:val="none"/>
          <w:u w:val="single"/>
        </w:rPr>
        <w:t xml:space="preserve">                           </w:t>
      </w:r>
    </w:p>
    <w:p w14:paraId="4ECB8470">
      <w:pPr>
        <w:pStyle w:val="26"/>
        <w:spacing w:line="480" w:lineRule="auto"/>
        <w:ind w:right="200" w:firstLine="480"/>
        <w:jc w:val="right"/>
        <w:rPr>
          <w:rFonts w:hAnsi="宋体"/>
          <w:b/>
          <w:color w:val="auto"/>
          <w:sz w:val="24"/>
          <w:szCs w:val="24"/>
          <w:highlight w:val="none"/>
        </w:rPr>
      </w:pPr>
      <w:r>
        <w:rPr>
          <w:color w:val="auto"/>
          <w:sz w:val="24"/>
          <w:szCs w:val="24"/>
          <w:highlight w:val="none"/>
          <w:lang w:val="en-US"/>
        </w:rPr>
        <w:t xml:space="preserve">         </w:t>
      </w:r>
      <w:r>
        <w:rPr>
          <w:color w:val="auto"/>
          <w:sz w:val="24"/>
          <w:szCs w:val="24"/>
          <w:highlight w:val="none"/>
        </w:rPr>
        <w:t>年</w:t>
      </w:r>
      <w:r>
        <w:rPr>
          <w:rFonts w:hint="eastAsia"/>
          <w:color w:val="auto"/>
          <w:sz w:val="24"/>
          <w:szCs w:val="24"/>
          <w:highlight w:val="none"/>
          <w:lang w:eastAsia="zh-CN"/>
        </w:rPr>
        <w:t xml:space="preserve"> </w:t>
      </w:r>
      <w:r>
        <w:rPr>
          <w:color w:val="auto"/>
          <w:sz w:val="24"/>
          <w:szCs w:val="24"/>
          <w:highlight w:val="none"/>
          <w:lang w:eastAsia="zh-CN"/>
        </w:rPr>
        <w:t xml:space="preserve">  </w:t>
      </w:r>
      <w:r>
        <w:rPr>
          <w:color w:val="auto"/>
          <w:sz w:val="24"/>
          <w:szCs w:val="24"/>
          <w:highlight w:val="none"/>
        </w:rPr>
        <w:t xml:space="preserve"> 月    日</w:t>
      </w:r>
    </w:p>
    <w:p w14:paraId="7289FF5C">
      <w:pPr>
        <w:autoSpaceDE w:val="0"/>
        <w:autoSpaceDN w:val="0"/>
        <w:adjustRightInd w:val="0"/>
        <w:ind w:firstLine="422"/>
        <w:jc w:val="right"/>
        <w:rPr>
          <w:rFonts w:ascii="宋体" w:hAnsi="宋体" w:cs="宋体"/>
          <w:b/>
          <w:color w:val="auto"/>
          <w:szCs w:val="21"/>
          <w:highlight w:val="none"/>
        </w:rPr>
      </w:pPr>
    </w:p>
    <w:p w14:paraId="599BF53B">
      <w:pPr>
        <w:autoSpaceDE w:val="0"/>
        <w:autoSpaceDN w:val="0"/>
        <w:adjustRightInd w:val="0"/>
        <w:ind w:firstLine="422"/>
        <w:jc w:val="left"/>
        <w:rPr>
          <w:rFonts w:ascii="宋体" w:hAnsi="宋体" w:cs="宋体"/>
          <w:b/>
          <w:color w:val="auto"/>
          <w:szCs w:val="21"/>
          <w:highlight w:val="none"/>
        </w:rPr>
      </w:pPr>
    </w:p>
    <w:p w14:paraId="11B11B7B">
      <w:pPr>
        <w:autoSpaceDE w:val="0"/>
        <w:autoSpaceDN w:val="0"/>
        <w:adjustRightInd w:val="0"/>
        <w:ind w:firstLine="422"/>
        <w:jc w:val="left"/>
        <w:rPr>
          <w:rFonts w:ascii="宋体" w:hAnsi="宋体" w:cs="宋体"/>
          <w:b/>
          <w:color w:val="auto"/>
          <w:szCs w:val="21"/>
          <w:highlight w:val="none"/>
        </w:rPr>
      </w:pPr>
    </w:p>
    <w:p w14:paraId="0CE29823">
      <w:pPr>
        <w:autoSpaceDE w:val="0"/>
        <w:autoSpaceDN w:val="0"/>
        <w:adjustRightInd w:val="0"/>
        <w:ind w:firstLine="422"/>
        <w:jc w:val="left"/>
        <w:rPr>
          <w:rFonts w:ascii="宋体" w:hAnsi="宋体" w:cs="宋体"/>
          <w:b/>
          <w:color w:val="auto"/>
          <w:szCs w:val="21"/>
          <w:highlight w:val="none"/>
        </w:rPr>
      </w:pPr>
    </w:p>
    <w:p w14:paraId="70841AF2">
      <w:pPr>
        <w:autoSpaceDE w:val="0"/>
        <w:autoSpaceDN w:val="0"/>
        <w:adjustRightInd w:val="0"/>
        <w:ind w:firstLine="422"/>
        <w:jc w:val="left"/>
        <w:rPr>
          <w:rFonts w:ascii="宋体" w:hAnsi="宋体" w:cs="宋体"/>
          <w:b/>
          <w:color w:val="auto"/>
          <w:szCs w:val="21"/>
          <w:highlight w:val="none"/>
        </w:rPr>
      </w:pPr>
      <w:r>
        <w:rPr>
          <w:rFonts w:hint="eastAsia" w:ascii="宋体" w:hAnsi="宋体" w:cs="宋体"/>
          <w:b/>
          <w:color w:val="auto"/>
          <w:szCs w:val="21"/>
          <w:highlight w:val="none"/>
        </w:rPr>
        <w:t>附件</w:t>
      </w:r>
    </w:p>
    <w:p w14:paraId="3D6A12CC">
      <w:pPr>
        <w:autoSpaceDE w:val="0"/>
        <w:autoSpaceDN w:val="0"/>
        <w:adjustRightInd w:val="0"/>
        <w:spacing w:after="156" w:afterLines="50" w:line="360" w:lineRule="auto"/>
        <w:ind w:firstLine="643"/>
        <w:jc w:val="center"/>
        <w:rPr>
          <w:rFonts w:hint="eastAsia" w:ascii="宋体" w:hAnsi="宋体" w:cs="黑体"/>
          <w:b/>
          <w:bCs/>
          <w:color w:val="auto"/>
          <w:sz w:val="32"/>
          <w:szCs w:val="32"/>
          <w:highlight w:val="none"/>
        </w:rPr>
      </w:pPr>
      <w:r>
        <w:rPr>
          <w:rFonts w:hint="eastAsia" w:ascii="宋体" w:hAnsi="宋体" w:cs="黑体"/>
          <w:b/>
          <w:bCs/>
          <w:color w:val="auto"/>
          <w:sz w:val="32"/>
          <w:szCs w:val="32"/>
          <w:highlight w:val="none"/>
        </w:rPr>
        <w:t>政府采购供应商资格信用承诺函</w:t>
      </w:r>
      <w:r>
        <w:rPr>
          <w:rFonts w:hint="eastAsia" w:ascii="宋体" w:hAnsi="宋体"/>
          <w:b/>
          <w:color w:val="auto"/>
          <w:sz w:val="32"/>
          <w:szCs w:val="32"/>
          <w:highlight w:val="none"/>
        </w:rPr>
        <w:t>（格式）</w:t>
      </w:r>
    </w:p>
    <w:p w14:paraId="3FE6AEEC">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致：</w:t>
      </w:r>
      <w:r>
        <w:rPr>
          <w:rFonts w:hint="eastAsia" w:ascii="宋体" w:hAnsi="宋体"/>
          <w:color w:val="auto"/>
          <w:spacing w:val="6"/>
          <w:szCs w:val="21"/>
          <w:highlight w:val="none"/>
          <w:u w:val="single"/>
        </w:rPr>
        <w:t>（采购人名称）、（代理机构名称）</w:t>
      </w:r>
      <w:r>
        <w:rPr>
          <w:rFonts w:hint="eastAsia" w:ascii="宋体" w:hAnsi="宋体"/>
          <w:color w:val="auto"/>
          <w:spacing w:val="6"/>
          <w:szCs w:val="21"/>
          <w:highlight w:val="none"/>
        </w:rPr>
        <w:t>：</w:t>
      </w:r>
    </w:p>
    <w:p w14:paraId="65D90459">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我方自愿参加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项目（项目编号：</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）的政府采购活动，并郑重承诺我方符合《中华人民共和国政府采购法》第二十二条规定的条件：</w:t>
      </w:r>
    </w:p>
    <w:p w14:paraId="008CE9C7">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（一）具有独立承担民事责任的能力； </w:t>
      </w:r>
    </w:p>
    <w:p w14:paraId="7BBA8DD7">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（二）具有良好的商业信誉和健全的财务会计制度； </w:t>
      </w:r>
    </w:p>
    <w:p w14:paraId="130FB434">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（三）具有履行合同所必需的设备和专业技术能力； </w:t>
      </w:r>
    </w:p>
    <w:p w14:paraId="54500CAE">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（四）有依法缴纳税收和社会保障资金的良好记录； </w:t>
      </w:r>
    </w:p>
    <w:p w14:paraId="24219B16">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（五）参加政府采购活动前三年内，在经营活动中没有重大违法记录； </w:t>
      </w:r>
    </w:p>
    <w:p w14:paraId="05A18C31">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（六）法律、行政法规规定的其他条件。 </w:t>
      </w:r>
    </w:p>
    <w:p w14:paraId="4AE1B0EF">
      <w:pPr>
        <w:autoSpaceDE w:val="0"/>
        <w:autoSpaceDN w:val="0"/>
        <w:adjustRightInd w:val="0"/>
        <w:spacing w:line="360" w:lineRule="auto"/>
        <w:ind w:firstLine="444"/>
        <w:rPr>
          <w:rFonts w:ascii="宋体" w:hAnsi="宋体"/>
          <w:color w:val="auto"/>
          <w:spacing w:val="6"/>
          <w:szCs w:val="21"/>
          <w:highlight w:val="none"/>
        </w:rPr>
      </w:pPr>
      <w:r>
        <w:rPr>
          <w:rFonts w:hint="eastAsia" w:ascii="宋体" w:hAnsi="宋体"/>
          <w:color w:val="auto"/>
          <w:spacing w:val="6"/>
          <w:szCs w:val="21"/>
          <w:highlight w:val="none"/>
        </w:rPr>
        <w:t xml:space="preserve">我方保证上述承诺事项的真实性，如有弄虚作假或其他违法违规行为，愿意承担一切法律责任，并承担因此所造成的一切损失。 </w:t>
      </w:r>
    </w:p>
    <w:p w14:paraId="591C7795">
      <w:pPr>
        <w:autoSpaceDE w:val="0"/>
        <w:autoSpaceDN w:val="0"/>
        <w:adjustRightInd w:val="0"/>
        <w:spacing w:line="360" w:lineRule="auto"/>
        <w:ind w:firstLine="446"/>
        <w:rPr>
          <w:rFonts w:ascii="宋体" w:hAnsi="宋体"/>
          <w:color w:val="auto"/>
          <w:spacing w:val="6"/>
          <w:szCs w:val="21"/>
          <w:highlight w:val="none"/>
        </w:rPr>
      </w:pPr>
      <w:r>
        <w:rPr>
          <w:rFonts w:hint="eastAsia" w:ascii="宋体" w:hAnsi="宋体"/>
          <w:b/>
          <w:bCs/>
          <w:color w:val="auto"/>
          <w:spacing w:val="6"/>
          <w:szCs w:val="21"/>
          <w:highlight w:val="none"/>
        </w:rPr>
        <w:t>特此声明！</w:t>
      </w:r>
      <w:r>
        <w:rPr>
          <w:rFonts w:hint="eastAsia" w:ascii="宋体" w:hAnsi="宋体"/>
          <w:color w:val="auto"/>
          <w:spacing w:val="6"/>
          <w:szCs w:val="21"/>
          <w:highlight w:val="none"/>
        </w:rPr>
        <w:t xml:space="preserve"> </w:t>
      </w:r>
    </w:p>
    <w:p w14:paraId="2244D843">
      <w:pPr>
        <w:pStyle w:val="50"/>
        <w:spacing w:line="360" w:lineRule="auto"/>
        <w:ind w:firstLine="444"/>
        <w:rPr>
          <w:rFonts w:ascii="宋体" w:hAnsi="宋体"/>
          <w:color w:val="auto"/>
          <w:spacing w:val="6"/>
          <w:szCs w:val="21"/>
          <w:highlight w:val="none"/>
        </w:rPr>
      </w:pPr>
    </w:p>
    <w:p w14:paraId="40F8C35A">
      <w:pPr>
        <w:spacing w:line="360" w:lineRule="auto"/>
        <w:ind w:firstLine="420"/>
        <w:rPr>
          <w:rFonts w:ascii="宋体" w:hAnsi="宋体"/>
          <w:color w:val="auto"/>
          <w:szCs w:val="21"/>
          <w:highlight w:val="none"/>
        </w:rPr>
      </w:pPr>
    </w:p>
    <w:p w14:paraId="09BD4CCC">
      <w:pPr>
        <w:pStyle w:val="26"/>
        <w:tabs>
          <w:tab w:val="left" w:pos="5529"/>
        </w:tabs>
        <w:wordWrap w:val="0"/>
        <w:ind w:firstLine="2509" w:firstLineChars="11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02BB4DA0">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4951EF6F">
      <w:pPr>
        <w:tabs>
          <w:tab w:val="left" w:pos="4111"/>
        </w:tabs>
        <w:wordWrap w:val="0"/>
        <w:snapToGrid w:val="0"/>
        <w:spacing w:before="50"/>
        <w:ind w:firstLine="2520" w:firstLineChars="12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0E37C6E8">
      <w:pPr>
        <w:tabs>
          <w:tab w:val="left" w:pos="4111"/>
        </w:tabs>
        <w:wordWrap w:val="0"/>
        <w:snapToGrid w:val="0"/>
        <w:spacing w:before="50"/>
        <w:ind w:firstLine="3968" w:firstLineChars="1890"/>
        <w:rPr>
          <w:rFonts w:hint="eastAsia" w:hAnsi="宋体"/>
          <w:color w:val="auto"/>
          <w:highlight w:val="none"/>
        </w:rPr>
      </w:pPr>
    </w:p>
    <w:p w14:paraId="5EFC5FB8">
      <w:pPr>
        <w:pStyle w:val="26"/>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7ECA6698">
      <w:pPr>
        <w:spacing w:line="480" w:lineRule="auto"/>
        <w:ind w:firstLine="422"/>
        <w:jc w:val="center"/>
        <w:rPr>
          <w:rFonts w:ascii="宋体" w:hAnsi="宋体" w:cs="宋体"/>
          <w:b/>
          <w:color w:val="auto"/>
          <w:szCs w:val="21"/>
          <w:highlight w:val="none"/>
        </w:rPr>
      </w:pPr>
    </w:p>
    <w:p w14:paraId="3AAD23E8">
      <w:pPr>
        <w:snapToGrid w:val="0"/>
        <w:ind w:firstLine="0" w:firstLineChars="0"/>
        <w:jc w:val="left"/>
        <w:rPr>
          <w:rFonts w:ascii="宋体" w:hAnsi="宋体" w:cs="宋体"/>
          <w:b/>
          <w:color w:val="auto"/>
          <w:szCs w:val="21"/>
          <w:highlight w:val="none"/>
        </w:rPr>
      </w:pPr>
    </w:p>
    <w:p w14:paraId="1E3BBBB3">
      <w:pPr>
        <w:snapToGrid w:val="0"/>
        <w:ind w:firstLine="0" w:firstLineChars="0"/>
        <w:jc w:val="left"/>
        <w:rPr>
          <w:rFonts w:ascii="宋体" w:hAnsi="宋体" w:cs="宋体"/>
          <w:b/>
          <w:color w:val="auto"/>
          <w:szCs w:val="21"/>
          <w:highlight w:val="none"/>
        </w:rPr>
      </w:pPr>
    </w:p>
    <w:p w14:paraId="4E747B54">
      <w:pPr>
        <w:snapToGrid w:val="0"/>
        <w:ind w:firstLine="0" w:firstLineChars="0"/>
        <w:jc w:val="left"/>
        <w:rPr>
          <w:rFonts w:ascii="宋体" w:hAnsi="宋体" w:cs="宋体"/>
          <w:b/>
          <w:color w:val="auto"/>
          <w:szCs w:val="21"/>
          <w:highlight w:val="none"/>
        </w:rPr>
      </w:pPr>
    </w:p>
    <w:p w14:paraId="48C4FBDF">
      <w:pPr>
        <w:snapToGrid w:val="0"/>
        <w:ind w:firstLine="0" w:firstLineChars="0"/>
        <w:jc w:val="left"/>
        <w:rPr>
          <w:rFonts w:ascii="宋体" w:hAnsi="宋体" w:cs="宋体"/>
          <w:b/>
          <w:color w:val="auto"/>
          <w:szCs w:val="21"/>
          <w:highlight w:val="none"/>
        </w:rPr>
      </w:pPr>
    </w:p>
    <w:p w14:paraId="2ED10BAE">
      <w:pPr>
        <w:snapToGrid w:val="0"/>
        <w:ind w:firstLine="0" w:firstLineChars="0"/>
        <w:jc w:val="left"/>
        <w:rPr>
          <w:rFonts w:ascii="宋体" w:hAnsi="宋体" w:cs="宋体"/>
          <w:b/>
          <w:color w:val="auto"/>
          <w:szCs w:val="21"/>
          <w:highlight w:val="none"/>
        </w:rPr>
      </w:pPr>
    </w:p>
    <w:p w14:paraId="074D9E07">
      <w:pPr>
        <w:snapToGrid w:val="0"/>
        <w:ind w:firstLine="0" w:firstLineChars="0"/>
        <w:jc w:val="left"/>
        <w:rPr>
          <w:rFonts w:ascii="宋体" w:hAnsi="宋体" w:cs="宋体"/>
          <w:b/>
          <w:color w:val="auto"/>
          <w:szCs w:val="21"/>
          <w:highlight w:val="none"/>
        </w:rPr>
      </w:pPr>
    </w:p>
    <w:p w14:paraId="45495938">
      <w:pPr>
        <w:snapToGrid w:val="0"/>
        <w:ind w:firstLine="0" w:firstLineChars="0"/>
        <w:jc w:val="left"/>
        <w:rPr>
          <w:rFonts w:ascii="宋体" w:hAnsi="宋体" w:cs="宋体"/>
          <w:b/>
          <w:color w:val="auto"/>
          <w:szCs w:val="21"/>
          <w:highlight w:val="none"/>
        </w:rPr>
      </w:pPr>
    </w:p>
    <w:p w14:paraId="7EF16627">
      <w:pPr>
        <w:snapToGrid w:val="0"/>
        <w:ind w:firstLine="0" w:firstLineChars="0"/>
        <w:jc w:val="left"/>
        <w:rPr>
          <w:rFonts w:ascii="宋体" w:hAnsi="宋体" w:cs="宋体"/>
          <w:b/>
          <w:color w:val="auto"/>
          <w:szCs w:val="21"/>
          <w:highlight w:val="none"/>
        </w:rPr>
      </w:pPr>
    </w:p>
    <w:p w14:paraId="1F3BEC21">
      <w:pPr>
        <w:snapToGrid w:val="0"/>
        <w:ind w:firstLine="0" w:firstLineChars="0"/>
        <w:jc w:val="left"/>
        <w:rPr>
          <w:rFonts w:ascii="宋体" w:hAnsi="宋体" w:cs="宋体"/>
          <w:b/>
          <w:color w:val="auto"/>
          <w:szCs w:val="21"/>
          <w:highlight w:val="none"/>
        </w:rPr>
      </w:pPr>
    </w:p>
    <w:p w14:paraId="4D49E828">
      <w:pPr>
        <w:snapToGrid w:val="0"/>
        <w:ind w:firstLine="0" w:firstLineChars="0"/>
        <w:jc w:val="left"/>
        <w:rPr>
          <w:rFonts w:ascii="宋体" w:hAnsi="宋体" w:cs="宋体"/>
          <w:b/>
          <w:color w:val="auto"/>
          <w:szCs w:val="21"/>
          <w:highlight w:val="none"/>
        </w:rPr>
      </w:pPr>
    </w:p>
    <w:p w14:paraId="488CB0B0">
      <w:pPr>
        <w:snapToGrid w:val="0"/>
        <w:ind w:firstLine="0" w:firstLineChars="0"/>
        <w:jc w:val="left"/>
        <w:rPr>
          <w:rFonts w:ascii="宋体" w:hAnsi="宋体" w:cs="宋体"/>
          <w:b/>
          <w:color w:val="auto"/>
          <w:szCs w:val="21"/>
          <w:highlight w:val="none"/>
        </w:rPr>
      </w:pPr>
    </w:p>
    <w:p w14:paraId="7C191A6D">
      <w:pPr>
        <w:snapToGrid w:val="0"/>
        <w:ind w:firstLine="0" w:firstLineChars="0"/>
        <w:jc w:val="left"/>
        <w:rPr>
          <w:rFonts w:ascii="宋体" w:hAnsi="宋体" w:cs="宋体"/>
          <w:b/>
          <w:color w:val="auto"/>
          <w:szCs w:val="21"/>
          <w:highlight w:val="none"/>
        </w:rPr>
      </w:pPr>
    </w:p>
    <w:p w14:paraId="23B46E54">
      <w:pPr>
        <w:snapToGrid w:val="0"/>
        <w:ind w:firstLine="0" w:firstLineChars="0"/>
        <w:jc w:val="left"/>
        <w:rPr>
          <w:rFonts w:ascii="宋体" w:hAnsi="宋体" w:cs="宋体"/>
          <w:b/>
          <w:color w:val="auto"/>
          <w:szCs w:val="21"/>
          <w:highlight w:val="none"/>
        </w:rPr>
      </w:pPr>
    </w:p>
    <w:p w14:paraId="554E8DAE">
      <w:pPr>
        <w:snapToGrid w:val="0"/>
        <w:ind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附件</w:t>
      </w:r>
    </w:p>
    <w:p w14:paraId="0AD0369F">
      <w:pPr>
        <w:snapToGrid w:val="0"/>
        <w:spacing w:before="156" w:beforeLines="50" w:after="50" w:line="360" w:lineRule="auto"/>
        <w:ind w:firstLine="643"/>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r>
        <w:rPr>
          <w:rFonts w:hint="eastAsia" w:hAnsi="宋体" w:cs="宋体"/>
          <w:b/>
          <w:color w:val="auto"/>
          <w:sz w:val="32"/>
          <w:highlight w:val="none"/>
        </w:rPr>
        <w:t>（格式）</w:t>
      </w:r>
    </w:p>
    <w:tbl>
      <w:tblPr>
        <w:tblStyle w:val="51"/>
        <w:tblW w:w="9840" w:type="dxa"/>
        <w:jc w:val="center"/>
        <w:shd w:val="clear" w:color="auto" w:fill="FBFBFB"/>
        <w:tblLayout w:type="fixed"/>
        <w:tblCellMar>
          <w:top w:w="0" w:type="dxa"/>
          <w:left w:w="0" w:type="dxa"/>
          <w:bottom w:w="0" w:type="dxa"/>
          <w:right w:w="0" w:type="dxa"/>
        </w:tblCellMar>
      </w:tblPr>
      <w:tblGrid>
        <w:gridCol w:w="880"/>
        <w:gridCol w:w="2656"/>
        <w:gridCol w:w="1455"/>
        <w:gridCol w:w="3857"/>
        <w:gridCol w:w="992"/>
      </w:tblGrid>
      <w:tr w14:paraId="09058435">
        <w:tblPrEx>
          <w:tblCellMar>
            <w:top w:w="0" w:type="dxa"/>
            <w:left w:w="0" w:type="dxa"/>
            <w:bottom w:w="0" w:type="dxa"/>
            <w:right w:w="0" w:type="dxa"/>
          </w:tblCellMar>
        </w:tblPrEx>
        <w:trPr>
          <w:trHeight w:val="431"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CB70CA">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243A73">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878D60">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85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DBB09B">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身份证号码或统一社会信用代码</w:t>
            </w: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9F1D5D">
            <w:pPr>
              <w:widowControl/>
              <w:spacing w:line="360" w:lineRule="auto"/>
              <w:ind w:firstLine="0" w:firstLineChars="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0CD882A">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D61FB5">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C1D421">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085832">
            <w:pPr>
              <w:widowControl/>
              <w:spacing w:line="360" w:lineRule="auto"/>
              <w:ind w:firstLine="420"/>
              <w:jc w:val="center"/>
              <w:rPr>
                <w:rFonts w:ascii="宋体" w:hAnsi="宋体" w:cs="宋体"/>
                <w:color w:val="auto"/>
                <w:kern w:val="0"/>
                <w:szCs w:val="21"/>
                <w:highlight w:val="none"/>
              </w:rPr>
            </w:pPr>
          </w:p>
        </w:tc>
        <w:tc>
          <w:tcPr>
            <w:tcW w:w="385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B6F6433">
            <w:pPr>
              <w:widowControl/>
              <w:spacing w:line="360" w:lineRule="auto"/>
              <w:ind w:firstLine="420"/>
              <w:jc w:val="center"/>
              <w:rPr>
                <w:rFonts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47D5B9">
            <w:pPr>
              <w:widowControl/>
              <w:spacing w:line="360" w:lineRule="auto"/>
              <w:ind w:firstLine="420"/>
              <w:jc w:val="center"/>
              <w:rPr>
                <w:rFonts w:ascii="宋体" w:hAnsi="宋体" w:cs="宋体"/>
                <w:color w:val="auto"/>
                <w:kern w:val="0"/>
                <w:szCs w:val="21"/>
                <w:highlight w:val="none"/>
              </w:rPr>
            </w:pPr>
          </w:p>
        </w:tc>
      </w:tr>
      <w:tr w14:paraId="1D7DCB50">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888136">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BE511D">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CC3040">
            <w:pPr>
              <w:widowControl/>
              <w:spacing w:line="360" w:lineRule="auto"/>
              <w:ind w:firstLine="420"/>
              <w:jc w:val="center"/>
              <w:rPr>
                <w:rFonts w:ascii="宋体" w:hAnsi="宋体" w:cs="宋体"/>
                <w:color w:val="auto"/>
                <w:kern w:val="0"/>
                <w:szCs w:val="21"/>
                <w:highlight w:val="none"/>
              </w:rPr>
            </w:pPr>
          </w:p>
        </w:tc>
        <w:tc>
          <w:tcPr>
            <w:tcW w:w="385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7A464D">
            <w:pPr>
              <w:widowControl/>
              <w:spacing w:line="360" w:lineRule="auto"/>
              <w:ind w:firstLine="420"/>
              <w:jc w:val="center"/>
              <w:rPr>
                <w:rFonts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8AFA45">
            <w:pPr>
              <w:widowControl/>
              <w:spacing w:line="360" w:lineRule="auto"/>
              <w:ind w:firstLine="420"/>
              <w:jc w:val="center"/>
              <w:rPr>
                <w:rFonts w:ascii="宋体" w:hAnsi="宋体" w:cs="宋体"/>
                <w:color w:val="auto"/>
                <w:kern w:val="0"/>
                <w:szCs w:val="21"/>
                <w:highlight w:val="none"/>
              </w:rPr>
            </w:pPr>
          </w:p>
        </w:tc>
      </w:tr>
      <w:tr w14:paraId="0087350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EAB022">
            <w:pPr>
              <w:widowControl/>
              <w:spacing w:line="360" w:lineRule="auto"/>
              <w:ind w:firstLine="199" w:firstLineChars="95"/>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77A588">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7E5012">
            <w:pPr>
              <w:widowControl/>
              <w:spacing w:line="360" w:lineRule="auto"/>
              <w:ind w:firstLine="420"/>
              <w:jc w:val="center"/>
              <w:rPr>
                <w:rFonts w:ascii="宋体" w:hAnsi="宋体" w:cs="宋体"/>
                <w:color w:val="auto"/>
                <w:kern w:val="0"/>
                <w:szCs w:val="21"/>
                <w:highlight w:val="none"/>
              </w:rPr>
            </w:pPr>
          </w:p>
        </w:tc>
        <w:tc>
          <w:tcPr>
            <w:tcW w:w="385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C1A90E">
            <w:pPr>
              <w:widowControl/>
              <w:spacing w:line="360" w:lineRule="auto"/>
              <w:ind w:firstLine="420"/>
              <w:jc w:val="center"/>
              <w:rPr>
                <w:rFonts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BAD883">
            <w:pPr>
              <w:widowControl/>
              <w:spacing w:line="360" w:lineRule="auto"/>
              <w:ind w:firstLine="420"/>
              <w:jc w:val="center"/>
              <w:rPr>
                <w:rFonts w:ascii="宋体" w:hAnsi="宋体" w:cs="宋体"/>
                <w:color w:val="auto"/>
                <w:kern w:val="0"/>
                <w:szCs w:val="21"/>
                <w:highlight w:val="none"/>
              </w:rPr>
            </w:pPr>
          </w:p>
        </w:tc>
      </w:tr>
      <w:tr w14:paraId="09106EB4">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226228">
            <w:pPr>
              <w:widowControl/>
              <w:spacing w:line="36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13F71A">
            <w:pPr>
              <w:widowControl/>
              <w:spacing w:line="360" w:lineRule="auto"/>
              <w:ind w:firstLine="420"/>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A871B1">
            <w:pPr>
              <w:widowControl/>
              <w:spacing w:line="360" w:lineRule="auto"/>
              <w:ind w:firstLine="420"/>
              <w:jc w:val="center"/>
              <w:rPr>
                <w:rFonts w:ascii="宋体" w:hAnsi="宋体" w:cs="宋体"/>
                <w:color w:val="auto"/>
                <w:kern w:val="0"/>
                <w:szCs w:val="21"/>
                <w:highlight w:val="none"/>
              </w:rPr>
            </w:pPr>
          </w:p>
        </w:tc>
        <w:tc>
          <w:tcPr>
            <w:tcW w:w="385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2E6DE8">
            <w:pPr>
              <w:widowControl/>
              <w:spacing w:line="360" w:lineRule="auto"/>
              <w:ind w:firstLine="420"/>
              <w:jc w:val="center"/>
              <w:rPr>
                <w:rFonts w:ascii="宋体" w:hAnsi="宋体" w:cs="宋体"/>
                <w:color w:val="auto"/>
                <w:kern w:val="0"/>
                <w:szCs w:val="21"/>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B91A69">
            <w:pPr>
              <w:widowControl/>
              <w:spacing w:line="360" w:lineRule="auto"/>
              <w:ind w:firstLine="420"/>
              <w:jc w:val="center"/>
              <w:rPr>
                <w:rFonts w:ascii="宋体" w:hAnsi="宋体" w:cs="宋体"/>
                <w:color w:val="auto"/>
                <w:kern w:val="0"/>
                <w:szCs w:val="21"/>
                <w:highlight w:val="none"/>
              </w:rPr>
            </w:pPr>
          </w:p>
        </w:tc>
      </w:tr>
    </w:tbl>
    <w:p w14:paraId="5E113F05">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1265301A">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527290E">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0B740371">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447A60F1">
      <w:pPr>
        <w:snapToGrid w:val="0"/>
        <w:spacing w:line="360" w:lineRule="auto"/>
        <w:ind w:firstLine="420"/>
        <w:jc w:val="left"/>
        <w:rPr>
          <w:rFonts w:ascii="宋体" w:hAnsi="宋体" w:cs="宋体"/>
          <w:color w:val="auto"/>
          <w:szCs w:val="21"/>
          <w:highlight w:val="none"/>
        </w:rPr>
      </w:pPr>
    </w:p>
    <w:p w14:paraId="7F85A36B">
      <w:pPr>
        <w:snapToGrid w:val="0"/>
        <w:spacing w:line="360" w:lineRule="auto"/>
        <w:ind w:firstLine="420"/>
        <w:jc w:val="left"/>
        <w:rPr>
          <w:rFonts w:ascii="宋体" w:hAnsi="宋体" w:cs="宋体"/>
          <w:color w:val="auto"/>
          <w:szCs w:val="21"/>
          <w:highlight w:val="none"/>
        </w:rPr>
      </w:pPr>
    </w:p>
    <w:p w14:paraId="35AD64ED">
      <w:pPr>
        <w:snapToGrid w:val="0"/>
        <w:spacing w:line="360" w:lineRule="auto"/>
        <w:ind w:firstLine="420"/>
        <w:jc w:val="left"/>
        <w:rPr>
          <w:rFonts w:ascii="宋体" w:hAnsi="宋体" w:cs="宋体"/>
          <w:color w:val="auto"/>
          <w:szCs w:val="21"/>
          <w:highlight w:val="none"/>
        </w:rPr>
      </w:pPr>
    </w:p>
    <w:p w14:paraId="53555B08">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0721E5A8">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37E74ACF">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3453221D">
      <w:pPr>
        <w:tabs>
          <w:tab w:val="left" w:pos="4111"/>
        </w:tabs>
        <w:wordWrap w:val="0"/>
        <w:snapToGrid w:val="0"/>
        <w:spacing w:before="50"/>
        <w:ind w:firstLine="3968" w:firstLineChars="1890"/>
        <w:rPr>
          <w:rFonts w:hint="eastAsia" w:hAnsi="宋体"/>
          <w:color w:val="auto"/>
          <w:highlight w:val="none"/>
        </w:rPr>
      </w:pPr>
    </w:p>
    <w:p w14:paraId="1B8B08A4">
      <w:pPr>
        <w:snapToGrid w:val="0"/>
        <w:ind w:firstLine="0" w:firstLineChars="0"/>
        <w:jc w:val="right"/>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3F9F1900">
      <w:pPr>
        <w:snapToGrid w:val="0"/>
        <w:ind w:firstLine="0" w:firstLineChars="0"/>
        <w:jc w:val="right"/>
        <w:rPr>
          <w:rFonts w:hint="eastAsia" w:hAnsi="宋体"/>
          <w:color w:val="auto"/>
          <w:highlight w:val="none"/>
        </w:rPr>
      </w:pPr>
    </w:p>
    <w:p w14:paraId="34445F28">
      <w:pPr>
        <w:snapToGrid w:val="0"/>
        <w:ind w:firstLine="0" w:firstLineChars="0"/>
        <w:jc w:val="left"/>
        <w:rPr>
          <w:rFonts w:hint="eastAsia" w:ascii="宋体" w:hAnsi="宋体" w:cs="宋体"/>
          <w:b/>
          <w:color w:val="auto"/>
          <w:szCs w:val="21"/>
          <w:highlight w:val="none"/>
        </w:rPr>
      </w:pPr>
      <w:r>
        <w:rPr>
          <w:rFonts w:hAnsi="宋体"/>
          <w:color w:val="auto"/>
          <w:highlight w:val="none"/>
        </w:rPr>
        <w:br w:type="page"/>
      </w:r>
      <w:r>
        <w:rPr>
          <w:rFonts w:hint="eastAsia" w:ascii="宋体" w:hAnsi="宋体" w:cs="宋体"/>
          <w:b/>
          <w:color w:val="auto"/>
          <w:szCs w:val="21"/>
          <w:highlight w:val="none"/>
        </w:rPr>
        <w:t>附件</w:t>
      </w:r>
    </w:p>
    <w:p w14:paraId="4E579AF4">
      <w:pPr>
        <w:pStyle w:val="26"/>
        <w:ind w:firstLine="400"/>
        <w:jc w:val="right"/>
        <w:rPr>
          <w:rFonts w:hint="eastAsia" w:hAnsi="宋体" w:cs="宋体"/>
          <w:color w:val="auto"/>
          <w:highlight w:val="none"/>
        </w:rPr>
      </w:pPr>
    </w:p>
    <w:p w14:paraId="79565C14">
      <w:pPr>
        <w:spacing w:before="100" w:beforeAutospacing="1" w:after="156" w:afterLines="50"/>
        <w:ind w:firstLine="0" w:firstLineChars="0"/>
        <w:jc w:val="center"/>
        <w:rPr>
          <w:rFonts w:hint="eastAsia"/>
          <w:b/>
          <w:color w:val="auto"/>
          <w:sz w:val="32"/>
          <w:szCs w:val="32"/>
          <w:highlight w:val="none"/>
        </w:rPr>
      </w:pPr>
      <w:r>
        <w:rPr>
          <w:rFonts w:hint="eastAsia"/>
          <w:b/>
          <w:color w:val="auto"/>
          <w:sz w:val="32"/>
          <w:szCs w:val="32"/>
          <w:highlight w:val="none"/>
        </w:rPr>
        <w:t>供应商直接管理关系信息表</w:t>
      </w:r>
      <w:r>
        <w:rPr>
          <w:rFonts w:hint="eastAsia" w:hAnsi="宋体" w:cs="宋体"/>
          <w:b/>
          <w:color w:val="auto"/>
          <w:sz w:val="32"/>
          <w:highlight w:val="none"/>
        </w:rPr>
        <w:t>（格式）</w:t>
      </w:r>
    </w:p>
    <w:tbl>
      <w:tblPr>
        <w:tblStyle w:val="5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D9A7DE1">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DB04D1">
            <w:pPr>
              <w:widowControl/>
              <w:spacing w:line="360" w:lineRule="auto"/>
              <w:ind w:firstLine="0" w:firstLineChars="0"/>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DF136C">
            <w:pPr>
              <w:widowControl/>
              <w:spacing w:line="360" w:lineRule="auto"/>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BD64DF">
            <w:pPr>
              <w:widowControl/>
              <w:spacing w:line="360" w:lineRule="auto"/>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4F791B">
            <w:pPr>
              <w:widowControl/>
              <w:spacing w:line="360" w:lineRule="auto"/>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6842B95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D9F339">
            <w:pPr>
              <w:widowControl/>
              <w:spacing w:line="360" w:lineRule="auto"/>
              <w:ind w:firstLine="149" w:firstLineChars="71"/>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1EBCF0">
            <w:pPr>
              <w:widowControl/>
              <w:spacing w:line="360" w:lineRule="auto"/>
              <w:ind w:firstLine="42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F16F96">
            <w:pPr>
              <w:widowControl/>
              <w:spacing w:line="360" w:lineRule="auto"/>
              <w:ind w:firstLine="42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0CEEAD">
            <w:pPr>
              <w:widowControl/>
              <w:spacing w:line="360" w:lineRule="auto"/>
              <w:ind w:firstLine="420"/>
              <w:jc w:val="center"/>
              <w:rPr>
                <w:rFonts w:ascii="宋体" w:hAnsi="宋体" w:cs="宋体"/>
                <w:color w:val="auto"/>
                <w:kern w:val="0"/>
                <w:szCs w:val="21"/>
                <w:highlight w:val="none"/>
              </w:rPr>
            </w:pPr>
          </w:p>
        </w:tc>
      </w:tr>
      <w:tr w14:paraId="4ED4585C">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86B712">
            <w:pPr>
              <w:widowControl/>
              <w:spacing w:line="360" w:lineRule="auto"/>
              <w:ind w:firstLine="149" w:firstLineChars="71"/>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BCC87F">
            <w:pPr>
              <w:widowControl/>
              <w:spacing w:line="360" w:lineRule="auto"/>
              <w:ind w:firstLine="42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0F5EDE">
            <w:pPr>
              <w:widowControl/>
              <w:spacing w:line="360" w:lineRule="auto"/>
              <w:ind w:firstLine="42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1C359E">
            <w:pPr>
              <w:widowControl/>
              <w:spacing w:line="360" w:lineRule="auto"/>
              <w:ind w:firstLine="420"/>
              <w:jc w:val="center"/>
              <w:rPr>
                <w:rFonts w:ascii="宋体" w:hAnsi="宋体" w:cs="宋体"/>
                <w:color w:val="auto"/>
                <w:kern w:val="0"/>
                <w:szCs w:val="21"/>
                <w:highlight w:val="none"/>
              </w:rPr>
            </w:pPr>
          </w:p>
        </w:tc>
      </w:tr>
      <w:tr w14:paraId="0AA7DA4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57B4DD">
            <w:pPr>
              <w:widowControl/>
              <w:spacing w:line="360" w:lineRule="auto"/>
              <w:ind w:firstLine="149" w:firstLineChars="71"/>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17D86">
            <w:pPr>
              <w:widowControl/>
              <w:spacing w:line="360" w:lineRule="auto"/>
              <w:ind w:firstLine="42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52BDF3">
            <w:pPr>
              <w:widowControl/>
              <w:spacing w:line="360" w:lineRule="auto"/>
              <w:ind w:firstLine="42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BD2037">
            <w:pPr>
              <w:widowControl/>
              <w:spacing w:line="360" w:lineRule="auto"/>
              <w:ind w:firstLine="420"/>
              <w:jc w:val="center"/>
              <w:rPr>
                <w:rFonts w:ascii="宋体" w:hAnsi="宋体" w:cs="宋体"/>
                <w:color w:val="auto"/>
                <w:kern w:val="0"/>
                <w:szCs w:val="21"/>
                <w:highlight w:val="none"/>
              </w:rPr>
            </w:pPr>
          </w:p>
        </w:tc>
      </w:tr>
      <w:tr w14:paraId="1773465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C72F4B">
            <w:pPr>
              <w:widowControl/>
              <w:spacing w:line="36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340C0F">
            <w:pPr>
              <w:widowControl/>
              <w:spacing w:line="360" w:lineRule="auto"/>
              <w:ind w:firstLine="420"/>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0738FC">
            <w:pPr>
              <w:widowControl/>
              <w:spacing w:line="360" w:lineRule="auto"/>
              <w:ind w:firstLine="420"/>
              <w:jc w:val="center"/>
              <w:rPr>
                <w:rFonts w:ascii="宋体" w:hAnsi="宋体" w:cs="宋体"/>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B093F1">
            <w:pPr>
              <w:widowControl/>
              <w:spacing w:line="360" w:lineRule="auto"/>
              <w:ind w:firstLine="420"/>
              <w:jc w:val="center"/>
              <w:rPr>
                <w:rFonts w:ascii="宋体" w:hAnsi="宋体" w:cs="宋体"/>
                <w:color w:val="auto"/>
                <w:kern w:val="0"/>
                <w:szCs w:val="21"/>
                <w:highlight w:val="none"/>
              </w:rPr>
            </w:pPr>
          </w:p>
        </w:tc>
      </w:tr>
    </w:tbl>
    <w:p w14:paraId="5B2E021E">
      <w:pPr>
        <w:snapToGrid w:val="0"/>
        <w:spacing w:line="36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t>注：</w:t>
      </w:r>
    </w:p>
    <w:p w14:paraId="11821974">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14:paraId="4FC9C7A2">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14:paraId="74046E65">
      <w:pPr>
        <w:snapToGrid w:val="0"/>
        <w:spacing w:line="360" w:lineRule="auto"/>
        <w:ind w:firstLine="42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14:paraId="7005EDBB">
      <w:pPr>
        <w:snapToGrid w:val="0"/>
        <w:spacing w:line="360" w:lineRule="auto"/>
        <w:ind w:firstLine="420"/>
        <w:jc w:val="left"/>
        <w:rPr>
          <w:rFonts w:hint="eastAsia" w:ascii="宋体" w:hAnsi="宋体"/>
          <w:color w:val="auto"/>
          <w:szCs w:val="21"/>
          <w:highlight w:val="none"/>
        </w:rPr>
      </w:pPr>
    </w:p>
    <w:p w14:paraId="67BEF68C">
      <w:pPr>
        <w:snapToGrid w:val="0"/>
        <w:spacing w:line="360" w:lineRule="auto"/>
        <w:ind w:firstLine="420"/>
        <w:jc w:val="left"/>
        <w:rPr>
          <w:rFonts w:hint="eastAsia" w:ascii="宋体" w:hAnsi="宋体"/>
          <w:color w:val="auto"/>
          <w:szCs w:val="21"/>
          <w:highlight w:val="none"/>
        </w:rPr>
      </w:pPr>
    </w:p>
    <w:p w14:paraId="24B49D18">
      <w:pPr>
        <w:snapToGrid w:val="0"/>
        <w:ind w:firstLine="560"/>
        <w:jc w:val="left"/>
        <w:rPr>
          <w:rFonts w:hint="eastAsia"/>
          <w:color w:val="auto"/>
          <w:sz w:val="28"/>
          <w:szCs w:val="28"/>
          <w:highlight w:val="none"/>
        </w:rPr>
      </w:pPr>
    </w:p>
    <w:p w14:paraId="3C50AC1F">
      <w:pPr>
        <w:snapToGrid w:val="0"/>
        <w:ind w:firstLine="560"/>
        <w:jc w:val="left"/>
        <w:rPr>
          <w:rFonts w:hint="eastAsia"/>
          <w:color w:val="auto"/>
          <w:sz w:val="28"/>
          <w:szCs w:val="28"/>
          <w:highlight w:val="none"/>
        </w:rPr>
      </w:pPr>
    </w:p>
    <w:p w14:paraId="04FA8E7E">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70590238">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45438F43">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138AF64D">
      <w:pPr>
        <w:tabs>
          <w:tab w:val="left" w:pos="4111"/>
        </w:tabs>
        <w:wordWrap w:val="0"/>
        <w:snapToGrid w:val="0"/>
        <w:spacing w:before="50"/>
        <w:ind w:firstLine="3968" w:firstLineChars="1890"/>
        <w:rPr>
          <w:rFonts w:hint="eastAsia" w:hAnsi="宋体"/>
          <w:color w:val="auto"/>
          <w:highlight w:val="none"/>
        </w:rPr>
      </w:pPr>
    </w:p>
    <w:p w14:paraId="3C62D5F1">
      <w:pPr>
        <w:pStyle w:val="26"/>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78D80FD6">
      <w:pPr>
        <w:spacing w:line="360" w:lineRule="exact"/>
        <w:ind w:firstLine="0" w:firstLineChars="0"/>
        <w:rPr>
          <w:rFonts w:hint="eastAsia" w:ascii="宋体" w:hAnsi="宋体" w:cs="宋体"/>
          <w:b/>
          <w:color w:val="auto"/>
          <w:szCs w:val="21"/>
          <w:highlight w:val="none"/>
        </w:rPr>
      </w:pPr>
    </w:p>
    <w:p w14:paraId="22D5BA2A">
      <w:pPr>
        <w:spacing w:line="360" w:lineRule="exact"/>
        <w:ind w:firstLine="0" w:firstLineChars="0"/>
        <w:rPr>
          <w:rFonts w:hint="eastAsia" w:ascii="宋体" w:hAnsi="宋体" w:cs="宋体"/>
          <w:b/>
          <w:color w:val="auto"/>
          <w:szCs w:val="21"/>
          <w:highlight w:val="none"/>
        </w:rPr>
      </w:pPr>
    </w:p>
    <w:p w14:paraId="3536D540">
      <w:pPr>
        <w:spacing w:line="360" w:lineRule="exact"/>
        <w:ind w:firstLine="0" w:firstLineChars="0"/>
        <w:rPr>
          <w:rFonts w:hint="eastAsia" w:ascii="宋体" w:hAnsi="宋体" w:cs="宋体"/>
          <w:b/>
          <w:color w:val="auto"/>
          <w:szCs w:val="21"/>
          <w:highlight w:val="none"/>
        </w:rPr>
      </w:pPr>
    </w:p>
    <w:p w14:paraId="74BC0FEE">
      <w:pPr>
        <w:spacing w:line="360" w:lineRule="exact"/>
        <w:ind w:firstLine="0" w:firstLineChars="0"/>
        <w:rPr>
          <w:rFonts w:hint="eastAsia" w:ascii="宋体" w:hAnsi="宋体" w:cs="宋体"/>
          <w:b/>
          <w:color w:val="auto"/>
          <w:szCs w:val="21"/>
          <w:highlight w:val="none"/>
        </w:rPr>
      </w:pPr>
    </w:p>
    <w:p w14:paraId="69E1122F">
      <w:pPr>
        <w:spacing w:line="360" w:lineRule="exact"/>
        <w:ind w:firstLine="0" w:firstLineChars="0"/>
        <w:rPr>
          <w:rFonts w:hint="eastAsia" w:ascii="宋体" w:hAnsi="宋体" w:cs="宋体"/>
          <w:b/>
          <w:color w:val="auto"/>
          <w:szCs w:val="21"/>
          <w:highlight w:val="none"/>
        </w:rPr>
      </w:pPr>
    </w:p>
    <w:p w14:paraId="49C31252">
      <w:pPr>
        <w:spacing w:line="360" w:lineRule="exact"/>
        <w:ind w:firstLine="0" w:firstLineChars="0"/>
        <w:rPr>
          <w:rFonts w:hint="eastAsia" w:ascii="宋体" w:hAnsi="宋体" w:cs="宋体"/>
          <w:b/>
          <w:color w:val="auto"/>
          <w:szCs w:val="21"/>
          <w:highlight w:val="none"/>
        </w:rPr>
      </w:pPr>
    </w:p>
    <w:p w14:paraId="414AB3D6">
      <w:pPr>
        <w:spacing w:line="360" w:lineRule="exact"/>
        <w:ind w:firstLine="0" w:firstLineChars="0"/>
        <w:rPr>
          <w:rFonts w:hint="eastAsia" w:ascii="宋体" w:hAnsi="宋体" w:cs="宋体"/>
          <w:b/>
          <w:color w:val="auto"/>
          <w:szCs w:val="21"/>
          <w:highlight w:val="none"/>
        </w:rPr>
      </w:pPr>
    </w:p>
    <w:p w14:paraId="548AC4BA">
      <w:pPr>
        <w:spacing w:line="360" w:lineRule="exact"/>
        <w:ind w:firstLine="0" w:firstLineChars="0"/>
        <w:rPr>
          <w:rFonts w:hint="eastAsia" w:ascii="宋体" w:hAnsi="宋体" w:cs="宋体"/>
          <w:b/>
          <w:color w:val="auto"/>
          <w:szCs w:val="21"/>
          <w:highlight w:val="none"/>
        </w:rPr>
      </w:pPr>
    </w:p>
    <w:p w14:paraId="6784CC05">
      <w:pPr>
        <w:spacing w:line="360" w:lineRule="exact"/>
        <w:ind w:firstLine="0" w:firstLineChars="0"/>
        <w:rPr>
          <w:rFonts w:hint="eastAsia" w:ascii="宋体" w:hAnsi="宋体" w:cs="宋体"/>
          <w:b/>
          <w:color w:val="auto"/>
          <w:szCs w:val="21"/>
          <w:highlight w:val="none"/>
        </w:rPr>
      </w:pPr>
    </w:p>
    <w:p w14:paraId="5D5D5574">
      <w:pPr>
        <w:spacing w:line="360" w:lineRule="exact"/>
        <w:ind w:firstLine="0" w:firstLineChars="0"/>
        <w:rPr>
          <w:rFonts w:hint="eastAsia" w:ascii="宋体" w:hAnsi="宋体" w:cs="宋体"/>
          <w:b/>
          <w:color w:val="auto"/>
          <w:szCs w:val="21"/>
          <w:highlight w:val="none"/>
        </w:rPr>
      </w:pPr>
    </w:p>
    <w:p w14:paraId="1BE2E51D">
      <w:pPr>
        <w:spacing w:line="360" w:lineRule="exact"/>
        <w:ind w:firstLine="0" w:firstLineChars="0"/>
        <w:rPr>
          <w:rFonts w:hint="eastAsia" w:ascii="宋体" w:hAnsi="宋体" w:cs="宋体"/>
          <w:b/>
          <w:color w:val="auto"/>
          <w:szCs w:val="21"/>
          <w:highlight w:val="none"/>
        </w:rPr>
      </w:pPr>
    </w:p>
    <w:p w14:paraId="0EC52AB1">
      <w:pPr>
        <w:spacing w:line="360" w:lineRule="exact"/>
        <w:ind w:firstLine="0" w:firstLineChars="0"/>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7299A920">
      <w:pPr>
        <w:spacing w:line="276"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竞标声明（格式）</w:t>
      </w:r>
    </w:p>
    <w:p w14:paraId="02B78382">
      <w:pPr>
        <w:spacing w:line="276" w:lineRule="auto"/>
        <w:ind w:firstLine="480"/>
        <w:jc w:val="center"/>
        <w:rPr>
          <w:rFonts w:ascii="宋体" w:hAnsi="宋体"/>
          <w:color w:val="auto"/>
          <w:sz w:val="24"/>
          <w:szCs w:val="20"/>
          <w:highlight w:val="none"/>
        </w:rPr>
      </w:pPr>
    </w:p>
    <w:p w14:paraId="19B8E0AA">
      <w:pPr>
        <w:spacing w:line="360" w:lineRule="auto"/>
        <w:ind w:firstLine="0" w:firstLineChars="0"/>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69ADF6BA">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48F113">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0CE86EB2">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5434E610">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C834B4F">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14:paraId="4EC92FEA">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6A72B007">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2E19E37D">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2A7509AA">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214DF5F9">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5E1C48FD">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9E61C88">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7B8BCEAA">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F154241">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751341D">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58DB48F7">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14:paraId="108AC909">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F3FCAAB">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012686C">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0FDEC745">
      <w:pPr>
        <w:spacing w:line="360" w:lineRule="auto"/>
        <w:ind w:firstLine="42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11623A0">
      <w:pPr>
        <w:pStyle w:val="26"/>
        <w:spacing w:line="360" w:lineRule="auto"/>
        <w:ind w:firstLine="420"/>
        <w:contextualSpacing/>
        <w:rPr>
          <w:rFonts w:hint="eastAsia"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5A1807FE">
      <w:pPr>
        <w:pStyle w:val="26"/>
        <w:spacing w:line="360" w:lineRule="auto"/>
        <w:ind w:firstLine="42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25EF9698">
      <w:pPr>
        <w:pStyle w:val="22"/>
        <w:tabs>
          <w:tab w:val="left" w:pos="939"/>
        </w:tabs>
        <w:spacing w:line="360" w:lineRule="auto"/>
        <w:ind w:left="140" w:leftChars="67"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开户银行：</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帐号：</w:t>
      </w:r>
      <w:r>
        <w:rPr>
          <w:rFonts w:hint="eastAsia" w:ascii="宋体" w:hAnsi="宋体" w:cs="宋体"/>
          <w:color w:val="auto"/>
          <w:sz w:val="21"/>
          <w:szCs w:val="21"/>
          <w:highlight w:val="none"/>
          <w:u w:val="single"/>
        </w:rPr>
        <w:t xml:space="preserve">                               </w:t>
      </w:r>
    </w:p>
    <w:p w14:paraId="3582F574">
      <w:pPr>
        <w:pStyle w:val="22"/>
        <w:tabs>
          <w:tab w:val="left" w:pos="939"/>
        </w:tabs>
        <w:spacing w:line="360" w:lineRule="auto"/>
        <w:ind w:left="0" w:leftChars="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8.以上事项如有虚假或者隐瞒，我方愿意承担一切后果，并不再寻求任何旨在减轻或者免除法律责任的辩解。</w:t>
      </w:r>
    </w:p>
    <w:p w14:paraId="09469045">
      <w:pPr>
        <w:pStyle w:val="22"/>
        <w:tabs>
          <w:tab w:val="left" w:pos="939"/>
        </w:tabs>
        <w:spacing w:line="360" w:lineRule="auto"/>
        <w:ind w:left="140" w:leftChars="67"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33DF253C">
      <w:pPr>
        <w:spacing w:line="360" w:lineRule="auto"/>
        <w:ind w:firstLine="420"/>
        <w:rPr>
          <w:rFonts w:ascii="宋体" w:hAnsi="宋体"/>
          <w:color w:val="auto"/>
          <w:highlight w:val="none"/>
        </w:rPr>
      </w:pPr>
      <w:r>
        <w:rPr>
          <w:rFonts w:hint="eastAsia" w:ascii="宋体" w:hAnsi="宋体" w:cs="宋体"/>
          <w:color w:val="auto"/>
          <w:szCs w:val="21"/>
          <w:highlight w:val="none"/>
        </w:rPr>
        <w:t>注：如为联合体竞标，盖章处须加盖联合体各方</w:t>
      </w:r>
      <w:r>
        <w:rPr>
          <w:rFonts w:hint="eastAsia" w:hAnsi="宋体"/>
          <w:color w:val="auto"/>
          <w:highlight w:val="none"/>
        </w:rPr>
        <w:t>电子公章</w:t>
      </w:r>
      <w:r>
        <w:rPr>
          <w:rFonts w:hint="eastAsia" w:ascii="宋体" w:hAnsi="宋体" w:cs="宋体"/>
          <w:color w:val="auto"/>
          <w:szCs w:val="21"/>
          <w:highlight w:val="none"/>
        </w:rPr>
        <w:t>并由联合体各方法定代表人签署，否则其响应文件按无效响应处理。</w:t>
      </w:r>
    </w:p>
    <w:p w14:paraId="6C47625A">
      <w:pPr>
        <w:spacing w:line="276" w:lineRule="auto"/>
        <w:ind w:firstLine="420"/>
        <w:rPr>
          <w:rFonts w:ascii="宋体" w:hAnsi="宋体"/>
          <w:color w:val="auto"/>
          <w:highlight w:val="none"/>
        </w:rPr>
      </w:pPr>
    </w:p>
    <w:p w14:paraId="7BB44194">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0D5F2542">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6E334F4A">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1410BA3C">
      <w:pPr>
        <w:tabs>
          <w:tab w:val="left" w:pos="4111"/>
        </w:tabs>
        <w:wordWrap w:val="0"/>
        <w:snapToGrid w:val="0"/>
        <w:spacing w:before="50"/>
        <w:ind w:firstLine="3968" w:firstLineChars="1890"/>
        <w:rPr>
          <w:rFonts w:hint="eastAsia" w:hAnsi="宋体"/>
          <w:color w:val="auto"/>
          <w:highlight w:val="none"/>
        </w:rPr>
      </w:pPr>
    </w:p>
    <w:p w14:paraId="57419265">
      <w:pPr>
        <w:pStyle w:val="26"/>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33C17DB9">
      <w:pPr>
        <w:spacing w:line="360" w:lineRule="exact"/>
        <w:ind w:firstLine="0" w:firstLineChars="0"/>
        <w:rPr>
          <w:rFonts w:hint="eastAsia" w:ascii="宋体" w:hAnsi="宋体" w:cs="宋体"/>
          <w:b/>
          <w:color w:val="auto"/>
          <w:szCs w:val="21"/>
          <w:highlight w:val="none"/>
        </w:rPr>
      </w:pPr>
    </w:p>
    <w:p w14:paraId="3AA285DA">
      <w:pPr>
        <w:spacing w:line="360" w:lineRule="exact"/>
        <w:ind w:firstLine="0" w:firstLineChars="0"/>
        <w:rPr>
          <w:rFonts w:hint="eastAsia" w:ascii="宋体" w:hAnsi="宋体" w:cs="宋体"/>
          <w:b/>
          <w:color w:val="auto"/>
          <w:szCs w:val="21"/>
          <w:highlight w:val="none"/>
        </w:rPr>
      </w:pPr>
      <w:r>
        <w:rPr>
          <w:rFonts w:ascii="宋体" w:hAnsi="宋体" w:cs="宋体"/>
          <w:b/>
          <w:color w:val="auto"/>
          <w:szCs w:val="21"/>
          <w:highlight w:val="none"/>
        </w:rPr>
        <w:br w:type="page"/>
      </w:r>
    </w:p>
    <w:p w14:paraId="65B6FE86">
      <w:pPr>
        <w:spacing w:line="360" w:lineRule="exact"/>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 xml:space="preserve">附件             </w:t>
      </w:r>
    </w:p>
    <w:p w14:paraId="52938DDB">
      <w:pPr>
        <w:spacing w:line="300" w:lineRule="auto"/>
        <w:ind w:firstLine="0" w:firstLineChars="0"/>
        <w:jc w:val="center"/>
        <w:rPr>
          <w:rFonts w:ascii="宋体" w:hAnsi="宋体" w:cs="宋体"/>
          <w:b/>
          <w:color w:val="auto"/>
          <w:sz w:val="32"/>
          <w:szCs w:val="32"/>
          <w:highlight w:val="none"/>
        </w:rPr>
      </w:pPr>
      <w:r>
        <w:rPr>
          <w:rFonts w:hint="eastAsia" w:ascii="宋体" w:hAnsi="宋体" w:cs="宋体"/>
          <w:b/>
          <w:color w:val="auto"/>
          <w:sz w:val="32"/>
          <w:szCs w:val="32"/>
          <w:highlight w:val="none"/>
        </w:rPr>
        <w:t>报  价  表（格式）</w:t>
      </w:r>
    </w:p>
    <w:p w14:paraId="2250E4A7">
      <w:pPr>
        <w:snapToGrid w:val="0"/>
        <w:spacing w:before="50" w:after="50"/>
        <w:ind w:right="210" w:firstLine="420"/>
        <w:jc w:val="left"/>
        <w:rPr>
          <w:rFonts w:hint="eastAsia"/>
          <w:color w:val="auto"/>
          <w:highlight w:val="none"/>
        </w:rPr>
      </w:pPr>
      <w:r>
        <w:rPr>
          <w:rFonts w:hAnsi="宋体"/>
          <w:color w:val="auto"/>
          <w:highlight w:val="none"/>
        </w:rPr>
        <w:t xml:space="preserve">                                                         </w:t>
      </w:r>
    </w:p>
    <w:tbl>
      <w:tblPr>
        <w:tblStyle w:val="51"/>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683"/>
        <w:gridCol w:w="2396"/>
        <w:gridCol w:w="2426"/>
      </w:tblGrid>
      <w:tr w14:paraId="336A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45" w:type="dxa"/>
            <w:noWrap w:val="0"/>
            <w:vAlign w:val="center"/>
          </w:tcPr>
          <w:p w14:paraId="6DFCD038">
            <w:pPr>
              <w:pStyle w:val="26"/>
              <w:spacing w:line="360" w:lineRule="auto"/>
              <w:ind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项号</w:t>
            </w:r>
          </w:p>
        </w:tc>
        <w:tc>
          <w:tcPr>
            <w:tcW w:w="3683" w:type="dxa"/>
            <w:noWrap w:val="0"/>
            <w:vAlign w:val="center"/>
          </w:tcPr>
          <w:p w14:paraId="1D3A8E40">
            <w:pPr>
              <w:pStyle w:val="26"/>
              <w:spacing w:line="360" w:lineRule="auto"/>
              <w:ind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服务内容</w:t>
            </w:r>
          </w:p>
        </w:tc>
        <w:tc>
          <w:tcPr>
            <w:tcW w:w="2396" w:type="dxa"/>
            <w:noWrap w:val="0"/>
            <w:vAlign w:val="center"/>
          </w:tcPr>
          <w:p w14:paraId="206ED814">
            <w:pPr>
              <w:pStyle w:val="26"/>
              <w:spacing w:line="360" w:lineRule="auto"/>
              <w:ind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单价（元/吨）</w:t>
            </w:r>
          </w:p>
        </w:tc>
        <w:tc>
          <w:tcPr>
            <w:tcW w:w="2426" w:type="dxa"/>
            <w:noWrap w:val="0"/>
            <w:vAlign w:val="center"/>
          </w:tcPr>
          <w:p w14:paraId="4B6E7EED">
            <w:pPr>
              <w:pStyle w:val="26"/>
              <w:spacing w:line="360" w:lineRule="auto"/>
              <w:ind w:firstLine="0" w:firstLineChars="0"/>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02E6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845" w:type="dxa"/>
            <w:noWrap w:val="0"/>
            <w:vAlign w:val="center"/>
          </w:tcPr>
          <w:p w14:paraId="5074AC30">
            <w:pPr>
              <w:pStyle w:val="26"/>
              <w:spacing w:line="360" w:lineRule="auto"/>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683" w:type="dxa"/>
            <w:noWrap w:val="0"/>
            <w:vAlign w:val="center"/>
          </w:tcPr>
          <w:p w14:paraId="3BE0E9B2">
            <w:pPr>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eastAsia="zh-CN"/>
              </w:rPr>
              <w:t>柳州市人民医院污水处理服务采购</w:t>
            </w:r>
          </w:p>
        </w:tc>
        <w:tc>
          <w:tcPr>
            <w:tcW w:w="2396" w:type="dxa"/>
            <w:noWrap w:val="0"/>
            <w:vAlign w:val="center"/>
          </w:tcPr>
          <w:p w14:paraId="4D5025FA">
            <w:pPr>
              <w:pStyle w:val="26"/>
              <w:spacing w:line="360" w:lineRule="auto"/>
              <w:ind w:firstLine="0" w:firstLineChars="0"/>
              <w:jc w:val="center"/>
              <w:rPr>
                <w:rFonts w:hint="eastAsia" w:ascii="宋体" w:hAnsi="宋体" w:eastAsia="宋体" w:cs="宋体"/>
                <w:color w:val="auto"/>
                <w:sz w:val="21"/>
                <w:szCs w:val="21"/>
                <w:highlight w:val="none"/>
                <w:lang w:val="en-US" w:eastAsia="zh-CN"/>
              </w:rPr>
            </w:pPr>
          </w:p>
        </w:tc>
        <w:tc>
          <w:tcPr>
            <w:tcW w:w="2426" w:type="dxa"/>
            <w:noWrap w:val="0"/>
            <w:vAlign w:val="center"/>
          </w:tcPr>
          <w:p w14:paraId="2413835F">
            <w:pPr>
              <w:pStyle w:val="26"/>
              <w:spacing w:line="360" w:lineRule="auto"/>
              <w:ind w:firstLine="420"/>
              <w:rPr>
                <w:rFonts w:hint="eastAsia" w:ascii="宋体" w:hAnsi="宋体" w:eastAsia="宋体" w:cs="宋体"/>
                <w:color w:val="auto"/>
                <w:sz w:val="21"/>
                <w:szCs w:val="21"/>
                <w:highlight w:val="none"/>
                <w:lang w:val="en-US" w:eastAsia="zh-CN"/>
              </w:rPr>
            </w:pPr>
          </w:p>
        </w:tc>
      </w:tr>
      <w:tr w14:paraId="0E32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350" w:type="dxa"/>
            <w:gridSpan w:val="4"/>
            <w:noWrap w:val="0"/>
            <w:vAlign w:val="center"/>
          </w:tcPr>
          <w:p w14:paraId="2973711A">
            <w:pPr>
              <w:spacing w:line="440" w:lineRule="exac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服务期限：</w:t>
            </w:r>
            <w:r>
              <w:rPr>
                <w:rFonts w:hint="eastAsia" w:ascii="宋体" w:hAnsi="宋体" w:cs="宋体"/>
                <w:color w:val="auto"/>
                <w:sz w:val="21"/>
                <w:szCs w:val="21"/>
                <w:highlight w:val="none"/>
                <w:lang w:eastAsia="zh-CN"/>
              </w:rPr>
              <w:t>三年，从合同签订之日起计算。</w:t>
            </w:r>
          </w:p>
        </w:tc>
      </w:tr>
      <w:tr w14:paraId="6FE8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350" w:type="dxa"/>
            <w:gridSpan w:val="4"/>
            <w:noWrap w:val="0"/>
            <w:vAlign w:val="center"/>
          </w:tcPr>
          <w:p w14:paraId="3967ED46">
            <w:pPr>
              <w:pStyle w:val="26"/>
              <w:spacing w:line="360" w:lineRule="auto"/>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服务地点：柳州市内采购人指定地点。</w:t>
            </w:r>
          </w:p>
        </w:tc>
      </w:tr>
    </w:tbl>
    <w:p w14:paraId="578FE41E">
      <w:pPr>
        <w:snapToGrid w:val="0"/>
        <w:spacing w:line="360" w:lineRule="auto"/>
        <w:ind w:firstLine="0" w:firstLineChars="0"/>
        <w:rPr>
          <w:rFonts w:hint="eastAsia" w:hAnsi="宋体"/>
          <w:color w:val="auto"/>
          <w:highlight w:val="none"/>
        </w:rPr>
      </w:pPr>
    </w:p>
    <w:p w14:paraId="74293D1A">
      <w:pPr>
        <w:snapToGrid w:val="0"/>
        <w:spacing w:line="360" w:lineRule="auto"/>
        <w:ind w:firstLine="210" w:firstLineChars="100"/>
        <w:rPr>
          <w:rFonts w:hint="eastAsia" w:hAnsi="宋体"/>
          <w:b/>
          <w:color w:val="auto"/>
          <w:highlight w:val="none"/>
        </w:rPr>
      </w:pPr>
      <w:r>
        <w:rPr>
          <w:rFonts w:hint="eastAsia" w:hAnsi="宋体"/>
          <w:b/>
          <w:color w:val="auto"/>
          <w:highlight w:val="none"/>
        </w:rPr>
        <w:t>注：</w:t>
      </w:r>
    </w:p>
    <w:p w14:paraId="0611D193">
      <w:pPr>
        <w:spacing w:line="360" w:lineRule="auto"/>
        <w:ind w:firstLine="420"/>
        <w:contextualSpacing/>
        <w:jc w:val="left"/>
        <w:rPr>
          <w:rFonts w:hint="eastAsia" w:ascii="宋体" w:hAnsi="宋体" w:cs="仿宋_GB2312"/>
          <w:b/>
          <w:color w:val="auto"/>
          <w:szCs w:val="21"/>
          <w:highlight w:val="none"/>
        </w:rPr>
      </w:pPr>
      <w:r>
        <w:rPr>
          <w:rFonts w:hint="eastAsia" w:ascii="宋体" w:hAnsi="宋体" w:cs="仿宋_GB2312"/>
          <w:bCs/>
          <w:color w:val="auto"/>
          <w:szCs w:val="21"/>
          <w:highlight w:val="none"/>
        </w:rPr>
        <w:t>1.</w:t>
      </w:r>
      <w:r>
        <w:rPr>
          <w:rFonts w:hint="eastAsia" w:ascii="宋体" w:hAnsi="宋体" w:cs="仿宋_GB2312"/>
          <w:color w:val="auto"/>
          <w:szCs w:val="21"/>
          <w:highlight w:val="none"/>
        </w:rPr>
        <w:t>报价一经涂改，应在涂改处加盖供应商电子公章或者由法定代表人或者授权委托人签字（</w:t>
      </w:r>
      <w:r>
        <w:rPr>
          <w:rFonts w:hint="eastAsia" w:ascii="宋体" w:hAnsi="宋体" w:cs="宋体"/>
          <w:color w:val="auto"/>
          <w:szCs w:val="21"/>
          <w:highlight w:val="none"/>
        </w:rPr>
        <w:t>或者电子签名或者加盖电子印章</w:t>
      </w:r>
      <w:r>
        <w:rPr>
          <w:rFonts w:hint="eastAsia" w:ascii="宋体" w:hAnsi="宋体" w:cs="仿宋_GB2312"/>
          <w:color w:val="auto"/>
          <w:szCs w:val="21"/>
          <w:highlight w:val="none"/>
        </w:rPr>
        <w:t>）</w:t>
      </w:r>
      <w:r>
        <w:rPr>
          <w:rFonts w:hint="eastAsia" w:ascii="宋体" w:hAnsi="宋体" w:cs="仿宋_GB2312"/>
          <w:b/>
          <w:color w:val="auto"/>
          <w:szCs w:val="21"/>
          <w:highlight w:val="none"/>
        </w:rPr>
        <w:t>，否则其响应文件作无效处理。</w:t>
      </w:r>
    </w:p>
    <w:p w14:paraId="1413774D">
      <w:pPr>
        <w:spacing w:line="360" w:lineRule="auto"/>
        <w:ind w:firstLine="420"/>
        <w:contextualSpacing/>
        <w:jc w:val="left"/>
        <w:rPr>
          <w:rFonts w:ascii="宋体" w:hAnsi="宋体" w:cs="仿宋_GB2312"/>
          <w:color w:val="auto"/>
          <w:szCs w:val="21"/>
          <w:highlight w:val="none"/>
        </w:rPr>
      </w:pPr>
      <w:r>
        <w:rPr>
          <w:rFonts w:hint="eastAsia" w:ascii="宋体" w:hAnsi="宋体" w:cs="仿宋_GB2312"/>
          <w:color w:val="auto"/>
          <w:szCs w:val="21"/>
          <w:highlight w:val="none"/>
        </w:rPr>
        <w:t>2.竞标报价是履行合同的最终价格，应包括但不限于投入本项目人员工资、交通费、通讯费、管理费、利润、验收等一切税金和费用。</w:t>
      </w:r>
    </w:p>
    <w:p w14:paraId="657C82D9">
      <w:pPr>
        <w:pStyle w:val="26"/>
        <w:tabs>
          <w:tab w:val="left" w:pos="3828"/>
          <w:tab w:val="left" w:pos="5529"/>
        </w:tabs>
        <w:wordWrap w:val="0"/>
        <w:spacing w:line="360" w:lineRule="auto"/>
        <w:ind w:firstLine="2538" w:firstLineChars="1209"/>
        <w:rPr>
          <w:rFonts w:hAnsi="宋体" w:cs="宋体"/>
          <w:b/>
          <w:color w:val="auto"/>
          <w:kern w:val="2"/>
          <w:sz w:val="21"/>
          <w:highlight w:val="none"/>
          <w:lang w:val="en-US" w:eastAsia="zh-CN"/>
        </w:rPr>
      </w:pPr>
    </w:p>
    <w:p w14:paraId="3FFD4EAC">
      <w:pPr>
        <w:pStyle w:val="26"/>
        <w:tabs>
          <w:tab w:val="left" w:pos="3828"/>
          <w:tab w:val="left" w:pos="5529"/>
        </w:tabs>
        <w:wordWrap w:val="0"/>
        <w:spacing w:line="360" w:lineRule="auto"/>
        <w:ind w:firstLine="2538" w:firstLineChars="1209"/>
        <w:rPr>
          <w:rFonts w:hAnsi="宋体" w:cs="宋体"/>
          <w:b/>
          <w:color w:val="auto"/>
          <w:kern w:val="2"/>
          <w:sz w:val="21"/>
          <w:highlight w:val="none"/>
          <w:lang w:val="en-US" w:eastAsia="zh-CN"/>
        </w:rPr>
      </w:pPr>
    </w:p>
    <w:p w14:paraId="5D810A31">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264CBB35">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1D79302D">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2D8A7951">
      <w:pPr>
        <w:tabs>
          <w:tab w:val="left" w:pos="4111"/>
        </w:tabs>
        <w:wordWrap w:val="0"/>
        <w:snapToGrid w:val="0"/>
        <w:spacing w:before="50"/>
        <w:ind w:firstLine="3968" w:firstLineChars="1890"/>
        <w:rPr>
          <w:rFonts w:hint="eastAsia" w:hAnsi="宋体"/>
          <w:color w:val="auto"/>
          <w:highlight w:val="none"/>
        </w:rPr>
      </w:pPr>
    </w:p>
    <w:p w14:paraId="4D4F586F">
      <w:pPr>
        <w:spacing w:line="360" w:lineRule="exact"/>
        <w:ind w:firstLine="0" w:firstLineChars="0"/>
        <w:jc w:val="right"/>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62775445">
      <w:pPr>
        <w:spacing w:line="360" w:lineRule="exact"/>
        <w:ind w:firstLine="0" w:firstLineChars="0"/>
        <w:rPr>
          <w:rFonts w:hAnsi="宋体"/>
          <w:color w:val="auto"/>
          <w:highlight w:val="none"/>
        </w:rPr>
      </w:pPr>
    </w:p>
    <w:p w14:paraId="78CD98F1">
      <w:pPr>
        <w:spacing w:line="360" w:lineRule="exact"/>
        <w:ind w:firstLine="0" w:firstLineChars="0"/>
        <w:rPr>
          <w:rFonts w:hint="eastAsia" w:ascii="宋体" w:hAnsi="宋体" w:cs="宋体"/>
          <w:color w:val="auto"/>
          <w:szCs w:val="21"/>
          <w:highlight w:val="none"/>
        </w:rPr>
      </w:pPr>
      <w:r>
        <w:rPr>
          <w:rFonts w:ascii="宋体" w:hAnsi="宋体" w:cs="宋体"/>
          <w:color w:val="auto"/>
          <w:szCs w:val="21"/>
          <w:highlight w:val="none"/>
        </w:rPr>
        <w:br w:type="page"/>
      </w:r>
    </w:p>
    <w:p w14:paraId="58EA7278">
      <w:pPr>
        <w:spacing w:line="360" w:lineRule="exact"/>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附件</w:t>
      </w:r>
    </w:p>
    <w:p w14:paraId="791010DE">
      <w:pPr>
        <w:spacing w:after="156" w:afterLines="50" w:line="300" w:lineRule="auto"/>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7282ED1">
      <w:pPr>
        <w:pStyle w:val="19"/>
        <w:spacing w:line="360" w:lineRule="auto"/>
        <w:ind w:right="142" w:firstLine="420"/>
        <w:rPr>
          <w:rFonts w:hint="eastAsia" w:ascii="宋体" w:hAnsi="宋体"/>
          <w:color w:val="auto"/>
          <w:szCs w:val="21"/>
          <w:highlight w:val="none"/>
          <w:lang w:eastAsia="zh-CN"/>
        </w:rPr>
      </w:pPr>
      <w:r>
        <w:rPr>
          <w:rFonts w:ascii="宋体" w:hAnsi="宋体"/>
          <w:color w:val="auto"/>
          <w:szCs w:val="21"/>
          <w:highlight w:val="none"/>
          <w:lang w:eastAsia="zh-CN"/>
        </w:rPr>
        <w:t>本公司（联合体）郑重声明，根据《政府采购促进中小企业发展管理办法》（财库﹝2020﹞46号）的规定，本公司（联合</w:t>
      </w:r>
      <w:r>
        <w:rPr>
          <w:rFonts w:ascii="宋体" w:hAnsi="宋体"/>
          <w:color w:val="auto"/>
          <w:szCs w:val="21"/>
          <w:highlight w:val="none"/>
          <w:lang w:eastAsia="zh-CN"/>
        </w:rPr>
        <w:t>体）参加</w:t>
      </w:r>
      <w:r>
        <w:rPr>
          <w:rFonts w:hint="eastAsia" w:ascii="宋体" w:hAnsi="宋体"/>
          <w:color w:val="auto"/>
          <w:szCs w:val="21"/>
          <w:highlight w:val="none"/>
          <w:u w:val="single"/>
          <w:lang w:eastAsia="zh-CN"/>
        </w:rPr>
        <w:t xml:space="preserve"> 柳州市人民医院 </w:t>
      </w:r>
      <w:r>
        <w:rPr>
          <w:rFonts w:ascii="宋体" w:hAnsi="宋体"/>
          <w:color w:val="auto"/>
          <w:szCs w:val="21"/>
          <w:highlight w:val="none"/>
          <w:lang w:eastAsia="zh-CN"/>
        </w:rPr>
        <w:t>的</w:t>
      </w:r>
      <w:r>
        <w:rPr>
          <w:rFonts w:hint="eastAsia" w:ascii="宋体" w:hAnsi="宋体"/>
          <w:color w:val="auto"/>
          <w:szCs w:val="21"/>
          <w:highlight w:val="none"/>
          <w:u w:val="single"/>
          <w:lang w:eastAsia="zh-CN"/>
        </w:rPr>
        <w:t xml:space="preserve"> 柳州市人民医院污水处理服务采购 </w:t>
      </w:r>
      <w:r>
        <w:rPr>
          <w:rFonts w:ascii="宋体" w:hAnsi="宋体"/>
          <w:color w:val="auto"/>
          <w:szCs w:val="21"/>
          <w:highlight w:val="none"/>
          <w:lang w:eastAsia="zh-CN"/>
        </w:rPr>
        <w:t>采购活动，</w:t>
      </w:r>
      <w:r>
        <w:rPr>
          <w:rFonts w:hint="eastAsia" w:ascii="宋体" w:hAnsi="宋体"/>
          <w:color w:val="auto"/>
          <w:szCs w:val="21"/>
          <w:highlight w:val="none"/>
          <w:lang w:eastAsia="zh-CN"/>
        </w:rPr>
        <w:t>服务全部由符合政策要求的中小企业承接。相关企业（含联合体中的中小企业、签订分包意向协议的中小企业）的具体情况如下：</w:t>
      </w:r>
    </w:p>
    <w:p w14:paraId="2C70C266">
      <w:pPr>
        <w:pStyle w:val="19"/>
        <w:spacing w:line="360" w:lineRule="auto"/>
        <w:ind w:right="142" w:firstLine="420"/>
        <w:rPr>
          <w:rFonts w:ascii="宋体" w:hAnsi="宋体"/>
          <w:color w:val="auto"/>
          <w:szCs w:val="21"/>
          <w:highlight w:val="none"/>
          <w:lang w:eastAsia="zh-CN"/>
        </w:rPr>
      </w:pPr>
      <w:r>
        <w:rPr>
          <w:rFonts w:ascii="宋体" w:hAnsi="宋体"/>
          <w:color w:val="auto"/>
          <w:szCs w:val="21"/>
          <w:highlight w:val="none"/>
          <w:lang w:eastAsia="zh-CN"/>
        </w:rPr>
        <w:t>1.</w:t>
      </w:r>
      <w:r>
        <w:rPr>
          <w:rFonts w:hint="eastAsia" w:ascii="宋体" w:hAnsi="宋体"/>
          <w:color w:val="auto"/>
          <w:szCs w:val="21"/>
          <w:highlight w:val="none"/>
          <w:u w:val="single"/>
          <w:lang w:eastAsia="zh-CN"/>
        </w:rPr>
        <w:t xml:space="preserve"> 柳州市人民医院污水处理服务采购 </w:t>
      </w:r>
      <w:r>
        <w:rPr>
          <w:rFonts w:ascii="宋体" w:hAnsi="宋体"/>
          <w:color w:val="auto"/>
          <w:szCs w:val="21"/>
          <w:highlight w:val="none"/>
          <w:lang w:eastAsia="zh-CN"/>
        </w:rPr>
        <w:t>，属于</w:t>
      </w:r>
      <w:r>
        <w:rPr>
          <w:rFonts w:hint="eastAsia" w:ascii="宋体" w:hAnsi="宋体"/>
          <w:color w:val="auto"/>
          <w:szCs w:val="21"/>
          <w:highlight w:val="none"/>
          <w:u w:val="single"/>
          <w:lang w:eastAsia="zh-CN"/>
        </w:rPr>
        <w:t xml:space="preserve"> 其他未列明行业 </w:t>
      </w:r>
      <w:r>
        <w:rPr>
          <w:rFonts w:ascii="宋体" w:hAnsi="宋体"/>
          <w:color w:val="auto"/>
          <w:szCs w:val="21"/>
          <w:highlight w:val="none"/>
          <w:lang w:eastAsia="zh-CN"/>
        </w:rPr>
        <w:t>；</w:t>
      </w:r>
      <w:r>
        <w:rPr>
          <w:rFonts w:hint="eastAsia" w:ascii="宋体" w:hAnsi="宋体"/>
          <w:color w:val="auto"/>
          <w:szCs w:val="21"/>
          <w:highlight w:val="none"/>
          <w:lang w:eastAsia="zh-CN"/>
        </w:rPr>
        <w:t>承接</w:t>
      </w:r>
      <w:r>
        <w:rPr>
          <w:rFonts w:hint="eastAsia" w:ascii="宋体" w:hAnsi="宋体"/>
          <w:color w:val="auto"/>
          <w:szCs w:val="21"/>
          <w:highlight w:val="none"/>
          <w:lang w:eastAsia="zh-CN"/>
        </w:rPr>
        <w:t>企业为</w:t>
      </w:r>
      <w:r>
        <w:rPr>
          <w:rFonts w:hint="eastAsia" w:ascii="宋体" w:hAnsi="宋体"/>
          <w:color w:val="auto"/>
          <w:szCs w:val="21"/>
          <w:highlight w:val="none"/>
          <w:u w:val="single"/>
          <w:lang w:eastAsia="zh-CN"/>
        </w:rPr>
        <w:t xml:space="preserve">      </w:t>
      </w:r>
      <w:r>
        <w:rPr>
          <w:rFonts w:hint="eastAsia" w:ascii="宋体" w:hAnsi="宋体"/>
          <w:color w:val="auto"/>
          <w:szCs w:val="21"/>
          <w:highlight w:val="none"/>
          <w:lang w:eastAsia="zh-CN"/>
        </w:rPr>
        <w:t>（企业名称），从业人员</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lang w:eastAsia="zh-CN"/>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lang w:eastAsia="zh-CN"/>
        </w:rPr>
        <w:t xml:space="preserve">   </w:t>
      </w:r>
      <w:r>
        <w:rPr>
          <w:rFonts w:hint="eastAsia" w:ascii="宋体" w:hAnsi="宋体"/>
          <w:color w:val="auto"/>
          <w:szCs w:val="21"/>
          <w:highlight w:val="none"/>
          <w:lang w:eastAsia="zh-CN"/>
        </w:rPr>
        <w:t>人，营业收入为</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lang w:eastAsia="zh-CN"/>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lang w:eastAsia="zh-CN"/>
        </w:rPr>
        <w:t xml:space="preserve">   </w:t>
      </w:r>
      <w:r>
        <w:rPr>
          <w:rFonts w:hint="eastAsia" w:ascii="宋体" w:hAnsi="宋体"/>
          <w:color w:val="auto"/>
          <w:szCs w:val="21"/>
          <w:highlight w:val="none"/>
          <w:lang w:eastAsia="zh-CN"/>
        </w:rPr>
        <w:t>万元，资产总额为</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lang w:eastAsia="zh-CN"/>
        </w:rPr>
        <w:t xml:space="preserve">  </w:t>
      </w:r>
      <w:r>
        <w:rPr>
          <w:rFonts w:hint="eastAsia" w:ascii="宋体" w:hAnsi="宋体"/>
          <w:color w:val="auto"/>
          <w:szCs w:val="21"/>
          <w:highlight w:val="none"/>
          <w:u w:val="single"/>
          <w:lang w:eastAsia="zh-CN"/>
        </w:rPr>
        <w:t xml:space="preserve"> </w:t>
      </w:r>
      <w:r>
        <w:rPr>
          <w:rFonts w:ascii="宋体" w:hAnsi="宋体"/>
          <w:color w:val="auto"/>
          <w:szCs w:val="21"/>
          <w:highlight w:val="none"/>
          <w:u w:val="single"/>
          <w:lang w:eastAsia="zh-CN"/>
        </w:rPr>
        <w:t xml:space="preserve">   </w:t>
      </w:r>
      <w:r>
        <w:rPr>
          <w:rFonts w:hint="eastAsia" w:ascii="宋体" w:hAnsi="宋体"/>
          <w:color w:val="auto"/>
          <w:szCs w:val="21"/>
          <w:highlight w:val="none"/>
          <w:lang w:eastAsia="zh-CN"/>
        </w:rPr>
        <w:t>万元</w:t>
      </w:r>
      <w:r>
        <w:rPr>
          <w:rFonts w:ascii="宋体" w:hAnsi="宋体"/>
          <w:color w:val="auto"/>
          <w:szCs w:val="21"/>
          <w:highlight w:val="none"/>
          <w:lang w:eastAsia="zh-CN"/>
        </w:rPr>
        <w:t>，属于</w:t>
      </w:r>
      <w:r>
        <w:rPr>
          <w:rFonts w:hint="eastAsia" w:ascii="宋体" w:hAnsi="宋体"/>
          <w:color w:val="auto"/>
          <w:szCs w:val="21"/>
          <w:highlight w:val="none"/>
          <w:u w:val="single"/>
          <w:lang w:eastAsia="zh-CN"/>
        </w:rPr>
        <w:t xml:space="preserve">      </w:t>
      </w:r>
      <w:r>
        <w:rPr>
          <w:rFonts w:ascii="宋体" w:hAnsi="宋体"/>
          <w:color w:val="auto"/>
          <w:szCs w:val="21"/>
          <w:highlight w:val="none"/>
          <w:lang w:eastAsia="zh-CN"/>
        </w:rPr>
        <w:t>（中型企业、</w:t>
      </w:r>
      <w:r>
        <w:rPr>
          <w:rFonts w:hint="eastAsia" w:ascii="宋体" w:hAnsi="宋体"/>
          <w:color w:val="auto"/>
          <w:szCs w:val="21"/>
          <w:highlight w:val="none"/>
          <w:lang w:eastAsia="zh-CN"/>
        </w:rPr>
        <w:t>小型企业、微型企业）；</w:t>
      </w:r>
    </w:p>
    <w:p w14:paraId="4069C6DD">
      <w:pPr>
        <w:pStyle w:val="19"/>
        <w:spacing w:before="34" w:line="360" w:lineRule="auto"/>
        <w:ind w:right="142" w:firstLine="420"/>
        <w:rPr>
          <w:rFonts w:ascii="宋体" w:hAnsi="宋体"/>
          <w:color w:val="auto"/>
          <w:szCs w:val="21"/>
          <w:highlight w:val="none"/>
          <w:lang w:eastAsia="zh-CN"/>
        </w:rPr>
      </w:pPr>
      <w:r>
        <w:rPr>
          <w:rFonts w:ascii="宋体" w:hAnsi="宋体"/>
          <w:color w:val="auto"/>
          <w:szCs w:val="21"/>
          <w:highlight w:val="none"/>
          <w:lang w:eastAsia="zh-CN"/>
        </w:rPr>
        <w:t>以上企业，不属于大企业的分支机构，不存在控股股东为大企业的情形，也不存在与大企业的负责人为同一人的情形。</w:t>
      </w:r>
    </w:p>
    <w:p w14:paraId="0C13649C">
      <w:pPr>
        <w:pStyle w:val="19"/>
        <w:spacing w:before="25" w:line="360" w:lineRule="auto"/>
        <w:ind w:right="142" w:firstLine="420"/>
        <w:rPr>
          <w:rFonts w:ascii="宋体" w:hAnsi="宋体"/>
          <w:color w:val="auto"/>
          <w:szCs w:val="21"/>
          <w:highlight w:val="none"/>
          <w:lang w:eastAsia="zh-CN"/>
        </w:rPr>
      </w:pPr>
      <w:r>
        <w:rPr>
          <w:rFonts w:ascii="宋体" w:hAnsi="宋体"/>
          <w:color w:val="auto"/>
          <w:szCs w:val="21"/>
          <w:highlight w:val="none"/>
          <w:lang w:eastAsia="zh-CN"/>
        </w:rPr>
        <w:t>本企业对上述声明内容的真实性负责。如有虚假，将依法承担相应责任。</w:t>
      </w:r>
    </w:p>
    <w:p w14:paraId="420C2B7C">
      <w:pPr>
        <w:pStyle w:val="19"/>
        <w:spacing w:before="56" w:line="360" w:lineRule="auto"/>
        <w:ind w:left="3960" w:leftChars="1886" w:right="1808" w:firstLine="840" w:firstLineChars="400"/>
        <w:rPr>
          <w:rFonts w:ascii="宋体" w:hAnsi="宋体"/>
          <w:color w:val="auto"/>
          <w:szCs w:val="21"/>
          <w:highlight w:val="none"/>
          <w:lang w:eastAsia="zh-CN"/>
        </w:rPr>
      </w:pPr>
    </w:p>
    <w:p w14:paraId="37967654">
      <w:pPr>
        <w:pStyle w:val="19"/>
        <w:spacing w:before="56" w:line="360" w:lineRule="auto"/>
        <w:ind w:left="3960" w:leftChars="1886" w:right="1808" w:firstLine="840" w:firstLineChars="400"/>
        <w:rPr>
          <w:rFonts w:ascii="宋体" w:hAnsi="宋体"/>
          <w:color w:val="auto"/>
          <w:szCs w:val="21"/>
          <w:highlight w:val="none"/>
          <w:lang w:eastAsia="zh-CN"/>
        </w:rPr>
      </w:pPr>
      <w:r>
        <w:rPr>
          <w:rFonts w:ascii="宋体" w:hAnsi="宋体"/>
          <w:color w:val="auto"/>
          <w:szCs w:val="21"/>
          <w:highlight w:val="none"/>
          <w:lang w:eastAsia="zh-CN"/>
        </w:rPr>
        <w:t>企业名称（</w:t>
      </w:r>
      <w:r>
        <w:rPr>
          <w:rFonts w:hint="eastAsia" w:hAnsi="宋体"/>
          <w:color w:val="auto"/>
          <w:highlight w:val="none"/>
        </w:rPr>
        <w:t>电子公章</w:t>
      </w:r>
      <w:r>
        <w:rPr>
          <w:rFonts w:ascii="宋体" w:hAnsi="宋体"/>
          <w:color w:val="auto"/>
          <w:szCs w:val="21"/>
          <w:highlight w:val="none"/>
          <w:lang w:eastAsia="zh-CN"/>
        </w:rPr>
        <w:t xml:space="preserve">）： </w:t>
      </w:r>
    </w:p>
    <w:p w14:paraId="42393A16">
      <w:pPr>
        <w:pStyle w:val="19"/>
        <w:spacing w:before="56" w:line="360" w:lineRule="auto"/>
        <w:ind w:left="3960" w:leftChars="1886" w:right="1808" w:firstLine="2100" w:firstLineChars="1000"/>
        <w:rPr>
          <w:rFonts w:hint="eastAsia" w:ascii="宋体" w:hAnsi="宋体"/>
          <w:color w:val="auto"/>
          <w:szCs w:val="21"/>
          <w:highlight w:val="none"/>
          <w:lang w:eastAsia="zh-CN"/>
        </w:rPr>
      </w:pPr>
      <w:r>
        <w:rPr>
          <w:rFonts w:ascii="宋体" w:hAnsi="宋体"/>
          <w:color w:val="auto"/>
          <w:szCs w:val="21"/>
          <w:highlight w:val="none"/>
          <w:lang w:eastAsia="zh-CN"/>
        </w:rPr>
        <w:t xml:space="preserve">日 </w:t>
      </w:r>
      <w:r>
        <w:rPr>
          <w:rFonts w:hint="eastAsia" w:ascii="宋体" w:hAnsi="宋体"/>
          <w:color w:val="auto"/>
          <w:szCs w:val="21"/>
          <w:highlight w:val="none"/>
          <w:lang w:eastAsia="zh-CN"/>
        </w:rPr>
        <w:t xml:space="preserve">   </w:t>
      </w:r>
      <w:r>
        <w:rPr>
          <w:rFonts w:ascii="宋体" w:hAnsi="宋体"/>
          <w:color w:val="auto"/>
          <w:szCs w:val="21"/>
          <w:highlight w:val="none"/>
          <w:lang w:eastAsia="zh-CN"/>
        </w:rPr>
        <w:t>期：</w:t>
      </w:r>
    </w:p>
    <w:p w14:paraId="75A5C5FF">
      <w:pPr>
        <w:spacing w:line="300" w:lineRule="auto"/>
        <w:ind w:firstLine="0" w:firstLineChars="0"/>
        <w:rPr>
          <w:rFonts w:ascii="宋体" w:hAnsi="宋体" w:cs="宋体"/>
          <w:b/>
          <w:bCs/>
          <w:color w:val="auto"/>
          <w:szCs w:val="21"/>
          <w:highlight w:val="none"/>
        </w:rPr>
      </w:pPr>
    </w:p>
    <w:p w14:paraId="65B81D81">
      <w:pPr>
        <w:spacing w:line="30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注：</w:t>
      </w:r>
    </w:p>
    <w:p w14:paraId="031913A1">
      <w:pPr>
        <w:spacing w:after="120" w:line="400" w:lineRule="exact"/>
        <w:ind w:right="-105" w:rightChars="-50" w:firstLine="380"/>
        <w:rPr>
          <w:rFonts w:hint="eastAsia" w:hAnsi="宋体"/>
          <w:color w:val="auto"/>
          <w:spacing w:val="-10"/>
          <w:highlight w:val="none"/>
        </w:rPr>
      </w:pPr>
      <w:r>
        <w:rPr>
          <w:rFonts w:hint="eastAsia" w:hAnsi="宋体"/>
          <w:color w:val="auto"/>
          <w:spacing w:val="-10"/>
          <w:highlight w:val="none"/>
        </w:rPr>
        <w:t>1.从业人员、营业收入、资产总额填报上一年度数据，无上一年度数据的新成立企业可不填报。</w:t>
      </w:r>
    </w:p>
    <w:p w14:paraId="06F49A43">
      <w:pPr>
        <w:spacing w:after="120" w:line="400" w:lineRule="exact"/>
        <w:ind w:right="-105" w:rightChars="-50" w:firstLine="382"/>
        <w:rPr>
          <w:rFonts w:hint="eastAsia" w:hAnsi="宋体"/>
          <w:b/>
          <w:color w:val="auto"/>
          <w:spacing w:val="-10"/>
          <w:highlight w:val="none"/>
        </w:rPr>
      </w:pPr>
      <w:r>
        <w:rPr>
          <w:rFonts w:hint="eastAsia" w:hAnsi="宋体"/>
          <w:b/>
          <w:color w:val="auto"/>
          <w:spacing w:val="-10"/>
          <w:highlight w:val="none"/>
        </w:rPr>
        <w:t>2.供应商须按上述格式要求如实填写《中小企业声明函》，并对该声明函的真实性负责，否则不得享受相关中小企业扶持政策；供应商提供的《中小企业声明函》与事实不符的，依照《中华人民共和国政府采购法》第七十七条第一款的规定追究法律责任。</w:t>
      </w:r>
    </w:p>
    <w:p w14:paraId="4D802327">
      <w:pPr>
        <w:spacing w:after="120" w:line="400" w:lineRule="exact"/>
        <w:ind w:right="-105" w:rightChars="-50" w:firstLine="382"/>
        <w:rPr>
          <w:rFonts w:hAnsi="宋体"/>
          <w:b/>
          <w:color w:val="auto"/>
          <w:spacing w:val="-10"/>
          <w:highlight w:val="none"/>
        </w:rPr>
      </w:pPr>
      <w:r>
        <w:rPr>
          <w:rFonts w:hint="eastAsia" w:hAnsi="宋体"/>
          <w:b/>
          <w:color w:val="auto"/>
          <w:spacing w:val="-10"/>
          <w:highlight w:val="none"/>
        </w:rPr>
        <w:t>3.为方便供应商识别企业规模类型，供应商可使用工业和信息化部组织开发的中小企业规模类型自测小程序生成企业规模类型测试结果。自测小程序链接：https://sme.miit.gov.cn/baosong/appweb/orgScale.html。</w:t>
      </w:r>
    </w:p>
    <w:p w14:paraId="53A342FF">
      <w:pPr>
        <w:spacing w:after="120" w:line="400" w:lineRule="exact"/>
        <w:ind w:right="-105" w:rightChars="-50" w:firstLine="382"/>
        <w:rPr>
          <w:rFonts w:hint="eastAsia" w:hAnsi="宋体"/>
          <w:b/>
          <w:color w:val="auto"/>
          <w:spacing w:val="-10"/>
          <w:highlight w:val="none"/>
        </w:rPr>
      </w:pPr>
      <w:r>
        <w:rPr>
          <w:rFonts w:hint="eastAsia" w:hAnsi="宋体"/>
          <w:b/>
          <w:color w:val="auto"/>
          <w:spacing w:val="-10"/>
          <w:highlight w:val="none"/>
        </w:rPr>
        <w:t>4.中小企业划型标准详见《工业和信息化部、国家统计局、国家发展和改革委员会、财政部关于印发中小企业划型标准规定的通知》（工信部联企业〔2011〕300号）。</w:t>
      </w:r>
    </w:p>
    <w:p w14:paraId="3F96D2F4">
      <w:pPr>
        <w:snapToGrid w:val="0"/>
        <w:spacing w:before="50" w:after="50" w:line="400" w:lineRule="exact"/>
        <w:ind w:firstLine="382"/>
        <w:rPr>
          <w:rFonts w:hint="eastAsia" w:hAnsi="宋体"/>
          <w:b/>
          <w:bCs/>
          <w:color w:val="auto"/>
          <w:sz w:val="28"/>
          <w:szCs w:val="28"/>
          <w:highlight w:val="none"/>
        </w:rPr>
      </w:pPr>
      <w:r>
        <w:rPr>
          <w:rFonts w:hint="eastAsia" w:hAnsi="宋体"/>
          <w:b/>
          <w:color w:val="auto"/>
          <w:spacing w:val="-10"/>
          <w:highlight w:val="none"/>
        </w:rPr>
        <w:t>5.成交供应商依法享受中小企业扶持政策的，采购代理机构将在成交结果公告中公告其《中小企业声明函》。</w:t>
      </w:r>
    </w:p>
    <w:p w14:paraId="6B442CFB">
      <w:pPr>
        <w:spacing w:line="300" w:lineRule="auto"/>
        <w:ind w:firstLine="0" w:firstLineChars="0"/>
        <w:rPr>
          <w:rFonts w:ascii="宋体" w:hAnsi="宋体" w:cs="宋体"/>
          <w:b/>
          <w:bCs/>
          <w:color w:val="auto"/>
          <w:kern w:val="0"/>
          <w:sz w:val="30"/>
          <w:highlight w:val="none"/>
        </w:rPr>
      </w:pPr>
    </w:p>
    <w:p w14:paraId="6D2CD11E">
      <w:pPr>
        <w:spacing w:line="300" w:lineRule="auto"/>
        <w:ind w:firstLine="0" w:firstLineChars="0"/>
        <w:rPr>
          <w:rFonts w:ascii="宋体" w:hAnsi="宋体" w:cs="宋体"/>
          <w:b/>
          <w:bCs/>
          <w:color w:val="auto"/>
          <w:kern w:val="0"/>
          <w:sz w:val="30"/>
          <w:highlight w:val="none"/>
        </w:rPr>
      </w:pPr>
    </w:p>
    <w:p w14:paraId="35CD9060">
      <w:pPr>
        <w:keepNext w:val="0"/>
        <w:keepLines w:val="0"/>
        <w:pageBreakBefore w:val="0"/>
        <w:widowControl/>
        <w:kinsoku/>
        <w:wordWrap/>
        <w:overflowPunct/>
        <w:topLinePunct w:val="0"/>
        <w:autoSpaceDE/>
        <w:autoSpaceDN/>
        <w:bidi w:val="0"/>
        <w:adjustRightInd w:val="0"/>
        <w:snapToGrid w:val="0"/>
        <w:spacing w:line="528" w:lineRule="exact"/>
        <w:ind w:left="1871"/>
        <w:textAlignment w:val="auto"/>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中小微企业划型标准</w:t>
      </w:r>
    </w:p>
    <w:tbl>
      <w:tblPr>
        <w:tblStyle w:val="51"/>
        <w:tblW w:w="9137" w:type="dxa"/>
        <w:jc w:val="center"/>
        <w:tblLayout w:type="fixed"/>
        <w:tblCellMar>
          <w:top w:w="0" w:type="dxa"/>
          <w:left w:w="108" w:type="dxa"/>
          <w:bottom w:w="0" w:type="dxa"/>
          <w:right w:w="108" w:type="dxa"/>
        </w:tblCellMar>
      </w:tblPr>
      <w:tblGrid>
        <w:gridCol w:w="1602"/>
        <w:gridCol w:w="1583"/>
        <w:gridCol w:w="1261"/>
        <w:gridCol w:w="1848"/>
        <w:gridCol w:w="1707"/>
        <w:gridCol w:w="1136"/>
      </w:tblGrid>
      <w:tr w14:paraId="2B72C80F">
        <w:tblPrEx>
          <w:tblCellMar>
            <w:top w:w="0" w:type="dxa"/>
            <w:left w:w="108" w:type="dxa"/>
            <w:bottom w:w="0" w:type="dxa"/>
            <w:right w:w="108" w:type="dxa"/>
          </w:tblCellMar>
        </w:tblPrEx>
        <w:trPr>
          <w:trHeight w:val="388"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14:paraId="712A380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行业名称</w:t>
            </w:r>
          </w:p>
        </w:tc>
        <w:tc>
          <w:tcPr>
            <w:tcW w:w="1583" w:type="dxa"/>
            <w:tcBorders>
              <w:top w:val="single" w:color="auto" w:sz="4" w:space="0"/>
              <w:left w:val="nil"/>
              <w:bottom w:val="single" w:color="auto" w:sz="4" w:space="0"/>
              <w:right w:val="single" w:color="auto" w:sz="4" w:space="0"/>
            </w:tcBorders>
            <w:noWrap w:val="0"/>
            <w:vAlign w:val="center"/>
          </w:tcPr>
          <w:p w14:paraId="51F40B0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指标名称</w:t>
            </w:r>
          </w:p>
        </w:tc>
        <w:tc>
          <w:tcPr>
            <w:tcW w:w="1261" w:type="dxa"/>
            <w:tcBorders>
              <w:top w:val="single" w:color="auto" w:sz="4" w:space="0"/>
              <w:left w:val="nil"/>
              <w:bottom w:val="single" w:color="auto" w:sz="4" w:space="0"/>
              <w:right w:val="single" w:color="auto" w:sz="4" w:space="0"/>
            </w:tcBorders>
            <w:noWrap w:val="0"/>
            <w:vAlign w:val="center"/>
          </w:tcPr>
          <w:p w14:paraId="35AD180B">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计量单位</w:t>
            </w:r>
          </w:p>
        </w:tc>
        <w:tc>
          <w:tcPr>
            <w:tcW w:w="1848" w:type="dxa"/>
            <w:tcBorders>
              <w:top w:val="single" w:color="auto" w:sz="4" w:space="0"/>
              <w:left w:val="nil"/>
              <w:bottom w:val="single" w:color="auto" w:sz="4" w:space="0"/>
              <w:right w:val="single" w:color="auto" w:sz="4" w:space="0"/>
            </w:tcBorders>
            <w:noWrap w:val="0"/>
            <w:vAlign w:val="center"/>
          </w:tcPr>
          <w:p w14:paraId="3A241695">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中型</w:t>
            </w:r>
          </w:p>
        </w:tc>
        <w:tc>
          <w:tcPr>
            <w:tcW w:w="1707" w:type="dxa"/>
            <w:tcBorders>
              <w:top w:val="single" w:color="auto" w:sz="4" w:space="0"/>
              <w:left w:val="nil"/>
              <w:bottom w:val="single" w:color="auto" w:sz="4" w:space="0"/>
              <w:right w:val="single" w:color="auto" w:sz="4" w:space="0"/>
            </w:tcBorders>
            <w:noWrap w:val="0"/>
            <w:vAlign w:val="center"/>
          </w:tcPr>
          <w:p w14:paraId="74F65938">
            <w:pPr>
              <w:keepNext w:val="0"/>
              <w:keepLines w:val="0"/>
              <w:pageBreakBefore w:val="0"/>
              <w:widowControl/>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小型</w:t>
            </w:r>
          </w:p>
        </w:tc>
        <w:tc>
          <w:tcPr>
            <w:tcW w:w="1136" w:type="dxa"/>
            <w:tcBorders>
              <w:top w:val="single" w:color="auto" w:sz="4" w:space="0"/>
              <w:left w:val="nil"/>
              <w:bottom w:val="single" w:color="auto" w:sz="4" w:space="0"/>
              <w:right w:val="single" w:color="auto" w:sz="4" w:space="0"/>
            </w:tcBorders>
            <w:noWrap w:val="0"/>
            <w:vAlign w:val="center"/>
          </w:tcPr>
          <w:p w14:paraId="17165FB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微型</w:t>
            </w:r>
          </w:p>
        </w:tc>
      </w:tr>
      <w:tr w14:paraId="0781E953">
        <w:tblPrEx>
          <w:tblCellMar>
            <w:top w:w="0" w:type="dxa"/>
            <w:left w:w="108" w:type="dxa"/>
            <w:bottom w:w="0" w:type="dxa"/>
            <w:right w:w="108" w:type="dxa"/>
          </w:tblCellMar>
        </w:tblPrEx>
        <w:trPr>
          <w:trHeight w:val="388" w:hRule="atLeast"/>
          <w:jc w:val="center"/>
        </w:trPr>
        <w:tc>
          <w:tcPr>
            <w:tcW w:w="1602" w:type="dxa"/>
            <w:tcBorders>
              <w:top w:val="nil"/>
              <w:left w:val="single" w:color="auto" w:sz="4" w:space="0"/>
              <w:bottom w:val="single" w:color="auto" w:sz="4" w:space="0"/>
              <w:right w:val="single" w:color="auto" w:sz="4" w:space="0"/>
            </w:tcBorders>
            <w:noWrap w:val="0"/>
            <w:vAlign w:val="center"/>
          </w:tcPr>
          <w:p w14:paraId="25D76F1A">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农、林、牧、渔</w:t>
            </w:r>
          </w:p>
        </w:tc>
        <w:tc>
          <w:tcPr>
            <w:tcW w:w="1583" w:type="dxa"/>
            <w:tcBorders>
              <w:top w:val="nil"/>
              <w:left w:val="nil"/>
              <w:bottom w:val="single" w:color="auto" w:sz="4" w:space="0"/>
              <w:right w:val="single" w:color="auto" w:sz="4" w:space="0"/>
            </w:tcBorders>
            <w:noWrap w:val="0"/>
            <w:vAlign w:val="center"/>
          </w:tcPr>
          <w:p w14:paraId="463631B8">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6E7690F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25B5498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07" w:type="dxa"/>
            <w:tcBorders>
              <w:top w:val="nil"/>
              <w:left w:val="nil"/>
              <w:bottom w:val="single" w:color="auto" w:sz="4" w:space="0"/>
              <w:right w:val="single" w:color="auto" w:sz="4" w:space="0"/>
            </w:tcBorders>
            <w:noWrap w:val="0"/>
            <w:vAlign w:val="center"/>
          </w:tcPr>
          <w:p w14:paraId="1D3865B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50≤Y＜500</w:t>
            </w:r>
          </w:p>
        </w:tc>
        <w:tc>
          <w:tcPr>
            <w:tcW w:w="1136" w:type="dxa"/>
            <w:tcBorders>
              <w:top w:val="nil"/>
              <w:left w:val="nil"/>
              <w:bottom w:val="single" w:color="auto" w:sz="4" w:space="0"/>
              <w:right w:val="single" w:color="auto" w:sz="4" w:space="0"/>
            </w:tcBorders>
            <w:noWrap w:val="0"/>
            <w:vAlign w:val="center"/>
          </w:tcPr>
          <w:p w14:paraId="0DE6895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2D79E78A">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5415ED5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工业</w:t>
            </w:r>
          </w:p>
        </w:tc>
        <w:tc>
          <w:tcPr>
            <w:tcW w:w="1583" w:type="dxa"/>
            <w:tcBorders>
              <w:top w:val="nil"/>
              <w:left w:val="nil"/>
              <w:bottom w:val="single" w:color="auto" w:sz="4" w:space="0"/>
              <w:right w:val="single" w:color="auto" w:sz="4" w:space="0"/>
            </w:tcBorders>
            <w:noWrap w:val="0"/>
            <w:vAlign w:val="center"/>
          </w:tcPr>
          <w:p w14:paraId="1E2A00B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1913522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313CD22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7" w:type="dxa"/>
            <w:tcBorders>
              <w:top w:val="nil"/>
              <w:left w:val="nil"/>
              <w:bottom w:val="single" w:color="auto" w:sz="4" w:space="0"/>
              <w:right w:val="single" w:color="auto" w:sz="4" w:space="0"/>
            </w:tcBorders>
            <w:noWrap w:val="0"/>
            <w:vAlign w:val="center"/>
          </w:tcPr>
          <w:p w14:paraId="4A17DF4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6" w:type="dxa"/>
            <w:tcBorders>
              <w:top w:val="nil"/>
              <w:left w:val="nil"/>
              <w:bottom w:val="single" w:color="auto" w:sz="4" w:space="0"/>
              <w:right w:val="single" w:color="auto" w:sz="4" w:space="0"/>
            </w:tcBorders>
            <w:noWrap w:val="0"/>
            <w:vAlign w:val="center"/>
          </w:tcPr>
          <w:p w14:paraId="5AAA371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3E04CF6">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02875E6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01EF0E3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1BA72C8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2F8CF4A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2000≤Y＜40000</w:t>
            </w:r>
          </w:p>
        </w:tc>
        <w:tc>
          <w:tcPr>
            <w:tcW w:w="1707" w:type="dxa"/>
            <w:tcBorders>
              <w:top w:val="nil"/>
              <w:left w:val="nil"/>
              <w:bottom w:val="single" w:color="auto" w:sz="4" w:space="0"/>
              <w:right w:val="single" w:color="auto" w:sz="4" w:space="0"/>
            </w:tcBorders>
            <w:noWrap w:val="0"/>
            <w:vAlign w:val="center"/>
          </w:tcPr>
          <w:p w14:paraId="1D52091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300≤Y＜2000</w:t>
            </w:r>
          </w:p>
        </w:tc>
        <w:tc>
          <w:tcPr>
            <w:tcW w:w="1136" w:type="dxa"/>
            <w:tcBorders>
              <w:top w:val="nil"/>
              <w:left w:val="nil"/>
              <w:bottom w:val="single" w:color="auto" w:sz="4" w:space="0"/>
              <w:right w:val="single" w:color="auto" w:sz="4" w:space="0"/>
            </w:tcBorders>
            <w:noWrap w:val="0"/>
            <w:vAlign w:val="center"/>
          </w:tcPr>
          <w:p w14:paraId="2C646C4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3337EE16">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23C11EC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建筑业</w:t>
            </w:r>
          </w:p>
        </w:tc>
        <w:tc>
          <w:tcPr>
            <w:tcW w:w="1583" w:type="dxa"/>
            <w:tcBorders>
              <w:top w:val="nil"/>
              <w:left w:val="nil"/>
              <w:bottom w:val="single" w:color="auto" w:sz="4" w:space="0"/>
              <w:right w:val="single" w:color="auto" w:sz="4" w:space="0"/>
            </w:tcBorders>
            <w:noWrap w:val="0"/>
            <w:vAlign w:val="center"/>
          </w:tcPr>
          <w:p w14:paraId="1B85BE6A">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73C1909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10B8F95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6000≤Y＜80000</w:t>
            </w:r>
          </w:p>
        </w:tc>
        <w:tc>
          <w:tcPr>
            <w:tcW w:w="1707" w:type="dxa"/>
            <w:tcBorders>
              <w:top w:val="nil"/>
              <w:left w:val="nil"/>
              <w:bottom w:val="single" w:color="auto" w:sz="4" w:space="0"/>
              <w:right w:val="single" w:color="auto" w:sz="4" w:space="0"/>
            </w:tcBorders>
            <w:noWrap w:val="0"/>
            <w:vAlign w:val="center"/>
          </w:tcPr>
          <w:p w14:paraId="22B568E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300≤Y＜6000</w:t>
            </w:r>
          </w:p>
        </w:tc>
        <w:tc>
          <w:tcPr>
            <w:tcW w:w="1136" w:type="dxa"/>
            <w:tcBorders>
              <w:top w:val="nil"/>
              <w:left w:val="nil"/>
              <w:bottom w:val="single" w:color="auto" w:sz="4" w:space="0"/>
              <w:right w:val="single" w:color="auto" w:sz="4" w:space="0"/>
            </w:tcBorders>
            <w:noWrap w:val="0"/>
            <w:vAlign w:val="center"/>
          </w:tcPr>
          <w:p w14:paraId="007370C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Y＜300</w:t>
            </w:r>
          </w:p>
        </w:tc>
      </w:tr>
      <w:tr w14:paraId="74BE04A9">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27A83E3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37011047">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61" w:type="dxa"/>
            <w:tcBorders>
              <w:top w:val="nil"/>
              <w:left w:val="nil"/>
              <w:bottom w:val="single" w:color="auto" w:sz="4" w:space="0"/>
              <w:right w:val="single" w:color="auto" w:sz="4" w:space="0"/>
            </w:tcBorders>
            <w:noWrap w:val="0"/>
            <w:vAlign w:val="center"/>
          </w:tcPr>
          <w:p w14:paraId="359FFA6A">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66834893">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5000≤Z＜80000</w:t>
            </w:r>
          </w:p>
        </w:tc>
        <w:tc>
          <w:tcPr>
            <w:tcW w:w="1707" w:type="dxa"/>
            <w:tcBorders>
              <w:top w:val="nil"/>
              <w:left w:val="nil"/>
              <w:bottom w:val="single" w:color="auto" w:sz="4" w:space="0"/>
              <w:right w:val="single" w:color="auto" w:sz="4" w:space="0"/>
            </w:tcBorders>
            <w:noWrap w:val="0"/>
            <w:vAlign w:val="center"/>
          </w:tcPr>
          <w:p w14:paraId="4D8D551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300≤Z＜5000</w:t>
            </w:r>
          </w:p>
        </w:tc>
        <w:tc>
          <w:tcPr>
            <w:tcW w:w="1136" w:type="dxa"/>
            <w:tcBorders>
              <w:top w:val="nil"/>
              <w:left w:val="nil"/>
              <w:bottom w:val="single" w:color="auto" w:sz="4" w:space="0"/>
              <w:right w:val="single" w:color="auto" w:sz="4" w:space="0"/>
            </w:tcBorders>
            <w:noWrap w:val="0"/>
            <w:vAlign w:val="center"/>
          </w:tcPr>
          <w:p w14:paraId="7D1887A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Z＜300</w:t>
            </w:r>
          </w:p>
        </w:tc>
      </w:tr>
      <w:tr w14:paraId="07180204">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3D6A784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批发业</w:t>
            </w:r>
          </w:p>
        </w:tc>
        <w:tc>
          <w:tcPr>
            <w:tcW w:w="1583" w:type="dxa"/>
            <w:tcBorders>
              <w:top w:val="nil"/>
              <w:left w:val="nil"/>
              <w:bottom w:val="single" w:color="auto" w:sz="4" w:space="0"/>
              <w:right w:val="single" w:color="auto" w:sz="4" w:space="0"/>
            </w:tcBorders>
            <w:noWrap w:val="0"/>
            <w:vAlign w:val="center"/>
          </w:tcPr>
          <w:p w14:paraId="09DF165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5C0ED34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37F6905B">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20≤X＜200</w:t>
            </w:r>
          </w:p>
        </w:tc>
        <w:tc>
          <w:tcPr>
            <w:tcW w:w="1707" w:type="dxa"/>
            <w:tcBorders>
              <w:top w:val="nil"/>
              <w:left w:val="nil"/>
              <w:bottom w:val="single" w:color="auto" w:sz="4" w:space="0"/>
              <w:right w:val="single" w:color="auto" w:sz="4" w:space="0"/>
            </w:tcBorders>
            <w:noWrap w:val="0"/>
            <w:vAlign w:val="center"/>
          </w:tcPr>
          <w:p w14:paraId="4D1D309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5≤X＜20</w:t>
            </w:r>
          </w:p>
        </w:tc>
        <w:tc>
          <w:tcPr>
            <w:tcW w:w="1136" w:type="dxa"/>
            <w:tcBorders>
              <w:top w:val="nil"/>
              <w:left w:val="nil"/>
              <w:bottom w:val="single" w:color="auto" w:sz="4" w:space="0"/>
              <w:right w:val="single" w:color="auto" w:sz="4" w:space="0"/>
            </w:tcBorders>
            <w:noWrap w:val="0"/>
            <w:vAlign w:val="center"/>
          </w:tcPr>
          <w:p w14:paraId="68260B53">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X＜5</w:t>
            </w:r>
          </w:p>
        </w:tc>
      </w:tr>
      <w:tr w14:paraId="37D74AAD">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6FFF967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3403F7E7">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6E02ACF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5B90D3A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5000≤Y＜40000</w:t>
            </w:r>
          </w:p>
        </w:tc>
        <w:tc>
          <w:tcPr>
            <w:tcW w:w="1707" w:type="dxa"/>
            <w:tcBorders>
              <w:top w:val="nil"/>
              <w:left w:val="nil"/>
              <w:bottom w:val="single" w:color="auto" w:sz="4" w:space="0"/>
              <w:right w:val="single" w:color="auto" w:sz="4" w:space="0"/>
            </w:tcBorders>
            <w:noWrap w:val="0"/>
            <w:vAlign w:val="center"/>
          </w:tcPr>
          <w:p w14:paraId="4D42F2C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136" w:type="dxa"/>
            <w:tcBorders>
              <w:top w:val="nil"/>
              <w:left w:val="nil"/>
              <w:bottom w:val="single" w:color="auto" w:sz="4" w:space="0"/>
              <w:right w:val="single" w:color="auto" w:sz="4" w:space="0"/>
            </w:tcBorders>
            <w:noWrap w:val="0"/>
            <w:vAlign w:val="center"/>
          </w:tcPr>
          <w:p w14:paraId="5ED38CE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Y＜1000</w:t>
            </w:r>
          </w:p>
        </w:tc>
      </w:tr>
      <w:tr w14:paraId="477BC615">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2E0B80DA">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零售业</w:t>
            </w:r>
          </w:p>
        </w:tc>
        <w:tc>
          <w:tcPr>
            <w:tcW w:w="1583" w:type="dxa"/>
            <w:tcBorders>
              <w:top w:val="nil"/>
              <w:left w:val="nil"/>
              <w:bottom w:val="single" w:color="auto" w:sz="4" w:space="0"/>
              <w:right w:val="single" w:color="auto" w:sz="4" w:space="0"/>
            </w:tcBorders>
            <w:noWrap w:val="0"/>
            <w:vAlign w:val="center"/>
          </w:tcPr>
          <w:p w14:paraId="14A12EB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62FB9BE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455FAE8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50≤X＜300</w:t>
            </w:r>
          </w:p>
        </w:tc>
        <w:tc>
          <w:tcPr>
            <w:tcW w:w="1707" w:type="dxa"/>
            <w:tcBorders>
              <w:top w:val="nil"/>
              <w:left w:val="nil"/>
              <w:bottom w:val="single" w:color="auto" w:sz="4" w:space="0"/>
              <w:right w:val="single" w:color="auto" w:sz="4" w:space="0"/>
            </w:tcBorders>
            <w:noWrap w:val="0"/>
            <w:vAlign w:val="center"/>
          </w:tcPr>
          <w:p w14:paraId="78E8A05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10≤X＜50</w:t>
            </w:r>
          </w:p>
        </w:tc>
        <w:tc>
          <w:tcPr>
            <w:tcW w:w="1136" w:type="dxa"/>
            <w:tcBorders>
              <w:top w:val="nil"/>
              <w:left w:val="nil"/>
              <w:bottom w:val="single" w:color="auto" w:sz="4" w:space="0"/>
              <w:right w:val="single" w:color="auto" w:sz="4" w:space="0"/>
            </w:tcBorders>
            <w:noWrap w:val="0"/>
            <w:vAlign w:val="center"/>
          </w:tcPr>
          <w:p w14:paraId="654DC737">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5739A726">
        <w:tblPrEx>
          <w:tblCellMar>
            <w:top w:w="0" w:type="dxa"/>
            <w:left w:w="108" w:type="dxa"/>
            <w:bottom w:w="0" w:type="dxa"/>
            <w:right w:w="108" w:type="dxa"/>
          </w:tblCellMar>
        </w:tblPrEx>
        <w:trPr>
          <w:trHeight w:val="440"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27388FD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21CD1A5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371DA34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11B4BB33">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500≤Y＜20000</w:t>
            </w:r>
          </w:p>
        </w:tc>
        <w:tc>
          <w:tcPr>
            <w:tcW w:w="1707" w:type="dxa"/>
            <w:tcBorders>
              <w:top w:val="nil"/>
              <w:left w:val="nil"/>
              <w:bottom w:val="single" w:color="auto" w:sz="4" w:space="0"/>
              <w:right w:val="single" w:color="auto" w:sz="4" w:space="0"/>
            </w:tcBorders>
            <w:noWrap w:val="0"/>
            <w:vAlign w:val="center"/>
          </w:tcPr>
          <w:p w14:paraId="1C72050A">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100≤Y＜500</w:t>
            </w:r>
          </w:p>
        </w:tc>
        <w:tc>
          <w:tcPr>
            <w:tcW w:w="1136" w:type="dxa"/>
            <w:tcBorders>
              <w:top w:val="nil"/>
              <w:left w:val="nil"/>
              <w:bottom w:val="single" w:color="auto" w:sz="4" w:space="0"/>
              <w:right w:val="single" w:color="auto" w:sz="4" w:space="0"/>
            </w:tcBorders>
            <w:noWrap w:val="0"/>
            <w:vAlign w:val="center"/>
          </w:tcPr>
          <w:p w14:paraId="73C1097F">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4234202E">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3CD1375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交通运输业</w:t>
            </w:r>
          </w:p>
        </w:tc>
        <w:tc>
          <w:tcPr>
            <w:tcW w:w="1583" w:type="dxa"/>
            <w:tcBorders>
              <w:top w:val="nil"/>
              <w:left w:val="nil"/>
              <w:bottom w:val="single" w:color="auto" w:sz="4" w:space="0"/>
              <w:right w:val="single" w:color="auto" w:sz="4" w:space="0"/>
            </w:tcBorders>
            <w:noWrap w:val="0"/>
            <w:vAlign w:val="center"/>
          </w:tcPr>
          <w:p w14:paraId="13F8E20C">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728FD036">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5A95B75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7" w:type="dxa"/>
            <w:tcBorders>
              <w:top w:val="nil"/>
              <w:left w:val="nil"/>
              <w:bottom w:val="single" w:color="auto" w:sz="4" w:space="0"/>
              <w:right w:val="single" w:color="auto" w:sz="4" w:space="0"/>
            </w:tcBorders>
            <w:noWrap w:val="0"/>
            <w:vAlign w:val="center"/>
          </w:tcPr>
          <w:p w14:paraId="005090C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6" w:type="dxa"/>
            <w:tcBorders>
              <w:top w:val="nil"/>
              <w:left w:val="nil"/>
              <w:bottom w:val="single" w:color="auto" w:sz="4" w:space="0"/>
              <w:right w:val="single" w:color="auto" w:sz="4" w:space="0"/>
            </w:tcBorders>
            <w:noWrap w:val="0"/>
            <w:vAlign w:val="center"/>
          </w:tcPr>
          <w:p w14:paraId="7537CB83">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706A9FD7">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374682F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2AAECD0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34C6D46C">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193AB408">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3000≤Y＜30000</w:t>
            </w:r>
          </w:p>
        </w:tc>
        <w:tc>
          <w:tcPr>
            <w:tcW w:w="1707" w:type="dxa"/>
            <w:tcBorders>
              <w:top w:val="nil"/>
              <w:left w:val="nil"/>
              <w:bottom w:val="single" w:color="auto" w:sz="4" w:space="0"/>
              <w:right w:val="single" w:color="auto" w:sz="4" w:space="0"/>
            </w:tcBorders>
            <w:noWrap w:val="0"/>
            <w:vAlign w:val="center"/>
          </w:tcPr>
          <w:p w14:paraId="5A3EF8A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200≤Y＜3000</w:t>
            </w:r>
          </w:p>
        </w:tc>
        <w:tc>
          <w:tcPr>
            <w:tcW w:w="1136" w:type="dxa"/>
            <w:tcBorders>
              <w:top w:val="nil"/>
              <w:left w:val="nil"/>
              <w:bottom w:val="single" w:color="auto" w:sz="4" w:space="0"/>
              <w:right w:val="single" w:color="auto" w:sz="4" w:space="0"/>
            </w:tcBorders>
            <w:noWrap w:val="0"/>
            <w:vAlign w:val="center"/>
          </w:tcPr>
          <w:p w14:paraId="4B39105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w:t>
            </w:r>
          </w:p>
        </w:tc>
      </w:tr>
      <w:tr w14:paraId="0980C161">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5453B79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仓储业</w:t>
            </w:r>
          </w:p>
        </w:tc>
        <w:tc>
          <w:tcPr>
            <w:tcW w:w="1583" w:type="dxa"/>
            <w:tcBorders>
              <w:top w:val="nil"/>
              <w:left w:val="nil"/>
              <w:bottom w:val="single" w:color="auto" w:sz="4" w:space="0"/>
              <w:right w:val="single" w:color="auto" w:sz="4" w:space="0"/>
            </w:tcBorders>
            <w:noWrap w:val="0"/>
            <w:vAlign w:val="center"/>
          </w:tcPr>
          <w:p w14:paraId="754950F6">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5F8CCCF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33134F27">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w:t>
            </w:r>
          </w:p>
        </w:tc>
        <w:tc>
          <w:tcPr>
            <w:tcW w:w="1707" w:type="dxa"/>
            <w:tcBorders>
              <w:top w:val="nil"/>
              <w:left w:val="nil"/>
              <w:bottom w:val="single" w:color="auto" w:sz="4" w:space="0"/>
              <w:right w:val="single" w:color="auto" w:sz="4" w:space="0"/>
            </w:tcBorders>
            <w:noWrap w:val="0"/>
            <w:vAlign w:val="center"/>
          </w:tcPr>
          <w:p w14:paraId="6FD179F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20≤X＜100</w:t>
            </w:r>
          </w:p>
        </w:tc>
        <w:tc>
          <w:tcPr>
            <w:tcW w:w="1136" w:type="dxa"/>
            <w:tcBorders>
              <w:top w:val="nil"/>
              <w:left w:val="nil"/>
              <w:bottom w:val="single" w:color="auto" w:sz="4" w:space="0"/>
              <w:right w:val="single" w:color="auto" w:sz="4" w:space="0"/>
            </w:tcBorders>
            <w:noWrap w:val="0"/>
            <w:vAlign w:val="center"/>
          </w:tcPr>
          <w:p w14:paraId="1A0AF47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131A606D">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05276C8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2FA0E57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6048CE78">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68A9C73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1000≤Y＜30000</w:t>
            </w:r>
          </w:p>
        </w:tc>
        <w:tc>
          <w:tcPr>
            <w:tcW w:w="1707" w:type="dxa"/>
            <w:tcBorders>
              <w:top w:val="nil"/>
              <w:left w:val="nil"/>
              <w:bottom w:val="single" w:color="auto" w:sz="4" w:space="0"/>
              <w:right w:val="single" w:color="auto" w:sz="4" w:space="0"/>
            </w:tcBorders>
            <w:noWrap w:val="0"/>
            <w:vAlign w:val="center"/>
          </w:tcPr>
          <w:p w14:paraId="7A87CCE6">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36" w:type="dxa"/>
            <w:tcBorders>
              <w:top w:val="nil"/>
              <w:left w:val="nil"/>
              <w:bottom w:val="single" w:color="auto" w:sz="4" w:space="0"/>
              <w:right w:val="single" w:color="auto" w:sz="4" w:space="0"/>
            </w:tcBorders>
            <w:noWrap w:val="0"/>
            <w:vAlign w:val="center"/>
          </w:tcPr>
          <w:p w14:paraId="7C4C81F6">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689225B8">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231996E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邮政业</w:t>
            </w:r>
          </w:p>
        </w:tc>
        <w:tc>
          <w:tcPr>
            <w:tcW w:w="1583" w:type="dxa"/>
            <w:tcBorders>
              <w:top w:val="nil"/>
              <w:left w:val="nil"/>
              <w:bottom w:val="single" w:color="auto" w:sz="4" w:space="0"/>
              <w:right w:val="single" w:color="auto" w:sz="4" w:space="0"/>
            </w:tcBorders>
            <w:noWrap w:val="0"/>
            <w:vAlign w:val="center"/>
          </w:tcPr>
          <w:p w14:paraId="3B21BB3F">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24B81D9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6F3832B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7" w:type="dxa"/>
            <w:tcBorders>
              <w:top w:val="nil"/>
              <w:left w:val="nil"/>
              <w:bottom w:val="single" w:color="auto" w:sz="4" w:space="0"/>
              <w:right w:val="single" w:color="auto" w:sz="4" w:space="0"/>
            </w:tcBorders>
            <w:noWrap w:val="0"/>
            <w:vAlign w:val="center"/>
          </w:tcPr>
          <w:p w14:paraId="740D97C3">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20≤X＜300</w:t>
            </w:r>
          </w:p>
        </w:tc>
        <w:tc>
          <w:tcPr>
            <w:tcW w:w="1136" w:type="dxa"/>
            <w:tcBorders>
              <w:top w:val="nil"/>
              <w:left w:val="nil"/>
              <w:bottom w:val="single" w:color="auto" w:sz="4" w:space="0"/>
              <w:right w:val="single" w:color="auto" w:sz="4" w:space="0"/>
            </w:tcBorders>
            <w:noWrap w:val="0"/>
            <w:vAlign w:val="center"/>
          </w:tcPr>
          <w:p w14:paraId="34710CEB">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X＜20</w:t>
            </w:r>
          </w:p>
        </w:tc>
      </w:tr>
      <w:tr w14:paraId="5F6FFC65">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117C103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451337EF">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20229BA8">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4E3D16E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2000≤Y＜30000</w:t>
            </w:r>
          </w:p>
        </w:tc>
        <w:tc>
          <w:tcPr>
            <w:tcW w:w="1707" w:type="dxa"/>
            <w:tcBorders>
              <w:top w:val="nil"/>
              <w:left w:val="nil"/>
              <w:bottom w:val="single" w:color="auto" w:sz="4" w:space="0"/>
              <w:right w:val="single" w:color="auto" w:sz="4" w:space="0"/>
            </w:tcBorders>
            <w:noWrap w:val="0"/>
            <w:vAlign w:val="center"/>
          </w:tcPr>
          <w:p w14:paraId="4CF3950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6" w:type="dxa"/>
            <w:tcBorders>
              <w:top w:val="nil"/>
              <w:left w:val="nil"/>
              <w:bottom w:val="single" w:color="auto" w:sz="4" w:space="0"/>
              <w:right w:val="single" w:color="auto" w:sz="4" w:space="0"/>
            </w:tcBorders>
            <w:noWrap w:val="0"/>
            <w:vAlign w:val="center"/>
          </w:tcPr>
          <w:p w14:paraId="13C3D44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7A6D0C60">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779145B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住宿业</w:t>
            </w:r>
          </w:p>
        </w:tc>
        <w:tc>
          <w:tcPr>
            <w:tcW w:w="1583" w:type="dxa"/>
            <w:tcBorders>
              <w:top w:val="nil"/>
              <w:left w:val="nil"/>
              <w:bottom w:val="single" w:color="auto" w:sz="4" w:space="0"/>
              <w:right w:val="single" w:color="auto" w:sz="4" w:space="0"/>
            </w:tcBorders>
            <w:noWrap w:val="0"/>
            <w:vAlign w:val="center"/>
          </w:tcPr>
          <w:p w14:paraId="46A1B29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3569AB0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18328FB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7" w:type="dxa"/>
            <w:tcBorders>
              <w:top w:val="nil"/>
              <w:left w:val="nil"/>
              <w:bottom w:val="single" w:color="auto" w:sz="4" w:space="0"/>
              <w:right w:val="single" w:color="auto" w:sz="4" w:space="0"/>
            </w:tcBorders>
            <w:noWrap w:val="0"/>
            <w:vAlign w:val="center"/>
          </w:tcPr>
          <w:p w14:paraId="1F90F07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6" w:type="dxa"/>
            <w:tcBorders>
              <w:top w:val="nil"/>
              <w:left w:val="nil"/>
              <w:bottom w:val="single" w:color="auto" w:sz="4" w:space="0"/>
              <w:right w:val="single" w:color="auto" w:sz="4" w:space="0"/>
            </w:tcBorders>
            <w:noWrap w:val="0"/>
            <w:vAlign w:val="center"/>
          </w:tcPr>
          <w:p w14:paraId="04242337">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FA6FE55">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6CF2441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631CEFE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6262C8C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3E126C4B">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07" w:type="dxa"/>
            <w:tcBorders>
              <w:top w:val="nil"/>
              <w:left w:val="nil"/>
              <w:bottom w:val="single" w:color="auto" w:sz="4" w:space="0"/>
              <w:right w:val="single" w:color="auto" w:sz="4" w:space="0"/>
            </w:tcBorders>
            <w:noWrap w:val="0"/>
            <w:vAlign w:val="center"/>
          </w:tcPr>
          <w:p w14:paraId="24C203D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6" w:type="dxa"/>
            <w:tcBorders>
              <w:top w:val="nil"/>
              <w:left w:val="nil"/>
              <w:bottom w:val="single" w:color="auto" w:sz="4" w:space="0"/>
              <w:right w:val="single" w:color="auto" w:sz="4" w:space="0"/>
            </w:tcBorders>
            <w:noWrap w:val="0"/>
            <w:vAlign w:val="center"/>
          </w:tcPr>
          <w:p w14:paraId="0AFB911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3A3340EE">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6BC1E5F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餐饮业</w:t>
            </w:r>
          </w:p>
        </w:tc>
        <w:tc>
          <w:tcPr>
            <w:tcW w:w="1583" w:type="dxa"/>
            <w:tcBorders>
              <w:top w:val="nil"/>
              <w:left w:val="nil"/>
              <w:bottom w:val="single" w:color="auto" w:sz="4" w:space="0"/>
              <w:right w:val="single" w:color="auto" w:sz="4" w:space="0"/>
            </w:tcBorders>
            <w:noWrap w:val="0"/>
            <w:vAlign w:val="center"/>
          </w:tcPr>
          <w:p w14:paraId="3629960B">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50BC746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5C39B7E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7" w:type="dxa"/>
            <w:tcBorders>
              <w:top w:val="nil"/>
              <w:left w:val="nil"/>
              <w:bottom w:val="single" w:color="auto" w:sz="4" w:space="0"/>
              <w:right w:val="single" w:color="auto" w:sz="4" w:space="0"/>
            </w:tcBorders>
            <w:noWrap w:val="0"/>
            <w:vAlign w:val="center"/>
          </w:tcPr>
          <w:p w14:paraId="3E8472F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6" w:type="dxa"/>
            <w:tcBorders>
              <w:top w:val="nil"/>
              <w:left w:val="nil"/>
              <w:bottom w:val="single" w:color="auto" w:sz="4" w:space="0"/>
              <w:right w:val="single" w:color="auto" w:sz="4" w:space="0"/>
            </w:tcBorders>
            <w:noWrap w:val="0"/>
            <w:vAlign w:val="center"/>
          </w:tcPr>
          <w:p w14:paraId="032245E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30770F82">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00FD5B4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284F08A7">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24304B5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62D36FEB">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2000≤Y＜10000</w:t>
            </w:r>
          </w:p>
        </w:tc>
        <w:tc>
          <w:tcPr>
            <w:tcW w:w="1707" w:type="dxa"/>
            <w:tcBorders>
              <w:top w:val="nil"/>
              <w:left w:val="nil"/>
              <w:bottom w:val="single" w:color="auto" w:sz="4" w:space="0"/>
              <w:right w:val="single" w:color="auto" w:sz="4" w:space="0"/>
            </w:tcBorders>
            <w:noWrap w:val="0"/>
            <w:vAlign w:val="center"/>
          </w:tcPr>
          <w:p w14:paraId="37F3C9F6">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100≤Y＜2000</w:t>
            </w:r>
          </w:p>
        </w:tc>
        <w:tc>
          <w:tcPr>
            <w:tcW w:w="1136" w:type="dxa"/>
            <w:tcBorders>
              <w:top w:val="nil"/>
              <w:left w:val="nil"/>
              <w:bottom w:val="single" w:color="auto" w:sz="4" w:space="0"/>
              <w:right w:val="single" w:color="auto" w:sz="4" w:space="0"/>
            </w:tcBorders>
            <w:noWrap w:val="0"/>
            <w:vAlign w:val="center"/>
          </w:tcPr>
          <w:p w14:paraId="537CF763">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03AE9AD0">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64BDF1F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信息传输业</w:t>
            </w:r>
          </w:p>
        </w:tc>
        <w:tc>
          <w:tcPr>
            <w:tcW w:w="1583" w:type="dxa"/>
            <w:tcBorders>
              <w:top w:val="nil"/>
              <w:left w:val="nil"/>
              <w:bottom w:val="single" w:color="auto" w:sz="4" w:space="0"/>
              <w:right w:val="single" w:color="auto" w:sz="4" w:space="0"/>
            </w:tcBorders>
            <w:noWrap w:val="0"/>
            <w:vAlign w:val="center"/>
          </w:tcPr>
          <w:p w14:paraId="48F4913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284BC80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66C8B33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100≤X＜2000</w:t>
            </w:r>
          </w:p>
        </w:tc>
        <w:tc>
          <w:tcPr>
            <w:tcW w:w="1707" w:type="dxa"/>
            <w:tcBorders>
              <w:top w:val="nil"/>
              <w:left w:val="nil"/>
              <w:bottom w:val="single" w:color="auto" w:sz="4" w:space="0"/>
              <w:right w:val="single" w:color="auto" w:sz="4" w:space="0"/>
            </w:tcBorders>
            <w:noWrap w:val="0"/>
            <w:vAlign w:val="center"/>
          </w:tcPr>
          <w:p w14:paraId="72A17073">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6" w:type="dxa"/>
            <w:tcBorders>
              <w:top w:val="nil"/>
              <w:left w:val="nil"/>
              <w:bottom w:val="single" w:color="auto" w:sz="4" w:space="0"/>
              <w:right w:val="single" w:color="auto" w:sz="4" w:space="0"/>
            </w:tcBorders>
            <w:noWrap w:val="0"/>
            <w:vAlign w:val="center"/>
          </w:tcPr>
          <w:p w14:paraId="2358B9C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1215B93D">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58D4CCA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4420993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1A71544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67665B8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1000≤Y＜100000</w:t>
            </w:r>
          </w:p>
        </w:tc>
        <w:tc>
          <w:tcPr>
            <w:tcW w:w="1707" w:type="dxa"/>
            <w:tcBorders>
              <w:top w:val="nil"/>
              <w:left w:val="nil"/>
              <w:bottom w:val="single" w:color="auto" w:sz="4" w:space="0"/>
              <w:right w:val="single" w:color="auto" w:sz="4" w:space="0"/>
            </w:tcBorders>
            <w:noWrap w:val="0"/>
            <w:vAlign w:val="center"/>
          </w:tcPr>
          <w:p w14:paraId="4A4A4F1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100≤Y＜1000</w:t>
            </w:r>
          </w:p>
        </w:tc>
        <w:tc>
          <w:tcPr>
            <w:tcW w:w="1136" w:type="dxa"/>
            <w:tcBorders>
              <w:top w:val="nil"/>
              <w:left w:val="nil"/>
              <w:bottom w:val="single" w:color="auto" w:sz="4" w:space="0"/>
              <w:right w:val="single" w:color="auto" w:sz="4" w:space="0"/>
            </w:tcBorders>
            <w:noWrap w:val="0"/>
            <w:vAlign w:val="center"/>
          </w:tcPr>
          <w:p w14:paraId="608C284F">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711681D4">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23D75837">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软件和信息技术服务业</w:t>
            </w:r>
          </w:p>
        </w:tc>
        <w:tc>
          <w:tcPr>
            <w:tcW w:w="1583" w:type="dxa"/>
            <w:tcBorders>
              <w:top w:val="nil"/>
              <w:left w:val="nil"/>
              <w:bottom w:val="single" w:color="auto" w:sz="4" w:space="0"/>
              <w:right w:val="single" w:color="auto" w:sz="4" w:space="0"/>
            </w:tcBorders>
            <w:noWrap w:val="0"/>
            <w:vAlign w:val="center"/>
          </w:tcPr>
          <w:p w14:paraId="35893C38">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44EE9B1C">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73F74E4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7" w:type="dxa"/>
            <w:tcBorders>
              <w:top w:val="nil"/>
              <w:left w:val="nil"/>
              <w:bottom w:val="single" w:color="auto" w:sz="4" w:space="0"/>
              <w:right w:val="single" w:color="auto" w:sz="4" w:space="0"/>
            </w:tcBorders>
            <w:noWrap w:val="0"/>
            <w:vAlign w:val="center"/>
          </w:tcPr>
          <w:p w14:paraId="155292A3">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6" w:type="dxa"/>
            <w:tcBorders>
              <w:top w:val="nil"/>
              <w:left w:val="nil"/>
              <w:bottom w:val="single" w:color="auto" w:sz="4" w:space="0"/>
              <w:right w:val="single" w:color="auto" w:sz="4" w:space="0"/>
            </w:tcBorders>
            <w:noWrap w:val="0"/>
            <w:vAlign w:val="center"/>
          </w:tcPr>
          <w:p w14:paraId="623C9B8F">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70352B07">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7997D44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3AA9EC4C">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7C4D985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2510379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1000≤Y＜10000</w:t>
            </w:r>
          </w:p>
        </w:tc>
        <w:tc>
          <w:tcPr>
            <w:tcW w:w="1707" w:type="dxa"/>
            <w:tcBorders>
              <w:top w:val="nil"/>
              <w:left w:val="nil"/>
              <w:bottom w:val="single" w:color="auto" w:sz="4" w:space="0"/>
              <w:right w:val="single" w:color="auto" w:sz="4" w:space="0"/>
            </w:tcBorders>
            <w:noWrap w:val="0"/>
            <w:vAlign w:val="center"/>
          </w:tcPr>
          <w:p w14:paraId="540AB4E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50≤Y＜1000</w:t>
            </w:r>
          </w:p>
        </w:tc>
        <w:tc>
          <w:tcPr>
            <w:tcW w:w="1136" w:type="dxa"/>
            <w:tcBorders>
              <w:top w:val="nil"/>
              <w:left w:val="nil"/>
              <w:bottom w:val="single" w:color="auto" w:sz="4" w:space="0"/>
              <w:right w:val="single" w:color="auto" w:sz="4" w:space="0"/>
            </w:tcBorders>
            <w:noWrap w:val="0"/>
            <w:vAlign w:val="center"/>
          </w:tcPr>
          <w:p w14:paraId="4EDEA41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w:t>
            </w:r>
          </w:p>
        </w:tc>
      </w:tr>
      <w:tr w14:paraId="3F031212">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060AA3E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房地产开发经营</w:t>
            </w:r>
          </w:p>
        </w:tc>
        <w:tc>
          <w:tcPr>
            <w:tcW w:w="1583" w:type="dxa"/>
            <w:tcBorders>
              <w:top w:val="nil"/>
              <w:left w:val="nil"/>
              <w:bottom w:val="single" w:color="auto" w:sz="4" w:space="0"/>
              <w:right w:val="single" w:color="auto" w:sz="4" w:space="0"/>
            </w:tcBorders>
            <w:noWrap w:val="0"/>
            <w:vAlign w:val="center"/>
          </w:tcPr>
          <w:p w14:paraId="37E4531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34AB4248">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0166A90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1000≤Y＜200000</w:t>
            </w:r>
          </w:p>
        </w:tc>
        <w:tc>
          <w:tcPr>
            <w:tcW w:w="1707" w:type="dxa"/>
            <w:tcBorders>
              <w:top w:val="nil"/>
              <w:left w:val="nil"/>
              <w:bottom w:val="single" w:color="auto" w:sz="4" w:space="0"/>
              <w:right w:val="single" w:color="auto" w:sz="4" w:space="0"/>
            </w:tcBorders>
            <w:noWrap w:val="0"/>
            <w:vAlign w:val="center"/>
          </w:tcPr>
          <w:p w14:paraId="19FEE85B">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100≤X＜1000</w:t>
            </w:r>
          </w:p>
        </w:tc>
        <w:tc>
          <w:tcPr>
            <w:tcW w:w="1136" w:type="dxa"/>
            <w:tcBorders>
              <w:top w:val="nil"/>
              <w:left w:val="nil"/>
              <w:bottom w:val="single" w:color="auto" w:sz="4" w:space="0"/>
              <w:right w:val="single" w:color="auto" w:sz="4" w:space="0"/>
            </w:tcBorders>
            <w:noWrap w:val="0"/>
            <w:vAlign w:val="center"/>
          </w:tcPr>
          <w:p w14:paraId="15A18D8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0046238A">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0EB5A74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571C3ADA">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61" w:type="dxa"/>
            <w:tcBorders>
              <w:top w:val="nil"/>
              <w:left w:val="nil"/>
              <w:bottom w:val="single" w:color="auto" w:sz="4" w:space="0"/>
              <w:right w:val="single" w:color="auto" w:sz="4" w:space="0"/>
            </w:tcBorders>
            <w:noWrap w:val="0"/>
            <w:vAlign w:val="center"/>
          </w:tcPr>
          <w:p w14:paraId="3812A55F">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671D66D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5000≤Z＜10000</w:t>
            </w:r>
          </w:p>
        </w:tc>
        <w:tc>
          <w:tcPr>
            <w:tcW w:w="1707" w:type="dxa"/>
            <w:tcBorders>
              <w:top w:val="nil"/>
              <w:left w:val="nil"/>
              <w:bottom w:val="single" w:color="auto" w:sz="4" w:space="0"/>
              <w:right w:val="single" w:color="auto" w:sz="4" w:space="0"/>
            </w:tcBorders>
            <w:noWrap w:val="0"/>
            <w:vAlign w:val="center"/>
          </w:tcPr>
          <w:p w14:paraId="1B4550B6">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2000≤Y＜5000</w:t>
            </w:r>
          </w:p>
        </w:tc>
        <w:tc>
          <w:tcPr>
            <w:tcW w:w="1136" w:type="dxa"/>
            <w:tcBorders>
              <w:top w:val="nil"/>
              <w:left w:val="nil"/>
              <w:bottom w:val="single" w:color="auto" w:sz="4" w:space="0"/>
              <w:right w:val="single" w:color="auto" w:sz="4" w:space="0"/>
            </w:tcBorders>
            <w:noWrap w:val="0"/>
            <w:vAlign w:val="center"/>
          </w:tcPr>
          <w:p w14:paraId="15BEED0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Y＜2000</w:t>
            </w:r>
          </w:p>
        </w:tc>
      </w:tr>
      <w:tr w14:paraId="5EBC9F6A">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75B533D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物业管理</w:t>
            </w:r>
          </w:p>
        </w:tc>
        <w:tc>
          <w:tcPr>
            <w:tcW w:w="1583" w:type="dxa"/>
            <w:tcBorders>
              <w:top w:val="nil"/>
              <w:left w:val="nil"/>
              <w:bottom w:val="single" w:color="auto" w:sz="4" w:space="0"/>
              <w:right w:val="single" w:color="auto" w:sz="4" w:space="0"/>
            </w:tcBorders>
            <w:noWrap w:val="0"/>
            <w:vAlign w:val="center"/>
          </w:tcPr>
          <w:p w14:paraId="7F03936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22FA4C1F">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46D7512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300≤X＜1000</w:t>
            </w:r>
          </w:p>
        </w:tc>
        <w:tc>
          <w:tcPr>
            <w:tcW w:w="1707" w:type="dxa"/>
            <w:tcBorders>
              <w:top w:val="nil"/>
              <w:left w:val="nil"/>
              <w:bottom w:val="single" w:color="auto" w:sz="4" w:space="0"/>
              <w:right w:val="single" w:color="auto" w:sz="4" w:space="0"/>
            </w:tcBorders>
            <w:noWrap w:val="0"/>
            <w:vAlign w:val="center"/>
          </w:tcPr>
          <w:p w14:paraId="557A556A">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136" w:type="dxa"/>
            <w:tcBorders>
              <w:top w:val="nil"/>
              <w:left w:val="nil"/>
              <w:bottom w:val="single" w:color="auto" w:sz="4" w:space="0"/>
              <w:right w:val="single" w:color="auto" w:sz="4" w:space="0"/>
            </w:tcBorders>
            <w:noWrap w:val="0"/>
            <w:vAlign w:val="center"/>
          </w:tcPr>
          <w:p w14:paraId="764FD0A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X＜100</w:t>
            </w:r>
          </w:p>
        </w:tc>
      </w:tr>
      <w:tr w14:paraId="3DE26AE4">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0D3D64D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0002F7A4">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营业收入（Y）</w:t>
            </w:r>
          </w:p>
        </w:tc>
        <w:tc>
          <w:tcPr>
            <w:tcW w:w="1261" w:type="dxa"/>
            <w:tcBorders>
              <w:top w:val="nil"/>
              <w:left w:val="nil"/>
              <w:bottom w:val="single" w:color="auto" w:sz="4" w:space="0"/>
              <w:right w:val="single" w:color="auto" w:sz="4" w:space="0"/>
            </w:tcBorders>
            <w:noWrap w:val="0"/>
            <w:vAlign w:val="center"/>
          </w:tcPr>
          <w:p w14:paraId="3882E7B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2C917A5F">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1000≤Y＜5000</w:t>
            </w:r>
          </w:p>
        </w:tc>
        <w:tc>
          <w:tcPr>
            <w:tcW w:w="1707" w:type="dxa"/>
            <w:tcBorders>
              <w:top w:val="nil"/>
              <w:left w:val="nil"/>
              <w:bottom w:val="single" w:color="auto" w:sz="4" w:space="0"/>
              <w:right w:val="single" w:color="auto" w:sz="4" w:space="0"/>
            </w:tcBorders>
            <w:noWrap w:val="0"/>
            <w:vAlign w:val="center"/>
          </w:tcPr>
          <w:p w14:paraId="0DAADBB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500≤Y＜1000</w:t>
            </w:r>
          </w:p>
        </w:tc>
        <w:tc>
          <w:tcPr>
            <w:tcW w:w="1136" w:type="dxa"/>
            <w:tcBorders>
              <w:top w:val="nil"/>
              <w:left w:val="nil"/>
              <w:bottom w:val="single" w:color="auto" w:sz="4" w:space="0"/>
              <w:right w:val="single" w:color="auto" w:sz="4" w:space="0"/>
            </w:tcBorders>
            <w:noWrap w:val="0"/>
            <w:vAlign w:val="center"/>
          </w:tcPr>
          <w:p w14:paraId="5D6E880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Y＜500</w:t>
            </w:r>
          </w:p>
        </w:tc>
      </w:tr>
      <w:tr w14:paraId="783CA002">
        <w:tblPrEx>
          <w:tblCellMar>
            <w:top w:w="0" w:type="dxa"/>
            <w:left w:w="108" w:type="dxa"/>
            <w:bottom w:w="0" w:type="dxa"/>
            <w:right w:w="108" w:type="dxa"/>
          </w:tblCellMar>
        </w:tblPrEx>
        <w:trPr>
          <w:trHeight w:val="388" w:hRule="atLeast"/>
          <w:jc w:val="center"/>
        </w:trPr>
        <w:tc>
          <w:tcPr>
            <w:tcW w:w="1602" w:type="dxa"/>
            <w:vMerge w:val="restart"/>
            <w:tcBorders>
              <w:top w:val="nil"/>
              <w:left w:val="single" w:color="auto" w:sz="4" w:space="0"/>
              <w:bottom w:val="single" w:color="auto" w:sz="4" w:space="0"/>
              <w:right w:val="single" w:color="auto" w:sz="4" w:space="0"/>
            </w:tcBorders>
            <w:noWrap w:val="0"/>
            <w:vAlign w:val="center"/>
          </w:tcPr>
          <w:p w14:paraId="0CA9361B">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租赁和商务服务业</w:t>
            </w:r>
          </w:p>
        </w:tc>
        <w:tc>
          <w:tcPr>
            <w:tcW w:w="1583" w:type="dxa"/>
            <w:tcBorders>
              <w:top w:val="nil"/>
              <w:left w:val="nil"/>
              <w:bottom w:val="single" w:color="auto" w:sz="4" w:space="0"/>
              <w:right w:val="single" w:color="auto" w:sz="4" w:space="0"/>
            </w:tcBorders>
            <w:noWrap w:val="0"/>
            <w:vAlign w:val="center"/>
          </w:tcPr>
          <w:p w14:paraId="5E207C6E">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597E049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511A90F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7" w:type="dxa"/>
            <w:tcBorders>
              <w:top w:val="nil"/>
              <w:left w:val="nil"/>
              <w:bottom w:val="single" w:color="auto" w:sz="4" w:space="0"/>
              <w:right w:val="single" w:color="auto" w:sz="4" w:space="0"/>
            </w:tcBorders>
            <w:noWrap w:val="0"/>
            <w:vAlign w:val="center"/>
          </w:tcPr>
          <w:p w14:paraId="3A3AE98C">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6" w:type="dxa"/>
            <w:tcBorders>
              <w:top w:val="nil"/>
              <w:left w:val="nil"/>
              <w:bottom w:val="single" w:color="auto" w:sz="4" w:space="0"/>
              <w:right w:val="single" w:color="auto" w:sz="4" w:space="0"/>
            </w:tcBorders>
            <w:noWrap w:val="0"/>
            <w:vAlign w:val="center"/>
          </w:tcPr>
          <w:p w14:paraId="670C5A8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r w14:paraId="48B1F6C1">
        <w:tblPrEx>
          <w:tblCellMar>
            <w:top w:w="0" w:type="dxa"/>
            <w:left w:w="108" w:type="dxa"/>
            <w:bottom w:w="0" w:type="dxa"/>
            <w:right w:w="108" w:type="dxa"/>
          </w:tblCellMar>
        </w:tblPrEx>
        <w:trPr>
          <w:trHeight w:val="388" w:hRule="atLeast"/>
          <w:jc w:val="center"/>
        </w:trPr>
        <w:tc>
          <w:tcPr>
            <w:tcW w:w="1602" w:type="dxa"/>
            <w:vMerge w:val="continue"/>
            <w:tcBorders>
              <w:top w:val="nil"/>
              <w:left w:val="single" w:color="auto" w:sz="4" w:space="0"/>
              <w:bottom w:val="single" w:color="auto" w:sz="4" w:space="0"/>
              <w:right w:val="single" w:color="auto" w:sz="4" w:space="0"/>
            </w:tcBorders>
            <w:noWrap w:val="0"/>
            <w:vAlign w:val="center"/>
          </w:tcPr>
          <w:p w14:paraId="4BC3852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bCs/>
                <w:color w:val="auto"/>
                <w:kern w:val="0"/>
                <w:sz w:val="18"/>
                <w:szCs w:val="18"/>
                <w:highlight w:val="none"/>
              </w:rPr>
            </w:pPr>
          </w:p>
        </w:tc>
        <w:tc>
          <w:tcPr>
            <w:tcW w:w="1583" w:type="dxa"/>
            <w:tcBorders>
              <w:top w:val="nil"/>
              <w:left w:val="nil"/>
              <w:bottom w:val="single" w:color="auto" w:sz="4" w:space="0"/>
              <w:right w:val="single" w:color="auto" w:sz="4" w:space="0"/>
            </w:tcBorders>
            <w:noWrap w:val="0"/>
            <w:vAlign w:val="center"/>
          </w:tcPr>
          <w:p w14:paraId="6BFB383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资产总额（Z）</w:t>
            </w:r>
          </w:p>
        </w:tc>
        <w:tc>
          <w:tcPr>
            <w:tcW w:w="1261" w:type="dxa"/>
            <w:tcBorders>
              <w:top w:val="nil"/>
              <w:left w:val="nil"/>
              <w:bottom w:val="single" w:color="auto" w:sz="4" w:space="0"/>
              <w:right w:val="single" w:color="auto" w:sz="4" w:space="0"/>
            </w:tcBorders>
            <w:noWrap w:val="0"/>
            <w:vAlign w:val="center"/>
          </w:tcPr>
          <w:p w14:paraId="518826CC">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万元</w:t>
            </w:r>
          </w:p>
        </w:tc>
        <w:tc>
          <w:tcPr>
            <w:tcW w:w="1848" w:type="dxa"/>
            <w:tcBorders>
              <w:top w:val="nil"/>
              <w:left w:val="nil"/>
              <w:bottom w:val="single" w:color="auto" w:sz="4" w:space="0"/>
              <w:right w:val="single" w:color="auto" w:sz="4" w:space="0"/>
            </w:tcBorders>
            <w:noWrap w:val="0"/>
            <w:vAlign w:val="center"/>
          </w:tcPr>
          <w:p w14:paraId="1989987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8000≤Z＜120000</w:t>
            </w:r>
          </w:p>
        </w:tc>
        <w:tc>
          <w:tcPr>
            <w:tcW w:w="1707" w:type="dxa"/>
            <w:tcBorders>
              <w:top w:val="nil"/>
              <w:left w:val="nil"/>
              <w:bottom w:val="single" w:color="auto" w:sz="4" w:space="0"/>
              <w:right w:val="single" w:color="auto" w:sz="4" w:space="0"/>
            </w:tcBorders>
            <w:noWrap w:val="0"/>
            <w:vAlign w:val="center"/>
          </w:tcPr>
          <w:p w14:paraId="05A464C0">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100≤Z＜8000</w:t>
            </w:r>
          </w:p>
        </w:tc>
        <w:tc>
          <w:tcPr>
            <w:tcW w:w="1136" w:type="dxa"/>
            <w:tcBorders>
              <w:top w:val="nil"/>
              <w:left w:val="nil"/>
              <w:bottom w:val="single" w:color="auto" w:sz="4" w:space="0"/>
              <w:right w:val="single" w:color="auto" w:sz="4" w:space="0"/>
            </w:tcBorders>
            <w:noWrap w:val="0"/>
            <w:vAlign w:val="center"/>
          </w:tcPr>
          <w:p w14:paraId="4B215BB1">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Y＜100</w:t>
            </w:r>
          </w:p>
        </w:tc>
      </w:tr>
      <w:tr w14:paraId="528A343D">
        <w:tblPrEx>
          <w:tblCellMar>
            <w:top w:w="0" w:type="dxa"/>
            <w:left w:w="108" w:type="dxa"/>
            <w:bottom w:w="0" w:type="dxa"/>
            <w:right w:w="108" w:type="dxa"/>
          </w:tblCellMar>
        </w:tblPrEx>
        <w:trPr>
          <w:trHeight w:val="411" w:hRule="atLeast"/>
          <w:jc w:val="center"/>
        </w:trPr>
        <w:tc>
          <w:tcPr>
            <w:tcW w:w="1602" w:type="dxa"/>
            <w:tcBorders>
              <w:top w:val="nil"/>
              <w:left w:val="single" w:color="auto" w:sz="4" w:space="0"/>
              <w:bottom w:val="single" w:color="auto" w:sz="4" w:space="0"/>
              <w:right w:val="single" w:color="auto" w:sz="4" w:space="0"/>
            </w:tcBorders>
            <w:noWrap w:val="0"/>
            <w:vAlign w:val="center"/>
          </w:tcPr>
          <w:p w14:paraId="29F62C7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b/>
                <w:bCs/>
                <w:color w:val="auto"/>
                <w:kern w:val="0"/>
                <w:sz w:val="18"/>
                <w:szCs w:val="18"/>
                <w:highlight w:val="none"/>
              </w:rPr>
            </w:pPr>
            <w:r>
              <w:rPr>
                <w:rFonts w:hint="eastAsia" w:asciiTheme="minorEastAsia" w:hAnsiTheme="minorEastAsia" w:eastAsiaTheme="minorEastAsia" w:cstheme="minorEastAsia"/>
                <w:b/>
                <w:bCs/>
                <w:color w:val="auto"/>
                <w:kern w:val="0"/>
                <w:sz w:val="18"/>
                <w:szCs w:val="18"/>
                <w:highlight w:val="none"/>
              </w:rPr>
              <w:t>其他未列明行业</w:t>
            </w:r>
          </w:p>
        </w:tc>
        <w:tc>
          <w:tcPr>
            <w:tcW w:w="1583" w:type="dxa"/>
            <w:tcBorders>
              <w:top w:val="nil"/>
              <w:left w:val="nil"/>
              <w:bottom w:val="single" w:color="auto" w:sz="4" w:space="0"/>
              <w:right w:val="single" w:color="auto" w:sz="4" w:space="0"/>
            </w:tcBorders>
            <w:noWrap w:val="0"/>
            <w:vAlign w:val="center"/>
          </w:tcPr>
          <w:p w14:paraId="0FB008AD">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从业人员（X）</w:t>
            </w:r>
          </w:p>
        </w:tc>
        <w:tc>
          <w:tcPr>
            <w:tcW w:w="1261" w:type="dxa"/>
            <w:tcBorders>
              <w:top w:val="nil"/>
              <w:left w:val="nil"/>
              <w:bottom w:val="single" w:color="auto" w:sz="4" w:space="0"/>
              <w:right w:val="single" w:color="auto" w:sz="4" w:space="0"/>
            </w:tcBorders>
            <w:noWrap w:val="0"/>
            <w:vAlign w:val="center"/>
          </w:tcPr>
          <w:p w14:paraId="7E101AA5">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人</w:t>
            </w:r>
          </w:p>
        </w:tc>
        <w:tc>
          <w:tcPr>
            <w:tcW w:w="1848" w:type="dxa"/>
            <w:tcBorders>
              <w:top w:val="nil"/>
              <w:left w:val="nil"/>
              <w:bottom w:val="single" w:color="auto" w:sz="4" w:space="0"/>
              <w:right w:val="single" w:color="auto" w:sz="4" w:space="0"/>
            </w:tcBorders>
            <w:noWrap w:val="0"/>
            <w:vAlign w:val="center"/>
          </w:tcPr>
          <w:p w14:paraId="38D40418">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100≤X＜300</w:t>
            </w:r>
          </w:p>
        </w:tc>
        <w:tc>
          <w:tcPr>
            <w:tcW w:w="1707" w:type="dxa"/>
            <w:tcBorders>
              <w:top w:val="nil"/>
              <w:left w:val="nil"/>
              <w:bottom w:val="single" w:color="auto" w:sz="4" w:space="0"/>
              <w:right w:val="single" w:color="auto" w:sz="4" w:space="0"/>
            </w:tcBorders>
            <w:noWrap w:val="0"/>
            <w:vAlign w:val="center"/>
          </w:tcPr>
          <w:p w14:paraId="7BB5A1A2">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10≤X＜100</w:t>
            </w:r>
          </w:p>
        </w:tc>
        <w:tc>
          <w:tcPr>
            <w:tcW w:w="1136" w:type="dxa"/>
            <w:tcBorders>
              <w:top w:val="nil"/>
              <w:left w:val="nil"/>
              <w:bottom w:val="single" w:color="auto" w:sz="4" w:space="0"/>
              <w:right w:val="single" w:color="auto" w:sz="4" w:space="0"/>
            </w:tcBorders>
            <w:noWrap w:val="0"/>
            <w:vAlign w:val="center"/>
          </w:tcPr>
          <w:p w14:paraId="441A1E09">
            <w:pPr>
              <w:keepNext w:val="0"/>
              <w:keepLines w:val="0"/>
              <w:pageBreakBefore w:val="0"/>
              <w:widowControl/>
              <w:kinsoku/>
              <w:wordWrap/>
              <w:overflowPunct/>
              <w:topLinePunct w:val="0"/>
              <w:autoSpaceDE/>
              <w:autoSpaceDN/>
              <w:bidi w:val="0"/>
              <w:adjustRightInd w:val="0"/>
              <w:snapToGrid w:val="0"/>
              <w:ind w:left="0" w:leftChars="0" w:firstLine="0" w:firstLineChars="0"/>
              <w:jc w:val="center"/>
              <w:textAlignment w:val="auto"/>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X＜10</w:t>
            </w:r>
          </w:p>
        </w:tc>
      </w:tr>
    </w:tbl>
    <w:p w14:paraId="6FC0D064">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eastAsia="宋体" w:cs="宋体"/>
          <w:b/>
          <w:bCs/>
          <w:color w:val="auto"/>
          <w:kern w:val="0"/>
          <w:sz w:val="30"/>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eastAsia="宋体" w:cs="宋体"/>
          <w:b/>
          <w:bCs/>
          <w:color w:val="auto"/>
          <w:kern w:val="0"/>
          <w:sz w:val="30"/>
          <w:highlight w:val="none"/>
        </w:rPr>
        <w:t xml:space="preserve"> </w:t>
      </w:r>
    </w:p>
    <w:p w14:paraId="40FB0C9D">
      <w:pPr>
        <w:spacing w:line="300" w:lineRule="auto"/>
        <w:ind w:firstLine="0" w:firstLineChars="0"/>
        <w:rPr>
          <w:rFonts w:hAnsi="宋体" w:cs="宋体"/>
          <w:b/>
          <w:color w:val="auto"/>
          <w:highlight w:val="none"/>
        </w:rPr>
      </w:pPr>
      <w:r>
        <w:rPr>
          <w:rFonts w:hAnsi="宋体" w:cs="宋体"/>
          <w:b/>
          <w:color w:val="auto"/>
          <w:highlight w:val="none"/>
        </w:rPr>
        <w:br w:type="page"/>
      </w:r>
    </w:p>
    <w:p w14:paraId="3D4B7E07">
      <w:pPr>
        <w:spacing w:line="300" w:lineRule="auto"/>
        <w:ind w:firstLine="0" w:firstLineChars="0"/>
        <w:rPr>
          <w:rFonts w:hint="eastAsia" w:hAnsi="宋体" w:cs="宋体"/>
          <w:color w:val="auto"/>
          <w:highlight w:val="none"/>
        </w:rPr>
      </w:pPr>
      <w:r>
        <w:rPr>
          <w:rFonts w:hint="eastAsia" w:hAnsi="宋体" w:cs="宋体"/>
          <w:b/>
          <w:color w:val="auto"/>
          <w:highlight w:val="none"/>
        </w:rPr>
        <w:t>附件</w:t>
      </w:r>
    </w:p>
    <w:p w14:paraId="3061B8E6">
      <w:pPr>
        <w:spacing w:line="300" w:lineRule="auto"/>
        <w:ind w:firstLine="0" w:firstLineChars="0"/>
        <w:jc w:val="center"/>
        <w:rPr>
          <w:rFonts w:hint="eastAsia" w:ascii="宋体" w:hAnsi="宋体" w:cs="宋体"/>
          <w:b/>
          <w:bCs/>
          <w:color w:val="auto"/>
          <w:kern w:val="0"/>
          <w:sz w:val="30"/>
          <w:highlight w:val="none"/>
        </w:rPr>
      </w:pPr>
    </w:p>
    <w:p w14:paraId="64797BEB">
      <w:pPr>
        <w:spacing w:line="300" w:lineRule="auto"/>
        <w:ind w:firstLine="0" w:firstLineChars="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残疾人福利性单位声明函（格式）</w:t>
      </w:r>
    </w:p>
    <w:p w14:paraId="4F24CD25">
      <w:pPr>
        <w:spacing w:line="588" w:lineRule="exact"/>
        <w:ind w:firstLine="626"/>
        <w:rPr>
          <w:rFonts w:hint="eastAsia" w:ascii="宋体" w:hAnsi="宋体" w:cs="宋体"/>
          <w:b/>
          <w:color w:val="auto"/>
          <w:spacing w:val="6"/>
          <w:sz w:val="30"/>
          <w:szCs w:val="30"/>
          <w:highlight w:val="none"/>
        </w:rPr>
      </w:pPr>
    </w:p>
    <w:p w14:paraId="23FA01B9">
      <w:pPr>
        <w:spacing w:line="360" w:lineRule="auto"/>
        <w:ind w:firstLine="444"/>
        <w:rPr>
          <w:rFonts w:hint="eastAsia"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 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项目采购活动提供本单位制造的货物（由本单位承担工程/提供服务），或者提供其他残疾人福利性单位制造的货物（不包括使用非残疾人福利性单位注册商标的货物）。</w:t>
      </w:r>
    </w:p>
    <w:p w14:paraId="25FBE3D3">
      <w:pPr>
        <w:spacing w:line="360" w:lineRule="auto"/>
        <w:ind w:firstLine="444"/>
        <w:rPr>
          <w:rFonts w:hint="eastAsia"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14:paraId="0B7D5170">
      <w:pPr>
        <w:spacing w:line="360" w:lineRule="auto"/>
        <w:ind w:firstLine="444"/>
        <w:rPr>
          <w:rFonts w:hint="eastAsia" w:ascii="宋体" w:hAnsi="宋体" w:cs="宋体"/>
          <w:color w:val="auto"/>
          <w:spacing w:val="6"/>
          <w:highlight w:val="none"/>
        </w:rPr>
      </w:pPr>
    </w:p>
    <w:p w14:paraId="09ECFB46">
      <w:pPr>
        <w:spacing w:line="360" w:lineRule="auto"/>
        <w:ind w:firstLine="444"/>
        <w:rPr>
          <w:rFonts w:hint="eastAsia" w:ascii="宋体" w:hAnsi="宋体" w:cs="宋体"/>
          <w:color w:val="auto"/>
          <w:spacing w:val="6"/>
          <w:highlight w:val="none"/>
        </w:rPr>
      </w:pPr>
    </w:p>
    <w:p w14:paraId="47A3321A">
      <w:pPr>
        <w:tabs>
          <w:tab w:val="left" w:pos="4860"/>
        </w:tabs>
        <w:spacing w:line="360" w:lineRule="auto"/>
        <w:ind w:right="1560" w:firstLine="444"/>
        <w:jc w:val="center"/>
        <w:rPr>
          <w:rFonts w:hint="eastAsia" w:ascii="宋体" w:hAnsi="宋体" w:cs="宋体"/>
          <w:color w:val="auto"/>
          <w:spacing w:val="6"/>
          <w:highlight w:val="none"/>
        </w:rPr>
      </w:pPr>
      <w:r>
        <w:rPr>
          <w:rFonts w:hint="eastAsia" w:ascii="宋体" w:hAnsi="宋体" w:cs="宋体"/>
          <w:color w:val="auto"/>
          <w:spacing w:val="6"/>
          <w:highlight w:val="none"/>
        </w:rPr>
        <w:t>单位名称（</w:t>
      </w:r>
      <w:r>
        <w:rPr>
          <w:rFonts w:hint="eastAsia" w:hAnsi="宋体"/>
          <w:color w:val="auto"/>
          <w:highlight w:val="none"/>
        </w:rPr>
        <w:t>电子公章</w:t>
      </w:r>
      <w:r>
        <w:rPr>
          <w:rFonts w:hint="eastAsia" w:ascii="宋体" w:hAnsi="宋体" w:cs="宋体"/>
          <w:color w:val="auto"/>
          <w:spacing w:val="6"/>
          <w:highlight w:val="none"/>
        </w:rPr>
        <w:t>）：</w:t>
      </w:r>
    </w:p>
    <w:p w14:paraId="24D1E4D0">
      <w:pPr>
        <w:tabs>
          <w:tab w:val="left" w:pos="4860"/>
        </w:tabs>
        <w:spacing w:line="360" w:lineRule="auto"/>
        <w:ind w:right="1560" w:firstLine="444"/>
        <w:jc w:val="center"/>
        <w:rPr>
          <w:rFonts w:hint="eastAsia" w:ascii="宋体" w:hAnsi="宋体" w:cs="宋体"/>
          <w:color w:val="auto"/>
          <w:szCs w:val="21"/>
          <w:highlight w:val="none"/>
        </w:rPr>
      </w:pPr>
      <w:r>
        <w:rPr>
          <w:rFonts w:ascii="宋体" w:hAnsi="宋体" w:cs="宋体"/>
          <w:color w:val="auto"/>
          <w:spacing w:val="6"/>
          <w:highlight w:val="none"/>
        </w:rPr>
        <w:t xml:space="preserve">             </w:t>
      </w:r>
      <w:r>
        <w:rPr>
          <w:rFonts w:hint="eastAsia" w:ascii="宋体" w:hAnsi="宋体" w:cs="宋体"/>
          <w:color w:val="auto"/>
          <w:spacing w:val="6"/>
          <w:highlight w:val="none"/>
        </w:rPr>
        <w:t>日  期：</w:t>
      </w:r>
    </w:p>
    <w:p w14:paraId="08037DA9">
      <w:pPr>
        <w:autoSpaceDE w:val="0"/>
        <w:autoSpaceDN w:val="0"/>
        <w:spacing w:line="300" w:lineRule="auto"/>
        <w:ind w:left="480" w:firstLine="420"/>
        <w:rPr>
          <w:rFonts w:hint="eastAsia" w:ascii="宋体" w:hAnsi="宋体" w:cs="宋体"/>
          <w:color w:val="auto"/>
          <w:szCs w:val="21"/>
          <w:highlight w:val="none"/>
        </w:rPr>
      </w:pPr>
    </w:p>
    <w:p w14:paraId="140DCBBD">
      <w:pPr>
        <w:spacing w:line="300" w:lineRule="auto"/>
        <w:ind w:firstLine="0" w:firstLineChars="0"/>
        <w:rPr>
          <w:rFonts w:hint="eastAsia" w:ascii="宋体" w:hAnsi="宋体" w:cs="宋体"/>
          <w:color w:val="auto"/>
          <w:highlight w:val="none"/>
        </w:rPr>
      </w:pPr>
    </w:p>
    <w:p w14:paraId="74B0F4CB">
      <w:pPr>
        <w:ind w:firstLine="420"/>
        <w:rPr>
          <w:rFonts w:hint="eastAsia" w:ascii="宋体" w:hAnsi="宋体" w:cs="宋体"/>
          <w:color w:val="auto"/>
          <w:highlight w:val="none"/>
        </w:rPr>
      </w:pPr>
    </w:p>
    <w:p w14:paraId="65896EBD">
      <w:pPr>
        <w:ind w:firstLine="420"/>
        <w:rPr>
          <w:rFonts w:hint="eastAsia" w:ascii="宋体" w:hAnsi="宋体" w:cs="宋体"/>
          <w:color w:val="auto"/>
          <w:highlight w:val="none"/>
        </w:rPr>
      </w:pPr>
    </w:p>
    <w:p w14:paraId="5B88AF56">
      <w:pPr>
        <w:ind w:firstLine="420"/>
        <w:rPr>
          <w:rFonts w:hint="eastAsia" w:ascii="宋体" w:hAnsi="宋体" w:cs="宋体"/>
          <w:color w:val="auto"/>
          <w:highlight w:val="none"/>
        </w:rPr>
      </w:pPr>
    </w:p>
    <w:p w14:paraId="05F2DEFF">
      <w:pPr>
        <w:ind w:firstLine="420"/>
        <w:rPr>
          <w:rFonts w:hint="eastAsia" w:ascii="宋体" w:hAnsi="宋体" w:cs="宋体"/>
          <w:color w:val="auto"/>
          <w:highlight w:val="none"/>
        </w:rPr>
      </w:pPr>
    </w:p>
    <w:p w14:paraId="335360A0">
      <w:pPr>
        <w:snapToGrid w:val="0"/>
        <w:spacing w:before="50" w:line="360" w:lineRule="auto"/>
        <w:ind w:firstLine="422"/>
        <w:jc w:val="left"/>
        <w:rPr>
          <w:rFonts w:hint="eastAsia" w:ascii="宋体" w:hAnsi="宋体" w:cs="宋体"/>
          <w:b/>
          <w:bCs/>
          <w:color w:val="auto"/>
          <w:szCs w:val="21"/>
          <w:highlight w:val="none"/>
        </w:rPr>
      </w:pPr>
    </w:p>
    <w:p w14:paraId="1E137C8C">
      <w:pPr>
        <w:snapToGrid w:val="0"/>
        <w:spacing w:before="50" w:line="360" w:lineRule="auto"/>
        <w:ind w:firstLine="422"/>
        <w:jc w:val="left"/>
        <w:rPr>
          <w:rFonts w:hint="eastAsia" w:ascii="宋体" w:hAnsi="宋体" w:cs="宋体"/>
          <w:b/>
          <w:bCs/>
          <w:color w:val="auto"/>
          <w:szCs w:val="21"/>
          <w:highlight w:val="none"/>
        </w:rPr>
      </w:pPr>
    </w:p>
    <w:p w14:paraId="58917BAA">
      <w:pPr>
        <w:snapToGrid w:val="0"/>
        <w:spacing w:before="50" w:line="360" w:lineRule="auto"/>
        <w:ind w:firstLine="422"/>
        <w:jc w:val="left"/>
        <w:rPr>
          <w:rFonts w:hint="eastAsia" w:ascii="宋体" w:hAnsi="宋体" w:cs="宋体"/>
          <w:b/>
          <w:bCs/>
          <w:color w:val="auto"/>
          <w:szCs w:val="21"/>
          <w:highlight w:val="none"/>
        </w:rPr>
      </w:pPr>
    </w:p>
    <w:p w14:paraId="1754A276">
      <w:pPr>
        <w:snapToGrid w:val="0"/>
        <w:spacing w:before="50" w:line="360" w:lineRule="auto"/>
        <w:ind w:firstLine="422"/>
        <w:jc w:val="left"/>
        <w:rPr>
          <w:rFonts w:hint="eastAsia" w:ascii="宋体" w:hAnsi="宋体" w:cs="宋体"/>
          <w:b/>
          <w:bCs/>
          <w:color w:val="auto"/>
          <w:szCs w:val="21"/>
          <w:highlight w:val="none"/>
        </w:rPr>
      </w:pPr>
    </w:p>
    <w:p w14:paraId="49EC5D9C">
      <w:pPr>
        <w:snapToGrid w:val="0"/>
        <w:spacing w:before="50" w:line="360" w:lineRule="auto"/>
        <w:ind w:firstLine="422"/>
        <w:jc w:val="left"/>
        <w:rPr>
          <w:rFonts w:hint="eastAsia" w:ascii="宋体" w:hAnsi="宋体" w:cs="宋体"/>
          <w:b/>
          <w:bCs/>
          <w:color w:val="auto"/>
          <w:szCs w:val="21"/>
          <w:highlight w:val="none"/>
        </w:rPr>
      </w:pPr>
    </w:p>
    <w:p w14:paraId="106E6908">
      <w:pPr>
        <w:spacing w:line="360" w:lineRule="exact"/>
        <w:ind w:firstLine="0" w:firstLineChars="0"/>
        <w:rPr>
          <w:rFonts w:hint="eastAsia" w:ascii="宋体" w:hAnsi="宋体" w:cs="宋体"/>
          <w:b/>
          <w:bCs/>
          <w:color w:val="auto"/>
          <w:highlight w:val="none"/>
        </w:rPr>
      </w:pPr>
      <w:r>
        <w:rPr>
          <w:rFonts w:hint="eastAsia" w:ascii="宋体" w:hAnsi="宋体" w:cs="宋体"/>
          <w:b/>
          <w:bCs/>
          <w:color w:val="auto"/>
          <w:szCs w:val="21"/>
          <w:highlight w:val="none"/>
        </w:rPr>
        <w:t>注：随成交结果同时公告其《残疾人福利性单位声明函》，接受社会监督。供应商提供的《残疾人福利性单位声明函》与事实不符的，依照《</w:t>
      </w:r>
      <w:r>
        <w:rPr>
          <w:rFonts w:hint="eastAsia" w:ascii="宋体" w:hAnsi="宋体" w:cs="宋体"/>
          <w:b/>
          <w:bCs/>
          <w:color w:val="auto"/>
          <w:highlight w:val="none"/>
        </w:rPr>
        <w:t>中华人民共和国</w:t>
      </w:r>
      <w:r>
        <w:rPr>
          <w:rFonts w:hint="eastAsia" w:ascii="宋体" w:hAnsi="宋体" w:cs="宋体"/>
          <w:b/>
          <w:bCs/>
          <w:color w:val="auto"/>
          <w:szCs w:val="21"/>
          <w:highlight w:val="none"/>
        </w:rPr>
        <w:t>政府采购法》第七十七条第一款的规定追究法律责任</w:t>
      </w:r>
      <w:r>
        <w:rPr>
          <w:rFonts w:hint="eastAsia" w:ascii="宋体" w:hAnsi="宋体" w:cs="宋体"/>
          <w:b/>
          <w:bCs/>
          <w:color w:val="auto"/>
          <w:highlight w:val="none"/>
        </w:rPr>
        <w:t>。</w:t>
      </w:r>
    </w:p>
    <w:p w14:paraId="19243C7B">
      <w:pPr>
        <w:spacing w:line="360" w:lineRule="exact"/>
        <w:ind w:firstLine="0" w:firstLineChars="0"/>
        <w:rPr>
          <w:rFonts w:hint="eastAsia" w:ascii="宋体" w:hAnsi="宋体" w:cs="宋体"/>
          <w:b/>
          <w:bCs/>
          <w:color w:val="auto"/>
          <w:highlight w:val="none"/>
        </w:rPr>
      </w:pPr>
    </w:p>
    <w:p w14:paraId="152B1CB2">
      <w:pPr>
        <w:spacing w:line="360" w:lineRule="exact"/>
        <w:ind w:firstLine="0" w:firstLineChars="0"/>
        <w:rPr>
          <w:rFonts w:hAnsi="宋体"/>
          <w:b/>
          <w:bCs/>
          <w:color w:val="auto"/>
          <w:highlight w:val="none"/>
        </w:rPr>
      </w:pPr>
      <w:r>
        <w:rPr>
          <w:rFonts w:hAnsi="宋体"/>
          <w:color w:val="auto"/>
          <w:highlight w:val="none"/>
        </w:rPr>
        <w:br w:type="page"/>
      </w:r>
      <w:r>
        <w:rPr>
          <w:rFonts w:hint="eastAsia" w:ascii="宋体" w:hAnsi="宋体"/>
          <w:b/>
          <w:color w:val="auto"/>
          <w:szCs w:val="21"/>
          <w:highlight w:val="none"/>
        </w:rPr>
        <w:t>附件</w:t>
      </w:r>
    </w:p>
    <w:p w14:paraId="232DFAA1">
      <w:pPr>
        <w:spacing w:line="440" w:lineRule="exact"/>
        <w:ind w:firstLine="0" w:firstLineChars="0"/>
        <w:jc w:val="center"/>
        <w:rPr>
          <w:rFonts w:hint="eastAsia" w:ascii="宋体" w:hAnsi="Courier New"/>
          <w:b/>
          <w:color w:val="auto"/>
          <w:kern w:val="0"/>
          <w:sz w:val="32"/>
          <w:szCs w:val="21"/>
          <w:highlight w:val="none"/>
        </w:rPr>
      </w:pPr>
      <w:r>
        <w:rPr>
          <w:rFonts w:hint="eastAsia" w:ascii="宋体" w:hAnsi="Courier New"/>
          <w:b/>
          <w:color w:val="auto"/>
          <w:kern w:val="0"/>
          <w:sz w:val="32"/>
          <w:szCs w:val="21"/>
          <w:highlight w:val="none"/>
        </w:rPr>
        <w:t>磋商保证金证明（格式）</w:t>
      </w:r>
    </w:p>
    <w:p w14:paraId="54929628">
      <w:pPr>
        <w:spacing w:line="380" w:lineRule="exact"/>
        <w:ind w:firstLine="420"/>
        <w:rPr>
          <w:rFonts w:hint="eastAsia"/>
          <w:color w:val="auto"/>
          <w:highlight w:val="none"/>
        </w:rPr>
      </w:pPr>
    </w:p>
    <w:p w14:paraId="624D6785">
      <w:pPr>
        <w:pStyle w:val="26"/>
        <w:spacing w:line="360" w:lineRule="auto"/>
        <w:ind w:firstLine="562" w:firstLineChars="268"/>
        <w:rPr>
          <w:rFonts w:hint="eastAsia" w:hAnsi="宋体" w:cs="宋体"/>
          <w:color w:val="auto"/>
          <w:sz w:val="21"/>
          <w:highlight w:val="none"/>
        </w:rPr>
      </w:pPr>
      <w:r>
        <w:rPr>
          <w:rFonts w:hint="eastAsia"/>
          <w:b/>
          <w:color w:val="auto"/>
          <w:sz w:val="21"/>
          <w:highlight w:val="none"/>
        </w:rPr>
        <w:t>供应商应在此按“供应商须知”的相应要求提供磋商保证金证明材料复印件并加盖</w:t>
      </w:r>
      <w:r>
        <w:rPr>
          <w:rFonts w:hint="eastAsia" w:hAnsi="宋体"/>
          <w:b/>
          <w:color w:val="auto"/>
          <w:sz w:val="21"/>
          <w:highlight w:val="none"/>
        </w:rPr>
        <w:t>供应商电子公章</w:t>
      </w:r>
      <w:r>
        <w:rPr>
          <w:rFonts w:hint="eastAsia"/>
          <w:b/>
          <w:color w:val="auto"/>
          <w:sz w:val="21"/>
          <w:highlight w:val="none"/>
        </w:rPr>
        <w:t>。</w:t>
      </w:r>
      <w:r>
        <w:rPr>
          <w:rFonts w:hint="eastAsia"/>
          <w:color w:val="auto"/>
          <w:sz w:val="21"/>
          <w:highlight w:val="none"/>
        </w:rPr>
        <w:t>（</w:t>
      </w:r>
      <w:r>
        <w:rPr>
          <w:rFonts w:hint="eastAsia" w:hAnsi="宋体" w:cs="Arial"/>
          <w:b/>
          <w:color w:val="auto"/>
          <w:sz w:val="21"/>
          <w:highlight w:val="none"/>
        </w:rPr>
        <w:t>采用</w:t>
      </w:r>
      <w:r>
        <w:rPr>
          <w:rFonts w:hint="eastAsia" w:hAnsi="宋体" w:cs="Arial"/>
          <w:color w:val="auto"/>
          <w:sz w:val="21"/>
          <w:highlight w:val="none"/>
        </w:rPr>
        <w:t>支票、汇票、本票或者金融机构、担保机构出具的保函</w:t>
      </w:r>
      <w:r>
        <w:rPr>
          <w:rFonts w:hint="eastAsia" w:hAnsi="宋体"/>
          <w:color w:val="auto"/>
          <w:sz w:val="21"/>
          <w:highlight w:val="none"/>
        </w:rPr>
        <w:t>、</w:t>
      </w:r>
      <w:r>
        <w:rPr>
          <w:rFonts w:hint="eastAsia" w:hAnsi="宋体" w:cs="Arial"/>
          <w:color w:val="auto"/>
          <w:sz w:val="21"/>
          <w:highlight w:val="none"/>
        </w:rPr>
        <w:t>保险等形式的，在</w:t>
      </w:r>
      <w:r>
        <w:rPr>
          <w:rFonts w:hint="eastAsia" w:hAnsi="宋体"/>
          <w:b/>
          <w:color w:val="auto"/>
          <w:sz w:val="21"/>
          <w:highlight w:val="none"/>
        </w:rPr>
        <w:t>首次响应文件递交截止时间前</w:t>
      </w:r>
      <w:r>
        <w:rPr>
          <w:rFonts w:hint="eastAsia" w:hAnsi="宋体" w:cs="Arial"/>
          <w:color w:val="auto"/>
          <w:sz w:val="21"/>
          <w:highlight w:val="none"/>
        </w:rPr>
        <w:t>，供应商应当在递交首次响应文件的同时递交单独密封的保函</w:t>
      </w:r>
      <w:r>
        <w:rPr>
          <w:rFonts w:hint="eastAsia" w:hAnsi="宋体"/>
          <w:color w:val="auto"/>
          <w:sz w:val="21"/>
          <w:highlight w:val="none"/>
        </w:rPr>
        <w:t>、</w:t>
      </w:r>
      <w:r>
        <w:rPr>
          <w:rFonts w:hint="eastAsia" w:hAnsi="宋体" w:cs="Arial"/>
          <w:color w:val="auto"/>
          <w:sz w:val="21"/>
          <w:highlight w:val="none"/>
        </w:rPr>
        <w:t>保险</w:t>
      </w:r>
      <w:r>
        <w:rPr>
          <w:rFonts w:hint="eastAsia" w:hAnsi="宋体" w:cs="Arial"/>
          <w:b/>
          <w:color w:val="auto"/>
          <w:sz w:val="21"/>
          <w:highlight w:val="none"/>
        </w:rPr>
        <w:t>原件</w:t>
      </w:r>
      <w:r>
        <w:rPr>
          <w:rFonts w:hint="eastAsia" w:hAnsi="宋体"/>
          <w:color w:val="auto"/>
          <w:sz w:val="21"/>
          <w:highlight w:val="none"/>
        </w:rPr>
        <w:t>[提交地点：柳州市龙湖路13号柳州市民服务中心北楼4楼）对应开标室，采用电子保函方式交纳投标保证金的，不需提交]</w:t>
      </w:r>
      <w:r>
        <w:rPr>
          <w:rFonts w:hint="eastAsia"/>
          <w:color w:val="auto"/>
          <w:sz w:val="21"/>
          <w:highlight w:val="none"/>
        </w:rPr>
        <w:t>）</w:t>
      </w:r>
    </w:p>
    <w:p w14:paraId="14A1E8D7">
      <w:pPr>
        <w:spacing w:line="300" w:lineRule="auto"/>
        <w:ind w:firstLine="0" w:firstLineChars="0"/>
        <w:rPr>
          <w:rFonts w:hint="eastAsia" w:ascii="宋体" w:hAnsi="宋体" w:cs="方正小标宋简体"/>
          <w:b/>
          <w:color w:val="auto"/>
          <w:szCs w:val="21"/>
          <w:highlight w:val="none"/>
        </w:rPr>
      </w:pPr>
    </w:p>
    <w:p w14:paraId="4BA82EF7">
      <w:pPr>
        <w:spacing w:line="360" w:lineRule="auto"/>
        <w:ind w:firstLine="422"/>
        <w:jc w:val="left"/>
        <w:rPr>
          <w:rFonts w:hint="eastAsia" w:ascii="宋体" w:hAnsi="宋体" w:cs="方正小标宋简体"/>
          <w:b/>
          <w:color w:val="auto"/>
          <w:szCs w:val="21"/>
          <w:highlight w:val="none"/>
        </w:rPr>
      </w:pPr>
      <w:r>
        <w:rPr>
          <w:rFonts w:ascii="宋体" w:hAnsi="宋体" w:cs="方正小标宋简体"/>
          <w:b/>
          <w:color w:val="auto"/>
          <w:szCs w:val="21"/>
          <w:highlight w:val="none"/>
        </w:rPr>
        <w:br w:type="page"/>
      </w:r>
      <w:r>
        <w:rPr>
          <w:rFonts w:hint="eastAsia" w:ascii="宋体" w:hAnsi="宋体" w:cs="方正小标宋简体"/>
          <w:b/>
          <w:color w:val="auto"/>
          <w:szCs w:val="21"/>
          <w:highlight w:val="none"/>
        </w:rPr>
        <w:t>附件</w:t>
      </w:r>
    </w:p>
    <w:p w14:paraId="61DDEF17">
      <w:pPr>
        <w:spacing w:line="360" w:lineRule="auto"/>
        <w:ind w:firstLine="643"/>
        <w:jc w:val="center"/>
        <w:rPr>
          <w:rFonts w:hint="eastAsia" w:ascii="宋体" w:hAnsi="宋体" w:cs="方正小标宋简体"/>
          <w:b/>
          <w:color w:val="auto"/>
          <w:sz w:val="32"/>
          <w:szCs w:val="32"/>
          <w:highlight w:val="none"/>
        </w:rPr>
      </w:pPr>
      <w:r>
        <w:rPr>
          <w:rFonts w:hint="eastAsia" w:ascii="宋体" w:hAnsi="宋体" w:cs="方正小标宋简体"/>
          <w:b/>
          <w:color w:val="auto"/>
          <w:sz w:val="32"/>
          <w:szCs w:val="32"/>
          <w:highlight w:val="none"/>
        </w:rPr>
        <w:t>无串通竞标行为的承诺函（格式）</w:t>
      </w:r>
    </w:p>
    <w:p w14:paraId="7573E326">
      <w:pPr>
        <w:spacing w:line="360" w:lineRule="auto"/>
        <w:ind w:firstLine="643"/>
        <w:jc w:val="center"/>
        <w:rPr>
          <w:rFonts w:hint="eastAsia" w:ascii="宋体" w:hAnsi="宋体" w:cs="仿宋_GB2312"/>
          <w:b/>
          <w:color w:val="auto"/>
          <w:sz w:val="32"/>
          <w:szCs w:val="32"/>
          <w:highlight w:val="none"/>
        </w:rPr>
      </w:pPr>
    </w:p>
    <w:p w14:paraId="0477D8C3">
      <w:pPr>
        <w:spacing w:line="360" w:lineRule="auto"/>
        <w:ind w:firstLine="422"/>
        <w:rPr>
          <w:rFonts w:hint="eastAsia" w:ascii="宋体" w:hAnsi="宋体" w:cs="仿宋_GB2312"/>
          <w:b/>
          <w:bCs/>
          <w:color w:val="auto"/>
          <w:szCs w:val="21"/>
          <w:highlight w:val="none"/>
        </w:rPr>
      </w:pPr>
      <w:r>
        <w:rPr>
          <w:rFonts w:hint="eastAsia" w:ascii="宋体" w:hAnsi="宋体" w:cs="仿宋_GB2312"/>
          <w:b/>
          <w:bCs/>
          <w:color w:val="auto"/>
          <w:szCs w:val="21"/>
          <w:highlight w:val="none"/>
        </w:rPr>
        <w:t>一、我方承诺无下列相互串通竞标的情形：</w:t>
      </w:r>
    </w:p>
    <w:p w14:paraId="24F45160">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1.不同供应商的响应文件由同一单位或者个人编制；或不同供应商报名的IP地址一致的；</w:t>
      </w:r>
    </w:p>
    <w:p w14:paraId="4B94CD9A">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2.不同供应商委托同一单位或者个人办理竞标事宜；</w:t>
      </w:r>
    </w:p>
    <w:p w14:paraId="46549159">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3.不同供应商的响应文件载明的项目管理员为同一个人；</w:t>
      </w:r>
    </w:p>
    <w:p w14:paraId="7442B71E">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4.不</w:t>
      </w:r>
      <w:r>
        <w:rPr>
          <w:rFonts w:hint="eastAsia" w:ascii="宋体" w:hAnsi="宋体" w:cs="仿宋_GB2312"/>
          <w:color w:val="auto"/>
          <w:spacing w:val="-6"/>
          <w:szCs w:val="21"/>
          <w:highlight w:val="none"/>
        </w:rPr>
        <w:t>同供应商的响应文件异常一致或竞标报价呈规律性差异；</w:t>
      </w:r>
    </w:p>
    <w:p w14:paraId="0EDC84B1">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5.不同供应商的响应文件相互混装；</w:t>
      </w:r>
    </w:p>
    <w:p w14:paraId="4AE8A0B5">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6.不同供应商的磋商保证金从同一单位或者个人账户转出。</w:t>
      </w:r>
    </w:p>
    <w:p w14:paraId="4C6BBC11">
      <w:pPr>
        <w:spacing w:line="360" w:lineRule="auto"/>
        <w:ind w:firstLine="422"/>
        <w:rPr>
          <w:rFonts w:hint="eastAsia" w:ascii="宋体" w:hAnsi="宋体" w:cs="仿宋_GB2312"/>
          <w:b/>
          <w:bCs/>
          <w:color w:val="auto"/>
          <w:szCs w:val="21"/>
          <w:highlight w:val="none"/>
        </w:rPr>
      </w:pPr>
      <w:r>
        <w:rPr>
          <w:rFonts w:hint="eastAsia" w:ascii="宋体" w:hAnsi="宋体" w:cs="仿宋_GB2312"/>
          <w:b/>
          <w:bCs/>
          <w:color w:val="auto"/>
          <w:szCs w:val="21"/>
          <w:highlight w:val="none"/>
        </w:rPr>
        <w:t>二、我方承诺无下列恶意串通的情形：</w:t>
      </w:r>
    </w:p>
    <w:p w14:paraId="74B6E18A">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1.供应商直接或者间接从采购人或者采购代理机构处获得其他供应商的相关信息并修改其响应文件；</w:t>
      </w:r>
    </w:p>
    <w:p w14:paraId="4C20755A">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2.供应商按照采购人或者采购代理机构的授意撤换、修改响应文件；</w:t>
      </w:r>
    </w:p>
    <w:p w14:paraId="5F2BC79C">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3.供</w:t>
      </w:r>
      <w:r>
        <w:rPr>
          <w:rFonts w:hint="eastAsia" w:ascii="宋体" w:hAnsi="宋体" w:cs="仿宋_GB2312"/>
          <w:color w:val="auto"/>
          <w:spacing w:val="-6"/>
          <w:szCs w:val="21"/>
          <w:highlight w:val="none"/>
        </w:rPr>
        <w:t>应商之间协商报价、技术方案等响应文件的实质性内容；</w:t>
      </w:r>
    </w:p>
    <w:p w14:paraId="19BFAF2E">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4.属于同一集团、协会、商会等组织成员的供应商按照该组织要求协同参加政府采购活动；</w:t>
      </w:r>
    </w:p>
    <w:p w14:paraId="367FF3A7">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28A20743">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6.供应商之间商定部分供应商放弃参加政府采购活动或者放弃成交；</w:t>
      </w:r>
    </w:p>
    <w:p w14:paraId="0DCB0AED">
      <w:pPr>
        <w:spacing w:line="360" w:lineRule="auto"/>
        <w:ind w:firstLine="420"/>
        <w:rPr>
          <w:rFonts w:hint="eastAsia" w:ascii="宋体" w:hAnsi="宋体" w:cs="仿宋_GB2312"/>
          <w:color w:val="auto"/>
          <w:szCs w:val="21"/>
          <w:highlight w:val="none"/>
        </w:rPr>
      </w:pPr>
      <w:r>
        <w:rPr>
          <w:rFonts w:hint="eastAsia" w:ascii="宋体" w:hAnsi="宋体" w:cs="仿宋_GB2312"/>
          <w:color w:val="auto"/>
          <w:szCs w:val="21"/>
          <w:highlight w:val="none"/>
        </w:rPr>
        <w:t>7.供应商与采购人或者采购代理机构之间、供应商相互之间，为</w:t>
      </w:r>
      <w:r>
        <w:rPr>
          <w:rFonts w:hint="eastAsia" w:ascii="宋体" w:hAnsi="宋体" w:cs="仿宋_GB2312"/>
          <w:color w:val="auto"/>
          <w:spacing w:val="-6"/>
          <w:szCs w:val="21"/>
          <w:highlight w:val="none"/>
        </w:rPr>
        <w:t>谋求特定供应商成交或者排斥其他供应商的其他串通行为。</w:t>
      </w:r>
    </w:p>
    <w:p w14:paraId="4B7D6E82">
      <w:pPr>
        <w:spacing w:line="360" w:lineRule="auto"/>
        <w:ind w:firstLine="420"/>
        <w:rPr>
          <w:rFonts w:hint="eastAsia" w:ascii="宋体" w:hAnsi="宋体" w:cs="仿宋_GB2312"/>
          <w:color w:val="auto"/>
          <w:szCs w:val="21"/>
          <w:highlight w:val="none"/>
        </w:rPr>
      </w:pPr>
    </w:p>
    <w:p w14:paraId="73A62C62">
      <w:pPr>
        <w:spacing w:line="360" w:lineRule="auto"/>
        <w:ind w:firstLine="422"/>
        <w:rPr>
          <w:rFonts w:hint="eastAsia" w:ascii="宋体" w:hAnsi="宋体" w:cs="仿宋_GB2312"/>
          <w:b/>
          <w:bCs/>
          <w:color w:val="auto"/>
          <w:szCs w:val="21"/>
          <w:highlight w:val="none"/>
        </w:rPr>
      </w:pPr>
      <w:r>
        <w:rPr>
          <w:rFonts w:hint="eastAsia" w:ascii="宋体" w:hAnsi="宋体" w:cs="仿宋_GB2312"/>
          <w:b/>
          <w:bCs/>
          <w:color w:val="auto"/>
          <w:szCs w:val="21"/>
          <w:highlight w:val="none"/>
        </w:rPr>
        <w:t>以上情形一经核查属实，我方愿意承担一切后果，并不再寻求任何旨在减轻或免除法律责任的辩解。</w:t>
      </w:r>
    </w:p>
    <w:p w14:paraId="0C3FE6EA">
      <w:pPr>
        <w:spacing w:line="360" w:lineRule="auto"/>
        <w:ind w:firstLine="420"/>
        <w:rPr>
          <w:rFonts w:hint="eastAsia" w:ascii="宋体" w:hAnsi="宋体" w:cs="仿宋_GB2312"/>
          <w:color w:val="auto"/>
          <w:szCs w:val="21"/>
          <w:highlight w:val="none"/>
        </w:rPr>
      </w:pPr>
    </w:p>
    <w:p w14:paraId="71BA0721">
      <w:pPr>
        <w:spacing w:line="360" w:lineRule="auto"/>
        <w:ind w:firstLine="420"/>
        <w:rPr>
          <w:rFonts w:hint="eastAsia" w:ascii="宋体" w:hAnsi="宋体" w:cs="仿宋_GB2312"/>
          <w:color w:val="auto"/>
          <w:szCs w:val="21"/>
          <w:highlight w:val="none"/>
        </w:rPr>
      </w:pPr>
    </w:p>
    <w:p w14:paraId="61E52935">
      <w:pPr>
        <w:spacing w:line="360" w:lineRule="auto"/>
        <w:ind w:firstLine="5355" w:firstLineChars="2550"/>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hAnsi="宋体"/>
          <w:color w:val="auto"/>
          <w:highlight w:val="none"/>
        </w:rPr>
        <w:t>电子公章</w:t>
      </w:r>
      <w:r>
        <w:rPr>
          <w:rFonts w:hint="eastAsia" w:ascii="宋体" w:hAnsi="宋体" w:cs="仿宋_GB2312"/>
          <w:color w:val="auto"/>
          <w:szCs w:val="21"/>
          <w:highlight w:val="none"/>
        </w:rPr>
        <w:t>）：</w:t>
      </w:r>
      <w:r>
        <w:rPr>
          <w:rFonts w:hint="eastAsia" w:ascii="宋体" w:hAnsi="宋体" w:cs="仿宋_GB2312"/>
          <w:color w:val="auto"/>
          <w:szCs w:val="21"/>
          <w:highlight w:val="none"/>
          <w:u w:val="single"/>
        </w:rPr>
        <w:t xml:space="preserve"> </w:t>
      </w:r>
      <w:r>
        <w:rPr>
          <w:rFonts w:ascii="宋体" w:hAnsi="宋体" w:cs="仿宋_GB2312"/>
          <w:color w:val="auto"/>
          <w:szCs w:val="21"/>
          <w:highlight w:val="none"/>
          <w:u w:val="single"/>
        </w:rPr>
        <w:t xml:space="preserve">           </w:t>
      </w:r>
    </w:p>
    <w:p w14:paraId="2180B76D">
      <w:pPr>
        <w:spacing w:line="360" w:lineRule="auto"/>
        <w:ind w:firstLine="420"/>
        <w:jc w:val="center"/>
        <w:rPr>
          <w:rFonts w:hint="eastAsia" w:ascii="宋体" w:hAnsi="宋体" w:cs="仿宋_GB2312"/>
          <w:color w:val="auto"/>
          <w:szCs w:val="21"/>
          <w:highlight w:val="none"/>
        </w:rPr>
      </w:pPr>
      <w:r>
        <w:rPr>
          <w:rFonts w:hint="eastAsia" w:ascii="宋体" w:hAnsi="宋体" w:cs="仿宋_GB2312"/>
          <w:color w:val="auto"/>
          <w:szCs w:val="21"/>
          <w:highlight w:val="none"/>
        </w:rPr>
        <w:t xml:space="preserve">                                                  </w:t>
      </w:r>
      <w:r>
        <w:rPr>
          <w:rFonts w:ascii="宋体" w:hAnsi="宋体" w:cs="仿宋_GB2312"/>
          <w:color w:val="auto"/>
          <w:szCs w:val="21"/>
          <w:highlight w:val="none"/>
        </w:rPr>
        <w:t xml:space="preserve">       </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14:paraId="23B69F75">
      <w:pPr>
        <w:snapToGrid w:val="0"/>
        <w:spacing w:before="50"/>
        <w:ind w:firstLine="0" w:firstLineChars="0"/>
        <w:jc w:val="left"/>
        <w:rPr>
          <w:rFonts w:hint="eastAsia" w:ascii="宋体" w:hAnsi="宋体" w:cs="宋体"/>
          <w:b/>
          <w:color w:val="auto"/>
          <w:szCs w:val="21"/>
          <w:highlight w:val="none"/>
        </w:rPr>
      </w:pPr>
    </w:p>
    <w:p w14:paraId="17383C40">
      <w:pPr>
        <w:snapToGrid w:val="0"/>
        <w:spacing w:before="50"/>
        <w:ind w:firstLine="0" w:firstLineChars="0"/>
        <w:jc w:val="left"/>
        <w:rPr>
          <w:rFonts w:hint="eastAsia" w:ascii="宋体" w:hAnsi="宋体" w:cs="宋体"/>
          <w:b/>
          <w:color w:val="auto"/>
          <w:szCs w:val="21"/>
          <w:highlight w:val="none"/>
        </w:rPr>
      </w:pPr>
    </w:p>
    <w:p w14:paraId="0C86CD45">
      <w:pPr>
        <w:snapToGrid w:val="0"/>
        <w:spacing w:before="50"/>
        <w:ind w:firstLine="0" w:firstLineChars="0"/>
        <w:jc w:val="left"/>
        <w:rPr>
          <w:rFonts w:hint="eastAsia" w:ascii="宋体" w:hAnsi="宋体" w:cs="宋体"/>
          <w:b/>
          <w:color w:val="auto"/>
          <w:szCs w:val="21"/>
          <w:highlight w:val="none"/>
        </w:rPr>
      </w:pPr>
    </w:p>
    <w:p w14:paraId="276AA076">
      <w:pPr>
        <w:snapToGrid w:val="0"/>
        <w:spacing w:before="50"/>
        <w:ind w:firstLine="0" w:firstLineChars="0"/>
        <w:jc w:val="left"/>
        <w:rPr>
          <w:rFonts w:hint="eastAsia" w:ascii="宋体" w:hAnsi="宋体" w:cs="宋体"/>
          <w:b/>
          <w:bCs/>
          <w:color w:val="auto"/>
          <w:sz w:val="24"/>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附件</w:t>
      </w:r>
    </w:p>
    <w:p w14:paraId="0AA4BE2B">
      <w:pPr>
        <w:pStyle w:val="187"/>
        <w:spacing w:after="156" w:afterLines="50"/>
        <w:ind w:firstLine="420"/>
        <w:rPr>
          <w:rFonts w:eastAsia="宋体"/>
          <w:color w:val="auto"/>
          <w:sz w:val="32"/>
          <w:szCs w:val="32"/>
          <w:highlight w:val="none"/>
        </w:rPr>
      </w:pPr>
      <w:bookmarkStart w:id="105" w:name="_Toc106033443"/>
      <w:bookmarkStart w:id="106" w:name="_Toc118483117"/>
      <w:bookmarkStart w:id="107" w:name="_Toc89760768"/>
      <w:bookmarkStart w:id="108" w:name="_Toc20212"/>
      <w:r>
        <w:rPr>
          <w:rFonts w:hint="eastAsia" w:eastAsia="宋体"/>
          <w:color w:val="auto"/>
          <w:sz w:val="32"/>
          <w:szCs w:val="32"/>
          <w:highlight w:val="none"/>
        </w:rPr>
        <w:t>商务条款偏离表（格式）</w:t>
      </w:r>
      <w:bookmarkEnd w:id="105"/>
      <w:bookmarkEnd w:id="106"/>
      <w:bookmarkEnd w:id="107"/>
      <w:bookmarkEnd w:id="108"/>
    </w:p>
    <w:p w14:paraId="6F4E7329">
      <w:pPr>
        <w:ind w:firstLine="420"/>
        <w:rPr>
          <w:rFonts w:hint="eastAsia"/>
          <w:color w:val="auto"/>
          <w:highlight w:val="none"/>
        </w:rPr>
      </w:pP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85"/>
        <w:gridCol w:w="2976"/>
        <w:gridCol w:w="2694"/>
        <w:gridCol w:w="1382"/>
      </w:tblGrid>
      <w:tr w14:paraId="4DCD70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5C841C84">
            <w:pPr>
              <w:pStyle w:val="20"/>
              <w:spacing w:line="360" w:lineRule="auto"/>
              <w:ind w:firstLine="0" w:firstLineChars="0"/>
              <w:contextualSpacing/>
              <w:jc w:val="center"/>
              <w:rPr>
                <w:rFonts w:hint="eastAsia" w:ascii="宋体" w:hAnsi="宋体" w:eastAsia="宋体" w:cs="仿宋_GB2312"/>
                <w:b/>
                <w:color w:val="auto"/>
                <w:kern w:val="2"/>
                <w:sz w:val="21"/>
                <w:szCs w:val="21"/>
                <w:highlight w:val="none"/>
                <w:lang w:val="en-US" w:eastAsia="zh-CN"/>
              </w:rPr>
            </w:pPr>
            <w:r>
              <w:rPr>
                <w:rFonts w:hint="eastAsia" w:ascii="宋体" w:hAnsi="宋体" w:eastAsia="宋体" w:cs="仿宋_GB2312"/>
                <w:b/>
                <w:color w:val="auto"/>
                <w:kern w:val="2"/>
                <w:sz w:val="21"/>
                <w:szCs w:val="21"/>
                <w:highlight w:val="none"/>
                <w:lang w:val="en-US" w:eastAsia="zh-CN"/>
              </w:rPr>
              <w:t>序号</w:t>
            </w:r>
          </w:p>
        </w:tc>
        <w:tc>
          <w:tcPr>
            <w:tcW w:w="1985" w:type="dxa"/>
            <w:tcBorders>
              <w:right w:val="single" w:color="auto" w:sz="4" w:space="0"/>
            </w:tcBorders>
            <w:noWrap w:val="0"/>
            <w:vAlign w:val="center"/>
          </w:tcPr>
          <w:p w14:paraId="323EA3A6">
            <w:pPr>
              <w:pStyle w:val="20"/>
              <w:spacing w:line="360" w:lineRule="auto"/>
              <w:ind w:firstLine="0" w:firstLineChars="0"/>
              <w:contextualSpacing/>
              <w:jc w:val="center"/>
              <w:rPr>
                <w:rFonts w:hint="eastAsia" w:ascii="宋体" w:hAnsi="宋体" w:eastAsia="宋体" w:cs="仿宋_GB2312"/>
                <w:b/>
                <w:color w:val="auto"/>
                <w:kern w:val="2"/>
                <w:sz w:val="21"/>
                <w:szCs w:val="21"/>
                <w:highlight w:val="none"/>
                <w:lang w:val="en-US" w:eastAsia="zh-CN"/>
              </w:rPr>
            </w:pPr>
            <w:r>
              <w:rPr>
                <w:rFonts w:hint="eastAsia" w:ascii="宋体" w:hAnsi="宋体" w:eastAsia="宋体" w:cs="仿宋_GB2312"/>
                <w:b/>
                <w:color w:val="auto"/>
                <w:kern w:val="2"/>
                <w:sz w:val="21"/>
                <w:szCs w:val="21"/>
                <w:highlight w:val="none"/>
                <w:lang w:val="en-US" w:eastAsia="zh-CN"/>
              </w:rPr>
              <w:t>项目</w:t>
            </w:r>
          </w:p>
        </w:tc>
        <w:tc>
          <w:tcPr>
            <w:tcW w:w="2976" w:type="dxa"/>
            <w:tcBorders>
              <w:left w:val="single" w:color="auto" w:sz="4" w:space="0"/>
            </w:tcBorders>
            <w:noWrap w:val="0"/>
            <w:vAlign w:val="center"/>
          </w:tcPr>
          <w:p w14:paraId="0D860492">
            <w:pPr>
              <w:pStyle w:val="20"/>
              <w:spacing w:line="360" w:lineRule="auto"/>
              <w:ind w:firstLine="0" w:firstLineChars="0"/>
              <w:contextualSpacing/>
              <w:jc w:val="center"/>
              <w:rPr>
                <w:rFonts w:hint="eastAsia" w:ascii="宋体" w:hAnsi="宋体" w:eastAsia="宋体" w:cs="仿宋_GB2312"/>
                <w:b/>
                <w:color w:val="auto"/>
                <w:kern w:val="2"/>
                <w:sz w:val="21"/>
                <w:szCs w:val="21"/>
                <w:highlight w:val="none"/>
                <w:lang w:val="en-US" w:eastAsia="zh-CN"/>
              </w:rPr>
            </w:pPr>
            <w:r>
              <w:rPr>
                <w:rFonts w:hint="eastAsia" w:ascii="宋体" w:hAnsi="宋体" w:eastAsia="宋体" w:cs="仿宋_GB2312"/>
                <w:b/>
                <w:color w:val="auto"/>
                <w:kern w:val="2"/>
                <w:sz w:val="21"/>
                <w:szCs w:val="21"/>
                <w:highlight w:val="none"/>
                <w:lang w:val="en-US" w:eastAsia="zh-CN"/>
              </w:rPr>
              <w:t>竞争性磋商文件商务条款要求</w:t>
            </w:r>
          </w:p>
        </w:tc>
        <w:tc>
          <w:tcPr>
            <w:tcW w:w="2694" w:type="dxa"/>
            <w:noWrap w:val="0"/>
            <w:vAlign w:val="center"/>
          </w:tcPr>
          <w:p w14:paraId="2EB46044">
            <w:pPr>
              <w:pStyle w:val="20"/>
              <w:spacing w:line="360" w:lineRule="auto"/>
              <w:ind w:firstLine="0" w:firstLineChars="0"/>
              <w:contextualSpacing/>
              <w:jc w:val="center"/>
              <w:rPr>
                <w:rFonts w:hint="eastAsia" w:ascii="宋体" w:hAnsi="宋体" w:eastAsia="宋体" w:cs="仿宋_GB2312"/>
                <w:b/>
                <w:color w:val="auto"/>
                <w:sz w:val="21"/>
                <w:szCs w:val="21"/>
                <w:highlight w:val="none"/>
              </w:rPr>
            </w:pPr>
            <w:r>
              <w:rPr>
                <w:rFonts w:hint="eastAsia" w:ascii="宋体" w:hAnsi="宋体" w:eastAsia="宋体" w:cs="仿宋_GB2312"/>
                <w:b/>
                <w:color w:val="auto"/>
                <w:sz w:val="21"/>
                <w:szCs w:val="21"/>
                <w:highlight w:val="none"/>
                <w:lang w:val="en-US"/>
              </w:rPr>
              <w:t>供应商的响应</w:t>
            </w:r>
          </w:p>
        </w:tc>
        <w:tc>
          <w:tcPr>
            <w:tcW w:w="1382" w:type="dxa"/>
            <w:noWrap w:val="0"/>
            <w:vAlign w:val="center"/>
          </w:tcPr>
          <w:p w14:paraId="2B19BE0F">
            <w:pPr>
              <w:pStyle w:val="20"/>
              <w:spacing w:line="360" w:lineRule="auto"/>
              <w:ind w:firstLine="0" w:firstLineChars="0"/>
              <w:contextualSpacing/>
              <w:jc w:val="center"/>
              <w:rPr>
                <w:rFonts w:hint="eastAsia" w:ascii="宋体" w:hAnsi="宋体" w:eastAsia="宋体" w:cs="仿宋_GB2312"/>
                <w:b/>
                <w:color w:val="auto"/>
                <w:kern w:val="2"/>
                <w:sz w:val="21"/>
                <w:szCs w:val="21"/>
                <w:highlight w:val="none"/>
                <w:lang w:val="en-US" w:eastAsia="zh-CN"/>
              </w:rPr>
            </w:pPr>
            <w:r>
              <w:rPr>
                <w:rFonts w:hint="eastAsia" w:ascii="宋体" w:hAnsi="宋体" w:eastAsia="宋体" w:cs="仿宋_GB2312"/>
                <w:b/>
                <w:color w:val="auto"/>
                <w:kern w:val="2"/>
                <w:sz w:val="21"/>
                <w:szCs w:val="21"/>
                <w:highlight w:val="none"/>
                <w:lang w:val="en-US" w:eastAsia="zh-CN"/>
              </w:rPr>
              <w:t>偏离说明</w:t>
            </w:r>
          </w:p>
        </w:tc>
      </w:tr>
      <w:tr w14:paraId="22B222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35BF8EAE">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1</w:t>
            </w:r>
          </w:p>
        </w:tc>
        <w:tc>
          <w:tcPr>
            <w:tcW w:w="1985" w:type="dxa"/>
            <w:tcBorders>
              <w:right w:val="single" w:color="auto" w:sz="4" w:space="0"/>
            </w:tcBorders>
            <w:noWrap w:val="0"/>
            <w:vAlign w:val="center"/>
          </w:tcPr>
          <w:p w14:paraId="288E25D1">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eastAsia="zh-CN"/>
              </w:rPr>
            </w:pPr>
            <w:r>
              <w:rPr>
                <w:rFonts w:hint="eastAsia" w:ascii="宋体" w:hAnsi="宋体" w:eastAsia="宋体" w:cs="仿宋_GB2312"/>
                <w:color w:val="auto"/>
                <w:kern w:val="2"/>
                <w:sz w:val="21"/>
                <w:szCs w:val="21"/>
                <w:highlight w:val="none"/>
                <w:lang w:eastAsia="zh-CN"/>
              </w:rPr>
              <w:t>服务期限</w:t>
            </w:r>
          </w:p>
        </w:tc>
        <w:tc>
          <w:tcPr>
            <w:tcW w:w="2976" w:type="dxa"/>
            <w:tcBorders>
              <w:left w:val="single" w:color="auto" w:sz="4" w:space="0"/>
            </w:tcBorders>
            <w:noWrap w:val="0"/>
            <w:vAlign w:val="center"/>
          </w:tcPr>
          <w:p w14:paraId="77A86F17">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694" w:type="dxa"/>
            <w:noWrap w:val="0"/>
            <w:vAlign w:val="center"/>
          </w:tcPr>
          <w:p w14:paraId="77903DAE">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noWrap w:val="0"/>
            <w:vAlign w:val="center"/>
          </w:tcPr>
          <w:p w14:paraId="6DE3EF7F">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2E4922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30FFEFB7">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2</w:t>
            </w:r>
          </w:p>
        </w:tc>
        <w:tc>
          <w:tcPr>
            <w:tcW w:w="1985" w:type="dxa"/>
            <w:tcBorders>
              <w:right w:val="single" w:color="auto" w:sz="4" w:space="0"/>
            </w:tcBorders>
            <w:noWrap w:val="0"/>
            <w:vAlign w:val="top"/>
          </w:tcPr>
          <w:p w14:paraId="62A7A1D8">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服务地点</w:t>
            </w:r>
          </w:p>
        </w:tc>
        <w:tc>
          <w:tcPr>
            <w:tcW w:w="2976" w:type="dxa"/>
            <w:tcBorders>
              <w:left w:val="single" w:color="auto" w:sz="4" w:space="0"/>
            </w:tcBorders>
            <w:noWrap w:val="0"/>
            <w:vAlign w:val="center"/>
          </w:tcPr>
          <w:p w14:paraId="2F221303">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694" w:type="dxa"/>
            <w:noWrap w:val="0"/>
            <w:vAlign w:val="center"/>
          </w:tcPr>
          <w:p w14:paraId="41CD3ABA">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noWrap w:val="0"/>
            <w:vAlign w:val="center"/>
          </w:tcPr>
          <w:p w14:paraId="49554430">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0B0857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6A152575">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ascii="宋体" w:hAnsi="宋体" w:eastAsia="宋体" w:cs="仿宋_GB2312"/>
                <w:color w:val="auto"/>
                <w:kern w:val="2"/>
                <w:sz w:val="21"/>
                <w:szCs w:val="21"/>
                <w:highlight w:val="none"/>
                <w:lang w:val="en-US" w:eastAsia="zh-CN"/>
              </w:rPr>
              <w:t>3</w:t>
            </w:r>
          </w:p>
        </w:tc>
        <w:tc>
          <w:tcPr>
            <w:tcW w:w="1985" w:type="dxa"/>
            <w:tcBorders>
              <w:right w:val="single" w:color="auto" w:sz="4" w:space="0"/>
            </w:tcBorders>
            <w:noWrap w:val="0"/>
            <w:vAlign w:val="top"/>
          </w:tcPr>
          <w:p w14:paraId="3585C4F5">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合同签订时间</w:t>
            </w:r>
          </w:p>
        </w:tc>
        <w:tc>
          <w:tcPr>
            <w:tcW w:w="2976" w:type="dxa"/>
            <w:tcBorders>
              <w:left w:val="single" w:color="auto" w:sz="4" w:space="0"/>
            </w:tcBorders>
            <w:noWrap w:val="0"/>
            <w:vAlign w:val="center"/>
          </w:tcPr>
          <w:p w14:paraId="3498F73F">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694" w:type="dxa"/>
            <w:noWrap w:val="0"/>
            <w:vAlign w:val="center"/>
          </w:tcPr>
          <w:p w14:paraId="79B12CB1">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noWrap w:val="0"/>
            <w:vAlign w:val="center"/>
          </w:tcPr>
          <w:p w14:paraId="17052483">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7A3D0A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shd w:val="clear" w:color="auto" w:fill="auto"/>
            <w:noWrap w:val="0"/>
            <w:vAlign w:val="center"/>
          </w:tcPr>
          <w:p w14:paraId="37F7DED2">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bidi="ar-SA"/>
              </w:rPr>
            </w:pPr>
            <w:r>
              <w:rPr>
                <w:rFonts w:ascii="宋体" w:hAnsi="宋体" w:eastAsia="宋体" w:cs="仿宋_GB2312"/>
                <w:color w:val="auto"/>
                <w:kern w:val="2"/>
                <w:sz w:val="21"/>
                <w:szCs w:val="21"/>
                <w:highlight w:val="none"/>
                <w:lang w:val="en-US" w:eastAsia="zh-CN"/>
              </w:rPr>
              <w:t>4</w:t>
            </w:r>
          </w:p>
        </w:tc>
        <w:tc>
          <w:tcPr>
            <w:tcW w:w="1985" w:type="dxa"/>
            <w:tcBorders>
              <w:right w:val="single" w:color="auto" w:sz="4" w:space="0"/>
            </w:tcBorders>
            <w:noWrap w:val="0"/>
            <w:vAlign w:val="top"/>
          </w:tcPr>
          <w:p w14:paraId="4CBBA26E">
            <w:pPr>
              <w:pStyle w:val="20"/>
              <w:spacing w:line="360" w:lineRule="auto"/>
              <w:ind w:firstLine="0" w:firstLineChars="0"/>
              <w:contextualSpacing/>
              <w:jc w:val="center"/>
              <w:rPr>
                <w:rFonts w:hint="default"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报价要求</w:t>
            </w:r>
          </w:p>
        </w:tc>
        <w:tc>
          <w:tcPr>
            <w:tcW w:w="2976" w:type="dxa"/>
            <w:tcBorders>
              <w:left w:val="single" w:color="auto" w:sz="4" w:space="0"/>
            </w:tcBorders>
            <w:noWrap w:val="0"/>
            <w:vAlign w:val="center"/>
          </w:tcPr>
          <w:p w14:paraId="565E3248">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694" w:type="dxa"/>
            <w:noWrap w:val="0"/>
            <w:vAlign w:val="center"/>
          </w:tcPr>
          <w:p w14:paraId="70B79A23">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noWrap w:val="0"/>
            <w:vAlign w:val="center"/>
          </w:tcPr>
          <w:p w14:paraId="4CF970E7">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396CD0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shd w:val="clear" w:color="auto" w:fill="auto"/>
            <w:noWrap w:val="0"/>
            <w:vAlign w:val="center"/>
          </w:tcPr>
          <w:p w14:paraId="5D15F6E4">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bidi="ar-SA"/>
              </w:rPr>
            </w:pPr>
            <w:r>
              <w:rPr>
                <w:rFonts w:hint="eastAsia" w:ascii="宋体" w:hAnsi="宋体" w:eastAsia="宋体" w:cs="仿宋_GB2312"/>
                <w:color w:val="auto"/>
                <w:kern w:val="2"/>
                <w:sz w:val="21"/>
                <w:szCs w:val="21"/>
                <w:highlight w:val="none"/>
                <w:lang w:val="en-US" w:eastAsia="zh-CN"/>
              </w:rPr>
              <w:t>5</w:t>
            </w:r>
          </w:p>
        </w:tc>
        <w:tc>
          <w:tcPr>
            <w:tcW w:w="1985" w:type="dxa"/>
            <w:tcBorders>
              <w:right w:val="single" w:color="auto" w:sz="4" w:space="0"/>
            </w:tcBorders>
            <w:noWrap w:val="0"/>
            <w:vAlign w:val="top"/>
          </w:tcPr>
          <w:p w14:paraId="46CC89B0">
            <w:pPr>
              <w:pStyle w:val="20"/>
              <w:spacing w:line="360" w:lineRule="auto"/>
              <w:ind w:firstLine="0" w:firstLineChars="0"/>
              <w:contextualSpacing/>
              <w:jc w:val="center"/>
              <w:rPr>
                <w:rFonts w:hint="default"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付款方式</w:t>
            </w:r>
          </w:p>
        </w:tc>
        <w:tc>
          <w:tcPr>
            <w:tcW w:w="2976" w:type="dxa"/>
            <w:tcBorders>
              <w:left w:val="single" w:color="auto" w:sz="4" w:space="0"/>
            </w:tcBorders>
            <w:noWrap w:val="0"/>
            <w:vAlign w:val="center"/>
          </w:tcPr>
          <w:p w14:paraId="447DFA30">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694" w:type="dxa"/>
            <w:noWrap w:val="0"/>
            <w:vAlign w:val="center"/>
          </w:tcPr>
          <w:p w14:paraId="49501EEA">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noWrap w:val="0"/>
            <w:vAlign w:val="center"/>
          </w:tcPr>
          <w:p w14:paraId="6BD505C5">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2E80CB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608D3603">
            <w:pPr>
              <w:pStyle w:val="20"/>
              <w:spacing w:line="360" w:lineRule="auto"/>
              <w:ind w:firstLine="0" w:firstLineChars="0"/>
              <w:contextualSpacing/>
              <w:jc w:val="center"/>
              <w:rPr>
                <w:rFonts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6</w:t>
            </w:r>
          </w:p>
        </w:tc>
        <w:tc>
          <w:tcPr>
            <w:tcW w:w="1985" w:type="dxa"/>
            <w:tcBorders>
              <w:right w:val="single" w:color="auto" w:sz="4" w:space="0"/>
            </w:tcBorders>
            <w:noWrap w:val="0"/>
            <w:vAlign w:val="top"/>
          </w:tcPr>
          <w:p w14:paraId="46F47799">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采购标的验收标准</w:t>
            </w:r>
          </w:p>
        </w:tc>
        <w:tc>
          <w:tcPr>
            <w:tcW w:w="2976" w:type="dxa"/>
            <w:tcBorders>
              <w:left w:val="single" w:color="auto" w:sz="4" w:space="0"/>
            </w:tcBorders>
            <w:noWrap w:val="0"/>
            <w:vAlign w:val="center"/>
          </w:tcPr>
          <w:p w14:paraId="0FAB7B94">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694" w:type="dxa"/>
            <w:noWrap w:val="0"/>
            <w:vAlign w:val="center"/>
          </w:tcPr>
          <w:p w14:paraId="15A1692B">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noWrap w:val="0"/>
            <w:vAlign w:val="center"/>
          </w:tcPr>
          <w:p w14:paraId="0C3CA162">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40FF4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22684E17">
            <w:pPr>
              <w:pStyle w:val="20"/>
              <w:spacing w:line="360" w:lineRule="auto"/>
              <w:ind w:firstLine="0" w:firstLineChars="0"/>
              <w:contextualSpacing/>
              <w:jc w:val="center"/>
              <w:rPr>
                <w:rFonts w:hint="default"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7</w:t>
            </w:r>
          </w:p>
        </w:tc>
        <w:tc>
          <w:tcPr>
            <w:tcW w:w="1985" w:type="dxa"/>
            <w:tcBorders>
              <w:right w:val="single" w:color="auto" w:sz="4" w:space="0"/>
            </w:tcBorders>
            <w:noWrap w:val="0"/>
            <w:vAlign w:val="top"/>
          </w:tcPr>
          <w:p w14:paraId="126E5BBF">
            <w:pPr>
              <w:pStyle w:val="20"/>
              <w:spacing w:line="360" w:lineRule="auto"/>
              <w:ind w:firstLine="0" w:firstLineChars="0"/>
              <w:contextualSpacing/>
              <w:jc w:val="center"/>
              <w:rPr>
                <w:rFonts w:hint="default"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保密要求</w:t>
            </w:r>
          </w:p>
        </w:tc>
        <w:tc>
          <w:tcPr>
            <w:tcW w:w="2976" w:type="dxa"/>
            <w:tcBorders>
              <w:left w:val="single" w:color="auto" w:sz="4" w:space="0"/>
            </w:tcBorders>
            <w:noWrap w:val="0"/>
            <w:vAlign w:val="center"/>
          </w:tcPr>
          <w:p w14:paraId="15B99057">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694" w:type="dxa"/>
            <w:noWrap w:val="0"/>
            <w:vAlign w:val="center"/>
          </w:tcPr>
          <w:p w14:paraId="375F82D7">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noWrap w:val="0"/>
            <w:vAlign w:val="center"/>
          </w:tcPr>
          <w:p w14:paraId="0FD4ED76">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6001D8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47574500">
            <w:pPr>
              <w:pStyle w:val="20"/>
              <w:spacing w:line="360" w:lineRule="auto"/>
              <w:ind w:firstLine="0" w:firstLineChars="0"/>
              <w:contextualSpacing/>
              <w:jc w:val="center"/>
              <w:rPr>
                <w:rFonts w:hint="default"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8</w:t>
            </w:r>
          </w:p>
        </w:tc>
        <w:tc>
          <w:tcPr>
            <w:tcW w:w="1985" w:type="dxa"/>
            <w:tcBorders>
              <w:right w:val="single" w:color="auto" w:sz="4" w:space="0"/>
            </w:tcBorders>
            <w:noWrap w:val="0"/>
            <w:vAlign w:val="top"/>
          </w:tcPr>
          <w:p w14:paraId="4E9BE1F3">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合同条款</w:t>
            </w:r>
          </w:p>
        </w:tc>
        <w:tc>
          <w:tcPr>
            <w:tcW w:w="2976" w:type="dxa"/>
            <w:tcBorders>
              <w:left w:val="single" w:color="auto" w:sz="4" w:space="0"/>
            </w:tcBorders>
            <w:noWrap w:val="0"/>
            <w:vAlign w:val="center"/>
          </w:tcPr>
          <w:p w14:paraId="35402F3D">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具体内容详见竞争性磋商文件《第六章 合同》内容</w:t>
            </w:r>
          </w:p>
        </w:tc>
        <w:tc>
          <w:tcPr>
            <w:tcW w:w="2694" w:type="dxa"/>
            <w:noWrap w:val="0"/>
            <w:vAlign w:val="center"/>
          </w:tcPr>
          <w:p w14:paraId="259A56F4">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noWrap w:val="0"/>
            <w:vAlign w:val="center"/>
          </w:tcPr>
          <w:p w14:paraId="0B682040">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3214D9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7" w:type="dxa"/>
            <w:noWrap w:val="0"/>
            <w:vAlign w:val="center"/>
          </w:tcPr>
          <w:p w14:paraId="185DD614">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w:t>
            </w:r>
          </w:p>
        </w:tc>
        <w:tc>
          <w:tcPr>
            <w:tcW w:w="1985" w:type="dxa"/>
            <w:tcBorders>
              <w:right w:val="single" w:color="auto" w:sz="4" w:space="0"/>
            </w:tcBorders>
            <w:noWrap w:val="0"/>
            <w:vAlign w:val="center"/>
          </w:tcPr>
          <w:p w14:paraId="7F1CD88D">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ascii="宋体" w:hAnsi="宋体" w:eastAsia="宋体" w:cs="仿宋_GB2312"/>
                <w:color w:val="auto"/>
                <w:kern w:val="2"/>
                <w:sz w:val="21"/>
                <w:szCs w:val="21"/>
                <w:highlight w:val="none"/>
                <w:lang w:val="en-US" w:eastAsia="zh-CN"/>
              </w:rPr>
              <w:t>…</w:t>
            </w:r>
          </w:p>
        </w:tc>
        <w:tc>
          <w:tcPr>
            <w:tcW w:w="2976" w:type="dxa"/>
            <w:tcBorders>
              <w:left w:val="single" w:color="auto" w:sz="4" w:space="0"/>
            </w:tcBorders>
            <w:noWrap w:val="0"/>
            <w:vAlign w:val="center"/>
          </w:tcPr>
          <w:p w14:paraId="3347B21D">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694" w:type="dxa"/>
            <w:noWrap w:val="0"/>
            <w:vAlign w:val="center"/>
          </w:tcPr>
          <w:p w14:paraId="70A9657A">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382" w:type="dxa"/>
            <w:tcBorders>
              <w:right w:val="single" w:color="auto" w:sz="4" w:space="0"/>
            </w:tcBorders>
            <w:noWrap w:val="0"/>
            <w:vAlign w:val="center"/>
          </w:tcPr>
          <w:p w14:paraId="68E5FC44">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bl>
    <w:p w14:paraId="1B297124">
      <w:pPr>
        <w:pStyle w:val="18"/>
        <w:spacing w:line="240" w:lineRule="auto"/>
        <w:ind w:firstLine="422"/>
        <w:contextualSpacing/>
        <w:rPr>
          <w:rFonts w:hint="eastAsia" w:ascii="宋体" w:hAnsi="宋体"/>
          <w:color w:val="auto"/>
          <w:kern w:val="0"/>
          <w:sz w:val="21"/>
          <w:szCs w:val="21"/>
          <w:highlight w:val="none"/>
        </w:rPr>
      </w:pPr>
    </w:p>
    <w:p w14:paraId="3B199B1C">
      <w:pPr>
        <w:pStyle w:val="18"/>
        <w:spacing w:line="360" w:lineRule="auto"/>
        <w:ind w:firstLine="422"/>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14:paraId="2AA3CEC4">
      <w:pPr>
        <w:pStyle w:val="18"/>
        <w:spacing w:line="360" w:lineRule="auto"/>
        <w:ind w:firstLine="420"/>
        <w:rPr>
          <w:rFonts w:ascii="宋体" w:hAnsi="宋体"/>
          <w:b w:val="0"/>
          <w:color w:val="auto"/>
          <w:kern w:val="0"/>
          <w:sz w:val="21"/>
          <w:szCs w:val="21"/>
          <w:highlight w:val="none"/>
        </w:rPr>
      </w:pPr>
      <w:r>
        <w:rPr>
          <w:rFonts w:hint="eastAsia" w:ascii="宋体" w:hAnsi="宋体"/>
          <w:b w:val="0"/>
          <w:color w:val="auto"/>
          <w:kern w:val="0"/>
          <w:sz w:val="21"/>
          <w:szCs w:val="21"/>
          <w:highlight w:val="none"/>
        </w:rPr>
        <w:t>1.说明：应对照竞争性磋商文件“第三章 采购需求”中的商务条款及“第六章 合同”中的合同条款逐条作出明确响应，并作出偏离说明。</w:t>
      </w:r>
    </w:p>
    <w:p w14:paraId="53B9A6C4">
      <w:pPr>
        <w:snapToGrid w:val="0"/>
        <w:spacing w:before="50" w:line="360" w:lineRule="auto"/>
        <w:ind w:firstLine="420"/>
        <w:rPr>
          <w:rFonts w:hint="eastAsia" w:ascii="宋体" w:hAnsi="宋体" w:cs="仿宋_GB2312"/>
          <w:color w:val="auto"/>
          <w:szCs w:val="21"/>
          <w:highlight w:val="none"/>
          <w:u w:val="single"/>
        </w:rPr>
      </w:pPr>
      <w:r>
        <w:rPr>
          <w:rFonts w:ascii="宋体" w:hAnsi="宋体"/>
          <w:color w:val="auto"/>
          <w:kern w:val="0"/>
          <w:szCs w:val="21"/>
          <w:highlight w:val="none"/>
        </w:rPr>
        <w:t>2.</w:t>
      </w:r>
      <w:r>
        <w:rPr>
          <w:rFonts w:hint="eastAsia" w:ascii="宋体" w:hAnsi="宋体"/>
          <w:color w:val="auto"/>
          <w:kern w:val="0"/>
          <w:szCs w:val="21"/>
          <w:highlight w:val="none"/>
        </w:rPr>
        <w:t>供应商应根据自身的承诺，对照竞争性磋商文件要求在“偏离说明”中注明“正偏离”、“负偏离”或者“无偏离”。既不属于“正偏离”也不属于“负偏离”即为“无偏离”。</w:t>
      </w:r>
    </w:p>
    <w:p w14:paraId="1A1D747B">
      <w:pPr>
        <w:snapToGrid w:val="0"/>
        <w:spacing w:before="50" w:line="360" w:lineRule="auto"/>
        <w:ind w:firstLine="420"/>
        <w:rPr>
          <w:rFonts w:hint="eastAsia" w:ascii="宋体" w:hAnsi="宋体" w:cs="仿宋_GB2312"/>
          <w:color w:val="auto"/>
          <w:szCs w:val="21"/>
          <w:highlight w:val="none"/>
          <w:u w:val="single"/>
        </w:rPr>
      </w:pPr>
    </w:p>
    <w:p w14:paraId="02E00936">
      <w:pPr>
        <w:snapToGrid w:val="0"/>
        <w:spacing w:before="50" w:line="520" w:lineRule="exact"/>
        <w:ind w:firstLine="420"/>
        <w:rPr>
          <w:rFonts w:hint="eastAsia" w:ascii="宋体" w:hAnsi="宋体" w:cs="仿宋_GB2312"/>
          <w:color w:val="auto"/>
          <w:szCs w:val="21"/>
          <w:highlight w:val="none"/>
          <w:u w:val="single"/>
        </w:rPr>
      </w:pPr>
    </w:p>
    <w:p w14:paraId="3A591A02">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8697A9E">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412328EB">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7853E6C0">
      <w:pPr>
        <w:tabs>
          <w:tab w:val="left" w:pos="4111"/>
        </w:tabs>
        <w:wordWrap w:val="0"/>
        <w:snapToGrid w:val="0"/>
        <w:spacing w:before="50"/>
        <w:ind w:firstLine="3968" w:firstLineChars="1890"/>
        <w:rPr>
          <w:rFonts w:hint="eastAsia" w:hAnsi="宋体"/>
          <w:color w:val="auto"/>
          <w:highlight w:val="none"/>
        </w:rPr>
      </w:pPr>
    </w:p>
    <w:p w14:paraId="7EAEF037">
      <w:pPr>
        <w:pStyle w:val="26"/>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196FC071">
      <w:pPr>
        <w:snapToGrid w:val="0"/>
        <w:spacing w:before="50"/>
        <w:ind w:firstLine="0" w:firstLineChars="0"/>
        <w:jc w:val="left"/>
        <w:rPr>
          <w:rFonts w:hint="eastAsia" w:ascii="宋体" w:hAnsi="宋体" w:cs="宋体"/>
          <w:b/>
          <w:color w:val="auto"/>
          <w:szCs w:val="21"/>
          <w:highlight w:val="none"/>
        </w:rPr>
      </w:pPr>
    </w:p>
    <w:p w14:paraId="2FD2A248">
      <w:pPr>
        <w:snapToGrid w:val="0"/>
        <w:spacing w:before="50"/>
        <w:ind w:firstLine="0" w:firstLineChars="0"/>
        <w:jc w:val="left"/>
        <w:rPr>
          <w:rFonts w:hint="eastAsia" w:ascii="宋体" w:hAnsi="宋体" w:cs="宋体"/>
          <w:b/>
          <w:color w:val="auto"/>
          <w:szCs w:val="21"/>
          <w:highlight w:val="none"/>
        </w:rPr>
      </w:pPr>
    </w:p>
    <w:p w14:paraId="48E70422">
      <w:pPr>
        <w:snapToGrid w:val="0"/>
        <w:spacing w:before="50"/>
        <w:ind w:firstLine="0" w:firstLineChars="0"/>
        <w:jc w:val="left"/>
        <w:rPr>
          <w:rFonts w:hint="eastAsia" w:ascii="宋体" w:hAnsi="宋体" w:cs="宋体"/>
          <w:b/>
          <w:color w:val="auto"/>
          <w:szCs w:val="21"/>
          <w:highlight w:val="none"/>
        </w:rPr>
      </w:pPr>
    </w:p>
    <w:p w14:paraId="6089BFDC">
      <w:pPr>
        <w:snapToGrid w:val="0"/>
        <w:spacing w:before="50"/>
        <w:ind w:firstLine="0" w:firstLineChars="0"/>
        <w:jc w:val="left"/>
        <w:rPr>
          <w:rFonts w:hint="eastAsia" w:ascii="宋体" w:hAnsi="宋体" w:cs="宋体"/>
          <w:b/>
          <w:color w:val="auto"/>
          <w:szCs w:val="21"/>
          <w:highlight w:val="none"/>
        </w:rPr>
      </w:pPr>
    </w:p>
    <w:p w14:paraId="06D59234">
      <w:pPr>
        <w:snapToGrid w:val="0"/>
        <w:spacing w:before="50"/>
        <w:ind w:firstLine="0" w:firstLineChars="0"/>
        <w:jc w:val="left"/>
        <w:rPr>
          <w:rFonts w:hint="eastAsia" w:ascii="宋体" w:hAnsi="宋体" w:cs="宋体"/>
          <w:b/>
          <w:color w:val="auto"/>
          <w:szCs w:val="21"/>
          <w:highlight w:val="none"/>
        </w:rPr>
      </w:pPr>
    </w:p>
    <w:p w14:paraId="63EC8BE2">
      <w:pPr>
        <w:snapToGrid w:val="0"/>
        <w:spacing w:before="50"/>
        <w:ind w:firstLine="0" w:firstLineChars="0"/>
        <w:jc w:val="left"/>
        <w:rPr>
          <w:rFonts w:hint="eastAsia" w:ascii="宋体" w:hAnsi="宋体" w:cs="宋体"/>
          <w:b/>
          <w:color w:val="auto"/>
          <w:szCs w:val="21"/>
          <w:highlight w:val="none"/>
        </w:rPr>
      </w:pPr>
    </w:p>
    <w:p w14:paraId="226ECF0A">
      <w:pPr>
        <w:snapToGrid w:val="0"/>
        <w:spacing w:before="50"/>
        <w:ind w:firstLine="0" w:firstLineChars="0"/>
        <w:jc w:val="left"/>
        <w:rPr>
          <w:rFonts w:hint="eastAsia" w:ascii="宋体" w:hAnsi="宋体" w:cs="宋体"/>
          <w:b/>
          <w:color w:val="auto"/>
          <w:szCs w:val="21"/>
          <w:highlight w:val="none"/>
        </w:rPr>
      </w:pPr>
    </w:p>
    <w:p w14:paraId="39923C51">
      <w:pPr>
        <w:snapToGrid w:val="0"/>
        <w:spacing w:before="50"/>
        <w:ind w:firstLine="0" w:firstLineChars="0"/>
        <w:jc w:val="left"/>
        <w:rPr>
          <w:rFonts w:hint="eastAsia" w:ascii="宋体" w:hAnsi="宋体" w:cs="宋体"/>
          <w:b/>
          <w:color w:val="auto"/>
          <w:szCs w:val="21"/>
          <w:highlight w:val="none"/>
        </w:rPr>
      </w:pPr>
    </w:p>
    <w:p w14:paraId="5A9BE8D0">
      <w:pPr>
        <w:snapToGrid w:val="0"/>
        <w:spacing w:before="50"/>
        <w:ind w:firstLine="0" w:firstLineChars="0"/>
        <w:jc w:val="left"/>
        <w:rPr>
          <w:rFonts w:hint="eastAsia" w:ascii="宋体" w:hAnsi="宋体" w:cs="宋体"/>
          <w:b/>
          <w:color w:val="auto"/>
          <w:szCs w:val="21"/>
          <w:highlight w:val="none"/>
        </w:rPr>
      </w:pPr>
    </w:p>
    <w:p w14:paraId="6C4A0995">
      <w:pPr>
        <w:snapToGrid w:val="0"/>
        <w:spacing w:before="50"/>
        <w:ind w:firstLine="0" w:firstLineChars="0"/>
        <w:jc w:val="left"/>
        <w:rPr>
          <w:rFonts w:hint="eastAsia" w:ascii="宋体" w:hAnsi="宋体" w:cs="宋体"/>
          <w:b/>
          <w:bCs/>
          <w:color w:val="auto"/>
          <w:sz w:val="24"/>
          <w:highlight w:val="none"/>
        </w:rPr>
      </w:pPr>
      <w:r>
        <w:rPr>
          <w:rFonts w:hint="eastAsia" w:ascii="宋体" w:hAnsi="宋体" w:cs="宋体"/>
          <w:b/>
          <w:color w:val="auto"/>
          <w:szCs w:val="21"/>
          <w:highlight w:val="none"/>
        </w:rPr>
        <w:t>附件</w:t>
      </w:r>
    </w:p>
    <w:p w14:paraId="3F231513">
      <w:pPr>
        <w:pStyle w:val="26"/>
        <w:ind w:left="-10" w:firstLine="9" w:firstLineChars="3"/>
        <w:jc w:val="center"/>
        <w:rPr>
          <w:rFonts w:hint="eastAsia" w:hAnsi="宋体" w:cs="宋体"/>
          <w:b/>
          <w:color w:val="auto"/>
          <w:sz w:val="32"/>
          <w:highlight w:val="none"/>
        </w:rPr>
      </w:pPr>
    </w:p>
    <w:p w14:paraId="3115A9AA">
      <w:pPr>
        <w:pStyle w:val="26"/>
        <w:ind w:left="-10" w:firstLine="9" w:firstLineChars="3"/>
        <w:jc w:val="center"/>
        <w:rPr>
          <w:rFonts w:hint="eastAsia" w:hAnsi="宋体" w:cs="宋体"/>
          <w:b/>
          <w:color w:val="auto"/>
          <w:sz w:val="32"/>
          <w:highlight w:val="none"/>
        </w:rPr>
      </w:pPr>
      <w:r>
        <w:rPr>
          <w:rFonts w:hint="eastAsia" w:hAnsi="宋体" w:cs="宋体"/>
          <w:b/>
          <w:color w:val="auto"/>
          <w:sz w:val="32"/>
          <w:highlight w:val="none"/>
          <w:lang w:eastAsia="zh-CN"/>
        </w:rPr>
        <w:t>服务需求偏离表</w:t>
      </w:r>
      <w:r>
        <w:rPr>
          <w:rFonts w:hint="eastAsia" w:hAnsi="宋体" w:cs="宋体"/>
          <w:b/>
          <w:color w:val="auto"/>
          <w:sz w:val="32"/>
          <w:highlight w:val="none"/>
        </w:rPr>
        <w:t>（格式）</w:t>
      </w:r>
    </w:p>
    <w:p w14:paraId="7549413D">
      <w:pPr>
        <w:snapToGrid w:val="0"/>
        <w:spacing w:before="50"/>
        <w:ind w:firstLine="197" w:firstLineChars="94"/>
        <w:jc w:val="left"/>
        <w:rPr>
          <w:rFonts w:hint="eastAsia" w:ascii="宋体" w:hAnsi="宋体" w:cs="宋体"/>
          <w:b/>
          <w:color w:val="auto"/>
          <w:szCs w:val="21"/>
          <w:highlight w:val="none"/>
        </w:rPr>
      </w:pP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125"/>
        <w:gridCol w:w="2836"/>
        <w:gridCol w:w="2460"/>
        <w:gridCol w:w="1616"/>
      </w:tblGrid>
      <w:tr w14:paraId="14C759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817" w:type="dxa"/>
            <w:noWrap w:val="0"/>
            <w:vAlign w:val="center"/>
          </w:tcPr>
          <w:p w14:paraId="50D56F6D">
            <w:pPr>
              <w:pStyle w:val="20"/>
              <w:spacing w:line="360" w:lineRule="auto"/>
              <w:ind w:firstLine="0" w:firstLineChars="0"/>
              <w:contextualSpacing/>
              <w:jc w:val="center"/>
              <w:rPr>
                <w:rFonts w:hint="eastAsia" w:ascii="宋体" w:hAnsi="宋体" w:eastAsia="宋体" w:cs="仿宋_GB2312"/>
                <w:b/>
                <w:color w:val="auto"/>
                <w:kern w:val="2"/>
                <w:sz w:val="21"/>
                <w:szCs w:val="21"/>
                <w:highlight w:val="none"/>
                <w:lang w:val="en-US" w:eastAsia="zh-CN"/>
              </w:rPr>
            </w:pPr>
            <w:bookmarkStart w:id="109" w:name="_Toc173211900"/>
            <w:bookmarkStart w:id="110" w:name="_Toc254970729"/>
            <w:bookmarkStart w:id="111" w:name="_Toc373333689"/>
            <w:bookmarkStart w:id="112" w:name="_Toc383699906"/>
            <w:bookmarkStart w:id="113" w:name="_Toc173066401"/>
            <w:bookmarkStart w:id="114" w:name="_Toc254970588"/>
            <w:bookmarkStart w:id="115" w:name="_Toc295404981"/>
            <w:bookmarkStart w:id="116" w:name="_Toc301781611"/>
            <w:bookmarkStart w:id="117" w:name="_Toc297193185"/>
            <w:r>
              <w:rPr>
                <w:rFonts w:hint="eastAsia" w:ascii="宋体" w:hAnsi="宋体" w:eastAsia="宋体" w:cs="仿宋_GB2312"/>
                <w:b/>
                <w:color w:val="auto"/>
                <w:kern w:val="2"/>
                <w:sz w:val="21"/>
                <w:szCs w:val="21"/>
                <w:highlight w:val="none"/>
                <w:lang w:val="en-US" w:eastAsia="zh-CN"/>
              </w:rPr>
              <w:t>序号</w:t>
            </w:r>
            <w:bookmarkEnd w:id="109"/>
            <w:bookmarkEnd w:id="110"/>
            <w:bookmarkEnd w:id="111"/>
            <w:bookmarkEnd w:id="112"/>
            <w:bookmarkEnd w:id="113"/>
            <w:bookmarkEnd w:id="114"/>
            <w:bookmarkEnd w:id="115"/>
            <w:bookmarkEnd w:id="116"/>
            <w:bookmarkEnd w:id="117"/>
          </w:p>
        </w:tc>
        <w:tc>
          <w:tcPr>
            <w:tcW w:w="2125" w:type="dxa"/>
            <w:tcBorders>
              <w:right w:val="single" w:color="auto" w:sz="4" w:space="0"/>
            </w:tcBorders>
            <w:noWrap w:val="0"/>
            <w:vAlign w:val="center"/>
          </w:tcPr>
          <w:p w14:paraId="11AD1CFB">
            <w:pPr>
              <w:pStyle w:val="20"/>
              <w:spacing w:line="360" w:lineRule="auto"/>
              <w:ind w:firstLine="0" w:firstLineChars="0"/>
              <w:contextualSpacing/>
              <w:jc w:val="center"/>
              <w:rPr>
                <w:rFonts w:hint="eastAsia" w:ascii="宋体" w:hAnsi="宋体" w:eastAsia="宋体" w:cs="仿宋_GB2312"/>
                <w:b/>
                <w:color w:val="auto"/>
                <w:kern w:val="2"/>
                <w:sz w:val="21"/>
                <w:szCs w:val="21"/>
                <w:highlight w:val="none"/>
                <w:lang w:val="en-US" w:eastAsia="zh-CN"/>
              </w:rPr>
            </w:pPr>
            <w:r>
              <w:rPr>
                <w:rFonts w:hint="eastAsia" w:ascii="宋体" w:hAnsi="宋体" w:eastAsia="宋体" w:cs="仿宋_GB2312"/>
                <w:b/>
                <w:color w:val="auto"/>
                <w:kern w:val="2"/>
                <w:sz w:val="21"/>
                <w:szCs w:val="21"/>
                <w:highlight w:val="none"/>
                <w:lang w:val="en-US" w:eastAsia="zh-CN"/>
              </w:rPr>
              <w:t>项目</w:t>
            </w:r>
          </w:p>
        </w:tc>
        <w:tc>
          <w:tcPr>
            <w:tcW w:w="2836" w:type="dxa"/>
            <w:tcBorders>
              <w:left w:val="single" w:color="auto" w:sz="4" w:space="0"/>
            </w:tcBorders>
            <w:noWrap w:val="0"/>
            <w:vAlign w:val="center"/>
          </w:tcPr>
          <w:p w14:paraId="605CDC56">
            <w:pPr>
              <w:pStyle w:val="20"/>
              <w:spacing w:line="360" w:lineRule="auto"/>
              <w:ind w:firstLine="0" w:firstLineChars="0"/>
              <w:contextualSpacing/>
              <w:jc w:val="center"/>
              <w:rPr>
                <w:rFonts w:hint="eastAsia" w:ascii="宋体" w:hAnsi="宋体" w:eastAsia="宋体" w:cs="仿宋_GB2312"/>
                <w:b/>
                <w:color w:val="auto"/>
                <w:kern w:val="2"/>
                <w:sz w:val="21"/>
                <w:szCs w:val="21"/>
                <w:highlight w:val="none"/>
                <w:lang w:val="en-US" w:eastAsia="zh-CN"/>
              </w:rPr>
            </w:pPr>
            <w:r>
              <w:rPr>
                <w:rFonts w:hint="eastAsia" w:ascii="宋体" w:hAnsi="宋体" w:eastAsia="宋体" w:cs="仿宋_GB2312"/>
                <w:b/>
                <w:color w:val="auto"/>
                <w:kern w:val="2"/>
                <w:sz w:val="21"/>
                <w:szCs w:val="21"/>
                <w:highlight w:val="none"/>
                <w:lang w:val="en-US" w:eastAsia="zh-CN"/>
              </w:rPr>
              <w:t>竞争性磋商文件服务需求</w:t>
            </w:r>
          </w:p>
        </w:tc>
        <w:tc>
          <w:tcPr>
            <w:tcW w:w="2460" w:type="dxa"/>
            <w:noWrap w:val="0"/>
            <w:vAlign w:val="center"/>
          </w:tcPr>
          <w:p w14:paraId="60CC836A">
            <w:pPr>
              <w:pStyle w:val="20"/>
              <w:spacing w:line="360" w:lineRule="auto"/>
              <w:ind w:firstLine="0" w:firstLineChars="0"/>
              <w:contextualSpacing/>
              <w:jc w:val="center"/>
              <w:rPr>
                <w:rFonts w:hint="eastAsia" w:ascii="宋体" w:hAnsi="宋体" w:eastAsia="宋体" w:cs="仿宋_GB2312"/>
                <w:b/>
                <w:color w:val="auto"/>
                <w:sz w:val="21"/>
                <w:szCs w:val="21"/>
                <w:highlight w:val="none"/>
              </w:rPr>
            </w:pPr>
            <w:bookmarkStart w:id="118" w:name="_Toc254970731"/>
            <w:bookmarkStart w:id="119" w:name="_Toc383699908"/>
            <w:bookmarkStart w:id="120" w:name="_Toc173066403"/>
            <w:bookmarkStart w:id="121" w:name="_Toc301781613"/>
            <w:bookmarkStart w:id="122" w:name="_Toc295404983"/>
            <w:bookmarkStart w:id="123" w:name="_Toc373333691"/>
            <w:bookmarkStart w:id="124" w:name="_Toc254970590"/>
            <w:bookmarkStart w:id="125" w:name="_Toc173211902"/>
            <w:bookmarkStart w:id="126" w:name="_Toc297193187"/>
            <w:r>
              <w:rPr>
                <w:rFonts w:hint="eastAsia" w:ascii="宋体" w:hAnsi="宋体" w:eastAsia="宋体" w:cs="仿宋_GB2312"/>
                <w:b/>
                <w:color w:val="auto"/>
                <w:sz w:val="21"/>
                <w:szCs w:val="21"/>
                <w:highlight w:val="none"/>
                <w:lang w:val="en-US"/>
              </w:rPr>
              <w:t>竞标响应</w:t>
            </w:r>
            <w:bookmarkEnd w:id="118"/>
            <w:bookmarkEnd w:id="119"/>
            <w:bookmarkEnd w:id="120"/>
            <w:bookmarkEnd w:id="121"/>
            <w:bookmarkEnd w:id="122"/>
            <w:bookmarkEnd w:id="123"/>
            <w:bookmarkEnd w:id="124"/>
            <w:bookmarkEnd w:id="125"/>
            <w:bookmarkEnd w:id="126"/>
          </w:p>
        </w:tc>
        <w:tc>
          <w:tcPr>
            <w:tcW w:w="1616" w:type="dxa"/>
            <w:noWrap w:val="0"/>
            <w:vAlign w:val="center"/>
          </w:tcPr>
          <w:p w14:paraId="1F81E1CD">
            <w:pPr>
              <w:pStyle w:val="20"/>
              <w:spacing w:line="360" w:lineRule="auto"/>
              <w:ind w:firstLine="0" w:firstLineChars="0"/>
              <w:contextualSpacing/>
              <w:jc w:val="center"/>
              <w:rPr>
                <w:rFonts w:hint="eastAsia" w:ascii="宋体" w:hAnsi="宋体" w:eastAsia="宋体" w:cs="仿宋_GB2312"/>
                <w:b/>
                <w:color w:val="auto"/>
                <w:kern w:val="2"/>
                <w:sz w:val="21"/>
                <w:szCs w:val="21"/>
                <w:highlight w:val="none"/>
                <w:lang w:val="en-US" w:eastAsia="zh-CN"/>
              </w:rPr>
            </w:pPr>
            <w:bookmarkStart w:id="127" w:name="_Toc254970591"/>
            <w:bookmarkStart w:id="128" w:name="_Toc173066404"/>
            <w:bookmarkStart w:id="129" w:name="_Toc301781614"/>
            <w:bookmarkStart w:id="130" w:name="_Toc383699909"/>
            <w:bookmarkStart w:id="131" w:name="_Toc297193188"/>
            <w:bookmarkStart w:id="132" w:name="_Toc254970732"/>
            <w:bookmarkStart w:id="133" w:name="_Toc295404984"/>
            <w:bookmarkStart w:id="134" w:name="_Toc373333692"/>
            <w:bookmarkStart w:id="135" w:name="_Toc173211903"/>
            <w:r>
              <w:rPr>
                <w:rFonts w:hint="eastAsia" w:ascii="宋体" w:hAnsi="宋体" w:eastAsia="宋体" w:cs="仿宋_GB2312"/>
                <w:b/>
                <w:color w:val="auto"/>
                <w:kern w:val="2"/>
                <w:sz w:val="21"/>
                <w:szCs w:val="21"/>
                <w:highlight w:val="none"/>
                <w:lang w:val="en-US" w:eastAsia="zh-CN"/>
              </w:rPr>
              <w:t>偏离</w:t>
            </w:r>
            <w:bookmarkEnd w:id="127"/>
            <w:bookmarkEnd w:id="128"/>
            <w:bookmarkEnd w:id="129"/>
            <w:bookmarkEnd w:id="130"/>
            <w:bookmarkEnd w:id="131"/>
            <w:bookmarkEnd w:id="132"/>
            <w:bookmarkEnd w:id="133"/>
            <w:bookmarkEnd w:id="134"/>
            <w:bookmarkEnd w:id="135"/>
            <w:bookmarkStart w:id="136" w:name="_Toc373333693"/>
            <w:bookmarkStart w:id="137" w:name="_Toc173211904"/>
            <w:bookmarkStart w:id="138" w:name="_Toc254970592"/>
            <w:bookmarkStart w:id="139" w:name="_Toc301781615"/>
            <w:bookmarkStart w:id="140" w:name="_Toc383699910"/>
            <w:bookmarkStart w:id="141" w:name="_Toc254970733"/>
            <w:bookmarkStart w:id="142" w:name="_Toc295404985"/>
            <w:bookmarkStart w:id="143" w:name="_Toc173066405"/>
            <w:bookmarkStart w:id="144" w:name="_Toc297193189"/>
            <w:r>
              <w:rPr>
                <w:rFonts w:hint="eastAsia" w:ascii="宋体" w:hAnsi="宋体" w:eastAsia="宋体" w:cs="仿宋_GB2312"/>
                <w:b/>
                <w:color w:val="auto"/>
                <w:kern w:val="2"/>
                <w:sz w:val="21"/>
                <w:szCs w:val="21"/>
                <w:highlight w:val="none"/>
                <w:lang w:val="en-US" w:eastAsia="zh-CN"/>
              </w:rPr>
              <w:t>说明</w:t>
            </w:r>
            <w:bookmarkEnd w:id="136"/>
            <w:bookmarkEnd w:id="137"/>
            <w:bookmarkEnd w:id="138"/>
            <w:bookmarkEnd w:id="139"/>
            <w:bookmarkEnd w:id="140"/>
            <w:bookmarkEnd w:id="141"/>
            <w:bookmarkEnd w:id="142"/>
            <w:bookmarkEnd w:id="143"/>
            <w:bookmarkEnd w:id="144"/>
          </w:p>
        </w:tc>
      </w:tr>
      <w:tr w14:paraId="3E08F3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9" w:hRule="atLeast"/>
          <w:jc w:val="center"/>
        </w:trPr>
        <w:tc>
          <w:tcPr>
            <w:tcW w:w="817" w:type="dxa"/>
            <w:noWrap w:val="0"/>
            <w:vAlign w:val="center"/>
          </w:tcPr>
          <w:p w14:paraId="1A957F33">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color w:val="auto"/>
                <w:kern w:val="2"/>
                <w:sz w:val="21"/>
                <w:szCs w:val="21"/>
                <w:highlight w:val="none"/>
                <w:lang w:val="en-US" w:eastAsia="zh-CN"/>
              </w:rPr>
              <w:t>1</w:t>
            </w:r>
          </w:p>
        </w:tc>
        <w:tc>
          <w:tcPr>
            <w:tcW w:w="2125" w:type="dxa"/>
            <w:tcBorders>
              <w:right w:val="single" w:color="auto" w:sz="4" w:space="0"/>
            </w:tcBorders>
            <w:noWrap w:val="0"/>
            <w:vAlign w:val="center"/>
          </w:tcPr>
          <w:p w14:paraId="0B1C3D69">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hint="eastAsia" w:ascii="宋体" w:hAnsi="宋体" w:eastAsia="宋体" w:cs="仿宋_GB2312"/>
                <w:b/>
                <w:color w:val="auto"/>
                <w:kern w:val="2"/>
                <w:sz w:val="21"/>
                <w:szCs w:val="21"/>
                <w:highlight w:val="none"/>
                <w:lang w:val="en-US" w:eastAsia="zh-CN"/>
              </w:rPr>
              <w:t>项目要求及技术参数需求</w:t>
            </w:r>
          </w:p>
        </w:tc>
        <w:tc>
          <w:tcPr>
            <w:tcW w:w="2836" w:type="dxa"/>
            <w:tcBorders>
              <w:left w:val="single" w:color="auto" w:sz="4" w:space="0"/>
            </w:tcBorders>
            <w:noWrap w:val="0"/>
            <w:vAlign w:val="center"/>
          </w:tcPr>
          <w:p w14:paraId="1755B4E3">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460" w:type="dxa"/>
            <w:noWrap w:val="0"/>
            <w:vAlign w:val="center"/>
          </w:tcPr>
          <w:p w14:paraId="068B0722">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616" w:type="dxa"/>
            <w:noWrap w:val="0"/>
            <w:vAlign w:val="center"/>
          </w:tcPr>
          <w:p w14:paraId="2B838349">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r w14:paraId="3F280D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817" w:type="dxa"/>
            <w:noWrap w:val="0"/>
            <w:vAlign w:val="center"/>
          </w:tcPr>
          <w:p w14:paraId="2117A6FD">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bookmarkStart w:id="145" w:name="_Toc295404991"/>
            <w:bookmarkStart w:id="146" w:name="_Toc173211914"/>
            <w:bookmarkStart w:id="147" w:name="_Toc254970743"/>
            <w:bookmarkStart w:id="148" w:name="_Toc173066415"/>
            <w:bookmarkStart w:id="149" w:name="_Toc383699916"/>
            <w:bookmarkStart w:id="150" w:name="_Toc254970602"/>
            <w:bookmarkStart w:id="151" w:name="_Toc301781621"/>
            <w:bookmarkStart w:id="152" w:name="_Toc373333699"/>
            <w:bookmarkStart w:id="153" w:name="_Toc297193195"/>
            <w:r>
              <w:rPr>
                <w:rFonts w:hint="eastAsia" w:ascii="宋体" w:hAnsi="宋体" w:eastAsia="宋体" w:cs="仿宋_GB2312"/>
                <w:color w:val="auto"/>
                <w:kern w:val="2"/>
                <w:sz w:val="21"/>
                <w:szCs w:val="21"/>
                <w:highlight w:val="none"/>
                <w:lang w:val="en-US" w:eastAsia="zh-CN"/>
              </w:rPr>
              <w:t>…</w:t>
            </w:r>
            <w:bookmarkEnd w:id="145"/>
            <w:bookmarkEnd w:id="146"/>
            <w:bookmarkEnd w:id="147"/>
            <w:bookmarkEnd w:id="148"/>
            <w:bookmarkEnd w:id="149"/>
            <w:bookmarkEnd w:id="150"/>
            <w:bookmarkEnd w:id="151"/>
            <w:bookmarkEnd w:id="152"/>
            <w:bookmarkEnd w:id="153"/>
          </w:p>
        </w:tc>
        <w:tc>
          <w:tcPr>
            <w:tcW w:w="2125" w:type="dxa"/>
            <w:tcBorders>
              <w:right w:val="single" w:color="auto" w:sz="4" w:space="0"/>
            </w:tcBorders>
            <w:noWrap w:val="0"/>
            <w:vAlign w:val="center"/>
          </w:tcPr>
          <w:p w14:paraId="191C5A42">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r>
              <w:rPr>
                <w:rFonts w:ascii="宋体" w:hAnsi="宋体" w:eastAsia="宋体" w:cs="仿宋_GB2312"/>
                <w:color w:val="auto"/>
                <w:kern w:val="2"/>
                <w:sz w:val="21"/>
                <w:szCs w:val="21"/>
                <w:highlight w:val="none"/>
                <w:lang w:val="en-US" w:eastAsia="zh-CN"/>
              </w:rPr>
              <w:t>…</w:t>
            </w:r>
          </w:p>
        </w:tc>
        <w:tc>
          <w:tcPr>
            <w:tcW w:w="2836" w:type="dxa"/>
            <w:tcBorders>
              <w:left w:val="single" w:color="auto" w:sz="4" w:space="0"/>
            </w:tcBorders>
            <w:noWrap w:val="0"/>
            <w:vAlign w:val="center"/>
          </w:tcPr>
          <w:p w14:paraId="0BFD7D90">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2460" w:type="dxa"/>
            <w:noWrap w:val="0"/>
            <w:vAlign w:val="center"/>
          </w:tcPr>
          <w:p w14:paraId="7EABBDFE">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c>
          <w:tcPr>
            <w:tcW w:w="1616" w:type="dxa"/>
            <w:tcBorders>
              <w:right w:val="single" w:color="auto" w:sz="4" w:space="0"/>
            </w:tcBorders>
            <w:noWrap w:val="0"/>
            <w:vAlign w:val="center"/>
          </w:tcPr>
          <w:p w14:paraId="190CCD2D">
            <w:pPr>
              <w:pStyle w:val="20"/>
              <w:spacing w:line="360" w:lineRule="auto"/>
              <w:ind w:firstLine="0" w:firstLineChars="0"/>
              <w:contextualSpacing/>
              <w:jc w:val="center"/>
              <w:rPr>
                <w:rFonts w:hint="eastAsia" w:ascii="宋体" w:hAnsi="宋体" w:eastAsia="宋体" w:cs="仿宋_GB2312"/>
                <w:color w:val="auto"/>
                <w:kern w:val="2"/>
                <w:sz w:val="21"/>
                <w:szCs w:val="21"/>
                <w:highlight w:val="none"/>
                <w:lang w:val="en-US" w:eastAsia="zh-CN"/>
              </w:rPr>
            </w:pPr>
          </w:p>
        </w:tc>
      </w:tr>
    </w:tbl>
    <w:p w14:paraId="69EDCC13">
      <w:pPr>
        <w:snapToGrid w:val="0"/>
        <w:spacing w:before="50" w:line="240" w:lineRule="auto"/>
        <w:ind w:firstLine="0" w:firstLineChars="0"/>
        <w:jc w:val="left"/>
        <w:rPr>
          <w:rFonts w:hint="eastAsia" w:ascii="宋体" w:hAnsi="宋体" w:cs="宋体"/>
          <w:b/>
          <w:bCs/>
          <w:color w:val="auto"/>
          <w:szCs w:val="21"/>
          <w:highlight w:val="none"/>
        </w:rPr>
      </w:pPr>
      <w:r>
        <w:rPr>
          <w:rFonts w:hint="eastAsia" w:ascii="宋体" w:hAnsi="宋体" w:cs="宋体"/>
          <w:b/>
          <w:bCs/>
          <w:color w:val="auto"/>
          <w:szCs w:val="21"/>
          <w:highlight w:val="none"/>
        </w:rPr>
        <w:t>注：</w:t>
      </w:r>
    </w:p>
    <w:p w14:paraId="76D5D1A9">
      <w:pPr>
        <w:snapToGrid w:val="0"/>
        <w:spacing w:before="50" w:line="240" w:lineRule="auto"/>
        <w:ind w:firstLine="382" w:firstLineChars="182"/>
        <w:jc w:val="left"/>
        <w:rPr>
          <w:rFonts w:hint="eastAsia" w:ascii="宋体" w:hAnsi="宋体" w:cs="宋体"/>
          <w:b/>
          <w:bCs/>
          <w:color w:val="auto"/>
          <w:szCs w:val="21"/>
          <w:highlight w:val="none"/>
        </w:rPr>
      </w:pPr>
      <w:r>
        <w:rPr>
          <w:rFonts w:hint="eastAsia" w:ascii="宋体" w:hAnsi="宋体" w:cs="宋体"/>
          <w:b/>
          <w:bCs/>
          <w:color w:val="auto"/>
          <w:szCs w:val="21"/>
          <w:highlight w:val="none"/>
        </w:rPr>
        <w:t>1.应对照竞争性磋商文件“第三章 采购需求”中的服务需求逐条作出明确响应，并作出偏离说明。</w:t>
      </w:r>
    </w:p>
    <w:p w14:paraId="3AC11BCF">
      <w:pPr>
        <w:snapToGrid w:val="0"/>
        <w:spacing w:before="50" w:line="240" w:lineRule="auto"/>
        <w:ind w:firstLine="382" w:firstLineChars="182"/>
        <w:jc w:val="left"/>
        <w:rPr>
          <w:rFonts w:hint="eastAsia" w:ascii="宋体" w:hAnsi="宋体" w:cs="宋体"/>
          <w:bCs/>
          <w:color w:val="auto"/>
          <w:szCs w:val="21"/>
          <w:highlight w:val="none"/>
        </w:rPr>
      </w:pPr>
      <w:r>
        <w:rPr>
          <w:rFonts w:hint="eastAsia" w:ascii="宋体" w:hAnsi="宋体" w:cs="宋体"/>
          <w:bCs/>
          <w:color w:val="auto"/>
          <w:szCs w:val="21"/>
          <w:highlight w:val="none"/>
        </w:rPr>
        <w:t>2.供应商应根据自身的承诺，对照竞争性磋商文件要求，在“偏离说明”中注明“正偏离”、“负偏离”或者“无偏离”。既不属于“正偏离”也不属于“负偏离”即为“无偏离”。</w:t>
      </w:r>
    </w:p>
    <w:p w14:paraId="6FA44026">
      <w:pPr>
        <w:snapToGrid w:val="0"/>
        <w:spacing w:before="50" w:line="276" w:lineRule="auto"/>
        <w:ind w:firstLine="196" w:firstLineChars="82"/>
        <w:jc w:val="left"/>
        <w:rPr>
          <w:rFonts w:hint="eastAsia" w:ascii="宋体" w:hAnsi="宋体" w:cs="宋体"/>
          <w:b/>
          <w:bCs/>
          <w:color w:val="auto"/>
          <w:sz w:val="24"/>
          <w:highlight w:val="none"/>
        </w:rPr>
      </w:pPr>
    </w:p>
    <w:p w14:paraId="7C0832A1">
      <w:pPr>
        <w:pStyle w:val="26"/>
        <w:spacing w:line="360" w:lineRule="auto"/>
        <w:ind w:firstLine="3780" w:firstLineChars="1800"/>
        <w:rPr>
          <w:rFonts w:hint="eastAsia" w:hAnsi="宋体" w:cs="宋体"/>
          <w:color w:val="auto"/>
          <w:sz w:val="21"/>
          <w:highlight w:val="none"/>
        </w:rPr>
      </w:pPr>
    </w:p>
    <w:p w14:paraId="11547DA2">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6C8F5005">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7C7ACE47">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063A63E5">
      <w:pPr>
        <w:tabs>
          <w:tab w:val="left" w:pos="4111"/>
        </w:tabs>
        <w:wordWrap w:val="0"/>
        <w:snapToGrid w:val="0"/>
        <w:spacing w:before="50"/>
        <w:ind w:firstLine="3968" w:firstLineChars="1890"/>
        <w:rPr>
          <w:rFonts w:hint="eastAsia" w:hAnsi="宋体"/>
          <w:color w:val="auto"/>
          <w:highlight w:val="none"/>
        </w:rPr>
      </w:pPr>
    </w:p>
    <w:p w14:paraId="4B6CD38C">
      <w:pPr>
        <w:pStyle w:val="26"/>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1554FE38">
      <w:pPr>
        <w:pStyle w:val="26"/>
        <w:wordWrap w:val="0"/>
        <w:ind w:firstLine="480"/>
        <w:jc w:val="right"/>
        <w:rPr>
          <w:rFonts w:hint="eastAsia" w:hAnsi="宋体" w:cs="宋体"/>
          <w:color w:val="auto"/>
          <w:sz w:val="24"/>
          <w:highlight w:val="none"/>
        </w:rPr>
        <w:sectPr>
          <w:pgSz w:w="11906" w:h="16838"/>
          <w:pgMar w:top="1134" w:right="1134" w:bottom="1134" w:left="1134" w:header="851" w:footer="992" w:gutter="0"/>
          <w:pgNumType w:fmt="decimal"/>
          <w:cols w:space="720" w:num="1"/>
          <w:docGrid w:type="linesAndChars" w:linePitch="312" w:charSpace="0"/>
        </w:sectPr>
      </w:pPr>
    </w:p>
    <w:p w14:paraId="52CE9EB6">
      <w:pPr>
        <w:pStyle w:val="26"/>
        <w:spacing w:line="400" w:lineRule="exact"/>
        <w:ind w:firstLine="0" w:firstLineChars="0"/>
        <w:jc w:val="left"/>
        <w:rPr>
          <w:rFonts w:hint="eastAsia" w:hAnsi="宋体" w:cs="宋体"/>
          <w:b/>
          <w:color w:val="auto"/>
          <w:sz w:val="32"/>
          <w:highlight w:val="none"/>
        </w:rPr>
      </w:pPr>
      <w:bookmarkStart w:id="154" w:name="_Toc356165644"/>
      <w:bookmarkStart w:id="155" w:name="_Toc356979893"/>
      <w:r>
        <w:rPr>
          <w:rFonts w:hint="eastAsia" w:hAnsi="宋体" w:cs="宋体"/>
          <w:b/>
          <w:bCs/>
          <w:color w:val="auto"/>
          <w:highlight w:val="none"/>
        </w:rPr>
        <w:t>附件</w:t>
      </w:r>
    </w:p>
    <w:p w14:paraId="029FD9D9">
      <w:pPr>
        <w:pStyle w:val="26"/>
        <w:spacing w:line="400" w:lineRule="exact"/>
        <w:ind w:firstLine="643"/>
        <w:jc w:val="center"/>
        <w:rPr>
          <w:rFonts w:hint="eastAsia" w:hAnsi="宋体" w:eastAsia="宋体" w:cs="宋体"/>
          <w:color w:val="auto"/>
          <w:sz w:val="32"/>
          <w:szCs w:val="32"/>
          <w:highlight w:val="none"/>
          <w:lang w:eastAsia="zh-CN"/>
        </w:rPr>
      </w:pPr>
      <w:r>
        <w:rPr>
          <w:rFonts w:hint="eastAsia" w:hAnsi="宋体" w:cs="宋体"/>
          <w:b/>
          <w:color w:val="auto"/>
          <w:sz w:val="32"/>
          <w:highlight w:val="none"/>
          <w:lang w:val="en-US" w:eastAsia="zh-CN"/>
        </w:rPr>
        <w:t>项目实施</w:t>
      </w:r>
      <w:r>
        <w:rPr>
          <w:rFonts w:hint="eastAsia" w:hAnsi="宋体" w:cs="宋体"/>
          <w:b/>
          <w:color w:val="auto"/>
          <w:sz w:val="32"/>
          <w:highlight w:val="none"/>
        </w:rPr>
        <w:t>方案</w:t>
      </w:r>
    </w:p>
    <w:p w14:paraId="3E22936F">
      <w:pPr>
        <w:pStyle w:val="26"/>
        <w:spacing w:line="400" w:lineRule="exact"/>
        <w:ind w:firstLine="643"/>
        <w:jc w:val="center"/>
        <w:rPr>
          <w:rFonts w:hint="eastAsia" w:hAnsi="宋体" w:cs="宋体"/>
          <w:b/>
          <w:color w:val="auto"/>
          <w:sz w:val="32"/>
          <w:highlight w:val="none"/>
        </w:rPr>
      </w:pPr>
    </w:p>
    <w:p w14:paraId="167744F4">
      <w:pPr>
        <w:pStyle w:val="26"/>
        <w:spacing w:line="360" w:lineRule="auto"/>
        <w:ind w:firstLine="371" w:firstLineChars="177"/>
        <w:rPr>
          <w:rFonts w:hint="eastAsia" w:hAnsi="宋体"/>
          <w:color w:val="auto"/>
          <w:sz w:val="21"/>
          <w:highlight w:val="none"/>
          <w:lang w:eastAsia="zh-CN"/>
        </w:rPr>
      </w:pPr>
      <w:r>
        <w:rPr>
          <w:rFonts w:hint="eastAsia" w:hAnsi="宋体"/>
          <w:color w:val="auto"/>
          <w:sz w:val="21"/>
          <w:highlight w:val="none"/>
        </w:rPr>
        <w:t>由</w:t>
      </w:r>
      <w:r>
        <w:rPr>
          <w:rFonts w:hint="eastAsia" w:hAnsi="宋体"/>
          <w:color w:val="auto"/>
          <w:sz w:val="21"/>
          <w:highlight w:val="none"/>
          <w:lang w:eastAsia="zh-CN"/>
        </w:rPr>
        <w:t>供应商</w:t>
      </w:r>
      <w:r>
        <w:rPr>
          <w:rFonts w:hint="eastAsia" w:hAnsi="宋体"/>
          <w:color w:val="auto"/>
          <w:sz w:val="21"/>
          <w:highlight w:val="none"/>
        </w:rPr>
        <w:t>按“第</w:t>
      </w:r>
      <w:r>
        <w:rPr>
          <w:rFonts w:hint="eastAsia" w:hAnsi="宋体"/>
          <w:color w:val="auto"/>
          <w:sz w:val="21"/>
          <w:highlight w:val="none"/>
          <w:lang w:eastAsia="zh-CN"/>
        </w:rPr>
        <w:t>三</w:t>
      </w:r>
      <w:r>
        <w:rPr>
          <w:rFonts w:hint="eastAsia" w:hAnsi="宋体"/>
          <w:color w:val="auto"/>
          <w:sz w:val="21"/>
          <w:highlight w:val="none"/>
        </w:rPr>
        <w:t>章</w:t>
      </w:r>
      <w:r>
        <w:rPr>
          <w:rFonts w:hint="eastAsia" w:hAnsi="宋体"/>
          <w:color w:val="auto"/>
          <w:sz w:val="21"/>
          <w:highlight w:val="none"/>
          <w:lang w:eastAsia="zh-CN"/>
        </w:rPr>
        <w:t xml:space="preserve"> 采购需求</w:t>
      </w:r>
      <w:r>
        <w:rPr>
          <w:rFonts w:hint="eastAsia" w:hAnsi="宋体"/>
          <w:color w:val="auto"/>
          <w:sz w:val="21"/>
          <w:highlight w:val="none"/>
        </w:rPr>
        <w:t>”及</w:t>
      </w:r>
      <w:r>
        <w:rPr>
          <w:rFonts w:hAnsi="宋体"/>
          <w:color w:val="auto"/>
          <w:sz w:val="21"/>
          <w:highlight w:val="none"/>
          <w:lang w:eastAsia="zh-CN"/>
        </w:rPr>
        <w:t>“</w:t>
      </w:r>
      <w:r>
        <w:rPr>
          <w:rFonts w:hint="eastAsia" w:hAnsi="宋体"/>
          <w:color w:val="auto"/>
          <w:sz w:val="21"/>
          <w:highlight w:val="none"/>
        </w:rPr>
        <w:t>第</w:t>
      </w:r>
      <w:r>
        <w:rPr>
          <w:rFonts w:hint="eastAsia" w:hAnsi="宋体"/>
          <w:color w:val="auto"/>
          <w:sz w:val="21"/>
          <w:highlight w:val="none"/>
          <w:lang w:eastAsia="zh-CN"/>
        </w:rPr>
        <w:t>四</w:t>
      </w:r>
      <w:r>
        <w:rPr>
          <w:rFonts w:hint="eastAsia" w:hAnsi="宋体"/>
          <w:color w:val="auto"/>
          <w:sz w:val="21"/>
          <w:highlight w:val="none"/>
        </w:rPr>
        <w:t>章</w:t>
      </w:r>
      <w:r>
        <w:rPr>
          <w:rFonts w:hint="eastAsia" w:hAnsi="宋体"/>
          <w:color w:val="auto"/>
          <w:sz w:val="21"/>
          <w:highlight w:val="none"/>
          <w:lang w:eastAsia="zh-CN"/>
        </w:rPr>
        <w:t xml:space="preserve"> </w:t>
      </w:r>
      <w:r>
        <w:rPr>
          <w:rFonts w:hint="eastAsia" w:hAnsi="宋体"/>
          <w:color w:val="auto"/>
          <w:sz w:val="21"/>
          <w:highlight w:val="none"/>
        </w:rPr>
        <w:t>评审程序、评审方法和评审标准</w:t>
      </w:r>
      <w:r>
        <w:rPr>
          <w:rFonts w:hAnsi="宋体"/>
          <w:color w:val="auto"/>
          <w:sz w:val="21"/>
          <w:highlight w:val="none"/>
          <w:lang w:eastAsia="zh-CN"/>
        </w:rPr>
        <w:t>”</w:t>
      </w:r>
      <w:r>
        <w:rPr>
          <w:rFonts w:hint="eastAsia" w:hAnsi="宋体"/>
          <w:color w:val="auto"/>
          <w:sz w:val="21"/>
          <w:highlight w:val="none"/>
        </w:rPr>
        <w:t>中的评分点自行编制，所作的承诺作为构成合同不可分割的部分，必须真实、诚信，如提供虚假承诺或在中标、成交后不按其承诺履行的，将依法追究违约责任，并按《中华人民共和国政府采购法》规定予以处罚。</w:t>
      </w:r>
    </w:p>
    <w:p w14:paraId="7117430A">
      <w:pPr>
        <w:pStyle w:val="26"/>
        <w:ind w:firstLine="371" w:firstLineChars="177"/>
        <w:rPr>
          <w:rFonts w:hint="eastAsia" w:hAnsi="宋体"/>
          <w:color w:val="auto"/>
          <w:sz w:val="21"/>
          <w:highlight w:val="none"/>
        </w:rPr>
      </w:pPr>
    </w:p>
    <w:p w14:paraId="3886D4C7">
      <w:pPr>
        <w:pStyle w:val="26"/>
        <w:ind w:firstLine="371" w:firstLineChars="177"/>
        <w:rPr>
          <w:rFonts w:hAnsi="宋体"/>
          <w:color w:val="auto"/>
          <w:sz w:val="21"/>
          <w:highlight w:val="none"/>
        </w:rPr>
      </w:pPr>
    </w:p>
    <w:p w14:paraId="42E33E06">
      <w:pPr>
        <w:pStyle w:val="26"/>
        <w:ind w:firstLine="371" w:firstLineChars="177"/>
        <w:rPr>
          <w:rFonts w:hAnsi="宋体"/>
          <w:color w:val="auto"/>
          <w:sz w:val="21"/>
          <w:highlight w:val="none"/>
        </w:rPr>
      </w:pPr>
    </w:p>
    <w:p w14:paraId="0C492E3E">
      <w:pPr>
        <w:pStyle w:val="26"/>
        <w:ind w:firstLine="371" w:firstLineChars="177"/>
        <w:rPr>
          <w:rFonts w:hAnsi="宋体"/>
          <w:color w:val="auto"/>
          <w:sz w:val="21"/>
          <w:highlight w:val="none"/>
        </w:rPr>
      </w:pPr>
    </w:p>
    <w:p w14:paraId="290AFDA0">
      <w:pPr>
        <w:pStyle w:val="26"/>
        <w:ind w:firstLine="480"/>
        <w:jc w:val="left"/>
        <w:rPr>
          <w:rFonts w:hint="eastAsia" w:hAnsi="宋体" w:cs="宋体"/>
          <w:color w:val="auto"/>
          <w:sz w:val="24"/>
          <w:szCs w:val="24"/>
          <w:highlight w:val="none"/>
        </w:rPr>
      </w:pPr>
    </w:p>
    <w:p w14:paraId="350017E2">
      <w:pPr>
        <w:pStyle w:val="26"/>
        <w:ind w:firstLine="480"/>
        <w:jc w:val="left"/>
        <w:rPr>
          <w:rFonts w:hint="eastAsia" w:hAnsi="宋体" w:cs="宋体"/>
          <w:color w:val="auto"/>
          <w:sz w:val="24"/>
          <w:szCs w:val="24"/>
          <w:highlight w:val="none"/>
        </w:rPr>
      </w:pPr>
    </w:p>
    <w:p w14:paraId="6AC06067">
      <w:pPr>
        <w:pStyle w:val="26"/>
        <w:ind w:firstLine="480"/>
        <w:jc w:val="left"/>
        <w:rPr>
          <w:rFonts w:hint="eastAsia" w:hAnsi="宋体" w:cs="宋体"/>
          <w:color w:val="auto"/>
          <w:sz w:val="24"/>
          <w:szCs w:val="24"/>
          <w:highlight w:val="none"/>
        </w:rPr>
      </w:pPr>
    </w:p>
    <w:p w14:paraId="431D3BFA">
      <w:pPr>
        <w:pStyle w:val="26"/>
        <w:ind w:firstLine="480"/>
        <w:jc w:val="left"/>
        <w:rPr>
          <w:rFonts w:hint="eastAsia" w:hAnsi="宋体" w:cs="宋体"/>
          <w:color w:val="auto"/>
          <w:sz w:val="24"/>
          <w:szCs w:val="24"/>
          <w:highlight w:val="none"/>
        </w:rPr>
      </w:pPr>
    </w:p>
    <w:p w14:paraId="4A23E758">
      <w:pPr>
        <w:pStyle w:val="26"/>
        <w:ind w:firstLine="480"/>
        <w:jc w:val="left"/>
        <w:rPr>
          <w:rFonts w:hint="eastAsia" w:hAnsi="宋体" w:cs="宋体"/>
          <w:color w:val="auto"/>
          <w:sz w:val="24"/>
          <w:szCs w:val="24"/>
          <w:highlight w:val="none"/>
        </w:rPr>
      </w:pPr>
    </w:p>
    <w:p w14:paraId="11C0E05B">
      <w:pPr>
        <w:pStyle w:val="26"/>
        <w:ind w:firstLine="480"/>
        <w:jc w:val="left"/>
        <w:rPr>
          <w:rFonts w:hint="eastAsia" w:hAnsi="宋体" w:cs="宋体"/>
          <w:color w:val="auto"/>
          <w:sz w:val="24"/>
          <w:szCs w:val="24"/>
          <w:highlight w:val="none"/>
        </w:rPr>
      </w:pPr>
    </w:p>
    <w:p w14:paraId="411F35C4">
      <w:pPr>
        <w:pStyle w:val="26"/>
        <w:ind w:firstLine="480"/>
        <w:jc w:val="left"/>
        <w:rPr>
          <w:rFonts w:hint="eastAsia" w:hAnsi="宋体" w:cs="宋体"/>
          <w:color w:val="auto"/>
          <w:sz w:val="24"/>
          <w:szCs w:val="24"/>
          <w:highlight w:val="none"/>
        </w:rPr>
      </w:pPr>
    </w:p>
    <w:p w14:paraId="2FC198B0">
      <w:pPr>
        <w:pStyle w:val="26"/>
        <w:wordWrap w:val="0"/>
        <w:ind w:firstLine="420"/>
        <w:rPr>
          <w:rFonts w:hint="eastAsia" w:hAnsi="宋体" w:cs="宋体"/>
          <w:color w:val="auto"/>
          <w:sz w:val="21"/>
          <w:highlight w:val="none"/>
        </w:rPr>
      </w:pPr>
    </w:p>
    <w:p w14:paraId="5184FD58">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16A0FB9A">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44CB5056">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2FD7DFB2">
      <w:pPr>
        <w:tabs>
          <w:tab w:val="left" w:pos="4111"/>
        </w:tabs>
        <w:wordWrap w:val="0"/>
        <w:snapToGrid w:val="0"/>
        <w:spacing w:before="50"/>
        <w:ind w:firstLine="3968" w:firstLineChars="1890"/>
        <w:rPr>
          <w:rFonts w:hint="eastAsia" w:hAnsi="宋体"/>
          <w:color w:val="auto"/>
          <w:highlight w:val="none"/>
        </w:rPr>
      </w:pPr>
    </w:p>
    <w:p w14:paraId="37E48FA2">
      <w:pPr>
        <w:pStyle w:val="26"/>
        <w:wordWrap w:val="0"/>
        <w:ind w:firstLine="420"/>
        <w:jc w:val="right"/>
        <w:rPr>
          <w:rFonts w:hint="eastAsia" w:hAnsi="宋体"/>
          <w:color w:val="auto"/>
          <w:kern w:val="2"/>
          <w:sz w:val="21"/>
          <w:highlight w:val="none"/>
        </w:rPr>
        <w:sectPr>
          <w:headerReference r:id="rId14" w:type="default"/>
          <w:footerReference r:id="rId15" w:type="default"/>
          <w:pgSz w:w="11906" w:h="16838"/>
          <w:pgMar w:top="1134" w:right="1191" w:bottom="850" w:left="1191"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156E3C33">
      <w:pPr>
        <w:pStyle w:val="26"/>
        <w:spacing w:line="400" w:lineRule="exact"/>
        <w:ind w:firstLine="0" w:firstLineChars="0"/>
        <w:jc w:val="left"/>
        <w:rPr>
          <w:rFonts w:hint="eastAsia" w:hAnsi="宋体" w:cs="宋体"/>
          <w:b/>
          <w:color w:val="auto"/>
          <w:sz w:val="32"/>
          <w:highlight w:val="none"/>
        </w:rPr>
      </w:pPr>
      <w:r>
        <w:rPr>
          <w:rFonts w:hint="eastAsia" w:hAnsi="宋体" w:cs="宋体"/>
          <w:b/>
          <w:bCs/>
          <w:color w:val="auto"/>
          <w:highlight w:val="none"/>
        </w:rPr>
        <w:t>附件</w:t>
      </w:r>
    </w:p>
    <w:p w14:paraId="489AD9AF">
      <w:pPr>
        <w:pStyle w:val="26"/>
        <w:spacing w:line="400" w:lineRule="exact"/>
        <w:ind w:firstLine="643"/>
        <w:jc w:val="center"/>
        <w:rPr>
          <w:rFonts w:hint="eastAsia" w:hAnsi="宋体" w:eastAsia="宋体" w:cs="宋体"/>
          <w:color w:val="auto"/>
          <w:sz w:val="32"/>
          <w:szCs w:val="32"/>
          <w:highlight w:val="none"/>
          <w:lang w:eastAsia="zh-CN"/>
        </w:rPr>
      </w:pPr>
      <w:r>
        <w:rPr>
          <w:rFonts w:hint="eastAsia" w:hAnsi="宋体" w:cs="宋体"/>
          <w:b/>
          <w:color w:val="auto"/>
          <w:sz w:val="32"/>
          <w:highlight w:val="none"/>
          <w:lang w:val="en-US" w:eastAsia="zh-CN"/>
        </w:rPr>
        <w:t>安全防护制度及应急方案</w:t>
      </w:r>
    </w:p>
    <w:p w14:paraId="688C7086">
      <w:pPr>
        <w:pStyle w:val="26"/>
        <w:spacing w:line="400" w:lineRule="exact"/>
        <w:ind w:firstLine="643"/>
        <w:jc w:val="center"/>
        <w:rPr>
          <w:rFonts w:hint="eastAsia" w:hAnsi="宋体" w:cs="宋体"/>
          <w:b/>
          <w:color w:val="auto"/>
          <w:sz w:val="32"/>
          <w:highlight w:val="none"/>
        </w:rPr>
      </w:pPr>
    </w:p>
    <w:p w14:paraId="42EB4AE9">
      <w:pPr>
        <w:pStyle w:val="26"/>
        <w:spacing w:line="360" w:lineRule="auto"/>
        <w:ind w:firstLine="371" w:firstLineChars="177"/>
        <w:rPr>
          <w:rFonts w:hint="eastAsia" w:hAnsi="宋体"/>
          <w:color w:val="auto"/>
          <w:sz w:val="21"/>
          <w:highlight w:val="none"/>
          <w:lang w:eastAsia="zh-CN"/>
        </w:rPr>
      </w:pPr>
      <w:r>
        <w:rPr>
          <w:rFonts w:hint="eastAsia" w:hAnsi="宋体"/>
          <w:color w:val="auto"/>
          <w:sz w:val="21"/>
          <w:highlight w:val="none"/>
        </w:rPr>
        <w:t>由</w:t>
      </w:r>
      <w:r>
        <w:rPr>
          <w:rFonts w:hint="eastAsia" w:hAnsi="宋体"/>
          <w:color w:val="auto"/>
          <w:sz w:val="21"/>
          <w:highlight w:val="none"/>
          <w:lang w:eastAsia="zh-CN"/>
        </w:rPr>
        <w:t>供应商</w:t>
      </w:r>
      <w:r>
        <w:rPr>
          <w:rFonts w:hint="eastAsia" w:hAnsi="宋体"/>
          <w:color w:val="auto"/>
          <w:sz w:val="21"/>
          <w:highlight w:val="none"/>
        </w:rPr>
        <w:t>按“第</w:t>
      </w:r>
      <w:r>
        <w:rPr>
          <w:rFonts w:hint="eastAsia" w:hAnsi="宋体"/>
          <w:color w:val="auto"/>
          <w:sz w:val="21"/>
          <w:highlight w:val="none"/>
          <w:lang w:eastAsia="zh-CN"/>
        </w:rPr>
        <w:t>三</w:t>
      </w:r>
      <w:r>
        <w:rPr>
          <w:rFonts w:hint="eastAsia" w:hAnsi="宋体"/>
          <w:color w:val="auto"/>
          <w:sz w:val="21"/>
          <w:highlight w:val="none"/>
        </w:rPr>
        <w:t>章</w:t>
      </w:r>
      <w:r>
        <w:rPr>
          <w:rFonts w:hint="eastAsia" w:hAnsi="宋体"/>
          <w:color w:val="auto"/>
          <w:sz w:val="21"/>
          <w:highlight w:val="none"/>
          <w:lang w:eastAsia="zh-CN"/>
        </w:rPr>
        <w:t xml:space="preserve"> 采购需求</w:t>
      </w:r>
      <w:r>
        <w:rPr>
          <w:rFonts w:hint="eastAsia" w:hAnsi="宋体"/>
          <w:color w:val="auto"/>
          <w:sz w:val="21"/>
          <w:highlight w:val="none"/>
        </w:rPr>
        <w:t>”及</w:t>
      </w:r>
      <w:r>
        <w:rPr>
          <w:rFonts w:hAnsi="宋体"/>
          <w:color w:val="auto"/>
          <w:sz w:val="21"/>
          <w:highlight w:val="none"/>
          <w:lang w:eastAsia="zh-CN"/>
        </w:rPr>
        <w:t>“</w:t>
      </w:r>
      <w:r>
        <w:rPr>
          <w:rFonts w:hint="eastAsia" w:hAnsi="宋体"/>
          <w:color w:val="auto"/>
          <w:sz w:val="21"/>
          <w:highlight w:val="none"/>
        </w:rPr>
        <w:t>第</w:t>
      </w:r>
      <w:r>
        <w:rPr>
          <w:rFonts w:hint="eastAsia" w:hAnsi="宋体"/>
          <w:color w:val="auto"/>
          <w:sz w:val="21"/>
          <w:highlight w:val="none"/>
          <w:lang w:eastAsia="zh-CN"/>
        </w:rPr>
        <w:t>四</w:t>
      </w:r>
      <w:r>
        <w:rPr>
          <w:rFonts w:hint="eastAsia" w:hAnsi="宋体"/>
          <w:color w:val="auto"/>
          <w:sz w:val="21"/>
          <w:highlight w:val="none"/>
        </w:rPr>
        <w:t>章</w:t>
      </w:r>
      <w:r>
        <w:rPr>
          <w:rFonts w:hint="eastAsia" w:hAnsi="宋体"/>
          <w:color w:val="auto"/>
          <w:sz w:val="21"/>
          <w:highlight w:val="none"/>
          <w:lang w:eastAsia="zh-CN"/>
        </w:rPr>
        <w:t xml:space="preserve"> </w:t>
      </w:r>
      <w:r>
        <w:rPr>
          <w:rFonts w:hint="eastAsia" w:hAnsi="宋体"/>
          <w:color w:val="auto"/>
          <w:sz w:val="21"/>
          <w:highlight w:val="none"/>
        </w:rPr>
        <w:t>评审程序、评审方法和评审标准</w:t>
      </w:r>
      <w:r>
        <w:rPr>
          <w:rFonts w:hAnsi="宋体"/>
          <w:color w:val="auto"/>
          <w:sz w:val="21"/>
          <w:highlight w:val="none"/>
          <w:lang w:eastAsia="zh-CN"/>
        </w:rPr>
        <w:t>”</w:t>
      </w:r>
      <w:r>
        <w:rPr>
          <w:rFonts w:hint="eastAsia" w:hAnsi="宋体"/>
          <w:color w:val="auto"/>
          <w:sz w:val="21"/>
          <w:highlight w:val="none"/>
        </w:rPr>
        <w:t>中的评分点自行编制，所作的承诺作为构成合同不可分割的部分，必须真实、诚信，如提供虚假承诺或在中标、成交后不按其承诺履行的，将依法追究违约责任，并按《中华人民共和国政府采购法》规定予以处罚。</w:t>
      </w:r>
    </w:p>
    <w:p w14:paraId="2C6D9D04">
      <w:pPr>
        <w:pStyle w:val="26"/>
        <w:ind w:firstLine="371" w:firstLineChars="177"/>
        <w:rPr>
          <w:rFonts w:hint="eastAsia" w:hAnsi="宋体"/>
          <w:color w:val="auto"/>
          <w:sz w:val="21"/>
          <w:highlight w:val="none"/>
        </w:rPr>
      </w:pPr>
    </w:p>
    <w:p w14:paraId="1B0926DD">
      <w:pPr>
        <w:pStyle w:val="26"/>
        <w:ind w:firstLine="371" w:firstLineChars="177"/>
        <w:rPr>
          <w:rFonts w:hAnsi="宋体"/>
          <w:color w:val="auto"/>
          <w:sz w:val="21"/>
          <w:highlight w:val="none"/>
        </w:rPr>
      </w:pPr>
    </w:p>
    <w:p w14:paraId="0E8C3480">
      <w:pPr>
        <w:pStyle w:val="26"/>
        <w:ind w:firstLine="371" w:firstLineChars="177"/>
        <w:rPr>
          <w:rFonts w:hAnsi="宋体"/>
          <w:color w:val="auto"/>
          <w:sz w:val="21"/>
          <w:highlight w:val="none"/>
        </w:rPr>
      </w:pPr>
    </w:p>
    <w:p w14:paraId="6ABA5DED">
      <w:pPr>
        <w:pStyle w:val="26"/>
        <w:ind w:firstLine="371" w:firstLineChars="177"/>
        <w:rPr>
          <w:rFonts w:hAnsi="宋体"/>
          <w:color w:val="auto"/>
          <w:sz w:val="21"/>
          <w:highlight w:val="none"/>
        </w:rPr>
      </w:pPr>
    </w:p>
    <w:p w14:paraId="652069DC">
      <w:pPr>
        <w:pStyle w:val="26"/>
        <w:ind w:firstLine="480"/>
        <w:jc w:val="left"/>
        <w:rPr>
          <w:rFonts w:hint="eastAsia" w:hAnsi="宋体" w:cs="宋体"/>
          <w:color w:val="auto"/>
          <w:sz w:val="24"/>
          <w:szCs w:val="24"/>
          <w:highlight w:val="none"/>
        </w:rPr>
      </w:pPr>
    </w:p>
    <w:p w14:paraId="320AC76B">
      <w:pPr>
        <w:pStyle w:val="26"/>
        <w:ind w:firstLine="480"/>
        <w:jc w:val="left"/>
        <w:rPr>
          <w:rFonts w:hint="eastAsia" w:hAnsi="宋体" w:cs="宋体"/>
          <w:color w:val="auto"/>
          <w:sz w:val="24"/>
          <w:szCs w:val="24"/>
          <w:highlight w:val="none"/>
        </w:rPr>
      </w:pPr>
    </w:p>
    <w:p w14:paraId="76E014AC">
      <w:pPr>
        <w:pStyle w:val="26"/>
        <w:ind w:firstLine="480"/>
        <w:jc w:val="left"/>
        <w:rPr>
          <w:rFonts w:hint="eastAsia" w:hAnsi="宋体" w:cs="宋体"/>
          <w:color w:val="auto"/>
          <w:sz w:val="24"/>
          <w:szCs w:val="24"/>
          <w:highlight w:val="none"/>
        </w:rPr>
      </w:pPr>
    </w:p>
    <w:p w14:paraId="5E419FDD">
      <w:pPr>
        <w:pStyle w:val="26"/>
        <w:ind w:firstLine="480"/>
        <w:jc w:val="left"/>
        <w:rPr>
          <w:rFonts w:hint="eastAsia" w:hAnsi="宋体" w:cs="宋体"/>
          <w:color w:val="auto"/>
          <w:sz w:val="24"/>
          <w:szCs w:val="24"/>
          <w:highlight w:val="none"/>
        </w:rPr>
      </w:pPr>
    </w:p>
    <w:p w14:paraId="5819C078">
      <w:pPr>
        <w:pStyle w:val="26"/>
        <w:ind w:firstLine="480"/>
        <w:jc w:val="left"/>
        <w:rPr>
          <w:rFonts w:hint="eastAsia" w:hAnsi="宋体" w:cs="宋体"/>
          <w:color w:val="auto"/>
          <w:sz w:val="24"/>
          <w:szCs w:val="24"/>
          <w:highlight w:val="none"/>
        </w:rPr>
      </w:pPr>
    </w:p>
    <w:p w14:paraId="062BA18D">
      <w:pPr>
        <w:pStyle w:val="26"/>
        <w:ind w:firstLine="480"/>
        <w:jc w:val="left"/>
        <w:rPr>
          <w:rFonts w:hint="eastAsia" w:hAnsi="宋体" w:cs="宋体"/>
          <w:color w:val="auto"/>
          <w:sz w:val="24"/>
          <w:szCs w:val="24"/>
          <w:highlight w:val="none"/>
        </w:rPr>
      </w:pPr>
    </w:p>
    <w:p w14:paraId="7BA39625">
      <w:pPr>
        <w:pStyle w:val="26"/>
        <w:ind w:firstLine="480"/>
        <w:jc w:val="left"/>
        <w:rPr>
          <w:rFonts w:hint="eastAsia" w:hAnsi="宋体" w:cs="宋体"/>
          <w:color w:val="auto"/>
          <w:sz w:val="24"/>
          <w:szCs w:val="24"/>
          <w:highlight w:val="none"/>
        </w:rPr>
      </w:pPr>
    </w:p>
    <w:p w14:paraId="50419328">
      <w:pPr>
        <w:pStyle w:val="26"/>
        <w:wordWrap w:val="0"/>
        <w:ind w:firstLine="420"/>
        <w:rPr>
          <w:rFonts w:hint="eastAsia" w:hAnsi="宋体" w:cs="宋体"/>
          <w:color w:val="auto"/>
          <w:sz w:val="21"/>
          <w:highlight w:val="none"/>
        </w:rPr>
      </w:pPr>
    </w:p>
    <w:p w14:paraId="40F2B2D8">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4926C4B4">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156D7D09">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05C3630B">
      <w:pPr>
        <w:tabs>
          <w:tab w:val="left" w:pos="4111"/>
        </w:tabs>
        <w:wordWrap w:val="0"/>
        <w:snapToGrid w:val="0"/>
        <w:spacing w:before="50"/>
        <w:ind w:firstLine="3968" w:firstLineChars="1890"/>
        <w:rPr>
          <w:rFonts w:hint="eastAsia" w:hAnsi="宋体"/>
          <w:color w:val="auto"/>
          <w:highlight w:val="none"/>
        </w:rPr>
      </w:pPr>
    </w:p>
    <w:p w14:paraId="5ECE1E5B">
      <w:pPr>
        <w:pStyle w:val="26"/>
        <w:wordWrap w:val="0"/>
        <w:ind w:firstLine="420"/>
        <w:jc w:val="right"/>
        <w:rPr>
          <w:rFonts w:hint="eastAsia" w:hAnsi="宋体"/>
          <w:color w:val="auto"/>
          <w:kern w:val="2"/>
          <w:sz w:val="21"/>
          <w:highlight w:val="none"/>
        </w:rPr>
        <w:sectPr>
          <w:pgSz w:w="11906" w:h="16838"/>
          <w:pgMar w:top="1134" w:right="1191" w:bottom="850" w:left="1191"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6BAB2583">
      <w:pPr>
        <w:pStyle w:val="26"/>
        <w:spacing w:line="400" w:lineRule="exact"/>
        <w:ind w:firstLine="0" w:firstLineChars="0"/>
        <w:jc w:val="left"/>
        <w:rPr>
          <w:rFonts w:hint="eastAsia" w:hAnsi="宋体" w:cs="宋体"/>
          <w:b/>
          <w:color w:val="auto"/>
          <w:sz w:val="32"/>
          <w:highlight w:val="none"/>
        </w:rPr>
      </w:pPr>
      <w:r>
        <w:rPr>
          <w:rFonts w:hint="eastAsia" w:hAnsi="宋体" w:cs="宋体"/>
          <w:b/>
          <w:bCs/>
          <w:color w:val="auto"/>
          <w:highlight w:val="none"/>
        </w:rPr>
        <w:t>附件</w:t>
      </w:r>
    </w:p>
    <w:p w14:paraId="5F03B4A2">
      <w:pPr>
        <w:pStyle w:val="26"/>
        <w:spacing w:line="400" w:lineRule="exact"/>
        <w:ind w:firstLine="643"/>
        <w:jc w:val="center"/>
        <w:rPr>
          <w:rFonts w:hint="eastAsia" w:hAnsi="宋体" w:eastAsia="宋体" w:cs="宋体"/>
          <w:color w:val="auto"/>
          <w:sz w:val="32"/>
          <w:szCs w:val="32"/>
          <w:highlight w:val="none"/>
          <w:lang w:eastAsia="zh-CN"/>
        </w:rPr>
      </w:pPr>
      <w:r>
        <w:rPr>
          <w:rFonts w:hint="eastAsia" w:hAnsi="宋体" w:cs="宋体"/>
          <w:b/>
          <w:color w:val="auto"/>
          <w:sz w:val="32"/>
          <w:highlight w:val="none"/>
          <w:lang w:val="en-US" w:eastAsia="zh-CN"/>
        </w:rPr>
        <w:t>人员配置方案</w:t>
      </w:r>
    </w:p>
    <w:p w14:paraId="0D8BE297">
      <w:pPr>
        <w:pStyle w:val="26"/>
        <w:spacing w:line="400" w:lineRule="exact"/>
        <w:ind w:firstLine="643"/>
        <w:jc w:val="center"/>
        <w:rPr>
          <w:rFonts w:hint="eastAsia" w:hAnsi="宋体" w:cs="宋体"/>
          <w:b/>
          <w:color w:val="auto"/>
          <w:sz w:val="32"/>
          <w:highlight w:val="none"/>
        </w:rPr>
      </w:pPr>
    </w:p>
    <w:p w14:paraId="7A1EE306">
      <w:pPr>
        <w:pStyle w:val="26"/>
        <w:spacing w:line="360" w:lineRule="auto"/>
        <w:ind w:firstLine="371" w:firstLineChars="177"/>
        <w:rPr>
          <w:rFonts w:hint="eastAsia" w:hAnsi="宋体"/>
          <w:color w:val="auto"/>
          <w:sz w:val="21"/>
          <w:highlight w:val="none"/>
          <w:lang w:eastAsia="zh-CN"/>
        </w:rPr>
      </w:pPr>
      <w:r>
        <w:rPr>
          <w:rFonts w:hint="eastAsia" w:hAnsi="宋体"/>
          <w:color w:val="auto"/>
          <w:sz w:val="21"/>
          <w:highlight w:val="none"/>
        </w:rPr>
        <w:t>由</w:t>
      </w:r>
      <w:r>
        <w:rPr>
          <w:rFonts w:hint="eastAsia" w:hAnsi="宋体"/>
          <w:color w:val="auto"/>
          <w:sz w:val="21"/>
          <w:highlight w:val="none"/>
          <w:lang w:eastAsia="zh-CN"/>
        </w:rPr>
        <w:t>供应商</w:t>
      </w:r>
      <w:r>
        <w:rPr>
          <w:rFonts w:hint="eastAsia" w:hAnsi="宋体"/>
          <w:color w:val="auto"/>
          <w:sz w:val="21"/>
          <w:highlight w:val="none"/>
        </w:rPr>
        <w:t>按“第</w:t>
      </w:r>
      <w:r>
        <w:rPr>
          <w:rFonts w:hint="eastAsia" w:hAnsi="宋体"/>
          <w:color w:val="auto"/>
          <w:sz w:val="21"/>
          <w:highlight w:val="none"/>
          <w:lang w:eastAsia="zh-CN"/>
        </w:rPr>
        <w:t>三</w:t>
      </w:r>
      <w:r>
        <w:rPr>
          <w:rFonts w:hint="eastAsia" w:hAnsi="宋体"/>
          <w:color w:val="auto"/>
          <w:sz w:val="21"/>
          <w:highlight w:val="none"/>
        </w:rPr>
        <w:t>章</w:t>
      </w:r>
      <w:r>
        <w:rPr>
          <w:rFonts w:hint="eastAsia" w:hAnsi="宋体"/>
          <w:color w:val="auto"/>
          <w:sz w:val="21"/>
          <w:highlight w:val="none"/>
          <w:lang w:eastAsia="zh-CN"/>
        </w:rPr>
        <w:t xml:space="preserve"> 采购需求</w:t>
      </w:r>
      <w:r>
        <w:rPr>
          <w:rFonts w:hint="eastAsia" w:hAnsi="宋体"/>
          <w:color w:val="auto"/>
          <w:sz w:val="21"/>
          <w:highlight w:val="none"/>
        </w:rPr>
        <w:t>”及</w:t>
      </w:r>
      <w:r>
        <w:rPr>
          <w:rFonts w:hAnsi="宋体"/>
          <w:color w:val="auto"/>
          <w:sz w:val="21"/>
          <w:highlight w:val="none"/>
          <w:lang w:eastAsia="zh-CN"/>
        </w:rPr>
        <w:t>“</w:t>
      </w:r>
      <w:r>
        <w:rPr>
          <w:rFonts w:hint="eastAsia" w:hAnsi="宋体"/>
          <w:color w:val="auto"/>
          <w:sz w:val="21"/>
          <w:highlight w:val="none"/>
        </w:rPr>
        <w:t>第</w:t>
      </w:r>
      <w:r>
        <w:rPr>
          <w:rFonts w:hint="eastAsia" w:hAnsi="宋体"/>
          <w:color w:val="auto"/>
          <w:sz w:val="21"/>
          <w:highlight w:val="none"/>
          <w:lang w:eastAsia="zh-CN"/>
        </w:rPr>
        <w:t>四</w:t>
      </w:r>
      <w:r>
        <w:rPr>
          <w:rFonts w:hint="eastAsia" w:hAnsi="宋体"/>
          <w:color w:val="auto"/>
          <w:sz w:val="21"/>
          <w:highlight w:val="none"/>
        </w:rPr>
        <w:t>章</w:t>
      </w:r>
      <w:r>
        <w:rPr>
          <w:rFonts w:hint="eastAsia" w:hAnsi="宋体"/>
          <w:color w:val="auto"/>
          <w:sz w:val="21"/>
          <w:highlight w:val="none"/>
          <w:lang w:eastAsia="zh-CN"/>
        </w:rPr>
        <w:t xml:space="preserve"> </w:t>
      </w:r>
      <w:r>
        <w:rPr>
          <w:rFonts w:hint="eastAsia" w:hAnsi="宋体"/>
          <w:color w:val="auto"/>
          <w:sz w:val="21"/>
          <w:highlight w:val="none"/>
        </w:rPr>
        <w:t>评审程序、评审方法和评审标准</w:t>
      </w:r>
      <w:r>
        <w:rPr>
          <w:rFonts w:hAnsi="宋体"/>
          <w:color w:val="auto"/>
          <w:sz w:val="21"/>
          <w:highlight w:val="none"/>
          <w:lang w:eastAsia="zh-CN"/>
        </w:rPr>
        <w:t>”</w:t>
      </w:r>
      <w:r>
        <w:rPr>
          <w:rFonts w:hint="eastAsia" w:hAnsi="宋体"/>
          <w:color w:val="auto"/>
          <w:sz w:val="21"/>
          <w:highlight w:val="none"/>
        </w:rPr>
        <w:t>中的评分点自行编制，所作的承诺作为构成合同不可分割的部分，必须真实、诚信，如提供虚假承诺或在中标、成交后不按其承诺履行的，将依法追究违约责任，并按《中华人民共和国政府采购法》规定予以处罚。</w:t>
      </w:r>
    </w:p>
    <w:p w14:paraId="687A36D5">
      <w:pPr>
        <w:pStyle w:val="26"/>
        <w:ind w:firstLine="371" w:firstLineChars="177"/>
        <w:rPr>
          <w:rFonts w:hint="eastAsia" w:hAnsi="宋体"/>
          <w:color w:val="auto"/>
          <w:sz w:val="21"/>
          <w:highlight w:val="none"/>
        </w:rPr>
      </w:pPr>
    </w:p>
    <w:p w14:paraId="3B940F3C">
      <w:pPr>
        <w:pStyle w:val="26"/>
        <w:ind w:firstLine="371" w:firstLineChars="177"/>
        <w:rPr>
          <w:rFonts w:hAnsi="宋体"/>
          <w:color w:val="auto"/>
          <w:sz w:val="21"/>
          <w:highlight w:val="none"/>
        </w:rPr>
      </w:pPr>
    </w:p>
    <w:p w14:paraId="3795CFF0">
      <w:pPr>
        <w:pStyle w:val="26"/>
        <w:ind w:firstLine="371" w:firstLineChars="177"/>
        <w:rPr>
          <w:rFonts w:hAnsi="宋体"/>
          <w:color w:val="auto"/>
          <w:sz w:val="21"/>
          <w:highlight w:val="none"/>
        </w:rPr>
      </w:pPr>
    </w:p>
    <w:p w14:paraId="065DB764">
      <w:pPr>
        <w:pStyle w:val="26"/>
        <w:ind w:firstLine="371" w:firstLineChars="177"/>
        <w:rPr>
          <w:rFonts w:hAnsi="宋体"/>
          <w:color w:val="auto"/>
          <w:sz w:val="21"/>
          <w:highlight w:val="none"/>
        </w:rPr>
      </w:pPr>
    </w:p>
    <w:p w14:paraId="5819C792">
      <w:pPr>
        <w:pStyle w:val="26"/>
        <w:ind w:firstLine="480"/>
        <w:jc w:val="left"/>
        <w:rPr>
          <w:rFonts w:hint="eastAsia" w:hAnsi="宋体" w:cs="宋体"/>
          <w:color w:val="auto"/>
          <w:sz w:val="24"/>
          <w:szCs w:val="24"/>
          <w:highlight w:val="none"/>
        </w:rPr>
      </w:pPr>
    </w:p>
    <w:p w14:paraId="47B259C3">
      <w:pPr>
        <w:pStyle w:val="26"/>
        <w:ind w:firstLine="480"/>
        <w:jc w:val="left"/>
        <w:rPr>
          <w:rFonts w:hint="eastAsia" w:hAnsi="宋体" w:cs="宋体"/>
          <w:color w:val="auto"/>
          <w:sz w:val="24"/>
          <w:szCs w:val="24"/>
          <w:highlight w:val="none"/>
        </w:rPr>
      </w:pPr>
    </w:p>
    <w:p w14:paraId="611F40AE">
      <w:pPr>
        <w:pStyle w:val="26"/>
        <w:ind w:firstLine="480"/>
        <w:jc w:val="left"/>
        <w:rPr>
          <w:rFonts w:hint="eastAsia" w:hAnsi="宋体" w:cs="宋体"/>
          <w:color w:val="auto"/>
          <w:sz w:val="24"/>
          <w:szCs w:val="24"/>
          <w:highlight w:val="none"/>
        </w:rPr>
      </w:pPr>
    </w:p>
    <w:p w14:paraId="4A8B7C73">
      <w:pPr>
        <w:pStyle w:val="26"/>
        <w:ind w:firstLine="480"/>
        <w:jc w:val="left"/>
        <w:rPr>
          <w:rFonts w:hint="eastAsia" w:hAnsi="宋体" w:cs="宋体"/>
          <w:color w:val="auto"/>
          <w:sz w:val="24"/>
          <w:szCs w:val="24"/>
          <w:highlight w:val="none"/>
        </w:rPr>
      </w:pPr>
    </w:p>
    <w:p w14:paraId="300D92F6">
      <w:pPr>
        <w:pStyle w:val="26"/>
        <w:ind w:firstLine="480"/>
        <w:jc w:val="left"/>
        <w:rPr>
          <w:rFonts w:hint="eastAsia" w:hAnsi="宋体" w:cs="宋体"/>
          <w:color w:val="auto"/>
          <w:sz w:val="24"/>
          <w:szCs w:val="24"/>
          <w:highlight w:val="none"/>
        </w:rPr>
      </w:pPr>
    </w:p>
    <w:p w14:paraId="0E44D84A">
      <w:pPr>
        <w:pStyle w:val="26"/>
        <w:ind w:firstLine="480"/>
        <w:jc w:val="left"/>
        <w:rPr>
          <w:rFonts w:hint="eastAsia" w:hAnsi="宋体" w:cs="宋体"/>
          <w:color w:val="auto"/>
          <w:sz w:val="24"/>
          <w:szCs w:val="24"/>
          <w:highlight w:val="none"/>
        </w:rPr>
      </w:pPr>
    </w:p>
    <w:p w14:paraId="4B9475BE">
      <w:pPr>
        <w:pStyle w:val="26"/>
        <w:ind w:firstLine="480"/>
        <w:jc w:val="left"/>
        <w:rPr>
          <w:rFonts w:hint="eastAsia" w:hAnsi="宋体" w:cs="宋体"/>
          <w:color w:val="auto"/>
          <w:sz w:val="24"/>
          <w:szCs w:val="24"/>
          <w:highlight w:val="none"/>
        </w:rPr>
      </w:pPr>
    </w:p>
    <w:p w14:paraId="156256E9">
      <w:pPr>
        <w:pStyle w:val="26"/>
        <w:wordWrap w:val="0"/>
        <w:ind w:firstLine="420"/>
        <w:rPr>
          <w:rFonts w:hint="eastAsia" w:hAnsi="宋体" w:cs="宋体"/>
          <w:color w:val="auto"/>
          <w:sz w:val="21"/>
          <w:highlight w:val="none"/>
        </w:rPr>
      </w:pPr>
    </w:p>
    <w:p w14:paraId="2BE57464">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27FDC4D1">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33EF6AAC">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55DB6BC5">
      <w:pPr>
        <w:tabs>
          <w:tab w:val="left" w:pos="4111"/>
        </w:tabs>
        <w:wordWrap w:val="0"/>
        <w:snapToGrid w:val="0"/>
        <w:spacing w:before="50"/>
        <w:ind w:firstLine="3968" w:firstLineChars="1890"/>
        <w:rPr>
          <w:rFonts w:hint="eastAsia" w:hAnsi="宋体"/>
          <w:color w:val="auto"/>
          <w:highlight w:val="none"/>
        </w:rPr>
      </w:pPr>
    </w:p>
    <w:p w14:paraId="272302AF">
      <w:pPr>
        <w:pStyle w:val="26"/>
        <w:wordWrap w:val="0"/>
        <w:ind w:firstLine="420"/>
        <w:jc w:val="right"/>
        <w:rPr>
          <w:rFonts w:hint="eastAsia" w:hAnsi="宋体"/>
          <w:color w:val="auto"/>
          <w:kern w:val="2"/>
          <w:sz w:val="21"/>
          <w:highlight w:val="none"/>
        </w:rPr>
        <w:sectPr>
          <w:pgSz w:w="11906" w:h="16838"/>
          <w:pgMar w:top="1134" w:right="1191" w:bottom="850" w:left="1191"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16B6BE82">
      <w:pPr>
        <w:pStyle w:val="26"/>
        <w:spacing w:line="400" w:lineRule="exact"/>
        <w:ind w:firstLine="0" w:firstLineChars="0"/>
        <w:jc w:val="left"/>
        <w:rPr>
          <w:rFonts w:hint="eastAsia" w:hAnsi="宋体" w:cs="宋体"/>
          <w:b/>
          <w:color w:val="auto"/>
          <w:sz w:val="32"/>
          <w:highlight w:val="none"/>
        </w:rPr>
      </w:pPr>
      <w:r>
        <w:rPr>
          <w:rFonts w:hint="eastAsia" w:hAnsi="宋体" w:cs="宋体"/>
          <w:b/>
          <w:bCs/>
          <w:color w:val="auto"/>
          <w:highlight w:val="none"/>
        </w:rPr>
        <w:t>附件</w:t>
      </w:r>
    </w:p>
    <w:p w14:paraId="7E43AC2D">
      <w:pPr>
        <w:pStyle w:val="26"/>
        <w:spacing w:line="400" w:lineRule="exact"/>
        <w:ind w:firstLine="643"/>
        <w:jc w:val="center"/>
        <w:rPr>
          <w:rFonts w:hint="eastAsia" w:hAnsi="宋体" w:eastAsia="宋体" w:cs="宋体"/>
          <w:color w:val="auto"/>
          <w:sz w:val="32"/>
          <w:szCs w:val="32"/>
          <w:highlight w:val="none"/>
          <w:lang w:eastAsia="zh-CN"/>
        </w:rPr>
      </w:pPr>
      <w:r>
        <w:rPr>
          <w:rFonts w:hint="eastAsia" w:hAnsi="宋体" w:cs="宋体"/>
          <w:b/>
          <w:color w:val="auto"/>
          <w:sz w:val="32"/>
          <w:highlight w:val="none"/>
          <w:lang w:val="en-US" w:eastAsia="zh-CN"/>
        </w:rPr>
        <w:t>人员培训方案</w:t>
      </w:r>
    </w:p>
    <w:p w14:paraId="0AC9FDB3">
      <w:pPr>
        <w:pStyle w:val="26"/>
        <w:spacing w:line="400" w:lineRule="exact"/>
        <w:ind w:firstLine="643"/>
        <w:jc w:val="center"/>
        <w:rPr>
          <w:rFonts w:hint="eastAsia" w:hAnsi="宋体" w:cs="宋体"/>
          <w:b/>
          <w:color w:val="auto"/>
          <w:sz w:val="32"/>
          <w:highlight w:val="none"/>
        </w:rPr>
      </w:pPr>
    </w:p>
    <w:p w14:paraId="4F578CEE">
      <w:pPr>
        <w:pStyle w:val="26"/>
        <w:spacing w:line="360" w:lineRule="auto"/>
        <w:ind w:firstLine="371" w:firstLineChars="177"/>
        <w:rPr>
          <w:rFonts w:hint="eastAsia" w:hAnsi="宋体"/>
          <w:color w:val="auto"/>
          <w:sz w:val="21"/>
          <w:highlight w:val="none"/>
          <w:lang w:eastAsia="zh-CN"/>
        </w:rPr>
      </w:pPr>
      <w:r>
        <w:rPr>
          <w:rFonts w:hint="eastAsia" w:hAnsi="宋体"/>
          <w:color w:val="auto"/>
          <w:sz w:val="21"/>
          <w:highlight w:val="none"/>
        </w:rPr>
        <w:t>由</w:t>
      </w:r>
      <w:r>
        <w:rPr>
          <w:rFonts w:hint="eastAsia" w:hAnsi="宋体"/>
          <w:color w:val="auto"/>
          <w:sz w:val="21"/>
          <w:highlight w:val="none"/>
          <w:lang w:eastAsia="zh-CN"/>
        </w:rPr>
        <w:t>供应商</w:t>
      </w:r>
      <w:r>
        <w:rPr>
          <w:rFonts w:hint="eastAsia" w:hAnsi="宋体"/>
          <w:color w:val="auto"/>
          <w:sz w:val="21"/>
          <w:highlight w:val="none"/>
        </w:rPr>
        <w:t>按“第</w:t>
      </w:r>
      <w:r>
        <w:rPr>
          <w:rFonts w:hint="eastAsia" w:hAnsi="宋体"/>
          <w:color w:val="auto"/>
          <w:sz w:val="21"/>
          <w:highlight w:val="none"/>
          <w:lang w:eastAsia="zh-CN"/>
        </w:rPr>
        <w:t>三</w:t>
      </w:r>
      <w:r>
        <w:rPr>
          <w:rFonts w:hint="eastAsia" w:hAnsi="宋体"/>
          <w:color w:val="auto"/>
          <w:sz w:val="21"/>
          <w:highlight w:val="none"/>
        </w:rPr>
        <w:t>章</w:t>
      </w:r>
      <w:r>
        <w:rPr>
          <w:rFonts w:hint="eastAsia" w:hAnsi="宋体"/>
          <w:color w:val="auto"/>
          <w:sz w:val="21"/>
          <w:highlight w:val="none"/>
          <w:lang w:eastAsia="zh-CN"/>
        </w:rPr>
        <w:t xml:space="preserve"> 采购需求</w:t>
      </w:r>
      <w:r>
        <w:rPr>
          <w:rFonts w:hint="eastAsia" w:hAnsi="宋体"/>
          <w:color w:val="auto"/>
          <w:sz w:val="21"/>
          <w:highlight w:val="none"/>
        </w:rPr>
        <w:t>”及</w:t>
      </w:r>
      <w:r>
        <w:rPr>
          <w:rFonts w:hAnsi="宋体"/>
          <w:color w:val="auto"/>
          <w:sz w:val="21"/>
          <w:highlight w:val="none"/>
          <w:lang w:eastAsia="zh-CN"/>
        </w:rPr>
        <w:t>“</w:t>
      </w:r>
      <w:r>
        <w:rPr>
          <w:rFonts w:hint="eastAsia" w:hAnsi="宋体"/>
          <w:color w:val="auto"/>
          <w:sz w:val="21"/>
          <w:highlight w:val="none"/>
        </w:rPr>
        <w:t>第</w:t>
      </w:r>
      <w:r>
        <w:rPr>
          <w:rFonts w:hint="eastAsia" w:hAnsi="宋体"/>
          <w:color w:val="auto"/>
          <w:sz w:val="21"/>
          <w:highlight w:val="none"/>
          <w:lang w:eastAsia="zh-CN"/>
        </w:rPr>
        <w:t>四</w:t>
      </w:r>
      <w:r>
        <w:rPr>
          <w:rFonts w:hint="eastAsia" w:hAnsi="宋体"/>
          <w:color w:val="auto"/>
          <w:sz w:val="21"/>
          <w:highlight w:val="none"/>
        </w:rPr>
        <w:t>章</w:t>
      </w:r>
      <w:r>
        <w:rPr>
          <w:rFonts w:hint="eastAsia" w:hAnsi="宋体"/>
          <w:color w:val="auto"/>
          <w:sz w:val="21"/>
          <w:highlight w:val="none"/>
          <w:lang w:eastAsia="zh-CN"/>
        </w:rPr>
        <w:t xml:space="preserve"> </w:t>
      </w:r>
      <w:r>
        <w:rPr>
          <w:rFonts w:hint="eastAsia" w:hAnsi="宋体"/>
          <w:color w:val="auto"/>
          <w:sz w:val="21"/>
          <w:highlight w:val="none"/>
        </w:rPr>
        <w:t>评审程序、评审方法和评审标准</w:t>
      </w:r>
      <w:r>
        <w:rPr>
          <w:rFonts w:hAnsi="宋体"/>
          <w:color w:val="auto"/>
          <w:sz w:val="21"/>
          <w:highlight w:val="none"/>
          <w:lang w:eastAsia="zh-CN"/>
        </w:rPr>
        <w:t>”</w:t>
      </w:r>
      <w:r>
        <w:rPr>
          <w:rFonts w:hint="eastAsia" w:hAnsi="宋体"/>
          <w:color w:val="auto"/>
          <w:sz w:val="21"/>
          <w:highlight w:val="none"/>
        </w:rPr>
        <w:t>中的评分点自行编制，所作的承诺作为构成合同不可分割的部分，必须真实、诚信，如提供虚假承诺或在中标、成交后不按其承诺履行的，将依法追究违约责任，并按《中华人民共和国政府采购法》规定予以处罚。</w:t>
      </w:r>
    </w:p>
    <w:p w14:paraId="744FCF75">
      <w:pPr>
        <w:pStyle w:val="26"/>
        <w:ind w:firstLine="371" w:firstLineChars="177"/>
        <w:rPr>
          <w:rFonts w:hint="eastAsia" w:hAnsi="宋体"/>
          <w:color w:val="auto"/>
          <w:sz w:val="21"/>
          <w:highlight w:val="none"/>
        </w:rPr>
      </w:pPr>
    </w:p>
    <w:p w14:paraId="0B41ECDC">
      <w:pPr>
        <w:pStyle w:val="26"/>
        <w:ind w:firstLine="371" w:firstLineChars="177"/>
        <w:rPr>
          <w:rFonts w:hAnsi="宋体"/>
          <w:color w:val="auto"/>
          <w:sz w:val="21"/>
          <w:highlight w:val="none"/>
        </w:rPr>
      </w:pPr>
    </w:p>
    <w:p w14:paraId="50BBEA0B">
      <w:pPr>
        <w:pStyle w:val="26"/>
        <w:ind w:firstLine="371" w:firstLineChars="177"/>
        <w:rPr>
          <w:rFonts w:hAnsi="宋体"/>
          <w:color w:val="auto"/>
          <w:sz w:val="21"/>
          <w:highlight w:val="none"/>
        </w:rPr>
      </w:pPr>
    </w:p>
    <w:p w14:paraId="7DC582DA">
      <w:pPr>
        <w:pStyle w:val="26"/>
        <w:ind w:firstLine="371" w:firstLineChars="177"/>
        <w:rPr>
          <w:rFonts w:hAnsi="宋体"/>
          <w:color w:val="auto"/>
          <w:sz w:val="21"/>
          <w:highlight w:val="none"/>
        </w:rPr>
      </w:pPr>
    </w:p>
    <w:p w14:paraId="089A2D86">
      <w:pPr>
        <w:pStyle w:val="26"/>
        <w:ind w:firstLine="480"/>
        <w:jc w:val="left"/>
        <w:rPr>
          <w:rFonts w:hint="eastAsia" w:hAnsi="宋体" w:cs="宋体"/>
          <w:color w:val="auto"/>
          <w:sz w:val="24"/>
          <w:szCs w:val="24"/>
          <w:highlight w:val="none"/>
        </w:rPr>
      </w:pPr>
    </w:p>
    <w:p w14:paraId="62DB1A94">
      <w:pPr>
        <w:pStyle w:val="26"/>
        <w:ind w:firstLine="480"/>
        <w:jc w:val="left"/>
        <w:rPr>
          <w:rFonts w:hint="eastAsia" w:hAnsi="宋体" w:cs="宋体"/>
          <w:color w:val="auto"/>
          <w:sz w:val="24"/>
          <w:szCs w:val="24"/>
          <w:highlight w:val="none"/>
        </w:rPr>
      </w:pPr>
    </w:p>
    <w:p w14:paraId="605F1436">
      <w:pPr>
        <w:pStyle w:val="26"/>
        <w:ind w:firstLine="480"/>
        <w:jc w:val="left"/>
        <w:rPr>
          <w:rFonts w:hint="eastAsia" w:hAnsi="宋体" w:cs="宋体"/>
          <w:color w:val="auto"/>
          <w:sz w:val="24"/>
          <w:szCs w:val="24"/>
          <w:highlight w:val="none"/>
        </w:rPr>
      </w:pPr>
    </w:p>
    <w:p w14:paraId="5581842A">
      <w:pPr>
        <w:pStyle w:val="26"/>
        <w:ind w:firstLine="480"/>
        <w:jc w:val="left"/>
        <w:rPr>
          <w:rFonts w:hint="eastAsia" w:hAnsi="宋体" w:cs="宋体"/>
          <w:color w:val="auto"/>
          <w:sz w:val="24"/>
          <w:szCs w:val="24"/>
          <w:highlight w:val="none"/>
        </w:rPr>
      </w:pPr>
    </w:p>
    <w:p w14:paraId="711312D1">
      <w:pPr>
        <w:pStyle w:val="26"/>
        <w:ind w:firstLine="480"/>
        <w:jc w:val="left"/>
        <w:rPr>
          <w:rFonts w:hint="eastAsia" w:hAnsi="宋体" w:cs="宋体"/>
          <w:color w:val="auto"/>
          <w:sz w:val="24"/>
          <w:szCs w:val="24"/>
          <w:highlight w:val="none"/>
        </w:rPr>
      </w:pPr>
    </w:p>
    <w:p w14:paraId="3A5ABD43">
      <w:pPr>
        <w:pStyle w:val="26"/>
        <w:ind w:firstLine="480"/>
        <w:jc w:val="left"/>
        <w:rPr>
          <w:rFonts w:hint="eastAsia" w:hAnsi="宋体" w:cs="宋体"/>
          <w:color w:val="auto"/>
          <w:sz w:val="24"/>
          <w:szCs w:val="24"/>
          <w:highlight w:val="none"/>
        </w:rPr>
      </w:pPr>
    </w:p>
    <w:p w14:paraId="4D301DC7">
      <w:pPr>
        <w:pStyle w:val="26"/>
        <w:ind w:firstLine="480"/>
        <w:jc w:val="left"/>
        <w:rPr>
          <w:rFonts w:hint="eastAsia" w:hAnsi="宋体" w:cs="宋体"/>
          <w:color w:val="auto"/>
          <w:sz w:val="24"/>
          <w:szCs w:val="24"/>
          <w:highlight w:val="none"/>
        </w:rPr>
      </w:pPr>
    </w:p>
    <w:p w14:paraId="5A6C5EA0">
      <w:pPr>
        <w:pStyle w:val="26"/>
        <w:wordWrap w:val="0"/>
        <w:ind w:firstLine="420"/>
        <w:rPr>
          <w:rFonts w:hint="eastAsia" w:hAnsi="宋体" w:cs="宋体"/>
          <w:color w:val="auto"/>
          <w:sz w:val="21"/>
          <w:highlight w:val="none"/>
        </w:rPr>
      </w:pPr>
    </w:p>
    <w:p w14:paraId="29EE7EB2">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4812398D">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47841C5C">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108E3280">
      <w:pPr>
        <w:tabs>
          <w:tab w:val="left" w:pos="4111"/>
        </w:tabs>
        <w:wordWrap w:val="0"/>
        <w:snapToGrid w:val="0"/>
        <w:spacing w:before="50"/>
        <w:ind w:firstLine="3968" w:firstLineChars="1890"/>
        <w:rPr>
          <w:rFonts w:hint="eastAsia" w:hAnsi="宋体"/>
          <w:color w:val="auto"/>
          <w:highlight w:val="none"/>
        </w:rPr>
      </w:pPr>
    </w:p>
    <w:p w14:paraId="7F358C33">
      <w:pPr>
        <w:pStyle w:val="26"/>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4D227086">
      <w:pPr>
        <w:pStyle w:val="26"/>
        <w:wordWrap w:val="0"/>
        <w:ind w:firstLine="420"/>
        <w:jc w:val="right"/>
        <w:rPr>
          <w:rFonts w:hint="eastAsia" w:hAnsi="宋体"/>
          <w:color w:val="auto"/>
          <w:kern w:val="2"/>
          <w:sz w:val="21"/>
          <w:highlight w:val="none"/>
        </w:rPr>
      </w:pPr>
    </w:p>
    <w:p w14:paraId="4A323A57">
      <w:pPr>
        <w:pStyle w:val="26"/>
        <w:wordWrap w:val="0"/>
        <w:ind w:firstLine="420"/>
        <w:jc w:val="right"/>
        <w:rPr>
          <w:rFonts w:hint="eastAsia" w:hAnsi="宋体"/>
          <w:color w:val="auto"/>
          <w:kern w:val="2"/>
          <w:sz w:val="21"/>
          <w:highlight w:val="none"/>
        </w:rPr>
      </w:pPr>
    </w:p>
    <w:p w14:paraId="101DBCC0">
      <w:pPr>
        <w:pStyle w:val="26"/>
        <w:wordWrap w:val="0"/>
        <w:ind w:firstLine="420"/>
        <w:jc w:val="right"/>
        <w:rPr>
          <w:rFonts w:hint="eastAsia" w:hAnsi="宋体"/>
          <w:color w:val="auto"/>
          <w:kern w:val="2"/>
          <w:sz w:val="21"/>
          <w:highlight w:val="none"/>
        </w:rPr>
      </w:pPr>
    </w:p>
    <w:p w14:paraId="7274B2BC">
      <w:pPr>
        <w:ind w:firstLine="420"/>
        <w:rPr>
          <w:rFonts w:ascii="宋体" w:hAnsi="宋体" w:cs="宋体"/>
          <w:color w:val="auto"/>
          <w:szCs w:val="21"/>
          <w:highlight w:val="none"/>
        </w:rPr>
      </w:pPr>
    </w:p>
    <w:p w14:paraId="0AA3DB4C">
      <w:pPr>
        <w:pStyle w:val="26"/>
        <w:spacing w:line="400" w:lineRule="exact"/>
        <w:ind w:firstLine="0" w:firstLineChars="0"/>
        <w:jc w:val="left"/>
        <w:rPr>
          <w:rFonts w:hint="eastAsia" w:hAnsi="宋体" w:cs="宋体"/>
          <w:b/>
          <w:bCs/>
          <w:color w:val="auto"/>
          <w:highlight w:val="none"/>
          <w:lang w:eastAsia="zh-CN"/>
        </w:rPr>
      </w:pPr>
    </w:p>
    <w:p w14:paraId="5F569B93">
      <w:pPr>
        <w:pStyle w:val="26"/>
        <w:spacing w:line="400" w:lineRule="exact"/>
        <w:ind w:firstLine="0" w:firstLineChars="0"/>
        <w:jc w:val="left"/>
        <w:rPr>
          <w:rFonts w:hAnsi="宋体" w:cs="宋体"/>
          <w:b/>
          <w:bCs/>
          <w:color w:val="auto"/>
          <w:highlight w:val="none"/>
          <w:lang w:eastAsia="zh-CN"/>
        </w:rPr>
      </w:pPr>
    </w:p>
    <w:p w14:paraId="78D485F1">
      <w:pPr>
        <w:pStyle w:val="26"/>
        <w:spacing w:line="400" w:lineRule="exact"/>
        <w:ind w:firstLine="0" w:firstLineChars="0"/>
        <w:jc w:val="left"/>
        <w:rPr>
          <w:rFonts w:hint="eastAsia" w:hAnsi="宋体" w:cs="宋体"/>
          <w:b/>
          <w:bCs/>
          <w:color w:val="auto"/>
          <w:highlight w:val="none"/>
          <w:lang w:eastAsia="zh-CN"/>
        </w:rPr>
      </w:pPr>
    </w:p>
    <w:p w14:paraId="0D01FF9D">
      <w:pPr>
        <w:pStyle w:val="26"/>
        <w:spacing w:line="400" w:lineRule="exact"/>
        <w:ind w:firstLine="0" w:firstLineChars="0"/>
        <w:jc w:val="left"/>
        <w:rPr>
          <w:rFonts w:hint="eastAsia" w:hAnsi="宋体" w:cs="宋体"/>
          <w:b/>
          <w:bCs/>
          <w:color w:val="auto"/>
          <w:highlight w:val="none"/>
          <w:lang w:eastAsia="zh-CN"/>
        </w:rPr>
      </w:pPr>
    </w:p>
    <w:p w14:paraId="24B44B98">
      <w:pPr>
        <w:pStyle w:val="26"/>
        <w:spacing w:line="400" w:lineRule="exact"/>
        <w:ind w:firstLine="0" w:firstLineChars="0"/>
        <w:jc w:val="left"/>
        <w:rPr>
          <w:rFonts w:hint="eastAsia" w:hAnsi="宋体" w:cs="宋体"/>
          <w:b/>
          <w:bCs/>
          <w:color w:val="auto"/>
          <w:highlight w:val="none"/>
          <w:lang w:eastAsia="zh-CN"/>
        </w:rPr>
      </w:pPr>
    </w:p>
    <w:p w14:paraId="6FC24F58">
      <w:pPr>
        <w:pStyle w:val="26"/>
        <w:spacing w:line="400" w:lineRule="exact"/>
        <w:ind w:firstLine="0" w:firstLineChars="0"/>
        <w:jc w:val="left"/>
        <w:rPr>
          <w:rFonts w:hint="eastAsia" w:hAnsi="宋体" w:cs="宋体"/>
          <w:b/>
          <w:bCs/>
          <w:color w:val="auto"/>
          <w:highlight w:val="none"/>
          <w:lang w:eastAsia="zh-CN"/>
        </w:rPr>
      </w:pPr>
    </w:p>
    <w:p w14:paraId="62BC789B">
      <w:pPr>
        <w:pStyle w:val="26"/>
        <w:spacing w:line="400" w:lineRule="exact"/>
        <w:ind w:firstLine="0" w:firstLineChars="0"/>
        <w:jc w:val="left"/>
        <w:rPr>
          <w:rFonts w:hint="eastAsia" w:hAnsi="宋体" w:cs="宋体"/>
          <w:b/>
          <w:bCs/>
          <w:color w:val="auto"/>
          <w:highlight w:val="none"/>
          <w:lang w:eastAsia="zh-CN"/>
        </w:rPr>
      </w:pPr>
    </w:p>
    <w:p w14:paraId="664CACA0">
      <w:pPr>
        <w:pStyle w:val="26"/>
        <w:spacing w:line="400" w:lineRule="exact"/>
        <w:ind w:firstLine="0" w:firstLineChars="0"/>
        <w:jc w:val="left"/>
        <w:rPr>
          <w:rFonts w:hint="eastAsia" w:hAnsi="宋体" w:cs="宋体"/>
          <w:b/>
          <w:color w:val="auto"/>
          <w:sz w:val="32"/>
          <w:highlight w:val="none"/>
          <w:lang w:eastAsia="zh-CN"/>
        </w:rPr>
      </w:pPr>
      <w:r>
        <w:rPr>
          <w:rFonts w:hAnsi="宋体" w:cs="宋体"/>
          <w:b/>
          <w:bCs/>
          <w:color w:val="auto"/>
          <w:highlight w:val="none"/>
        </w:rPr>
        <w:br w:type="page"/>
      </w:r>
      <w:r>
        <w:rPr>
          <w:rFonts w:hint="eastAsia" w:hAnsi="宋体" w:cs="宋体"/>
          <w:b/>
          <w:bCs/>
          <w:color w:val="auto"/>
          <w:highlight w:val="none"/>
        </w:rPr>
        <w:t>附件</w:t>
      </w:r>
    </w:p>
    <w:p w14:paraId="361F6957">
      <w:pPr>
        <w:pStyle w:val="26"/>
        <w:spacing w:line="400" w:lineRule="exact"/>
        <w:ind w:firstLine="0" w:firstLineChars="0"/>
        <w:jc w:val="left"/>
        <w:rPr>
          <w:rFonts w:hint="eastAsia" w:hAnsi="宋体" w:cs="宋体"/>
          <w:b/>
          <w:color w:val="auto"/>
          <w:sz w:val="32"/>
          <w:highlight w:val="none"/>
          <w:lang w:eastAsia="zh-CN"/>
        </w:rPr>
      </w:pPr>
    </w:p>
    <w:p w14:paraId="6CF403E9">
      <w:pPr>
        <w:pStyle w:val="26"/>
        <w:spacing w:line="400" w:lineRule="exact"/>
        <w:ind w:firstLine="0" w:firstLineChars="0"/>
        <w:jc w:val="center"/>
        <w:rPr>
          <w:rFonts w:hint="eastAsia"/>
          <w:b/>
          <w:color w:val="auto"/>
          <w:sz w:val="32"/>
          <w:highlight w:val="none"/>
          <w:lang w:eastAsia="zh-CN"/>
        </w:rPr>
      </w:pPr>
      <w:r>
        <w:rPr>
          <w:rFonts w:hint="eastAsia"/>
          <w:b/>
          <w:color w:val="auto"/>
          <w:sz w:val="32"/>
          <w:highlight w:val="none"/>
        </w:rPr>
        <w:t>项目</w:t>
      </w:r>
      <w:r>
        <w:rPr>
          <w:rFonts w:hint="eastAsia"/>
          <w:b/>
          <w:color w:val="auto"/>
          <w:sz w:val="32"/>
          <w:highlight w:val="none"/>
          <w:lang w:eastAsia="zh-CN"/>
        </w:rPr>
        <w:t>服务</w:t>
      </w:r>
      <w:r>
        <w:rPr>
          <w:rFonts w:hint="eastAsia"/>
          <w:b/>
          <w:color w:val="auto"/>
          <w:sz w:val="32"/>
          <w:highlight w:val="none"/>
        </w:rPr>
        <w:t>人员一览表（格式）</w:t>
      </w:r>
    </w:p>
    <w:p w14:paraId="554225EA">
      <w:pPr>
        <w:pStyle w:val="26"/>
        <w:spacing w:line="400" w:lineRule="exact"/>
        <w:ind w:firstLine="420"/>
        <w:jc w:val="left"/>
        <w:rPr>
          <w:rFonts w:hint="eastAsia" w:hAnsi="宋体"/>
          <w:color w:val="auto"/>
          <w:sz w:val="21"/>
          <w:highlight w:val="none"/>
          <w:lang w:eastAsia="zh-CN"/>
        </w:rPr>
      </w:pPr>
    </w:p>
    <w:tbl>
      <w:tblPr>
        <w:tblStyle w:val="51"/>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993"/>
        <w:gridCol w:w="2409"/>
        <w:gridCol w:w="1353"/>
        <w:gridCol w:w="1737"/>
        <w:gridCol w:w="1730"/>
      </w:tblGrid>
      <w:tr w14:paraId="46AC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center"/>
          </w:tcPr>
          <w:p w14:paraId="73A00122">
            <w:pPr>
              <w:snapToGrid w:val="0"/>
              <w:spacing w:before="50" w:after="156" w:afterLines="50" w:line="360" w:lineRule="auto"/>
              <w:ind w:firstLine="0" w:firstLineChars="0"/>
              <w:jc w:val="center"/>
              <w:rPr>
                <w:rFonts w:hint="eastAsia" w:hAnsi="宋体"/>
                <w:color w:val="auto"/>
                <w:highlight w:val="none"/>
              </w:rPr>
            </w:pPr>
            <w:r>
              <w:rPr>
                <w:rFonts w:hint="eastAsia" w:hAnsi="宋体"/>
                <w:color w:val="auto"/>
                <w:highlight w:val="none"/>
              </w:rPr>
              <w:t>姓名</w:t>
            </w:r>
          </w:p>
        </w:tc>
        <w:tc>
          <w:tcPr>
            <w:tcW w:w="993" w:type="dxa"/>
            <w:noWrap w:val="0"/>
            <w:vAlign w:val="center"/>
          </w:tcPr>
          <w:p w14:paraId="2F82D85C">
            <w:pPr>
              <w:snapToGrid w:val="0"/>
              <w:spacing w:before="50" w:after="156" w:afterLines="50" w:line="360" w:lineRule="auto"/>
              <w:ind w:firstLine="0" w:firstLineChars="0"/>
              <w:jc w:val="center"/>
              <w:rPr>
                <w:rFonts w:hint="eastAsia" w:hAnsi="宋体"/>
                <w:color w:val="auto"/>
                <w:highlight w:val="none"/>
              </w:rPr>
            </w:pPr>
            <w:r>
              <w:rPr>
                <w:rFonts w:hint="eastAsia" w:hAnsi="宋体"/>
                <w:color w:val="auto"/>
                <w:highlight w:val="none"/>
              </w:rPr>
              <w:t>职务</w:t>
            </w:r>
          </w:p>
        </w:tc>
        <w:tc>
          <w:tcPr>
            <w:tcW w:w="2409" w:type="dxa"/>
            <w:noWrap w:val="0"/>
            <w:vAlign w:val="center"/>
          </w:tcPr>
          <w:p w14:paraId="0CA0686E">
            <w:pPr>
              <w:snapToGrid w:val="0"/>
              <w:spacing w:before="50" w:after="156" w:afterLines="50" w:line="360" w:lineRule="auto"/>
              <w:ind w:firstLine="0" w:firstLineChars="0"/>
              <w:jc w:val="center"/>
              <w:rPr>
                <w:rFonts w:hint="eastAsia" w:hAnsi="宋体"/>
                <w:color w:val="auto"/>
                <w:highlight w:val="none"/>
              </w:rPr>
            </w:pPr>
            <w:r>
              <w:rPr>
                <w:rFonts w:hint="eastAsia" w:hAnsi="宋体"/>
                <w:color w:val="auto"/>
                <w:highlight w:val="none"/>
              </w:rPr>
              <w:t>专业技术资格（职称）或者职业资格或者执业资格证或者其他证书</w:t>
            </w:r>
          </w:p>
        </w:tc>
        <w:tc>
          <w:tcPr>
            <w:tcW w:w="1353" w:type="dxa"/>
            <w:noWrap w:val="0"/>
            <w:vAlign w:val="center"/>
          </w:tcPr>
          <w:p w14:paraId="31C2D925">
            <w:pPr>
              <w:snapToGrid w:val="0"/>
              <w:spacing w:before="50" w:after="156" w:afterLines="50" w:line="360" w:lineRule="auto"/>
              <w:ind w:firstLine="0" w:firstLineChars="0"/>
              <w:jc w:val="center"/>
              <w:rPr>
                <w:rFonts w:hint="eastAsia" w:hAnsi="宋体"/>
                <w:color w:val="auto"/>
                <w:highlight w:val="none"/>
              </w:rPr>
            </w:pPr>
            <w:r>
              <w:rPr>
                <w:rFonts w:hint="eastAsia" w:hAnsi="宋体"/>
                <w:color w:val="auto"/>
                <w:highlight w:val="none"/>
              </w:rPr>
              <w:t>证书编号</w:t>
            </w:r>
          </w:p>
        </w:tc>
        <w:tc>
          <w:tcPr>
            <w:tcW w:w="1737" w:type="dxa"/>
            <w:noWrap w:val="0"/>
            <w:vAlign w:val="center"/>
          </w:tcPr>
          <w:p w14:paraId="5F48AB80">
            <w:pPr>
              <w:snapToGrid w:val="0"/>
              <w:spacing w:before="50" w:after="156" w:afterLines="50" w:line="360" w:lineRule="auto"/>
              <w:ind w:firstLine="0" w:firstLineChars="0"/>
              <w:jc w:val="center"/>
              <w:rPr>
                <w:rFonts w:hint="eastAsia" w:hAnsi="宋体"/>
                <w:color w:val="auto"/>
                <w:highlight w:val="none"/>
              </w:rPr>
            </w:pPr>
            <w:r>
              <w:rPr>
                <w:rFonts w:hint="eastAsia" w:hAnsi="宋体"/>
                <w:color w:val="auto"/>
                <w:highlight w:val="none"/>
              </w:rPr>
              <w:t>参加本单位</w:t>
            </w:r>
          </w:p>
          <w:p w14:paraId="05B588FB">
            <w:pPr>
              <w:snapToGrid w:val="0"/>
              <w:spacing w:before="50" w:after="156" w:afterLines="50" w:line="360" w:lineRule="auto"/>
              <w:ind w:firstLine="0" w:firstLineChars="0"/>
              <w:jc w:val="center"/>
              <w:rPr>
                <w:rFonts w:hint="eastAsia" w:hAnsi="宋体"/>
                <w:color w:val="auto"/>
                <w:highlight w:val="none"/>
              </w:rPr>
            </w:pPr>
            <w:r>
              <w:rPr>
                <w:rFonts w:hint="eastAsia" w:hAnsi="宋体"/>
                <w:color w:val="auto"/>
                <w:highlight w:val="none"/>
              </w:rPr>
              <w:t>工作时间</w:t>
            </w:r>
          </w:p>
        </w:tc>
        <w:tc>
          <w:tcPr>
            <w:tcW w:w="1730" w:type="dxa"/>
            <w:noWrap w:val="0"/>
            <w:vAlign w:val="center"/>
          </w:tcPr>
          <w:p w14:paraId="1281712C">
            <w:pPr>
              <w:snapToGrid w:val="0"/>
              <w:spacing w:before="50" w:after="156" w:afterLines="50" w:line="360" w:lineRule="auto"/>
              <w:ind w:firstLine="0" w:firstLineChars="0"/>
              <w:jc w:val="center"/>
              <w:rPr>
                <w:rFonts w:hint="eastAsia" w:hAnsi="宋体"/>
                <w:color w:val="auto"/>
                <w:highlight w:val="none"/>
              </w:rPr>
            </w:pPr>
            <w:r>
              <w:rPr>
                <w:rFonts w:hint="eastAsia" w:hAnsi="宋体"/>
                <w:color w:val="auto"/>
                <w:highlight w:val="none"/>
              </w:rPr>
              <w:t>劳动合同编号</w:t>
            </w:r>
          </w:p>
        </w:tc>
      </w:tr>
      <w:tr w14:paraId="29DF4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center"/>
          </w:tcPr>
          <w:p w14:paraId="2577E1CC">
            <w:pPr>
              <w:snapToGrid w:val="0"/>
              <w:spacing w:before="50" w:after="156" w:afterLines="50" w:line="360" w:lineRule="auto"/>
              <w:ind w:firstLine="0" w:firstLineChars="0"/>
              <w:jc w:val="center"/>
              <w:rPr>
                <w:rFonts w:hint="eastAsia" w:hAnsi="宋体"/>
                <w:color w:val="auto"/>
                <w:highlight w:val="none"/>
              </w:rPr>
            </w:pPr>
          </w:p>
        </w:tc>
        <w:tc>
          <w:tcPr>
            <w:tcW w:w="993" w:type="dxa"/>
            <w:noWrap w:val="0"/>
            <w:vAlign w:val="center"/>
          </w:tcPr>
          <w:p w14:paraId="38C03FE9">
            <w:pPr>
              <w:snapToGrid w:val="0"/>
              <w:spacing w:before="50" w:after="156" w:afterLines="50" w:line="360" w:lineRule="auto"/>
              <w:ind w:firstLine="0" w:firstLineChars="0"/>
              <w:jc w:val="center"/>
              <w:rPr>
                <w:rFonts w:hint="eastAsia" w:hAnsi="宋体"/>
                <w:color w:val="auto"/>
                <w:highlight w:val="none"/>
              </w:rPr>
            </w:pPr>
          </w:p>
        </w:tc>
        <w:tc>
          <w:tcPr>
            <w:tcW w:w="2409" w:type="dxa"/>
            <w:noWrap w:val="0"/>
            <w:vAlign w:val="center"/>
          </w:tcPr>
          <w:p w14:paraId="528C7AED">
            <w:pPr>
              <w:snapToGrid w:val="0"/>
              <w:spacing w:before="50" w:after="156" w:afterLines="50" w:line="360" w:lineRule="auto"/>
              <w:ind w:firstLine="0" w:firstLineChars="0"/>
              <w:jc w:val="center"/>
              <w:rPr>
                <w:rFonts w:hint="eastAsia" w:hAnsi="宋体"/>
                <w:color w:val="auto"/>
                <w:highlight w:val="none"/>
              </w:rPr>
            </w:pPr>
          </w:p>
        </w:tc>
        <w:tc>
          <w:tcPr>
            <w:tcW w:w="1353" w:type="dxa"/>
            <w:noWrap w:val="0"/>
            <w:vAlign w:val="center"/>
          </w:tcPr>
          <w:p w14:paraId="6CD9773A">
            <w:pPr>
              <w:snapToGrid w:val="0"/>
              <w:spacing w:before="50" w:after="156" w:afterLines="50" w:line="360" w:lineRule="auto"/>
              <w:ind w:firstLine="0" w:firstLineChars="0"/>
              <w:jc w:val="center"/>
              <w:rPr>
                <w:rFonts w:hint="eastAsia" w:hAnsi="宋体"/>
                <w:color w:val="auto"/>
                <w:highlight w:val="none"/>
              </w:rPr>
            </w:pPr>
          </w:p>
        </w:tc>
        <w:tc>
          <w:tcPr>
            <w:tcW w:w="1737" w:type="dxa"/>
            <w:noWrap w:val="0"/>
            <w:vAlign w:val="center"/>
          </w:tcPr>
          <w:p w14:paraId="05EE3073">
            <w:pPr>
              <w:snapToGrid w:val="0"/>
              <w:spacing w:before="50" w:after="156" w:afterLines="50" w:line="360" w:lineRule="auto"/>
              <w:ind w:firstLine="0" w:firstLineChars="0"/>
              <w:jc w:val="center"/>
              <w:rPr>
                <w:rFonts w:hint="eastAsia" w:hAnsi="宋体"/>
                <w:color w:val="auto"/>
                <w:highlight w:val="none"/>
              </w:rPr>
            </w:pPr>
          </w:p>
        </w:tc>
        <w:tc>
          <w:tcPr>
            <w:tcW w:w="1730" w:type="dxa"/>
            <w:noWrap w:val="0"/>
            <w:vAlign w:val="center"/>
          </w:tcPr>
          <w:p w14:paraId="2CD1FCBE">
            <w:pPr>
              <w:snapToGrid w:val="0"/>
              <w:spacing w:before="50" w:after="156" w:afterLines="50" w:line="360" w:lineRule="auto"/>
              <w:ind w:firstLine="0" w:firstLineChars="0"/>
              <w:jc w:val="center"/>
              <w:rPr>
                <w:rFonts w:hint="eastAsia" w:hAnsi="宋体"/>
                <w:color w:val="auto"/>
                <w:highlight w:val="none"/>
              </w:rPr>
            </w:pPr>
          </w:p>
        </w:tc>
      </w:tr>
      <w:tr w14:paraId="11B9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center"/>
          </w:tcPr>
          <w:p w14:paraId="38A60899">
            <w:pPr>
              <w:snapToGrid w:val="0"/>
              <w:spacing w:before="50" w:after="156" w:afterLines="50" w:line="360" w:lineRule="auto"/>
              <w:ind w:firstLine="0" w:firstLineChars="0"/>
              <w:jc w:val="center"/>
              <w:rPr>
                <w:rFonts w:hint="eastAsia" w:hAnsi="宋体"/>
                <w:color w:val="auto"/>
                <w:highlight w:val="none"/>
              </w:rPr>
            </w:pPr>
          </w:p>
        </w:tc>
        <w:tc>
          <w:tcPr>
            <w:tcW w:w="993" w:type="dxa"/>
            <w:noWrap w:val="0"/>
            <w:vAlign w:val="center"/>
          </w:tcPr>
          <w:p w14:paraId="5B6EAA92">
            <w:pPr>
              <w:snapToGrid w:val="0"/>
              <w:spacing w:before="50" w:after="156" w:afterLines="50" w:line="360" w:lineRule="auto"/>
              <w:ind w:firstLine="0" w:firstLineChars="0"/>
              <w:jc w:val="center"/>
              <w:rPr>
                <w:rFonts w:hint="eastAsia" w:hAnsi="宋体"/>
                <w:color w:val="auto"/>
                <w:highlight w:val="none"/>
              </w:rPr>
            </w:pPr>
          </w:p>
        </w:tc>
        <w:tc>
          <w:tcPr>
            <w:tcW w:w="2409" w:type="dxa"/>
            <w:noWrap w:val="0"/>
            <w:vAlign w:val="center"/>
          </w:tcPr>
          <w:p w14:paraId="726B84B8">
            <w:pPr>
              <w:snapToGrid w:val="0"/>
              <w:spacing w:before="50" w:after="156" w:afterLines="50" w:line="360" w:lineRule="auto"/>
              <w:ind w:firstLine="0" w:firstLineChars="0"/>
              <w:jc w:val="center"/>
              <w:rPr>
                <w:rFonts w:hint="eastAsia" w:hAnsi="宋体"/>
                <w:color w:val="auto"/>
                <w:highlight w:val="none"/>
              </w:rPr>
            </w:pPr>
          </w:p>
        </w:tc>
        <w:tc>
          <w:tcPr>
            <w:tcW w:w="1353" w:type="dxa"/>
            <w:noWrap w:val="0"/>
            <w:vAlign w:val="center"/>
          </w:tcPr>
          <w:p w14:paraId="7499BD90">
            <w:pPr>
              <w:snapToGrid w:val="0"/>
              <w:spacing w:before="50" w:after="156" w:afterLines="50" w:line="360" w:lineRule="auto"/>
              <w:ind w:firstLine="0" w:firstLineChars="0"/>
              <w:jc w:val="center"/>
              <w:rPr>
                <w:rFonts w:hint="eastAsia" w:hAnsi="宋体"/>
                <w:color w:val="auto"/>
                <w:highlight w:val="none"/>
              </w:rPr>
            </w:pPr>
          </w:p>
        </w:tc>
        <w:tc>
          <w:tcPr>
            <w:tcW w:w="1737" w:type="dxa"/>
            <w:noWrap w:val="0"/>
            <w:vAlign w:val="center"/>
          </w:tcPr>
          <w:p w14:paraId="6F0E9C8B">
            <w:pPr>
              <w:snapToGrid w:val="0"/>
              <w:spacing w:before="50" w:after="156" w:afterLines="50" w:line="360" w:lineRule="auto"/>
              <w:ind w:firstLine="0" w:firstLineChars="0"/>
              <w:jc w:val="center"/>
              <w:rPr>
                <w:rFonts w:hint="eastAsia" w:hAnsi="宋体"/>
                <w:color w:val="auto"/>
                <w:highlight w:val="none"/>
              </w:rPr>
            </w:pPr>
          </w:p>
        </w:tc>
        <w:tc>
          <w:tcPr>
            <w:tcW w:w="1730" w:type="dxa"/>
            <w:noWrap w:val="0"/>
            <w:vAlign w:val="center"/>
          </w:tcPr>
          <w:p w14:paraId="093B9AB4">
            <w:pPr>
              <w:snapToGrid w:val="0"/>
              <w:spacing w:before="50" w:after="156" w:afterLines="50" w:line="360" w:lineRule="auto"/>
              <w:ind w:firstLine="0" w:firstLineChars="0"/>
              <w:jc w:val="center"/>
              <w:rPr>
                <w:rFonts w:hint="eastAsia" w:hAnsi="宋体"/>
                <w:color w:val="auto"/>
                <w:highlight w:val="none"/>
              </w:rPr>
            </w:pPr>
          </w:p>
        </w:tc>
      </w:tr>
      <w:tr w14:paraId="6FA7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center"/>
          </w:tcPr>
          <w:p w14:paraId="79A42BC9">
            <w:pPr>
              <w:snapToGrid w:val="0"/>
              <w:spacing w:before="50" w:after="156" w:afterLines="50" w:line="360" w:lineRule="auto"/>
              <w:ind w:firstLine="0" w:firstLineChars="0"/>
              <w:jc w:val="center"/>
              <w:rPr>
                <w:rFonts w:hint="eastAsia" w:hAnsi="宋体"/>
                <w:color w:val="auto"/>
                <w:highlight w:val="none"/>
              </w:rPr>
            </w:pPr>
          </w:p>
        </w:tc>
        <w:tc>
          <w:tcPr>
            <w:tcW w:w="993" w:type="dxa"/>
            <w:noWrap w:val="0"/>
            <w:vAlign w:val="center"/>
          </w:tcPr>
          <w:p w14:paraId="712AF6DC">
            <w:pPr>
              <w:snapToGrid w:val="0"/>
              <w:spacing w:before="50" w:after="156" w:afterLines="50" w:line="360" w:lineRule="auto"/>
              <w:ind w:firstLine="0" w:firstLineChars="0"/>
              <w:jc w:val="center"/>
              <w:rPr>
                <w:rFonts w:hint="eastAsia" w:hAnsi="宋体"/>
                <w:color w:val="auto"/>
                <w:highlight w:val="none"/>
              </w:rPr>
            </w:pPr>
          </w:p>
        </w:tc>
        <w:tc>
          <w:tcPr>
            <w:tcW w:w="2409" w:type="dxa"/>
            <w:noWrap w:val="0"/>
            <w:vAlign w:val="center"/>
          </w:tcPr>
          <w:p w14:paraId="596CD353">
            <w:pPr>
              <w:snapToGrid w:val="0"/>
              <w:spacing w:before="50" w:after="156" w:afterLines="50" w:line="360" w:lineRule="auto"/>
              <w:ind w:firstLine="0" w:firstLineChars="0"/>
              <w:jc w:val="center"/>
              <w:rPr>
                <w:rFonts w:hint="eastAsia" w:hAnsi="宋体"/>
                <w:color w:val="auto"/>
                <w:highlight w:val="none"/>
              </w:rPr>
            </w:pPr>
          </w:p>
        </w:tc>
        <w:tc>
          <w:tcPr>
            <w:tcW w:w="1353" w:type="dxa"/>
            <w:noWrap w:val="0"/>
            <w:vAlign w:val="center"/>
          </w:tcPr>
          <w:p w14:paraId="3EE96613">
            <w:pPr>
              <w:snapToGrid w:val="0"/>
              <w:spacing w:before="50" w:after="156" w:afterLines="50" w:line="360" w:lineRule="auto"/>
              <w:ind w:firstLine="0" w:firstLineChars="0"/>
              <w:jc w:val="center"/>
              <w:rPr>
                <w:rFonts w:hint="eastAsia" w:hAnsi="宋体"/>
                <w:color w:val="auto"/>
                <w:highlight w:val="none"/>
              </w:rPr>
            </w:pPr>
          </w:p>
        </w:tc>
        <w:tc>
          <w:tcPr>
            <w:tcW w:w="1737" w:type="dxa"/>
            <w:noWrap w:val="0"/>
            <w:vAlign w:val="center"/>
          </w:tcPr>
          <w:p w14:paraId="4F9A4A19">
            <w:pPr>
              <w:snapToGrid w:val="0"/>
              <w:spacing w:before="50" w:after="156" w:afterLines="50" w:line="360" w:lineRule="auto"/>
              <w:ind w:firstLine="0" w:firstLineChars="0"/>
              <w:jc w:val="center"/>
              <w:rPr>
                <w:rFonts w:hint="eastAsia" w:hAnsi="宋体"/>
                <w:color w:val="auto"/>
                <w:highlight w:val="none"/>
              </w:rPr>
            </w:pPr>
          </w:p>
        </w:tc>
        <w:tc>
          <w:tcPr>
            <w:tcW w:w="1730" w:type="dxa"/>
            <w:noWrap w:val="0"/>
            <w:vAlign w:val="center"/>
          </w:tcPr>
          <w:p w14:paraId="658A924F">
            <w:pPr>
              <w:snapToGrid w:val="0"/>
              <w:spacing w:before="50" w:after="156" w:afterLines="50" w:line="360" w:lineRule="auto"/>
              <w:ind w:firstLine="0" w:firstLineChars="0"/>
              <w:jc w:val="center"/>
              <w:rPr>
                <w:rFonts w:hint="eastAsia" w:hAnsi="宋体"/>
                <w:color w:val="auto"/>
                <w:highlight w:val="none"/>
              </w:rPr>
            </w:pPr>
          </w:p>
        </w:tc>
      </w:tr>
    </w:tbl>
    <w:p w14:paraId="149D848C">
      <w:pPr>
        <w:pStyle w:val="26"/>
        <w:spacing w:line="400" w:lineRule="exact"/>
        <w:ind w:firstLine="0" w:firstLineChars="0"/>
        <w:jc w:val="left"/>
        <w:rPr>
          <w:rFonts w:hint="eastAsia" w:hAnsi="宋体" w:cs="宋体"/>
          <w:b/>
          <w:color w:val="auto"/>
          <w:sz w:val="32"/>
          <w:highlight w:val="none"/>
          <w:lang w:eastAsia="zh-CN"/>
        </w:rPr>
      </w:pPr>
      <w:r>
        <w:rPr>
          <w:rFonts w:hint="eastAsia" w:hAnsi="宋体"/>
          <w:color w:val="auto"/>
          <w:sz w:val="21"/>
          <w:highlight w:val="none"/>
        </w:rPr>
        <w:t>注：在填写时，如本表格不适合</w:t>
      </w:r>
      <w:r>
        <w:rPr>
          <w:rFonts w:hint="eastAsia" w:hAnsi="宋体"/>
          <w:color w:val="auto"/>
          <w:sz w:val="21"/>
          <w:highlight w:val="none"/>
          <w:lang w:eastAsia="zh-CN"/>
        </w:rPr>
        <w:t>供应商</w:t>
      </w:r>
      <w:r>
        <w:rPr>
          <w:rFonts w:hint="eastAsia" w:hAnsi="宋体"/>
          <w:color w:val="auto"/>
          <w:sz w:val="21"/>
          <w:highlight w:val="none"/>
        </w:rPr>
        <w:t>的实际情况，可根据本表格式自行制表填写。</w:t>
      </w:r>
    </w:p>
    <w:p w14:paraId="76BA7394">
      <w:pPr>
        <w:pStyle w:val="26"/>
        <w:spacing w:line="400" w:lineRule="exact"/>
        <w:ind w:firstLine="0" w:firstLineChars="0"/>
        <w:jc w:val="left"/>
        <w:rPr>
          <w:rFonts w:hint="eastAsia" w:hAnsi="宋体" w:cs="宋体"/>
          <w:b/>
          <w:color w:val="auto"/>
          <w:sz w:val="32"/>
          <w:highlight w:val="none"/>
          <w:lang w:eastAsia="zh-CN"/>
        </w:rPr>
      </w:pPr>
    </w:p>
    <w:p w14:paraId="18302E9B">
      <w:pPr>
        <w:pStyle w:val="26"/>
        <w:spacing w:line="400" w:lineRule="exact"/>
        <w:ind w:firstLine="0" w:firstLineChars="0"/>
        <w:jc w:val="left"/>
        <w:rPr>
          <w:rFonts w:hint="eastAsia" w:hAnsi="宋体" w:cs="宋体"/>
          <w:b/>
          <w:color w:val="auto"/>
          <w:sz w:val="32"/>
          <w:highlight w:val="none"/>
          <w:lang w:eastAsia="zh-CN"/>
        </w:rPr>
      </w:pPr>
    </w:p>
    <w:p w14:paraId="5BEED78B">
      <w:pPr>
        <w:pStyle w:val="26"/>
        <w:spacing w:line="400" w:lineRule="exact"/>
        <w:ind w:firstLine="0" w:firstLineChars="0"/>
        <w:jc w:val="left"/>
        <w:rPr>
          <w:rFonts w:hint="eastAsia" w:hAnsi="宋体" w:cs="宋体"/>
          <w:b/>
          <w:color w:val="auto"/>
          <w:sz w:val="32"/>
          <w:highlight w:val="none"/>
          <w:lang w:eastAsia="zh-CN"/>
        </w:rPr>
      </w:pPr>
    </w:p>
    <w:p w14:paraId="73F9ADD8">
      <w:pPr>
        <w:pStyle w:val="26"/>
        <w:spacing w:line="400" w:lineRule="exact"/>
        <w:ind w:firstLine="0" w:firstLineChars="0"/>
        <w:jc w:val="left"/>
        <w:rPr>
          <w:rFonts w:hint="eastAsia" w:hAnsi="宋体" w:cs="宋体"/>
          <w:b/>
          <w:color w:val="auto"/>
          <w:sz w:val="32"/>
          <w:highlight w:val="none"/>
          <w:lang w:eastAsia="zh-CN"/>
        </w:rPr>
      </w:pPr>
    </w:p>
    <w:p w14:paraId="572DEDD5">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41B60C5E">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317EC065">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7810B80C">
      <w:pPr>
        <w:tabs>
          <w:tab w:val="left" w:pos="4111"/>
        </w:tabs>
        <w:wordWrap w:val="0"/>
        <w:snapToGrid w:val="0"/>
        <w:spacing w:before="50"/>
        <w:ind w:firstLine="3968" w:firstLineChars="1890"/>
        <w:rPr>
          <w:rFonts w:hint="eastAsia" w:hAnsi="宋体"/>
          <w:color w:val="auto"/>
          <w:highlight w:val="none"/>
        </w:rPr>
      </w:pPr>
    </w:p>
    <w:p w14:paraId="04EF871D">
      <w:pPr>
        <w:pStyle w:val="26"/>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011A5444">
      <w:pPr>
        <w:pStyle w:val="26"/>
        <w:spacing w:line="400" w:lineRule="exact"/>
        <w:ind w:firstLine="0" w:firstLineChars="0"/>
        <w:jc w:val="left"/>
        <w:rPr>
          <w:rFonts w:hint="eastAsia" w:hAnsi="宋体" w:cs="宋体"/>
          <w:b/>
          <w:color w:val="auto"/>
          <w:sz w:val="32"/>
          <w:highlight w:val="none"/>
          <w:lang w:eastAsia="zh-CN"/>
        </w:rPr>
      </w:pPr>
    </w:p>
    <w:p w14:paraId="3F32575D">
      <w:pPr>
        <w:pStyle w:val="26"/>
        <w:spacing w:line="400" w:lineRule="exact"/>
        <w:ind w:firstLine="0" w:firstLineChars="0"/>
        <w:jc w:val="left"/>
        <w:rPr>
          <w:rFonts w:hAnsi="宋体" w:cs="宋体"/>
          <w:b/>
          <w:bCs/>
          <w:color w:val="auto"/>
          <w:highlight w:val="none"/>
        </w:rPr>
      </w:pPr>
    </w:p>
    <w:p w14:paraId="6AF4AAD0">
      <w:pPr>
        <w:pStyle w:val="26"/>
        <w:spacing w:line="400" w:lineRule="exact"/>
        <w:ind w:firstLine="0" w:firstLineChars="0"/>
        <w:jc w:val="left"/>
        <w:rPr>
          <w:rFonts w:hAnsi="宋体" w:cs="宋体"/>
          <w:b/>
          <w:bCs/>
          <w:color w:val="auto"/>
          <w:highlight w:val="none"/>
        </w:rPr>
      </w:pPr>
    </w:p>
    <w:p w14:paraId="23C85DDC">
      <w:pPr>
        <w:pStyle w:val="26"/>
        <w:spacing w:line="400" w:lineRule="exact"/>
        <w:ind w:firstLine="0" w:firstLineChars="0"/>
        <w:jc w:val="left"/>
        <w:rPr>
          <w:rFonts w:hAnsi="宋体" w:cs="宋体"/>
          <w:b/>
          <w:bCs/>
          <w:color w:val="auto"/>
          <w:highlight w:val="none"/>
        </w:rPr>
      </w:pPr>
    </w:p>
    <w:p w14:paraId="1B16576B">
      <w:pPr>
        <w:pStyle w:val="26"/>
        <w:spacing w:line="400" w:lineRule="exact"/>
        <w:ind w:firstLine="0" w:firstLineChars="0"/>
        <w:jc w:val="left"/>
        <w:rPr>
          <w:rFonts w:hAnsi="宋体" w:cs="宋体"/>
          <w:b/>
          <w:bCs/>
          <w:color w:val="auto"/>
          <w:highlight w:val="none"/>
        </w:rPr>
      </w:pPr>
    </w:p>
    <w:p w14:paraId="1B645FC9">
      <w:pPr>
        <w:pStyle w:val="26"/>
        <w:spacing w:line="400" w:lineRule="exact"/>
        <w:ind w:firstLine="0" w:firstLineChars="0"/>
        <w:jc w:val="left"/>
        <w:rPr>
          <w:rFonts w:hAnsi="宋体" w:cs="宋体"/>
          <w:b/>
          <w:bCs/>
          <w:color w:val="auto"/>
          <w:highlight w:val="none"/>
        </w:rPr>
      </w:pPr>
    </w:p>
    <w:p w14:paraId="35DDADFC">
      <w:pPr>
        <w:pStyle w:val="26"/>
        <w:spacing w:line="400" w:lineRule="exact"/>
        <w:ind w:firstLine="0" w:firstLineChars="0"/>
        <w:jc w:val="left"/>
        <w:rPr>
          <w:rFonts w:hAnsi="宋体" w:cs="宋体"/>
          <w:b/>
          <w:bCs/>
          <w:color w:val="auto"/>
          <w:highlight w:val="none"/>
        </w:rPr>
      </w:pPr>
    </w:p>
    <w:p w14:paraId="64DA251A">
      <w:pPr>
        <w:pStyle w:val="26"/>
        <w:spacing w:line="400" w:lineRule="exact"/>
        <w:ind w:firstLine="0" w:firstLineChars="0"/>
        <w:jc w:val="left"/>
        <w:rPr>
          <w:rFonts w:hAnsi="宋体" w:cs="宋体"/>
          <w:b/>
          <w:bCs/>
          <w:color w:val="auto"/>
          <w:highlight w:val="none"/>
        </w:rPr>
      </w:pPr>
    </w:p>
    <w:p w14:paraId="14AF3588">
      <w:pPr>
        <w:pStyle w:val="26"/>
        <w:spacing w:line="400" w:lineRule="exact"/>
        <w:ind w:firstLine="0" w:firstLineChars="0"/>
        <w:jc w:val="left"/>
        <w:rPr>
          <w:rFonts w:hAnsi="宋体" w:cs="宋体"/>
          <w:b/>
          <w:bCs/>
          <w:color w:val="auto"/>
          <w:highlight w:val="none"/>
        </w:rPr>
      </w:pPr>
    </w:p>
    <w:p w14:paraId="1760ED50">
      <w:pPr>
        <w:pStyle w:val="26"/>
        <w:spacing w:line="400" w:lineRule="exact"/>
        <w:ind w:firstLine="0" w:firstLineChars="0"/>
        <w:jc w:val="left"/>
        <w:rPr>
          <w:rFonts w:hAnsi="宋体" w:cs="宋体"/>
          <w:b/>
          <w:bCs/>
          <w:color w:val="auto"/>
          <w:highlight w:val="none"/>
        </w:rPr>
      </w:pPr>
    </w:p>
    <w:p w14:paraId="3B70144A">
      <w:pPr>
        <w:pStyle w:val="26"/>
        <w:spacing w:line="400" w:lineRule="exact"/>
        <w:ind w:firstLine="0" w:firstLineChars="0"/>
        <w:jc w:val="left"/>
        <w:rPr>
          <w:rFonts w:hAnsi="宋体" w:cs="宋体"/>
          <w:b/>
          <w:bCs/>
          <w:color w:val="auto"/>
          <w:highlight w:val="none"/>
        </w:rPr>
      </w:pPr>
    </w:p>
    <w:p w14:paraId="2F5C9DF0">
      <w:pPr>
        <w:pStyle w:val="26"/>
        <w:spacing w:line="400" w:lineRule="exact"/>
        <w:ind w:firstLine="0" w:firstLineChars="0"/>
        <w:jc w:val="left"/>
        <w:rPr>
          <w:rFonts w:hAnsi="宋体" w:cs="宋体"/>
          <w:b/>
          <w:bCs/>
          <w:color w:val="auto"/>
          <w:highlight w:val="none"/>
        </w:rPr>
      </w:pPr>
    </w:p>
    <w:p w14:paraId="7A1BAB19">
      <w:pPr>
        <w:pStyle w:val="26"/>
        <w:spacing w:line="400" w:lineRule="exact"/>
        <w:ind w:firstLine="0" w:firstLineChars="0"/>
        <w:jc w:val="left"/>
        <w:rPr>
          <w:rFonts w:hAnsi="宋体" w:cs="宋体"/>
          <w:b/>
          <w:bCs/>
          <w:color w:val="auto"/>
          <w:highlight w:val="none"/>
        </w:rPr>
      </w:pPr>
    </w:p>
    <w:p w14:paraId="58CE0F89">
      <w:pPr>
        <w:pStyle w:val="26"/>
        <w:spacing w:line="400" w:lineRule="exact"/>
        <w:ind w:firstLine="0" w:firstLineChars="0"/>
        <w:jc w:val="left"/>
        <w:rPr>
          <w:rFonts w:hAnsi="宋体" w:cs="宋体"/>
          <w:color w:val="auto"/>
          <w:highlight w:val="none"/>
        </w:rPr>
      </w:pPr>
      <w:r>
        <w:rPr>
          <w:rFonts w:hAnsi="宋体" w:cs="宋体"/>
          <w:color w:val="auto"/>
          <w:highlight w:val="none"/>
        </w:rPr>
        <w:t xml:space="preserve"> </w:t>
      </w:r>
    </w:p>
    <w:p w14:paraId="5909917A">
      <w:pPr>
        <w:spacing w:line="360" w:lineRule="exact"/>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附件</w:t>
      </w:r>
    </w:p>
    <w:p w14:paraId="2A17478A">
      <w:pPr>
        <w:snapToGrid w:val="0"/>
        <w:spacing w:before="50" w:after="50" w:line="360" w:lineRule="auto"/>
        <w:ind w:firstLine="422"/>
        <w:rPr>
          <w:rFonts w:hint="eastAsia" w:hAnsi="宋体"/>
          <w:b/>
          <w:color w:val="auto"/>
          <w:highlight w:val="none"/>
        </w:rPr>
      </w:pPr>
    </w:p>
    <w:p w14:paraId="1D5FC7B5">
      <w:pPr>
        <w:pStyle w:val="38"/>
        <w:snapToGrid w:val="0"/>
        <w:spacing w:line="360" w:lineRule="auto"/>
        <w:ind w:left="643" w:hanging="643"/>
        <w:jc w:val="center"/>
        <w:rPr>
          <w:rFonts w:ascii="宋体" w:hAnsi="宋体" w:cs="宋体"/>
          <w:b/>
          <w:color w:val="auto"/>
          <w:kern w:val="0"/>
          <w:sz w:val="32"/>
          <w:szCs w:val="21"/>
          <w:highlight w:val="none"/>
        </w:rPr>
      </w:pPr>
      <w:r>
        <w:rPr>
          <w:rFonts w:hint="eastAsia" w:ascii="宋体" w:hAnsi="宋体" w:cs="宋体"/>
          <w:b/>
          <w:color w:val="auto"/>
          <w:kern w:val="0"/>
          <w:sz w:val="32"/>
          <w:szCs w:val="21"/>
          <w:highlight w:val="none"/>
        </w:rPr>
        <w:t>供应商同类项目实施情况一览表（格式）</w:t>
      </w:r>
    </w:p>
    <w:p w14:paraId="300F7938">
      <w:pPr>
        <w:pStyle w:val="38"/>
        <w:snapToGrid w:val="0"/>
        <w:spacing w:line="360" w:lineRule="auto"/>
        <w:ind w:left="643" w:hanging="643"/>
        <w:jc w:val="center"/>
        <w:rPr>
          <w:rFonts w:hAnsi="宋体"/>
          <w:color w:val="auto"/>
          <w:sz w:val="21"/>
          <w:highlight w:val="none"/>
        </w:rPr>
      </w:pPr>
      <w:r>
        <w:rPr>
          <w:rFonts w:hint="eastAsia" w:ascii="宋体" w:hAnsi="宋体" w:cs="宋体"/>
          <w:b/>
          <w:color w:val="auto"/>
          <w:kern w:val="0"/>
          <w:sz w:val="32"/>
          <w:szCs w:val="21"/>
          <w:highlight w:val="none"/>
        </w:rPr>
        <w:t>（附供应商同类项目合同原件扫描件）</w:t>
      </w:r>
    </w:p>
    <w:p w14:paraId="2426A27C">
      <w:pPr>
        <w:pStyle w:val="38"/>
        <w:snapToGrid w:val="0"/>
        <w:spacing w:line="360" w:lineRule="auto"/>
        <w:ind w:left="420" w:hanging="420"/>
        <w:rPr>
          <w:rFonts w:hint="eastAsia" w:hAnsi="宋体"/>
          <w:color w:val="auto"/>
          <w:sz w:val="21"/>
          <w:highlight w:val="none"/>
        </w:rPr>
      </w:pPr>
    </w:p>
    <w:tbl>
      <w:tblPr>
        <w:tblStyle w:val="51"/>
        <w:tblW w:w="95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5"/>
        <w:gridCol w:w="2174"/>
        <w:gridCol w:w="1275"/>
        <w:gridCol w:w="2090"/>
        <w:gridCol w:w="2010"/>
      </w:tblGrid>
      <w:tr w14:paraId="3AAC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5B12A4E">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采购单位名称</w:t>
            </w:r>
          </w:p>
        </w:tc>
        <w:tc>
          <w:tcPr>
            <w:tcW w:w="2174" w:type="dxa"/>
            <w:vMerge w:val="restart"/>
            <w:tcBorders>
              <w:top w:val="single" w:color="auto" w:sz="4" w:space="0"/>
              <w:left w:val="single" w:color="auto" w:sz="4" w:space="0"/>
              <w:bottom w:val="single" w:color="auto" w:sz="4" w:space="0"/>
              <w:right w:val="single" w:color="auto" w:sz="4" w:space="0"/>
            </w:tcBorders>
            <w:noWrap w:val="0"/>
            <w:vAlign w:val="center"/>
          </w:tcPr>
          <w:p w14:paraId="31E6124A">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采购名称</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14:paraId="2688A5DC">
            <w:pPr>
              <w:spacing w:line="36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服务年限</w:t>
            </w:r>
          </w:p>
        </w:tc>
        <w:tc>
          <w:tcPr>
            <w:tcW w:w="2090" w:type="dxa"/>
            <w:vMerge w:val="restart"/>
            <w:tcBorders>
              <w:top w:val="single" w:color="auto" w:sz="4" w:space="0"/>
              <w:left w:val="single" w:color="auto" w:sz="4" w:space="0"/>
              <w:bottom w:val="single" w:color="auto" w:sz="4" w:space="0"/>
              <w:right w:val="single" w:color="auto" w:sz="4" w:space="0"/>
            </w:tcBorders>
            <w:noWrap w:val="0"/>
            <w:vAlign w:val="center"/>
          </w:tcPr>
          <w:p w14:paraId="1A64D999">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合同金额（</w:t>
            </w:r>
            <w:r>
              <w:rPr>
                <w:rFonts w:hint="eastAsia" w:ascii="宋体" w:hAnsi="宋体" w:cs="宋体"/>
                <w:color w:val="auto"/>
                <w:szCs w:val="21"/>
                <w:highlight w:val="none"/>
                <w:lang w:val="en-US" w:eastAsia="zh-CN"/>
              </w:rPr>
              <w:t>元</w:t>
            </w:r>
            <w:r>
              <w:rPr>
                <w:rFonts w:hint="eastAsia" w:ascii="宋体" w:hAnsi="宋体" w:cs="宋体"/>
                <w:color w:val="auto"/>
                <w:szCs w:val="21"/>
                <w:highlight w:val="none"/>
              </w:rPr>
              <w:t>）</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14:paraId="4719D966">
            <w:pPr>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采购单位联系人及联系电话</w:t>
            </w:r>
          </w:p>
        </w:tc>
      </w:tr>
      <w:tr w14:paraId="6B637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FA6938">
            <w:pPr>
              <w:spacing w:line="360" w:lineRule="auto"/>
              <w:ind w:firstLine="0" w:firstLineChars="0"/>
              <w:jc w:val="center"/>
              <w:rPr>
                <w:rFonts w:hint="eastAsia" w:ascii="宋体" w:hAnsi="宋体" w:cs="宋体"/>
                <w:color w:val="auto"/>
                <w:szCs w:val="21"/>
                <w:highlight w:val="none"/>
              </w:rPr>
            </w:pPr>
          </w:p>
        </w:tc>
        <w:tc>
          <w:tcPr>
            <w:tcW w:w="2174" w:type="dxa"/>
            <w:vMerge w:val="continue"/>
            <w:tcBorders>
              <w:top w:val="single" w:color="auto" w:sz="4" w:space="0"/>
              <w:left w:val="single" w:color="auto" w:sz="4" w:space="0"/>
              <w:bottom w:val="single" w:color="auto" w:sz="4" w:space="0"/>
              <w:right w:val="single" w:color="auto" w:sz="4" w:space="0"/>
            </w:tcBorders>
            <w:noWrap w:val="0"/>
            <w:vAlign w:val="center"/>
          </w:tcPr>
          <w:p w14:paraId="66189809">
            <w:pPr>
              <w:spacing w:line="360" w:lineRule="auto"/>
              <w:ind w:firstLine="0" w:firstLineChars="0"/>
              <w:jc w:val="center"/>
              <w:rPr>
                <w:rFonts w:hint="eastAsia" w:ascii="宋体" w:hAnsi="宋体" w:cs="宋体"/>
                <w:color w:val="auto"/>
                <w:szCs w:val="21"/>
                <w:highlight w:val="none"/>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14:paraId="685CECAA">
            <w:pPr>
              <w:spacing w:line="360" w:lineRule="auto"/>
              <w:ind w:firstLine="0" w:firstLineChars="0"/>
              <w:jc w:val="center"/>
              <w:rPr>
                <w:rFonts w:hint="eastAsia" w:ascii="宋体" w:hAnsi="宋体" w:cs="宋体"/>
                <w:color w:val="auto"/>
                <w:szCs w:val="21"/>
                <w:highlight w:val="none"/>
              </w:rPr>
            </w:pPr>
          </w:p>
        </w:tc>
        <w:tc>
          <w:tcPr>
            <w:tcW w:w="2090" w:type="dxa"/>
            <w:vMerge w:val="continue"/>
            <w:tcBorders>
              <w:top w:val="single" w:color="auto" w:sz="4" w:space="0"/>
              <w:left w:val="single" w:color="auto" w:sz="4" w:space="0"/>
              <w:bottom w:val="single" w:color="auto" w:sz="4" w:space="0"/>
              <w:right w:val="single" w:color="auto" w:sz="4" w:space="0"/>
            </w:tcBorders>
            <w:noWrap w:val="0"/>
            <w:vAlign w:val="center"/>
          </w:tcPr>
          <w:p w14:paraId="15A6D0EE">
            <w:pPr>
              <w:spacing w:line="360" w:lineRule="auto"/>
              <w:ind w:firstLine="0" w:firstLineChars="0"/>
              <w:jc w:val="center"/>
              <w:rPr>
                <w:rFonts w:hint="eastAsia" w:ascii="宋体" w:hAnsi="宋体" w:cs="宋体"/>
                <w:color w:val="auto"/>
                <w:szCs w:val="21"/>
                <w:highlight w:val="none"/>
              </w:rPr>
            </w:pP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14:paraId="157D0A4A">
            <w:pPr>
              <w:widowControl/>
              <w:spacing w:line="360" w:lineRule="auto"/>
              <w:ind w:firstLine="420"/>
              <w:rPr>
                <w:rFonts w:hint="eastAsia" w:hAnsi="宋体"/>
                <w:color w:val="auto"/>
                <w:highlight w:val="none"/>
              </w:rPr>
            </w:pPr>
          </w:p>
        </w:tc>
      </w:tr>
      <w:tr w14:paraId="72ED6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14:paraId="52DF3E64">
            <w:pPr>
              <w:snapToGrid w:val="0"/>
              <w:spacing w:line="360" w:lineRule="auto"/>
              <w:ind w:firstLine="420"/>
              <w:rPr>
                <w:rFonts w:hint="eastAsia" w:hAnsi="宋体"/>
                <w:color w:val="auto"/>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53DF5BAE">
            <w:pPr>
              <w:snapToGrid w:val="0"/>
              <w:spacing w:line="360" w:lineRule="auto"/>
              <w:ind w:firstLine="420"/>
              <w:rPr>
                <w:rFonts w:hint="eastAsia"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8A2216B">
            <w:pPr>
              <w:snapToGrid w:val="0"/>
              <w:spacing w:line="360" w:lineRule="auto"/>
              <w:ind w:firstLine="420"/>
              <w:rPr>
                <w:rFonts w:hint="eastAsia" w:hAnsi="宋体"/>
                <w:color w:val="auto"/>
                <w:highlight w:val="none"/>
              </w:rPr>
            </w:pPr>
          </w:p>
        </w:tc>
        <w:tc>
          <w:tcPr>
            <w:tcW w:w="2090" w:type="dxa"/>
            <w:tcBorders>
              <w:top w:val="single" w:color="auto" w:sz="4" w:space="0"/>
              <w:left w:val="single" w:color="auto" w:sz="4" w:space="0"/>
              <w:bottom w:val="single" w:color="auto" w:sz="4" w:space="0"/>
              <w:right w:val="single" w:color="auto" w:sz="4" w:space="0"/>
            </w:tcBorders>
            <w:noWrap w:val="0"/>
            <w:vAlign w:val="top"/>
          </w:tcPr>
          <w:p w14:paraId="594826AC">
            <w:pPr>
              <w:snapToGrid w:val="0"/>
              <w:spacing w:line="360" w:lineRule="auto"/>
              <w:ind w:firstLine="420"/>
              <w:rPr>
                <w:rFonts w:hint="eastAsia" w:hAnsi="宋体"/>
                <w:color w:val="auto"/>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14:paraId="06B7C957">
            <w:pPr>
              <w:snapToGrid w:val="0"/>
              <w:spacing w:line="360" w:lineRule="auto"/>
              <w:ind w:firstLine="420"/>
              <w:rPr>
                <w:rFonts w:hint="eastAsia" w:hAnsi="宋体"/>
                <w:color w:val="auto"/>
                <w:highlight w:val="none"/>
              </w:rPr>
            </w:pPr>
          </w:p>
        </w:tc>
      </w:tr>
      <w:tr w14:paraId="6AD9B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14:paraId="5AB09073">
            <w:pPr>
              <w:snapToGrid w:val="0"/>
              <w:spacing w:before="50" w:after="156" w:afterLines="50" w:line="360" w:lineRule="auto"/>
              <w:ind w:firstLine="420"/>
              <w:rPr>
                <w:rFonts w:hint="eastAsia" w:hAnsi="宋体"/>
                <w:color w:val="auto"/>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47B7C2E1">
            <w:pPr>
              <w:snapToGrid w:val="0"/>
              <w:spacing w:before="50" w:after="156" w:afterLines="50" w:line="360" w:lineRule="auto"/>
              <w:ind w:firstLine="420"/>
              <w:rPr>
                <w:rFonts w:hint="eastAsia"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DE90DE0">
            <w:pPr>
              <w:snapToGrid w:val="0"/>
              <w:spacing w:before="50" w:after="156" w:afterLines="50" w:line="360" w:lineRule="auto"/>
              <w:ind w:firstLine="420"/>
              <w:rPr>
                <w:rFonts w:hint="eastAsia" w:hAnsi="宋体"/>
                <w:color w:val="auto"/>
                <w:highlight w:val="none"/>
              </w:rPr>
            </w:pPr>
          </w:p>
        </w:tc>
        <w:tc>
          <w:tcPr>
            <w:tcW w:w="2090" w:type="dxa"/>
            <w:tcBorders>
              <w:top w:val="single" w:color="auto" w:sz="4" w:space="0"/>
              <w:left w:val="single" w:color="auto" w:sz="4" w:space="0"/>
              <w:bottom w:val="single" w:color="auto" w:sz="4" w:space="0"/>
              <w:right w:val="single" w:color="auto" w:sz="4" w:space="0"/>
            </w:tcBorders>
            <w:noWrap w:val="0"/>
            <w:vAlign w:val="top"/>
          </w:tcPr>
          <w:p w14:paraId="59740517">
            <w:pPr>
              <w:snapToGrid w:val="0"/>
              <w:spacing w:before="50" w:after="156" w:afterLines="50" w:line="360" w:lineRule="auto"/>
              <w:ind w:firstLine="420"/>
              <w:rPr>
                <w:rFonts w:hint="eastAsia" w:hAnsi="宋体"/>
                <w:color w:val="auto"/>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14:paraId="6173CA58">
            <w:pPr>
              <w:snapToGrid w:val="0"/>
              <w:spacing w:before="50" w:after="156" w:afterLines="50" w:line="360" w:lineRule="auto"/>
              <w:ind w:firstLine="420"/>
              <w:rPr>
                <w:rFonts w:hint="eastAsia" w:hAnsi="宋体"/>
                <w:color w:val="auto"/>
                <w:highlight w:val="none"/>
              </w:rPr>
            </w:pPr>
          </w:p>
        </w:tc>
      </w:tr>
      <w:tr w14:paraId="4E845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14:paraId="72DFE5F9">
            <w:pPr>
              <w:snapToGrid w:val="0"/>
              <w:spacing w:before="50" w:after="156" w:afterLines="50" w:line="360" w:lineRule="auto"/>
              <w:ind w:firstLine="420"/>
              <w:rPr>
                <w:rFonts w:hint="eastAsia" w:hAnsi="宋体"/>
                <w:color w:val="auto"/>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10FA3FBB">
            <w:pPr>
              <w:snapToGrid w:val="0"/>
              <w:spacing w:before="50" w:after="156" w:afterLines="50" w:line="360" w:lineRule="auto"/>
              <w:ind w:firstLine="420"/>
              <w:rPr>
                <w:rFonts w:hint="eastAsia"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3D8469">
            <w:pPr>
              <w:snapToGrid w:val="0"/>
              <w:spacing w:before="50" w:after="156" w:afterLines="50" w:line="360" w:lineRule="auto"/>
              <w:ind w:firstLine="420"/>
              <w:rPr>
                <w:rFonts w:hint="eastAsia" w:hAnsi="宋体"/>
                <w:color w:val="auto"/>
                <w:highlight w:val="none"/>
              </w:rPr>
            </w:pPr>
          </w:p>
        </w:tc>
        <w:tc>
          <w:tcPr>
            <w:tcW w:w="2090" w:type="dxa"/>
            <w:tcBorders>
              <w:top w:val="single" w:color="auto" w:sz="4" w:space="0"/>
              <w:left w:val="single" w:color="auto" w:sz="4" w:space="0"/>
              <w:bottom w:val="single" w:color="auto" w:sz="4" w:space="0"/>
              <w:right w:val="single" w:color="auto" w:sz="4" w:space="0"/>
            </w:tcBorders>
            <w:noWrap w:val="0"/>
            <w:vAlign w:val="top"/>
          </w:tcPr>
          <w:p w14:paraId="13293E26">
            <w:pPr>
              <w:snapToGrid w:val="0"/>
              <w:spacing w:before="50" w:after="156" w:afterLines="50" w:line="360" w:lineRule="auto"/>
              <w:ind w:firstLine="420"/>
              <w:rPr>
                <w:rFonts w:hint="eastAsia" w:hAnsi="宋体"/>
                <w:color w:val="auto"/>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14:paraId="560E9EC6">
            <w:pPr>
              <w:snapToGrid w:val="0"/>
              <w:spacing w:before="50" w:after="156" w:afterLines="50" w:line="360" w:lineRule="auto"/>
              <w:ind w:firstLine="420"/>
              <w:rPr>
                <w:rFonts w:hint="eastAsia" w:hAnsi="宋体"/>
                <w:color w:val="auto"/>
                <w:highlight w:val="none"/>
              </w:rPr>
            </w:pPr>
          </w:p>
        </w:tc>
      </w:tr>
      <w:tr w14:paraId="2FEE9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14:paraId="3CB54A99">
            <w:pPr>
              <w:snapToGrid w:val="0"/>
              <w:spacing w:before="50" w:after="156" w:afterLines="50" w:line="360" w:lineRule="auto"/>
              <w:ind w:firstLine="420"/>
              <w:rPr>
                <w:rFonts w:hint="eastAsia" w:hAnsi="宋体"/>
                <w:color w:val="auto"/>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5236FF51">
            <w:pPr>
              <w:snapToGrid w:val="0"/>
              <w:spacing w:before="50" w:after="156" w:afterLines="50" w:line="360" w:lineRule="auto"/>
              <w:ind w:firstLine="420"/>
              <w:rPr>
                <w:rFonts w:hint="eastAsia"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C973C73">
            <w:pPr>
              <w:snapToGrid w:val="0"/>
              <w:spacing w:before="50" w:after="156" w:afterLines="50" w:line="360" w:lineRule="auto"/>
              <w:ind w:firstLine="420"/>
              <w:rPr>
                <w:rFonts w:hint="eastAsia" w:hAnsi="宋体"/>
                <w:color w:val="auto"/>
                <w:highlight w:val="none"/>
              </w:rPr>
            </w:pPr>
          </w:p>
        </w:tc>
        <w:tc>
          <w:tcPr>
            <w:tcW w:w="2090" w:type="dxa"/>
            <w:tcBorders>
              <w:top w:val="single" w:color="auto" w:sz="4" w:space="0"/>
              <w:left w:val="single" w:color="auto" w:sz="4" w:space="0"/>
              <w:bottom w:val="single" w:color="auto" w:sz="4" w:space="0"/>
              <w:right w:val="single" w:color="auto" w:sz="4" w:space="0"/>
            </w:tcBorders>
            <w:noWrap w:val="0"/>
            <w:vAlign w:val="top"/>
          </w:tcPr>
          <w:p w14:paraId="719A513B">
            <w:pPr>
              <w:snapToGrid w:val="0"/>
              <w:spacing w:before="50" w:after="156" w:afterLines="50" w:line="360" w:lineRule="auto"/>
              <w:ind w:firstLine="420"/>
              <w:rPr>
                <w:rFonts w:hint="eastAsia" w:hAnsi="宋体"/>
                <w:color w:val="auto"/>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14:paraId="3386F9D3">
            <w:pPr>
              <w:snapToGrid w:val="0"/>
              <w:spacing w:before="50" w:after="156" w:afterLines="50" w:line="360" w:lineRule="auto"/>
              <w:ind w:firstLine="420"/>
              <w:rPr>
                <w:rFonts w:hint="eastAsia" w:hAnsi="宋体"/>
                <w:color w:val="auto"/>
                <w:highlight w:val="none"/>
              </w:rPr>
            </w:pPr>
          </w:p>
        </w:tc>
      </w:tr>
      <w:tr w14:paraId="35995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top"/>
          </w:tcPr>
          <w:p w14:paraId="05DBCF51">
            <w:pPr>
              <w:snapToGrid w:val="0"/>
              <w:spacing w:before="50" w:after="156" w:afterLines="50" w:line="360" w:lineRule="auto"/>
              <w:ind w:firstLine="420"/>
              <w:rPr>
                <w:rFonts w:hint="eastAsia" w:hAnsi="宋体"/>
                <w:color w:val="auto"/>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top"/>
          </w:tcPr>
          <w:p w14:paraId="633BD046">
            <w:pPr>
              <w:snapToGrid w:val="0"/>
              <w:spacing w:before="50" w:after="156" w:afterLines="50" w:line="360" w:lineRule="auto"/>
              <w:ind w:firstLine="420"/>
              <w:rPr>
                <w:rFonts w:hint="eastAsia" w:hAnsi="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EF8FE78">
            <w:pPr>
              <w:snapToGrid w:val="0"/>
              <w:spacing w:before="50" w:after="156" w:afterLines="50" w:line="360" w:lineRule="auto"/>
              <w:ind w:firstLine="420"/>
              <w:rPr>
                <w:rFonts w:hint="eastAsia" w:hAnsi="宋体"/>
                <w:color w:val="auto"/>
                <w:highlight w:val="none"/>
              </w:rPr>
            </w:pPr>
          </w:p>
        </w:tc>
        <w:tc>
          <w:tcPr>
            <w:tcW w:w="2090" w:type="dxa"/>
            <w:tcBorders>
              <w:top w:val="single" w:color="auto" w:sz="4" w:space="0"/>
              <w:left w:val="single" w:color="auto" w:sz="4" w:space="0"/>
              <w:bottom w:val="single" w:color="auto" w:sz="4" w:space="0"/>
              <w:right w:val="single" w:color="auto" w:sz="4" w:space="0"/>
            </w:tcBorders>
            <w:noWrap w:val="0"/>
            <w:vAlign w:val="top"/>
          </w:tcPr>
          <w:p w14:paraId="2C32521A">
            <w:pPr>
              <w:snapToGrid w:val="0"/>
              <w:spacing w:before="50" w:after="156" w:afterLines="50" w:line="360" w:lineRule="auto"/>
              <w:ind w:firstLine="420"/>
              <w:rPr>
                <w:rFonts w:hint="eastAsia" w:hAnsi="宋体"/>
                <w:color w:val="auto"/>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top"/>
          </w:tcPr>
          <w:p w14:paraId="0D13F90B">
            <w:pPr>
              <w:snapToGrid w:val="0"/>
              <w:spacing w:before="50" w:after="156" w:afterLines="50" w:line="360" w:lineRule="auto"/>
              <w:ind w:firstLine="420"/>
              <w:rPr>
                <w:rFonts w:hint="eastAsia" w:hAnsi="宋体"/>
                <w:color w:val="auto"/>
                <w:highlight w:val="none"/>
              </w:rPr>
            </w:pPr>
          </w:p>
        </w:tc>
      </w:tr>
    </w:tbl>
    <w:p w14:paraId="7AA1FE75">
      <w:pPr>
        <w:spacing w:line="360" w:lineRule="auto"/>
        <w:ind w:firstLine="420"/>
        <w:jc w:val="center"/>
        <w:rPr>
          <w:rFonts w:hint="eastAsia" w:hAnsi="宋体"/>
          <w:color w:val="auto"/>
          <w:highlight w:val="none"/>
        </w:rPr>
      </w:pPr>
    </w:p>
    <w:p w14:paraId="3385ED92">
      <w:pPr>
        <w:spacing w:line="360" w:lineRule="auto"/>
        <w:ind w:firstLine="420"/>
        <w:jc w:val="center"/>
        <w:rPr>
          <w:rFonts w:hint="eastAsia" w:hAnsi="宋体"/>
          <w:color w:val="auto"/>
          <w:highlight w:val="none"/>
        </w:rPr>
      </w:pPr>
    </w:p>
    <w:p w14:paraId="4866CA66">
      <w:pPr>
        <w:pStyle w:val="26"/>
        <w:wordWrap w:val="0"/>
        <w:ind w:firstLine="420"/>
        <w:rPr>
          <w:rFonts w:hint="eastAsia" w:hAnsi="宋体"/>
          <w:color w:val="auto"/>
          <w:kern w:val="2"/>
          <w:sz w:val="21"/>
          <w:highlight w:val="none"/>
        </w:rPr>
      </w:pPr>
    </w:p>
    <w:p w14:paraId="1A2DC857">
      <w:pPr>
        <w:pStyle w:val="26"/>
        <w:tabs>
          <w:tab w:val="left" w:pos="5529"/>
        </w:tabs>
        <w:wordWrap w:val="0"/>
        <w:ind w:firstLine="2299" w:firstLineChars="1095"/>
        <w:rPr>
          <w:rFonts w:hAnsi="宋体"/>
          <w:color w:val="auto"/>
          <w:kern w:val="2"/>
          <w:sz w:val="21"/>
          <w:highlight w:val="none"/>
          <w:u w:val="single"/>
        </w:rPr>
      </w:pPr>
      <w:r>
        <w:rPr>
          <w:rFonts w:hint="eastAsia" w:hAnsi="宋体"/>
          <w:color w:val="auto"/>
          <w:kern w:val="2"/>
          <w:sz w:val="21"/>
          <w:highlight w:val="none"/>
        </w:rPr>
        <w:t>供应商名称（</w:t>
      </w:r>
      <w:r>
        <w:rPr>
          <w:rFonts w:hint="eastAsia" w:hAnsi="宋体"/>
          <w:color w:val="auto"/>
          <w:sz w:val="21"/>
          <w:highlight w:val="none"/>
        </w:rPr>
        <w:t>电子公章</w:t>
      </w:r>
      <w:r>
        <w:rPr>
          <w:rFonts w:hint="eastAsia" w:hAnsi="宋体"/>
          <w:color w:val="auto"/>
          <w:kern w:val="2"/>
          <w:sz w:val="21"/>
          <w:highlight w:val="none"/>
        </w:rPr>
        <w:t xml:space="preserve">）： </w:t>
      </w:r>
      <w:r>
        <w:rPr>
          <w:rFonts w:hint="eastAsia" w:hAnsi="宋体"/>
          <w:color w:val="auto"/>
          <w:sz w:val="21"/>
          <w:highlight w:val="none"/>
          <w:u w:val="single"/>
        </w:rPr>
        <w:t xml:space="preserve">      </w:t>
      </w:r>
      <w:r>
        <w:rPr>
          <w:rFonts w:hAnsi="宋体"/>
          <w:color w:val="auto"/>
          <w:sz w:val="21"/>
          <w:highlight w:val="none"/>
          <w:u w:val="single"/>
        </w:rPr>
        <w:t xml:space="preserve">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280E93DC">
      <w:pPr>
        <w:pStyle w:val="26"/>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4030DA1B">
      <w:pPr>
        <w:tabs>
          <w:tab w:val="left" w:pos="4111"/>
        </w:tabs>
        <w:wordWrap w:val="0"/>
        <w:snapToGrid w:val="0"/>
        <w:spacing w:before="50"/>
        <w:ind w:firstLine="2310" w:firstLineChars="1100"/>
        <w:rPr>
          <w:rFonts w:hint="eastAsia" w:hAnsi="宋体"/>
          <w:color w:val="auto"/>
          <w:highlight w:val="none"/>
        </w:rPr>
      </w:pPr>
      <w:r>
        <w:rPr>
          <w:rFonts w:hint="eastAsia" w:hAnsi="宋体"/>
          <w:color w:val="auto"/>
          <w:highlight w:val="none"/>
        </w:rPr>
        <w:t>法定代表人或委托代理人(签字或者电子签名或者加盖电子印章)：</w:t>
      </w:r>
      <w:r>
        <w:rPr>
          <w:rFonts w:hint="eastAsia" w:hAnsi="宋体"/>
          <w:color w:val="auto"/>
          <w:highlight w:val="none"/>
          <w:u w:val="single"/>
        </w:rPr>
        <w:t xml:space="preserve">           </w:t>
      </w:r>
    </w:p>
    <w:p w14:paraId="6454B06C">
      <w:pPr>
        <w:tabs>
          <w:tab w:val="left" w:pos="4111"/>
        </w:tabs>
        <w:wordWrap w:val="0"/>
        <w:snapToGrid w:val="0"/>
        <w:spacing w:before="50"/>
        <w:ind w:firstLine="3968" w:firstLineChars="1890"/>
        <w:rPr>
          <w:rFonts w:hint="eastAsia" w:hAnsi="宋体"/>
          <w:color w:val="auto"/>
          <w:highlight w:val="none"/>
        </w:rPr>
      </w:pPr>
    </w:p>
    <w:p w14:paraId="49873D59">
      <w:pPr>
        <w:pStyle w:val="26"/>
        <w:wordWrap w:val="0"/>
        <w:ind w:firstLine="420"/>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35B47F19">
      <w:pPr>
        <w:pStyle w:val="26"/>
        <w:spacing w:line="400" w:lineRule="exact"/>
        <w:ind w:firstLine="0" w:firstLineChars="0"/>
        <w:jc w:val="left"/>
        <w:rPr>
          <w:rFonts w:hAnsi="宋体" w:cs="宋体"/>
          <w:b/>
          <w:bCs/>
          <w:color w:val="auto"/>
          <w:highlight w:val="none"/>
        </w:rPr>
      </w:pPr>
      <w:r>
        <w:rPr>
          <w:rFonts w:hAnsi="宋体" w:cs="宋体"/>
          <w:color w:val="auto"/>
          <w:highlight w:val="none"/>
        </w:rPr>
        <w:br w:type="page"/>
      </w:r>
      <w:bookmarkEnd w:id="154"/>
      <w:bookmarkEnd w:id="155"/>
    </w:p>
    <w:p w14:paraId="4D9E2C68">
      <w:pPr>
        <w:autoSpaceDE w:val="0"/>
        <w:autoSpaceDN w:val="0"/>
        <w:spacing w:line="300" w:lineRule="auto"/>
        <w:ind w:left="480" w:firstLine="420"/>
        <w:rPr>
          <w:rFonts w:hint="eastAsia" w:ascii="宋体" w:hAnsi="宋体" w:cs="宋体"/>
          <w:color w:val="auto"/>
          <w:szCs w:val="21"/>
          <w:highlight w:val="none"/>
        </w:rPr>
      </w:pPr>
    </w:p>
    <w:p w14:paraId="174003B1">
      <w:pPr>
        <w:autoSpaceDE w:val="0"/>
        <w:autoSpaceDN w:val="0"/>
        <w:spacing w:line="300" w:lineRule="auto"/>
        <w:ind w:left="480" w:firstLine="420"/>
        <w:rPr>
          <w:rFonts w:hint="eastAsia" w:ascii="宋体" w:hAnsi="宋体" w:cs="宋体"/>
          <w:color w:val="auto"/>
          <w:szCs w:val="21"/>
          <w:highlight w:val="none"/>
        </w:rPr>
      </w:pPr>
    </w:p>
    <w:p w14:paraId="3F87BB8A">
      <w:pPr>
        <w:autoSpaceDE w:val="0"/>
        <w:autoSpaceDN w:val="0"/>
        <w:spacing w:line="300" w:lineRule="auto"/>
        <w:ind w:left="480" w:firstLine="420"/>
        <w:rPr>
          <w:rFonts w:hint="eastAsia" w:ascii="宋体" w:hAnsi="宋体" w:cs="宋体"/>
          <w:color w:val="auto"/>
          <w:szCs w:val="21"/>
          <w:highlight w:val="none"/>
        </w:rPr>
      </w:pPr>
    </w:p>
    <w:p w14:paraId="5A65CF85">
      <w:pPr>
        <w:autoSpaceDE w:val="0"/>
        <w:autoSpaceDN w:val="0"/>
        <w:spacing w:line="300" w:lineRule="auto"/>
        <w:ind w:left="480" w:firstLine="420"/>
        <w:rPr>
          <w:rFonts w:hint="eastAsia" w:ascii="宋体" w:hAnsi="宋体" w:cs="宋体"/>
          <w:color w:val="auto"/>
          <w:szCs w:val="21"/>
          <w:highlight w:val="none"/>
        </w:rPr>
      </w:pPr>
    </w:p>
    <w:p w14:paraId="1BCC45DA">
      <w:pPr>
        <w:autoSpaceDE w:val="0"/>
        <w:autoSpaceDN w:val="0"/>
        <w:spacing w:line="300" w:lineRule="auto"/>
        <w:ind w:left="480" w:firstLine="420"/>
        <w:rPr>
          <w:rFonts w:hint="eastAsia" w:ascii="宋体" w:hAnsi="宋体" w:cs="宋体"/>
          <w:color w:val="auto"/>
          <w:szCs w:val="21"/>
          <w:highlight w:val="none"/>
        </w:rPr>
      </w:pPr>
    </w:p>
    <w:p w14:paraId="4A0B0804">
      <w:pPr>
        <w:autoSpaceDE w:val="0"/>
        <w:autoSpaceDN w:val="0"/>
        <w:spacing w:line="300" w:lineRule="auto"/>
        <w:ind w:left="480" w:firstLine="420"/>
        <w:rPr>
          <w:rFonts w:hint="eastAsia" w:ascii="宋体" w:hAnsi="宋体" w:cs="宋体"/>
          <w:color w:val="auto"/>
          <w:szCs w:val="21"/>
          <w:highlight w:val="none"/>
        </w:rPr>
      </w:pPr>
    </w:p>
    <w:p w14:paraId="4E24761F">
      <w:pPr>
        <w:autoSpaceDE w:val="0"/>
        <w:autoSpaceDN w:val="0"/>
        <w:spacing w:line="300" w:lineRule="auto"/>
        <w:ind w:left="480" w:firstLine="420"/>
        <w:rPr>
          <w:rFonts w:hint="eastAsia" w:ascii="宋体" w:hAnsi="宋体" w:cs="宋体"/>
          <w:color w:val="auto"/>
          <w:szCs w:val="21"/>
          <w:highlight w:val="none"/>
        </w:rPr>
      </w:pPr>
    </w:p>
    <w:p w14:paraId="195148F3">
      <w:pPr>
        <w:autoSpaceDE w:val="0"/>
        <w:autoSpaceDN w:val="0"/>
        <w:spacing w:line="300" w:lineRule="auto"/>
        <w:ind w:left="480" w:firstLine="420"/>
        <w:rPr>
          <w:rFonts w:hint="eastAsia" w:ascii="宋体" w:hAnsi="宋体" w:cs="宋体"/>
          <w:color w:val="auto"/>
          <w:szCs w:val="21"/>
          <w:highlight w:val="none"/>
        </w:rPr>
      </w:pPr>
    </w:p>
    <w:p w14:paraId="782BB911">
      <w:pPr>
        <w:autoSpaceDE w:val="0"/>
        <w:autoSpaceDN w:val="0"/>
        <w:spacing w:line="300" w:lineRule="auto"/>
        <w:ind w:left="480" w:firstLine="420"/>
        <w:rPr>
          <w:rFonts w:hint="eastAsia" w:ascii="宋体" w:hAnsi="宋体" w:cs="宋体"/>
          <w:color w:val="auto"/>
          <w:szCs w:val="21"/>
          <w:highlight w:val="none"/>
        </w:rPr>
      </w:pPr>
    </w:p>
    <w:p w14:paraId="02970CE5">
      <w:pPr>
        <w:autoSpaceDE w:val="0"/>
        <w:autoSpaceDN w:val="0"/>
        <w:spacing w:line="300" w:lineRule="auto"/>
        <w:ind w:left="480" w:firstLine="420"/>
        <w:rPr>
          <w:rFonts w:hint="eastAsia" w:ascii="宋体" w:hAnsi="宋体" w:cs="宋体"/>
          <w:color w:val="auto"/>
          <w:szCs w:val="21"/>
          <w:highlight w:val="none"/>
        </w:rPr>
      </w:pPr>
    </w:p>
    <w:p w14:paraId="7EEAAC5C">
      <w:pPr>
        <w:autoSpaceDE w:val="0"/>
        <w:autoSpaceDN w:val="0"/>
        <w:spacing w:line="300" w:lineRule="auto"/>
        <w:ind w:left="480" w:firstLine="420"/>
        <w:rPr>
          <w:rFonts w:hint="eastAsia" w:ascii="宋体" w:hAnsi="宋体" w:cs="宋体"/>
          <w:color w:val="auto"/>
          <w:szCs w:val="21"/>
          <w:highlight w:val="none"/>
        </w:rPr>
      </w:pPr>
    </w:p>
    <w:p w14:paraId="3117EE73">
      <w:pPr>
        <w:autoSpaceDE w:val="0"/>
        <w:autoSpaceDN w:val="0"/>
        <w:spacing w:line="300" w:lineRule="auto"/>
        <w:ind w:firstLine="0" w:firstLineChars="0"/>
        <w:rPr>
          <w:rFonts w:hint="eastAsia" w:ascii="宋体" w:hAnsi="宋体" w:cs="宋体"/>
          <w:color w:val="auto"/>
          <w:szCs w:val="21"/>
          <w:highlight w:val="none"/>
        </w:rPr>
      </w:pPr>
    </w:p>
    <w:p w14:paraId="3BEF51B9">
      <w:pPr>
        <w:pStyle w:val="3"/>
        <w:ind w:firstLine="0" w:firstLineChars="0"/>
        <w:jc w:val="center"/>
        <w:rPr>
          <w:rFonts w:hint="eastAsia" w:ascii="宋体" w:hAnsi="宋体" w:cs="宋体"/>
          <w:color w:val="auto"/>
          <w:highlight w:val="none"/>
          <w:lang w:eastAsia="zh-CN"/>
        </w:rPr>
      </w:pPr>
      <w:bookmarkStart w:id="156" w:name="_Hlt134528011"/>
      <w:bookmarkEnd w:id="156"/>
      <w:bookmarkStart w:id="157" w:name="_Hlt97194062"/>
      <w:bookmarkEnd w:id="157"/>
      <w:bookmarkStart w:id="158" w:name="_Hlt106033508"/>
      <w:bookmarkEnd w:id="158"/>
      <w:bookmarkStart w:id="159" w:name="_Toc3395206"/>
      <w:bookmarkStart w:id="160" w:name="_Toc28981"/>
      <w:r>
        <w:rPr>
          <w:rFonts w:hint="eastAsia" w:ascii="宋体" w:hAnsi="宋体" w:cs="宋体"/>
          <w:color w:val="auto"/>
          <w:highlight w:val="none"/>
        </w:rPr>
        <w:t>第六章 合同</w:t>
      </w:r>
      <w:bookmarkEnd w:id="159"/>
      <w:bookmarkEnd w:id="160"/>
    </w:p>
    <w:p w14:paraId="6310B5C9">
      <w:pPr>
        <w:ind w:firstLine="420"/>
        <w:rPr>
          <w:rFonts w:hint="eastAsia"/>
          <w:color w:val="auto"/>
          <w:highlight w:val="none"/>
        </w:rPr>
      </w:pPr>
    </w:p>
    <w:p w14:paraId="5A7780D8">
      <w:pPr>
        <w:ind w:firstLine="420"/>
        <w:rPr>
          <w:rFonts w:hint="eastAsia"/>
          <w:color w:val="auto"/>
          <w:highlight w:val="none"/>
        </w:rPr>
      </w:pPr>
    </w:p>
    <w:p w14:paraId="5EB75EF3">
      <w:pPr>
        <w:spacing w:line="600" w:lineRule="auto"/>
        <w:jc w:val="center"/>
        <w:rPr>
          <w:rFonts w:hint="eastAsia" w:ascii="宋体" w:hAnsi="宋体" w:eastAsia="宋体" w:cs="宋体"/>
          <w:color w:val="auto"/>
          <w:sz w:val="24"/>
          <w:szCs w:val="24"/>
          <w:highlight w:val="none"/>
          <w:u w:val="single"/>
          <w:lang w:val="en-US" w:eastAsia="zh-CN"/>
        </w:rPr>
      </w:pPr>
      <w:r>
        <w:rPr>
          <w:rFonts w:hint="eastAsia" w:hAnsi="宋体" w:cs="宋体"/>
          <w:b/>
          <w:color w:val="auto"/>
          <w:sz w:val="32"/>
          <w:szCs w:val="32"/>
          <w:highlight w:val="none"/>
        </w:rPr>
        <w:br w:type="page"/>
      </w:r>
      <w:r>
        <w:rPr>
          <w:rFonts w:hint="eastAsia" w:ascii="仿宋" w:hAnsi="仿宋" w:eastAsia="仿宋" w:cs="仿宋"/>
          <w:color w:val="auto"/>
          <w:sz w:val="24"/>
          <w:szCs w:val="24"/>
          <w:highlight w:val="none"/>
          <w:lang w:val="en-US" w:eastAsia="zh-CN"/>
        </w:rPr>
        <w:t xml:space="preserve">                                        合同编号：LRYJJHT2025</w:t>
      </w:r>
      <w:r>
        <w:rPr>
          <w:rFonts w:hint="eastAsia" w:ascii="仿宋" w:hAnsi="仿宋" w:eastAsia="仿宋" w:cs="仿宋"/>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6ECEA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color w:val="auto"/>
          <w:sz w:val="36"/>
          <w:szCs w:val="36"/>
          <w:highlight w:val="none"/>
        </w:rPr>
      </w:pPr>
      <w:r>
        <w:rPr>
          <w:rFonts w:hint="eastAsia"/>
          <w:b/>
          <w:color w:val="auto"/>
          <w:sz w:val="36"/>
          <w:szCs w:val="36"/>
          <w:highlight w:val="none"/>
          <w:lang w:val="en-US" w:eastAsia="zh-CN"/>
        </w:rPr>
        <w:t>柳州市人民</w:t>
      </w:r>
      <w:r>
        <w:rPr>
          <w:rFonts w:hint="eastAsia"/>
          <w:b/>
          <w:color w:val="auto"/>
          <w:sz w:val="36"/>
          <w:szCs w:val="36"/>
          <w:highlight w:val="none"/>
        </w:rPr>
        <w:t>医院污水处理服务</w:t>
      </w:r>
      <w:r>
        <w:rPr>
          <w:rFonts w:hint="eastAsia"/>
          <w:b/>
          <w:color w:val="auto"/>
          <w:sz w:val="36"/>
          <w:szCs w:val="36"/>
          <w:highlight w:val="none"/>
          <w:lang w:val="en-US" w:eastAsia="zh-CN"/>
        </w:rPr>
        <w:t>采购</w:t>
      </w:r>
      <w:r>
        <w:rPr>
          <w:rFonts w:hint="eastAsia"/>
          <w:b/>
          <w:color w:val="auto"/>
          <w:sz w:val="36"/>
          <w:szCs w:val="36"/>
          <w:highlight w:val="none"/>
        </w:rPr>
        <w:t>合同</w:t>
      </w:r>
    </w:p>
    <w:p w14:paraId="1C3C7411">
      <w:pPr>
        <w:rPr>
          <w:rFonts w:hint="eastAsia"/>
          <w:color w:val="auto"/>
          <w:sz w:val="28"/>
          <w:szCs w:val="28"/>
          <w:highlight w:val="none"/>
        </w:rPr>
      </w:pPr>
    </w:p>
    <w:p w14:paraId="256AB445">
      <w:pPr>
        <w:keepNext w:val="0"/>
        <w:keepLines w:val="0"/>
        <w:pageBreakBefore w:val="0"/>
        <w:kinsoku/>
        <w:wordWrap/>
        <w:overflowPunct/>
        <w:topLinePunct w:val="0"/>
        <w:autoSpaceDE/>
        <w:autoSpaceDN/>
        <w:bidi w:val="0"/>
        <w:adjustRightInd/>
        <w:spacing w:line="360" w:lineRule="auto"/>
        <w:textAlignment w:val="auto"/>
        <w:rPr>
          <w:color w:val="auto"/>
          <w:sz w:val="28"/>
          <w:szCs w:val="28"/>
          <w:highlight w:val="none"/>
        </w:rPr>
      </w:pPr>
      <w:r>
        <w:rPr>
          <w:rFonts w:hint="eastAsia"/>
          <w:color w:val="auto"/>
          <w:sz w:val="28"/>
          <w:szCs w:val="28"/>
          <w:highlight w:val="none"/>
        </w:rPr>
        <w:t>甲方：柳州市人民医院</w:t>
      </w:r>
    </w:p>
    <w:p w14:paraId="0DBAA5E2">
      <w:pPr>
        <w:keepNext w:val="0"/>
        <w:keepLines w:val="0"/>
        <w:pageBreakBefore w:val="0"/>
        <w:kinsoku/>
        <w:wordWrap/>
        <w:overflowPunct/>
        <w:topLinePunct w:val="0"/>
        <w:autoSpaceDE/>
        <w:autoSpaceDN/>
        <w:bidi w:val="0"/>
        <w:adjustRightInd/>
        <w:spacing w:line="360" w:lineRule="auto"/>
        <w:textAlignment w:val="auto"/>
        <w:rPr>
          <w:rFonts w:hint="default"/>
          <w:color w:val="auto"/>
          <w:sz w:val="28"/>
          <w:szCs w:val="28"/>
          <w:highlight w:val="none"/>
          <w:u w:val="single"/>
          <w:lang w:val="en-US" w:eastAsia="zh-CN"/>
        </w:rPr>
      </w:pPr>
      <w:r>
        <w:rPr>
          <w:rFonts w:hint="eastAsia"/>
          <w:color w:val="auto"/>
          <w:sz w:val="28"/>
          <w:szCs w:val="28"/>
          <w:highlight w:val="none"/>
        </w:rPr>
        <w:t>乙方：</w:t>
      </w:r>
      <w:r>
        <w:rPr>
          <w:rFonts w:hint="eastAsia"/>
          <w:color w:val="auto"/>
          <w:sz w:val="28"/>
          <w:szCs w:val="28"/>
          <w:highlight w:val="none"/>
          <w:u w:val="single"/>
          <w:lang w:val="en-US" w:eastAsia="zh-CN"/>
        </w:rPr>
        <w:t xml:space="preserve">              </w:t>
      </w:r>
    </w:p>
    <w:p w14:paraId="739500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《中华人民共和国政府采购法》、</w:t>
      </w:r>
      <w:r>
        <w:rPr>
          <w:rFonts w:hint="eastAsia" w:ascii="仿宋" w:hAnsi="仿宋" w:eastAsia="仿宋" w:cs="仿宋"/>
          <w:color w:val="auto"/>
          <w:sz w:val="24"/>
          <w:szCs w:val="24"/>
          <w:highlight w:val="none"/>
        </w:rPr>
        <w:t>《中华人民共和国民法典》等法律、法规规定，按照竞争性磋商文件（以下简称磋商文件）、响应文件规定条款和成交供应商的承诺、甲乙双方就柳州市人民医院污水处理服务项目签订本合同。</w:t>
      </w:r>
    </w:p>
    <w:p w14:paraId="1400FA55">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项目概况</w:t>
      </w:r>
    </w:p>
    <w:p w14:paraId="5B1E7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项目地点：柳州市文昌路8号柳州市人民医院 </w:t>
      </w:r>
    </w:p>
    <w:p w14:paraId="76ACE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项目内容：柳州市人民医院污水处理服务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w:t>
      </w:r>
    </w:p>
    <w:p w14:paraId="1695CF23">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color w:val="auto"/>
          <w:sz w:val="24"/>
          <w:szCs w:val="24"/>
          <w:highlight w:val="none"/>
          <w:lang w:val="en-US"/>
        </w:rPr>
      </w:pPr>
      <w:r>
        <w:rPr>
          <w:rFonts w:hint="eastAsia" w:ascii="仿宋" w:hAnsi="仿宋" w:eastAsia="仿宋" w:cs="仿宋"/>
          <w:b w:val="0"/>
          <w:bCs/>
          <w:color w:val="auto"/>
          <w:sz w:val="24"/>
          <w:szCs w:val="24"/>
          <w:highlight w:val="none"/>
          <w:lang w:val="en-US" w:eastAsia="zh-CN"/>
        </w:rPr>
        <w:t>（三）服务内容：</w:t>
      </w:r>
    </w:p>
    <w:p w14:paraId="54DD70F1">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乙方负责派遣具有相关操作证件的操作人员操作运行全套污水处理系统，确保</w:t>
      </w:r>
      <w:r>
        <w:rPr>
          <w:rFonts w:hint="eastAsia" w:ascii="仿宋" w:hAnsi="仿宋" w:eastAsia="仿宋" w:cs="仿宋"/>
          <w:b w:val="0"/>
          <w:bCs/>
          <w:color w:val="auto"/>
          <w:sz w:val="24"/>
          <w:szCs w:val="24"/>
          <w:highlight w:val="none"/>
          <w:lang w:val="en-US" w:eastAsia="zh-CN"/>
        </w:rPr>
        <w:t>甲方</w:t>
      </w:r>
      <w:r>
        <w:rPr>
          <w:rFonts w:hint="eastAsia" w:ascii="仿宋" w:hAnsi="仿宋" w:eastAsia="仿宋" w:cs="仿宋"/>
          <w:b w:val="0"/>
          <w:bCs/>
          <w:color w:val="auto"/>
          <w:sz w:val="24"/>
          <w:szCs w:val="24"/>
          <w:highlight w:val="none"/>
        </w:rPr>
        <w:t>排放的污水符合国家有关法规、医疗污水处理排放标准</w:t>
      </w:r>
      <w:r>
        <w:rPr>
          <w:rFonts w:hint="eastAsia" w:ascii="仿宋" w:hAnsi="仿宋" w:eastAsia="仿宋" w:cs="仿宋"/>
          <w:b w:val="0"/>
          <w:bCs/>
          <w:color w:val="auto"/>
          <w:sz w:val="24"/>
          <w:szCs w:val="24"/>
          <w:highlight w:val="none"/>
          <w:lang w:val="en-US" w:eastAsia="zh-CN"/>
        </w:rPr>
        <w:t>及</w:t>
      </w:r>
      <w:r>
        <w:rPr>
          <w:rFonts w:hint="eastAsia" w:ascii="仿宋" w:hAnsi="仿宋" w:eastAsia="仿宋" w:cs="仿宋"/>
          <w:b w:val="0"/>
          <w:bCs/>
          <w:color w:val="auto"/>
          <w:sz w:val="24"/>
          <w:szCs w:val="24"/>
          <w:highlight w:val="none"/>
        </w:rPr>
        <w:t>环保主管部门的要求。</w:t>
      </w:r>
    </w:p>
    <w:p w14:paraId="343DD27B">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乙方负责污水处理所需药剂的采购、运输、保管、投放等工作。</w:t>
      </w:r>
    </w:p>
    <w:p w14:paraId="72286266">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3、甲方目前污水处理系统的额定处理能力为：设计处理能力为2100吨/天，目前平均处理水量约为1400吨/天。</w:t>
      </w:r>
      <w:r>
        <w:rPr>
          <w:rFonts w:hint="eastAsia" w:ascii="仿宋" w:hAnsi="仿宋" w:eastAsia="仿宋" w:cs="仿宋"/>
          <w:b w:val="0"/>
          <w:bCs/>
          <w:color w:val="auto"/>
          <w:sz w:val="24"/>
          <w:szCs w:val="24"/>
          <w:highlight w:val="none"/>
        </w:rPr>
        <w:t>乙方负责污水处理设备的保养、维修等日常工作，同时根据需要调整/添置污水处理所需设备</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费用由乙方负责</w:t>
      </w:r>
      <w:r>
        <w:rPr>
          <w:rFonts w:hint="eastAsia" w:ascii="仿宋" w:hAnsi="仿宋" w:eastAsia="仿宋" w:cs="仿宋"/>
          <w:b w:val="0"/>
          <w:bCs/>
          <w:color w:val="auto"/>
          <w:sz w:val="24"/>
          <w:szCs w:val="24"/>
          <w:highlight w:val="none"/>
        </w:rPr>
        <w:t>。</w:t>
      </w:r>
    </w:p>
    <w:p w14:paraId="4F225E62">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乙方负责环保部门、卫监部门及上级部门工作检查中的汇报和答疑。</w:t>
      </w:r>
    </w:p>
    <w:p w14:paraId="6FE78B7A">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rPr>
        <w:t>乙方负责医院等级复审和评级工作中污水处理相关材料的准备。</w:t>
      </w:r>
    </w:p>
    <w:p w14:paraId="3E21EFFD">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合同期限：</w:t>
      </w:r>
      <w:r>
        <w:rPr>
          <w:rFonts w:hint="eastAsia" w:ascii="仿宋" w:hAnsi="仿宋" w:eastAsia="仿宋" w:cs="仿宋"/>
          <w:color w:val="auto"/>
          <w:sz w:val="24"/>
          <w:szCs w:val="24"/>
          <w:highlight w:val="none"/>
          <w:lang w:val="en-US" w:eastAsia="zh-CN"/>
        </w:rPr>
        <w:t>叁</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w:t>
      </w:r>
    </w:p>
    <w:p w14:paraId="37013F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三、合同价格、结算方式及其他费用</w:t>
      </w:r>
    </w:p>
    <w:p w14:paraId="0F77D6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olor w:val="auto"/>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合同</w:t>
      </w:r>
      <w:r>
        <w:rPr>
          <w:rFonts w:hint="eastAsia" w:ascii="仿宋" w:hAnsi="仿宋" w:eastAsia="仿宋" w:cs="仿宋"/>
          <w:b/>
          <w:color w:val="auto"/>
          <w:sz w:val="24"/>
          <w:szCs w:val="24"/>
          <w:highlight w:val="none"/>
          <w:lang w:val="en-US" w:eastAsia="zh-CN"/>
        </w:rPr>
        <w:t>价格</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本合同为固定单价合同，根据《成交通知书》的成交内容，</w:t>
      </w:r>
      <w:r>
        <w:rPr>
          <w:rFonts w:hint="eastAsia" w:ascii="仿宋" w:hAnsi="仿宋" w:eastAsia="仿宋" w:cs="仿宋"/>
          <w:b/>
          <w:color w:val="auto"/>
          <w:sz w:val="24"/>
          <w:szCs w:val="24"/>
          <w:highlight w:val="none"/>
        </w:rPr>
        <w:t>污水处理单价为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w:t>
      </w:r>
      <w:r>
        <w:rPr>
          <w:rFonts w:hint="eastAsia" w:ascii="仿宋" w:hAnsi="仿宋" w:eastAsia="仿宋" w:cs="仿宋"/>
          <w:b/>
          <w:color w:val="auto"/>
          <w:sz w:val="24"/>
          <w:szCs w:val="24"/>
          <w:highlight w:val="none"/>
        </w:rPr>
        <w:t>元/吨，</w:t>
      </w:r>
      <w:r>
        <w:rPr>
          <w:rFonts w:hint="eastAsia" w:ascii="仿宋" w:hAnsi="仿宋" w:eastAsia="仿宋" w:cs="仿宋"/>
          <w:color w:val="auto"/>
          <w:sz w:val="24"/>
          <w:szCs w:val="24"/>
          <w:highlight w:val="none"/>
        </w:rPr>
        <w:t>以实际处理污水量进行结算，合同期间单价不变，污水处理单价包含：污水处理所需药剂的采购、运输、保管费，人工费，税费，设备保养、增加、维修费等一切相关费用，不再另行增加费用。</w:t>
      </w:r>
    </w:p>
    <w:p w14:paraId="3E6A2CBF">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服务费</w:t>
      </w:r>
      <w:r>
        <w:rPr>
          <w:rFonts w:hint="eastAsia" w:ascii="仿宋" w:hAnsi="仿宋" w:eastAsia="仿宋" w:cs="仿宋"/>
          <w:b/>
          <w:color w:val="auto"/>
          <w:sz w:val="24"/>
          <w:szCs w:val="24"/>
          <w:highlight w:val="none"/>
          <w:lang w:val="en-US" w:eastAsia="zh-CN"/>
        </w:rPr>
        <w:t>及</w:t>
      </w:r>
      <w:r>
        <w:rPr>
          <w:rFonts w:hint="eastAsia" w:ascii="仿宋" w:hAnsi="仿宋" w:eastAsia="仿宋" w:cs="仿宋"/>
          <w:b/>
          <w:color w:val="auto"/>
          <w:sz w:val="24"/>
          <w:szCs w:val="24"/>
          <w:highlight w:val="none"/>
        </w:rPr>
        <w:t>结算方式：</w:t>
      </w:r>
    </w:p>
    <w:p w14:paraId="509120A3">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污水处理量核定：</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en-US" w:eastAsia="zh-CN"/>
        </w:rPr>
        <w:t>甲</w:t>
      </w:r>
      <w:r>
        <w:rPr>
          <w:rFonts w:hint="eastAsia" w:ascii="仿宋" w:hAnsi="仿宋" w:eastAsia="仿宋" w:cs="仿宋"/>
          <w:color w:val="auto"/>
          <w:sz w:val="24"/>
          <w:szCs w:val="24"/>
          <w:highlight w:val="none"/>
        </w:rPr>
        <w:t>方在线监测设备中污水流量表数据核定污水处理量。</w:t>
      </w:r>
    </w:p>
    <w:p w14:paraId="1527ACC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运营用水电量</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水电费核定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末甲乙双方共同抄表，核定用水用电量。甲方按照供电公司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自来水公司的水电</w:t>
      </w:r>
      <w:r>
        <w:rPr>
          <w:rFonts w:hint="eastAsia" w:ascii="仿宋" w:hAnsi="仿宋" w:eastAsia="仿宋" w:cs="仿宋"/>
          <w:color w:val="auto"/>
          <w:sz w:val="24"/>
          <w:szCs w:val="24"/>
          <w:highlight w:val="none"/>
          <w:lang w:val="en-US" w:eastAsia="zh-CN"/>
        </w:rPr>
        <w:t>单</w:t>
      </w:r>
      <w:r>
        <w:rPr>
          <w:rFonts w:hint="eastAsia" w:ascii="仿宋" w:hAnsi="仿宋" w:eastAsia="仿宋" w:cs="仿宋"/>
          <w:color w:val="auto"/>
          <w:sz w:val="24"/>
          <w:szCs w:val="24"/>
          <w:highlight w:val="none"/>
        </w:rPr>
        <w:t>价</w:t>
      </w:r>
      <w:r>
        <w:rPr>
          <w:rFonts w:hint="eastAsia" w:ascii="仿宋" w:hAnsi="仿宋" w:eastAsia="仿宋" w:cs="仿宋"/>
          <w:color w:val="auto"/>
          <w:sz w:val="24"/>
          <w:szCs w:val="24"/>
          <w:highlight w:val="none"/>
          <w:lang w:val="en-US" w:eastAsia="zh-CN"/>
        </w:rPr>
        <w:t>及抄表水电用量</w:t>
      </w:r>
      <w:r>
        <w:rPr>
          <w:rFonts w:hint="eastAsia" w:ascii="仿宋" w:hAnsi="仿宋" w:eastAsia="仿宋" w:cs="仿宋"/>
          <w:color w:val="auto"/>
          <w:sz w:val="24"/>
          <w:szCs w:val="24"/>
          <w:highlight w:val="none"/>
        </w:rPr>
        <w:t>计算</w:t>
      </w:r>
      <w:r>
        <w:rPr>
          <w:rFonts w:hint="eastAsia" w:ascii="仿宋" w:hAnsi="仿宋" w:eastAsia="仿宋" w:cs="仿宋"/>
          <w:color w:val="auto"/>
          <w:sz w:val="24"/>
          <w:szCs w:val="24"/>
          <w:highlight w:val="none"/>
          <w:lang w:val="en-US" w:eastAsia="zh-CN"/>
        </w:rPr>
        <w:t>应向</w:t>
      </w:r>
      <w:r>
        <w:rPr>
          <w:rFonts w:hint="eastAsia" w:ascii="仿宋" w:hAnsi="仿宋" w:eastAsia="仿宋" w:cs="仿宋"/>
          <w:color w:val="auto"/>
          <w:sz w:val="24"/>
          <w:szCs w:val="24"/>
          <w:highlight w:val="none"/>
        </w:rPr>
        <w:t>乙方收取</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运营用水电费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水电费在该季度应支付服务费中扣除。</w:t>
      </w:r>
    </w:p>
    <w:p w14:paraId="151D8A7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服务费结算方式</w:t>
      </w:r>
      <w:r>
        <w:rPr>
          <w:rFonts w:hint="eastAsia" w:ascii="仿宋" w:hAnsi="仿宋" w:eastAsia="仿宋" w:cs="仿宋"/>
          <w:b/>
          <w:color w:val="auto"/>
          <w:sz w:val="24"/>
          <w:szCs w:val="24"/>
          <w:highlight w:val="none"/>
          <w:lang w:eastAsia="zh-CN"/>
        </w:rPr>
        <w:t>：</w:t>
      </w: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支付一次</w:t>
      </w:r>
      <w:r>
        <w:rPr>
          <w:rFonts w:hint="eastAsia" w:ascii="仿宋" w:hAnsi="仿宋" w:eastAsia="仿宋" w:cs="仿宋"/>
          <w:color w:val="auto"/>
          <w:sz w:val="24"/>
          <w:szCs w:val="24"/>
          <w:highlight w:val="none"/>
          <w:lang w:eastAsia="zh-CN"/>
        </w:rPr>
        <w:t>，本项目为固定单价项目，</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lang w:eastAsia="zh-CN"/>
        </w:rPr>
        <w:t>服务费以</w:t>
      </w:r>
      <w:r>
        <w:rPr>
          <w:rFonts w:hint="eastAsia" w:ascii="仿宋" w:hAnsi="仿宋" w:eastAsia="仿宋" w:cs="仿宋"/>
          <w:color w:val="auto"/>
          <w:sz w:val="24"/>
          <w:szCs w:val="24"/>
          <w:highlight w:val="none"/>
          <w:lang w:val="en-US" w:eastAsia="zh-CN"/>
        </w:rPr>
        <w:t>实际处理污水量</w:t>
      </w:r>
      <w:r>
        <w:rPr>
          <w:rFonts w:hint="eastAsia" w:ascii="仿宋" w:hAnsi="仿宋" w:eastAsia="仿宋" w:cs="仿宋"/>
          <w:color w:val="auto"/>
          <w:sz w:val="24"/>
          <w:szCs w:val="24"/>
          <w:highlight w:val="none"/>
          <w:lang w:eastAsia="zh-CN"/>
        </w:rPr>
        <w:t>及服务质量考核结果进行结算，甲方有权在</w:t>
      </w:r>
      <w:r>
        <w:rPr>
          <w:rFonts w:hint="eastAsia" w:ascii="仿宋" w:hAnsi="仿宋" w:eastAsia="仿宋" w:cs="仿宋"/>
          <w:color w:val="auto"/>
          <w:sz w:val="24"/>
          <w:szCs w:val="24"/>
          <w:highlight w:val="none"/>
          <w:lang w:val="en-US" w:eastAsia="zh-CN"/>
        </w:rPr>
        <w:t>季度污水处理</w:t>
      </w:r>
      <w:r>
        <w:rPr>
          <w:rFonts w:hint="eastAsia" w:ascii="仿宋" w:hAnsi="仿宋" w:eastAsia="仿宋" w:cs="仿宋"/>
          <w:color w:val="auto"/>
          <w:sz w:val="24"/>
          <w:szCs w:val="24"/>
          <w:highlight w:val="none"/>
          <w:lang w:eastAsia="zh-CN"/>
        </w:rPr>
        <w:t>服务费基础上，根据乙方</w:t>
      </w:r>
      <w:r>
        <w:rPr>
          <w:rFonts w:hint="eastAsia" w:ascii="仿宋" w:hAnsi="仿宋" w:eastAsia="仿宋" w:cs="仿宋"/>
          <w:color w:val="auto"/>
          <w:sz w:val="24"/>
          <w:szCs w:val="24"/>
          <w:highlight w:val="none"/>
          <w:lang w:val="en-US" w:eastAsia="zh-CN"/>
        </w:rPr>
        <w:t>每月</w:t>
      </w:r>
      <w:r>
        <w:rPr>
          <w:rFonts w:hint="eastAsia" w:ascii="仿宋" w:hAnsi="仿宋" w:eastAsia="仿宋" w:cs="仿宋"/>
          <w:color w:val="auto"/>
          <w:sz w:val="24"/>
          <w:szCs w:val="24"/>
          <w:highlight w:val="none"/>
          <w:lang w:eastAsia="zh-CN"/>
        </w:rPr>
        <w:t>服务质量考核</w:t>
      </w:r>
      <w:r>
        <w:rPr>
          <w:rFonts w:hint="eastAsia" w:ascii="仿宋" w:hAnsi="仿宋" w:eastAsia="仿宋" w:cs="仿宋"/>
          <w:color w:val="auto"/>
          <w:sz w:val="24"/>
          <w:szCs w:val="24"/>
          <w:highlight w:val="none"/>
          <w:lang w:val="en-US" w:eastAsia="zh-CN"/>
        </w:rPr>
        <w:t>结果</w:t>
      </w:r>
      <w:r>
        <w:rPr>
          <w:rFonts w:hint="eastAsia" w:ascii="仿宋" w:hAnsi="仿宋" w:eastAsia="仿宋" w:cs="仿宋"/>
          <w:color w:val="auto"/>
          <w:sz w:val="24"/>
          <w:szCs w:val="24"/>
          <w:highlight w:val="none"/>
          <w:lang w:eastAsia="zh-CN"/>
        </w:rPr>
        <w:t>确定当</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lang w:eastAsia="zh-CN"/>
        </w:rPr>
        <w:t>服务费结算金额。</w:t>
      </w:r>
      <w:r>
        <w:rPr>
          <w:rFonts w:hint="eastAsia" w:ascii="仿宋" w:hAnsi="仿宋" w:eastAsia="仿宋" w:cs="仿宋"/>
          <w:color w:val="auto"/>
          <w:sz w:val="24"/>
          <w:szCs w:val="24"/>
          <w:highlight w:val="none"/>
        </w:rPr>
        <w:t>乙方在</w:t>
      </w:r>
      <w:r>
        <w:rPr>
          <w:rFonts w:hint="eastAsia" w:ascii="仿宋" w:hAnsi="仿宋" w:eastAsia="仿宋" w:cs="仿宋"/>
          <w:color w:val="auto"/>
          <w:sz w:val="24"/>
          <w:szCs w:val="24"/>
          <w:highlight w:val="none"/>
          <w:lang w:eastAsia="zh-CN"/>
        </w:rPr>
        <w:t>每月</w:t>
      </w:r>
      <w:r>
        <w:rPr>
          <w:rFonts w:hint="eastAsia" w:ascii="仿宋" w:hAnsi="仿宋" w:eastAsia="仿宋" w:cs="仿宋"/>
          <w:color w:val="auto"/>
          <w:sz w:val="24"/>
          <w:szCs w:val="24"/>
          <w:highlight w:val="none"/>
        </w:rPr>
        <w:t>初向甲方开具上一季度</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费增值税</w:t>
      </w:r>
      <w:r>
        <w:rPr>
          <w:rFonts w:hint="eastAsia" w:ascii="仿宋" w:hAnsi="仿宋" w:eastAsia="仿宋" w:cs="仿宋"/>
          <w:color w:val="auto"/>
          <w:sz w:val="24"/>
          <w:szCs w:val="24"/>
          <w:highlight w:val="none"/>
          <w:lang w:val="en-US" w:eastAsia="zh-CN"/>
        </w:rPr>
        <w:t>专用</w:t>
      </w:r>
      <w:r>
        <w:rPr>
          <w:rFonts w:hint="eastAsia" w:ascii="仿宋" w:hAnsi="仿宋" w:eastAsia="仿宋" w:cs="仿宋"/>
          <w:color w:val="auto"/>
          <w:sz w:val="24"/>
          <w:szCs w:val="24"/>
          <w:highlight w:val="none"/>
        </w:rPr>
        <w:t>发票，甲方应在收到发票后将上</w:t>
      </w:r>
      <w:r>
        <w:rPr>
          <w:rFonts w:hint="eastAsia" w:ascii="仿宋" w:hAnsi="仿宋" w:eastAsia="仿宋" w:cs="仿宋"/>
          <w:color w:val="auto"/>
          <w:sz w:val="24"/>
          <w:szCs w:val="24"/>
          <w:highlight w:val="none"/>
          <w:lang w:val="en-US" w:eastAsia="zh-CN"/>
        </w:rPr>
        <w:t>季度</w:t>
      </w:r>
      <w:r>
        <w:rPr>
          <w:rFonts w:hint="eastAsia" w:ascii="仿宋" w:hAnsi="仿宋" w:eastAsia="仿宋" w:cs="仿宋"/>
          <w:color w:val="auto"/>
          <w:sz w:val="24"/>
          <w:szCs w:val="24"/>
          <w:highlight w:val="none"/>
        </w:rPr>
        <w:t>服务费转到乙方指定的帐户上：</w:t>
      </w:r>
    </w:p>
    <w:p w14:paraId="55231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纳税人名称  ：</w:t>
      </w:r>
      <w:r>
        <w:rPr>
          <w:rFonts w:hint="eastAsia" w:ascii="仿宋" w:hAnsi="仿宋" w:eastAsia="仿宋" w:cs="仿宋"/>
          <w:color w:val="auto"/>
          <w:kern w:val="2"/>
          <w:sz w:val="24"/>
          <w:szCs w:val="24"/>
          <w:highlight w:val="none"/>
          <w:u w:val="single"/>
          <w:lang w:val="en-US" w:eastAsia="zh-CN" w:bidi="ar-SA"/>
        </w:rPr>
        <w:t xml:space="preserve">                   </w:t>
      </w:r>
    </w:p>
    <w:p w14:paraId="0A0E3A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纳税人识别号：</w:t>
      </w:r>
      <w:r>
        <w:rPr>
          <w:rFonts w:hint="eastAsia" w:ascii="仿宋" w:hAnsi="仿宋" w:eastAsia="仿宋" w:cs="仿宋"/>
          <w:color w:val="auto"/>
          <w:kern w:val="2"/>
          <w:sz w:val="24"/>
          <w:szCs w:val="24"/>
          <w:highlight w:val="none"/>
          <w:u w:val="single"/>
          <w:lang w:val="en-US" w:eastAsia="zh-CN" w:bidi="ar-SA"/>
        </w:rPr>
        <w:t xml:space="preserve">                   </w:t>
      </w:r>
    </w:p>
    <w:p w14:paraId="3A014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   户   行：</w:t>
      </w:r>
      <w:r>
        <w:rPr>
          <w:rFonts w:hint="eastAsia" w:ascii="仿宋" w:hAnsi="仿宋" w:eastAsia="仿宋" w:cs="仿宋"/>
          <w:color w:val="auto"/>
          <w:kern w:val="2"/>
          <w:sz w:val="24"/>
          <w:szCs w:val="24"/>
          <w:highlight w:val="none"/>
          <w:u w:val="single"/>
          <w:lang w:val="en-US" w:eastAsia="zh-CN" w:bidi="ar-SA"/>
        </w:rPr>
        <w:t xml:space="preserve">                   </w:t>
      </w:r>
    </w:p>
    <w:p w14:paraId="7DE54852">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账        号：</w:t>
      </w:r>
      <w:r>
        <w:rPr>
          <w:rFonts w:hint="eastAsia" w:ascii="仿宋" w:hAnsi="仿宋" w:eastAsia="仿宋" w:cs="仿宋"/>
          <w:color w:val="auto"/>
          <w:kern w:val="2"/>
          <w:sz w:val="24"/>
          <w:szCs w:val="24"/>
          <w:highlight w:val="none"/>
          <w:u w:val="single"/>
          <w:lang w:val="en-US" w:eastAsia="zh-CN" w:bidi="ar-SA"/>
        </w:rPr>
        <w:t xml:space="preserve">                   </w:t>
      </w:r>
    </w:p>
    <w:p w14:paraId="3A461454">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（三）其他费用及税费约定：</w:t>
      </w:r>
    </w:p>
    <w:p w14:paraId="002B9FD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有关部门进行正常监测的费用由甲方承担，出现监测不合格时进行补测的费用由乙方承担。</w:t>
      </w:r>
    </w:p>
    <w:p w14:paraId="3CA19C4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本合同执行中相关的一切税费均由乙方负担。</w:t>
      </w:r>
    </w:p>
    <w:p w14:paraId="118E808F">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服务</w:t>
      </w:r>
      <w:r>
        <w:rPr>
          <w:rFonts w:hint="eastAsia" w:ascii="仿宋" w:hAnsi="仿宋" w:eastAsia="仿宋" w:cs="仿宋"/>
          <w:b/>
          <w:color w:val="auto"/>
          <w:sz w:val="24"/>
          <w:szCs w:val="24"/>
          <w:highlight w:val="none"/>
          <w:lang w:val="en-US" w:eastAsia="zh-CN"/>
        </w:rPr>
        <w:t>质量</w:t>
      </w:r>
      <w:r>
        <w:rPr>
          <w:rFonts w:hint="eastAsia" w:ascii="仿宋" w:hAnsi="仿宋" w:eastAsia="仿宋" w:cs="仿宋"/>
          <w:b/>
          <w:color w:val="auto"/>
          <w:sz w:val="24"/>
          <w:szCs w:val="24"/>
          <w:highlight w:val="none"/>
        </w:rPr>
        <w:t>要求</w:t>
      </w:r>
    </w:p>
    <w:p w14:paraId="6BA30F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乙方提供的服务质量应遵循以下原则执行：</w:t>
      </w:r>
    </w:p>
    <w:p w14:paraId="566DD4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1、本合同约定；</w:t>
      </w:r>
    </w:p>
    <w:p w14:paraId="0FFD70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2、合同附件《柳州市人民医院</w:t>
      </w:r>
      <w:r>
        <w:rPr>
          <w:rFonts w:hint="eastAsia" w:ascii="仿宋" w:hAnsi="仿宋" w:eastAsia="仿宋" w:cs="仿宋"/>
          <w:color w:val="auto"/>
          <w:sz w:val="24"/>
          <w:szCs w:val="24"/>
          <w:highlight w:val="none"/>
          <w:lang w:val="en-US" w:eastAsia="zh-CN"/>
        </w:rPr>
        <w:t>污水处理</w:t>
      </w:r>
      <w:r>
        <w:rPr>
          <w:rFonts w:hint="eastAsia" w:ascii="仿宋" w:hAnsi="仿宋" w:eastAsia="仿宋" w:cs="仿宋"/>
          <w:color w:val="auto"/>
          <w:sz w:val="24"/>
          <w:szCs w:val="24"/>
          <w:highlight w:val="none"/>
          <w:lang w:eastAsia="zh-CN"/>
        </w:rPr>
        <w:t>服务质量要求》（附件1）约定内容；</w:t>
      </w:r>
    </w:p>
    <w:p w14:paraId="3BF123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3、竞争性磋商文件及响应文件中的服务承诺。 </w:t>
      </w:r>
    </w:p>
    <w:p w14:paraId="26109BD1">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五、服务工作交接及设备资产处置</w:t>
      </w:r>
    </w:p>
    <w:p w14:paraId="70F3470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color w:val="auto"/>
          <w:sz w:val="24"/>
          <w:szCs w:val="24"/>
          <w:highlight w:val="none"/>
          <w:lang w:val="en-US" w:eastAsia="zh-CN"/>
        </w:rPr>
        <w:t>合同签订之日起5日内，</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整理</w:t>
      </w:r>
      <w:r>
        <w:rPr>
          <w:rFonts w:hint="eastAsia" w:ascii="仿宋" w:hAnsi="仿宋" w:eastAsia="仿宋" w:cs="仿宋"/>
          <w:color w:val="auto"/>
          <w:sz w:val="24"/>
          <w:szCs w:val="24"/>
          <w:highlight w:val="none"/>
        </w:rPr>
        <w:t>本项目地点内现有的</w:t>
      </w:r>
      <w:r>
        <w:rPr>
          <w:rFonts w:hint="eastAsia" w:ascii="仿宋" w:hAnsi="仿宋" w:eastAsia="仿宋" w:cs="仿宋"/>
          <w:color w:val="auto"/>
          <w:sz w:val="24"/>
          <w:szCs w:val="24"/>
          <w:highlight w:val="none"/>
          <w:lang w:val="en-US" w:eastAsia="zh-CN"/>
        </w:rPr>
        <w:t>建筑物、</w:t>
      </w:r>
      <w:r>
        <w:rPr>
          <w:rFonts w:hint="eastAsia" w:ascii="仿宋" w:hAnsi="仿宋" w:eastAsia="仿宋" w:cs="仿宋"/>
          <w:color w:val="auto"/>
          <w:sz w:val="24"/>
          <w:szCs w:val="24"/>
          <w:highlight w:val="none"/>
        </w:rPr>
        <w:t>设备</w:t>
      </w:r>
      <w:r>
        <w:rPr>
          <w:rFonts w:hint="eastAsia" w:ascii="仿宋" w:hAnsi="仿宋" w:eastAsia="仿宋" w:cs="仿宋"/>
          <w:color w:val="auto"/>
          <w:sz w:val="24"/>
          <w:szCs w:val="24"/>
          <w:highlight w:val="none"/>
          <w:lang w:val="en-US" w:eastAsia="zh-CN"/>
        </w:rPr>
        <w:t>设施及</w:t>
      </w:r>
      <w:r>
        <w:rPr>
          <w:rFonts w:hint="eastAsia" w:ascii="仿宋" w:hAnsi="仿宋" w:eastAsia="仿宋" w:cs="仿宋"/>
          <w:color w:val="auto"/>
          <w:sz w:val="24"/>
          <w:szCs w:val="24"/>
          <w:highlight w:val="none"/>
        </w:rPr>
        <w:t>物品</w:t>
      </w:r>
      <w:r>
        <w:rPr>
          <w:rFonts w:hint="eastAsia" w:ascii="仿宋" w:hAnsi="仿宋" w:eastAsia="仿宋" w:cs="仿宋"/>
          <w:color w:val="auto"/>
          <w:sz w:val="24"/>
          <w:szCs w:val="24"/>
          <w:highlight w:val="none"/>
          <w:lang w:val="en-US" w:eastAsia="zh-CN"/>
        </w:rPr>
        <w:t>清单</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组织乙方到场</w:t>
      </w:r>
      <w:r>
        <w:rPr>
          <w:rFonts w:hint="eastAsia" w:ascii="仿宋" w:hAnsi="仿宋" w:eastAsia="仿宋" w:cs="仿宋"/>
          <w:color w:val="auto"/>
          <w:sz w:val="24"/>
          <w:szCs w:val="24"/>
          <w:highlight w:val="none"/>
        </w:rPr>
        <w:t>核对清单并检查相关</w:t>
      </w:r>
      <w:r>
        <w:rPr>
          <w:rFonts w:hint="eastAsia" w:ascii="仿宋" w:hAnsi="仿宋" w:eastAsia="仿宋" w:cs="仿宋"/>
          <w:color w:val="auto"/>
          <w:sz w:val="24"/>
          <w:szCs w:val="24"/>
          <w:highlight w:val="none"/>
          <w:lang w:val="en-US" w:eastAsia="zh-CN"/>
        </w:rPr>
        <w:t>建筑物、</w:t>
      </w:r>
      <w:r>
        <w:rPr>
          <w:rFonts w:hint="eastAsia" w:ascii="仿宋" w:hAnsi="仿宋" w:eastAsia="仿宋" w:cs="仿宋"/>
          <w:color w:val="auto"/>
          <w:sz w:val="24"/>
          <w:szCs w:val="24"/>
          <w:highlight w:val="none"/>
        </w:rPr>
        <w:t>设备</w:t>
      </w:r>
      <w:r>
        <w:rPr>
          <w:rFonts w:hint="eastAsia" w:ascii="仿宋" w:hAnsi="仿宋" w:eastAsia="仿宋" w:cs="仿宋"/>
          <w:color w:val="auto"/>
          <w:sz w:val="24"/>
          <w:szCs w:val="24"/>
          <w:highlight w:val="none"/>
          <w:lang w:val="en-US" w:eastAsia="zh-CN"/>
        </w:rPr>
        <w:t>设施</w:t>
      </w:r>
      <w:r>
        <w:rPr>
          <w:rFonts w:hint="eastAsia" w:ascii="仿宋" w:hAnsi="仿宋" w:eastAsia="仿宋" w:cs="仿宋"/>
          <w:color w:val="auto"/>
          <w:sz w:val="24"/>
          <w:szCs w:val="24"/>
          <w:highlight w:val="none"/>
        </w:rPr>
        <w:t>、物品等完好</w:t>
      </w:r>
      <w:r>
        <w:rPr>
          <w:rFonts w:hint="eastAsia" w:ascii="仿宋" w:hAnsi="仿宋" w:eastAsia="仿宋" w:cs="仿宋"/>
          <w:color w:val="auto"/>
          <w:sz w:val="24"/>
          <w:szCs w:val="24"/>
          <w:highlight w:val="none"/>
          <w:lang w:val="en-US" w:eastAsia="zh-CN"/>
        </w:rPr>
        <w:t>情况及运行</w:t>
      </w:r>
      <w:r>
        <w:rPr>
          <w:rFonts w:hint="eastAsia" w:ascii="仿宋" w:hAnsi="仿宋" w:eastAsia="仿宋" w:cs="仿宋"/>
          <w:color w:val="auto"/>
          <w:sz w:val="24"/>
          <w:szCs w:val="24"/>
          <w:highlight w:val="none"/>
        </w:rPr>
        <w:t>情况，</w:t>
      </w:r>
      <w:r>
        <w:rPr>
          <w:rFonts w:hint="eastAsia" w:ascii="仿宋" w:hAnsi="仿宋" w:eastAsia="仿宋" w:cs="仿宋"/>
          <w:color w:val="auto"/>
          <w:sz w:val="24"/>
          <w:szCs w:val="24"/>
          <w:highlight w:val="none"/>
          <w:lang w:val="en-US" w:eastAsia="zh-CN"/>
        </w:rPr>
        <w:t>清点，核对无误后双方签字</w:t>
      </w:r>
      <w:r>
        <w:rPr>
          <w:rFonts w:hint="eastAsia" w:ascii="仿宋" w:hAnsi="仿宋" w:eastAsia="仿宋" w:cs="仿宋"/>
          <w:color w:val="auto"/>
          <w:sz w:val="24"/>
          <w:szCs w:val="24"/>
          <w:highlight w:val="none"/>
        </w:rPr>
        <w:t>确认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完成移交</w:t>
      </w:r>
      <w:r>
        <w:rPr>
          <w:rFonts w:hint="eastAsia" w:ascii="仿宋" w:hAnsi="仿宋" w:eastAsia="仿宋" w:cs="仿宋"/>
          <w:color w:val="auto"/>
          <w:sz w:val="24"/>
          <w:szCs w:val="24"/>
          <w:highlight w:val="none"/>
          <w:lang w:eastAsia="zh-CN"/>
        </w:rPr>
        <w:t>。</w:t>
      </w:r>
    </w:p>
    <w:p w14:paraId="2776280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服务期满之日起5日内，甲乙双方现场清点、核对甲方原有设备设施、物品数量并对交接情况进行详细记录。</w:t>
      </w:r>
    </w:p>
    <w:p w14:paraId="1B2C86E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乙方交还的建筑物和设备设施应保证合理的折旧水平，其中建筑物的使用年限为50年，污水处理主体设备（投药控制主机、次氯酸钠发生器、在线监测设备、除臭装置等）使用年限为20年，其它标准设备（如水泵、电器设备、水电线路等）使用年限参照国家的有关规定。</w:t>
      </w:r>
    </w:p>
    <w:p w14:paraId="4BB9A90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（四）经甲乙双方认可且核对无误后双方签字确认，完成移交。</w:t>
      </w:r>
    </w:p>
    <w:p w14:paraId="4E233CCE">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期间，如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因自身需要对设备进行升级、换代和添加新设备，</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期满后，乙方投入且预计仍可以正常使用五年以上的设备，甲方可接收购入，支付价格由评估公司评估，不超过原价的50%。</w:t>
      </w:r>
    </w:p>
    <w:p w14:paraId="1DE3C67E">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双方权利与</w:t>
      </w:r>
      <w:r>
        <w:rPr>
          <w:rFonts w:hint="eastAsia" w:ascii="仿宋" w:hAnsi="仿宋" w:eastAsia="仿宋" w:cs="仿宋"/>
          <w:b/>
          <w:color w:val="auto"/>
          <w:sz w:val="24"/>
          <w:szCs w:val="24"/>
          <w:highlight w:val="none"/>
          <w:lang w:val="en-US" w:eastAsia="zh-CN"/>
        </w:rPr>
        <w:t>义务</w:t>
      </w:r>
    </w:p>
    <w:p w14:paraId="6DEF1A4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甲方权利与</w:t>
      </w:r>
      <w:r>
        <w:rPr>
          <w:rFonts w:hint="eastAsia" w:ascii="仿宋" w:hAnsi="仿宋" w:eastAsia="仿宋" w:cs="仿宋"/>
          <w:b/>
          <w:color w:val="auto"/>
          <w:sz w:val="24"/>
          <w:szCs w:val="24"/>
          <w:highlight w:val="none"/>
          <w:lang w:val="en-US" w:eastAsia="zh-CN"/>
        </w:rPr>
        <w:t>义务</w:t>
      </w:r>
    </w:p>
    <w:p w14:paraId="602571E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val="en-US" w:eastAsia="zh-CN"/>
        </w:rPr>
        <w:t>负责提供</w:t>
      </w:r>
      <w:r>
        <w:rPr>
          <w:rFonts w:hint="eastAsia" w:ascii="仿宋" w:hAnsi="仿宋" w:eastAsia="仿宋" w:cs="仿宋"/>
          <w:color w:val="auto"/>
          <w:sz w:val="24"/>
          <w:szCs w:val="24"/>
          <w:highlight w:val="none"/>
        </w:rPr>
        <w:t>现有污水处理站</w:t>
      </w:r>
      <w:r>
        <w:rPr>
          <w:rFonts w:hint="eastAsia" w:ascii="仿宋" w:hAnsi="仿宋" w:eastAsia="仿宋" w:cs="仿宋"/>
          <w:color w:val="auto"/>
          <w:sz w:val="24"/>
          <w:szCs w:val="24"/>
          <w:highlight w:val="none"/>
          <w:lang w:val="en-US" w:eastAsia="zh-CN"/>
        </w:rPr>
        <w:t>内设备</w:t>
      </w:r>
      <w:r>
        <w:rPr>
          <w:rFonts w:hint="eastAsia" w:ascii="仿宋" w:hAnsi="仿宋" w:eastAsia="仿宋" w:cs="仿宋"/>
          <w:color w:val="auto"/>
          <w:sz w:val="24"/>
          <w:szCs w:val="24"/>
          <w:highlight w:val="none"/>
        </w:rPr>
        <w:t>设施</w:t>
      </w:r>
      <w:r>
        <w:rPr>
          <w:rFonts w:hint="eastAsia" w:ascii="仿宋" w:hAnsi="仿宋" w:eastAsia="仿宋" w:cs="仿宋"/>
          <w:color w:val="auto"/>
          <w:sz w:val="24"/>
          <w:szCs w:val="24"/>
          <w:highlight w:val="none"/>
          <w:lang w:val="en-US" w:eastAsia="zh-CN"/>
        </w:rPr>
        <w:t>及物品</w:t>
      </w:r>
      <w:r>
        <w:rPr>
          <w:rFonts w:hint="eastAsia" w:ascii="仿宋" w:hAnsi="仿宋" w:eastAsia="仿宋" w:cs="仿宋"/>
          <w:color w:val="auto"/>
          <w:sz w:val="24"/>
          <w:szCs w:val="24"/>
          <w:highlight w:val="none"/>
        </w:rPr>
        <w:t>供乙方使用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服务期内不收取使用费</w:t>
      </w:r>
      <w:r>
        <w:rPr>
          <w:rFonts w:hint="eastAsia" w:ascii="仿宋" w:hAnsi="仿宋" w:eastAsia="仿宋" w:cs="仿宋"/>
          <w:color w:val="auto"/>
          <w:sz w:val="24"/>
          <w:szCs w:val="24"/>
          <w:highlight w:val="none"/>
          <w:lang w:eastAsia="zh-CN"/>
        </w:rPr>
        <w:t>。</w:t>
      </w:r>
    </w:p>
    <w:p w14:paraId="749841F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按合同约定向乙方支付服务费用。</w:t>
      </w:r>
    </w:p>
    <w:p w14:paraId="148B015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3、甲方有权制定和修订服务质量考核标准和扣罚办法，并对乙方落实合同、相关管理制度情况及</w:t>
      </w:r>
      <w:r>
        <w:rPr>
          <w:rFonts w:hint="eastAsia" w:ascii="仿宋" w:hAnsi="仿宋" w:eastAsia="仿宋" w:cs="仿宋"/>
          <w:color w:val="auto"/>
          <w:sz w:val="24"/>
          <w:szCs w:val="24"/>
          <w:highlight w:val="none"/>
        </w:rPr>
        <w:t>水处理站的运行情况</w:t>
      </w:r>
      <w:r>
        <w:rPr>
          <w:rFonts w:hint="eastAsia" w:ascii="仿宋" w:hAnsi="仿宋" w:eastAsia="仿宋" w:cs="仿宋"/>
          <w:color w:val="auto"/>
          <w:sz w:val="24"/>
          <w:szCs w:val="24"/>
          <w:highlight w:val="none"/>
          <w:lang w:val="en-US" w:eastAsia="zh-CN"/>
        </w:rPr>
        <w:t>进行监督检查，同时对</w:t>
      </w:r>
      <w:r>
        <w:rPr>
          <w:rFonts w:hint="eastAsia" w:ascii="仿宋" w:hAnsi="仿宋" w:eastAsia="仿宋" w:cs="仿宋"/>
          <w:color w:val="auto"/>
          <w:sz w:val="24"/>
          <w:szCs w:val="24"/>
          <w:highlight w:val="none"/>
        </w:rPr>
        <w:t>乙方服务质量进行</w:t>
      </w:r>
      <w:r>
        <w:rPr>
          <w:rFonts w:hint="eastAsia" w:ascii="仿宋" w:hAnsi="仿宋" w:eastAsia="仿宋" w:cs="仿宋"/>
          <w:color w:val="auto"/>
          <w:sz w:val="24"/>
          <w:szCs w:val="24"/>
          <w:highlight w:val="none"/>
          <w:lang w:eastAsia="zh-CN"/>
        </w:rPr>
        <w:t>每月</w:t>
      </w:r>
      <w:r>
        <w:rPr>
          <w:rFonts w:hint="eastAsia" w:ascii="仿宋" w:hAnsi="仿宋" w:eastAsia="仿宋" w:cs="仿宋"/>
          <w:color w:val="auto"/>
          <w:sz w:val="24"/>
          <w:szCs w:val="24"/>
          <w:highlight w:val="none"/>
        </w:rPr>
        <w:t>考核。</w:t>
      </w:r>
    </w:p>
    <w:p w14:paraId="334DDA3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4、甲方有权根据乙方的考核和管理情况，要求乙方对管理人员及服务人员进行再次业务培训。</w:t>
      </w:r>
    </w:p>
    <w:p w14:paraId="13C39A5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5、甲方有权根据实际工作情况及需要对乙方制定的污水处理系统运行的管理规章、制度、方案等提出修改意见。</w:t>
      </w:r>
    </w:p>
    <w:p w14:paraId="69153EB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6、甲方有权要求乙方投入足量且履职能力达标的服务人员以满足服务需要，有权要求乙方根据实际工作需要增减或更换服务人员。</w:t>
      </w:r>
    </w:p>
    <w:p w14:paraId="1BC97B5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7、承担法律法规规定由甲方承担的其他责任。</w:t>
      </w:r>
    </w:p>
    <w:p w14:paraId="3E45CA6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乙方权利与</w:t>
      </w:r>
      <w:r>
        <w:rPr>
          <w:rFonts w:hint="eastAsia" w:ascii="仿宋" w:hAnsi="仿宋" w:eastAsia="仿宋" w:cs="仿宋"/>
          <w:b/>
          <w:color w:val="auto"/>
          <w:sz w:val="24"/>
          <w:szCs w:val="24"/>
          <w:highlight w:val="none"/>
          <w:lang w:val="en-US" w:eastAsia="zh-CN"/>
        </w:rPr>
        <w:t>义务</w:t>
      </w:r>
    </w:p>
    <w:p w14:paraId="7A066CE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乙方有权</w:t>
      </w:r>
      <w:r>
        <w:rPr>
          <w:rFonts w:hint="eastAsia" w:ascii="仿宋" w:hAnsi="仿宋" w:eastAsia="仿宋" w:cs="仿宋"/>
          <w:color w:val="auto"/>
          <w:sz w:val="24"/>
          <w:szCs w:val="24"/>
          <w:highlight w:val="none"/>
          <w:lang w:val="en-US" w:eastAsia="zh-CN"/>
        </w:rPr>
        <w:t>按</w:t>
      </w:r>
      <w:r>
        <w:rPr>
          <w:rFonts w:hint="eastAsia" w:ascii="仿宋" w:hAnsi="仿宋" w:eastAsia="仿宋" w:cs="仿宋"/>
          <w:color w:val="auto"/>
          <w:sz w:val="24"/>
          <w:szCs w:val="24"/>
          <w:highlight w:val="none"/>
        </w:rPr>
        <w:t>合同约定</w:t>
      </w:r>
      <w:r>
        <w:rPr>
          <w:rFonts w:hint="eastAsia" w:ascii="仿宋" w:hAnsi="仿宋" w:eastAsia="仿宋" w:cs="仿宋"/>
          <w:color w:val="auto"/>
          <w:sz w:val="24"/>
          <w:szCs w:val="24"/>
          <w:highlight w:val="none"/>
          <w:lang w:val="en-US" w:eastAsia="zh-CN"/>
        </w:rPr>
        <w:t>收取</w:t>
      </w:r>
      <w:r>
        <w:rPr>
          <w:rFonts w:hint="eastAsia" w:ascii="仿宋" w:hAnsi="仿宋" w:eastAsia="仿宋" w:cs="仿宋"/>
          <w:color w:val="auto"/>
          <w:sz w:val="24"/>
          <w:szCs w:val="24"/>
          <w:highlight w:val="none"/>
        </w:rPr>
        <w:t>服务费。</w:t>
      </w:r>
    </w:p>
    <w:p w14:paraId="44177E2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2、乙方提供的证照，在合同期内应保证合法有效。在乙方证照按照国家规定审查换证后，应将有效证照复印件加盖公章后送甲方备案。</w:t>
      </w:r>
    </w:p>
    <w:p w14:paraId="0709365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3、乙方应针对甲方污水处理系统运行制定相应的管理规章、制度、方案并报甲方备案</w:t>
      </w:r>
    </w:p>
    <w:p w14:paraId="6276EC7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乙方有义务妥善维护、使用、保管甲方提供的污水处理设设备设施，严格按照《柳州市人民医院污水处理站设备维护保养与维修清单》（附件2）列明的维护保养内容、维护保养周期对甲方设备进行维保，保证甲方原有污水处理主体设备的使用寿命达到20年（由不可抗拒的原因造成的损失除外）。</w:t>
      </w:r>
    </w:p>
    <w:p w14:paraId="313ECC4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5、乙方应保证所使用的药剂、设备保养材料、维修配件、新增设备等在使用时不会侵犯任何第三方的专利权、商标权、工业设计权或其他权利。</w:t>
      </w:r>
    </w:p>
    <w:p w14:paraId="65F2602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乙方应建立本项目的服务管理档案（包括但不限于日常管理维护记录、运行监测记录、设备故障维修处理记录、巡查及改进记录、培训记录、药剂采购档案等），各类台账齐全，并在每月10日前将上月台账报甲方备案，同时保证合同期间的污水处理所有台账、记录存档（保存时间5年以上），随时备查。</w:t>
      </w:r>
    </w:p>
    <w:p w14:paraId="0F61B6D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乙方服务期间，除日常维护外，乙方对建筑物进行内部装修、对设备进行大修、对报废设备进行更换等，均应提前将详细内容及方案以书面形式报甲方，经过甲方同意后方可实施。装修、设备大修和报废设备更换的费用均由乙方承担。</w:t>
      </w:r>
    </w:p>
    <w:p w14:paraId="0E53F0D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8、以下情况之一发生时，乙方负责及时调整设备（包括添置新的设备），以保证符合国家有关法规、污水处理排放标准或环保主管部门的要求，并承担因此所产生的所有费用。</w:t>
      </w:r>
    </w:p>
    <w:p w14:paraId="0F965D9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 服务期内涉及到污水处理站设备大修、升级、报废、更换或增加（包括备用应急设备）等；</w:t>
      </w:r>
    </w:p>
    <w:p w14:paraId="1F13CD4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 当国家相关法规、污水处理排放标准或环保主管部门的要求发生变更时，成交供应商需负责及时调整设备（包括购置新设备）。</w:t>
      </w:r>
    </w:p>
    <w:p w14:paraId="64E57CE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 随着采购人规模的扩大以及污水量的增加，若现有设备的处理能力无法满足需求的，成交供应商必须及时购置新设备。</w:t>
      </w:r>
    </w:p>
    <w:p w14:paraId="1442BCB6">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9、乙方保证所调整设备（包括添置新的设备）的所有权完全属于乙方且无任何抵押、质押、查封等产权瑕疵。</w:t>
      </w:r>
    </w:p>
    <w:p w14:paraId="279700D5">
      <w:pPr>
        <w:pStyle w:val="3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10、乙方有义务为完成本项目提供充足的人力资源，并确所派驻的服务</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持证上岗</w:t>
      </w:r>
      <w:r>
        <w:rPr>
          <w:rFonts w:hint="eastAsia" w:ascii="仿宋" w:hAnsi="仿宋" w:eastAsia="仿宋" w:cs="仿宋"/>
          <w:color w:val="auto"/>
          <w:sz w:val="24"/>
          <w:szCs w:val="24"/>
          <w:highlight w:val="none"/>
        </w:rPr>
        <w:t>（如健康证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《中华人民共和国职业资格证书》（废水处理工四级/中级以上职业资格）等）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同时保证派驻的服务人员</w:t>
      </w:r>
      <w:r>
        <w:rPr>
          <w:rFonts w:hint="eastAsia" w:ascii="仿宋" w:hAnsi="仿宋" w:eastAsia="仿宋" w:cs="仿宋"/>
          <w:color w:val="auto"/>
          <w:sz w:val="24"/>
          <w:szCs w:val="24"/>
          <w:highlight w:val="none"/>
        </w:rPr>
        <w:t>每年进行必要的健康体检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费用由乙方负责</w:t>
      </w:r>
      <w:r>
        <w:rPr>
          <w:rFonts w:hint="eastAsia" w:ascii="仿宋" w:hAnsi="仿宋" w:eastAsia="仿宋" w:cs="仿宋"/>
          <w:color w:val="auto"/>
          <w:sz w:val="24"/>
          <w:szCs w:val="24"/>
          <w:highlight w:val="none"/>
          <w:lang w:eastAsia="zh-CN"/>
        </w:rPr>
        <w:t>。</w:t>
      </w:r>
    </w:p>
    <w:p w14:paraId="29774D8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11、乙方负责对派驻在甲方的服务人员进行岗位及专业培训，保证其自觉遵守国家法律法规以及甲方的规章制度，不得影响甲方正常工作开展且</w:t>
      </w:r>
      <w:r>
        <w:rPr>
          <w:rFonts w:hint="eastAsia" w:ascii="仿宋" w:hAnsi="仿宋" w:eastAsia="仿宋" w:cs="仿宋"/>
          <w:color w:val="auto"/>
          <w:sz w:val="24"/>
          <w:szCs w:val="24"/>
          <w:highlight w:val="none"/>
        </w:rPr>
        <w:t>不得在</w:t>
      </w:r>
      <w:r>
        <w:rPr>
          <w:rFonts w:hint="eastAsia" w:ascii="仿宋" w:hAnsi="仿宋" w:eastAsia="仿宋" w:cs="仿宋"/>
          <w:color w:val="auto"/>
          <w:sz w:val="24"/>
          <w:szCs w:val="24"/>
          <w:highlight w:val="none"/>
          <w:lang w:val="en-US" w:eastAsia="zh-CN"/>
        </w:rPr>
        <w:t>甲方范围内</w:t>
      </w:r>
      <w:r>
        <w:rPr>
          <w:rFonts w:hint="eastAsia" w:ascii="仿宋" w:hAnsi="仿宋" w:eastAsia="仿宋" w:cs="仿宋"/>
          <w:color w:val="auto"/>
          <w:sz w:val="24"/>
          <w:szCs w:val="24"/>
          <w:highlight w:val="none"/>
        </w:rPr>
        <w:t>开伙做饭</w:t>
      </w:r>
      <w:r>
        <w:rPr>
          <w:rFonts w:hint="eastAsia" w:ascii="仿宋" w:hAnsi="仿宋" w:eastAsia="仿宋" w:cs="仿宋"/>
          <w:color w:val="auto"/>
          <w:sz w:val="24"/>
          <w:szCs w:val="24"/>
          <w:highlight w:val="none"/>
          <w:lang w:val="en-US" w:eastAsia="zh-CN"/>
        </w:rPr>
        <w:t>，否则甲方有权要求乙方更换人员直至终止合同。</w:t>
      </w:r>
    </w:p>
    <w:p w14:paraId="1630FBE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12、乙方在收到甲方增减或更换服务人员通知后的5日内完成服务人员的增减或更换，由此产生的费用由乙方自行承担。</w:t>
      </w:r>
    </w:p>
    <w:p w14:paraId="780ECF3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13、乙方应严格落实安全生产措施，严格执行安全操作规范，严格遵守防火规定，不得出现违反操作规程或无防护的污水处理行为，如因乙方管理不当给甲方、第三方或乙方人员造成的损失由乙方负全部责任。</w:t>
      </w:r>
    </w:p>
    <w:p w14:paraId="623E547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14、乙方接受甲方制定和修订的服务质量考核标准及扣罚办法（附件3），接受甲方的监督、检查，对甲方提出的整改意见，立即改正。</w:t>
      </w:r>
    </w:p>
    <w:p w14:paraId="205516F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在合同约定基础上仍需</w:t>
      </w:r>
      <w:r>
        <w:rPr>
          <w:rFonts w:hint="eastAsia" w:ascii="仿宋" w:hAnsi="仿宋" w:eastAsia="仿宋" w:cs="仿宋"/>
          <w:color w:val="auto"/>
          <w:sz w:val="24"/>
          <w:szCs w:val="24"/>
          <w:highlight w:val="none"/>
        </w:rPr>
        <w:t>严格按国家有关标准提供相关服务。</w:t>
      </w:r>
    </w:p>
    <w:p w14:paraId="20969E1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乙方不得将甲方委托的工作转交第三方完成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不得将甲方委托的服务工作内容透露给</w:t>
      </w:r>
      <w:r>
        <w:rPr>
          <w:rFonts w:hint="eastAsia" w:ascii="仿宋" w:hAnsi="仿宋" w:eastAsia="仿宋" w:cs="仿宋"/>
          <w:color w:val="auto"/>
          <w:sz w:val="24"/>
          <w:szCs w:val="24"/>
          <w:highlight w:val="none"/>
          <w:lang w:val="en-US" w:eastAsia="zh-CN"/>
        </w:rPr>
        <w:t>第三人</w:t>
      </w:r>
      <w:r>
        <w:rPr>
          <w:rFonts w:hint="eastAsia" w:ascii="仿宋" w:hAnsi="仿宋" w:eastAsia="仿宋" w:cs="仿宋"/>
          <w:color w:val="auto"/>
          <w:sz w:val="24"/>
          <w:szCs w:val="24"/>
          <w:highlight w:val="none"/>
        </w:rPr>
        <w:t>。</w:t>
      </w:r>
    </w:p>
    <w:p w14:paraId="02946215">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违约责任</w:t>
      </w:r>
    </w:p>
    <w:p w14:paraId="7F355C6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（一）如甲方无任何正当理由不按合同约定向乙方支付服务费的，视为甲方违约，违约金按欠款总额的万分之一每日计。</w:t>
      </w:r>
    </w:p>
    <w:p w14:paraId="6D2BE84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（二）如乙方提供的证照在合同期内失效且未按照国家规定及时审查换证的，视为乙方严重违约，如因此给甲方造成损失的，甲方有权向乙方追偿损失，同时，甲方有权单方面终止合同。</w:t>
      </w:r>
    </w:p>
    <w:p w14:paraId="396A8EC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由于乙方责任</w:t>
      </w:r>
      <w:r>
        <w:rPr>
          <w:rFonts w:hint="eastAsia" w:ascii="仿宋" w:hAnsi="仿宋" w:eastAsia="仿宋" w:cs="仿宋"/>
          <w:color w:val="auto"/>
          <w:sz w:val="24"/>
          <w:szCs w:val="24"/>
          <w:highlight w:val="none"/>
          <w:lang w:val="en-US" w:eastAsia="zh-CN"/>
        </w:rPr>
        <w:t>导致甲方</w:t>
      </w:r>
      <w:r>
        <w:rPr>
          <w:rFonts w:hint="eastAsia" w:ascii="仿宋" w:hAnsi="仿宋" w:eastAsia="仿宋" w:cs="仿宋"/>
          <w:color w:val="auto"/>
          <w:sz w:val="24"/>
          <w:szCs w:val="24"/>
          <w:highlight w:val="none"/>
        </w:rPr>
        <w:t>污水处理结果不达标</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，由乙方承担</w:t>
      </w:r>
      <w:r>
        <w:rPr>
          <w:rFonts w:hint="eastAsia" w:ascii="仿宋" w:hAnsi="仿宋" w:eastAsia="仿宋" w:cs="仿宋"/>
          <w:color w:val="auto"/>
          <w:sz w:val="24"/>
          <w:szCs w:val="24"/>
          <w:highlight w:val="none"/>
          <w:lang w:val="en-US" w:eastAsia="zh-CN"/>
        </w:rPr>
        <w:t>全部责任</w:t>
      </w:r>
      <w:r>
        <w:rPr>
          <w:rFonts w:hint="eastAsia" w:ascii="仿宋" w:hAnsi="仿宋" w:eastAsia="仿宋" w:cs="仿宋"/>
          <w:color w:val="auto"/>
          <w:sz w:val="24"/>
          <w:szCs w:val="24"/>
          <w:highlight w:val="none"/>
        </w:rPr>
        <w:t>（因</w:t>
      </w:r>
      <w:r>
        <w:rPr>
          <w:rFonts w:hint="eastAsia" w:ascii="仿宋" w:hAnsi="仿宋" w:eastAsia="仿宋" w:cs="仿宋"/>
          <w:color w:val="auto"/>
          <w:sz w:val="24"/>
          <w:szCs w:val="24"/>
          <w:highlight w:val="none"/>
          <w:lang w:eastAsia="zh-CN"/>
        </w:rPr>
        <w:t>不可抗力</w:t>
      </w:r>
      <w:r>
        <w:rPr>
          <w:rFonts w:hint="eastAsia" w:ascii="仿宋" w:hAnsi="仿宋" w:eastAsia="仿宋" w:cs="仿宋"/>
          <w:color w:val="auto"/>
          <w:sz w:val="24"/>
          <w:szCs w:val="24"/>
          <w:highlight w:val="none"/>
        </w:rPr>
        <w:t>的原因如：自然灾害、停电、停水等造成的不达标除外）。</w:t>
      </w:r>
      <w:r>
        <w:rPr>
          <w:rFonts w:hint="eastAsia" w:ascii="仿宋" w:hAnsi="仿宋" w:eastAsia="仿宋" w:cs="仿宋"/>
          <w:color w:val="auto"/>
          <w:sz w:val="24"/>
          <w:szCs w:val="24"/>
          <w:highlight w:val="none"/>
          <w:lang w:val="en-US" w:eastAsia="zh-CN"/>
        </w:rPr>
        <w:t>同时，</w:t>
      </w:r>
      <w:r>
        <w:rPr>
          <w:rFonts w:hint="eastAsia" w:ascii="仿宋" w:hAnsi="仿宋" w:eastAsia="仿宋" w:cs="仿宋"/>
          <w:color w:val="auto"/>
          <w:sz w:val="24"/>
          <w:szCs w:val="24"/>
          <w:highlight w:val="none"/>
        </w:rPr>
        <w:t>如甲方因此受到有关部门罚款，罚款由乙方承担</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乙方需向甲方支付相当于有关部门罚款数额的</w:t>
      </w:r>
      <w:r>
        <w:rPr>
          <w:rFonts w:hint="eastAsia" w:ascii="仿宋" w:hAnsi="仿宋" w:eastAsia="仿宋" w:cs="仿宋"/>
          <w:color w:val="auto"/>
          <w:sz w:val="24"/>
          <w:szCs w:val="24"/>
          <w:highlight w:val="none"/>
          <w:lang w:eastAsia="zh-CN"/>
        </w:rPr>
        <w:t>违约金</w:t>
      </w:r>
      <w:r>
        <w:rPr>
          <w:rFonts w:hint="eastAsia" w:ascii="仿宋" w:hAnsi="仿宋" w:eastAsia="仿宋" w:cs="仿宋"/>
          <w:color w:val="auto"/>
          <w:sz w:val="24"/>
          <w:szCs w:val="24"/>
          <w:highlight w:val="none"/>
        </w:rPr>
        <w:t>。</w:t>
      </w:r>
    </w:p>
    <w:p w14:paraId="7D88BFD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如乙方未按合同约定对甲方污水处理设备设施进行维护保养，导致甲方设备连续出现故障2次或合同期内累计出现故障5次的，视为乙方违约，甲方有权在月度服务质量考核扣罚的基础上向乙方收取违约金，违约金按该季度应结算服务费总额的10%计。</w:t>
      </w:r>
    </w:p>
    <w:p w14:paraId="569D599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（五）如因乙方</w:t>
      </w:r>
      <w:r>
        <w:rPr>
          <w:rFonts w:hint="eastAsia" w:ascii="仿宋" w:hAnsi="仿宋" w:eastAsia="仿宋" w:cs="仿宋"/>
          <w:color w:val="auto"/>
          <w:sz w:val="24"/>
          <w:szCs w:val="24"/>
          <w:highlight w:val="none"/>
        </w:rPr>
        <w:t>操作失误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维护不当导致甲方污水处理设备设施严重损坏、遗失或提前报废的，视为乙方严重违约，甲方有权在本合同第七条第（四）点基础上向乙方追偿损失，同时单方面终止合同。</w:t>
      </w:r>
    </w:p>
    <w:p w14:paraId="1E58496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若</w:t>
      </w:r>
      <w:r>
        <w:rPr>
          <w:rFonts w:hint="eastAsia" w:ascii="仿宋" w:hAnsi="仿宋" w:eastAsia="仿宋" w:cs="仿宋"/>
          <w:color w:val="auto"/>
          <w:sz w:val="24"/>
          <w:szCs w:val="24"/>
          <w:highlight w:val="none"/>
          <w:lang w:val="en-US" w:eastAsia="zh-CN"/>
        </w:rPr>
        <w:t>乙方连续2次或服务期内累计3次</w:t>
      </w:r>
      <w:r>
        <w:rPr>
          <w:rFonts w:hint="eastAsia" w:ascii="仿宋" w:hAnsi="仿宋" w:eastAsia="仿宋" w:cs="仿宋"/>
          <w:color w:val="auto"/>
          <w:sz w:val="24"/>
          <w:szCs w:val="24"/>
          <w:highlight w:val="none"/>
        </w:rPr>
        <w:t>考核评分</w:t>
      </w:r>
      <w:r>
        <w:rPr>
          <w:rFonts w:hint="eastAsia" w:ascii="仿宋" w:hAnsi="仿宋" w:eastAsia="仿宋" w:cs="仿宋"/>
          <w:color w:val="auto"/>
          <w:sz w:val="24"/>
          <w:szCs w:val="24"/>
          <w:highlight w:val="none"/>
          <w:lang w:val="en-US" w:eastAsia="zh-CN"/>
        </w:rPr>
        <w:t>低于60分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视为乙方严重违约</w:t>
      </w:r>
      <w:r>
        <w:rPr>
          <w:rFonts w:hint="eastAsia" w:ascii="仿宋" w:hAnsi="仿宋" w:eastAsia="仿宋" w:cs="仿宋"/>
          <w:color w:val="auto"/>
          <w:sz w:val="24"/>
          <w:szCs w:val="24"/>
          <w:highlight w:val="none"/>
        </w:rPr>
        <w:t>，甲方有权</w:t>
      </w:r>
      <w:r>
        <w:rPr>
          <w:rFonts w:hint="eastAsia" w:ascii="仿宋" w:hAnsi="仿宋" w:eastAsia="仿宋" w:cs="仿宋"/>
          <w:color w:val="auto"/>
          <w:sz w:val="24"/>
          <w:szCs w:val="24"/>
          <w:highlight w:val="none"/>
          <w:lang w:val="en-US" w:eastAsia="zh-CN"/>
        </w:rPr>
        <w:t>在月度服务质量考核扣罚的基础上单方面</w:t>
      </w:r>
      <w:r>
        <w:rPr>
          <w:rFonts w:hint="eastAsia" w:ascii="仿宋" w:hAnsi="仿宋" w:eastAsia="仿宋" w:cs="仿宋"/>
          <w:color w:val="auto"/>
          <w:sz w:val="24"/>
          <w:szCs w:val="24"/>
          <w:highlight w:val="none"/>
        </w:rPr>
        <w:t>终止合同</w:t>
      </w:r>
      <w:r>
        <w:rPr>
          <w:rFonts w:hint="eastAsia" w:ascii="仿宋" w:hAnsi="仿宋" w:eastAsia="仿宋" w:cs="仿宋"/>
          <w:color w:val="auto"/>
          <w:sz w:val="24"/>
          <w:szCs w:val="24"/>
          <w:highlight w:val="none"/>
          <w:lang w:eastAsia="zh-CN"/>
        </w:rPr>
        <w:t>。</w:t>
      </w:r>
    </w:p>
    <w:p w14:paraId="4A3515CD">
      <w:pPr>
        <w:pStyle w:val="3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eastAsia="仿宋"/>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）在甲方发出整改通知</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lang w:eastAsia="zh-CN"/>
        </w:rPr>
        <w:t>天内，乙方无正当理由拒不执行甲方整改要求</w:t>
      </w:r>
      <w:r>
        <w:rPr>
          <w:rFonts w:hint="eastAsia" w:ascii="仿宋" w:hAnsi="仿宋" w:eastAsia="仿宋" w:cs="仿宋"/>
          <w:color w:val="auto"/>
          <w:sz w:val="24"/>
          <w:szCs w:val="24"/>
          <w:highlight w:val="none"/>
          <w:lang w:val="en-US" w:eastAsia="zh-CN"/>
        </w:rPr>
        <w:t>或整改效果不佳</w:t>
      </w:r>
      <w:r>
        <w:rPr>
          <w:rFonts w:hint="eastAsia" w:ascii="仿宋" w:hAnsi="仿宋" w:eastAsia="仿宋" w:cs="仿宋"/>
          <w:color w:val="auto"/>
          <w:sz w:val="24"/>
          <w:szCs w:val="24"/>
          <w:highlight w:val="none"/>
          <w:lang w:eastAsia="zh-CN"/>
        </w:rPr>
        <w:t>的视为乙方违约，甲方有权按违约当月应结算费用（扣除水电费后）的20%向乙方收取违约金，违约金从</w:t>
      </w:r>
      <w:r>
        <w:rPr>
          <w:rFonts w:hint="eastAsia" w:ascii="仿宋" w:hAnsi="仿宋" w:eastAsia="仿宋" w:cs="仿宋"/>
          <w:color w:val="auto"/>
          <w:sz w:val="24"/>
          <w:szCs w:val="24"/>
          <w:highlight w:val="none"/>
          <w:lang w:val="en-US" w:eastAsia="zh-CN"/>
        </w:rPr>
        <w:t>服务费</w:t>
      </w:r>
      <w:r>
        <w:rPr>
          <w:rFonts w:hint="eastAsia" w:ascii="仿宋" w:hAnsi="仿宋" w:eastAsia="仿宋" w:cs="仿宋"/>
          <w:color w:val="auto"/>
          <w:sz w:val="24"/>
          <w:szCs w:val="24"/>
          <w:highlight w:val="none"/>
          <w:lang w:eastAsia="zh-CN"/>
        </w:rPr>
        <w:t>中扣除。</w:t>
      </w:r>
    </w:p>
    <w:p w14:paraId="183473D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（八）如</w:t>
      </w: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val="en-US" w:eastAsia="zh-CN"/>
        </w:rPr>
        <w:t>派驻的</w:t>
      </w:r>
      <w:r>
        <w:rPr>
          <w:rFonts w:hint="eastAsia" w:ascii="仿宋" w:hAnsi="仿宋" w:eastAsia="仿宋" w:cs="仿宋"/>
          <w:color w:val="auto"/>
          <w:sz w:val="24"/>
          <w:szCs w:val="24"/>
          <w:highlight w:val="none"/>
        </w:rPr>
        <w:t>服务人员从事违纪违法</w:t>
      </w:r>
      <w:r>
        <w:rPr>
          <w:rFonts w:hint="eastAsia" w:ascii="仿宋" w:hAnsi="仿宋" w:eastAsia="仿宋" w:cs="仿宋"/>
          <w:color w:val="auto"/>
          <w:sz w:val="24"/>
          <w:szCs w:val="24"/>
          <w:highlight w:val="none"/>
          <w:lang w:val="en-US" w:eastAsia="zh-CN"/>
        </w:rPr>
        <w:t>活动</w:t>
      </w:r>
      <w:r>
        <w:rPr>
          <w:rFonts w:hint="eastAsia" w:ascii="仿宋" w:hAnsi="仿宋" w:eastAsia="仿宋" w:cs="仿宋"/>
          <w:color w:val="auto"/>
          <w:sz w:val="24"/>
          <w:szCs w:val="24"/>
          <w:highlight w:val="none"/>
        </w:rPr>
        <w:t>（如偷盗、传销、打架斗殴等）</w:t>
      </w:r>
      <w:r>
        <w:rPr>
          <w:rFonts w:hint="eastAsia" w:ascii="仿宋" w:hAnsi="仿宋" w:eastAsia="仿宋" w:cs="仿宋"/>
          <w:color w:val="auto"/>
          <w:sz w:val="24"/>
          <w:szCs w:val="24"/>
          <w:highlight w:val="none"/>
          <w:lang w:val="en-US" w:eastAsia="zh-CN"/>
        </w:rPr>
        <w:t>或乙方其他行为导致</w:t>
      </w:r>
      <w:r>
        <w:rPr>
          <w:rFonts w:hint="eastAsia" w:ascii="仿宋" w:hAnsi="仿宋" w:eastAsia="仿宋" w:cs="仿宋"/>
          <w:color w:val="auto"/>
          <w:sz w:val="24"/>
          <w:szCs w:val="24"/>
          <w:highlight w:val="none"/>
        </w:rPr>
        <w:t>甲方利益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声誉受损的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视为乙方违约，甲方有权向乙方追偿损失，同时</w:t>
      </w:r>
      <w:r>
        <w:rPr>
          <w:rFonts w:hint="eastAsia" w:ascii="仿宋" w:hAnsi="仿宋" w:eastAsia="仿宋" w:cs="仿宋"/>
          <w:color w:val="auto"/>
          <w:sz w:val="24"/>
          <w:szCs w:val="24"/>
          <w:highlight w:val="none"/>
        </w:rPr>
        <w:t>乙方应按该季度</w:t>
      </w:r>
      <w:r>
        <w:rPr>
          <w:rFonts w:hint="eastAsia" w:ascii="仿宋" w:hAnsi="仿宋" w:eastAsia="仿宋" w:cs="仿宋"/>
          <w:color w:val="auto"/>
          <w:sz w:val="24"/>
          <w:szCs w:val="24"/>
          <w:highlight w:val="none"/>
          <w:lang w:val="en-US" w:eastAsia="zh-CN"/>
        </w:rPr>
        <w:t>服务费</w:t>
      </w:r>
      <w:r>
        <w:rPr>
          <w:rFonts w:hint="eastAsia" w:ascii="仿宋" w:hAnsi="仿宋" w:eastAsia="仿宋" w:cs="仿宋"/>
          <w:color w:val="auto"/>
          <w:sz w:val="24"/>
          <w:szCs w:val="24"/>
          <w:highlight w:val="none"/>
        </w:rPr>
        <w:t>总金额的 5%向甲方支付违约金，情节严重的，甲方有权</w:t>
      </w:r>
      <w:r>
        <w:rPr>
          <w:rFonts w:hint="eastAsia" w:ascii="仿宋" w:hAnsi="仿宋" w:eastAsia="仿宋" w:cs="仿宋"/>
          <w:color w:val="auto"/>
          <w:sz w:val="24"/>
          <w:szCs w:val="24"/>
          <w:highlight w:val="none"/>
          <w:lang w:val="en-US" w:eastAsia="zh-CN"/>
        </w:rPr>
        <w:t>单方面</w:t>
      </w:r>
      <w:r>
        <w:rPr>
          <w:rFonts w:hint="eastAsia" w:ascii="仿宋" w:hAnsi="仿宋" w:eastAsia="仿宋" w:cs="仿宋"/>
          <w:color w:val="auto"/>
          <w:sz w:val="24"/>
          <w:szCs w:val="24"/>
          <w:highlight w:val="none"/>
        </w:rPr>
        <w:t>终止合同。</w:t>
      </w:r>
    </w:p>
    <w:p w14:paraId="4D6AF766">
      <w:pPr>
        <w:pStyle w:val="32"/>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olor w:val="auto"/>
          <w:highlight w:val="none"/>
        </w:rPr>
      </w:pPr>
      <w:r>
        <w:rPr>
          <w:rFonts w:hint="eastAsia" w:ascii="仿宋" w:hAnsi="仿宋" w:eastAsia="仿宋" w:cs="仿宋"/>
          <w:color w:val="auto"/>
          <w:sz w:val="24"/>
          <w:szCs w:val="24"/>
          <w:highlight w:val="none"/>
          <w:lang w:val="en-US" w:eastAsia="zh-CN"/>
        </w:rPr>
        <w:t>（九）除上述情形外，如</w:t>
      </w:r>
      <w:r>
        <w:rPr>
          <w:rFonts w:hint="eastAsia" w:ascii="仿宋" w:hAnsi="仿宋" w:eastAsia="仿宋" w:cs="仿宋"/>
          <w:color w:val="auto"/>
          <w:sz w:val="24"/>
          <w:szCs w:val="24"/>
          <w:highlight w:val="none"/>
        </w:rPr>
        <w:t>乙方未按本合同和响应文件中</w:t>
      </w:r>
      <w:r>
        <w:rPr>
          <w:rFonts w:hint="eastAsia" w:ascii="仿宋" w:hAnsi="仿宋" w:eastAsia="仿宋" w:cs="仿宋"/>
          <w:color w:val="auto"/>
          <w:sz w:val="24"/>
          <w:szCs w:val="24"/>
          <w:highlight w:val="none"/>
          <w:lang w:val="en-US" w:eastAsia="zh-CN"/>
        </w:rPr>
        <w:t>约定</w:t>
      </w:r>
      <w:r>
        <w:rPr>
          <w:rFonts w:hint="eastAsia" w:ascii="仿宋" w:hAnsi="仿宋" w:eastAsia="仿宋" w:cs="仿宋"/>
          <w:color w:val="auto"/>
          <w:sz w:val="24"/>
          <w:szCs w:val="24"/>
          <w:highlight w:val="none"/>
        </w:rPr>
        <w:t>的服务承诺提供服务的，</w:t>
      </w:r>
      <w:r>
        <w:rPr>
          <w:rFonts w:hint="eastAsia" w:ascii="仿宋" w:hAnsi="仿宋" w:eastAsia="仿宋" w:cs="仿宋"/>
          <w:color w:val="auto"/>
          <w:sz w:val="24"/>
          <w:szCs w:val="24"/>
          <w:highlight w:val="none"/>
          <w:lang w:val="en-US" w:eastAsia="zh-CN"/>
        </w:rPr>
        <w:t>视为乙方违约，违约金违约时该季度</w:t>
      </w:r>
      <w:r>
        <w:rPr>
          <w:rFonts w:hint="eastAsia" w:ascii="仿宋" w:hAnsi="仿宋" w:eastAsia="仿宋" w:cs="仿宋"/>
          <w:color w:val="auto"/>
          <w:sz w:val="24"/>
          <w:szCs w:val="24"/>
          <w:highlight w:val="none"/>
        </w:rPr>
        <w:t>结算金额</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计</w:t>
      </w:r>
      <w:r>
        <w:rPr>
          <w:rFonts w:hint="eastAsia" w:ascii="仿宋" w:hAnsi="仿宋" w:eastAsia="仿宋" w:cs="仿宋"/>
          <w:color w:val="auto"/>
          <w:sz w:val="24"/>
          <w:szCs w:val="24"/>
          <w:highlight w:val="none"/>
        </w:rPr>
        <w:t>。</w:t>
      </w:r>
    </w:p>
    <w:p w14:paraId="1E989C39">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八、合同的变更与终止</w:t>
      </w:r>
    </w:p>
    <w:p w14:paraId="0DDDE558">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（一）合同的变更</w:t>
      </w:r>
    </w:p>
    <w:p w14:paraId="0D47140B">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在合同有效期内需要变更的事项，经甲乙双方协商一致后，可签订补充协议另行约定。</w:t>
      </w:r>
    </w:p>
    <w:p w14:paraId="7A070C9C">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（二）合同的终止</w:t>
      </w:r>
    </w:p>
    <w:p w14:paraId="02E558E7">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1、甲乙双方应以诚信的态度履行本合同，任何一方欲提前解除合同的，应提前三个月以书面形式提出与另一方协商，经双方协商一致同意，可以提前解除合同，三个月后该合同自动终止。</w:t>
      </w:r>
    </w:p>
    <w:p w14:paraId="36E2036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color w:val="auto"/>
          <w:sz w:val="24"/>
          <w:szCs w:val="24"/>
          <w:highlight w:val="none"/>
        </w:rPr>
        <w:t>出现下列情形之一的，甲方有权与乙方</w:t>
      </w:r>
      <w:r>
        <w:rPr>
          <w:rFonts w:hint="eastAsia" w:ascii="仿宋" w:hAnsi="仿宋" w:eastAsia="仿宋" w:cs="仿宋"/>
          <w:color w:val="auto"/>
          <w:sz w:val="24"/>
          <w:szCs w:val="24"/>
          <w:highlight w:val="none"/>
          <w:lang w:val="en-US" w:eastAsia="zh-CN"/>
        </w:rPr>
        <w:t>终止</w:t>
      </w:r>
      <w:r>
        <w:rPr>
          <w:rFonts w:hint="eastAsia" w:ascii="仿宋" w:hAnsi="仿宋" w:eastAsia="仿宋" w:cs="仿宋"/>
          <w:color w:val="auto"/>
          <w:sz w:val="24"/>
          <w:szCs w:val="24"/>
          <w:highlight w:val="none"/>
        </w:rPr>
        <w:t>合同：</w:t>
      </w:r>
    </w:p>
    <w:p w14:paraId="61B90409">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2.1合同期内，如乙方证照过期失效，甲方有权终止本合同，并且不对乙方进行任何经济赔偿。若乙方发生安全事故造成严重后果的，甲方有权单方面终止合同</w:t>
      </w:r>
    </w:p>
    <w:p w14:paraId="4AC6E4F1">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2.2合同期内，如因为乙方原因连续两次或累计两次出现有关部门监测污水处理不合格，甲方有权自事件发生始的一年内终止本合同，且乙方赔偿甲方因此所遭受的经济损失。</w:t>
      </w:r>
    </w:p>
    <w:p w14:paraId="04AD5376">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2.3乙方违反相关法律法规或甲方规章制度，造成人身伤害或财物损失的，甲方有权单方面终止合同。</w:t>
      </w:r>
    </w:p>
    <w:p w14:paraId="2BBFBC64">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2.4乙方违反本合同第六条第（二）款第11点、第七条第（二）、（五）、（六）（八）点要求的，甲方有权单方面终止合同，并要求乙方作出因乙方服务、管理等问题导致甲方损失的一切赔偿。</w:t>
      </w:r>
    </w:p>
    <w:p w14:paraId="12902130">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3、如甲方不按照合同约定向乙方支付服务费，违约时间超过60日，乙方有权与甲方解除合同。</w:t>
      </w:r>
    </w:p>
    <w:p w14:paraId="67269B8C">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4、如出现需解除合同的情况，甲乙双方都应以书面形式提前一个月通知对方。</w:t>
      </w:r>
    </w:p>
    <w:p w14:paraId="1A2F1172">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5、乙方不得擅自转让其应履行的合同义务。</w:t>
      </w:r>
    </w:p>
    <w:p w14:paraId="6B5689C5">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不可抗力事件处理</w:t>
      </w:r>
    </w:p>
    <w:p w14:paraId="5FDE249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不可抗力事件指战争、严重火灾、洪水、台风、地震等其他双方认定的不可抗力事件。乙方在生产能力未遭受破坏或生产能力得到恢复的情况下应优先保证</w:t>
      </w:r>
      <w:r>
        <w:rPr>
          <w:rFonts w:hint="eastAsia" w:ascii="仿宋" w:hAnsi="仿宋" w:eastAsia="仿宋" w:cs="仿宋"/>
          <w:b w:val="0"/>
          <w:bCs/>
          <w:color w:val="auto"/>
          <w:sz w:val="24"/>
          <w:szCs w:val="24"/>
          <w:highlight w:val="none"/>
          <w:lang w:val="en-US" w:eastAsia="zh-CN"/>
        </w:rPr>
        <w:t>服务</w:t>
      </w:r>
      <w:r>
        <w:rPr>
          <w:rFonts w:hint="eastAsia" w:ascii="仿宋" w:hAnsi="仿宋" w:eastAsia="仿宋" w:cs="仿宋"/>
          <w:b w:val="0"/>
          <w:bCs/>
          <w:color w:val="auto"/>
          <w:sz w:val="24"/>
          <w:szCs w:val="24"/>
          <w:highlight w:val="none"/>
        </w:rPr>
        <w:t>项目正常</w:t>
      </w:r>
      <w:r>
        <w:rPr>
          <w:rFonts w:hint="eastAsia" w:ascii="仿宋" w:hAnsi="仿宋" w:eastAsia="仿宋" w:cs="仿宋"/>
          <w:b w:val="0"/>
          <w:bCs/>
          <w:color w:val="auto"/>
          <w:sz w:val="24"/>
          <w:szCs w:val="24"/>
          <w:highlight w:val="none"/>
          <w:lang w:val="en-US" w:eastAsia="zh-CN"/>
        </w:rPr>
        <w:t>进行</w:t>
      </w:r>
      <w:r>
        <w:rPr>
          <w:rFonts w:hint="eastAsia" w:ascii="仿宋" w:hAnsi="仿宋" w:eastAsia="仿宋" w:cs="仿宋"/>
          <w:b w:val="0"/>
          <w:bCs/>
          <w:color w:val="auto"/>
          <w:sz w:val="24"/>
          <w:szCs w:val="24"/>
          <w:highlight w:val="none"/>
        </w:rPr>
        <w:t>。甲乙双方的任何一方由于不可抗力事件的原因不能履行合同时，应及时向对方通报不能履行或不能完全履行合同的理由，并送达有关权威机构出具的书面证明。不可抗力事件延续30天以上，双方应通过友好协商，确定是否继续履行合同，并根据情况可部分或完全免于承担违约责任。</w:t>
      </w:r>
    </w:p>
    <w:p w14:paraId="4F8E59E5">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合同争议解决</w:t>
      </w:r>
    </w:p>
    <w:p w14:paraId="7D89F2F6">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（一）所有与合同履行有关的争议均需由双方友好协商解决，如果双方协商不成或调解无效，任何一方均可向甲方所在地法院提起诉讼。</w:t>
      </w:r>
    </w:p>
    <w:p w14:paraId="144DE811">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（二）纠纷处理期间，除双方有争议的部分外，合同其他部分应当继续有效。</w:t>
      </w:r>
    </w:p>
    <w:p w14:paraId="6DB0DFBD">
      <w:pPr>
        <w:pStyle w:val="13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此合同书所涉及的条款内容与标书内容相冲突时，以利于甲方的条款解释为准；对本合同书的任何补充或修改内容，应由甲乙双方另行签订补充协议；补充协议作为主合同不可分割的一部分。本合同未注明条款均按《中华人民共和国民法典》执行。</w:t>
      </w:r>
    </w:p>
    <w:p w14:paraId="0405B70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（四）本协议一式四份，甲方执贰份、乙方贰份。</w:t>
      </w:r>
    </w:p>
    <w:p w14:paraId="40EEACE4">
      <w:pPr>
        <w:keepNext w:val="0"/>
        <w:keepLines w:val="0"/>
        <w:pageBreakBefore w:val="0"/>
        <w:kinsoku/>
        <w:wordWrap/>
        <w:overflowPunct/>
        <w:topLinePunct w:val="0"/>
        <w:autoSpaceDE/>
        <w:autoSpaceDN/>
        <w:bidi w:val="0"/>
        <w:adjustRightInd/>
        <w:spacing w:line="276" w:lineRule="auto"/>
        <w:ind w:firstLine="422" w:firstLineChars="200"/>
        <w:textAlignment w:val="auto"/>
        <w:rPr>
          <w:rFonts w:hint="eastAsia" w:ascii="仿宋" w:hAnsi="仿宋" w:eastAsia="仿宋" w:cs="仿宋"/>
          <w:b/>
          <w:color w:val="auto"/>
          <w:szCs w:val="21"/>
          <w:highlight w:val="none"/>
        </w:rPr>
      </w:pPr>
    </w:p>
    <w:p w14:paraId="11D037E2">
      <w:pPr>
        <w:spacing w:line="276" w:lineRule="auto"/>
        <w:rPr>
          <w:rFonts w:hint="eastAsia" w:ascii="仿宋" w:hAnsi="仿宋" w:eastAsia="仿宋" w:cs="仿宋"/>
          <w:b/>
          <w:color w:val="auto"/>
          <w:szCs w:val="21"/>
          <w:highlight w:val="none"/>
        </w:rPr>
      </w:pPr>
    </w:p>
    <w:p w14:paraId="5CA80CC0">
      <w:pPr>
        <w:spacing w:line="276" w:lineRule="auto"/>
        <w:rPr>
          <w:rFonts w:hint="eastAsia" w:ascii="仿宋" w:hAnsi="仿宋" w:eastAsia="仿宋" w:cs="仿宋"/>
          <w:b/>
          <w:color w:val="auto"/>
          <w:szCs w:val="21"/>
          <w:highlight w:val="none"/>
        </w:rPr>
      </w:pPr>
    </w:p>
    <w:p w14:paraId="2B461119">
      <w:pPr>
        <w:spacing w:line="276"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合同附件：</w:t>
      </w:r>
    </w:p>
    <w:p w14:paraId="59E06B89">
      <w:pPr>
        <w:spacing w:line="276" w:lineRule="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附件1：《柳州市人民医院污水处理服务质量要求》</w:t>
      </w:r>
    </w:p>
    <w:p w14:paraId="7D1C69B2">
      <w:pPr>
        <w:spacing w:line="276" w:lineRule="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附件2：《柳州市人民医院污水处理站设备维护保养与维修清单》</w:t>
      </w:r>
    </w:p>
    <w:p w14:paraId="5131F424">
      <w:pPr>
        <w:spacing w:line="276"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附件3：</w:t>
      </w:r>
      <w:r>
        <w:rPr>
          <w:rFonts w:hint="eastAsia" w:ascii="仿宋" w:hAnsi="仿宋" w:eastAsia="仿宋" w:cs="仿宋"/>
          <w:b/>
          <w:color w:val="auto"/>
          <w:szCs w:val="21"/>
          <w:highlight w:val="none"/>
        </w:rPr>
        <w:t>《柳州市人民医院污水处理</w:t>
      </w:r>
      <w:r>
        <w:rPr>
          <w:rFonts w:hint="eastAsia" w:ascii="仿宋" w:hAnsi="仿宋" w:eastAsia="仿宋" w:cs="仿宋"/>
          <w:b/>
          <w:color w:val="auto"/>
          <w:szCs w:val="21"/>
          <w:highlight w:val="none"/>
          <w:lang w:val="en-US" w:eastAsia="zh-CN"/>
        </w:rPr>
        <w:t>服务质量</w:t>
      </w:r>
      <w:r>
        <w:rPr>
          <w:rFonts w:hint="eastAsia" w:ascii="仿宋" w:hAnsi="仿宋" w:eastAsia="仿宋" w:cs="仿宋"/>
          <w:b/>
          <w:color w:val="auto"/>
          <w:szCs w:val="21"/>
          <w:highlight w:val="none"/>
        </w:rPr>
        <w:t>考核表》</w:t>
      </w:r>
    </w:p>
    <w:p w14:paraId="73FBA43A">
      <w:pPr>
        <w:spacing w:line="276" w:lineRule="auto"/>
        <w:rPr>
          <w:color w:val="auto"/>
          <w:sz w:val="24"/>
          <w:szCs w:val="24"/>
          <w:highlight w:val="none"/>
        </w:rPr>
      </w:pPr>
    </w:p>
    <w:tbl>
      <w:tblPr>
        <w:tblStyle w:val="5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0886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4678" w:type="dxa"/>
            <w:vAlign w:val="center"/>
          </w:tcPr>
          <w:p w14:paraId="3FE1BF9A">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甲方（章）           </w:t>
            </w:r>
          </w:p>
          <w:p w14:paraId="2EB10897">
            <w:pPr>
              <w:keepNext w:val="0"/>
              <w:keepLines w:val="0"/>
              <w:pageBreakBefore w:val="0"/>
              <w:kinsoku/>
              <w:wordWrap/>
              <w:overflowPunct/>
              <w:topLinePunct w:val="0"/>
              <w:autoSpaceDE/>
              <w:autoSpaceDN/>
              <w:bidi w:val="0"/>
              <w:adjustRightInd/>
              <w:snapToGrid w:val="0"/>
              <w:spacing w:line="320" w:lineRule="exact"/>
              <w:ind w:firstLine="0" w:firstLineChars="0"/>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年   月   日</w:t>
            </w:r>
          </w:p>
        </w:tc>
        <w:tc>
          <w:tcPr>
            <w:tcW w:w="4820" w:type="dxa"/>
            <w:vAlign w:val="center"/>
          </w:tcPr>
          <w:p w14:paraId="1476039C">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乙方（章）            </w:t>
            </w:r>
          </w:p>
          <w:p w14:paraId="4B7FD623">
            <w:pPr>
              <w:keepNext w:val="0"/>
              <w:keepLines w:val="0"/>
              <w:pageBreakBefore w:val="0"/>
              <w:kinsoku/>
              <w:wordWrap/>
              <w:overflowPunct/>
              <w:topLinePunct w:val="0"/>
              <w:autoSpaceDE/>
              <w:autoSpaceDN/>
              <w:bidi w:val="0"/>
              <w:adjustRightInd/>
              <w:snapToGrid w:val="0"/>
              <w:spacing w:line="320" w:lineRule="exact"/>
              <w:ind w:firstLine="0" w:firstLineChars="0"/>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年   月   日</w:t>
            </w:r>
          </w:p>
        </w:tc>
      </w:tr>
      <w:tr w14:paraId="4471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78" w:type="dxa"/>
            <w:vAlign w:val="center"/>
          </w:tcPr>
          <w:p w14:paraId="07148593">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单位地址：柳州市文昌路8号</w:t>
            </w:r>
          </w:p>
        </w:tc>
        <w:tc>
          <w:tcPr>
            <w:tcW w:w="4820" w:type="dxa"/>
            <w:vAlign w:val="center"/>
          </w:tcPr>
          <w:p w14:paraId="3011983A">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单位地址：</w:t>
            </w:r>
          </w:p>
        </w:tc>
      </w:tr>
      <w:tr w14:paraId="3F66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78" w:type="dxa"/>
            <w:vAlign w:val="center"/>
          </w:tcPr>
          <w:p w14:paraId="3F48F3ED">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法定代表人：</w:t>
            </w:r>
          </w:p>
        </w:tc>
        <w:tc>
          <w:tcPr>
            <w:tcW w:w="4820" w:type="dxa"/>
            <w:vAlign w:val="center"/>
          </w:tcPr>
          <w:p w14:paraId="499DBF06">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法定代表人：</w:t>
            </w:r>
          </w:p>
        </w:tc>
      </w:tr>
      <w:tr w14:paraId="216E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78" w:type="dxa"/>
            <w:vAlign w:val="center"/>
          </w:tcPr>
          <w:p w14:paraId="5FD9AD66">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委托代理人：</w:t>
            </w:r>
          </w:p>
        </w:tc>
        <w:tc>
          <w:tcPr>
            <w:tcW w:w="4820" w:type="dxa"/>
            <w:vAlign w:val="center"/>
          </w:tcPr>
          <w:p w14:paraId="1D137A16">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委托代理人</w:t>
            </w:r>
          </w:p>
        </w:tc>
      </w:tr>
      <w:tr w14:paraId="34F4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78" w:type="dxa"/>
            <w:vAlign w:val="center"/>
          </w:tcPr>
          <w:p w14:paraId="3E86FE43">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    话：0772-2662012</w:t>
            </w:r>
          </w:p>
        </w:tc>
        <w:tc>
          <w:tcPr>
            <w:tcW w:w="4820" w:type="dxa"/>
            <w:vAlign w:val="center"/>
          </w:tcPr>
          <w:p w14:paraId="06F55B95">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    话：</w:t>
            </w:r>
          </w:p>
        </w:tc>
      </w:tr>
      <w:tr w14:paraId="69C0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78" w:type="dxa"/>
            <w:vAlign w:val="center"/>
          </w:tcPr>
          <w:p w14:paraId="0F3354A9">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电子邮箱：</w:t>
            </w:r>
          </w:p>
        </w:tc>
        <w:tc>
          <w:tcPr>
            <w:tcW w:w="4820" w:type="dxa"/>
            <w:vAlign w:val="center"/>
          </w:tcPr>
          <w:p w14:paraId="1C670BF0">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电子邮箱：</w:t>
            </w:r>
          </w:p>
        </w:tc>
      </w:tr>
      <w:tr w14:paraId="16D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78" w:type="dxa"/>
            <w:vAlign w:val="center"/>
          </w:tcPr>
          <w:p w14:paraId="2EF664A5">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开户银行：</w:t>
            </w:r>
          </w:p>
        </w:tc>
        <w:tc>
          <w:tcPr>
            <w:tcW w:w="4820" w:type="dxa"/>
            <w:vAlign w:val="center"/>
          </w:tcPr>
          <w:p w14:paraId="2B17C06D">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开户银行：</w:t>
            </w:r>
          </w:p>
        </w:tc>
      </w:tr>
      <w:tr w14:paraId="684F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78" w:type="dxa"/>
            <w:vAlign w:val="center"/>
          </w:tcPr>
          <w:p w14:paraId="76C3E4F8">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账    号：</w:t>
            </w:r>
          </w:p>
        </w:tc>
        <w:tc>
          <w:tcPr>
            <w:tcW w:w="4820" w:type="dxa"/>
            <w:vAlign w:val="center"/>
          </w:tcPr>
          <w:p w14:paraId="111532FB">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账    号：</w:t>
            </w:r>
          </w:p>
        </w:tc>
      </w:tr>
      <w:tr w14:paraId="74C7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78" w:type="dxa"/>
            <w:vAlign w:val="center"/>
          </w:tcPr>
          <w:p w14:paraId="669B9FDC">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邮政编码：</w:t>
            </w:r>
          </w:p>
        </w:tc>
        <w:tc>
          <w:tcPr>
            <w:tcW w:w="4820" w:type="dxa"/>
            <w:vAlign w:val="center"/>
          </w:tcPr>
          <w:p w14:paraId="00389BD3">
            <w:pPr>
              <w:keepNext w:val="0"/>
              <w:keepLines w:val="0"/>
              <w:pageBreakBefore w:val="0"/>
              <w:kinsoku/>
              <w:wordWrap/>
              <w:overflowPunct/>
              <w:topLinePunct w:val="0"/>
              <w:autoSpaceDE/>
              <w:autoSpaceDN/>
              <w:bidi w:val="0"/>
              <w:adjustRightInd/>
              <w:snapToGrid w:val="0"/>
              <w:spacing w:line="320" w:lineRule="exact"/>
              <w:ind w:firstLine="0" w:firstLineChars="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邮政编码：</w:t>
            </w:r>
          </w:p>
        </w:tc>
      </w:tr>
    </w:tbl>
    <w:p w14:paraId="4635C287">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21826893">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003C30FE">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46FC3ACA">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1BF5FC8D">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7107085F">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663D639A">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6A54F9E1">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304C411E">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61E6D84C">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061F0D40">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4BAF9A38">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4405C79C">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40186D3D">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55441A05">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4C0EB7EF">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099B8595">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161E242E">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w:t>
      </w:r>
    </w:p>
    <w:tbl>
      <w:tblPr>
        <w:tblStyle w:val="51"/>
        <w:tblW w:w="10411" w:type="dxa"/>
        <w:tblInd w:w="-3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39"/>
        <w:gridCol w:w="8092"/>
      </w:tblGrid>
      <w:tr w14:paraId="2A1A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411" w:type="dxa"/>
            <w:gridSpan w:val="3"/>
            <w:tcBorders>
              <w:top w:val="nil"/>
              <w:left w:val="nil"/>
              <w:bottom w:val="nil"/>
              <w:right w:val="nil"/>
            </w:tcBorders>
            <w:shd w:val="clear" w:color="auto" w:fill="auto"/>
            <w:noWrap/>
            <w:vAlign w:val="center"/>
          </w:tcPr>
          <w:p w14:paraId="1C59AD2B">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30"/>
                <w:szCs w:val="30"/>
                <w:highlight w:val="none"/>
                <w:u w:val="none"/>
                <w:lang w:val="en-US" w:eastAsia="zh-CN" w:bidi="ar"/>
              </w:rPr>
              <w:t>附件1：           柳州市人民医院污水处理服务质量要求</w:t>
            </w:r>
          </w:p>
        </w:tc>
      </w:tr>
      <w:tr w14:paraId="7538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242D">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b/>
                <w:bCs/>
                <w:i w:val="0"/>
                <w:iCs w:val="0"/>
                <w:color w:val="auto"/>
                <w:sz w:val="21"/>
                <w:szCs w:val="21"/>
                <w:highlight w:val="none"/>
                <w:u w:val="none"/>
              </w:rPr>
            </w:pPr>
            <w:r>
              <w:rPr>
                <w:rStyle w:val="200"/>
                <w:rFonts w:hint="eastAsia" w:ascii="宋体" w:hAnsi="宋体" w:eastAsia="宋体" w:cs="宋体"/>
                <w:color w:val="auto"/>
                <w:sz w:val="21"/>
                <w:szCs w:val="21"/>
                <w:highlight w:val="none"/>
                <w:lang w:val="en-US" w:eastAsia="zh-CN" w:bidi="ar"/>
              </w:rPr>
              <w:t>项目</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ED34">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b/>
                <w:bCs/>
                <w:i w:val="0"/>
                <w:iCs w:val="0"/>
                <w:color w:val="auto"/>
                <w:sz w:val="21"/>
                <w:szCs w:val="21"/>
                <w:highlight w:val="none"/>
                <w:u w:val="none"/>
              </w:rPr>
            </w:pPr>
            <w:r>
              <w:rPr>
                <w:rStyle w:val="200"/>
                <w:rFonts w:hint="eastAsia" w:ascii="宋体" w:hAnsi="宋体" w:eastAsia="宋体" w:cs="宋体"/>
                <w:color w:val="auto"/>
                <w:sz w:val="21"/>
                <w:szCs w:val="21"/>
                <w:highlight w:val="none"/>
                <w:lang w:val="en-US" w:eastAsia="zh-CN" w:bidi="ar"/>
              </w:rPr>
              <w:t>内容</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CA68">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b/>
                <w:bCs/>
                <w:i w:val="0"/>
                <w:iCs w:val="0"/>
                <w:color w:val="auto"/>
                <w:sz w:val="21"/>
                <w:szCs w:val="21"/>
                <w:highlight w:val="none"/>
                <w:u w:val="none"/>
              </w:rPr>
            </w:pPr>
            <w:r>
              <w:rPr>
                <w:rStyle w:val="200"/>
                <w:rFonts w:hint="eastAsia" w:ascii="宋体" w:hAnsi="宋体" w:eastAsia="宋体" w:cs="宋体"/>
                <w:color w:val="auto"/>
                <w:sz w:val="21"/>
                <w:szCs w:val="21"/>
                <w:highlight w:val="none"/>
                <w:lang w:val="en-US" w:eastAsia="zh-CN" w:bidi="ar"/>
              </w:rPr>
              <w:t>质量要求</w:t>
            </w:r>
          </w:p>
        </w:tc>
      </w:tr>
      <w:tr w14:paraId="102A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1CCE1">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污水处理标准</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B7168">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适用标准</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2169">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①严格按照《中华人民共和国环境保护法》、《医疗机构水污染物排放标准GB18466-2005》对甲方排放的污水进行预处理。</w:t>
            </w:r>
          </w:p>
        </w:tc>
      </w:tr>
      <w:tr w14:paraId="3D2C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33116">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B1D7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E12F">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②其他国家法律法规相关要求。</w:t>
            </w:r>
          </w:p>
        </w:tc>
      </w:tr>
      <w:tr w14:paraId="32CA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2AB95">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3F0C">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8DBA">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③环保主管部门要求。</w:t>
            </w:r>
          </w:p>
        </w:tc>
      </w:tr>
      <w:tr w14:paraId="4EC6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1606C">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污水处理质量</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CC0CF">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处理结果</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CC2F">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①第三方检测各项结果达标。</w:t>
            </w:r>
          </w:p>
        </w:tc>
      </w:tr>
      <w:tr w14:paraId="39A2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C102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B5C4">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EBA0">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②上级单位、卫生监督部门或环保部门检查、抽检结果达标。</w:t>
            </w:r>
          </w:p>
        </w:tc>
      </w:tr>
      <w:tr w14:paraId="62A9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D283E">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D211">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AA3">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③无违规处理或排放情况。</w:t>
            </w:r>
          </w:p>
        </w:tc>
      </w:tr>
      <w:tr w14:paraId="747F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14:paraId="453684C1">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管理能力</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D3D65">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制度保障</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F0C7">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①乙方应建立针对甲方污水处理系统运行的管理规章、制度，报甲方备案，甲方有权根据实际工作情况及需要提出修改建议，以便更好管理、评价乙方服务质量。</w:t>
            </w:r>
          </w:p>
        </w:tc>
      </w:tr>
      <w:tr w14:paraId="5F6E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4324294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D2183">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B816">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②乙方应建立针对甲方污水处理服务项目的各类应急预案，并定期组织服务人员进行应急培训，开展应急演练。</w:t>
            </w:r>
          </w:p>
        </w:tc>
      </w:tr>
      <w:tr w14:paraId="014EA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FDB13A1">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D9C97">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药剂管理</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888F">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①所采购的污水处理药剂必须为合格产品，产品生产厂家、批号、质检报告可查，在药剂有效期内使用。</w:t>
            </w:r>
          </w:p>
        </w:tc>
      </w:tr>
      <w:tr w14:paraId="3A9D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3B7BBC6">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8F226">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F867">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②乙方应建立污水处理药剂采购追溯机制并形成采购档案，各类药剂采购记录及发票齐全，每月向甲方备案，随时可查。</w:t>
            </w:r>
          </w:p>
        </w:tc>
      </w:tr>
      <w:tr w14:paraId="4EE5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0D6BF3BF">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A15F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E18">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③乙方应加强对药剂的保管、暂存，防止药剂丢失造成甲方、乙方人员或第三方损害，同时应保证药品在适宜的条件下暂存，余量充足，无变质、过期药剂投入污水处理。</w:t>
            </w:r>
          </w:p>
        </w:tc>
      </w:tr>
      <w:tr w14:paraId="61E0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6C0C6A57">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A2630">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B943">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④乙方在投入污水处理药剂后应及时对操作间及设备进行清理，避免药剂损坏设备、设施或造成环境污染。</w:t>
            </w:r>
          </w:p>
        </w:tc>
      </w:tr>
      <w:tr w14:paraId="4E5E5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A9FD1B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93B68">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设备设施维护保养</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E225">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妥善维护、使用、保管污水处理设施，严格按照《柳州市人民医院污水处理站设备维护保养与维修清单》列明的维护保养内容、维护保养周期对甲方设备进行维保，保证甲方原有污水处理主体设备的使用寿命达到20年（由不可抗拒的原因造成的损失除外）。</w:t>
            </w:r>
          </w:p>
        </w:tc>
      </w:tr>
      <w:tr w14:paraId="79CD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7DF788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45C8">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8050">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②建立有设备设施维护、保养、维修台账。</w:t>
            </w:r>
          </w:p>
        </w:tc>
      </w:tr>
      <w:tr w14:paraId="2129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43D797ED">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13085">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CD25">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③对易损件、耗材储备有维修、更换备件，有相应的零配件采购计划。</w:t>
            </w:r>
          </w:p>
        </w:tc>
      </w:tr>
      <w:tr w14:paraId="4672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4DB23416">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E7055">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9B1C">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④如遇设备故障，立即开启备用设备并根据应急预案处置，同时在7个工作日内完成设备维修工作。</w:t>
            </w:r>
          </w:p>
        </w:tc>
      </w:tr>
      <w:tr w14:paraId="67E2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1B796F6C">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6926E">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Style w:val="84"/>
                <w:rFonts w:hint="eastAsia" w:ascii="宋体" w:hAnsi="宋体" w:eastAsia="宋体" w:cs="宋体"/>
                <w:color w:val="auto"/>
                <w:sz w:val="21"/>
                <w:szCs w:val="21"/>
                <w:highlight w:val="none"/>
                <w:lang w:val="en-US" w:eastAsia="zh-CN" w:bidi="ar"/>
              </w:rPr>
              <w:t>安全管理</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7859">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Style w:val="84"/>
                <w:rFonts w:hint="eastAsia" w:ascii="宋体" w:hAnsi="宋体" w:eastAsia="宋体" w:cs="宋体"/>
                <w:color w:val="auto"/>
                <w:sz w:val="21"/>
                <w:szCs w:val="21"/>
                <w:highlight w:val="none"/>
                <w:lang w:val="en-US" w:eastAsia="zh-CN" w:bidi="ar"/>
              </w:rPr>
              <w:t>①严格落实安全生产措施，严格执行安全操作规范，严格遵守防火规定等。</w:t>
            </w:r>
          </w:p>
        </w:tc>
      </w:tr>
      <w:tr w14:paraId="71FA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54D84667">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2C291">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BEDA">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②无违反操作规程的无防护污水处理行为。</w:t>
            </w:r>
          </w:p>
        </w:tc>
      </w:tr>
      <w:tr w14:paraId="133D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EAE250D">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restart"/>
            <w:tcBorders>
              <w:top w:val="single" w:color="000000" w:sz="4" w:space="0"/>
              <w:left w:val="single" w:color="000000" w:sz="4" w:space="0"/>
              <w:bottom w:val="nil"/>
              <w:right w:val="single" w:color="000000" w:sz="4" w:space="0"/>
            </w:tcBorders>
            <w:shd w:val="clear" w:color="auto" w:fill="auto"/>
            <w:vAlign w:val="center"/>
          </w:tcPr>
          <w:p w14:paraId="7C25CA6B">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default" w:ascii="宋体" w:hAnsi="宋体" w:eastAsia="宋体" w:cs="宋体"/>
                <w:i w:val="0"/>
                <w:iCs w:val="0"/>
                <w:color w:val="auto"/>
                <w:sz w:val="21"/>
                <w:szCs w:val="21"/>
                <w:highlight w:val="none"/>
                <w:u w:val="none"/>
                <w:lang w:val="en-US"/>
              </w:rPr>
            </w:pPr>
            <w:r>
              <w:rPr>
                <w:rStyle w:val="84"/>
                <w:rFonts w:hint="eastAsia" w:ascii="宋体" w:hAnsi="宋体" w:eastAsia="宋体" w:cs="宋体"/>
                <w:color w:val="auto"/>
                <w:sz w:val="21"/>
                <w:szCs w:val="21"/>
                <w:highlight w:val="none"/>
                <w:lang w:val="en-US" w:eastAsia="zh-CN" w:bidi="ar"/>
              </w:rPr>
              <w:t>人员配备及管理要求</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E168">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乙方为甲方提供的服务团队应配备一名以上人员（含1人）具备环保专业中级以上职称、两名以上人员（含2人）具备《中华人民共和国职业资格证书》（废水处理工四级/中级以上职业资格）及一名以上人员（含1人）具备《环境保护设施运行人员技能培训合格证书》（自动监控污废水运行工）。</w:t>
            </w:r>
          </w:p>
        </w:tc>
      </w:tr>
      <w:tr w14:paraId="2234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3CA27225">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nil"/>
              <w:right w:val="single" w:color="000000" w:sz="4" w:space="0"/>
            </w:tcBorders>
            <w:shd w:val="clear" w:color="auto" w:fill="auto"/>
            <w:vAlign w:val="center"/>
          </w:tcPr>
          <w:p w14:paraId="26736F2A">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E427">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②根据投标承诺提供符合要求、足量的服务人员。</w:t>
            </w:r>
          </w:p>
        </w:tc>
      </w:tr>
      <w:tr w14:paraId="4F9C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419AFE8B">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nil"/>
              <w:right w:val="single" w:color="000000" w:sz="4" w:space="0"/>
            </w:tcBorders>
            <w:shd w:val="clear" w:color="auto" w:fill="auto"/>
            <w:vAlign w:val="center"/>
          </w:tcPr>
          <w:p w14:paraId="6A7F22ED">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BD02">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③日常污水处理人员应具备必要的证件（如身份证、健康证/健康体检报告、《中华人民共和国职业资格证书》（废水处理工四级/中级以上职业资格）等），服务期内证件有效。</w:t>
            </w:r>
          </w:p>
        </w:tc>
      </w:tr>
      <w:tr w14:paraId="4E15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72332C61">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nil"/>
              <w:right w:val="single" w:color="000000" w:sz="4" w:space="0"/>
            </w:tcBorders>
            <w:shd w:val="clear" w:color="auto" w:fill="auto"/>
            <w:vAlign w:val="center"/>
          </w:tcPr>
          <w:p w14:paraId="5EE99CA5">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EC76">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④乙方保证污水处理人员每年进行健康体检（费用由乙方全额负责），体检项目需包含环保部门、卫监部门及甲方要求的必检项目，留存污水处理人员健康体检报告随时备查。</w:t>
            </w:r>
          </w:p>
        </w:tc>
      </w:tr>
      <w:tr w14:paraId="53B2B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60833DB0">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nil"/>
              <w:right w:val="single" w:color="000000" w:sz="4" w:space="0"/>
            </w:tcBorders>
            <w:shd w:val="clear" w:color="auto" w:fill="auto"/>
            <w:vAlign w:val="center"/>
          </w:tcPr>
          <w:p w14:paraId="2152210D">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86A">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⑤乙方负责对服务人员进行岗位及专业培训，保证污水处理过程中污水处理人员做好个人防护并按规范执行污水处理操作，对污水处理人员定期/不定期开展专业、岗位职责、个人防护培训、各项应急培训及应急演练等，留存相关培训记录，随时备查。</w:t>
            </w:r>
          </w:p>
        </w:tc>
      </w:tr>
      <w:tr w14:paraId="2939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77786343">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8B9C7">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Style w:val="84"/>
                <w:rFonts w:hint="eastAsia" w:ascii="宋体" w:hAnsi="宋体" w:eastAsia="宋体" w:cs="宋体"/>
                <w:color w:val="auto"/>
                <w:sz w:val="21"/>
                <w:szCs w:val="21"/>
                <w:highlight w:val="none"/>
                <w:lang w:val="en-US" w:eastAsia="zh-CN" w:bidi="ar"/>
              </w:rPr>
              <w:t>档案管理</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BC02">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①建立本项目的服务管理档案，管理档案包括但不限于日常管理维护记录、运行监测记录、设备故障维修处理记录、巡查及改进记录、培训记录、药剂采购档案等，各类台账齐全。</w:t>
            </w:r>
          </w:p>
        </w:tc>
      </w:tr>
      <w:tr w14:paraId="144C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02041F5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F3C9">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8B1D">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②所有记录存档（保存时间5年以上），随时备查。</w:t>
            </w:r>
          </w:p>
        </w:tc>
      </w:tr>
      <w:tr w14:paraId="3A41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0E76A2F5">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9BE4">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1B61">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③考核月10日前将管理档案提交甲方查验、备案。</w:t>
            </w:r>
          </w:p>
        </w:tc>
      </w:tr>
      <w:tr w14:paraId="7A18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75CA1F7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94BC3">
            <w:pPr>
              <w:keepNext w:val="0"/>
              <w:keepLines w:val="0"/>
              <w:pageBreakBefore w:val="0"/>
              <w:widowControl/>
              <w:suppressLineNumbers w:val="0"/>
              <w:kinsoku/>
              <w:wordWrap/>
              <w:overflowPunct/>
              <w:topLinePunct w:val="0"/>
              <w:autoSpaceDE/>
              <w:autoSpaceDN/>
              <w:bidi w:val="0"/>
              <w:adjustRightInd/>
              <w:ind w:firstLine="0" w:firstLineChars="0"/>
              <w:jc w:val="center"/>
              <w:textAlignment w:val="center"/>
              <w:rPr>
                <w:rFonts w:hint="eastAsia" w:ascii="宋体" w:hAnsi="宋体" w:eastAsia="宋体" w:cs="宋体"/>
                <w:i w:val="0"/>
                <w:iCs w:val="0"/>
                <w:color w:val="auto"/>
                <w:sz w:val="21"/>
                <w:szCs w:val="21"/>
                <w:highlight w:val="none"/>
                <w:u w:val="none"/>
              </w:rPr>
            </w:pPr>
            <w:r>
              <w:rPr>
                <w:rStyle w:val="84"/>
                <w:rFonts w:hint="eastAsia" w:ascii="宋体" w:hAnsi="宋体" w:eastAsia="宋体" w:cs="宋体"/>
                <w:color w:val="auto"/>
                <w:sz w:val="21"/>
                <w:szCs w:val="21"/>
                <w:highlight w:val="none"/>
                <w:lang w:val="en-US" w:eastAsia="zh-CN" w:bidi="ar"/>
              </w:rPr>
              <w:t>响应速度</w:t>
            </w: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AC0A">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①因乙方污水处理不当引起投诉的，乙方项目负责人在接到甲方通知后1小时内到达现场进行处理。</w:t>
            </w:r>
          </w:p>
        </w:tc>
      </w:tr>
      <w:tr w14:paraId="59E6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6DB7873C">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5E15">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B647">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②突发严重紧急情况，接到甲方通知后，乙方应在0.5小时内派专业人员到达甲方现场进行处理。</w:t>
            </w:r>
          </w:p>
        </w:tc>
      </w:tr>
      <w:tr w14:paraId="54FE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14:paraId="21EB65D4">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6FD80">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i w:val="0"/>
                <w:iCs w:val="0"/>
                <w:color w:val="auto"/>
                <w:sz w:val="21"/>
                <w:szCs w:val="21"/>
                <w:highlight w:val="none"/>
                <w:u w:val="none"/>
              </w:rPr>
            </w:pPr>
          </w:p>
        </w:tc>
        <w:tc>
          <w:tcPr>
            <w:tcW w:w="8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BED1">
            <w:pPr>
              <w:keepNext w:val="0"/>
              <w:keepLines w:val="0"/>
              <w:pageBreakBefore w:val="0"/>
              <w:widowControl/>
              <w:suppressLineNumbers w:val="0"/>
              <w:kinsoku/>
              <w:wordWrap/>
              <w:overflowPunct/>
              <w:topLinePunct w:val="0"/>
              <w:autoSpaceDE/>
              <w:autoSpaceDN/>
              <w:bidi w:val="0"/>
              <w:adjustRightInd/>
              <w:ind w:firstLine="0" w:firstLineChars="0"/>
              <w:jc w:val="left"/>
              <w:textAlignment w:val="center"/>
              <w:rPr>
                <w:rFonts w:hint="eastAsia" w:ascii="宋体" w:hAnsi="宋体" w:eastAsia="宋体" w:cs="宋体"/>
                <w:i w:val="0"/>
                <w:iCs w:val="0"/>
                <w:color w:val="auto"/>
                <w:sz w:val="21"/>
                <w:szCs w:val="21"/>
                <w:highlight w:val="none"/>
                <w:u w:val="none"/>
              </w:rPr>
            </w:pPr>
            <w:r>
              <w:rPr>
                <w:rStyle w:val="84"/>
                <w:rFonts w:hint="eastAsia" w:ascii="宋体" w:hAnsi="宋体" w:eastAsia="宋体" w:cs="宋体"/>
                <w:color w:val="auto"/>
                <w:sz w:val="21"/>
                <w:szCs w:val="21"/>
                <w:highlight w:val="none"/>
                <w:lang w:val="en-US" w:eastAsia="zh-CN" w:bidi="ar"/>
              </w:rPr>
              <w:t>③非紧急情况，8小时内派专业人员到达。</w:t>
            </w:r>
          </w:p>
        </w:tc>
      </w:tr>
    </w:tbl>
    <w:p w14:paraId="4321969F">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7F00E565">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4"/>
          <w:szCs w:val="24"/>
          <w:highlight w:val="none"/>
          <w:lang w:val="en-US" w:eastAsia="zh-CN"/>
        </w:rPr>
      </w:pPr>
    </w:p>
    <w:p w14:paraId="0586DFB7">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3838513C">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328D2C27">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27204A1A">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5DA1F742">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5596F672">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637E6453">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4B4226AA">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547A2A2C">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16C07C9F">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76AEC134">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504CA67E">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4409438F">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16584A50">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p>
    <w:p w14:paraId="7EA4B8AA">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sectPr>
          <w:pgSz w:w="11906" w:h="16838"/>
          <w:pgMar w:top="1134" w:right="1191" w:bottom="850" w:left="1191"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14:paraId="15DFF7E1">
      <w:pPr>
        <w:keepNext w:val="0"/>
        <w:keepLines w:val="0"/>
        <w:pageBreakBefore w:val="0"/>
        <w:kinsoku/>
        <w:wordWrap/>
        <w:overflowPunct/>
        <w:topLinePunct w:val="0"/>
        <w:autoSpaceDE/>
        <w:autoSpaceDN/>
        <w:bidi w:val="0"/>
        <w:adjustRightInd/>
        <w:spacing w:line="276" w:lineRule="auto"/>
        <w:ind w:firstLine="0" w:firstLineChars="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附件2：    柳州市人民医院污水处理站设备维护保养与维修清单</w:t>
      </w:r>
    </w:p>
    <w:tbl>
      <w:tblPr>
        <w:tblStyle w:val="51"/>
        <w:tblpPr w:leftFromText="180" w:rightFromText="180" w:vertAnchor="text" w:horzAnchor="page" w:tblpX="1189" w:tblpY="462"/>
        <w:tblOverlap w:val="never"/>
        <w:tblW w:w="9846" w:type="dxa"/>
        <w:tblInd w:w="0" w:type="dxa"/>
        <w:tblLayout w:type="fixed"/>
        <w:tblCellMar>
          <w:top w:w="0" w:type="dxa"/>
          <w:left w:w="108" w:type="dxa"/>
          <w:bottom w:w="0" w:type="dxa"/>
          <w:right w:w="108" w:type="dxa"/>
        </w:tblCellMar>
      </w:tblPr>
      <w:tblGrid>
        <w:gridCol w:w="638"/>
        <w:gridCol w:w="731"/>
        <w:gridCol w:w="988"/>
        <w:gridCol w:w="1101"/>
        <w:gridCol w:w="777"/>
        <w:gridCol w:w="4834"/>
        <w:gridCol w:w="777"/>
      </w:tblGrid>
      <w:tr w14:paraId="71BB17A6">
        <w:tblPrEx>
          <w:tblCellMar>
            <w:top w:w="0" w:type="dxa"/>
            <w:left w:w="108" w:type="dxa"/>
            <w:bottom w:w="0" w:type="dxa"/>
            <w:right w:w="108"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14:paraId="5AC5055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b/>
                <w:bCs/>
                <w:color w:val="auto"/>
                <w:sz w:val="21"/>
                <w:szCs w:val="21"/>
                <w:highlight w:val="none"/>
              </w:rPr>
            </w:pPr>
            <w:r>
              <w:rPr>
                <w:rFonts w:hint="eastAsia" w:ascii="宋体" w:hAnsi="宋体" w:cs="宋体"/>
                <w:b/>
                <w:bCs/>
                <w:color w:val="auto"/>
                <w:kern w:val="0"/>
                <w:sz w:val="21"/>
                <w:szCs w:val="21"/>
                <w:highlight w:val="none"/>
              </w:rPr>
              <w:t>序号</w:t>
            </w:r>
          </w:p>
        </w:tc>
        <w:tc>
          <w:tcPr>
            <w:tcW w:w="731" w:type="dxa"/>
            <w:tcBorders>
              <w:top w:val="single" w:color="000000" w:sz="4" w:space="0"/>
              <w:left w:val="single" w:color="000000" w:sz="4" w:space="0"/>
              <w:bottom w:val="single" w:color="000000" w:sz="4" w:space="0"/>
              <w:right w:val="single" w:color="000000" w:sz="4" w:space="0"/>
            </w:tcBorders>
            <w:vAlign w:val="center"/>
          </w:tcPr>
          <w:p w14:paraId="64870A6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b/>
                <w:bCs/>
                <w:color w:val="auto"/>
                <w:sz w:val="21"/>
                <w:szCs w:val="21"/>
                <w:highlight w:val="none"/>
              </w:rPr>
            </w:pPr>
            <w:r>
              <w:rPr>
                <w:rFonts w:hint="eastAsia" w:ascii="宋体" w:hAnsi="宋体" w:cs="宋体"/>
                <w:b/>
                <w:bCs/>
                <w:color w:val="auto"/>
                <w:kern w:val="0"/>
                <w:sz w:val="21"/>
                <w:szCs w:val="21"/>
                <w:highlight w:val="none"/>
              </w:rPr>
              <w:t>项目名称</w:t>
            </w: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210A921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b/>
                <w:bCs/>
                <w:color w:val="auto"/>
                <w:sz w:val="21"/>
                <w:szCs w:val="21"/>
                <w:highlight w:val="none"/>
              </w:rPr>
            </w:pPr>
            <w:r>
              <w:rPr>
                <w:rFonts w:hint="eastAsia" w:ascii="宋体" w:hAnsi="宋体" w:cs="宋体"/>
                <w:b/>
                <w:bCs/>
                <w:color w:val="auto"/>
                <w:kern w:val="0"/>
                <w:sz w:val="21"/>
                <w:szCs w:val="21"/>
                <w:highlight w:val="none"/>
              </w:rPr>
              <w:t>设备名称</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F0742CB">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b/>
                <w:bCs/>
                <w:color w:val="auto"/>
                <w:sz w:val="21"/>
                <w:szCs w:val="21"/>
                <w:highlight w:val="none"/>
              </w:rPr>
            </w:pPr>
            <w:r>
              <w:rPr>
                <w:rFonts w:hint="eastAsia" w:ascii="宋体" w:hAnsi="宋体" w:cs="宋体"/>
                <w:b/>
                <w:bCs/>
                <w:color w:val="auto"/>
                <w:kern w:val="0"/>
                <w:sz w:val="21"/>
                <w:szCs w:val="21"/>
                <w:highlight w:val="none"/>
              </w:rPr>
              <w:t>数量</w:t>
            </w:r>
          </w:p>
        </w:tc>
        <w:tc>
          <w:tcPr>
            <w:tcW w:w="4834" w:type="dxa"/>
            <w:tcBorders>
              <w:top w:val="single" w:color="000000" w:sz="4" w:space="0"/>
              <w:left w:val="single" w:color="000000" w:sz="4" w:space="0"/>
              <w:bottom w:val="single" w:color="000000" w:sz="4" w:space="0"/>
              <w:right w:val="single" w:color="000000" w:sz="4" w:space="0"/>
            </w:tcBorders>
            <w:noWrap/>
            <w:vAlign w:val="center"/>
          </w:tcPr>
          <w:p w14:paraId="6B99049A">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维护保养内容</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191EB02">
            <w:pPr>
              <w:keepNext w:val="0"/>
              <w:keepLines w:val="0"/>
              <w:pageBreakBefore w:val="0"/>
              <w:widowControl/>
              <w:kinsoku/>
              <w:wordWrap/>
              <w:overflowPunct/>
              <w:topLinePunct w:val="0"/>
              <w:autoSpaceDE/>
              <w:autoSpaceDN/>
              <w:bidi w:val="0"/>
              <w:adjustRightInd/>
              <w:ind w:firstLine="0" w:firstLineChars="0"/>
              <w:jc w:val="center"/>
              <w:textAlignment w:val="center"/>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维护保养周期</w:t>
            </w:r>
          </w:p>
        </w:tc>
      </w:tr>
      <w:tr w14:paraId="39C1765B">
        <w:tblPrEx>
          <w:tblCellMar>
            <w:top w:w="0" w:type="dxa"/>
            <w:left w:w="108" w:type="dxa"/>
            <w:bottom w:w="0" w:type="dxa"/>
            <w:right w:w="108" w:type="dxa"/>
          </w:tblCellMar>
        </w:tblPrEx>
        <w:trPr>
          <w:trHeight w:val="702"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14:paraId="29AB357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p>
        </w:tc>
        <w:tc>
          <w:tcPr>
            <w:tcW w:w="731" w:type="dxa"/>
            <w:vMerge w:val="restart"/>
            <w:tcBorders>
              <w:top w:val="single" w:color="000000" w:sz="4" w:space="0"/>
              <w:left w:val="single" w:color="000000" w:sz="4" w:space="0"/>
              <w:bottom w:val="single" w:color="000000" w:sz="4" w:space="0"/>
              <w:right w:val="single" w:color="000000" w:sz="4" w:space="0"/>
            </w:tcBorders>
            <w:vAlign w:val="center"/>
          </w:tcPr>
          <w:p w14:paraId="5FA9342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hint="eastAsia" w:ascii="宋体" w:hAnsi="宋体" w:cs="宋体"/>
                <w:bCs/>
                <w:color w:val="auto"/>
                <w:kern w:val="0"/>
                <w:sz w:val="24"/>
                <w:highlight w:val="none"/>
              </w:rPr>
              <w:t>第二住院楼污水预处理设备</w:t>
            </w: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66D637DA">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隔栅</w:t>
            </w:r>
            <w:r>
              <w:rPr>
                <w:rFonts w:hint="eastAsia" w:ascii="宋体" w:hAnsi="宋体" w:eastAsia="宋体" w:cs="宋体"/>
                <w:bCs/>
                <w:color w:val="auto"/>
                <w:kern w:val="0"/>
                <w:sz w:val="21"/>
                <w:szCs w:val="21"/>
                <w:highlight w:val="none"/>
                <w:lang w:eastAsia="zh-CN"/>
              </w:rPr>
              <w:t>池</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936758A">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tcBorders>
              <w:top w:val="single" w:color="000000" w:sz="4" w:space="0"/>
              <w:left w:val="single" w:color="000000" w:sz="4" w:space="0"/>
              <w:bottom w:val="single" w:color="000000" w:sz="4" w:space="0"/>
              <w:right w:val="single" w:color="000000" w:sz="4" w:space="0"/>
            </w:tcBorders>
            <w:vAlign w:val="center"/>
          </w:tcPr>
          <w:p w14:paraId="7671017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 定期清理栅渣</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 检查隔栅网是否破损堵塞</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0FE2D87B">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lang w:eastAsia="zh-CN"/>
              </w:rPr>
              <w:t>每周</w:t>
            </w:r>
          </w:p>
        </w:tc>
      </w:tr>
      <w:tr w14:paraId="095992FC">
        <w:tblPrEx>
          <w:tblCellMar>
            <w:top w:w="0" w:type="dxa"/>
            <w:left w:w="108" w:type="dxa"/>
            <w:bottom w:w="0" w:type="dxa"/>
            <w:right w:w="108" w:type="dxa"/>
          </w:tblCellMar>
        </w:tblPrEx>
        <w:trPr>
          <w:trHeight w:val="1215"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3BDF3293">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767D659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38475B8B">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提升泵（潜污泵）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2C68C0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746F8960">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5FB6B6E9">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6E83B45A">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603C1A21">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5EAE6DA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149781AB">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5A38DD2B">
        <w:tblPrEx>
          <w:tblCellMar>
            <w:top w:w="0" w:type="dxa"/>
            <w:left w:w="108" w:type="dxa"/>
            <w:bottom w:w="0" w:type="dxa"/>
            <w:right w:w="108" w:type="dxa"/>
          </w:tblCellMar>
        </w:tblPrEx>
        <w:trPr>
          <w:trHeight w:val="94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5C715CAC">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5B2EC98D">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0EBD21FE">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回流泵（潜污泵）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0DED07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445AC460">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28D8C0A0">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47501EF8">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4EA9FF05">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15DAA67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71B22496">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7DED6998">
        <w:tblPrEx>
          <w:tblCellMar>
            <w:top w:w="0" w:type="dxa"/>
            <w:left w:w="108" w:type="dxa"/>
            <w:bottom w:w="0" w:type="dxa"/>
            <w:right w:w="108" w:type="dxa"/>
          </w:tblCellMar>
        </w:tblPrEx>
        <w:trPr>
          <w:trHeight w:val="125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4F7D251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41B31DFB">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5E06DDDC">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电磁隔膜计量泵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7306286">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325445EE">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进出药管有无腐蚀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破裂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，单向阀有无异物堵塞</w:t>
            </w:r>
            <w:r>
              <w:rPr>
                <w:rFonts w:hint="eastAsia" w:ascii="宋体" w:hAnsi="宋体" w:eastAsia="宋体" w:cs="宋体"/>
                <w:color w:val="auto"/>
                <w:sz w:val="21"/>
                <w:szCs w:val="21"/>
                <w:highlight w:val="none"/>
                <w:lang w:val="en-US" w:eastAsia="zh-CN"/>
              </w:rPr>
              <w:sym w:font="Wingdings" w:char="00A8"/>
            </w:r>
          </w:p>
          <w:p w14:paraId="61CBD3F7">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泵头连接螺钉有无松动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各连接件有无漏液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膜片有无损坏</w:t>
            </w:r>
            <w:r>
              <w:rPr>
                <w:rFonts w:hint="eastAsia" w:ascii="宋体" w:hAnsi="宋体" w:eastAsia="宋体" w:cs="宋体"/>
                <w:color w:val="auto"/>
                <w:sz w:val="21"/>
                <w:szCs w:val="21"/>
                <w:highlight w:val="none"/>
                <w:lang w:val="en-US" w:eastAsia="zh-CN"/>
              </w:rPr>
              <w:sym w:font="Wingdings" w:char="00A8"/>
            </w:r>
          </w:p>
          <w:p w14:paraId="73FD70A8">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排气阀门有无松动，漏气</w:t>
            </w:r>
            <w:r>
              <w:rPr>
                <w:rFonts w:hint="eastAsia" w:ascii="宋体" w:hAnsi="宋体" w:eastAsia="宋体" w:cs="宋体"/>
                <w:color w:val="auto"/>
                <w:sz w:val="21"/>
                <w:szCs w:val="21"/>
                <w:highlight w:val="none"/>
                <w:lang w:val="en-US" w:eastAsia="zh-CN"/>
              </w:rPr>
              <w:sym w:font="Wingdings" w:char="00A8"/>
            </w:r>
          </w:p>
          <w:p w14:paraId="2754C0F3">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电缆是否有破损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66402F5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77B0CD81">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340D3911">
        <w:tblPrEx>
          <w:tblCellMar>
            <w:top w:w="0" w:type="dxa"/>
            <w:left w:w="108" w:type="dxa"/>
            <w:bottom w:w="0" w:type="dxa"/>
            <w:right w:w="108" w:type="dxa"/>
          </w:tblCellMar>
        </w:tblPrEx>
        <w:trPr>
          <w:trHeight w:val="75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48F842B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0405C0AB">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3B43C5FF">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加药装置</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AAA5E1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664C5420">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各管路，阀门，连接管件是否漏液</w:t>
            </w:r>
            <w:r>
              <w:rPr>
                <w:rFonts w:hint="eastAsia" w:ascii="宋体" w:hAnsi="宋体" w:eastAsia="宋体" w:cs="宋体"/>
                <w:color w:val="auto"/>
                <w:sz w:val="21"/>
                <w:szCs w:val="21"/>
                <w:highlight w:val="none"/>
                <w:lang w:val="en-US" w:eastAsia="zh-CN"/>
              </w:rPr>
              <w:sym w:font="Wingdings" w:char="00A8"/>
            </w:r>
          </w:p>
          <w:p w14:paraId="340B3DAD">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 药箱表面有无腐蚀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焊接口是否漏液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tc>
        <w:tc>
          <w:tcPr>
            <w:tcW w:w="777" w:type="dxa"/>
            <w:tcBorders>
              <w:top w:val="single" w:color="000000" w:sz="4" w:space="0"/>
              <w:left w:val="single" w:color="000000" w:sz="4" w:space="0"/>
              <w:bottom w:val="single" w:color="000000" w:sz="4" w:space="0"/>
              <w:right w:val="single" w:color="000000" w:sz="4" w:space="0"/>
            </w:tcBorders>
            <w:vAlign w:val="center"/>
          </w:tcPr>
          <w:p w14:paraId="5747335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0A3CFFF5">
        <w:tblPrEx>
          <w:tblCellMar>
            <w:top w:w="0" w:type="dxa"/>
            <w:left w:w="108" w:type="dxa"/>
            <w:bottom w:w="0" w:type="dxa"/>
            <w:right w:w="108" w:type="dxa"/>
          </w:tblCellMar>
        </w:tblPrEx>
        <w:trPr>
          <w:trHeight w:val="94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0B6B46E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2C129B79">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76B2FD57">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电控箱（PLC)</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8CC1402">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234E3D72">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32C8BEB3">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06ECBC12">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395FE21A">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7942EF03">
        <w:tblPrEx>
          <w:tblCellMar>
            <w:top w:w="0" w:type="dxa"/>
            <w:left w:w="108" w:type="dxa"/>
            <w:bottom w:w="0" w:type="dxa"/>
            <w:right w:w="108" w:type="dxa"/>
          </w:tblCellMar>
        </w:tblPrEx>
        <w:trPr>
          <w:trHeight w:val="68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36B616C3">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030551D4">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718E6F70">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液位传感器</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ED79738">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728037C7">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1导线绝缘是否损坏或老化</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45C8DDC">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液位显示是否正常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69B1BA32">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传感器端头是否淤堵</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7B02D708">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111CF259">
        <w:tblPrEx>
          <w:tblCellMar>
            <w:top w:w="0" w:type="dxa"/>
            <w:left w:w="108" w:type="dxa"/>
            <w:bottom w:w="0" w:type="dxa"/>
            <w:right w:w="108" w:type="dxa"/>
          </w:tblCellMar>
        </w:tblPrEx>
        <w:trPr>
          <w:trHeight w:val="90" w:hRule="atLeast"/>
        </w:trPr>
        <w:tc>
          <w:tcPr>
            <w:tcW w:w="638" w:type="dxa"/>
            <w:vMerge w:val="restart"/>
            <w:tcBorders>
              <w:top w:val="single" w:color="000000" w:sz="4" w:space="0"/>
              <w:left w:val="single" w:color="000000" w:sz="4" w:space="0"/>
              <w:bottom w:val="single" w:color="000000" w:sz="4" w:space="0"/>
              <w:right w:val="single" w:color="000000" w:sz="4" w:space="0"/>
            </w:tcBorders>
            <w:noWrap/>
            <w:vAlign w:val="center"/>
          </w:tcPr>
          <w:p w14:paraId="1910CD0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p>
        </w:tc>
        <w:tc>
          <w:tcPr>
            <w:tcW w:w="731" w:type="dxa"/>
            <w:vMerge w:val="restart"/>
            <w:tcBorders>
              <w:top w:val="single" w:color="000000" w:sz="4" w:space="0"/>
              <w:left w:val="single" w:color="000000" w:sz="4" w:space="0"/>
              <w:bottom w:val="single" w:color="000000" w:sz="4" w:space="0"/>
              <w:right w:val="single" w:color="000000" w:sz="4" w:space="0"/>
            </w:tcBorders>
            <w:vAlign w:val="center"/>
          </w:tcPr>
          <w:p w14:paraId="7E616A2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hint="eastAsia" w:ascii="宋体" w:hAnsi="宋体" w:cs="宋体"/>
                <w:bCs/>
                <w:color w:val="auto"/>
                <w:kern w:val="0"/>
                <w:sz w:val="24"/>
                <w:highlight w:val="none"/>
              </w:rPr>
              <w:t>门诊化验室污水预处理</w:t>
            </w: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4B0DDFDD">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隔栅</w:t>
            </w:r>
            <w:r>
              <w:rPr>
                <w:rFonts w:hint="eastAsia" w:ascii="宋体" w:hAnsi="宋体" w:eastAsia="宋体" w:cs="宋体"/>
                <w:bCs/>
                <w:color w:val="auto"/>
                <w:kern w:val="0"/>
                <w:sz w:val="21"/>
                <w:szCs w:val="21"/>
                <w:highlight w:val="none"/>
                <w:lang w:eastAsia="zh-CN"/>
              </w:rPr>
              <w:t>池</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43363CF">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tcBorders>
              <w:top w:val="single" w:color="000000" w:sz="4" w:space="0"/>
              <w:left w:val="single" w:color="000000" w:sz="4" w:space="0"/>
              <w:bottom w:val="single" w:color="000000" w:sz="4" w:space="0"/>
              <w:right w:val="single" w:color="000000" w:sz="4" w:space="0"/>
            </w:tcBorders>
            <w:vAlign w:val="center"/>
          </w:tcPr>
          <w:p w14:paraId="5B83AA0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定期清理栅渣</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31625A6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 检查隔栅网是否破损堵塞</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23EFE8CA">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26B8F271">
        <w:tblPrEx>
          <w:tblCellMar>
            <w:top w:w="0" w:type="dxa"/>
            <w:left w:w="108" w:type="dxa"/>
            <w:bottom w:w="0" w:type="dxa"/>
            <w:right w:w="108" w:type="dxa"/>
          </w:tblCellMar>
        </w:tblPrEx>
        <w:trPr>
          <w:trHeight w:val="94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09F1E7DB">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137EBC9B">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0C0FE713">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提升泵（离心泵）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522E03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3</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7A2BBC7D">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12159D94">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63FE4F48">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07D7B803">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74CB99D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2BBDA5F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3DD8670E">
        <w:tblPrEx>
          <w:tblCellMar>
            <w:top w:w="0" w:type="dxa"/>
            <w:left w:w="108" w:type="dxa"/>
            <w:bottom w:w="0" w:type="dxa"/>
            <w:right w:w="108" w:type="dxa"/>
          </w:tblCellMar>
        </w:tblPrEx>
        <w:trPr>
          <w:trHeight w:val="94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046EB892">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1EBCABA5">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653EF499">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搅拌机</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B3AB7C4">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1D1D25D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 </w:t>
            </w:r>
            <w:r>
              <w:rPr>
                <w:rFonts w:hint="eastAsia" w:ascii="宋体" w:hAnsi="宋体" w:cs="宋体"/>
                <w:color w:val="auto"/>
                <w:sz w:val="21"/>
                <w:szCs w:val="21"/>
                <w:highlight w:val="none"/>
                <w:lang w:val="en-US" w:eastAsia="zh-CN"/>
              </w:rPr>
              <w:t>保持机体的清洁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EFB85C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 检查</w:t>
            </w:r>
            <w:r>
              <w:rPr>
                <w:rFonts w:hint="eastAsia" w:ascii="宋体" w:hAnsi="宋体" w:cs="宋体"/>
                <w:color w:val="auto"/>
                <w:sz w:val="21"/>
                <w:szCs w:val="21"/>
                <w:highlight w:val="none"/>
                <w:lang w:val="en-US" w:eastAsia="zh-CN"/>
              </w:rPr>
              <w:t>电路及控制设备</w:t>
            </w:r>
            <w:r>
              <w:rPr>
                <w:rFonts w:hint="eastAsia" w:ascii="宋体" w:hAnsi="宋体" w:eastAsia="宋体" w:cs="宋体"/>
                <w:color w:val="auto"/>
                <w:sz w:val="21"/>
                <w:szCs w:val="21"/>
                <w:highlight w:val="none"/>
                <w:lang w:val="en-US" w:eastAsia="zh-CN"/>
              </w:rPr>
              <w:t>是否</w:t>
            </w:r>
            <w:r>
              <w:rPr>
                <w:rFonts w:hint="eastAsia" w:ascii="宋体" w:hAnsi="宋体" w:cs="宋体"/>
                <w:color w:val="auto"/>
                <w:sz w:val="21"/>
                <w:szCs w:val="21"/>
                <w:highlight w:val="none"/>
                <w:lang w:val="en-US" w:eastAsia="zh-CN"/>
              </w:rPr>
              <w:t>完好</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6B4D723E">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409A515F">
        <w:tblPrEx>
          <w:tblCellMar>
            <w:top w:w="0" w:type="dxa"/>
            <w:left w:w="108" w:type="dxa"/>
            <w:bottom w:w="0" w:type="dxa"/>
            <w:right w:w="108" w:type="dxa"/>
          </w:tblCellMar>
        </w:tblPrEx>
        <w:trPr>
          <w:trHeight w:val="125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41F1A4A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B930E89">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46114C02">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电磁隔膜计量泵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7B1166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69F29647">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进出药管有无腐蚀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破裂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，单向阀有无异物堵塞</w:t>
            </w:r>
            <w:r>
              <w:rPr>
                <w:rFonts w:hint="eastAsia" w:ascii="宋体" w:hAnsi="宋体" w:eastAsia="宋体" w:cs="宋体"/>
                <w:color w:val="auto"/>
                <w:sz w:val="21"/>
                <w:szCs w:val="21"/>
                <w:highlight w:val="none"/>
                <w:lang w:val="en-US" w:eastAsia="zh-CN"/>
              </w:rPr>
              <w:sym w:font="Wingdings" w:char="00A8"/>
            </w:r>
          </w:p>
          <w:p w14:paraId="00713F51">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泵头连接螺钉有无松动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各连接件有无漏液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膜片有无损坏</w:t>
            </w:r>
            <w:r>
              <w:rPr>
                <w:rFonts w:hint="eastAsia" w:ascii="宋体" w:hAnsi="宋体" w:eastAsia="宋体" w:cs="宋体"/>
                <w:color w:val="auto"/>
                <w:sz w:val="21"/>
                <w:szCs w:val="21"/>
                <w:highlight w:val="none"/>
                <w:lang w:val="en-US" w:eastAsia="zh-CN"/>
              </w:rPr>
              <w:sym w:font="Wingdings" w:char="00A8"/>
            </w:r>
          </w:p>
          <w:p w14:paraId="4A5E3590">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排气阀门有无松动，漏气</w:t>
            </w:r>
            <w:r>
              <w:rPr>
                <w:rFonts w:hint="eastAsia" w:ascii="宋体" w:hAnsi="宋体" w:eastAsia="宋体" w:cs="宋体"/>
                <w:color w:val="auto"/>
                <w:sz w:val="21"/>
                <w:szCs w:val="21"/>
                <w:highlight w:val="none"/>
                <w:lang w:val="en-US" w:eastAsia="zh-CN"/>
              </w:rPr>
              <w:sym w:font="Wingdings" w:char="00A8"/>
            </w:r>
          </w:p>
          <w:p w14:paraId="2A6D14BF">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电缆是否有破损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371F233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49C6669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32D30E04">
        <w:tblPrEx>
          <w:tblCellMar>
            <w:top w:w="0" w:type="dxa"/>
            <w:left w:w="108" w:type="dxa"/>
            <w:bottom w:w="0" w:type="dxa"/>
            <w:right w:w="108" w:type="dxa"/>
          </w:tblCellMar>
        </w:tblPrEx>
        <w:trPr>
          <w:trHeight w:val="69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4E2D830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BCD0581">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5CFC3F58">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加药装置</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F333A58">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428F502A">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各管路，阀门，连接管件是否漏液</w:t>
            </w:r>
            <w:r>
              <w:rPr>
                <w:rFonts w:hint="eastAsia" w:ascii="宋体" w:hAnsi="宋体" w:eastAsia="宋体" w:cs="宋体"/>
                <w:color w:val="auto"/>
                <w:sz w:val="21"/>
                <w:szCs w:val="21"/>
                <w:highlight w:val="none"/>
                <w:lang w:val="en-US" w:eastAsia="zh-CN"/>
              </w:rPr>
              <w:sym w:font="Wingdings" w:char="00A8"/>
            </w:r>
          </w:p>
          <w:p w14:paraId="5F619F67">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2 药箱表面有无腐蚀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焊接口是否漏液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tc>
        <w:tc>
          <w:tcPr>
            <w:tcW w:w="777" w:type="dxa"/>
            <w:tcBorders>
              <w:top w:val="single" w:color="000000" w:sz="4" w:space="0"/>
              <w:left w:val="single" w:color="000000" w:sz="4" w:space="0"/>
              <w:bottom w:val="single" w:color="000000" w:sz="4" w:space="0"/>
              <w:right w:val="single" w:color="000000" w:sz="4" w:space="0"/>
            </w:tcBorders>
            <w:vAlign w:val="center"/>
          </w:tcPr>
          <w:p w14:paraId="2EC29656">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0A3CB178">
        <w:tblPrEx>
          <w:tblCellMar>
            <w:top w:w="0" w:type="dxa"/>
            <w:left w:w="108" w:type="dxa"/>
            <w:bottom w:w="0" w:type="dxa"/>
            <w:right w:w="108" w:type="dxa"/>
          </w:tblCellMar>
        </w:tblPrEx>
        <w:trPr>
          <w:trHeight w:val="944"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16F77D94">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2EADA014">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67A538A7">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电控箱（PLC)</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08BBBB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1C2F8520">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46CD4817">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0D78DF7C">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55F5413B">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538ACE46">
        <w:tblPrEx>
          <w:tblCellMar>
            <w:top w:w="0" w:type="dxa"/>
            <w:left w:w="108" w:type="dxa"/>
            <w:bottom w:w="0" w:type="dxa"/>
            <w:right w:w="108" w:type="dxa"/>
          </w:tblCellMar>
        </w:tblPrEx>
        <w:trPr>
          <w:trHeight w:val="651"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545C3F2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2347FB0">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2DF4EEF9">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液位传感器</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F4F1FA1">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16587C8A">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1导线绝缘是否损坏或老化</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32ACA9D">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液位显示是否正常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2F32DE51">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传感器端头是否淤堵</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56FA7532">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13ED830C">
        <w:tblPrEx>
          <w:tblCellMar>
            <w:top w:w="0" w:type="dxa"/>
            <w:left w:w="108" w:type="dxa"/>
            <w:bottom w:w="0" w:type="dxa"/>
            <w:right w:w="108" w:type="dxa"/>
          </w:tblCellMar>
        </w:tblPrEx>
        <w:trPr>
          <w:trHeight w:val="121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ign w:val="center"/>
          </w:tcPr>
          <w:p w14:paraId="4254339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3A3A666C">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03994FB4">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PH在线检测仪</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40A325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top"/>
          </w:tcPr>
          <w:p w14:paraId="51AD0E08">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检查进出水管路是否正常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3D907DB8">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2检查仪表数值显示是否有故障异常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8000F44">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3检查电极膜头是否有污垢污损</w:t>
            </w:r>
            <w:r>
              <w:rPr>
                <w:rFonts w:hint="eastAsia" w:ascii="宋体" w:hAnsi="宋体" w:eastAsia="宋体" w:cs="宋体"/>
                <w:color w:val="auto"/>
                <w:sz w:val="21"/>
                <w:szCs w:val="21"/>
                <w:highlight w:val="none"/>
                <w:lang w:val="en-US" w:eastAsia="zh-CN"/>
              </w:rPr>
              <w:sym w:font="Wingdings" w:char="00A8"/>
            </w:r>
          </w:p>
          <w:p w14:paraId="647E0AE8">
            <w:pPr>
              <w:keepNext w:val="0"/>
              <w:keepLines w:val="0"/>
              <w:pageBreakBefore w:val="0"/>
              <w:numPr>
                <w:ilvl w:val="0"/>
                <w:numId w:val="0"/>
              </w:numPr>
              <w:kinsoku/>
              <w:wordWrap/>
              <w:overflowPunct/>
              <w:topLinePunct w:val="0"/>
              <w:autoSpaceDE/>
              <w:autoSpaceDN/>
              <w:bidi w:val="0"/>
              <w:adjustRightInd/>
              <w:ind w:left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检查电极内电解液是否正常需定期加注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42591E2B">
            <w:pPr>
              <w:keepNext w:val="0"/>
              <w:keepLines w:val="0"/>
              <w:pageBreakBefore w:val="0"/>
              <w:numPr>
                <w:ilvl w:val="0"/>
                <w:numId w:val="0"/>
              </w:numPr>
              <w:kinsoku/>
              <w:wordWrap/>
              <w:overflowPunct/>
              <w:topLinePunct w:val="0"/>
              <w:autoSpaceDE/>
              <w:autoSpaceDN/>
              <w:bidi w:val="0"/>
              <w:adjustRightInd/>
              <w:ind w:lef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5定期对仪表进行标定（每月1次）</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2AAE0CEF">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652E6D6D">
        <w:tblPrEx>
          <w:tblCellMar>
            <w:top w:w="0" w:type="dxa"/>
            <w:left w:w="108" w:type="dxa"/>
            <w:bottom w:w="0" w:type="dxa"/>
            <w:right w:w="108" w:type="dxa"/>
          </w:tblCellMar>
        </w:tblPrEx>
        <w:trPr>
          <w:trHeight w:val="706" w:hRule="atLeast"/>
        </w:trPr>
        <w:tc>
          <w:tcPr>
            <w:tcW w:w="638" w:type="dxa"/>
            <w:vMerge w:val="restart"/>
            <w:tcBorders>
              <w:top w:val="single" w:color="000000" w:sz="4" w:space="0"/>
              <w:left w:val="single" w:color="000000" w:sz="4" w:space="0"/>
              <w:right w:val="single" w:color="000000" w:sz="4" w:space="0"/>
            </w:tcBorders>
            <w:noWrap/>
            <w:vAlign w:val="center"/>
          </w:tcPr>
          <w:p w14:paraId="23B650A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3</w:t>
            </w:r>
          </w:p>
        </w:tc>
        <w:tc>
          <w:tcPr>
            <w:tcW w:w="731" w:type="dxa"/>
            <w:vMerge w:val="restart"/>
            <w:tcBorders>
              <w:top w:val="single" w:color="000000" w:sz="4" w:space="0"/>
              <w:left w:val="single" w:color="000000" w:sz="4" w:space="0"/>
              <w:bottom w:val="single" w:color="000000" w:sz="4" w:space="0"/>
              <w:right w:val="single" w:color="000000" w:sz="4" w:space="0"/>
            </w:tcBorders>
            <w:vAlign w:val="center"/>
          </w:tcPr>
          <w:p w14:paraId="7C6D134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hint="eastAsia" w:ascii="宋体" w:hAnsi="宋体" w:cs="宋体"/>
                <w:bCs/>
                <w:color w:val="auto"/>
                <w:kern w:val="0"/>
                <w:sz w:val="24"/>
                <w:highlight w:val="none"/>
              </w:rPr>
              <w:t>综合污水预处理设备</w:t>
            </w: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0A997D01">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0"/>
                <w:sz w:val="21"/>
                <w:szCs w:val="21"/>
                <w:highlight w:val="none"/>
              </w:rPr>
              <w:t>隔栅</w:t>
            </w:r>
            <w:r>
              <w:rPr>
                <w:rFonts w:hint="eastAsia" w:ascii="宋体" w:hAnsi="宋体" w:eastAsia="宋体" w:cs="宋体"/>
                <w:bCs/>
                <w:color w:val="auto"/>
                <w:kern w:val="0"/>
                <w:sz w:val="21"/>
                <w:szCs w:val="21"/>
                <w:highlight w:val="none"/>
                <w:lang w:eastAsia="zh-CN"/>
              </w:rPr>
              <w:t>池</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6D7EE8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个</w:t>
            </w:r>
          </w:p>
        </w:tc>
        <w:tc>
          <w:tcPr>
            <w:tcW w:w="4834" w:type="dxa"/>
            <w:tcBorders>
              <w:top w:val="single" w:color="000000" w:sz="4" w:space="0"/>
              <w:left w:val="single" w:color="000000" w:sz="4" w:space="0"/>
              <w:bottom w:val="single" w:color="000000" w:sz="4" w:space="0"/>
              <w:right w:val="single" w:color="000000" w:sz="4" w:space="0"/>
            </w:tcBorders>
            <w:vAlign w:val="center"/>
          </w:tcPr>
          <w:p w14:paraId="069FAF2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 定期清理栅渣</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2 检查隔栅网是否破损堵塞</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61B3628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1D4E9D65">
        <w:tblPrEx>
          <w:tblCellMar>
            <w:top w:w="0" w:type="dxa"/>
            <w:left w:w="108" w:type="dxa"/>
            <w:bottom w:w="0" w:type="dxa"/>
            <w:right w:w="108" w:type="dxa"/>
          </w:tblCellMar>
        </w:tblPrEx>
        <w:trPr>
          <w:trHeight w:val="328" w:hRule="atLeast"/>
        </w:trPr>
        <w:tc>
          <w:tcPr>
            <w:tcW w:w="638" w:type="dxa"/>
            <w:vMerge w:val="continue"/>
            <w:tcBorders>
              <w:left w:val="single" w:color="000000" w:sz="4" w:space="0"/>
              <w:right w:val="single" w:color="000000" w:sz="4" w:space="0"/>
            </w:tcBorders>
            <w:noWrap/>
            <w:vAlign w:val="center"/>
          </w:tcPr>
          <w:p w14:paraId="5D31B486">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0550A2A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70D9A765">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提升泵（潜污泵4KW）</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2D3DA31">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4</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3FDE476F">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672AAF9D">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6BC42073">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095EF2CD">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05E15FEF">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7B89DA8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298A9DC8">
        <w:tblPrEx>
          <w:tblCellMar>
            <w:top w:w="0" w:type="dxa"/>
            <w:left w:w="108" w:type="dxa"/>
            <w:bottom w:w="0" w:type="dxa"/>
            <w:right w:w="108" w:type="dxa"/>
          </w:tblCellMar>
        </w:tblPrEx>
        <w:trPr>
          <w:trHeight w:val="944" w:hRule="atLeast"/>
        </w:trPr>
        <w:tc>
          <w:tcPr>
            <w:tcW w:w="638" w:type="dxa"/>
            <w:vMerge w:val="continue"/>
            <w:tcBorders>
              <w:left w:val="single" w:color="000000" w:sz="4" w:space="0"/>
              <w:right w:val="single" w:color="000000" w:sz="4" w:space="0"/>
            </w:tcBorders>
            <w:noWrap/>
            <w:vAlign w:val="center"/>
          </w:tcPr>
          <w:p w14:paraId="22B0924B">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1CCF2E24">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01D428EC">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回流泵（潜污泵）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32C32105">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369653B5">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5575B3FF">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1FC58751">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0F14A1E8">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30FDEC4C">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5ECF0B3E">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46A07F5C">
        <w:tblPrEx>
          <w:tblCellMar>
            <w:top w:w="0" w:type="dxa"/>
            <w:left w:w="108" w:type="dxa"/>
            <w:bottom w:w="0" w:type="dxa"/>
            <w:right w:w="108" w:type="dxa"/>
          </w:tblCellMar>
        </w:tblPrEx>
        <w:trPr>
          <w:trHeight w:val="1256" w:hRule="atLeast"/>
        </w:trPr>
        <w:tc>
          <w:tcPr>
            <w:tcW w:w="638" w:type="dxa"/>
            <w:vMerge w:val="continue"/>
            <w:tcBorders>
              <w:left w:val="single" w:color="000000" w:sz="4" w:space="0"/>
              <w:right w:val="single" w:color="000000" w:sz="4" w:space="0"/>
            </w:tcBorders>
            <w:noWrap/>
            <w:vAlign w:val="center"/>
          </w:tcPr>
          <w:p w14:paraId="6FC913F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49396EA5">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ign w:val="center"/>
          </w:tcPr>
          <w:p w14:paraId="607FB4F1">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加药装置</w:t>
            </w:r>
          </w:p>
        </w:tc>
        <w:tc>
          <w:tcPr>
            <w:tcW w:w="1101" w:type="dxa"/>
            <w:tcBorders>
              <w:top w:val="single" w:color="000000" w:sz="4" w:space="0"/>
              <w:left w:val="single" w:color="000000" w:sz="4" w:space="0"/>
              <w:bottom w:val="single" w:color="000000" w:sz="4" w:space="0"/>
              <w:right w:val="single" w:color="000000" w:sz="4" w:space="0"/>
            </w:tcBorders>
            <w:vAlign w:val="center"/>
          </w:tcPr>
          <w:p w14:paraId="5FE13CD1">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机械隔膜计量泵     （艾力芬特）</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ADF7738">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4</w:t>
            </w:r>
            <w:r>
              <w:rPr>
                <w:rFonts w:hint="eastAsia" w:ascii="宋体" w:hAnsi="宋体" w:cs="宋体"/>
                <w:bCs/>
                <w:color w:val="auto"/>
                <w:kern w:val="0"/>
                <w:sz w:val="24"/>
                <w:highlight w:val="none"/>
              </w:rPr>
              <w:t>台</w:t>
            </w:r>
          </w:p>
        </w:tc>
        <w:tc>
          <w:tcPr>
            <w:tcW w:w="4834" w:type="dxa"/>
            <w:vMerge w:val="restart"/>
            <w:tcBorders>
              <w:top w:val="single" w:color="000000" w:sz="4" w:space="0"/>
              <w:left w:val="single" w:color="000000" w:sz="4" w:space="0"/>
              <w:right w:val="single" w:color="000000" w:sz="4" w:space="0"/>
            </w:tcBorders>
            <w:vAlign w:val="center"/>
          </w:tcPr>
          <w:p w14:paraId="6EEF7631">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进出药管有无腐蚀</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破裂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，单向阀有无异物堵塞</w:t>
            </w:r>
            <w:r>
              <w:rPr>
                <w:rFonts w:hint="eastAsia" w:ascii="宋体" w:hAnsi="宋体" w:eastAsia="宋体" w:cs="宋体"/>
                <w:color w:val="auto"/>
                <w:sz w:val="21"/>
                <w:szCs w:val="21"/>
                <w:highlight w:val="none"/>
                <w:lang w:val="en-US" w:eastAsia="zh-CN"/>
              </w:rPr>
              <w:sym w:font="Wingdings" w:char="00A8"/>
            </w:r>
          </w:p>
          <w:p w14:paraId="78DD4832">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泵头连接螺钉有无松动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各连接件有无漏液</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膜片有无损坏</w:t>
            </w:r>
            <w:r>
              <w:rPr>
                <w:rFonts w:hint="eastAsia" w:ascii="宋体" w:hAnsi="宋体" w:eastAsia="宋体" w:cs="宋体"/>
                <w:color w:val="auto"/>
                <w:sz w:val="21"/>
                <w:szCs w:val="21"/>
                <w:highlight w:val="none"/>
                <w:lang w:val="en-US" w:eastAsia="zh-CN"/>
              </w:rPr>
              <w:sym w:font="Wingdings" w:char="00A8"/>
            </w:r>
          </w:p>
          <w:p w14:paraId="1174D1C9">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排气阀门有无松动，漏气</w:t>
            </w:r>
            <w:r>
              <w:rPr>
                <w:rFonts w:hint="eastAsia" w:ascii="宋体" w:hAnsi="宋体" w:eastAsia="宋体" w:cs="宋体"/>
                <w:color w:val="auto"/>
                <w:sz w:val="21"/>
                <w:szCs w:val="21"/>
                <w:highlight w:val="none"/>
                <w:lang w:val="en-US" w:eastAsia="zh-CN"/>
              </w:rPr>
              <w:sym w:font="Wingdings" w:char="00A8"/>
            </w:r>
          </w:p>
          <w:p w14:paraId="3A19C019">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电缆是否有破损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257D911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tc>
        <w:tc>
          <w:tcPr>
            <w:tcW w:w="777" w:type="dxa"/>
            <w:vMerge w:val="restart"/>
            <w:tcBorders>
              <w:top w:val="single" w:color="000000" w:sz="4" w:space="0"/>
              <w:left w:val="single" w:color="000000" w:sz="4" w:space="0"/>
              <w:right w:val="single" w:color="000000" w:sz="4" w:space="0"/>
            </w:tcBorders>
            <w:vAlign w:val="center"/>
          </w:tcPr>
          <w:p w14:paraId="69250B5A">
            <w:pPr>
              <w:keepNext w:val="0"/>
              <w:keepLines w:val="0"/>
              <w:pageBreakBefore w:val="0"/>
              <w:widowControl/>
              <w:kinsoku/>
              <w:wordWrap/>
              <w:overflowPunct/>
              <w:topLinePunct w:val="0"/>
              <w:autoSpaceDE/>
              <w:autoSpaceDN/>
              <w:bidi w:val="0"/>
              <w:adjustRightInd/>
              <w:ind w:firstLine="0" w:firstLineChars="0"/>
              <w:jc w:val="both"/>
              <w:textAlignment w:val="center"/>
              <w:rPr>
                <w:rFonts w:hint="eastAsia" w:ascii="宋体" w:hAnsi="宋体" w:cs="宋体"/>
                <w:bCs/>
                <w:color w:val="auto"/>
                <w:kern w:val="0"/>
                <w:sz w:val="24"/>
                <w:highlight w:val="none"/>
                <w:lang w:eastAsia="zh-CN"/>
              </w:rPr>
            </w:pPr>
          </w:p>
          <w:p w14:paraId="6B636A1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18F921DB">
        <w:tblPrEx>
          <w:tblCellMar>
            <w:top w:w="0" w:type="dxa"/>
            <w:left w:w="108" w:type="dxa"/>
            <w:bottom w:w="0" w:type="dxa"/>
            <w:right w:w="108" w:type="dxa"/>
          </w:tblCellMar>
        </w:tblPrEx>
        <w:trPr>
          <w:trHeight w:val="321" w:hRule="atLeast"/>
        </w:trPr>
        <w:tc>
          <w:tcPr>
            <w:tcW w:w="638" w:type="dxa"/>
            <w:vMerge w:val="continue"/>
            <w:tcBorders>
              <w:left w:val="single" w:color="000000" w:sz="4" w:space="0"/>
              <w:right w:val="single" w:color="000000" w:sz="4" w:space="0"/>
            </w:tcBorders>
            <w:noWrap/>
            <w:vAlign w:val="center"/>
          </w:tcPr>
          <w:p w14:paraId="71B79830">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4C54849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ign w:val="center"/>
          </w:tcPr>
          <w:p w14:paraId="741F7FCE">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530CB78">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药管</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6DF3458">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vMerge w:val="continue"/>
            <w:tcBorders>
              <w:left w:val="single" w:color="000000" w:sz="4" w:space="0"/>
              <w:bottom w:val="single" w:color="000000" w:sz="4" w:space="0"/>
              <w:right w:val="single" w:color="000000" w:sz="4" w:space="0"/>
            </w:tcBorders>
            <w:vAlign w:val="center"/>
          </w:tcPr>
          <w:p w14:paraId="580A6BF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p>
        </w:tc>
        <w:tc>
          <w:tcPr>
            <w:tcW w:w="777" w:type="dxa"/>
            <w:vMerge w:val="continue"/>
            <w:tcBorders>
              <w:left w:val="single" w:color="000000" w:sz="4" w:space="0"/>
              <w:bottom w:val="single" w:color="000000" w:sz="4" w:space="0"/>
              <w:right w:val="single" w:color="000000" w:sz="4" w:space="0"/>
            </w:tcBorders>
            <w:vAlign w:val="center"/>
          </w:tcPr>
          <w:p w14:paraId="00A45EF8">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p>
        </w:tc>
      </w:tr>
      <w:tr w14:paraId="15C2994F">
        <w:tblPrEx>
          <w:tblCellMar>
            <w:top w:w="0" w:type="dxa"/>
            <w:left w:w="108" w:type="dxa"/>
            <w:bottom w:w="0" w:type="dxa"/>
            <w:right w:w="108" w:type="dxa"/>
          </w:tblCellMar>
        </w:tblPrEx>
        <w:trPr>
          <w:trHeight w:val="434" w:hRule="atLeast"/>
        </w:trPr>
        <w:tc>
          <w:tcPr>
            <w:tcW w:w="638" w:type="dxa"/>
            <w:vMerge w:val="continue"/>
            <w:tcBorders>
              <w:left w:val="single" w:color="000000" w:sz="4" w:space="0"/>
              <w:right w:val="single" w:color="000000" w:sz="4" w:space="0"/>
            </w:tcBorders>
            <w:noWrap/>
            <w:vAlign w:val="center"/>
          </w:tcPr>
          <w:p w14:paraId="03772348">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DA7DAA2">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ign w:val="center"/>
          </w:tcPr>
          <w:p w14:paraId="6BED15B2">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574D5008">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污泥消毒泵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E6A874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320FD0F4">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2D05323B">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3992C67F">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6865311C">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6CA8344B">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12E365F5">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4CE18E47">
        <w:tblPrEx>
          <w:tblCellMar>
            <w:top w:w="0" w:type="dxa"/>
            <w:left w:w="108" w:type="dxa"/>
            <w:bottom w:w="0" w:type="dxa"/>
            <w:right w:w="108" w:type="dxa"/>
          </w:tblCellMar>
        </w:tblPrEx>
        <w:trPr>
          <w:trHeight w:val="635" w:hRule="atLeast"/>
        </w:trPr>
        <w:tc>
          <w:tcPr>
            <w:tcW w:w="638" w:type="dxa"/>
            <w:vMerge w:val="continue"/>
            <w:tcBorders>
              <w:left w:val="single" w:color="000000" w:sz="4" w:space="0"/>
              <w:right w:val="single" w:color="000000" w:sz="4" w:space="0"/>
            </w:tcBorders>
            <w:noWrap/>
            <w:vAlign w:val="center"/>
          </w:tcPr>
          <w:p w14:paraId="6E71F329">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40779375">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0F35168B">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停车楼预处理</w:t>
            </w:r>
          </w:p>
        </w:tc>
        <w:tc>
          <w:tcPr>
            <w:tcW w:w="1101" w:type="dxa"/>
            <w:tcBorders>
              <w:top w:val="single" w:color="000000" w:sz="4" w:space="0"/>
              <w:left w:val="single" w:color="000000" w:sz="4" w:space="0"/>
              <w:bottom w:val="single" w:color="000000" w:sz="4" w:space="0"/>
              <w:right w:val="single" w:color="000000" w:sz="4" w:space="0"/>
            </w:tcBorders>
            <w:vAlign w:val="center"/>
          </w:tcPr>
          <w:p w14:paraId="244B301A">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停车楼预处理1号泵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9C4EDCE">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05E0DA21">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0C9C5631">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4148CF3B">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5E9F4B1B">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3C80B326">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6AF3999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7427E4C3">
        <w:tblPrEx>
          <w:tblCellMar>
            <w:top w:w="0" w:type="dxa"/>
            <w:left w:w="108" w:type="dxa"/>
            <w:bottom w:w="0" w:type="dxa"/>
            <w:right w:w="108" w:type="dxa"/>
          </w:tblCellMar>
        </w:tblPrEx>
        <w:trPr>
          <w:trHeight w:val="635" w:hRule="atLeast"/>
        </w:trPr>
        <w:tc>
          <w:tcPr>
            <w:tcW w:w="638" w:type="dxa"/>
            <w:vMerge w:val="continue"/>
            <w:tcBorders>
              <w:left w:val="single" w:color="000000" w:sz="4" w:space="0"/>
              <w:right w:val="single" w:color="000000" w:sz="4" w:space="0"/>
            </w:tcBorders>
            <w:noWrap/>
            <w:vAlign w:val="center"/>
          </w:tcPr>
          <w:p w14:paraId="10D28AC8">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5DF0F816">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66C2785D">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vAlign w:val="center"/>
          </w:tcPr>
          <w:p w14:paraId="17C0B30D">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停车楼预处理2号泵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DC07641">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2BBD65B3">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46008CBC">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72DC0F3B">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269455BB">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11650AE2">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2DB7D01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055A1700">
        <w:tblPrEx>
          <w:tblCellMar>
            <w:top w:w="0" w:type="dxa"/>
            <w:left w:w="108" w:type="dxa"/>
            <w:bottom w:w="0" w:type="dxa"/>
            <w:right w:w="108" w:type="dxa"/>
          </w:tblCellMar>
        </w:tblPrEx>
        <w:trPr>
          <w:trHeight w:val="371" w:hRule="atLeast"/>
        </w:trPr>
        <w:tc>
          <w:tcPr>
            <w:tcW w:w="638" w:type="dxa"/>
            <w:vMerge w:val="continue"/>
            <w:tcBorders>
              <w:left w:val="single" w:color="000000" w:sz="4" w:space="0"/>
              <w:right w:val="single" w:color="000000" w:sz="4" w:space="0"/>
            </w:tcBorders>
            <w:noWrap/>
            <w:vAlign w:val="center"/>
          </w:tcPr>
          <w:p w14:paraId="77F3BCA6">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43DC2670">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5999B75A">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vAlign w:val="center"/>
          </w:tcPr>
          <w:p w14:paraId="39255EF8">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提升泵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FF1023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2563C54C">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03DA5D16">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43E05E80">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0291BB2A">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65C245D8">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6E013B3A">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295F2954">
        <w:tblPrEx>
          <w:tblCellMar>
            <w:top w:w="0" w:type="dxa"/>
            <w:left w:w="108" w:type="dxa"/>
            <w:bottom w:w="0" w:type="dxa"/>
            <w:right w:w="108" w:type="dxa"/>
          </w:tblCellMar>
        </w:tblPrEx>
        <w:trPr>
          <w:trHeight w:val="1256" w:hRule="atLeast"/>
        </w:trPr>
        <w:tc>
          <w:tcPr>
            <w:tcW w:w="638" w:type="dxa"/>
            <w:vMerge w:val="continue"/>
            <w:tcBorders>
              <w:left w:val="single" w:color="000000" w:sz="4" w:space="0"/>
              <w:right w:val="single" w:color="000000" w:sz="4" w:space="0"/>
            </w:tcBorders>
            <w:noWrap/>
            <w:vAlign w:val="center"/>
          </w:tcPr>
          <w:p w14:paraId="4238D0BD">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2F68055B">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618F2ECE">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vAlign w:val="center"/>
          </w:tcPr>
          <w:p w14:paraId="61694E4B">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回流泵</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000C4852">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台</w:t>
            </w:r>
          </w:p>
        </w:tc>
        <w:tc>
          <w:tcPr>
            <w:tcW w:w="4834" w:type="dxa"/>
            <w:tcBorders>
              <w:top w:val="single" w:color="000000" w:sz="4" w:space="0"/>
              <w:left w:val="single" w:color="000000" w:sz="4" w:space="0"/>
              <w:bottom w:val="single" w:color="000000" w:sz="4" w:space="0"/>
              <w:right w:val="single" w:color="000000" w:sz="4" w:space="0"/>
            </w:tcBorders>
            <w:vAlign w:val="center"/>
          </w:tcPr>
          <w:p w14:paraId="0D1F6FD1">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管路与水泵连接是否密封</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有无松动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管路有无破裂</w:t>
            </w:r>
            <w:r>
              <w:rPr>
                <w:rFonts w:hint="eastAsia" w:ascii="宋体" w:hAnsi="宋体" w:eastAsia="宋体" w:cs="宋体"/>
                <w:color w:val="auto"/>
                <w:sz w:val="21"/>
                <w:szCs w:val="21"/>
                <w:highlight w:val="none"/>
                <w:lang w:val="en-US" w:eastAsia="zh-CN"/>
              </w:rPr>
              <w:sym w:font="Wingdings" w:char="00A8"/>
            </w:r>
          </w:p>
          <w:p w14:paraId="4911882B">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水泵是否有堵塞</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是否漏水</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是否漏油</w:t>
            </w:r>
            <w:r>
              <w:rPr>
                <w:rFonts w:hint="eastAsia" w:ascii="宋体" w:hAnsi="宋体" w:eastAsia="宋体" w:cs="宋体"/>
                <w:color w:val="auto"/>
                <w:sz w:val="21"/>
                <w:szCs w:val="21"/>
                <w:highlight w:val="none"/>
                <w:lang w:val="en-US" w:eastAsia="zh-CN"/>
              </w:rPr>
              <w:sym w:font="Wingdings" w:char="00A8"/>
            </w:r>
          </w:p>
          <w:p w14:paraId="2A6BA6AF">
            <w:pPr>
              <w:keepNext w:val="0"/>
              <w:keepLines w:val="0"/>
              <w:pageBreakBefore w:val="0"/>
              <w:kinsoku/>
              <w:wordWrap/>
              <w:overflowPunct/>
              <w:topLinePunct w:val="0"/>
              <w:autoSpaceDE/>
              <w:autoSpaceDN/>
              <w:bidi w:val="0"/>
              <w:adjustRightInd/>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电缆是否破损</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是否折断</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是否有腐蚀现象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是否漏电</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接线端是否紧固</w:t>
            </w:r>
            <w:r>
              <w:rPr>
                <w:rFonts w:hint="eastAsia" w:ascii="宋体" w:hAnsi="宋体" w:eastAsia="宋体" w:cs="宋体"/>
                <w:color w:val="auto"/>
                <w:sz w:val="21"/>
                <w:szCs w:val="21"/>
                <w:highlight w:val="none"/>
                <w:lang w:val="en-US" w:eastAsia="zh-CN"/>
              </w:rPr>
              <w:sym w:font="Wingdings" w:char="00A8"/>
            </w:r>
          </w:p>
          <w:p w14:paraId="47AEEEC3">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电压是否正常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电流是否正常</w:t>
            </w:r>
            <w:r>
              <w:rPr>
                <w:rFonts w:hint="eastAsia" w:ascii="宋体" w:hAnsi="宋体" w:eastAsia="宋体" w:cs="宋体"/>
                <w:color w:val="auto"/>
                <w:sz w:val="21"/>
                <w:szCs w:val="21"/>
                <w:highlight w:val="none"/>
                <w:lang w:val="en-US" w:eastAsia="zh-CN"/>
              </w:rPr>
              <w:sym w:font="Wingdings" w:char="00A8"/>
            </w:r>
          </w:p>
          <w:p w14:paraId="5A4D6E13">
            <w:pPr>
              <w:keepNext w:val="0"/>
              <w:keepLines w:val="0"/>
              <w:pageBreakBefore w:val="0"/>
              <w:kinsoku/>
              <w:wordWrap/>
              <w:overflowPunct/>
              <w:topLinePunct w:val="0"/>
              <w:autoSpaceDE/>
              <w:autoSpaceDN/>
              <w:bidi w:val="0"/>
              <w:adjustRightInd/>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 水泵转动是否灵活</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转向是否正确</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1C780AC8">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45B664A2">
        <w:tblPrEx>
          <w:tblCellMar>
            <w:top w:w="0" w:type="dxa"/>
            <w:left w:w="108" w:type="dxa"/>
            <w:bottom w:w="0" w:type="dxa"/>
            <w:right w:w="108" w:type="dxa"/>
          </w:tblCellMar>
        </w:tblPrEx>
        <w:trPr>
          <w:trHeight w:val="944" w:hRule="atLeast"/>
        </w:trPr>
        <w:tc>
          <w:tcPr>
            <w:tcW w:w="638" w:type="dxa"/>
            <w:vMerge w:val="continue"/>
            <w:tcBorders>
              <w:left w:val="single" w:color="000000" w:sz="4" w:space="0"/>
              <w:right w:val="single" w:color="000000" w:sz="4" w:space="0"/>
            </w:tcBorders>
            <w:noWrap/>
            <w:vAlign w:val="center"/>
          </w:tcPr>
          <w:p w14:paraId="5ECF0E82">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3AE40D54">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0FBDDD45">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电控箱</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3B9981C">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25FEA606">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77928365">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0A75339B">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2F42DD0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176DF249">
        <w:tblPrEx>
          <w:tblCellMar>
            <w:top w:w="0" w:type="dxa"/>
            <w:left w:w="108" w:type="dxa"/>
            <w:bottom w:w="0" w:type="dxa"/>
            <w:right w:w="108" w:type="dxa"/>
          </w:tblCellMar>
        </w:tblPrEx>
        <w:trPr>
          <w:trHeight w:val="681" w:hRule="atLeast"/>
        </w:trPr>
        <w:tc>
          <w:tcPr>
            <w:tcW w:w="638" w:type="dxa"/>
            <w:vMerge w:val="continue"/>
            <w:tcBorders>
              <w:left w:val="single" w:color="000000" w:sz="4" w:space="0"/>
              <w:right w:val="single" w:color="000000" w:sz="4" w:space="0"/>
            </w:tcBorders>
            <w:noWrap/>
            <w:vAlign w:val="center"/>
          </w:tcPr>
          <w:p w14:paraId="3D3E47F6">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06597811">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1F63CFE9">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液位传感器</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1E8EE0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4400565D">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1导线绝缘是否损坏或老化</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2A621AA0">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液位显示是否正常</w:t>
            </w:r>
            <w:r>
              <w:rPr>
                <w:rFonts w:hint="eastAsia" w:ascii="宋体" w:hAnsi="宋体" w:eastAsia="宋体" w:cs="宋体"/>
                <w:color w:val="auto"/>
                <w:sz w:val="21"/>
                <w:szCs w:val="21"/>
                <w:highlight w:val="none"/>
                <w:lang w:val="en-US" w:eastAsia="zh-CN"/>
              </w:rPr>
              <w:sym w:font="Wingdings" w:char="00A8"/>
            </w:r>
          </w:p>
          <w:p w14:paraId="7C763730">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传感器端头是否淤堵</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1D50B55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20F8B276">
        <w:tblPrEx>
          <w:tblCellMar>
            <w:top w:w="0" w:type="dxa"/>
            <w:left w:w="108" w:type="dxa"/>
            <w:bottom w:w="0" w:type="dxa"/>
            <w:right w:w="108" w:type="dxa"/>
          </w:tblCellMar>
        </w:tblPrEx>
        <w:trPr>
          <w:trHeight w:val="996" w:hRule="atLeast"/>
        </w:trPr>
        <w:tc>
          <w:tcPr>
            <w:tcW w:w="638" w:type="dxa"/>
            <w:vMerge w:val="continue"/>
            <w:tcBorders>
              <w:left w:val="single" w:color="000000" w:sz="4" w:space="0"/>
              <w:right w:val="single" w:color="000000" w:sz="4" w:space="0"/>
            </w:tcBorders>
            <w:noWrap/>
            <w:vAlign w:val="center"/>
          </w:tcPr>
          <w:p w14:paraId="1A69E70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0C1BB0FB">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vAlign w:val="center"/>
          </w:tcPr>
          <w:p w14:paraId="6A903C53">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配电柜（包括1个PLC柜）</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FB69AEC">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3</w:t>
            </w:r>
            <w:r>
              <w:rPr>
                <w:rFonts w:hint="eastAsia" w:ascii="宋体" w:hAnsi="宋体" w:cs="宋体"/>
                <w:bCs/>
                <w:color w:val="auto"/>
                <w:kern w:val="0"/>
                <w:sz w:val="24"/>
                <w:highlight w:val="none"/>
              </w:rPr>
              <w:t>个</w:t>
            </w:r>
          </w:p>
        </w:tc>
        <w:tc>
          <w:tcPr>
            <w:tcW w:w="4834" w:type="dxa"/>
            <w:tcBorders>
              <w:top w:val="single" w:color="000000" w:sz="4" w:space="0"/>
              <w:left w:val="single" w:color="000000" w:sz="4" w:space="0"/>
              <w:bottom w:val="single" w:color="000000" w:sz="4" w:space="0"/>
              <w:right w:val="single" w:color="000000" w:sz="4" w:space="0"/>
            </w:tcBorders>
            <w:vAlign w:val="top"/>
          </w:tcPr>
          <w:p w14:paraId="01927194">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02358908">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16BB4FDE">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170906BC">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3414B5DE">
        <w:tblPrEx>
          <w:tblCellMar>
            <w:top w:w="0" w:type="dxa"/>
            <w:left w:w="108" w:type="dxa"/>
            <w:bottom w:w="0" w:type="dxa"/>
            <w:right w:w="108" w:type="dxa"/>
          </w:tblCellMar>
        </w:tblPrEx>
        <w:trPr>
          <w:trHeight w:val="479" w:hRule="atLeast"/>
        </w:trPr>
        <w:tc>
          <w:tcPr>
            <w:tcW w:w="638" w:type="dxa"/>
            <w:vMerge w:val="continue"/>
            <w:tcBorders>
              <w:left w:val="single" w:color="000000" w:sz="4" w:space="0"/>
              <w:right w:val="single" w:color="000000" w:sz="4" w:space="0"/>
            </w:tcBorders>
            <w:noWrap/>
            <w:vAlign w:val="center"/>
          </w:tcPr>
          <w:p w14:paraId="319B27F8">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0895551">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2B73F734">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软化水系统</w:t>
            </w: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3C80FBC1">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1号处理器</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894D3BC">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vMerge w:val="restart"/>
            <w:tcBorders>
              <w:top w:val="single" w:color="000000" w:sz="4" w:space="0"/>
              <w:left w:val="single" w:color="000000" w:sz="4" w:space="0"/>
              <w:right w:val="single" w:color="000000" w:sz="4" w:space="0"/>
            </w:tcBorders>
            <w:vAlign w:val="center"/>
          </w:tcPr>
          <w:p w14:paraId="6276A4C5">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1检查软化水硬度是否符合要求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3BA0A40D">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检查软水机各状态的出水情况是否正常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软水管路是否泄漏</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软水罐液位是否正常</w:t>
            </w:r>
            <w:r>
              <w:rPr>
                <w:rFonts w:hint="eastAsia" w:ascii="宋体" w:hAnsi="宋体" w:eastAsia="宋体" w:cs="宋体"/>
                <w:color w:val="auto"/>
                <w:sz w:val="21"/>
                <w:szCs w:val="21"/>
                <w:highlight w:val="none"/>
                <w:lang w:val="en-US" w:eastAsia="zh-CN"/>
              </w:rPr>
              <w:sym w:font="Wingdings" w:char="00A8"/>
            </w:r>
          </w:p>
          <w:p w14:paraId="262337C8">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3检查冷水机压力表压力是否正常</w:t>
            </w:r>
            <w:r>
              <w:rPr>
                <w:rFonts w:hint="eastAsia" w:ascii="宋体" w:hAnsi="宋体" w:eastAsia="宋体" w:cs="宋体"/>
                <w:color w:val="auto"/>
                <w:sz w:val="21"/>
                <w:szCs w:val="21"/>
                <w:highlight w:val="none"/>
                <w:lang w:val="en-US" w:eastAsia="zh-CN"/>
              </w:rPr>
              <w:sym w:font="Wingdings" w:char="00A8"/>
            </w:r>
          </w:p>
          <w:p w14:paraId="439263E3">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检查温控控制器是否正常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7EAC7D37">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5清洗媒体回水过滤器</w:t>
            </w:r>
            <w:r>
              <w:rPr>
                <w:rFonts w:hint="eastAsia" w:ascii="宋体" w:hAnsi="宋体" w:eastAsia="宋体" w:cs="宋体"/>
                <w:color w:val="auto"/>
                <w:sz w:val="21"/>
                <w:szCs w:val="21"/>
                <w:highlight w:val="none"/>
                <w:lang w:val="en-US" w:eastAsia="zh-CN"/>
              </w:rPr>
              <w:sym w:font="Wingdings" w:char="00A8"/>
            </w:r>
          </w:p>
          <w:p w14:paraId="4A200F3E">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清洗冷却水进水过滤器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D356911">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7清洗冷凝器过滤网</w:t>
            </w:r>
            <w:r>
              <w:rPr>
                <w:rFonts w:hint="eastAsia" w:ascii="宋体" w:hAnsi="宋体" w:eastAsia="宋体" w:cs="宋体"/>
                <w:color w:val="auto"/>
                <w:sz w:val="21"/>
                <w:szCs w:val="21"/>
                <w:highlight w:val="none"/>
                <w:lang w:val="en-US" w:eastAsia="zh-CN"/>
              </w:rPr>
              <w:sym w:font="Wingdings" w:char="00A8"/>
            </w:r>
          </w:p>
          <w:p w14:paraId="67194425">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8检查压缩机电流</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2ABE859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eastAsiaTheme="minorEastAsia"/>
                <w:bCs/>
                <w:color w:val="auto"/>
                <w:kern w:val="0"/>
                <w:sz w:val="24"/>
                <w:szCs w:val="22"/>
                <w:highlight w:val="none"/>
                <w:lang w:val="en-US" w:eastAsia="zh-CN" w:bidi="ar-SA"/>
              </w:rPr>
            </w:pPr>
            <w:r>
              <w:rPr>
                <w:rFonts w:hint="eastAsia" w:ascii="宋体" w:hAnsi="宋体" w:cs="宋体"/>
                <w:bCs/>
                <w:color w:val="auto"/>
                <w:kern w:val="0"/>
                <w:sz w:val="24"/>
                <w:highlight w:val="none"/>
                <w:lang w:eastAsia="zh-CN"/>
              </w:rPr>
              <w:t>每周</w:t>
            </w:r>
          </w:p>
        </w:tc>
      </w:tr>
      <w:tr w14:paraId="78B10F24">
        <w:tblPrEx>
          <w:tblCellMar>
            <w:top w:w="0" w:type="dxa"/>
            <w:left w:w="108" w:type="dxa"/>
            <w:bottom w:w="0" w:type="dxa"/>
            <w:right w:w="108" w:type="dxa"/>
          </w:tblCellMar>
        </w:tblPrEx>
        <w:trPr>
          <w:trHeight w:val="420" w:hRule="atLeast"/>
        </w:trPr>
        <w:tc>
          <w:tcPr>
            <w:tcW w:w="638" w:type="dxa"/>
            <w:vMerge w:val="continue"/>
            <w:tcBorders>
              <w:left w:val="single" w:color="000000" w:sz="4" w:space="0"/>
              <w:right w:val="single" w:color="000000" w:sz="4" w:space="0"/>
            </w:tcBorders>
            <w:noWrap/>
            <w:vAlign w:val="center"/>
          </w:tcPr>
          <w:p w14:paraId="31104053">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311C6F9">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27DE29FD">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64A4EC84">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2号处理器</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6F9B94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vMerge w:val="continue"/>
            <w:tcBorders>
              <w:left w:val="single" w:color="000000" w:sz="4" w:space="0"/>
              <w:right w:val="single" w:color="000000" w:sz="4" w:space="0"/>
            </w:tcBorders>
            <w:vAlign w:val="center"/>
          </w:tcPr>
          <w:p w14:paraId="7181C216">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ascii="宋体" w:hAnsi="宋体" w:cs="宋体"/>
                <w:bCs/>
                <w:color w:val="auto"/>
                <w:kern w:val="0"/>
                <w:sz w:val="24"/>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058E341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2D77E747">
        <w:tblPrEx>
          <w:tblCellMar>
            <w:top w:w="0" w:type="dxa"/>
            <w:left w:w="108" w:type="dxa"/>
            <w:bottom w:w="0" w:type="dxa"/>
            <w:right w:w="108" w:type="dxa"/>
          </w:tblCellMar>
        </w:tblPrEx>
        <w:trPr>
          <w:trHeight w:val="367" w:hRule="atLeast"/>
        </w:trPr>
        <w:tc>
          <w:tcPr>
            <w:tcW w:w="638" w:type="dxa"/>
            <w:vMerge w:val="continue"/>
            <w:tcBorders>
              <w:left w:val="single" w:color="000000" w:sz="4" w:space="0"/>
              <w:right w:val="single" w:color="000000" w:sz="4" w:space="0"/>
            </w:tcBorders>
            <w:noWrap/>
            <w:vAlign w:val="center"/>
          </w:tcPr>
          <w:p w14:paraId="13345540">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28A6557C">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29436120">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48165141">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冷水机组</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0AD196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vMerge w:val="continue"/>
            <w:tcBorders>
              <w:left w:val="single" w:color="000000" w:sz="4" w:space="0"/>
              <w:right w:val="single" w:color="000000" w:sz="4" w:space="0"/>
            </w:tcBorders>
            <w:vAlign w:val="center"/>
          </w:tcPr>
          <w:p w14:paraId="710BA0E5">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ascii="宋体" w:hAnsi="宋体" w:cs="宋体"/>
                <w:bCs/>
                <w:color w:val="auto"/>
                <w:kern w:val="0"/>
                <w:sz w:val="24"/>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416C8FCC">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7EEC41EB">
        <w:tblPrEx>
          <w:tblCellMar>
            <w:top w:w="0" w:type="dxa"/>
            <w:left w:w="108" w:type="dxa"/>
            <w:bottom w:w="0" w:type="dxa"/>
            <w:right w:w="108" w:type="dxa"/>
          </w:tblCellMar>
        </w:tblPrEx>
        <w:trPr>
          <w:trHeight w:val="377" w:hRule="atLeast"/>
        </w:trPr>
        <w:tc>
          <w:tcPr>
            <w:tcW w:w="638" w:type="dxa"/>
            <w:vMerge w:val="continue"/>
            <w:tcBorders>
              <w:left w:val="single" w:color="000000" w:sz="4" w:space="0"/>
              <w:right w:val="single" w:color="000000" w:sz="4" w:space="0"/>
            </w:tcBorders>
            <w:noWrap/>
            <w:vAlign w:val="center"/>
          </w:tcPr>
          <w:p w14:paraId="77D794B2">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2D60EFC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23C8B45E">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114737FF">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酸洗系统</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5024B4E">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vMerge w:val="continue"/>
            <w:tcBorders>
              <w:left w:val="single" w:color="000000" w:sz="4" w:space="0"/>
              <w:right w:val="single" w:color="000000" w:sz="4" w:space="0"/>
            </w:tcBorders>
            <w:vAlign w:val="center"/>
          </w:tcPr>
          <w:p w14:paraId="67DF1157">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ascii="宋体" w:hAnsi="宋体" w:cs="宋体"/>
                <w:bCs/>
                <w:color w:val="auto"/>
                <w:kern w:val="0"/>
                <w:sz w:val="24"/>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1C509F3F">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19179CC7">
        <w:tblPrEx>
          <w:tblCellMar>
            <w:top w:w="0" w:type="dxa"/>
            <w:left w:w="108" w:type="dxa"/>
            <w:bottom w:w="0" w:type="dxa"/>
            <w:right w:w="108" w:type="dxa"/>
          </w:tblCellMar>
        </w:tblPrEx>
        <w:trPr>
          <w:trHeight w:val="90" w:hRule="atLeast"/>
        </w:trPr>
        <w:tc>
          <w:tcPr>
            <w:tcW w:w="638" w:type="dxa"/>
            <w:vMerge w:val="continue"/>
            <w:tcBorders>
              <w:left w:val="single" w:color="000000" w:sz="4" w:space="0"/>
              <w:right w:val="single" w:color="000000" w:sz="4" w:space="0"/>
            </w:tcBorders>
            <w:noWrap/>
            <w:vAlign w:val="center"/>
          </w:tcPr>
          <w:p w14:paraId="2391871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19647BA">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0E7786F0">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noWrap/>
            <w:vAlign w:val="center"/>
          </w:tcPr>
          <w:p w14:paraId="03C0F25D">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18"/>
                <w:szCs w:val="18"/>
                <w:highlight w:val="none"/>
              </w:rPr>
            </w:pPr>
            <w:r>
              <w:rPr>
                <w:rFonts w:hint="eastAsia" w:ascii="宋体" w:hAnsi="宋体" w:eastAsia="宋体" w:cs="宋体"/>
                <w:bCs/>
                <w:color w:val="auto"/>
                <w:kern w:val="0"/>
                <w:sz w:val="18"/>
                <w:szCs w:val="18"/>
                <w:highlight w:val="none"/>
              </w:rPr>
              <w:t>软水储灌</w:t>
            </w:r>
          </w:p>
        </w:tc>
        <w:tc>
          <w:tcPr>
            <w:tcW w:w="777" w:type="dxa"/>
            <w:tcBorders>
              <w:top w:val="single" w:color="000000" w:sz="4" w:space="0"/>
              <w:left w:val="single" w:color="000000" w:sz="4" w:space="0"/>
              <w:bottom w:val="single" w:color="auto" w:sz="4" w:space="0"/>
              <w:right w:val="single" w:color="000000" w:sz="4" w:space="0"/>
            </w:tcBorders>
            <w:noWrap/>
            <w:vAlign w:val="center"/>
          </w:tcPr>
          <w:p w14:paraId="3704DB8A">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vMerge w:val="continue"/>
            <w:tcBorders>
              <w:left w:val="single" w:color="000000" w:sz="4" w:space="0"/>
              <w:bottom w:val="single" w:color="auto" w:sz="4" w:space="0"/>
              <w:right w:val="single" w:color="000000" w:sz="4" w:space="0"/>
            </w:tcBorders>
            <w:vAlign w:val="center"/>
          </w:tcPr>
          <w:p w14:paraId="203BCA5F">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ascii="宋体" w:hAnsi="宋体" w:cs="宋体"/>
                <w:bCs/>
                <w:color w:val="auto"/>
                <w:kern w:val="0"/>
                <w:sz w:val="24"/>
                <w:highlight w:val="none"/>
              </w:rPr>
            </w:pPr>
          </w:p>
        </w:tc>
        <w:tc>
          <w:tcPr>
            <w:tcW w:w="777" w:type="dxa"/>
            <w:tcBorders>
              <w:top w:val="single" w:color="000000" w:sz="4" w:space="0"/>
              <w:left w:val="single" w:color="000000" w:sz="4" w:space="0"/>
              <w:bottom w:val="single" w:color="000000" w:sz="4" w:space="0"/>
              <w:right w:val="single" w:color="000000" w:sz="4" w:space="0"/>
            </w:tcBorders>
            <w:vAlign w:val="center"/>
          </w:tcPr>
          <w:p w14:paraId="2DD3C2D5">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7D0987DD">
        <w:tblPrEx>
          <w:tblCellMar>
            <w:top w:w="0" w:type="dxa"/>
            <w:left w:w="108" w:type="dxa"/>
            <w:bottom w:w="0" w:type="dxa"/>
            <w:right w:w="108" w:type="dxa"/>
          </w:tblCellMar>
        </w:tblPrEx>
        <w:trPr>
          <w:trHeight w:val="745" w:hRule="atLeast"/>
        </w:trPr>
        <w:tc>
          <w:tcPr>
            <w:tcW w:w="638" w:type="dxa"/>
            <w:vMerge w:val="continue"/>
            <w:tcBorders>
              <w:left w:val="single" w:color="000000" w:sz="4" w:space="0"/>
              <w:right w:val="single" w:color="000000" w:sz="4" w:space="0"/>
            </w:tcBorders>
            <w:noWrap/>
            <w:vAlign w:val="center"/>
          </w:tcPr>
          <w:p w14:paraId="3D67AA74">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214C7628">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restart"/>
            <w:tcBorders>
              <w:top w:val="single" w:color="000000" w:sz="4" w:space="0"/>
              <w:left w:val="single" w:color="000000" w:sz="4" w:space="0"/>
              <w:bottom w:val="single" w:color="000000" w:sz="4" w:space="0"/>
              <w:right w:val="single" w:color="000000" w:sz="4" w:space="0"/>
            </w:tcBorders>
            <w:noWrap/>
            <w:vAlign w:val="center"/>
          </w:tcPr>
          <w:p w14:paraId="3E69882E">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溶盐系统</w:t>
            </w:r>
          </w:p>
        </w:tc>
        <w:tc>
          <w:tcPr>
            <w:tcW w:w="1101" w:type="dxa"/>
            <w:tcBorders>
              <w:top w:val="single" w:color="000000" w:sz="4" w:space="0"/>
              <w:left w:val="single" w:color="000000" w:sz="4" w:space="0"/>
              <w:bottom w:val="single" w:color="000000" w:sz="4" w:space="0"/>
              <w:right w:val="single" w:color="auto" w:sz="4" w:space="0"/>
            </w:tcBorders>
            <w:vAlign w:val="center"/>
          </w:tcPr>
          <w:p w14:paraId="378EB8BA">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螺旋绞龙上料机</w:t>
            </w:r>
          </w:p>
        </w:tc>
        <w:tc>
          <w:tcPr>
            <w:tcW w:w="777" w:type="dxa"/>
            <w:tcBorders>
              <w:top w:val="single" w:color="auto" w:sz="4" w:space="0"/>
              <w:left w:val="single" w:color="auto" w:sz="4" w:space="0"/>
              <w:bottom w:val="single" w:color="auto" w:sz="4" w:space="0"/>
              <w:right w:val="single" w:color="auto" w:sz="4" w:space="0"/>
            </w:tcBorders>
            <w:noWrap/>
            <w:vAlign w:val="center"/>
          </w:tcPr>
          <w:p w14:paraId="5D1130FE">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vMerge w:val="restart"/>
            <w:tcBorders>
              <w:top w:val="single" w:color="auto" w:sz="4" w:space="0"/>
              <w:left w:val="single" w:color="auto" w:sz="4" w:space="0"/>
              <w:bottom w:val="single" w:color="auto" w:sz="4" w:space="0"/>
              <w:right w:val="single" w:color="auto" w:sz="4" w:space="0"/>
            </w:tcBorders>
            <w:vAlign w:val="center"/>
          </w:tcPr>
          <w:p w14:paraId="612FEE7F">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1检查盐水罐内进水浮球开关是否正常、灵活好用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29E53D0A">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检查清理盐罐内杂物</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检查盐位水位是否正常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盐位不低于最低盐位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7699790D">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3检查浓盐罐内液位是否正常</w:t>
            </w:r>
            <w:r>
              <w:rPr>
                <w:rFonts w:hint="eastAsia" w:ascii="宋体" w:hAnsi="宋体" w:eastAsia="宋体" w:cs="宋体"/>
                <w:color w:val="auto"/>
                <w:sz w:val="21"/>
                <w:szCs w:val="21"/>
                <w:highlight w:val="none"/>
                <w:lang w:val="en-US" w:eastAsia="zh-CN"/>
              </w:rPr>
              <w:sym w:font="Wingdings" w:char="00A8"/>
            </w:r>
          </w:p>
          <w:p w14:paraId="4034BBFD">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检查盐水管路是否畅通/渗漏</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609CC15">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5检查盐上料螺旋输送机是否正常</w:t>
            </w:r>
            <w:r>
              <w:rPr>
                <w:rFonts w:hint="eastAsia" w:ascii="宋体" w:hAnsi="宋体" w:eastAsia="宋体" w:cs="宋体"/>
                <w:color w:val="auto"/>
                <w:sz w:val="21"/>
                <w:szCs w:val="21"/>
                <w:highlight w:val="none"/>
                <w:lang w:val="en-US" w:eastAsia="zh-CN"/>
              </w:rPr>
              <w:sym w:font="Wingdings" w:char="00A8"/>
            </w:r>
          </w:p>
          <w:p w14:paraId="28C426AA">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检查螺旋输送机皮带是否正常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47C28DB9">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rPr>
              <w:t>7定期加注润滑油脂</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tc>
        <w:tc>
          <w:tcPr>
            <w:tcW w:w="777" w:type="dxa"/>
            <w:tcBorders>
              <w:top w:val="single" w:color="000000" w:sz="4" w:space="0"/>
              <w:left w:val="single" w:color="auto" w:sz="4" w:space="0"/>
              <w:bottom w:val="single" w:color="000000" w:sz="4" w:space="0"/>
              <w:right w:val="single" w:color="000000" w:sz="4" w:space="0"/>
            </w:tcBorders>
            <w:vAlign w:val="center"/>
          </w:tcPr>
          <w:p w14:paraId="55B58E2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19377CFF">
        <w:tblPrEx>
          <w:tblCellMar>
            <w:top w:w="0" w:type="dxa"/>
            <w:left w:w="108" w:type="dxa"/>
            <w:bottom w:w="0" w:type="dxa"/>
            <w:right w:w="108" w:type="dxa"/>
          </w:tblCellMar>
        </w:tblPrEx>
        <w:trPr>
          <w:trHeight w:val="824" w:hRule="atLeast"/>
        </w:trPr>
        <w:tc>
          <w:tcPr>
            <w:tcW w:w="638" w:type="dxa"/>
            <w:vMerge w:val="continue"/>
            <w:tcBorders>
              <w:left w:val="single" w:color="000000" w:sz="4" w:space="0"/>
              <w:right w:val="single" w:color="000000" w:sz="4" w:space="0"/>
            </w:tcBorders>
            <w:noWrap/>
            <w:vAlign w:val="center"/>
          </w:tcPr>
          <w:p w14:paraId="245CD15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7AF40314">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noWrap/>
            <w:vAlign w:val="center"/>
          </w:tcPr>
          <w:p w14:paraId="722ACC78">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auto" w:sz="4" w:space="0"/>
            </w:tcBorders>
            <w:vAlign w:val="center"/>
          </w:tcPr>
          <w:p w14:paraId="5ECC922E">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4000G溶盐罐</w:t>
            </w:r>
          </w:p>
        </w:tc>
        <w:tc>
          <w:tcPr>
            <w:tcW w:w="777" w:type="dxa"/>
            <w:tcBorders>
              <w:top w:val="single" w:color="auto" w:sz="4" w:space="0"/>
              <w:left w:val="single" w:color="auto" w:sz="4" w:space="0"/>
              <w:bottom w:val="single" w:color="auto" w:sz="4" w:space="0"/>
              <w:right w:val="single" w:color="auto" w:sz="4" w:space="0"/>
            </w:tcBorders>
            <w:noWrap/>
            <w:vAlign w:val="center"/>
          </w:tcPr>
          <w:p w14:paraId="272817AB">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vMerge w:val="continue"/>
            <w:tcBorders>
              <w:top w:val="single" w:color="auto" w:sz="4" w:space="0"/>
              <w:left w:val="single" w:color="auto" w:sz="4" w:space="0"/>
              <w:bottom w:val="single" w:color="auto" w:sz="4" w:space="0"/>
              <w:right w:val="single" w:color="auto" w:sz="4" w:space="0"/>
            </w:tcBorders>
            <w:vAlign w:val="center"/>
          </w:tcPr>
          <w:p w14:paraId="32A3D7A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p>
        </w:tc>
        <w:tc>
          <w:tcPr>
            <w:tcW w:w="777" w:type="dxa"/>
            <w:tcBorders>
              <w:top w:val="single" w:color="000000" w:sz="4" w:space="0"/>
              <w:left w:val="single" w:color="auto" w:sz="4" w:space="0"/>
              <w:bottom w:val="single" w:color="000000" w:sz="4" w:space="0"/>
              <w:right w:val="single" w:color="000000" w:sz="4" w:space="0"/>
            </w:tcBorders>
            <w:vAlign w:val="center"/>
          </w:tcPr>
          <w:p w14:paraId="637700D5">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50A596D1">
        <w:tblPrEx>
          <w:tblCellMar>
            <w:top w:w="0" w:type="dxa"/>
            <w:left w:w="108" w:type="dxa"/>
            <w:bottom w:w="0" w:type="dxa"/>
            <w:right w:w="108" w:type="dxa"/>
          </w:tblCellMar>
        </w:tblPrEx>
        <w:trPr>
          <w:trHeight w:val="1868" w:hRule="atLeast"/>
        </w:trPr>
        <w:tc>
          <w:tcPr>
            <w:tcW w:w="638" w:type="dxa"/>
            <w:vMerge w:val="continue"/>
            <w:tcBorders>
              <w:left w:val="single" w:color="000000" w:sz="4" w:space="0"/>
              <w:right w:val="single" w:color="000000" w:sz="4" w:space="0"/>
            </w:tcBorders>
            <w:noWrap/>
            <w:vAlign w:val="center"/>
          </w:tcPr>
          <w:p w14:paraId="5A9FEAF5">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49F50A3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auto" w:sz="4" w:space="0"/>
            </w:tcBorders>
            <w:noWrap/>
            <w:vAlign w:val="center"/>
          </w:tcPr>
          <w:p w14:paraId="289EFEF7">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次氯酸钠发生器</w:t>
            </w:r>
          </w:p>
        </w:tc>
        <w:tc>
          <w:tcPr>
            <w:tcW w:w="777" w:type="dxa"/>
            <w:tcBorders>
              <w:top w:val="single" w:color="auto" w:sz="4" w:space="0"/>
              <w:left w:val="single" w:color="auto" w:sz="4" w:space="0"/>
              <w:bottom w:val="single" w:color="auto" w:sz="4" w:space="0"/>
              <w:right w:val="single" w:color="auto" w:sz="4" w:space="0"/>
            </w:tcBorders>
            <w:noWrap/>
            <w:vAlign w:val="center"/>
          </w:tcPr>
          <w:p w14:paraId="39E2E6E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套</w:t>
            </w:r>
          </w:p>
        </w:tc>
        <w:tc>
          <w:tcPr>
            <w:tcW w:w="4834" w:type="dxa"/>
            <w:vMerge w:val="restart"/>
            <w:tcBorders>
              <w:top w:val="single" w:color="auto" w:sz="4" w:space="0"/>
              <w:left w:val="single" w:color="auto" w:sz="4" w:space="0"/>
              <w:bottom w:val="single" w:color="auto" w:sz="4" w:space="0"/>
              <w:right w:val="single" w:color="auto" w:sz="4" w:space="0"/>
            </w:tcBorders>
            <w:vAlign w:val="center"/>
          </w:tcPr>
          <w:p w14:paraId="73DC50DB">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1检查各设备供电指示灯是否正常，电源指示灯亮</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7F1592EE">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检查发生器的管道与电极连接处是否渗漏</w:t>
            </w:r>
            <w:r>
              <w:rPr>
                <w:rFonts w:hint="eastAsia" w:ascii="宋体" w:hAnsi="宋体" w:eastAsia="宋体" w:cs="宋体"/>
                <w:color w:val="auto"/>
                <w:sz w:val="21"/>
                <w:szCs w:val="21"/>
                <w:highlight w:val="none"/>
                <w:lang w:val="en-US" w:eastAsia="zh-CN"/>
              </w:rPr>
              <w:sym w:font="Wingdings" w:char="00A8"/>
            </w:r>
          </w:p>
          <w:p w14:paraId="0A406E5B">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3检查发生器各阀门开闭是否处于正确位置</w:t>
            </w:r>
            <w:r>
              <w:rPr>
                <w:rFonts w:hint="eastAsia" w:ascii="宋体" w:hAnsi="宋体" w:eastAsia="宋体" w:cs="宋体"/>
                <w:color w:val="auto"/>
                <w:sz w:val="21"/>
                <w:szCs w:val="21"/>
                <w:highlight w:val="none"/>
                <w:lang w:val="en-US" w:eastAsia="zh-CN"/>
              </w:rPr>
              <w:sym w:font="Wingdings" w:char="00A8"/>
            </w:r>
          </w:p>
          <w:p w14:paraId="5F308558">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检查水泵冲程及油位是否正常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FDD7880">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5检查整流器供电电流、电压是否正常</w:t>
            </w:r>
            <w:r>
              <w:rPr>
                <w:rFonts w:hint="eastAsia" w:ascii="宋体" w:hAnsi="宋体" w:eastAsia="宋体" w:cs="宋体"/>
                <w:color w:val="auto"/>
                <w:sz w:val="21"/>
                <w:szCs w:val="21"/>
                <w:highlight w:val="none"/>
                <w:lang w:val="en-US" w:eastAsia="zh-CN"/>
              </w:rPr>
              <w:sym w:font="Wingdings" w:char="00A8"/>
            </w:r>
          </w:p>
          <w:p w14:paraId="1BCBAFA9">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6 检查发生器进出水温度是否正常进水温度大于10℃，出口次氯酸钠溶液温度应小于50℃ </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7F6DEA95">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7检查电解槽内电解反应气泡是否正常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44F4D0E6">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8检查脱氢系统风机是否运转正常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6768E2C0">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9检查产出的次氯酸钠溶液浓度是否正常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4E7A4ACF">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电解槽需参照说明定期保养（至少2个月一次）</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tc>
        <w:tc>
          <w:tcPr>
            <w:tcW w:w="777" w:type="dxa"/>
            <w:tcBorders>
              <w:top w:val="single" w:color="000000" w:sz="4" w:space="0"/>
              <w:left w:val="single" w:color="auto" w:sz="4" w:space="0"/>
              <w:bottom w:val="single" w:color="000000" w:sz="4" w:space="0"/>
              <w:right w:val="single" w:color="000000" w:sz="4" w:space="0"/>
            </w:tcBorders>
            <w:vAlign w:val="center"/>
          </w:tcPr>
          <w:p w14:paraId="64CBFDCE">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0B269A71">
        <w:tblPrEx>
          <w:tblCellMar>
            <w:top w:w="0" w:type="dxa"/>
            <w:left w:w="108" w:type="dxa"/>
            <w:bottom w:w="0" w:type="dxa"/>
            <w:right w:w="108" w:type="dxa"/>
          </w:tblCellMar>
        </w:tblPrEx>
        <w:trPr>
          <w:trHeight w:val="715" w:hRule="atLeast"/>
        </w:trPr>
        <w:tc>
          <w:tcPr>
            <w:tcW w:w="638" w:type="dxa"/>
            <w:vMerge w:val="continue"/>
            <w:tcBorders>
              <w:left w:val="single" w:color="000000" w:sz="4" w:space="0"/>
              <w:right w:val="single" w:color="000000" w:sz="4" w:space="0"/>
            </w:tcBorders>
            <w:noWrap/>
            <w:vAlign w:val="center"/>
          </w:tcPr>
          <w:p w14:paraId="67649442">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33D7310">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auto" w:sz="4" w:space="0"/>
            </w:tcBorders>
            <w:noWrap/>
            <w:vAlign w:val="center"/>
          </w:tcPr>
          <w:p w14:paraId="7DB8F0A1">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电导率仪</w:t>
            </w:r>
          </w:p>
        </w:tc>
        <w:tc>
          <w:tcPr>
            <w:tcW w:w="777" w:type="dxa"/>
            <w:tcBorders>
              <w:top w:val="single" w:color="auto" w:sz="4" w:space="0"/>
              <w:left w:val="single" w:color="auto" w:sz="4" w:space="0"/>
              <w:bottom w:val="single" w:color="auto" w:sz="4" w:space="0"/>
              <w:right w:val="single" w:color="auto" w:sz="4" w:space="0"/>
            </w:tcBorders>
            <w:noWrap/>
            <w:vAlign w:val="center"/>
          </w:tcPr>
          <w:p w14:paraId="25C6CCB6">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套</w:t>
            </w:r>
          </w:p>
        </w:tc>
        <w:tc>
          <w:tcPr>
            <w:tcW w:w="4834" w:type="dxa"/>
            <w:vMerge w:val="continue"/>
            <w:tcBorders>
              <w:top w:val="single" w:color="auto" w:sz="4" w:space="0"/>
              <w:left w:val="single" w:color="auto" w:sz="4" w:space="0"/>
              <w:bottom w:val="single" w:color="auto" w:sz="4" w:space="0"/>
              <w:right w:val="single" w:color="auto" w:sz="4" w:space="0"/>
            </w:tcBorders>
            <w:vAlign w:val="center"/>
          </w:tcPr>
          <w:p w14:paraId="4A8881A4">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360" w:lineRule="auto"/>
              <w:ind w:left="0" w:leftChars="0" w:right="0" w:rightChars="0" w:firstLine="0" w:firstLineChars="0"/>
              <w:jc w:val="both"/>
              <w:rPr>
                <w:rFonts w:hint="eastAsia" w:ascii="宋体" w:hAnsi="宋体" w:eastAsia="宋体" w:cs="宋体"/>
                <w:color w:val="auto"/>
                <w:kern w:val="2"/>
                <w:sz w:val="21"/>
                <w:szCs w:val="21"/>
                <w:highlight w:val="none"/>
                <w:lang w:val="en-US" w:eastAsia="zh-CN" w:bidi="ar"/>
              </w:rPr>
            </w:pPr>
          </w:p>
        </w:tc>
        <w:tc>
          <w:tcPr>
            <w:tcW w:w="777" w:type="dxa"/>
            <w:tcBorders>
              <w:top w:val="single" w:color="000000" w:sz="4" w:space="0"/>
              <w:left w:val="single" w:color="auto" w:sz="4" w:space="0"/>
              <w:bottom w:val="single" w:color="000000" w:sz="4" w:space="0"/>
              <w:right w:val="single" w:color="000000" w:sz="4" w:space="0"/>
            </w:tcBorders>
            <w:vAlign w:val="center"/>
          </w:tcPr>
          <w:p w14:paraId="5B906D60">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5D98094F">
        <w:tblPrEx>
          <w:tblCellMar>
            <w:top w:w="0" w:type="dxa"/>
            <w:left w:w="108" w:type="dxa"/>
            <w:bottom w:w="0" w:type="dxa"/>
            <w:right w:w="108" w:type="dxa"/>
          </w:tblCellMar>
        </w:tblPrEx>
        <w:trPr>
          <w:trHeight w:val="715" w:hRule="atLeast"/>
        </w:trPr>
        <w:tc>
          <w:tcPr>
            <w:tcW w:w="638" w:type="dxa"/>
            <w:vMerge w:val="continue"/>
            <w:tcBorders>
              <w:left w:val="single" w:color="000000" w:sz="4" w:space="0"/>
              <w:right w:val="single" w:color="000000" w:sz="4" w:space="0"/>
            </w:tcBorders>
            <w:noWrap/>
            <w:vAlign w:val="center"/>
          </w:tcPr>
          <w:p w14:paraId="738A4AAB">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77A7771">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auto" w:sz="4" w:space="0"/>
            </w:tcBorders>
            <w:noWrap/>
            <w:vAlign w:val="center"/>
          </w:tcPr>
          <w:p w14:paraId="485FE933">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次氯酸钠消毒液储罐</w:t>
            </w:r>
          </w:p>
        </w:tc>
        <w:tc>
          <w:tcPr>
            <w:tcW w:w="777" w:type="dxa"/>
            <w:tcBorders>
              <w:top w:val="single" w:color="auto" w:sz="4" w:space="0"/>
              <w:left w:val="single" w:color="auto" w:sz="4" w:space="0"/>
              <w:bottom w:val="single" w:color="auto" w:sz="4" w:space="0"/>
              <w:right w:val="single" w:color="auto" w:sz="4" w:space="0"/>
            </w:tcBorders>
            <w:noWrap/>
            <w:vAlign w:val="center"/>
          </w:tcPr>
          <w:p w14:paraId="635E3DC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vMerge w:val="continue"/>
            <w:tcBorders>
              <w:top w:val="single" w:color="auto" w:sz="4" w:space="0"/>
              <w:left w:val="single" w:color="auto" w:sz="4" w:space="0"/>
              <w:bottom w:val="single" w:color="auto" w:sz="4" w:space="0"/>
              <w:right w:val="single" w:color="auto" w:sz="4" w:space="0"/>
            </w:tcBorders>
            <w:vAlign w:val="center"/>
          </w:tcPr>
          <w:p w14:paraId="79C2B9CE">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p>
        </w:tc>
        <w:tc>
          <w:tcPr>
            <w:tcW w:w="777" w:type="dxa"/>
            <w:tcBorders>
              <w:top w:val="single" w:color="000000" w:sz="4" w:space="0"/>
              <w:left w:val="single" w:color="auto" w:sz="4" w:space="0"/>
              <w:bottom w:val="single" w:color="000000" w:sz="4" w:space="0"/>
              <w:right w:val="single" w:color="000000" w:sz="4" w:space="0"/>
            </w:tcBorders>
            <w:vAlign w:val="center"/>
          </w:tcPr>
          <w:p w14:paraId="1B159693">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77F2A17D">
        <w:tblPrEx>
          <w:tblCellMar>
            <w:top w:w="0" w:type="dxa"/>
            <w:left w:w="108" w:type="dxa"/>
            <w:bottom w:w="0" w:type="dxa"/>
            <w:right w:w="108" w:type="dxa"/>
          </w:tblCellMar>
        </w:tblPrEx>
        <w:trPr>
          <w:trHeight w:val="612" w:hRule="atLeast"/>
        </w:trPr>
        <w:tc>
          <w:tcPr>
            <w:tcW w:w="638" w:type="dxa"/>
            <w:vMerge w:val="continue"/>
            <w:tcBorders>
              <w:left w:val="single" w:color="000000" w:sz="4" w:space="0"/>
              <w:right w:val="single" w:color="000000" w:sz="4" w:space="0"/>
            </w:tcBorders>
            <w:noWrap/>
            <w:vAlign w:val="center"/>
          </w:tcPr>
          <w:p w14:paraId="0E8F96E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60734F09">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2E661B5C">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等离子活性炭除臭装置</w:t>
            </w:r>
          </w:p>
        </w:tc>
        <w:tc>
          <w:tcPr>
            <w:tcW w:w="1101" w:type="dxa"/>
            <w:tcBorders>
              <w:top w:val="single" w:color="000000" w:sz="4" w:space="0"/>
              <w:left w:val="single" w:color="000000" w:sz="4" w:space="0"/>
              <w:bottom w:val="single" w:color="000000" w:sz="4" w:space="0"/>
              <w:right w:val="single" w:color="auto" w:sz="4" w:space="0"/>
            </w:tcBorders>
            <w:noWrap/>
            <w:vAlign w:val="center"/>
          </w:tcPr>
          <w:p w14:paraId="2739590C">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除臭箱</w:t>
            </w:r>
          </w:p>
        </w:tc>
        <w:tc>
          <w:tcPr>
            <w:tcW w:w="777" w:type="dxa"/>
            <w:vMerge w:val="restart"/>
            <w:tcBorders>
              <w:top w:val="single" w:color="auto" w:sz="4" w:space="0"/>
              <w:left w:val="single" w:color="auto" w:sz="4" w:space="0"/>
              <w:bottom w:val="single" w:color="auto" w:sz="4" w:space="0"/>
              <w:right w:val="single" w:color="auto" w:sz="4" w:space="0"/>
            </w:tcBorders>
            <w:noWrap/>
            <w:vAlign w:val="center"/>
          </w:tcPr>
          <w:p w14:paraId="110E0FCE">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vMerge w:val="restart"/>
            <w:tcBorders>
              <w:top w:val="single" w:color="auto" w:sz="4" w:space="0"/>
              <w:left w:val="single" w:color="auto" w:sz="4" w:space="0"/>
              <w:bottom w:val="single" w:color="auto" w:sz="4" w:space="0"/>
              <w:right w:val="single" w:color="auto" w:sz="4" w:space="0"/>
            </w:tcBorders>
            <w:vAlign w:val="center"/>
          </w:tcPr>
          <w:p w14:paraId="342817C3">
            <w:pPr>
              <w:keepNext w:val="0"/>
              <w:keepLines w:val="0"/>
              <w:pageBreakBefore w:val="0"/>
              <w:kinsoku/>
              <w:wordWrap/>
              <w:overflowPunct/>
              <w:topLinePunct w:val="0"/>
              <w:autoSpaceDE/>
              <w:autoSpaceDN/>
              <w:bidi w:val="0"/>
              <w:adjustRightInd/>
              <w:spacing w:line="24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15AE8294">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、运行指示灯是否指示正常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引风机及风管是否正常</w:t>
            </w:r>
            <w:r>
              <w:rPr>
                <w:rFonts w:hint="eastAsia" w:ascii="宋体" w:hAnsi="宋体" w:eastAsia="宋体" w:cs="宋体"/>
                <w:color w:val="auto"/>
                <w:sz w:val="21"/>
                <w:szCs w:val="21"/>
                <w:highlight w:val="none"/>
                <w:lang w:val="en-US" w:eastAsia="zh-CN"/>
              </w:rPr>
              <w:sym w:font="Wingdings" w:char="00A8"/>
            </w:r>
          </w:p>
          <w:p w14:paraId="606C642B">
            <w:pPr>
              <w:keepNext w:val="0"/>
              <w:keepLines w:val="0"/>
              <w:pageBreakBefore w:val="0"/>
              <w:numPr>
                <w:ilvl w:val="0"/>
                <w:numId w:val="11"/>
              </w:numPr>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检查过滤棉是否堵塞，定期更换</w:t>
            </w:r>
            <w:r>
              <w:rPr>
                <w:rFonts w:hint="eastAsia" w:ascii="宋体" w:hAnsi="宋体" w:eastAsia="宋体" w:cs="宋体"/>
                <w:color w:val="auto"/>
                <w:sz w:val="21"/>
                <w:szCs w:val="21"/>
                <w:highlight w:val="none"/>
                <w:lang w:val="en-US" w:eastAsia="zh-CN"/>
              </w:rPr>
              <w:sym w:font="Wingdings" w:char="00A8"/>
            </w:r>
          </w:p>
          <w:p w14:paraId="7AF8C2F3">
            <w:pPr>
              <w:keepNext w:val="0"/>
              <w:keepLines w:val="0"/>
              <w:pageBreakBefore w:val="0"/>
              <w:numPr>
                <w:ilvl w:val="0"/>
                <w:numId w:val="11"/>
              </w:numPr>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检查等离子电场是否污损</w:t>
            </w:r>
            <w:r>
              <w:rPr>
                <w:rFonts w:hint="eastAsia" w:ascii="宋体" w:hAnsi="宋体" w:eastAsia="宋体" w:cs="宋体"/>
                <w:color w:val="auto"/>
                <w:sz w:val="21"/>
                <w:szCs w:val="21"/>
                <w:highlight w:val="none"/>
                <w:lang w:val="en-US" w:eastAsia="zh-CN"/>
              </w:rPr>
              <w:sym w:font="Wingdings" w:char="00A8"/>
            </w:r>
          </w:p>
          <w:p w14:paraId="58894964">
            <w:pPr>
              <w:keepNext w:val="0"/>
              <w:keepLines w:val="0"/>
              <w:pageBreakBefore w:val="0"/>
              <w:numPr>
                <w:ilvl w:val="0"/>
                <w:numId w:val="11"/>
              </w:numPr>
              <w:suppressLineNumbers w:val="0"/>
              <w:kinsoku/>
              <w:wordWrap/>
              <w:overflowPunct/>
              <w:topLinePunct w:val="0"/>
              <w:autoSpaceDE/>
              <w:autoSpaceDN/>
              <w:bidi w:val="0"/>
              <w:adjustRightInd/>
              <w:spacing w:before="78" w:beforeLines="25" w:beforeAutospacing="0" w:after="0" w:afterAutospacing="0" w:line="24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检查过滤活性炭是否污饱和需定期更换</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tc>
        <w:tc>
          <w:tcPr>
            <w:tcW w:w="777" w:type="dxa"/>
            <w:vMerge w:val="restart"/>
            <w:tcBorders>
              <w:top w:val="single" w:color="000000" w:sz="4" w:space="0"/>
              <w:left w:val="single" w:color="auto" w:sz="4" w:space="0"/>
              <w:right w:val="single" w:color="000000" w:sz="4" w:space="0"/>
            </w:tcBorders>
            <w:vAlign w:val="center"/>
          </w:tcPr>
          <w:p w14:paraId="727E54A5">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cs="宋体"/>
                <w:bCs/>
                <w:color w:val="auto"/>
                <w:kern w:val="0"/>
                <w:sz w:val="24"/>
                <w:highlight w:val="none"/>
                <w:lang w:eastAsia="zh-CN"/>
              </w:rPr>
            </w:pPr>
          </w:p>
          <w:p w14:paraId="0825348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r>
              <w:rPr>
                <w:rFonts w:hint="eastAsia" w:ascii="宋体" w:hAnsi="宋体" w:cs="宋体"/>
                <w:bCs/>
                <w:color w:val="auto"/>
                <w:kern w:val="0"/>
                <w:sz w:val="24"/>
                <w:highlight w:val="none"/>
                <w:lang w:eastAsia="zh-CN"/>
              </w:rPr>
              <w:t>每周</w:t>
            </w:r>
          </w:p>
        </w:tc>
      </w:tr>
      <w:tr w14:paraId="7B128A8B">
        <w:tblPrEx>
          <w:tblCellMar>
            <w:top w:w="0" w:type="dxa"/>
            <w:left w:w="108" w:type="dxa"/>
            <w:bottom w:w="0" w:type="dxa"/>
            <w:right w:w="108" w:type="dxa"/>
          </w:tblCellMar>
        </w:tblPrEx>
        <w:trPr>
          <w:trHeight w:val="1875" w:hRule="atLeast"/>
        </w:trPr>
        <w:tc>
          <w:tcPr>
            <w:tcW w:w="638" w:type="dxa"/>
            <w:vMerge w:val="continue"/>
            <w:tcBorders>
              <w:left w:val="single" w:color="000000" w:sz="4" w:space="0"/>
              <w:right w:val="single" w:color="000000" w:sz="4" w:space="0"/>
            </w:tcBorders>
            <w:noWrap/>
            <w:vAlign w:val="center"/>
          </w:tcPr>
          <w:p w14:paraId="0617FAF0">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37F4200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4DDB508D">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auto" w:sz="4" w:space="0"/>
            </w:tcBorders>
            <w:noWrap/>
            <w:vAlign w:val="center"/>
          </w:tcPr>
          <w:p w14:paraId="1979D707">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电箱</w:t>
            </w:r>
          </w:p>
        </w:tc>
        <w:tc>
          <w:tcPr>
            <w:tcW w:w="777" w:type="dxa"/>
            <w:vMerge w:val="continue"/>
            <w:tcBorders>
              <w:top w:val="single" w:color="auto" w:sz="4" w:space="0"/>
              <w:left w:val="single" w:color="auto" w:sz="4" w:space="0"/>
              <w:bottom w:val="single" w:color="auto" w:sz="4" w:space="0"/>
              <w:right w:val="single" w:color="auto" w:sz="4" w:space="0"/>
            </w:tcBorders>
            <w:noWrap/>
            <w:vAlign w:val="center"/>
          </w:tcPr>
          <w:p w14:paraId="531E279C">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4834" w:type="dxa"/>
            <w:vMerge w:val="continue"/>
            <w:tcBorders>
              <w:top w:val="single" w:color="auto" w:sz="4" w:space="0"/>
              <w:left w:val="single" w:color="auto" w:sz="4" w:space="0"/>
              <w:bottom w:val="single" w:color="auto" w:sz="4" w:space="0"/>
              <w:right w:val="single" w:color="auto" w:sz="4" w:space="0"/>
            </w:tcBorders>
            <w:vAlign w:val="center"/>
          </w:tcPr>
          <w:p w14:paraId="4123FF09">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36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p>
        </w:tc>
        <w:tc>
          <w:tcPr>
            <w:tcW w:w="777" w:type="dxa"/>
            <w:vMerge w:val="continue"/>
            <w:tcBorders>
              <w:left w:val="single" w:color="auto" w:sz="4" w:space="0"/>
              <w:bottom w:val="single" w:color="000000" w:sz="4" w:space="0"/>
              <w:right w:val="single" w:color="000000" w:sz="4" w:space="0"/>
            </w:tcBorders>
            <w:vAlign w:val="center"/>
          </w:tcPr>
          <w:p w14:paraId="6995E081">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r>
      <w:tr w14:paraId="61409C99">
        <w:tblPrEx>
          <w:tblCellMar>
            <w:top w:w="0" w:type="dxa"/>
            <w:left w:w="108" w:type="dxa"/>
            <w:bottom w:w="0" w:type="dxa"/>
            <w:right w:w="108" w:type="dxa"/>
          </w:tblCellMar>
        </w:tblPrEx>
        <w:trPr>
          <w:trHeight w:val="789" w:hRule="atLeast"/>
        </w:trPr>
        <w:tc>
          <w:tcPr>
            <w:tcW w:w="638" w:type="dxa"/>
            <w:vMerge w:val="continue"/>
            <w:tcBorders>
              <w:left w:val="single" w:color="000000" w:sz="4" w:space="0"/>
              <w:right w:val="single" w:color="000000" w:sz="4" w:space="0"/>
            </w:tcBorders>
            <w:noWrap/>
            <w:vAlign w:val="center"/>
          </w:tcPr>
          <w:p w14:paraId="21EF0E81">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15B26047">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4FCED5BC">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污泥脱水机组</w:t>
            </w:r>
          </w:p>
        </w:tc>
        <w:tc>
          <w:tcPr>
            <w:tcW w:w="1101" w:type="dxa"/>
            <w:tcBorders>
              <w:top w:val="single" w:color="000000" w:sz="4" w:space="0"/>
              <w:left w:val="single" w:color="000000" w:sz="4" w:space="0"/>
              <w:bottom w:val="single" w:color="000000" w:sz="4" w:space="0"/>
              <w:right w:val="single" w:color="auto" w:sz="4" w:space="0"/>
            </w:tcBorders>
            <w:vAlign w:val="center"/>
          </w:tcPr>
          <w:p w14:paraId="028D995C">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板框脱水机</w:t>
            </w:r>
          </w:p>
        </w:tc>
        <w:tc>
          <w:tcPr>
            <w:tcW w:w="777" w:type="dxa"/>
            <w:tcBorders>
              <w:top w:val="single" w:color="auto" w:sz="4" w:space="0"/>
              <w:left w:val="single" w:color="auto" w:sz="4" w:space="0"/>
              <w:bottom w:val="single" w:color="auto" w:sz="4" w:space="0"/>
              <w:right w:val="single" w:color="auto" w:sz="4" w:space="0"/>
            </w:tcBorders>
            <w:noWrap/>
            <w:vAlign w:val="center"/>
          </w:tcPr>
          <w:p w14:paraId="151F2AD5">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vMerge w:val="restart"/>
            <w:tcBorders>
              <w:top w:val="single" w:color="auto" w:sz="4" w:space="0"/>
              <w:left w:val="single" w:color="auto" w:sz="4" w:space="0"/>
              <w:bottom w:val="single" w:color="auto" w:sz="4" w:space="0"/>
              <w:right w:val="single" w:color="auto" w:sz="4" w:space="0"/>
            </w:tcBorders>
            <w:vAlign w:val="center"/>
          </w:tcPr>
          <w:p w14:paraId="44EAAD20">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36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检查滤板、滤布是否破损渗漏</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FBFE89E">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36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2检查压力表是否正常 </w:t>
            </w:r>
            <w:r>
              <w:rPr>
                <w:rFonts w:hint="eastAsia" w:ascii="宋体" w:hAnsi="宋体" w:eastAsia="宋体" w:cs="宋体"/>
                <w:color w:val="auto"/>
                <w:sz w:val="21"/>
                <w:szCs w:val="21"/>
                <w:highlight w:val="none"/>
                <w:lang w:val="en-US" w:eastAsia="zh-CN"/>
              </w:rPr>
              <w:sym w:font="Wingdings" w:char="00A8"/>
            </w:r>
          </w:p>
          <w:p w14:paraId="0FDCCA5A">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36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3检查液压油位是否正常</w:t>
            </w:r>
            <w:r>
              <w:rPr>
                <w:rFonts w:hint="eastAsia" w:ascii="宋体" w:hAnsi="宋体" w:eastAsia="宋体" w:cs="宋体"/>
                <w:color w:val="auto"/>
                <w:sz w:val="21"/>
                <w:szCs w:val="21"/>
                <w:highlight w:val="none"/>
                <w:lang w:val="en-US" w:eastAsia="zh-CN"/>
              </w:rPr>
              <w:sym w:font="Wingdings" w:char="00A8"/>
            </w:r>
          </w:p>
          <w:p w14:paraId="66D86017">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360" w:lineRule="auto"/>
              <w:ind w:left="0" w:leftChars="0" w:right="0" w:righ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检查进料泵是否工作正常</w:t>
            </w:r>
            <w:r>
              <w:rPr>
                <w:rFonts w:hint="eastAsia" w:ascii="宋体" w:hAnsi="宋体" w:eastAsia="宋体" w:cs="宋体"/>
                <w:color w:val="auto"/>
                <w:sz w:val="21"/>
                <w:szCs w:val="21"/>
                <w:highlight w:val="none"/>
                <w:lang w:val="en-US" w:eastAsia="zh-CN"/>
              </w:rPr>
              <w:sym w:font="Wingdings" w:char="00A8"/>
            </w:r>
          </w:p>
          <w:p w14:paraId="6B79F985">
            <w:pPr>
              <w:keepNext w:val="0"/>
              <w:keepLines w:val="0"/>
              <w:pageBreakBefore w:val="0"/>
              <w:suppressLineNumbers w:val="0"/>
              <w:kinsoku/>
              <w:wordWrap/>
              <w:overflowPunct/>
              <w:topLinePunct w:val="0"/>
              <w:autoSpaceDE/>
              <w:autoSpaceDN/>
              <w:bidi w:val="0"/>
              <w:adjustRightInd/>
              <w:spacing w:before="78" w:beforeLines="25" w:beforeAutospacing="0" w:after="0" w:afterAutospacing="0" w:line="360" w:lineRule="auto"/>
              <w:ind w:left="0" w:leftChars="0" w:right="0" w:righ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5检查污泥罐泥位是否正常</w:t>
            </w:r>
            <w:r>
              <w:rPr>
                <w:rFonts w:hint="eastAsia" w:ascii="宋体" w:hAnsi="宋体" w:eastAsia="宋体" w:cs="宋体"/>
                <w:color w:val="auto"/>
                <w:sz w:val="21"/>
                <w:szCs w:val="21"/>
                <w:highlight w:val="none"/>
                <w:lang w:val="en-US" w:eastAsia="zh-CN"/>
              </w:rPr>
              <w:sym w:font="Wingdings" w:char="00A8"/>
            </w:r>
          </w:p>
        </w:tc>
        <w:tc>
          <w:tcPr>
            <w:tcW w:w="777" w:type="dxa"/>
            <w:vMerge w:val="restart"/>
            <w:tcBorders>
              <w:top w:val="single" w:color="000000" w:sz="4" w:space="0"/>
              <w:left w:val="single" w:color="auto" w:sz="4" w:space="0"/>
              <w:right w:val="single" w:color="000000" w:sz="4" w:space="0"/>
            </w:tcBorders>
            <w:vAlign w:val="center"/>
          </w:tcPr>
          <w:p w14:paraId="75E551A6">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cs="宋体"/>
                <w:bCs/>
                <w:color w:val="auto"/>
                <w:kern w:val="0"/>
                <w:sz w:val="24"/>
                <w:highlight w:val="none"/>
                <w:lang w:eastAsia="zh-CN"/>
              </w:rPr>
            </w:pPr>
          </w:p>
          <w:p w14:paraId="402B858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77FAC918">
        <w:tblPrEx>
          <w:tblCellMar>
            <w:top w:w="0" w:type="dxa"/>
            <w:left w:w="108" w:type="dxa"/>
            <w:bottom w:w="0" w:type="dxa"/>
            <w:right w:w="108" w:type="dxa"/>
          </w:tblCellMar>
        </w:tblPrEx>
        <w:trPr>
          <w:trHeight w:val="540" w:hRule="atLeast"/>
        </w:trPr>
        <w:tc>
          <w:tcPr>
            <w:tcW w:w="638" w:type="dxa"/>
            <w:vMerge w:val="continue"/>
            <w:tcBorders>
              <w:left w:val="single" w:color="000000" w:sz="4" w:space="0"/>
              <w:right w:val="single" w:color="000000" w:sz="4" w:space="0"/>
            </w:tcBorders>
            <w:noWrap/>
            <w:vAlign w:val="center"/>
          </w:tcPr>
          <w:p w14:paraId="61AE7FD6">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320C4FAA">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1B060649">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vAlign w:val="center"/>
          </w:tcPr>
          <w:p w14:paraId="57520127">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污泥储罐</w:t>
            </w:r>
          </w:p>
        </w:tc>
        <w:tc>
          <w:tcPr>
            <w:tcW w:w="777" w:type="dxa"/>
            <w:tcBorders>
              <w:top w:val="single" w:color="auto" w:sz="4" w:space="0"/>
              <w:left w:val="single" w:color="000000" w:sz="4" w:space="0"/>
              <w:bottom w:val="single" w:color="000000" w:sz="4" w:space="0"/>
              <w:right w:val="single" w:color="000000" w:sz="4" w:space="0"/>
            </w:tcBorders>
            <w:noWrap/>
            <w:vAlign w:val="center"/>
          </w:tcPr>
          <w:p w14:paraId="41520239">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vMerge w:val="continue"/>
            <w:tcBorders>
              <w:top w:val="single" w:color="auto" w:sz="4" w:space="0"/>
              <w:left w:val="single" w:color="000000" w:sz="4" w:space="0"/>
              <w:bottom w:val="single" w:color="000000" w:sz="4" w:space="0"/>
              <w:right w:val="single" w:color="auto" w:sz="4" w:space="0"/>
            </w:tcBorders>
            <w:vAlign w:val="center"/>
          </w:tcPr>
          <w:p w14:paraId="51C7BD92">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p>
        </w:tc>
        <w:tc>
          <w:tcPr>
            <w:tcW w:w="777" w:type="dxa"/>
            <w:vMerge w:val="continue"/>
            <w:tcBorders>
              <w:left w:val="single" w:color="auto" w:sz="4" w:space="0"/>
              <w:bottom w:val="single" w:color="000000" w:sz="4" w:space="0"/>
              <w:right w:val="single" w:color="000000" w:sz="4" w:space="0"/>
            </w:tcBorders>
            <w:vAlign w:val="center"/>
          </w:tcPr>
          <w:p w14:paraId="077EC88A">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p>
        </w:tc>
      </w:tr>
      <w:tr w14:paraId="1F0A62D2">
        <w:tblPrEx>
          <w:tblCellMar>
            <w:top w:w="0" w:type="dxa"/>
            <w:left w:w="108" w:type="dxa"/>
            <w:bottom w:w="0" w:type="dxa"/>
            <w:right w:w="108" w:type="dxa"/>
          </w:tblCellMar>
        </w:tblPrEx>
        <w:trPr>
          <w:trHeight w:val="553" w:hRule="atLeast"/>
        </w:trPr>
        <w:tc>
          <w:tcPr>
            <w:tcW w:w="638" w:type="dxa"/>
            <w:vMerge w:val="continue"/>
            <w:tcBorders>
              <w:left w:val="single" w:color="000000" w:sz="4" w:space="0"/>
              <w:right w:val="single" w:color="000000" w:sz="4" w:space="0"/>
            </w:tcBorders>
            <w:noWrap/>
            <w:vAlign w:val="center"/>
          </w:tcPr>
          <w:p w14:paraId="28962F32">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4C73EE8E">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restart"/>
            <w:tcBorders>
              <w:top w:val="single" w:color="000000" w:sz="4" w:space="0"/>
              <w:left w:val="single" w:color="000000" w:sz="4" w:space="0"/>
              <w:bottom w:val="single" w:color="000000" w:sz="4" w:space="0"/>
              <w:right w:val="single" w:color="000000" w:sz="4" w:space="0"/>
            </w:tcBorders>
            <w:vAlign w:val="center"/>
          </w:tcPr>
          <w:p w14:paraId="3350EA8B">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流量监测柜</w:t>
            </w:r>
          </w:p>
        </w:tc>
        <w:tc>
          <w:tcPr>
            <w:tcW w:w="1101" w:type="dxa"/>
            <w:tcBorders>
              <w:top w:val="single" w:color="000000" w:sz="4" w:space="0"/>
              <w:left w:val="single" w:color="000000" w:sz="4" w:space="0"/>
              <w:bottom w:val="single" w:color="000000" w:sz="4" w:space="0"/>
              <w:right w:val="single" w:color="000000" w:sz="4" w:space="0"/>
            </w:tcBorders>
            <w:vAlign w:val="center"/>
          </w:tcPr>
          <w:p w14:paraId="3A4B74A7">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流量计</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46F560C7">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vMerge w:val="restart"/>
            <w:tcBorders>
              <w:top w:val="single" w:color="000000" w:sz="4" w:space="0"/>
              <w:left w:val="single" w:color="000000" w:sz="4" w:space="0"/>
              <w:right w:val="single" w:color="000000" w:sz="4" w:space="0"/>
            </w:tcBorders>
            <w:vAlign w:val="top"/>
          </w:tcPr>
          <w:p w14:paraId="2D66E2C5">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各电器元件是否有异常震动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异常异响</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电控柜内外是否有灰尘</w:t>
            </w:r>
            <w:r>
              <w:rPr>
                <w:rFonts w:hint="eastAsia" w:ascii="宋体" w:hAnsi="宋体" w:eastAsia="宋体" w:cs="宋体"/>
                <w:color w:val="auto"/>
                <w:sz w:val="21"/>
                <w:szCs w:val="21"/>
                <w:highlight w:val="none"/>
                <w:lang w:val="en-US" w:eastAsia="zh-CN"/>
              </w:rPr>
              <w:sym w:font="Wingdings" w:char="00A8"/>
            </w:r>
          </w:p>
          <w:p w14:paraId="02C463AB">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电源电压主回路是否正常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端子排是否损伤</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是否歪斜</w:t>
            </w:r>
            <w:r>
              <w:rPr>
                <w:rFonts w:hint="eastAsia" w:ascii="宋体" w:hAnsi="宋体" w:eastAsia="宋体" w:cs="宋体"/>
                <w:color w:val="auto"/>
                <w:sz w:val="21"/>
                <w:szCs w:val="21"/>
                <w:highlight w:val="none"/>
                <w:lang w:val="en-US" w:eastAsia="zh-CN"/>
              </w:rPr>
              <w:sym w:font="Wingdings" w:char="00A8"/>
            </w:r>
          </w:p>
          <w:p w14:paraId="5BD9F7FE">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 接触器，继电器，开关等触点吸合是否良好</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连接头螺母是否松动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导线绝缘是否损坏或老化</w:t>
            </w:r>
            <w:r>
              <w:rPr>
                <w:rFonts w:hint="eastAsia" w:ascii="宋体" w:hAnsi="宋体" w:eastAsia="宋体" w:cs="宋体"/>
                <w:color w:val="auto"/>
                <w:sz w:val="21"/>
                <w:szCs w:val="21"/>
                <w:highlight w:val="none"/>
                <w:lang w:val="en-US" w:eastAsia="zh-CN"/>
              </w:rPr>
              <w:sym w:font="Wingdings" w:char="00A8"/>
            </w:r>
          </w:p>
        </w:tc>
        <w:tc>
          <w:tcPr>
            <w:tcW w:w="777" w:type="dxa"/>
            <w:vMerge w:val="restart"/>
            <w:tcBorders>
              <w:top w:val="single" w:color="000000" w:sz="4" w:space="0"/>
              <w:left w:val="single" w:color="000000" w:sz="4" w:space="0"/>
              <w:right w:val="single" w:color="000000" w:sz="4" w:space="0"/>
            </w:tcBorders>
            <w:vAlign w:val="center"/>
          </w:tcPr>
          <w:p w14:paraId="3F7DE127">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cs="宋体"/>
                <w:bCs/>
                <w:color w:val="auto"/>
                <w:kern w:val="0"/>
                <w:sz w:val="24"/>
                <w:highlight w:val="none"/>
                <w:lang w:eastAsia="zh-CN"/>
              </w:rPr>
            </w:pPr>
          </w:p>
          <w:p w14:paraId="3AD0612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r w14:paraId="454AF5B0">
        <w:tblPrEx>
          <w:tblCellMar>
            <w:top w:w="0" w:type="dxa"/>
            <w:left w:w="108" w:type="dxa"/>
            <w:bottom w:w="0" w:type="dxa"/>
            <w:right w:w="108" w:type="dxa"/>
          </w:tblCellMar>
        </w:tblPrEx>
        <w:trPr>
          <w:trHeight w:val="703" w:hRule="atLeast"/>
        </w:trPr>
        <w:tc>
          <w:tcPr>
            <w:tcW w:w="638" w:type="dxa"/>
            <w:vMerge w:val="continue"/>
            <w:tcBorders>
              <w:left w:val="single" w:color="000000" w:sz="4" w:space="0"/>
              <w:right w:val="single" w:color="000000" w:sz="4" w:space="0"/>
            </w:tcBorders>
            <w:noWrap/>
            <w:vAlign w:val="center"/>
          </w:tcPr>
          <w:p w14:paraId="5F4DF574">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429F19E9">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14:paraId="7E1FBFC8">
            <w:pPr>
              <w:keepNext w:val="0"/>
              <w:keepLines w:val="0"/>
              <w:pageBreakBefore w:val="0"/>
              <w:kinsoku/>
              <w:wordWrap/>
              <w:overflowPunct/>
              <w:topLinePunct w:val="0"/>
              <w:autoSpaceDE/>
              <w:autoSpaceDN/>
              <w:bidi w:val="0"/>
              <w:adjustRightInd/>
              <w:ind w:firstLine="0" w:firstLineChars="0"/>
              <w:jc w:val="center"/>
              <w:rPr>
                <w:rFonts w:hint="eastAsia" w:ascii="宋体" w:hAnsi="宋体" w:eastAsia="宋体" w:cs="宋体"/>
                <w:color w:val="auto"/>
                <w:sz w:val="21"/>
                <w:szCs w:val="21"/>
                <w:highlight w:val="none"/>
              </w:rPr>
            </w:pPr>
          </w:p>
        </w:tc>
        <w:tc>
          <w:tcPr>
            <w:tcW w:w="1101" w:type="dxa"/>
            <w:tcBorders>
              <w:top w:val="single" w:color="000000" w:sz="4" w:space="0"/>
              <w:left w:val="single" w:color="000000" w:sz="4" w:space="0"/>
              <w:bottom w:val="single" w:color="000000" w:sz="4" w:space="0"/>
              <w:right w:val="single" w:color="000000" w:sz="4" w:space="0"/>
            </w:tcBorders>
            <w:vAlign w:val="center"/>
          </w:tcPr>
          <w:p w14:paraId="50D6FFE0">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数采仪</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5F4BD28">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个</w:t>
            </w:r>
          </w:p>
        </w:tc>
        <w:tc>
          <w:tcPr>
            <w:tcW w:w="4834" w:type="dxa"/>
            <w:vMerge w:val="continue"/>
            <w:tcBorders>
              <w:left w:val="single" w:color="000000" w:sz="4" w:space="0"/>
              <w:bottom w:val="single" w:color="000000" w:sz="4" w:space="0"/>
              <w:right w:val="single" w:color="000000" w:sz="4" w:space="0"/>
            </w:tcBorders>
            <w:vAlign w:val="center"/>
          </w:tcPr>
          <w:p w14:paraId="2150E0FD">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p>
        </w:tc>
        <w:tc>
          <w:tcPr>
            <w:tcW w:w="777" w:type="dxa"/>
            <w:vMerge w:val="continue"/>
            <w:tcBorders>
              <w:left w:val="single" w:color="000000" w:sz="4" w:space="0"/>
              <w:bottom w:val="single" w:color="000000" w:sz="4" w:space="0"/>
              <w:right w:val="single" w:color="000000" w:sz="4" w:space="0"/>
            </w:tcBorders>
            <w:vAlign w:val="center"/>
          </w:tcPr>
          <w:p w14:paraId="53E295C6">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p>
        </w:tc>
      </w:tr>
      <w:tr w14:paraId="2B26031A">
        <w:tblPrEx>
          <w:tblCellMar>
            <w:top w:w="0" w:type="dxa"/>
            <w:left w:w="108" w:type="dxa"/>
            <w:bottom w:w="0" w:type="dxa"/>
            <w:right w:w="108" w:type="dxa"/>
          </w:tblCellMar>
        </w:tblPrEx>
        <w:trPr>
          <w:trHeight w:val="1296" w:hRule="atLeast"/>
        </w:trPr>
        <w:tc>
          <w:tcPr>
            <w:tcW w:w="638" w:type="dxa"/>
            <w:vMerge w:val="continue"/>
            <w:tcBorders>
              <w:left w:val="single" w:color="000000" w:sz="4" w:space="0"/>
              <w:bottom w:val="single" w:color="000000" w:sz="4" w:space="0"/>
              <w:right w:val="single" w:color="000000" w:sz="4" w:space="0"/>
            </w:tcBorders>
            <w:noWrap/>
            <w:vAlign w:val="center"/>
          </w:tcPr>
          <w:p w14:paraId="49488F55">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14:paraId="7CB905AF">
            <w:pPr>
              <w:keepNext w:val="0"/>
              <w:keepLines w:val="0"/>
              <w:pageBreakBefore w:val="0"/>
              <w:kinsoku/>
              <w:wordWrap/>
              <w:overflowPunct/>
              <w:topLinePunct w:val="0"/>
              <w:autoSpaceDE/>
              <w:autoSpaceDN/>
              <w:bidi w:val="0"/>
              <w:adjustRightInd/>
              <w:ind w:firstLine="0" w:firstLineChars="0"/>
              <w:jc w:val="center"/>
              <w:rPr>
                <w:rFonts w:ascii="宋体" w:cs="宋体"/>
                <w:color w:val="auto"/>
                <w:sz w:val="24"/>
                <w:highlight w:val="none"/>
              </w:rPr>
            </w:pPr>
          </w:p>
        </w:tc>
        <w:tc>
          <w:tcPr>
            <w:tcW w:w="2089" w:type="dxa"/>
            <w:gridSpan w:val="2"/>
            <w:tcBorders>
              <w:top w:val="single" w:color="000000" w:sz="4" w:space="0"/>
              <w:left w:val="single" w:color="000000" w:sz="4" w:space="0"/>
              <w:bottom w:val="single" w:color="000000" w:sz="4" w:space="0"/>
              <w:right w:val="single" w:color="000000" w:sz="4" w:space="0"/>
            </w:tcBorders>
            <w:noWrap/>
            <w:vAlign w:val="center"/>
          </w:tcPr>
          <w:p w14:paraId="5ADFE560">
            <w:pPr>
              <w:keepNext w:val="0"/>
              <w:keepLines w:val="0"/>
              <w:pageBreakBefore w:val="0"/>
              <w:widowControl/>
              <w:kinsoku/>
              <w:wordWrap/>
              <w:overflowPunct/>
              <w:topLinePunct w:val="0"/>
              <w:autoSpaceDE/>
              <w:autoSpaceDN/>
              <w:bidi w:val="0"/>
              <w:adjustRightInd/>
              <w:ind w:firstLine="0" w:firstLine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余氯、PH在线检测仪</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B42C7E1">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cs="宋体"/>
                <w:color w:val="auto"/>
                <w:sz w:val="24"/>
                <w:highlight w:val="none"/>
              </w:rPr>
            </w:pPr>
            <w:r>
              <w:rPr>
                <w:rFonts w:ascii="宋体" w:hAnsi="宋体" w:cs="宋体"/>
                <w:bCs/>
                <w:color w:val="auto"/>
                <w:kern w:val="0"/>
                <w:sz w:val="24"/>
                <w:highlight w:val="none"/>
              </w:rPr>
              <w:t>1</w:t>
            </w:r>
            <w:r>
              <w:rPr>
                <w:rFonts w:hint="eastAsia" w:ascii="宋体" w:hAnsi="宋体" w:cs="宋体"/>
                <w:bCs/>
                <w:color w:val="auto"/>
                <w:kern w:val="0"/>
                <w:sz w:val="24"/>
                <w:highlight w:val="none"/>
              </w:rPr>
              <w:t>套</w:t>
            </w:r>
          </w:p>
        </w:tc>
        <w:tc>
          <w:tcPr>
            <w:tcW w:w="4834" w:type="dxa"/>
            <w:tcBorders>
              <w:top w:val="single" w:color="000000" w:sz="4" w:space="0"/>
              <w:left w:val="single" w:color="000000" w:sz="4" w:space="0"/>
              <w:bottom w:val="single" w:color="000000" w:sz="4" w:space="0"/>
              <w:right w:val="single" w:color="000000" w:sz="4" w:space="0"/>
            </w:tcBorders>
            <w:vAlign w:val="top"/>
          </w:tcPr>
          <w:p w14:paraId="53F0A2CC">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检查进出水管路是否正常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5F21F8D5">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2检查仪表数值显示是否有故障异常</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13004FAC">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3检查电极膜头是否有污垢污损</w:t>
            </w:r>
            <w:r>
              <w:rPr>
                <w:rFonts w:hint="eastAsia" w:ascii="宋体" w:hAnsi="宋体" w:eastAsia="宋体" w:cs="宋体"/>
                <w:color w:val="auto"/>
                <w:sz w:val="21"/>
                <w:szCs w:val="21"/>
                <w:highlight w:val="none"/>
                <w:lang w:val="en-US" w:eastAsia="zh-CN"/>
              </w:rPr>
              <w:sym w:font="Wingdings" w:char="00A8"/>
            </w:r>
          </w:p>
          <w:p w14:paraId="1BF76B84">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检查电极内电解液是否正常需定期加注</w:t>
            </w:r>
            <w:r>
              <w:rPr>
                <w:rFonts w:hint="eastAsia" w:ascii="宋体" w:hAnsi="宋体" w:eastAsia="宋体" w:cs="宋体"/>
                <w:color w:val="auto"/>
                <w:sz w:val="21"/>
                <w:szCs w:val="21"/>
                <w:highlight w:val="none"/>
                <w:lang w:val="en-US" w:eastAsia="zh-CN"/>
              </w:rPr>
              <w:sym w:font="Wingdings" w:char="00A8"/>
            </w:r>
            <w:r>
              <w:rPr>
                <w:rFonts w:hint="eastAsia" w:ascii="宋体" w:hAnsi="宋体" w:eastAsia="宋体" w:cs="宋体"/>
                <w:color w:val="auto"/>
                <w:sz w:val="21"/>
                <w:szCs w:val="21"/>
                <w:highlight w:val="none"/>
                <w:lang w:val="en-US" w:eastAsia="zh-CN"/>
              </w:rPr>
              <w:t xml:space="preserve"> </w:t>
            </w:r>
          </w:p>
          <w:p w14:paraId="0543B2E6">
            <w:pPr>
              <w:keepNext w:val="0"/>
              <w:keepLines w:val="0"/>
              <w:pageBreakBefore w:val="0"/>
              <w:kinsoku/>
              <w:wordWrap/>
              <w:overflowPunct/>
              <w:topLinePunct w:val="0"/>
              <w:autoSpaceDE/>
              <w:autoSpaceDN/>
              <w:bidi w:val="0"/>
              <w:adjustRightInd/>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5定期对仪表进行标定（每月1次）</w:t>
            </w:r>
            <w:r>
              <w:rPr>
                <w:rFonts w:hint="eastAsia" w:ascii="宋体" w:hAnsi="宋体" w:eastAsia="宋体" w:cs="宋体"/>
                <w:color w:val="auto"/>
                <w:sz w:val="21"/>
                <w:szCs w:val="21"/>
                <w:highlight w:val="none"/>
                <w:lang w:val="en-US" w:eastAsia="zh-CN"/>
              </w:rPr>
              <w:sym w:font="Wingdings" w:char="00A8"/>
            </w:r>
          </w:p>
        </w:tc>
        <w:tc>
          <w:tcPr>
            <w:tcW w:w="777" w:type="dxa"/>
            <w:tcBorders>
              <w:top w:val="single" w:color="000000" w:sz="4" w:space="0"/>
              <w:left w:val="single" w:color="000000" w:sz="4" w:space="0"/>
              <w:bottom w:val="single" w:color="000000" w:sz="4" w:space="0"/>
              <w:right w:val="single" w:color="000000" w:sz="4" w:space="0"/>
            </w:tcBorders>
            <w:vAlign w:val="center"/>
          </w:tcPr>
          <w:p w14:paraId="64DF3731">
            <w:pPr>
              <w:keepNext w:val="0"/>
              <w:keepLines w:val="0"/>
              <w:pageBreakBefore w:val="0"/>
              <w:widowControl/>
              <w:kinsoku/>
              <w:wordWrap/>
              <w:overflowPunct/>
              <w:topLinePunct w:val="0"/>
              <w:autoSpaceDE/>
              <w:autoSpaceDN/>
              <w:bidi w:val="0"/>
              <w:adjustRightInd/>
              <w:ind w:firstLine="0" w:firstLineChars="0"/>
              <w:jc w:val="center"/>
              <w:textAlignment w:val="center"/>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每周</w:t>
            </w:r>
          </w:p>
        </w:tc>
      </w:tr>
    </w:tbl>
    <w:p w14:paraId="73C5DBD7">
      <w:pPr>
        <w:keepNext w:val="0"/>
        <w:keepLines w:val="0"/>
        <w:pageBreakBefore w:val="0"/>
        <w:kinsoku/>
        <w:wordWrap/>
        <w:overflowPunct/>
        <w:topLinePunct w:val="0"/>
        <w:autoSpaceDE/>
        <w:autoSpaceDN/>
        <w:bidi w:val="0"/>
        <w:adjustRightInd/>
        <w:spacing w:line="276" w:lineRule="auto"/>
        <w:ind w:firstLine="0" w:firstLineChars="0"/>
        <w:rPr>
          <w:rFonts w:hint="eastAsia"/>
          <w:color w:val="auto"/>
          <w:sz w:val="24"/>
          <w:szCs w:val="24"/>
          <w:highlight w:val="none"/>
          <w:lang w:val="en-US" w:eastAsia="zh-CN"/>
        </w:rPr>
        <w:sectPr>
          <w:pgSz w:w="11906" w:h="16838"/>
          <w:pgMar w:top="1134" w:right="1191" w:bottom="850" w:left="1191"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pPr>
    </w:p>
    <w:p w14:paraId="50F7D231">
      <w:pPr>
        <w:keepNext w:val="0"/>
        <w:keepLines w:val="0"/>
        <w:pageBreakBefore w:val="0"/>
        <w:kinsoku/>
        <w:wordWrap/>
        <w:overflowPunct/>
        <w:topLinePunct w:val="0"/>
        <w:autoSpaceDE/>
        <w:autoSpaceDN/>
        <w:bidi w:val="0"/>
        <w:adjustRightInd/>
        <w:spacing w:line="276" w:lineRule="auto"/>
        <w:ind w:firstLine="0" w:firstLineChars="0"/>
        <w:rPr>
          <w:rFonts w:hint="default" w:eastAsiaTheme="minorEastAsia"/>
          <w:b/>
          <w:bCs/>
          <w:color w:val="auto"/>
          <w:sz w:val="30"/>
          <w:szCs w:val="30"/>
          <w:highlight w:val="none"/>
          <w:lang w:val="en-US" w:eastAsia="zh-CN"/>
        </w:rPr>
      </w:pPr>
      <w:r>
        <w:rPr>
          <w:rFonts w:hint="eastAsia"/>
          <w:color w:val="auto"/>
          <w:sz w:val="24"/>
          <w:szCs w:val="24"/>
          <w:highlight w:val="none"/>
          <w:lang w:val="en-US" w:eastAsia="zh-CN"/>
        </w:rPr>
        <w:t xml:space="preserve">附件3：       </w:t>
      </w:r>
      <w:r>
        <w:rPr>
          <w:rFonts w:hint="eastAsia"/>
          <w:b/>
          <w:bCs/>
          <w:color w:val="auto"/>
          <w:sz w:val="30"/>
          <w:szCs w:val="30"/>
          <w:highlight w:val="none"/>
          <w:lang w:val="en-US" w:eastAsia="zh-CN"/>
        </w:rPr>
        <w:t xml:space="preserve"> 柳州市人民医院污水处理服务质量考核表</w:t>
      </w:r>
    </w:p>
    <w:tbl>
      <w:tblPr>
        <w:tblStyle w:val="5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21"/>
        <w:gridCol w:w="3565"/>
        <w:gridCol w:w="701"/>
        <w:gridCol w:w="1576"/>
        <w:gridCol w:w="416"/>
        <w:gridCol w:w="567"/>
        <w:gridCol w:w="142"/>
        <w:gridCol w:w="1134"/>
      </w:tblGrid>
      <w:tr w14:paraId="596E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1930" w:type="dxa"/>
            <w:gridSpan w:val="3"/>
            <w:vAlign w:val="center"/>
          </w:tcPr>
          <w:p w14:paraId="4E27A82D">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lang w:val="en-US" w:eastAsia="zh-CN"/>
              </w:rPr>
              <w:t>服务方</w:t>
            </w:r>
            <w:r>
              <w:rPr>
                <w:rFonts w:hint="eastAsia"/>
                <w:color w:val="auto"/>
                <w:highlight w:val="none"/>
              </w:rPr>
              <w:t>名称</w:t>
            </w:r>
          </w:p>
        </w:tc>
        <w:tc>
          <w:tcPr>
            <w:tcW w:w="4266" w:type="dxa"/>
            <w:gridSpan w:val="2"/>
            <w:vAlign w:val="center"/>
          </w:tcPr>
          <w:p w14:paraId="11D23FAF">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576" w:type="dxa"/>
            <w:vAlign w:val="center"/>
          </w:tcPr>
          <w:p w14:paraId="7725BA0A">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lang w:val="en-US" w:eastAsia="zh-CN"/>
              </w:rPr>
              <w:t>服务方</w:t>
            </w:r>
            <w:r>
              <w:rPr>
                <w:rFonts w:hint="eastAsia"/>
                <w:color w:val="auto"/>
                <w:highlight w:val="none"/>
              </w:rPr>
              <w:t>负责人</w:t>
            </w:r>
          </w:p>
        </w:tc>
        <w:tc>
          <w:tcPr>
            <w:tcW w:w="2259" w:type="dxa"/>
            <w:gridSpan w:val="4"/>
            <w:vAlign w:val="center"/>
          </w:tcPr>
          <w:p w14:paraId="0EA5F66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1523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930" w:type="dxa"/>
            <w:gridSpan w:val="3"/>
            <w:vAlign w:val="center"/>
          </w:tcPr>
          <w:p w14:paraId="5AC048CD">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联系地址</w:t>
            </w:r>
          </w:p>
        </w:tc>
        <w:tc>
          <w:tcPr>
            <w:tcW w:w="4266" w:type="dxa"/>
            <w:gridSpan w:val="2"/>
            <w:vAlign w:val="center"/>
          </w:tcPr>
          <w:p w14:paraId="0D1A8DB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576" w:type="dxa"/>
            <w:vAlign w:val="center"/>
          </w:tcPr>
          <w:p w14:paraId="15BBDE4A">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联系电话</w:t>
            </w:r>
          </w:p>
        </w:tc>
        <w:tc>
          <w:tcPr>
            <w:tcW w:w="2259" w:type="dxa"/>
            <w:gridSpan w:val="4"/>
            <w:vAlign w:val="center"/>
          </w:tcPr>
          <w:p w14:paraId="1DA2D5AA">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7001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exact"/>
        </w:trPr>
        <w:tc>
          <w:tcPr>
            <w:tcW w:w="10031" w:type="dxa"/>
            <w:gridSpan w:val="10"/>
            <w:vAlign w:val="center"/>
          </w:tcPr>
          <w:p w14:paraId="14FC63BC">
            <w:pPr>
              <w:keepNext w:val="0"/>
              <w:keepLines w:val="0"/>
              <w:pageBreakBefore w:val="0"/>
              <w:kinsoku/>
              <w:wordWrap/>
              <w:overflowPunct/>
              <w:topLinePunct w:val="0"/>
              <w:autoSpaceDE/>
              <w:autoSpaceDN/>
              <w:bidi w:val="0"/>
              <w:adjustRightInd/>
              <w:ind w:firstLine="0" w:firstLineChars="0"/>
              <w:rPr>
                <w:rFonts w:ascii="黑体" w:hAnsi="黑体" w:eastAsia="黑体"/>
                <w:b/>
                <w:color w:val="auto"/>
                <w:highlight w:val="none"/>
              </w:rPr>
            </w:pPr>
            <w:r>
              <w:rPr>
                <w:rFonts w:hint="eastAsia" w:ascii="黑体" w:hAnsi="黑体" w:eastAsia="黑体"/>
                <w:b/>
                <w:color w:val="auto"/>
                <w:highlight w:val="none"/>
              </w:rPr>
              <w:t>考核说明：</w:t>
            </w:r>
          </w:p>
          <w:p w14:paraId="4267DEA2">
            <w:pPr>
              <w:keepNext w:val="0"/>
              <w:keepLines w:val="0"/>
              <w:pageBreakBefore w:val="0"/>
              <w:kinsoku/>
              <w:wordWrap/>
              <w:overflowPunct/>
              <w:topLinePunct w:val="0"/>
              <w:autoSpaceDE/>
              <w:autoSpaceDN/>
              <w:bidi w:val="0"/>
              <w:adjustRightInd/>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每</w:t>
            </w:r>
            <w:r>
              <w:rPr>
                <w:rFonts w:hint="eastAsia" w:ascii="宋体" w:hAnsi="宋体" w:eastAsia="宋体" w:cs="宋体"/>
                <w:b/>
                <w:bCs/>
                <w:color w:val="auto"/>
                <w:sz w:val="21"/>
                <w:szCs w:val="21"/>
                <w:highlight w:val="none"/>
                <w:lang w:eastAsia="zh-CN"/>
              </w:rPr>
              <w:t>月</w:t>
            </w:r>
            <w:r>
              <w:rPr>
                <w:rFonts w:hint="eastAsia" w:ascii="宋体" w:hAnsi="宋体" w:eastAsia="宋体" w:cs="宋体"/>
                <w:b/>
                <w:bCs/>
                <w:color w:val="auto"/>
                <w:sz w:val="21"/>
                <w:szCs w:val="21"/>
                <w:highlight w:val="none"/>
              </w:rPr>
              <w:t>按照柳州市疾病预防控制中心和环保局要求对废水进行采样、送检，不达标本</w:t>
            </w:r>
            <w:r>
              <w:rPr>
                <w:rFonts w:hint="eastAsia" w:ascii="宋体" w:hAnsi="宋体" w:eastAsia="宋体" w:cs="宋体"/>
                <w:b/>
                <w:bCs/>
                <w:color w:val="auto"/>
                <w:sz w:val="21"/>
                <w:szCs w:val="21"/>
                <w:highlight w:val="none"/>
                <w:lang w:val="en-US" w:eastAsia="zh-CN"/>
              </w:rPr>
              <w:t>月</w:t>
            </w:r>
            <w:r>
              <w:rPr>
                <w:rFonts w:hint="eastAsia" w:ascii="宋体" w:hAnsi="宋体" w:eastAsia="宋体" w:cs="宋体"/>
                <w:b/>
                <w:bCs/>
                <w:color w:val="auto"/>
                <w:sz w:val="21"/>
                <w:szCs w:val="21"/>
                <w:highlight w:val="none"/>
              </w:rPr>
              <w:t>考核不合格，不予付款。</w:t>
            </w:r>
          </w:p>
          <w:p w14:paraId="368F4FE1">
            <w:pPr>
              <w:keepNext w:val="0"/>
              <w:keepLines w:val="0"/>
              <w:pageBreakBefore w:val="0"/>
              <w:kinsoku/>
              <w:wordWrap/>
              <w:overflowPunct/>
              <w:topLinePunct w:val="0"/>
              <w:autoSpaceDE/>
              <w:autoSpaceDN/>
              <w:bidi w:val="0"/>
              <w:adjustRightInd/>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1、考核标准：</w:t>
            </w:r>
            <w:r>
              <w:rPr>
                <w:rFonts w:hint="eastAsia" w:ascii="宋体" w:hAnsi="宋体" w:eastAsia="宋体" w:cs="宋体"/>
                <w:color w:val="auto"/>
                <w:sz w:val="21"/>
                <w:szCs w:val="21"/>
                <w:highlight w:val="none"/>
                <w:lang w:eastAsia="zh-CN"/>
              </w:rPr>
              <w:t>考核分≥</w:t>
            </w:r>
            <w:r>
              <w:rPr>
                <w:rFonts w:hint="eastAsia" w:ascii="宋体" w:hAnsi="宋体" w:eastAsia="宋体" w:cs="宋体"/>
                <w:color w:val="auto"/>
                <w:sz w:val="21"/>
                <w:szCs w:val="21"/>
                <w:highlight w:val="none"/>
                <w:lang w:val="en-US" w:eastAsia="zh-CN"/>
              </w:rPr>
              <w:t>70分，</w:t>
            </w:r>
            <w:r>
              <w:rPr>
                <w:rFonts w:hint="eastAsia" w:ascii="宋体" w:hAnsi="宋体" w:eastAsia="宋体" w:cs="宋体"/>
                <w:color w:val="auto"/>
                <w:sz w:val="21"/>
                <w:szCs w:val="21"/>
                <w:highlight w:val="none"/>
              </w:rPr>
              <w:t>按1分等于50元服务费的标准扣款。</w:t>
            </w:r>
          </w:p>
          <w:p w14:paraId="3249406C">
            <w:pPr>
              <w:keepNext w:val="0"/>
              <w:keepLines w:val="0"/>
              <w:pageBreakBefore w:val="0"/>
              <w:kinsoku/>
              <w:wordWrap/>
              <w:overflowPunct/>
              <w:topLinePunct w:val="0"/>
              <w:autoSpaceDE/>
              <w:autoSpaceDN/>
              <w:bidi w:val="0"/>
              <w:adjustRightInd/>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60分≤</w:t>
            </w:r>
            <w:r>
              <w:rPr>
                <w:rFonts w:hint="eastAsia" w:ascii="宋体" w:hAnsi="宋体" w:eastAsia="宋体" w:cs="宋体"/>
                <w:color w:val="auto"/>
                <w:sz w:val="21"/>
                <w:szCs w:val="21"/>
                <w:highlight w:val="none"/>
              </w:rPr>
              <w:t>考核分﹤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扣款本月50%服务费</w:t>
            </w:r>
            <w:r>
              <w:rPr>
                <w:rFonts w:hint="eastAsia" w:ascii="宋体" w:hAnsi="宋体" w:eastAsia="宋体" w:cs="宋体"/>
                <w:color w:val="auto"/>
                <w:sz w:val="21"/>
                <w:szCs w:val="21"/>
                <w:highlight w:val="none"/>
              </w:rPr>
              <w:t>；</w:t>
            </w:r>
          </w:p>
          <w:p w14:paraId="48CB6638">
            <w:pPr>
              <w:pStyle w:val="32"/>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考核分﹤</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扣款本月100%服务费</w:t>
            </w:r>
            <w:r>
              <w:rPr>
                <w:rFonts w:hint="eastAsia" w:ascii="宋体" w:hAnsi="宋体" w:eastAsia="宋体" w:cs="宋体"/>
                <w:color w:val="auto"/>
                <w:sz w:val="21"/>
                <w:szCs w:val="21"/>
                <w:highlight w:val="none"/>
              </w:rPr>
              <w:t>；</w:t>
            </w:r>
          </w:p>
        </w:tc>
      </w:tr>
      <w:tr w14:paraId="7B15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675" w:type="dxa"/>
            <w:vAlign w:val="center"/>
          </w:tcPr>
          <w:p w14:paraId="1EEECDD2">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序号</w:t>
            </w:r>
          </w:p>
        </w:tc>
        <w:tc>
          <w:tcPr>
            <w:tcW w:w="1134" w:type="dxa"/>
            <w:tcBorders>
              <w:right w:val="single" w:color="000000" w:sz="12" w:space="0"/>
            </w:tcBorders>
            <w:vAlign w:val="center"/>
          </w:tcPr>
          <w:p w14:paraId="0EED9371">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评定项目</w:t>
            </w:r>
          </w:p>
        </w:tc>
        <w:tc>
          <w:tcPr>
            <w:tcW w:w="6379" w:type="dxa"/>
            <w:gridSpan w:val="5"/>
            <w:tcBorders>
              <w:left w:val="single" w:color="000000" w:sz="12" w:space="0"/>
            </w:tcBorders>
            <w:vAlign w:val="center"/>
          </w:tcPr>
          <w:p w14:paraId="1D3246E0">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评定细则</w:t>
            </w:r>
          </w:p>
        </w:tc>
        <w:tc>
          <w:tcPr>
            <w:tcW w:w="709" w:type="dxa"/>
            <w:gridSpan w:val="2"/>
            <w:vAlign w:val="center"/>
          </w:tcPr>
          <w:p w14:paraId="1A7986B2">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扣分</w:t>
            </w:r>
          </w:p>
        </w:tc>
        <w:tc>
          <w:tcPr>
            <w:tcW w:w="1134" w:type="dxa"/>
            <w:vAlign w:val="center"/>
          </w:tcPr>
          <w:p w14:paraId="0AA7356C">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实际得分</w:t>
            </w:r>
          </w:p>
        </w:tc>
      </w:tr>
      <w:tr w14:paraId="4303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75" w:type="dxa"/>
            <w:vMerge w:val="restart"/>
            <w:vAlign w:val="center"/>
          </w:tcPr>
          <w:p w14:paraId="04AA00ED">
            <w:pPr>
              <w:keepNext w:val="0"/>
              <w:keepLines w:val="0"/>
              <w:pageBreakBefore w:val="0"/>
              <w:kinsoku/>
              <w:wordWrap/>
              <w:overflowPunct/>
              <w:topLinePunct w:val="0"/>
              <w:autoSpaceDE/>
              <w:autoSpaceDN/>
              <w:bidi w:val="0"/>
              <w:adjustRightInd/>
              <w:ind w:firstLine="0" w:firstLineChars="0"/>
              <w:jc w:val="center"/>
              <w:rPr>
                <w:color w:val="auto"/>
                <w:highlight w:val="none"/>
              </w:rPr>
            </w:pPr>
            <w:r>
              <w:rPr>
                <w:color w:val="auto"/>
                <w:highlight w:val="none"/>
              </w:rPr>
              <w:t>1</w:t>
            </w:r>
          </w:p>
        </w:tc>
        <w:tc>
          <w:tcPr>
            <w:tcW w:w="1134" w:type="dxa"/>
            <w:vMerge w:val="restart"/>
            <w:tcBorders>
              <w:right w:val="single" w:color="000000" w:sz="12" w:space="0"/>
            </w:tcBorders>
            <w:vAlign w:val="center"/>
          </w:tcPr>
          <w:p w14:paraId="1BAB849C">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污染防治管理</w:t>
            </w:r>
          </w:p>
          <w:p w14:paraId="6A421062">
            <w:pPr>
              <w:keepNext w:val="0"/>
              <w:keepLines w:val="0"/>
              <w:pageBreakBefore w:val="0"/>
              <w:kinsoku/>
              <w:wordWrap/>
              <w:overflowPunct/>
              <w:topLinePunct w:val="0"/>
              <w:autoSpaceDE/>
              <w:autoSpaceDN/>
              <w:bidi w:val="0"/>
              <w:adjustRightInd/>
              <w:ind w:firstLine="0" w:firstLineChars="0"/>
              <w:jc w:val="center"/>
              <w:rPr>
                <w:color w:val="auto"/>
                <w:highlight w:val="none"/>
              </w:rPr>
            </w:pPr>
            <w:r>
              <w:rPr>
                <w:color w:val="auto"/>
                <w:highlight w:val="none"/>
              </w:rPr>
              <w:t>20</w:t>
            </w:r>
            <w:r>
              <w:rPr>
                <w:rFonts w:hint="eastAsia"/>
                <w:color w:val="auto"/>
                <w:highlight w:val="none"/>
              </w:rPr>
              <w:t>分</w:t>
            </w:r>
          </w:p>
        </w:tc>
        <w:tc>
          <w:tcPr>
            <w:tcW w:w="6379" w:type="dxa"/>
            <w:gridSpan w:val="5"/>
            <w:tcBorders>
              <w:left w:val="single" w:color="000000" w:sz="12" w:space="0"/>
            </w:tcBorders>
            <w:vAlign w:val="center"/>
          </w:tcPr>
          <w:p w14:paraId="0E3AB34C">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每日至少进行两次出水检测，出水余氯保持在</w:t>
            </w:r>
            <w:r>
              <w:rPr>
                <w:color w:val="auto"/>
                <w:highlight w:val="none"/>
              </w:rPr>
              <w:t>2-8mg/L</w:t>
            </w:r>
            <w:r>
              <w:rPr>
                <w:rFonts w:hint="eastAsia"/>
                <w:color w:val="auto"/>
                <w:highlight w:val="none"/>
              </w:rPr>
              <w:t>，并做好运行记录。</w:t>
            </w:r>
            <w:r>
              <w:rPr>
                <w:rFonts w:hint="eastAsia"/>
                <w:color w:val="auto"/>
                <w:highlight w:val="none"/>
                <w:lang w:val="en-US" w:eastAsia="zh-CN"/>
              </w:rPr>
              <w:t>未做出水检测或记录缺失1次扣5分，扣完为止。</w:t>
            </w:r>
            <w:r>
              <w:rPr>
                <w:color w:val="auto"/>
                <w:highlight w:val="none"/>
              </w:rPr>
              <w:t>(10</w:t>
            </w:r>
            <w:r>
              <w:rPr>
                <w:rFonts w:hint="eastAsia"/>
                <w:color w:val="auto"/>
                <w:highlight w:val="none"/>
              </w:rPr>
              <w:t>分</w:t>
            </w:r>
            <w:r>
              <w:rPr>
                <w:color w:val="auto"/>
                <w:highlight w:val="none"/>
              </w:rPr>
              <w:t>)</w:t>
            </w:r>
          </w:p>
        </w:tc>
        <w:tc>
          <w:tcPr>
            <w:tcW w:w="709" w:type="dxa"/>
            <w:gridSpan w:val="2"/>
            <w:vAlign w:val="center"/>
          </w:tcPr>
          <w:p w14:paraId="3BD06A96">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restart"/>
            <w:vAlign w:val="center"/>
          </w:tcPr>
          <w:p w14:paraId="3A656B6A">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674D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675" w:type="dxa"/>
            <w:vMerge w:val="continue"/>
            <w:vAlign w:val="center"/>
          </w:tcPr>
          <w:p w14:paraId="2FD5EC9B">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tcPr>
          <w:p w14:paraId="60CE50BA">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2FE51CF4">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各类检测药剂应登记购买时间及药品有效期，接近过期的药品要及时更换，过期药品必须作废禁止使用。（</w:t>
            </w:r>
            <w:r>
              <w:rPr>
                <w:color w:val="auto"/>
                <w:highlight w:val="none"/>
              </w:rPr>
              <w:t>5</w:t>
            </w:r>
            <w:r>
              <w:rPr>
                <w:rFonts w:hint="eastAsia"/>
                <w:color w:val="auto"/>
                <w:highlight w:val="none"/>
              </w:rPr>
              <w:t>分）</w:t>
            </w:r>
          </w:p>
        </w:tc>
        <w:tc>
          <w:tcPr>
            <w:tcW w:w="709" w:type="dxa"/>
            <w:gridSpan w:val="2"/>
            <w:vAlign w:val="center"/>
          </w:tcPr>
          <w:p w14:paraId="3B9DE719">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798C6992">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1230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675" w:type="dxa"/>
            <w:vMerge w:val="continue"/>
            <w:vAlign w:val="center"/>
          </w:tcPr>
          <w:p w14:paraId="19DAFBA6">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tcPr>
          <w:p w14:paraId="269D85DE">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2306D92D">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按要求统计药品消耗量，并详细记录每天投放量。（</w:t>
            </w:r>
            <w:r>
              <w:rPr>
                <w:color w:val="auto"/>
                <w:highlight w:val="none"/>
              </w:rPr>
              <w:t>5</w:t>
            </w:r>
            <w:r>
              <w:rPr>
                <w:rFonts w:hint="eastAsia"/>
                <w:color w:val="auto"/>
                <w:highlight w:val="none"/>
              </w:rPr>
              <w:t>分）</w:t>
            </w:r>
          </w:p>
        </w:tc>
        <w:tc>
          <w:tcPr>
            <w:tcW w:w="709" w:type="dxa"/>
            <w:gridSpan w:val="2"/>
            <w:vAlign w:val="center"/>
          </w:tcPr>
          <w:p w14:paraId="53EA3968">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561C54FF">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39E4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75" w:type="dxa"/>
            <w:vMerge w:val="restart"/>
            <w:vAlign w:val="center"/>
          </w:tcPr>
          <w:p w14:paraId="0961DD7E">
            <w:pPr>
              <w:keepNext w:val="0"/>
              <w:keepLines w:val="0"/>
              <w:pageBreakBefore w:val="0"/>
              <w:kinsoku/>
              <w:wordWrap/>
              <w:overflowPunct/>
              <w:topLinePunct w:val="0"/>
              <w:autoSpaceDE/>
              <w:autoSpaceDN/>
              <w:bidi w:val="0"/>
              <w:adjustRightInd/>
              <w:ind w:firstLine="0" w:firstLineChars="0"/>
              <w:jc w:val="center"/>
              <w:rPr>
                <w:color w:val="auto"/>
                <w:highlight w:val="none"/>
              </w:rPr>
            </w:pPr>
            <w:r>
              <w:rPr>
                <w:color w:val="auto"/>
                <w:highlight w:val="none"/>
              </w:rPr>
              <w:t>2</w:t>
            </w:r>
          </w:p>
        </w:tc>
        <w:tc>
          <w:tcPr>
            <w:tcW w:w="1134" w:type="dxa"/>
            <w:vMerge w:val="restart"/>
            <w:tcBorders>
              <w:right w:val="single" w:color="000000" w:sz="12" w:space="0"/>
            </w:tcBorders>
            <w:vAlign w:val="center"/>
          </w:tcPr>
          <w:p w14:paraId="6F74F600">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安全管理</w:t>
            </w:r>
          </w:p>
          <w:p w14:paraId="71438780">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lang w:val="en-US" w:eastAsia="zh-CN"/>
              </w:rPr>
              <w:t>40</w:t>
            </w:r>
            <w:r>
              <w:rPr>
                <w:rFonts w:hint="eastAsia"/>
                <w:color w:val="auto"/>
                <w:highlight w:val="none"/>
              </w:rPr>
              <w:t>分</w:t>
            </w:r>
          </w:p>
        </w:tc>
        <w:tc>
          <w:tcPr>
            <w:tcW w:w="6379" w:type="dxa"/>
            <w:gridSpan w:val="5"/>
            <w:tcBorders>
              <w:left w:val="single" w:color="000000" w:sz="12" w:space="0"/>
            </w:tcBorders>
            <w:vAlign w:val="center"/>
          </w:tcPr>
          <w:p w14:paraId="07C53E6E">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污水处理站环境潮湿，污水处理药剂具有腐蚀性，操作人员应每天检查电器设备的开启和关闭是否正常，并做好检查记录。（</w:t>
            </w:r>
            <w:r>
              <w:rPr>
                <w:color w:val="auto"/>
                <w:highlight w:val="none"/>
              </w:rPr>
              <w:t>5</w:t>
            </w:r>
            <w:r>
              <w:rPr>
                <w:rFonts w:hint="eastAsia"/>
                <w:color w:val="auto"/>
                <w:highlight w:val="none"/>
              </w:rPr>
              <w:t>分）</w:t>
            </w:r>
          </w:p>
        </w:tc>
        <w:tc>
          <w:tcPr>
            <w:tcW w:w="709" w:type="dxa"/>
            <w:gridSpan w:val="2"/>
            <w:vAlign w:val="center"/>
          </w:tcPr>
          <w:p w14:paraId="632FDC99">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restart"/>
            <w:vAlign w:val="center"/>
          </w:tcPr>
          <w:p w14:paraId="357A10D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5A2E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675" w:type="dxa"/>
            <w:vMerge w:val="continue"/>
            <w:vAlign w:val="center"/>
          </w:tcPr>
          <w:p w14:paraId="1A8D087E">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182D5A85">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09C0EF70">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操作人员在操作设备、取样检测、配制药剂时必须按要求佩戴防护用品（防毒面具、橡胶手套等），做好自身防护，并有相关管理制度。（</w:t>
            </w:r>
            <w:r>
              <w:rPr>
                <w:color w:val="auto"/>
                <w:highlight w:val="none"/>
              </w:rPr>
              <w:t>5</w:t>
            </w:r>
            <w:r>
              <w:rPr>
                <w:rFonts w:hint="eastAsia"/>
                <w:color w:val="auto"/>
                <w:highlight w:val="none"/>
              </w:rPr>
              <w:t>分）</w:t>
            </w:r>
          </w:p>
        </w:tc>
        <w:tc>
          <w:tcPr>
            <w:tcW w:w="709" w:type="dxa"/>
            <w:gridSpan w:val="2"/>
            <w:vAlign w:val="center"/>
          </w:tcPr>
          <w:p w14:paraId="5B860FCF">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3B8014B2">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558B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675" w:type="dxa"/>
            <w:vMerge w:val="continue"/>
            <w:vAlign w:val="center"/>
          </w:tcPr>
          <w:p w14:paraId="15D52F17">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78103C13">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59D850C0">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每次对污水取样检测后，对接触污水的容器、手套、操作台等设施应立即清洗，晾干备用。（</w:t>
            </w:r>
            <w:r>
              <w:rPr>
                <w:color w:val="auto"/>
                <w:highlight w:val="none"/>
              </w:rPr>
              <w:t>5</w:t>
            </w:r>
            <w:r>
              <w:rPr>
                <w:rFonts w:hint="eastAsia"/>
                <w:color w:val="auto"/>
                <w:highlight w:val="none"/>
              </w:rPr>
              <w:t>分）</w:t>
            </w:r>
          </w:p>
        </w:tc>
        <w:tc>
          <w:tcPr>
            <w:tcW w:w="709" w:type="dxa"/>
            <w:gridSpan w:val="2"/>
            <w:vAlign w:val="center"/>
          </w:tcPr>
          <w:p w14:paraId="53AD442F">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0A5B991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7C69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675" w:type="dxa"/>
            <w:vMerge w:val="continue"/>
            <w:vAlign w:val="center"/>
          </w:tcPr>
          <w:p w14:paraId="53333D18">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458244EC">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70B36B34">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严禁无关人员进入污水处理站，对非工作人员来访的，有来访登记记录。（</w:t>
            </w:r>
            <w:r>
              <w:rPr>
                <w:color w:val="auto"/>
                <w:highlight w:val="none"/>
              </w:rPr>
              <w:t>5</w:t>
            </w:r>
            <w:r>
              <w:rPr>
                <w:rFonts w:hint="eastAsia"/>
                <w:color w:val="auto"/>
                <w:highlight w:val="none"/>
              </w:rPr>
              <w:t>分）</w:t>
            </w:r>
          </w:p>
        </w:tc>
        <w:tc>
          <w:tcPr>
            <w:tcW w:w="709" w:type="dxa"/>
            <w:gridSpan w:val="2"/>
            <w:vAlign w:val="center"/>
          </w:tcPr>
          <w:p w14:paraId="174537DE">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747F01D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2BB3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675" w:type="dxa"/>
            <w:vMerge w:val="continue"/>
            <w:vAlign w:val="center"/>
          </w:tcPr>
          <w:p w14:paraId="7E071FA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0C1412E6">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1A896EA6">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工作区域不能使用大功率（</w:t>
            </w:r>
            <w:r>
              <w:rPr>
                <w:color w:val="auto"/>
                <w:highlight w:val="none"/>
              </w:rPr>
              <w:t>1000W</w:t>
            </w:r>
            <w:r>
              <w:rPr>
                <w:rFonts w:hint="eastAsia"/>
                <w:color w:val="auto"/>
                <w:highlight w:val="none"/>
              </w:rPr>
              <w:t>以上）电器，做好防火防盗工作，发现一次扣</w:t>
            </w:r>
            <w:r>
              <w:rPr>
                <w:rFonts w:hint="eastAsia"/>
                <w:color w:val="auto"/>
                <w:highlight w:val="none"/>
                <w:lang w:val="en-US" w:eastAsia="zh-CN"/>
              </w:rPr>
              <w:t>5</w:t>
            </w:r>
            <w:r>
              <w:rPr>
                <w:rFonts w:hint="eastAsia"/>
                <w:color w:val="auto"/>
                <w:highlight w:val="none"/>
              </w:rPr>
              <w:t>分。（</w:t>
            </w:r>
            <w:r>
              <w:rPr>
                <w:rFonts w:hint="eastAsia"/>
                <w:color w:val="auto"/>
                <w:highlight w:val="none"/>
                <w:lang w:val="en-US" w:eastAsia="zh-CN"/>
              </w:rPr>
              <w:t>5</w:t>
            </w:r>
            <w:r>
              <w:rPr>
                <w:rFonts w:hint="eastAsia"/>
                <w:color w:val="auto"/>
                <w:highlight w:val="none"/>
              </w:rPr>
              <w:t>分）</w:t>
            </w:r>
          </w:p>
        </w:tc>
        <w:tc>
          <w:tcPr>
            <w:tcW w:w="709" w:type="dxa"/>
            <w:gridSpan w:val="2"/>
            <w:vAlign w:val="center"/>
          </w:tcPr>
          <w:p w14:paraId="1BF664E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3EA163D7">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6B77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675" w:type="dxa"/>
            <w:vMerge w:val="continue"/>
            <w:vAlign w:val="center"/>
          </w:tcPr>
          <w:p w14:paraId="0CE93D58">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760F890C">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2EBF3F64">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严禁工作人员在污水处理站范围内开火煮食，发现一次扣</w:t>
            </w:r>
            <w:r>
              <w:rPr>
                <w:rFonts w:hint="eastAsia"/>
                <w:color w:val="auto"/>
                <w:highlight w:val="none"/>
                <w:lang w:val="en-US" w:eastAsia="zh-CN"/>
              </w:rPr>
              <w:t>5</w:t>
            </w:r>
            <w:r>
              <w:rPr>
                <w:rFonts w:hint="eastAsia"/>
                <w:color w:val="auto"/>
                <w:highlight w:val="none"/>
              </w:rPr>
              <w:t>分。</w:t>
            </w:r>
          </w:p>
          <w:p w14:paraId="427E685E">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709" w:type="dxa"/>
            <w:gridSpan w:val="2"/>
            <w:vAlign w:val="center"/>
          </w:tcPr>
          <w:p w14:paraId="1FC96C9D">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665BC597">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287C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675" w:type="dxa"/>
            <w:vMerge w:val="continue"/>
            <w:vAlign w:val="center"/>
          </w:tcPr>
          <w:p w14:paraId="7EC94946">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6B3FF592">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0577D776">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污水处理站范围内严禁吸烟，工作人员应做好控烟工作，工作人员在工作区域内或穿工作服在院区吸烟的，发现一次扣</w:t>
            </w:r>
            <w:r>
              <w:rPr>
                <w:color w:val="auto"/>
                <w:highlight w:val="none"/>
              </w:rPr>
              <w:t>10</w:t>
            </w:r>
            <w:r>
              <w:rPr>
                <w:rFonts w:hint="eastAsia"/>
                <w:color w:val="auto"/>
                <w:highlight w:val="none"/>
              </w:rPr>
              <w:t>分。（</w:t>
            </w:r>
            <w:r>
              <w:rPr>
                <w:color w:val="auto"/>
                <w:highlight w:val="none"/>
              </w:rPr>
              <w:t>10</w:t>
            </w:r>
            <w:r>
              <w:rPr>
                <w:rFonts w:hint="eastAsia"/>
                <w:color w:val="auto"/>
                <w:highlight w:val="none"/>
              </w:rPr>
              <w:t>分）</w:t>
            </w:r>
          </w:p>
        </w:tc>
        <w:tc>
          <w:tcPr>
            <w:tcW w:w="709" w:type="dxa"/>
            <w:gridSpan w:val="2"/>
            <w:vAlign w:val="center"/>
          </w:tcPr>
          <w:p w14:paraId="7265222C">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2E124D6D">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456A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675" w:type="dxa"/>
            <w:vMerge w:val="restart"/>
            <w:vAlign w:val="center"/>
          </w:tcPr>
          <w:p w14:paraId="60ED7B9D">
            <w:pPr>
              <w:keepNext w:val="0"/>
              <w:keepLines w:val="0"/>
              <w:pageBreakBefore w:val="0"/>
              <w:kinsoku/>
              <w:wordWrap/>
              <w:overflowPunct/>
              <w:topLinePunct w:val="0"/>
              <w:autoSpaceDE/>
              <w:autoSpaceDN/>
              <w:bidi w:val="0"/>
              <w:adjustRightInd/>
              <w:ind w:firstLine="0" w:firstLineChars="0"/>
              <w:jc w:val="center"/>
              <w:rPr>
                <w:color w:val="auto"/>
                <w:highlight w:val="none"/>
              </w:rPr>
            </w:pPr>
            <w:r>
              <w:rPr>
                <w:color w:val="auto"/>
                <w:highlight w:val="none"/>
              </w:rPr>
              <w:t>3</w:t>
            </w:r>
          </w:p>
        </w:tc>
        <w:tc>
          <w:tcPr>
            <w:tcW w:w="1134" w:type="dxa"/>
            <w:vMerge w:val="restart"/>
            <w:tcBorders>
              <w:right w:val="single" w:color="000000" w:sz="12" w:space="0"/>
            </w:tcBorders>
            <w:vAlign w:val="center"/>
          </w:tcPr>
          <w:p w14:paraId="71A1D47F">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环境管理</w:t>
            </w:r>
          </w:p>
          <w:p w14:paraId="6AF6F6DC">
            <w:pPr>
              <w:keepNext w:val="0"/>
              <w:keepLines w:val="0"/>
              <w:pageBreakBefore w:val="0"/>
              <w:kinsoku/>
              <w:wordWrap/>
              <w:overflowPunct/>
              <w:topLinePunct w:val="0"/>
              <w:autoSpaceDE/>
              <w:autoSpaceDN/>
              <w:bidi w:val="0"/>
              <w:adjustRightInd/>
              <w:ind w:firstLine="0" w:firstLineChars="0"/>
              <w:jc w:val="center"/>
              <w:rPr>
                <w:color w:val="auto"/>
                <w:highlight w:val="none"/>
              </w:rPr>
            </w:pPr>
            <w:r>
              <w:rPr>
                <w:color w:val="auto"/>
                <w:highlight w:val="none"/>
              </w:rPr>
              <w:t>15</w:t>
            </w:r>
            <w:r>
              <w:rPr>
                <w:rFonts w:hint="eastAsia"/>
                <w:color w:val="auto"/>
                <w:highlight w:val="none"/>
              </w:rPr>
              <w:t>分</w:t>
            </w:r>
          </w:p>
        </w:tc>
        <w:tc>
          <w:tcPr>
            <w:tcW w:w="6379" w:type="dxa"/>
            <w:gridSpan w:val="5"/>
            <w:tcBorders>
              <w:left w:val="single" w:color="000000" w:sz="12" w:space="0"/>
            </w:tcBorders>
            <w:vAlign w:val="center"/>
          </w:tcPr>
          <w:p w14:paraId="5EB826FD">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污水处理站产生的垃圾应按照医疗垃圾处理，密封包裹后送到院内垃圾站处理，并做好相关记录。（</w:t>
            </w:r>
            <w:r>
              <w:rPr>
                <w:color w:val="auto"/>
                <w:highlight w:val="none"/>
              </w:rPr>
              <w:t>2</w:t>
            </w:r>
            <w:r>
              <w:rPr>
                <w:rFonts w:hint="eastAsia"/>
                <w:color w:val="auto"/>
                <w:highlight w:val="none"/>
              </w:rPr>
              <w:t>分）</w:t>
            </w:r>
          </w:p>
        </w:tc>
        <w:tc>
          <w:tcPr>
            <w:tcW w:w="709" w:type="dxa"/>
            <w:gridSpan w:val="2"/>
            <w:vAlign w:val="center"/>
          </w:tcPr>
          <w:p w14:paraId="03D631E0">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restart"/>
            <w:vAlign w:val="center"/>
          </w:tcPr>
          <w:p w14:paraId="4DD19C0C">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4C01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75" w:type="dxa"/>
            <w:vMerge w:val="continue"/>
            <w:vAlign w:val="center"/>
          </w:tcPr>
          <w:p w14:paraId="35C1E78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172CA701">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0825BB61">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做好污水处理站工作区域的环境卫生和门前三包区域的卫生清扫工作，不留卫生死角。（</w:t>
            </w:r>
            <w:r>
              <w:rPr>
                <w:color w:val="auto"/>
                <w:highlight w:val="none"/>
              </w:rPr>
              <w:t>2</w:t>
            </w:r>
            <w:r>
              <w:rPr>
                <w:rFonts w:hint="eastAsia"/>
                <w:color w:val="auto"/>
                <w:highlight w:val="none"/>
              </w:rPr>
              <w:t>分）</w:t>
            </w:r>
          </w:p>
        </w:tc>
        <w:tc>
          <w:tcPr>
            <w:tcW w:w="709" w:type="dxa"/>
            <w:gridSpan w:val="2"/>
            <w:vAlign w:val="center"/>
          </w:tcPr>
          <w:p w14:paraId="50583842">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204C41BC">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0841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675" w:type="dxa"/>
            <w:vMerge w:val="continue"/>
            <w:vAlign w:val="center"/>
          </w:tcPr>
          <w:p w14:paraId="3248A2FB">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5AB03173">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1C266FB0">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污水处理站周围不能有污水臭味，发现或投诉</w:t>
            </w:r>
            <w:r>
              <w:rPr>
                <w:color w:val="auto"/>
                <w:highlight w:val="none"/>
              </w:rPr>
              <w:t>1</w:t>
            </w:r>
            <w:r>
              <w:rPr>
                <w:rFonts w:hint="eastAsia"/>
                <w:color w:val="auto"/>
                <w:highlight w:val="none"/>
              </w:rPr>
              <w:t>次扣</w:t>
            </w:r>
            <w:r>
              <w:rPr>
                <w:color w:val="auto"/>
                <w:highlight w:val="none"/>
              </w:rPr>
              <w:t>8</w:t>
            </w:r>
            <w:r>
              <w:rPr>
                <w:rFonts w:hint="eastAsia"/>
                <w:color w:val="auto"/>
                <w:highlight w:val="none"/>
              </w:rPr>
              <w:t>分。（</w:t>
            </w:r>
            <w:r>
              <w:rPr>
                <w:color w:val="auto"/>
                <w:highlight w:val="none"/>
              </w:rPr>
              <w:t>8</w:t>
            </w:r>
            <w:r>
              <w:rPr>
                <w:rFonts w:hint="eastAsia"/>
                <w:color w:val="auto"/>
                <w:highlight w:val="none"/>
              </w:rPr>
              <w:t>分）</w:t>
            </w:r>
          </w:p>
        </w:tc>
        <w:tc>
          <w:tcPr>
            <w:tcW w:w="709" w:type="dxa"/>
            <w:gridSpan w:val="2"/>
            <w:vAlign w:val="center"/>
          </w:tcPr>
          <w:p w14:paraId="29A2F10A">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restart"/>
            <w:vAlign w:val="center"/>
          </w:tcPr>
          <w:p w14:paraId="0244A10E">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4E7C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675" w:type="dxa"/>
            <w:vMerge w:val="continue"/>
            <w:vAlign w:val="center"/>
          </w:tcPr>
          <w:p w14:paraId="130DE9FD">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71040BFC">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7CC6DBE7">
            <w:pPr>
              <w:keepNext w:val="0"/>
              <w:keepLines w:val="0"/>
              <w:pageBreakBefore w:val="0"/>
              <w:kinsoku/>
              <w:wordWrap/>
              <w:overflowPunct/>
              <w:topLinePunct w:val="0"/>
              <w:autoSpaceDE/>
              <w:autoSpaceDN/>
              <w:bidi w:val="0"/>
              <w:adjustRightInd/>
              <w:ind w:firstLine="0" w:firstLineChars="0"/>
              <w:rPr>
                <w:rFonts w:hint="default" w:eastAsia="宋体"/>
                <w:color w:val="auto"/>
                <w:highlight w:val="none"/>
                <w:lang w:val="en-US" w:eastAsia="zh-CN"/>
              </w:rPr>
            </w:pPr>
            <w:r>
              <w:rPr>
                <w:rFonts w:hint="eastAsia"/>
                <w:color w:val="auto"/>
                <w:highlight w:val="none"/>
              </w:rPr>
              <w:t>做好</w:t>
            </w:r>
            <w:r>
              <w:rPr>
                <w:rFonts w:hint="eastAsia"/>
                <w:color w:val="auto"/>
                <w:highlight w:val="none"/>
                <w:lang w:val="en-US" w:eastAsia="zh-CN"/>
              </w:rPr>
              <w:t>各项药品</w:t>
            </w:r>
            <w:r>
              <w:rPr>
                <w:rFonts w:hint="eastAsia"/>
                <w:color w:val="auto"/>
                <w:highlight w:val="none"/>
              </w:rPr>
              <w:t>的保管工作，防止</w:t>
            </w:r>
            <w:r>
              <w:rPr>
                <w:rFonts w:hint="eastAsia"/>
                <w:color w:val="auto"/>
                <w:highlight w:val="none"/>
                <w:lang w:val="en-US" w:eastAsia="zh-CN"/>
              </w:rPr>
              <w:t>药品泄露</w:t>
            </w:r>
            <w:r>
              <w:rPr>
                <w:rFonts w:hint="eastAsia"/>
                <w:color w:val="auto"/>
                <w:highlight w:val="none"/>
              </w:rPr>
              <w:t>对环境造成影响。如发生</w:t>
            </w:r>
            <w:r>
              <w:rPr>
                <w:rFonts w:hint="eastAsia"/>
                <w:color w:val="auto"/>
                <w:highlight w:val="none"/>
                <w:lang w:val="en-US" w:eastAsia="zh-CN"/>
              </w:rPr>
              <w:t>药品</w:t>
            </w:r>
            <w:r>
              <w:rPr>
                <w:rFonts w:hint="eastAsia"/>
                <w:color w:val="auto"/>
                <w:highlight w:val="none"/>
              </w:rPr>
              <w:t>泄露事故，立即启动</w:t>
            </w:r>
            <w:r>
              <w:rPr>
                <w:rFonts w:hint="eastAsia"/>
                <w:color w:val="auto"/>
                <w:highlight w:val="none"/>
                <w:lang w:val="en-US" w:eastAsia="zh-CN"/>
              </w:rPr>
              <w:t>药品</w:t>
            </w:r>
            <w:r>
              <w:rPr>
                <w:rFonts w:hint="eastAsia"/>
                <w:color w:val="auto"/>
                <w:highlight w:val="none"/>
              </w:rPr>
              <w:t>泄露应急预案把影响控制到最小。</w:t>
            </w:r>
            <w:r>
              <w:rPr>
                <w:rFonts w:hint="eastAsia"/>
                <w:color w:val="auto"/>
                <w:highlight w:val="none"/>
                <w:lang w:val="en-US" w:eastAsia="zh-CN"/>
              </w:rPr>
              <w:t>药品泄露1次扣5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扣完15分为止。</w:t>
            </w:r>
          </w:p>
        </w:tc>
        <w:tc>
          <w:tcPr>
            <w:tcW w:w="709" w:type="dxa"/>
            <w:gridSpan w:val="2"/>
            <w:vAlign w:val="center"/>
          </w:tcPr>
          <w:p w14:paraId="4B43518D">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2792F137">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616B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trPr>
        <w:tc>
          <w:tcPr>
            <w:tcW w:w="675" w:type="dxa"/>
            <w:vMerge w:val="restart"/>
            <w:vAlign w:val="center"/>
          </w:tcPr>
          <w:p w14:paraId="60136C6C">
            <w:pPr>
              <w:keepNext w:val="0"/>
              <w:keepLines w:val="0"/>
              <w:pageBreakBefore w:val="0"/>
              <w:kinsoku/>
              <w:wordWrap/>
              <w:overflowPunct/>
              <w:topLinePunct w:val="0"/>
              <w:autoSpaceDE/>
              <w:autoSpaceDN/>
              <w:bidi w:val="0"/>
              <w:adjustRightInd/>
              <w:ind w:firstLine="0" w:firstLineChars="0"/>
              <w:jc w:val="center"/>
              <w:rPr>
                <w:color w:val="auto"/>
                <w:highlight w:val="none"/>
              </w:rPr>
            </w:pPr>
            <w:r>
              <w:rPr>
                <w:color w:val="auto"/>
                <w:highlight w:val="none"/>
              </w:rPr>
              <w:t>4</w:t>
            </w:r>
          </w:p>
        </w:tc>
        <w:tc>
          <w:tcPr>
            <w:tcW w:w="1134" w:type="dxa"/>
            <w:vMerge w:val="restart"/>
            <w:tcBorders>
              <w:right w:val="single" w:color="000000" w:sz="12" w:space="0"/>
            </w:tcBorders>
            <w:vAlign w:val="center"/>
          </w:tcPr>
          <w:p w14:paraId="02F9FCFF">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设备及</w:t>
            </w:r>
          </w:p>
          <w:p w14:paraId="5D2E3A51">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设施管理</w:t>
            </w:r>
          </w:p>
          <w:p w14:paraId="7F9C6CC5">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lang w:val="en-US" w:eastAsia="zh-CN"/>
              </w:rPr>
              <w:t>20</w:t>
            </w:r>
            <w:r>
              <w:rPr>
                <w:rFonts w:hint="eastAsia"/>
                <w:color w:val="auto"/>
                <w:highlight w:val="none"/>
              </w:rPr>
              <w:t>分</w:t>
            </w:r>
          </w:p>
        </w:tc>
        <w:tc>
          <w:tcPr>
            <w:tcW w:w="6379" w:type="dxa"/>
            <w:gridSpan w:val="5"/>
            <w:tcBorders>
              <w:left w:val="single" w:color="000000" w:sz="12" w:space="0"/>
            </w:tcBorders>
            <w:vAlign w:val="center"/>
          </w:tcPr>
          <w:p w14:paraId="7C20D6F1">
            <w:pPr>
              <w:keepNext w:val="0"/>
              <w:keepLines w:val="0"/>
              <w:pageBreakBefore w:val="0"/>
              <w:kinsoku/>
              <w:wordWrap/>
              <w:overflowPunct/>
              <w:topLinePunct w:val="0"/>
              <w:autoSpaceDE/>
              <w:autoSpaceDN/>
              <w:bidi w:val="0"/>
              <w:adjustRightInd/>
              <w:ind w:firstLine="0" w:firstLineChars="0"/>
              <w:jc w:val="both"/>
              <w:rPr>
                <w:color w:val="auto"/>
                <w:highlight w:val="none"/>
              </w:rPr>
            </w:pPr>
            <w:r>
              <w:rPr>
                <w:rFonts w:hint="eastAsia"/>
                <w:color w:val="auto"/>
                <w:highlight w:val="none"/>
              </w:rPr>
              <w:t>定期对</w:t>
            </w:r>
            <w:r>
              <w:rPr>
                <w:rFonts w:hint="eastAsia"/>
                <w:color w:val="auto"/>
                <w:sz w:val="21"/>
                <w:szCs w:val="21"/>
                <w:highlight w:val="none"/>
              </w:rPr>
              <w:t>《柳州市人民医院污水处理站设备维护保养与维修清单</w:t>
            </w:r>
            <w:r>
              <w:rPr>
                <w:rFonts w:hint="eastAsia"/>
                <w:color w:val="auto"/>
                <w:highlight w:val="none"/>
              </w:rPr>
              <w:t>》</w:t>
            </w:r>
            <w:r>
              <w:rPr>
                <w:rFonts w:hint="eastAsia"/>
                <w:color w:val="auto"/>
                <w:highlight w:val="none"/>
                <w:lang w:eastAsia="zh-CN"/>
              </w:rPr>
              <w:t>的内容</w:t>
            </w:r>
            <w:r>
              <w:rPr>
                <w:rFonts w:hint="eastAsia"/>
                <w:color w:val="auto"/>
                <w:highlight w:val="none"/>
              </w:rPr>
              <w:t>进行维护保养，并有维护保养记录。</w:t>
            </w:r>
            <w:r>
              <w:rPr>
                <w:rFonts w:hint="eastAsia"/>
                <w:color w:val="auto"/>
                <w:highlight w:val="none"/>
                <w:lang w:eastAsia="zh-CN"/>
              </w:rPr>
              <w:t>违反一次扣</w:t>
            </w:r>
            <w:r>
              <w:rPr>
                <w:rFonts w:hint="eastAsia"/>
                <w:color w:val="auto"/>
                <w:highlight w:val="none"/>
                <w:lang w:val="en-US" w:eastAsia="zh-CN"/>
              </w:rPr>
              <w:t>5分，扣完20分为止</w:t>
            </w:r>
            <w:r>
              <w:rPr>
                <w:rFonts w:hint="eastAsia"/>
                <w:color w:val="auto"/>
                <w:highlight w:val="none"/>
              </w:rPr>
              <w:t>（</w:t>
            </w:r>
            <w:r>
              <w:rPr>
                <w:rFonts w:hint="eastAsia"/>
                <w:color w:val="auto"/>
                <w:highlight w:val="none"/>
                <w:lang w:val="en-US" w:eastAsia="zh-CN"/>
              </w:rPr>
              <w:t>5</w:t>
            </w:r>
            <w:r>
              <w:rPr>
                <w:rFonts w:hint="eastAsia"/>
                <w:color w:val="auto"/>
                <w:highlight w:val="none"/>
              </w:rPr>
              <w:t>分）</w:t>
            </w:r>
          </w:p>
        </w:tc>
        <w:tc>
          <w:tcPr>
            <w:tcW w:w="709" w:type="dxa"/>
            <w:gridSpan w:val="2"/>
            <w:vAlign w:val="center"/>
          </w:tcPr>
          <w:p w14:paraId="6280300F">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restart"/>
            <w:vAlign w:val="center"/>
          </w:tcPr>
          <w:p w14:paraId="5A09BD65">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0FB9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75" w:type="dxa"/>
            <w:vMerge w:val="continue"/>
            <w:vAlign w:val="center"/>
          </w:tcPr>
          <w:p w14:paraId="273B0054">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3BAF0A60">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4A685E85">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建立设备档案管理和设备台帐管理制度，设备事故报告制度和工作管理制度；</w:t>
            </w:r>
            <w:r>
              <w:rPr>
                <w:rFonts w:hint="eastAsia"/>
                <w:color w:val="auto"/>
                <w:highlight w:val="none"/>
                <w:lang w:val="en-US" w:eastAsia="zh-CN"/>
              </w:rPr>
              <w:t>缺一项扣5分，扣完20分为止</w:t>
            </w:r>
            <w:r>
              <w:rPr>
                <w:rFonts w:hint="eastAsia"/>
                <w:color w:val="auto"/>
                <w:highlight w:val="none"/>
              </w:rPr>
              <w:t>（</w:t>
            </w:r>
            <w:r>
              <w:rPr>
                <w:rFonts w:hint="eastAsia"/>
                <w:color w:val="auto"/>
                <w:highlight w:val="none"/>
                <w:lang w:val="en-US" w:eastAsia="zh-CN"/>
              </w:rPr>
              <w:t>5</w:t>
            </w:r>
            <w:r>
              <w:rPr>
                <w:rFonts w:hint="eastAsia"/>
                <w:color w:val="auto"/>
                <w:highlight w:val="none"/>
              </w:rPr>
              <w:t>分）</w:t>
            </w:r>
            <w:r>
              <w:rPr>
                <w:color w:val="auto"/>
                <w:highlight w:val="none"/>
              </w:rPr>
              <w:t xml:space="preserve"> </w:t>
            </w:r>
          </w:p>
        </w:tc>
        <w:tc>
          <w:tcPr>
            <w:tcW w:w="709" w:type="dxa"/>
            <w:gridSpan w:val="2"/>
            <w:vAlign w:val="center"/>
          </w:tcPr>
          <w:p w14:paraId="0DB5E5B6">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74DF6DB9">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0A83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trPr>
        <w:tc>
          <w:tcPr>
            <w:tcW w:w="675" w:type="dxa"/>
            <w:vMerge w:val="continue"/>
            <w:vAlign w:val="center"/>
          </w:tcPr>
          <w:p w14:paraId="7B2F0B5C">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7C3980C7">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31ABF926">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有完善的设施设备检修计划，包括大、中、小检修。（</w:t>
            </w:r>
            <w:r>
              <w:rPr>
                <w:rFonts w:hint="eastAsia"/>
                <w:color w:val="auto"/>
                <w:highlight w:val="none"/>
                <w:lang w:val="en-US" w:eastAsia="zh-CN"/>
              </w:rPr>
              <w:t>2</w:t>
            </w:r>
            <w:r>
              <w:rPr>
                <w:rFonts w:hint="eastAsia"/>
                <w:color w:val="auto"/>
                <w:highlight w:val="none"/>
              </w:rPr>
              <w:t>分）</w:t>
            </w:r>
          </w:p>
        </w:tc>
        <w:tc>
          <w:tcPr>
            <w:tcW w:w="709" w:type="dxa"/>
            <w:gridSpan w:val="2"/>
            <w:vAlign w:val="center"/>
          </w:tcPr>
          <w:p w14:paraId="0C070C1D">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2750023A">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0F4B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75" w:type="dxa"/>
            <w:vMerge w:val="continue"/>
            <w:vAlign w:val="center"/>
          </w:tcPr>
          <w:p w14:paraId="153F4085">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3AE9DB97">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35F1D5C9">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是否备有常用的备品备件，并有相应的零配件采购计划；污水处理设备的故障维修方面，按规定填写相关维修记录。（</w:t>
            </w:r>
            <w:r>
              <w:rPr>
                <w:rFonts w:hint="eastAsia"/>
                <w:color w:val="auto"/>
                <w:highlight w:val="none"/>
                <w:lang w:val="en-US" w:eastAsia="zh-CN"/>
              </w:rPr>
              <w:t>3</w:t>
            </w:r>
            <w:r>
              <w:rPr>
                <w:rFonts w:hint="eastAsia"/>
                <w:color w:val="auto"/>
                <w:highlight w:val="none"/>
              </w:rPr>
              <w:t>分）</w:t>
            </w:r>
          </w:p>
        </w:tc>
        <w:tc>
          <w:tcPr>
            <w:tcW w:w="709" w:type="dxa"/>
            <w:gridSpan w:val="2"/>
            <w:vAlign w:val="center"/>
          </w:tcPr>
          <w:p w14:paraId="76D1C830">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5E08DE0A">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12B1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675" w:type="dxa"/>
            <w:vMerge w:val="continue"/>
            <w:vAlign w:val="center"/>
          </w:tcPr>
          <w:p w14:paraId="77B7BCA9">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tcBorders>
              <w:right w:val="single" w:color="000000" w:sz="12" w:space="0"/>
            </w:tcBorders>
            <w:vAlign w:val="center"/>
          </w:tcPr>
          <w:p w14:paraId="6129E2F9">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6379" w:type="dxa"/>
            <w:gridSpan w:val="5"/>
            <w:tcBorders>
              <w:left w:val="single" w:color="000000" w:sz="12" w:space="0"/>
            </w:tcBorders>
            <w:vAlign w:val="center"/>
          </w:tcPr>
          <w:p w14:paraId="67F5645E">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按时开关污水处理设备，保证污水达标排放；夜班需将调节池水位处理到低水位，以保证次日白班的处理要求。（</w:t>
            </w:r>
            <w:r>
              <w:rPr>
                <w:rFonts w:hint="eastAsia"/>
                <w:color w:val="auto"/>
                <w:highlight w:val="none"/>
                <w:lang w:val="en-US" w:eastAsia="zh-CN"/>
              </w:rPr>
              <w:t>5</w:t>
            </w:r>
            <w:r>
              <w:rPr>
                <w:rFonts w:hint="eastAsia"/>
                <w:color w:val="auto"/>
                <w:highlight w:val="none"/>
              </w:rPr>
              <w:t>分）</w:t>
            </w:r>
          </w:p>
        </w:tc>
        <w:tc>
          <w:tcPr>
            <w:tcW w:w="709" w:type="dxa"/>
            <w:gridSpan w:val="2"/>
            <w:vAlign w:val="center"/>
          </w:tcPr>
          <w:p w14:paraId="4B2EB6A5">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56252C50">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1125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75" w:type="dxa"/>
            <w:vMerge w:val="restart"/>
            <w:vAlign w:val="center"/>
          </w:tcPr>
          <w:p w14:paraId="7E8D5178">
            <w:pPr>
              <w:keepNext w:val="0"/>
              <w:keepLines w:val="0"/>
              <w:pageBreakBefore w:val="0"/>
              <w:kinsoku/>
              <w:wordWrap/>
              <w:overflowPunct/>
              <w:topLinePunct w:val="0"/>
              <w:autoSpaceDE/>
              <w:autoSpaceDN/>
              <w:bidi w:val="0"/>
              <w:adjustRightInd/>
              <w:ind w:firstLine="0" w:firstLineChars="0"/>
              <w:jc w:val="center"/>
              <w:rPr>
                <w:color w:val="auto"/>
                <w:highlight w:val="none"/>
              </w:rPr>
            </w:pPr>
            <w:r>
              <w:rPr>
                <w:color w:val="auto"/>
                <w:highlight w:val="none"/>
              </w:rPr>
              <w:t>5</w:t>
            </w:r>
          </w:p>
        </w:tc>
        <w:tc>
          <w:tcPr>
            <w:tcW w:w="1134" w:type="dxa"/>
            <w:vMerge w:val="restart"/>
            <w:tcBorders>
              <w:right w:val="single" w:color="000000" w:sz="12" w:space="0"/>
            </w:tcBorders>
            <w:vAlign w:val="center"/>
          </w:tcPr>
          <w:p w14:paraId="1255CA05">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档案及信息管理</w:t>
            </w:r>
          </w:p>
          <w:p w14:paraId="51CA6F08">
            <w:pPr>
              <w:keepNext w:val="0"/>
              <w:keepLines w:val="0"/>
              <w:pageBreakBefore w:val="0"/>
              <w:kinsoku/>
              <w:wordWrap/>
              <w:overflowPunct/>
              <w:topLinePunct w:val="0"/>
              <w:autoSpaceDE/>
              <w:autoSpaceDN/>
              <w:bidi w:val="0"/>
              <w:adjustRightInd/>
              <w:ind w:firstLine="0" w:firstLineChars="0"/>
              <w:jc w:val="center"/>
              <w:rPr>
                <w:color w:val="auto"/>
                <w:highlight w:val="none"/>
              </w:rPr>
            </w:pPr>
            <w:r>
              <w:rPr>
                <w:color w:val="auto"/>
                <w:highlight w:val="none"/>
              </w:rPr>
              <w:t>5</w:t>
            </w:r>
            <w:r>
              <w:rPr>
                <w:rFonts w:hint="eastAsia"/>
                <w:color w:val="auto"/>
                <w:highlight w:val="none"/>
              </w:rPr>
              <w:t>分</w:t>
            </w:r>
          </w:p>
        </w:tc>
        <w:tc>
          <w:tcPr>
            <w:tcW w:w="6379" w:type="dxa"/>
            <w:gridSpan w:val="5"/>
            <w:tcBorders>
              <w:left w:val="single" w:color="000000" w:sz="12" w:space="0"/>
            </w:tcBorders>
            <w:vAlign w:val="center"/>
          </w:tcPr>
          <w:p w14:paraId="5AFA240B">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建立健全档案及信息归档制度，如实做好污水处理站日常运行数据记录、并于每月</w:t>
            </w:r>
            <w:r>
              <w:rPr>
                <w:rFonts w:hint="eastAsia"/>
                <w:color w:val="auto"/>
                <w:highlight w:val="none"/>
                <w:lang w:val="en-US" w:eastAsia="zh-CN"/>
              </w:rPr>
              <w:t>10</w:t>
            </w:r>
            <w:r>
              <w:rPr>
                <w:rFonts w:hint="eastAsia"/>
                <w:color w:val="auto"/>
                <w:highlight w:val="none"/>
              </w:rPr>
              <w:t>日前将相关档案归档至</w:t>
            </w:r>
            <w:r>
              <w:rPr>
                <w:rFonts w:hint="eastAsia"/>
                <w:color w:val="auto"/>
                <w:highlight w:val="none"/>
                <w:lang w:val="en-US" w:eastAsia="zh-CN"/>
              </w:rPr>
              <w:t>后勤服务管理办公室</w:t>
            </w:r>
            <w:r>
              <w:rPr>
                <w:rFonts w:hint="eastAsia"/>
                <w:color w:val="auto"/>
                <w:highlight w:val="none"/>
              </w:rPr>
              <w:t>。（</w:t>
            </w:r>
            <w:r>
              <w:rPr>
                <w:color w:val="auto"/>
                <w:highlight w:val="none"/>
              </w:rPr>
              <w:t>3</w:t>
            </w:r>
            <w:r>
              <w:rPr>
                <w:rFonts w:hint="eastAsia"/>
                <w:color w:val="auto"/>
                <w:highlight w:val="none"/>
              </w:rPr>
              <w:t>分）</w:t>
            </w:r>
          </w:p>
        </w:tc>
        <w:tc>
          <w:tcPr>
            <w:tcW w:w="709" w:type="dxa"/>
            <w:gridSpan w:val="2"/>
            <w:vAlign w:val="center"/>
          </w:tcPr>
          <w:p w14:paraId="01D88B88">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restart"/>
            <w:vAlign w:val="center"/>
          </w:tcPr>
          <w:p w14:paraId="3292892B">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42DE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675" w:type="dxa"/>
            <w:vMerge w:val="continue"/>
          </w:tcPr>
          <w:p w14:paraId="5C0AA22A">
            <w:pPr>
              <w:keepNext w:val="0"/>
              <w:keepLines w:val="0"/>
              <w:pageBreakBefore w:val="0"/>
              <w:kinsoku/>
              <w:wordWrap/>
              <w:overflowPunct/>
              <w:topLinePunct w:val="0"/>
              <w:autoSpaceDE/>
              <w:autoSpaceDN/>
              <w:bidi w:val="0"/>
              <w:adjustRightInd/>
              <w:ind w:firstLine="0" w:firstLineChars="0"/>
              <w:rPr>
                <w:color w:val="auto"/>
                <w:highlight w:val="none"/>
              </w:rPr>
            </w:pPr>
          </w:p>
        </w:tc>
        <w:tc>
          <w:tcPr>
            <w:tcW w:w="1134" w:type="dxa"/>
            <w:vMerge w:val="continue"/>
            <w:tcBorders>
              <w:right w:val="single" w:color="000000" w:sz="12" w:space="0"/>
            </w:tcBorders>
          </w:tcPr>
          <w:p w14:paraId="7065CB39">
            <w:pPr>
              <w:keepNext w:val="0"/>
              <w:keepLines w:val="0"/>
              <w:pageBreakBefore w:val="0"/>
              <w:kinsoku/>
              <w:wordWrap/>
              <w:overflowPunct/>
              <w:topLinePunct w:val="0"/>
              <w:autoSpaceDE/>
              <w:autoSpaceDN/>
              <w:bidi w:val="0"/>
              <w:adjustRightInd/>
              <w:ind w:firstLine="0" w:firstLineChars="0"/>
              <w:rPr>
                <w:color w:val="auto"/>
                <w:highlight w:val="none"/>
              </w:rPr>
            </w:pPr>
          </w:p>
        </w:tc>
        <w:tc>
          <w:tcPr>
            <w:tcW w:w="6379" w:type="dxa"/>
            <w:gridSpan w:val="5"/>
            <w:tcBorders>
              <w:left w:val="single" w:color="000000" w:sz="12" w:space="0"/>
            </w:tcBorders>
            <w:vAlign w:val="center"/>
          </w:tcPr>
          <w:p w14:paraId="28BDE613">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应妥善保管档案资料，注意防火、防潮、防尘、防虫、防鼠、防丢失等，并做好相关的保密工作（</w:t>
            </w:r>
            <w:r>
              <w:rPr>
                <w:color w:val="auto"/>
                <w:highlight w:val="none"/>
              </w:rPr>
              <w:t>1</w:t>
            </w:r>
            <w:r>
              <w:rPr>
                <w:rFonts w:hint="eastAsia"/>
                <w:color w:val="auto"/>
                <w:highlight w:val="none"/>
              </w:rPr>
              <w:t>分）</w:t>
            </w:r>
          </w:p>
        </w:tc>
        <w:tc>
          <w:tcPr>
            <w:tcW w:w="709" w:type="dxa"/>
            <w:gridSpan w:val="2"/>
            <w:vAlign w:val="center"/>
          </w:tcPr>
          <w:p w14:paraId="17572665">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39AA3206">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7C7D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675" w:type="dxa"/>
            <w:vMerge w:val="continue"/>
          </w:tcPr>
          <w:p w14:paraId="18914CF9">
            <w:pPr>
              <w:keepNext w:val="0"/>
              <w:keepLines w:val="0"/>
              <w:pageBreakBefore w:val="0"/>
              <w:kinsoku/>
              <w:wordWrap/>
              <w:overflowPunct/>
              <w:topLinePunct w:val="0"/>
              <w:autoSpaceDE/>
              <w:autoSpaceDN/>
              <w:bidi w:val="0"/>
              <w:adjustRightInd/>
              <w:ind w:firstLine="0" w:firstLineChars="0"/>
              <w:rPr>
                <w:color w:val="auto"/>
                <w:highlight w:val="none"/>
              </w:rPr>
            </w:pPr>
          </w:p>
        </w:tc>
        <w:tc>
          <w:tcPr>
            <w:tcW w:w="1134" w:type="dxa"/>
            <w:vMerge w:val="continue"/>
            <w:tcBorders>
              <w:right w:val="single" w:color="000000" w:sz="12" w:space="0"/>
            </w:tcBorders>
          </w:tcPr>
          <w:p w14:paraId="7FFD9C6A">
            <w:pPr>
              <w:keepNext w:val="0"/>
              <w:keepLines w:val="0"/>
              <w:pageBreakBefore w:val="0"/>
              <w:kinsoku/>
              <w:wordWrap/>
              <w:overflowPunct/>
              <w:topLinePunct w:val="0"/>
              <w:autoSpaceDE/>
              <w:autoSpaceDN/>
              <w:bidi w:val="0"/>
              <w:adjustRightInd/>
              <w:ind w:firstLine="0" w:firstLineChars="0"/>
              <w:rPr>
                <w:color w:val="auto"/>
                <w:highlight w:val="none"/>
              </w:rPr>
            </w:pPr>
          </w:p>
        </w:tc>
        <w:tc>
          <w:tcPr>
            <w:tcW w:w="6379" w:type="dxa"/>
            <w:gridSpan w:val="5"/>
            <w:tcBorders>
              <w:left w:val="single" w:color="000000" w:sz="12" w:space="0"/>
            </w:tcBorders>
            <w:vAlign w:val="center"/>
          </w:tcPr>
          <w:p w14:paraId="77D9F7EA">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积极配合医院和环保机构的各种检查，做好迎检准备工作保证检查顺利通过。（</w:t>
            </w:r>
            <w:r>
              <w:rPr>
                <w:color w:val="auto"/>
                <w:highlight w:val="none"/>
              </w:rPr>
              <w:t>1</w:t>
            </w:r>
            <w:r>
              <w:rPr>
                <w:rFonts w:hint="eastAsia"/>
                <w:color w:val="auto"/>
                <w:highlight w:val="none"/>
              </w:rPr>
              <w:t>分）</w:t>
            </w:r>
          </w:p>
        </w:tc>
        <w:tc>
          <w:tcPr>
            <w:tcW w:w="709" w:type="dxa"/>
            <w:gridSpan w:val="2"/>
            <w:vAlign w:val="center"/>
          </w:tcPr>
          <w:p w14:paraId="5AEABB85">
            <w:pPr>
              <w:keepNext w:val="0"/>
              <w:keepLines w:val="0"/>
              <w:pageBreakBefore w:val="0"/>
              <w:kinsoku/>
              <w:wordWrap/>
              <w:overflowPunct/>
              <w:topLinePunct w:val="0"/>
              <w:autoSpaceDE/>
              <w:autoSpaceDN/>
              <w:bidi w:val="0"/>
              <w:adjustRightInd/>
              <w:ind w:firstLine="0" w:firstLineChars="0"/>
              <w:jc w:val="center"/>
              <w:rPr>
                <w:color w:val="auto"/>
                <w:highlight w:val="none"/>
              </w:rPr>
            </w:pPr>
          </w:p>
        </w:tc>
        <w:tc>
          <w:tcPr>
            <w:tcW w:w="1134" w:type="dxa"/>
            <w:vMerge w:val="continue"/>
            <w:vAlign w:val="center"/>
          </w:tcPr>
          <w:p w14:paraId="4907CC4A">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44A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675" w:type="dxa"/>
            <w:vAlign w:val="center"/>
          </w:tcPr>
          <w:p w14:paraId="6E0ABA0D">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评分</w:t>
            </w:r>
          </w:p>
        </w:tc>
        <w:tc>
          <w:tcPr>
            <w:tcW w:w="4820" w:type="dxa"/>
            <w:gridSpan w:val="3"/>
            <w:vAlign w:val="center"/>
          </w:tcPr>
          <w:p w14:paraId="1587C5C3">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总分值：</w:t>
            </w:r>
            <w:r>
              <w:rPr>
                <w:color w:val="auto"/>
                <w:highlight w:val="none"/>
              </w:rPr>
              <w:t>100</w:t>
            </w:r>
            <w:r>
              <w:rPr>
                <w:rFonts w:hint="eastAsia"/>
                <w:color w:val="auto"/>
                <w:highlight w:val="none"/>
              </w:rPr>
              <w:t>分</w:t>
            </w:r>
          </w:p>
        </w:tc>
        <w:tc>
          <w:tcPr>
            <w:tcW w:w="3260" w:type="dxa"/>
            <w:gridSpan w:val="4"/>
            <w:vAlign w:val="center"/>
          </w:tcPr>
          <w:p w14:paraId="351886FE">
            <w:pPr>
              <w:keepNext w:val="0"/>
              <w:keepLines w:val="0"/>
              <w:pageBreakBefore w:val="0"/>
              <w:kinsoku/>
              <w:wordWrap/>
              <w:overflowPunct/>
              <w:topLinePunct w:val="0"/>
              <w:autoSpaceDE/>
              <w:autoSpaceDN/>
              <w:bidi w:val="0"/>
              <w:adjustRightInd/>
              <w:ind w:firstLine="0" w:firstLineChars="0"/>
              <w:jc w:val="center"/>
              <w:rPr>
                <w:color w:val="auto"/>
                <w:highlight w:val="none"/>
              </w:rPr>
            </w:pPr>
            <w:r>
              <w:rPr>
                <w:rFonts w:hint="eastAsia"/>
                <w:color w:val="auto"/>
                <w:highlight w:val="none"/>
              </w:rPr>
              <w:t>实际得分</w:t>
            </w:r>
          </w:p>
        </w:tc>
        <w:tc>
          <w:tcPr>
            <w:tcW w:w="1276" w:type="dxa"/>
            <w:gridSpan w:val="2"/>
            <w:vAlign w:val="center"/>
          </w:tcPr>
          <w:p w14:paraId="3608F01D">
            <w:pPr>
              <w:keepNext w:val="0"/>
              <w:keepLines w:val="0"/>
              <w:pageBreakBefore w:val="0"/>
              <w:kinsoku/>
              <w:wordWrap/>
              <w:overflowPunct/>
              <w:topLinePunct w:val="0"/>
              <w:autoSpaceDE/>
              <w:autoSpaceDN/>
              <w:bidi w:val="0"/>
              <w:adjustRightInd/>
              <w:ind w:firstLine="0" w:firstLineChars="0"/>
              <w:jc w:val="center"/>
              <w:rPr>
                <w:color w:val="auto"/>
                <w:highlight w:val="none"/>
              </w:rPr>
            </w:pPr>
          </w:p>
        </w:tc>
      </w:tr>
      <w:tr w14:paraId="566D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exact"/>
        </w:trPr>
        <w:tc>
          <w:tcPr>
            <w:tcW w:w="675" w:type="dxa"/>
            <w:vAlign w:val="center"/>
          </w:tcPr>
          <w:p w14:paraId="0E3D82C5">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考核意见</w:t>
            </w:r>
          </w:p>
        </w:tc>
        <w:tc>
          <w:tcPr>
            <w:tcW w:w="9356" w:type="dxa"/>
            <w:gridSpan w:val="9"/>
            <w:vAlign w:val="center"/>
          </w:tcPr>
          <w:p w14:paraId="49BB901A">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质量考核意见：</w:t>
            </w:r>
          </w:p>
          <w:p w14:paraId="2556ED4D">
            <w:pPr>
              <w:keepNext w:val="0"/>
              <w:keepLines w:val="0"/>
              <w:pageBreakBefore w:val="0"/>
              <w:kinsoku/>
              <w:wordWrap/>
              <w:overflowPunct/>
              <w:topLinePunct w:val="0"/>
              <w:autoSpaceDE/>
              <w:autoSpaceDN/>
              <w:bidi w:val="0"/>
              <w:adjustRightInd/>
              <w:ind w:firstLine="0" w:firstLineChars="0"/>
              <w:rPr>
                <w:color w:val="auto"/>
                <w:highlight w:val="none"/>
              </w:rPr>
            </w:pPr>
          </w:p>
          <w:p w14:paraId="3F9CEAD0">
            <w:pPr>
              <w:keepNext w:val="0"/>
              <w:keepLines w:val="0"/>
              <w:pageBreakBefore w:val="0"/>
              <w:kinsoku/>
              <w:wordWrap/>
              <w:overflowPunct/>
              <w:topLinePunct w:val="0"/>
              <w:autoSpaceDE/>
              <w:autoSpaceDN/>
              <w:bidi w:val="0"/>
              <w:adjustRightInd/>
              <w:ind w:firstLine="0" w:firstLineChars="0"/>
              <w:rPr>
                <w:color w:val="auto"/>
                <w:highlight w:val="none"/>
              </w:rPr>
            </w:pPr>
          </w:p>
          <w:p w14:paraId="3623C283">
            <w:pPr>
              <w:keepNext w:val="0"/>
              <w:keepLines w:val="0"/>
              <w:pageBreakBefore w:val="0"/>
              <w:kinsoku/>
              <w:wordWrap/>
              <w:overflowPunct/>
              <w:topLinePunct w:val="0"/>
              <w:autoSpaceDE/>
              <w:autoSpaceDN/>
              <w:bidi w:val="0"/>
              <w:adjustRightInd/>
              <w:ind w:firstLine="0" w:firstLineChars="0"/>
              <w:rPr>
                <w:color w:val="auto"/>
                <w:highlight w:val="none"/>
              </w:rPr>
            </w:pPr>
          </w:p>
          <w:p w14:paraId="61A8BC84">
            <w:pPr>
              <w:keepNext w:val="0"/>
              <w:keepLines w:val="0"/>
              <w:pageBreakBefore w:val="0"/>
              <w:kinsoku/>
              <w:wordWrap/>
              <w:overflowPunct/>
              <w:topLinePunct w:val="0"/>
              <w:autoSpaceDE/>
              <w:autoSpaceDN/>
              <w:bidi w:val="0"/>
              <w:adjustRightInd/>
              <w:ind w:firstLine="0" w:firstLineChars="0"/>
              <w:rPr>
                <w:color w:val="auto"/>
                <w:highlight w:val="none"/>
              </w:rPr>
            </w:pPr>
            <w:r>
              <w:rPr>
                <w:rFonts w:hint="eastAsia"/>
                <w:color w:val="auto"/>
                <w:highlight w:val="none"/>
              </w:rPr>
              <w:t>签名：</w:t>
            </w:r>
            <w:r>
              <w:rPr>
                <w:color w:val="auto"/>
                <w:highlight w:val="none"/>
              </w:rPr>
              <w:t xml:space="preserve">                                              </w:t>
            </w:r>
            <w:r>
              <w:rPr>
                <w:rFonts w:hint="eastAsia"/>
                <w:color w:val="auto"/>
                <w:highlight w:val="none"/>
              </w:rPr>
              <w:t>日期：</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7023D4F7">
            <w:pPr>
              <w:keepNext w:val="0"/>
              <w:keepLines w:val="0"/>
              <w:pageBreakBefore w:val="0"/>
              <w:kinsoku/>
              <w:wordWrap/>
              <w:overflowPunct/>
              <w:topLinePunct w:val="0"/>
              <w:autoSpaceDE/>
              <w:autoSpaceDN/>
              <w:bidi w:val="0"/>
              <w:adjustRightInd/>
              <w:ind w:firstLine="0" w:firstLineChars="0"/>
              <w:rPr>
                <w:color w:val="auto"/>
                <w:highlight w:val="none"/>
              </w:rPr>
            </w:pPr>
          </w:p>
        </w:tc>
      </w:tr>
    </w:tbl>
    <w:p w14:paraId="79C6A77D">
      <w:pPr>
        <w:keepNext w:val="0"/>
        <w:keepLines w:val="0"/>
        <w:pageBreakBefore w:val="0"/>
        <w:kinsoku/>
        <w:wordWrap/>
        <w:overflowPunct/>
        <w:topLinePunct w:val="0"/>
        <w:autoSpaceDE/>
        <w:autoSpaceDN/>
        <w:bidi w:val="0"/>
        <w:adjustRightInd/>
        <w:spacing w:line="276" w:lineRule="auto"/>
        <w:ind w:firstLine="0" w:firstLineChars="0"/>
        <w:rPr>
          <w:rFonts w:hint="default" w:eastAsiaTheme="minorEastAsia"/>
          <w:color w:val="auto"/>
          <w:sz w:val="24"/>
          <w:szCs w:val="24"/>
          <w:highlight w:val="none"/>
          <w:lang w:val="en-US" w:eastAsia="zh-CN"/>
        </w:rPr>
      </w:pPr>
    </w:p>
    <w:p w14:paraId="2FB28153">
      <w:pPr>
        <w:pStyle w:val="59"/>
        <w:ind w:left="0" w:leftChars="0" w:firstLine="0" w:firstLineChars="0"/>
        <w:rPr>
          <w:rFonts w:hint="default"/>
          <w:color w:val="auto"/>
          <w:highlight w:val="none"/>
          <w:lang w:val="en-US" w:eastAsia="zh-CN"/>
        </w:rPr>
      </w:pPr>
    </w:p>
    <w:sectPr>
      <w:pgSz w:w="11906" w:h="16838"/>
      <w:pgMar w:top="1134" w:right="1191" w:bottom="850" w:left="1191" w:header="851" w:footer="992" w:gutter="0"/>
      <w:pgBorders w:offsetFrom="page">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rebuchet MS">
    <w:panose1 w:val="020B0603020202020204"/>
    <w:charset w:val="00"/>
    <w:family w:val="swiss"/>
    <w:pitch w:val="default"/>
    <w:sig w:usb0="00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华康简魏碑">
    <w:altName w:val="宋体"/>
    <w:panose1 w:val="0201060900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5242">
    <w:pPr>
      <w:pStyle w:val="3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CC008">
    <w:pPr>
      <w:pStyle w:val="3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5B44">
    <w:pPr>
      <w:pStyle w:val="3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B3713">
    <w:pPr>
      <w:pStyle w:val="32"/>
      <w:ind w:firstLine="360"/>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E1F8A">
    <w:pPr>
      <w:pStyle w:val="32"/>
      <w:ind w:firstLine="360"/>
      <w:jc w:val="center"/>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51F23">
                          <w:pPr>
                            <w:pStyle w:val="32"/>
                            <w:ind w:firstLine="360"/>
                            <w:jc w:val="center"/>
                          </w:pPr>
                          <w:r>
                            <w:fldChar w:fldCharType="begin"/>
                          </w:r>
                          <w:r>
                            <w:instrText xml:space="preserve"> PAGE   \* MERGEFORMAT </w:instrText>
                          </w:r>
                          <w:r>
                            <w:fldChar w:fldCharType="separate"/>
                          </w:r>
                          <w:r>
                            <w:rPr>
                              <w:lang w:val="zh-CN"/>
                            </w:rP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51F23">
                    <w:pPr>
                      <w:pStyle w:val="32"/>
                      <w:ind w:firstLine="360"/>
                      <w:jc w:val="center"/>
                    </w:pPr>
                    <w:r>
                      <w:fldChar w:fldCharType="begin"/>
                    </w:r>
                    <w:r>
                      <w:instrText xml:space="preserve"> PAGE   \* MERGEFORMAT </w:instrText>
                    </w:r>
                    <w:r>
                      <w:fldChar w:fldCharType="separate"/>
                    </w:r>
                    <w:r>
                      <w:rPr>
                        <w:lang w:val="zh-CN"/>
                      </w:rP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30B9">
    <w:pPr>
      <w:pStyle w:val="3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30F1C">
                          <w:pPr>
                            <w:pStyle w:val="3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130F1C">
                    <w:pPr>
                      <w:pStyle w:val="3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6A4D6">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7497">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CF9AF">
    <w:pPr>
      <w:pStyle w:val="33"/>
      <w:ind w:firstLineChars="111"/>
      <w:rPr>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9151D">
    <w:pPr>
      <w:pBdr>
        <w:bottom w:val="none" w:color="auto" w:sz="0" w:space="1"/>
      </w:pBdr>
      <w:spacing w:line="360" w:lineRule="auto"/>
      <w:ind w:firstLine="0" w:firstLineChars="0"/>
      <w:jc w:val="both"/>
      <w:rPr>
        <w:rFonts w:hint="eastAsia" w:eastAsia="宋体"/>
        <w:sz w:val="18"/>
        <w:szCs w:val="18"/>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B529">
    <w:pPr>
      <w:pStyle w:val="33"/>
      <w:pBdr>
        <w:bottom w:val="none" w:color="auto" w:sz="0" w:space="1"/>
      </w:pBdr>
      <w:spacing w:line="240" w:lineRule="auto"/>
      <w:ind w:left="0" w:leftChars="0" w:firstLine="0" w:firstLineChars="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42BB9"/>
    <w:multiLevelType w:val="singleLevel"/>
    <w:tmpl w:val="A4C42BB9"/>
    <w:lvl w:ilvl="0" w:tentative="0">
      <w:start w:val="3"/>
      <w:numFmt w:val="decimal"/>
      <w:suff w:val="nothing"/>
      <w:lvlText w:val="%1、"/>
      <w:lvlJc w:val="left"/>
    </w:lvl>
  </w:abstractNum>
  <w:abstractNum w:abstractNumId="1">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2">
    <w:nsid w:val="076C7C35"/>
    <w:multiLevelType w:val="multilevel"/>
    <w:tmpl w:val="076C7C35"/>
    <w:lvl w:ilvl="0" w:tentative="0">
      <w:start w:val="1"/>
      <w:numFmt w:val="decimal"/>
      <w:pStyle w:val="167"/>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D1F1925"/>
    <w:multiLevelType w:val="multilevel"/>
    <w:tmpl w:val="0D1F1925"/>
    <w:lvl w:ilvl="0" w:tentative="0">
      <w:start w:val="1"/>
      <w:numFmt w:val="none"/>
      <w:lvlText w:val="一、"/>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235933EB"/>
    <w:multiLevelType w:val="multilevel"/>
    <w:tmpl w:val="235933EB"/>
    <w:lvl w:ilvl="0" w:tentative="0">
      <w:start w:val="1"/>
      <w:numFmt w:val="decimal"/>
      <w:pStyle w:val="19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4DAA4A17"/>
    <w:multiLevelType w:val="multilevel"/>
    <w:tmpl w:val="4DAA4A17"/>
    <w:lvl w:ilvl="0" w:tentative="0">
      <w:start w:val="1"/>
      <w:numFmt w:val="decimal"/>
      <w:lvlText w:val="%1."/>
      <w:lvlJc w:val="left"/>
      <w:pPr>
        <w:ind w:left="720" w:hanging="720"/>
      </w:pPr>
      <w:rPr>
        <w:rFonts w:hint="default"/>
        <w:b w:val="0"/>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886337"/>
    <w:multiLevelType w:val="multilevel"/>
    <w:tmpl w:val="4F886337"/>
    <w:lvl w:ilvl="0" w:tentative="0">
      <w:start w:val="1"/>
      <w:numFmt w:val="decimal"/>
      <w:pStyle w:val="96"/>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8">
    <w:nsid w:val="4FF1187F"/>
    <w:multiLevelType w:val="multilevel"/>
    <w:tmpl w:val="4FF1187F"/>
    <w:lvl w:ilvl="0" w:tentative="0">
      <w:start w:val="1"/>
      <w:numFmt w:val="decimal"/>
      <w:pStyle w:val="103"/>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56E83EA1"/>
    <w:multiLevelType w:val="multilevel"/>
    <w:tmpl w:val="56E83EA1"/>
    <w:lvl w:ilvl="0" w:tentative="0">
      <w:start w:val="1"/>
      <w:numFmt w:val="decimal"/>
      <w:pStyle w:val="15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2D26C8C"/>
    <w:multiLevelType w:val="multilevel"/>
    <w:tmpl w:val="62D26C8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7"/>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ZWFkYzUzMjJjOTI1NWE2MTlmYWNkOTBkYjdhYjEifQ=="/>
  </w:docVars>
  <w:rsids>
    <w:rsidRoot w:val="00F34B14"/>
    <w:rsid w:val="00000672"/>
    <w:rsid w:val="00000B28"/>
    <w:rsid w:val="00000F48"/>
    <w:rsid w:val="000014A8"/>
    <w:rsid w:val="00001A25"/>
    <w:rsid w:val="00001DD9"/>
    <w:rsid w:val="000021E2"/>
    <w:rsid w:val="000024AE"/>
    <w:rsid w:val="000025AB"/>
    <w:rsid w:val="000029ED"/>
    <w:rsid w:val="00002AF7"/>
    <w:rsid w:val="00002C18"/>
    <w:rsid w:val="000039E6"/>
    <w:rsid w:val="00003FC2"/>
    <w:rsid w:val="00004953"/>
    <w:rsid w:val="00005265"/>
    <w:rsid w:val="00005353"/>
    <w:rsid w:val="00005897"/>
    <w:rsid w:val="000065E3"/>
    <w:rsid w:val="00006811"/>
    <w:rsid w:val="00007B96"/>
    <w:rsid w:val="000103BB"/>
    <w:rsid w:val="00010669"/>
    <w:rsid w:val="000108E1"/>
    <w:rsid w:val="00010D86"/>
    <w:rsid w:val="00010EAE"/>
    <w:rsid w:val="00011482"/>
    <w:rsid w:val="0001172C"/>
    <w:rsid w:val="00011AEF"/>
    <w:rsid w:val="00012854"/>
    <w:rsid w:val="0001286C"/>
    <w:rsid w:val="000128A1"/>
    <w:rsid w:val="00012C92"/>
    <w:rsid w:val="00012D6B"/>
    <w:rsid w:val="00012EC8"/>
    <w:rsid w:val="000132E8"/>
    <w:rsid w:val="00013684"/>
    <w:rsid w:val="00014222"/>
    <w:rsid w:val="00014773"/>
    <w:rsid w:val="00014D95"/>
    <w:rsid w:val="00014D9D"/>
    <w:rsid w:val="00014E30"/>
    <w:rsid w:val="00014FDC"/>
    <w:rsid w:val="00015200"/>
    <w:rsid w:val="00015487"/>
    <w:rsid w:val="00016441"/>
    <w:rsid w:val="00016CAE"/>
    <w:rsid w:val="000170FF"/>
    <w:rsid w:val="00017DA7"/>
    <w:rsid w:val="0002090F"/>
    <w:rsid w:val="0002190F"/>
    <w:rsid w:val="00021DBD"/>
    <w:rsid w:val="00022237"/>
    <w:rsid w:val="000222F3"/>
    <w:rsid w:val="00022792"/>
    <w:rsid w:val="00022987"/>
    <w:rsid w:val="00023943"/>
    <w:rsid w:val="000239CF"/>
    <w:rsid w:val="00024027"/>
    <w:rsid w:val="00024079"/>
    <w:rsid w:val="000243A1"/>
    <w:rsid w:val="00024550"/>
    <w:rsid w:val="00024EF4"/>
    <w:rsid w:val="00024F28"/>
    <w:rsid w:val="00024F8B"/>
    <w:rsid w:val="0002585A"/>
    <w:rsid w:val="0002589E"/>
    <w:rsid w:val="00025E36"/>
    <w:rsid w:val="000269E4"/>
    <w:rsid w:val="000269ED"/>
    <w:rsid w:val="00026C29"/>
    <w:rsid w:val="00026D39"/>
    <w:rsid w:val="00026DF8"/>
    <w:rsid w:val="00026F24"/>
    <w:rsid w:val="000273E9"/>
    <w:rsid w:val="00027DE1"/>
    <w:rsid w:val="0003009A"/>
    <w:rsid w:val="000301C2"/>
    <w:rsid w:val="000301FE"/>
    <w:rsid w:val="000307E9"/>
    <w:rsid w:val="000316CC"/>
    <w:rsid w:val="000318FA"/>
    <w:rsid w:val="00031A47"/>
    <w:rsid w:val="00031B7B"/>
    <w:rsid w:val="000320BE"/>
    <w:rsid w:val="00032114"/>
    <w:rsid w:val="00032244"/>
    <w:rsid w:val="0003233B"/>
    <w:rsid w:val="0003278C"/>
    <w:rsid w:val="000334D1"/>
    <w:rsid w:val="0003357E"/>
    <w:rsid w:val="00033A5B"/>
    <w:rsid w:val="00034EDB"/>
    <w:rsid w:val="000359BF"/>
    <w:rsid w:val="0003674E"/>
    <w:rsid w:val="00036762"/>
    <w:rsid w:val="00036766"/>
    <w:rsid w:val="00037176"/>
    <w:rsid w:val="000371E3"/>
    <w:rsid w:val="000372F5"/>
    <w:rsid w:val="00037B18"/>
    <w:rsid w:val="00037FAC"/>
    <w:rsid w:val="000404E6"/>
    <w:rsid w:val="0004166C"/>
    <w:rsid w:val="00042C82"/>
    <w:rsid w:val="00042CB8"/>
    <w:rsid w:val="00042EC5"/>
    <w:rsid w:val="0004440C"/>
    <w:rsid w:val="00044F9A"/>
    <w:rsid w:val="00045559"/>
    <w:rsid w:val="00045BB5"/>
    <w:rsid w:val="00045E1F"/>
    <w:rsid w:val="000462DC"/>
    <w:rsid w:val="000467A4"/>
    <w:rsid w:val="000469AF"/>
    <w:rsid w:val="0004747E"/>
    <w:rsid w:val="000475CE"/>
    <w:rsid w:val="0004774B"/>
    <w:rsid w:val="000502B7"/>
    <w:rsid w:val="00050584"/>
    <w:rsid w:val="000509D9"/>
    <w:rsid w:val="00050D4B"/>
    <w:rsid w:val="000515DA"/>
    <w:rsid w:val="00052131"/>
    <w:rsid w:val="0005234F"/>
    <w:rsid w:val="0005354B"/>
    <w:rsid w:val="00053C00"/>
    <w:rsid w:val="00053DE8"/>
    <w:rsid w:val="0005463A"/>
    <w:rsid w:val="00054A69"/>
    <w:rsid w:val="00054FA8"/>
    <w:rsid w:val="0005604D"/>
    <w:rsid w:val="0005620E"/>
    <w:rsid w:val="000562E0"/>
    <w:rsid w:val="0005644A"/>
    <w:rsid w:val="00056B5D"/>
    <w:rsid w:val="00057371"/>
    <w:rsid w:val="000578D1"/>
    <w:rsid w:val="000606E8"/>
    <w:rsid w:val="00060E46"/>
    <w:rsid w:val="00060F3D"/>
    <w:rsid w:val="00061C19"/>
    <w:rsid w:val="00062219"/>
    <w:rsid w:val="00062241"/>
    <w:rsid w:val="0006262D"/>
    <w:rsid w:val="00062A8B"/>
    <w:rsid w:val="00062C6F"/>
    <w:rsid w:val="00063006"/>
    <w:rsid w:val="00063195"/>
    <w:rsid w:val="00063881"/>
    <w:rsid w:val="00063FE0"/>
    <w:rsid w:val="0006433E"/>
    <w:rsid w:val="00064847"/>
    <w:rsid w:val="00064890"/>
    <w:rsid w:val="00065280"/>
    <w:rsid w:val="00065B14"/>
    <w:rsid w:val="00065B94"/>
    <w:rsid w:val="00065ED2"/>
    <w:rsid w:val="00066055"/>
    <w:rsid w:val="00066674"/>
    <w:rsid w:val="00066BCD"/>
    <w:rsid w:val="000673E2"/>
    <w:rsid w:val="00067443"/>
    <w:rsid w:val="00067E69"/>
    <w:rsid w:val="000706F4"/>
    <w:rsid w:val="00070925"/>
    <w:rsid w:val="000709AF"/>
    <w:rsid w:val="000711E4"/>
    <w:rsid w:val="00071B06"/>
    <w:rsid w:val="00072434"/>
    <w:rsid w:val="00072DA9"/>
    <w:rsid w:val="00072E17"/>
    <w:rsid w:val="000730CF"/>
    <w:rsid w:val="0007358E"/>
    <w:rsid w:val="00073840"/>
    <w:rsid w:val="00073D22"/>
    <w:rsid w:val="00074799"/>
    <w:rsid w:val="000748AB"/>
    <w:rsid w:val="00075025"/>
    <w:rsid w:val="0007597E"/>
    <w:rsid w:val="00075A15"/>
    <w:rsid w:val="00075F58"/>
    <w:rsid w:val="0007609D"/>
    <w:rsid w:val="00076140"/>
    <w:rsid w:val="000769DF"/>
    <w:rsid w:val="000775ED"/>
    <w:rsid w:val="00077F9C"/>
    <w:rsid w:val="00080032"/>
    <w:rsid w:val="0008032B"/>
    <w:rsid w:val="00080D2A"/>
    <w:rsid w:val="00080DCB"/>
    <w:rsid w:val="00080E41"/>
    <w:rsid w:val="00080F2C"/>
    <w:rsid w:val="00081A01"/>
    <w:rsid w:val="00082DE3"/>
    <w:rsid w:val="00083226"/>
    <w:rsid w:val="00083884"/>
    <w:rsid w:val="000838D6"/>
    <w:rsid w:val="0008432C"/>
    <w:rsid w:val="000857C7"/>
    <w:rsid w:val="00085C08"/>
    <w:rsid w:val="00085EC4"/>
    <w:rsid w:val="00086B6D"/>
    <w:rsid w:val="00086EF5"/>
    <w:rsid w:val="0008737D"/>
    <w:rsid w:val="00087BC8"/>
    <w:rsid w:val="000900D7"/>
    <w:rsid w:val="00090734"/>
    <w:rsid w:val="000909D4"/>
    <w:rsid w:val="00090B95"/>
    <w:rsid w:val="00091AD7"/>
    <w:rsid w:val="00091DCC"/>
    <w:rsid w:val="00091F83"/>
    <w:rsid w:val="00092A1C"/>
    <w:rsid w:val="00092AC4"/>
    <w:rsid w:val="00092D45"/>
    <w:rsid w:val="000944C3"/>
    <w:rsid w:val="00094596"/>
    <w:rsid w:val="00094ABB"/>
    <w:rsid w:val="000955B7"/>
    <w:rsid w:val="000958A8"/>
    <w:rsid w:val="000973B5"/>
    <w:rsid w:val="00097775"/>
    <w:rsid w:val="00097930"/>
    <w:rsid w:val="00097FAD"/>
    <w:rsid w:val="000A074D"/>
    <w:rsid w:val="000A1005"/>
    <w:rsid w:val="000A115A"/>
    <w:rsid w:val="000A18CE"/>
    <w:rsid w:val="000A1CDC"/>
    <w:rsid w:val="000A1E07"/>
    <w:rsid w:val="000A316E"/>
    <w:rsid w:val="000A4742"/>
    <w:rsid w:val="000A4B66"/>
    <w:rsid w:val="000A532E"/>
    <w:rsid w:val="000A68B0"/>
    <w:rsid w:val="000A7056"/>
    <w:rsid w:val="000A7370"/>
    <w:rsid w:val="000A7A12"/>
    <w:rsid w:val="000B04CA"/>
    <w:rsid w:val="000B1EDF"/>
    <w:rsid w:val="000B2B4A"/>
    <w:rsid w:val="000B2EF8"/>
    <w:rsid w:val="000B3B98"/>
    <w:rsid w:val="000B4082"/>
    <w:rsid w:val="000B45B1"/>
    <w:rsid w:val="000B4A15"/>
    <w:rsid w:val="000B4A1E"/>
    <w:rsid w:val="000B555E"/>
    <w:rsid w:val="000B5585"/>
    <w:rsid w:val="000B5D01"/>
    <w:rsid w:val="000B6952"/>
    <w:rsid w:val="000B69D5"/>
    <w:rsid w:val="000B7339"/>
    <w:rsid w:val="000B741D"/>
    <w:rsid w:val="000C05CA"/>
    <w:rsid w:val="000C0639"/>
    <w:rsid w:val="000C0AC3"/>
    <w:rsid w:val="000C10E2"/>
    <w:rsid w:val="000C1168"/>
    <w:rsid w:val="000C1366"/>
    <w:rsid w:val="000C15D5"/>
    <w:rsid w:val="000C1B2F"/>
    <w:rsid w:val="000C2007"/>
    <w:rsid w:val="000C2107"/>
    <w:rsid w:val="000C2C59"/>
    <w:rsid w:val="000C2E92"/>
    <w:rsid w:val="000C2EAA"/>
    <w:rsid w:val="000C36E4"/>
    <w:rsid w:val="000C3771"/>
    <w:rsid w:val="000C4453"/>
    <w:rsid w:val="000C4638"/>
    <w:rsid w:val="000C4F7E"/>
    <w:rsid w:val="000C51ED"/>
    <w:rsid w:val="000C5586"/>
    <w:rsid w:val="000C56E0"/>
    <w:rsid w:val="000C583F"/>
    <w:rsid w:val="000C5ABA"/>
    <w:rsid w:val="000C5DFC"/>
    <w:rsid w:val="000C5E08"/>
    <w:rsid w:val="000C62E1"/>
    <w:rsid w:val="000C6ACA"/>
    <w:rsid w:val="000C6CA7"/>
    <w:rsid w:val="000C70F5"/>
    <w:rsid w:val="000C75A5"/>
    <w:rsid w:val="000C7B1D"/>
    <w:rsid w:val="000C7D83"/>
    <w:rsid w:val="000D02BE"/>
    <w:rsid w:val="000D0515"/>
    <w:rsid w:val="000D0735"/>
    <w:rsid w:val="000D0823"/>
    <w:rsid w:val="000D0A89"/>
    <w:rsid w:val="000D1437"/>
    <w:rsid w:val="000D181A"/>
    <w:rsid w:val="000D2229"/>
    <w:rsid w:val="000D2626"/>
    <w:rsid w:val="000D29DC"/>
    <w:rsid w:val="000D2B26"/>
    <w:rsid w:val="000D2D0F"/>
    <w:rsid w:val="000D2DC6"/>
    <w:rsid w:val="000D2FFF"/>
    <w:rsid w:val="000D31C8"/>
    <w:rsid w:val="000D3ECD"/>
    <w:rsid w:val="000D3FDC"/>
    <w:rsid w:val="000D40C0"/>
    <w:rsid w:val="000D417F"/>
    <w:rsid w:val="000D47A4"/>
    <w:rsid w:val="000D4849"/>
    <w:rsid w:val="000D48EE"/>
    <w:rsid w:val="000D4B00"/>
    <w:rsid w:val="000D539D"/>
    <w:rsid w:val="000D5609"/>
    <w:rsid w:val="000D61E7"/>
    <w:rsid w:val="000D626B"/>
    <w:rsid w:val="000D6599"/>
    <w:rsid w:val="000D65A3"/>
    <w:rsid w:val="000D69C2"/>
    <w:rsid w:val="000D6C2E"/>
    <w:rsid w:val="000D73DD"/>
    <w:rsid w:val="000D78DB"/>
    <w:rsid w:val="000D7C1B"/>
    <w:rsid w:val="000E019C"/>
    <w:rsid w:val="000E03CB"/>
    <w:rsid w:val="000E0BC8"/>
    <w:rsid w:val="000E0C2A"/>
    <w:rsid w:val="000E1355"/>
    <w:rsid w:val="000E1D21"/>
    <w:rsid w:val="000E1D28"/>
    <w:rsid w:val="000E20BF"/>
    <w:rsid w:val="000E2D1D"/>
    <w:rsid w:val="000E2F46"/>
    <w:rsid w:val="000E315B"/>
    <w:rsid w:val="000E3F14"/>
    <w:rsid w:val="000E46A6"/>
    <w:rsid w:val="000E4D17"/>
    <w:rsid w:val="000E4D82"/>
    <w:rsid w:val="000E4E23"/>
    <w:rsid w:val="000E56FD"/>
    <w:rsid w:val="000E621E"/>
    <w:rsid w:val="000E747D"/>
    <w:rsid w:val="000E7D44"/>
    <w:rsid w:val="000F076D"/>
    <w:rsid w:val="000F1B68"/>
    <w:rsid w:val="000F27DC"/>
    <w:rsid w:val="000F3733"/>
    <w:rsid w:val="000F466A"/>
    <w:rsid w:val="000F4B82"/>
    <w:rsid w:val="000F512C"/>
    <w:rsid w:val="000F579D"/>
    <w:rsid w:val="000F5C19"/>
    <w:rsid w:val="000F6852"/>
    <w:rsid w:val="000F6C3F"/>
    <w:rsid w:val="0010003D"/>
    <w:rsid w:val="00100991"/>
    <w:rsid w:val="001020ED"/>
    <w:rsid w:val="0010231E"/>
    <w:rsid w:val="001025B9"/>
    <w:rsid w:val="001025DC"/>
    <w:rsid w:val="0010284A"/>
    <w:rsid w:val="00102C1B"/>
    <w:rsid w:val="00103918"/>
    <w:rsid w:val="00103E83"/>
    <w:rsid w:val="00104453"/>
    <w:rsid w:val="00104897"/>
    <w:rsid w:val="00104C25"/>
    <w:rsid w:val="00104EDE"/>
    <w:rsid w:val="001052F0"/>
    <w:rsid w:val="00105636"/>
    <w:rsid w:val="00106335"/>
    <w:rsid w:val="001066DD"/>
    <w:rsid w:val="00106734"/>
    <w:rsid w:val="00106B9D"/>
    <w:rsid w:val="00106BEE"/>
    <w:rsid w:val="00106C8A"/>
    <w:rsid w:val="00106F67"/>
    <w:rsid w:val="00107193"/>
    <w:rsid w:val="001074A4"/>
    <w:rsid w:val="00107E22"/>
    <w:rsid w:val="00107F83"/>
    <w:rsid w:val="00110072"/>
    <w:rsid w:val="00110236"/>
    <w:rsid w:val="001115B4"/>
    <w:rsid w:val="00111624"/>
    <w:rsid w:val="001118F4"/>
    <w:rsid w:val="00111EE9"/>
    <w:rsid w:val="0011275F"/>
    <w:rsid w:val="001127AB"/>
    <w:rsid w:val="00113081"/>
    <w:rsid w:val="00113B85"/>
    <w:rsid w:val="00113CA7"/>
    <w:rsid w:val="00114987"/>
    <w:rsid w:val="001153B1"/>
    <w:rsid w:val="0011569B"/>
    <w:rsid w:val="00115A74"/>
    <w:rsid w:val="0011608D"/>
    <w:rsid w:val="001162EB"/>
    <w:rsid w:val="00116616"/>
    <w:rsid w:val="00116881"/>
    <w:rsid w:val="001168F0"/>
    <w:rsid w:val="00116915"/>
    <w:rsid w:val="00116E8F"/>
    <w:rsid w:val="001176F5"/>
    <w:rsid w:val="00117CA3"/>
    <w:rsid w:val="00117F08"/>
    <w:rsid w:val="00120034"/>
    <w:rsid w:val="001210AB"/>
    <w:rsid w:val="001211F3"/>
    <w:rsid w:val="0012120A"/>
    <w:rsid w:val="0012195F"/>
    <w:rsid w:val="00121C5B"/>
    <w:rsid w:val="00122037"/>
    <w:rsid w:val="00122064"/>
    <w:rsid w:val="00122872"/>
    <w:rsid w:val="00122941"/>
    <w:rsid w:val="00122AC0"/>
    <w:rsid w:val="00123536"/>
    <w:rsid w:val="00123E2E"/>
    <w:rsid w:val="0012402E"/>
    <w:rsid w:val="0012414C"/>
    <w:rsid w:val="0012456F"/>
    <w:rsid w:val="0012503C"/>
    <w:rsid w:val="00125442"/>
    <w:rsid w:val="0012597A"/>
    <w:rsid w:val="00125E07"/>
    <w:rsid w:val="00126277"/>
    <w:rsid w:val="001263B8"/>
    <w:rsid w:val="00126F7E"/>
    <w:rsid w:val="001270E7"/>
    <w:rsid w:val="001271F9"/>
    <w:rsid w:val="001272F2"/>
    <w:rsid w:val="0012736F"/>
    <w:rsid w:val="0012770C"/>
    <w:rsid w:val="00127ADE"/>
    <w:rsid w:val="001306AE"/>
    <w:rsid w:val="00130D92"/>
    <w:rsid w:val="00131080"/>
    <w:rsid w:val="001314BF"/>
    <w:rsid w:val="001317A9"/>
    <w:rsid w:val="0013225A"/>
    <w:rsid w:val="00132572"/>
    <w:rsid w:val="00132C0E"/>
    <w:rsid w:val="00132F6F"/>
    <w:rsid w:val="001335AB"/>
    <w:rsid w:val="001337A4"/>
    <w:rsid w:val="00133AB5"/>
    <w:rsid w:val="00135B9C"/>
    <w:rsid w:val="0013615F"/>
    <w:rsid w:val="00137ACA"/>
    <w:rsid w:val="001402DB"/>
    <w:rsid w:val="00141750"/>
    <w:rsid w:val="00141C9C"/>
    <w:rsid w:val="001427DD"/>
    <w:rsid w:val="00142A6C"/>
    <w:rsid w:val="00143431"/>
    <w:rsid w:val="0014355A"/>
    <w:rsid w:val="0014459D"/>
    <w:rsid w:val="001448D5"/>
    <w:rsid w:val="00144F1C"/>
    <w:rsid w:val="0014559E"/>
    <w:rsid w:val="001459D2"/>
    <w:rsid w:val="00145AC7"/>
    <w:rsid w:val="00146E9C"/>
    <w:rsid w:val="00147134"/>
    <w:rsid w:val="00147413"/>
    <w:rsid w:val="00147802"/>
    <w:rsid w:val="00147BAB"/>
    <w:rsid w:val="00147BE9"/>
    <w:rsid w:val="00150A9B"/>
    <w:rsid w:val="00151627"/>
    <w:rsid w:val="001518E4"/>
    <w:rsid w:val="001519A7"/>
    <w:rsid w:val="00151B61"/>
    <w:rsid w:val="00151CD1"/>
    <w:rsid w:val="00151F4F"/>
    <w:rsid w:val="0015202A"/>
    <w:rsid w:val="001528D7"/>
    <w:rsid w:val="00152B7C"/>
    <w:rsid w:val="00152FDA"/>
    <w:rsid w:val="0015353B"/>
    <w:rsid w:val="00153750"/>
    <w:rsid w:val="0015413C"/>
    <w:rsid w:val="001548ED"/>
    <w:rsid w:val="00154AE2"/>
    <w:rsid w:val="00154E7E"/>
    <w:rsid w:val="001553D0"/>
    <w:rsid w:val="001553D9"/>
    <w:rsid w:val="00155789"/>
    <w:rsid w:val="001561F6"/>
    <w:rsid w:val="0015688F"/>
    <w:rsid w:val="001568CC"/>
    <w:rsid w:val="0015781D"/>
    <w:rsid w:val="00157D43"/>
    <w:rsid w:val="00157D68"/>
    <w:rsid w:val="001609C5"/>
    <w:rsid w:val="00160B97"/>
    <w:rsid w:val="00160D11"/>
    <w:rsid w:val="00161248"/>
    <w:rsid w:val="00161E26"/>
    <w:rsid w:val="00163202"/>
    <w:rsid w:val="00163DD5"/>
    <w:rsid w:val="001643E7"/>
    <w:rsid w:val="001647B0"/>
    <w:rsid w:val="001649F7"/>
    <w:rsid w:val="00164AC4"/>
    <w:rsid w:val="00164EC0"/>
    <w:rsid w:val="00165830"/>
    <w:rsid w:val="001658AA"/>
    <w:rsid w:val="001661A3"/>
    <w:rsid w:val="0016651A"/>
    <w:rsid w:val="001666C6"/>
    <w:rsid w:val="0016690E"/>
    <w:rsid w:val="00166C58"/>
    <w:rsid w:val="001679C3"/>
    <w:rsid w:val="00167BC1"/>
    <w:rsid w:val="00167C71"/>
    <w:rsid w:val="00167EF9"/>
    <w:rsid w:val="0017027A"/>
    <w:rsid w:val="00170485"/>
    <w:rsid w:val="001709B7"/>
    <w:rsid w:val="00170A9C"/>
    <w:rsid w:val="001712DF"/>
    <w:rsid w:val="00171374"/>
    <w:rsid w:val="001717E9"/>
    <w:rsid w:val="00171B2B"/>
    <w:rsid w:val="00171C5C"/>
    <w:rsid w:val="0017223D"/>
    <w:rsid w:val="001724BE"/>
    <w:rsid w:val="00172C90"/>
    <w:rsid w:val="00172D75"/>
    <w:rsid w:val="001737E0"/>
    <w:rsid w:val="00173C68"/>
    <w:rsid w:val="00173D13"/>
    <w:rsid w:val="00173DD4"/>
    <w:rsid w:val="001742A2"/>
    <w:rsid w:val="001745BA"/>
    <w:rsid w:val="00174982"/>
    <w:rsid w:val="00174FCF"/>
    <w:rsid w:val="00175223"/>
    <w:rsid w:val="00175BA6"/>
    <w:rsid w:val="00175EA4"/>
    <w:rsid w:val="00175F4C"/>
    <w:rsid w:val="001778C5"/>
    <w:rsid w:val="00177B28"/>
    <w:rsid w:val="00177C33"/>
    <w:rsid w:val="00180209"/>
    <w:rsid w:val="001807BF"/>
    <w:rsid w:val="00180AD3"/>
    <w:rsid w:val="00181134"/>
    <w:rsid w:val="001811F8"/>
    <w:rsid w:val="0018141E"/>
    <w:rsid w:val="00181B6E"/>
    <w:rsid w:val="00181DE1"/>
    <w:rsid w:val="00181EE5"/>
    <w:rsid w:val="00182008"/>
    <w:rsid w:val="00182190"/>
    <w:rsid w:val="0018255D"/>
    <w:rsid w:val="001828D5"/>
    <w:rsid w:val="001829DE"/>
    <w:rsid w:val="00183460"/>
    <w:rsid w:val="001834B4"/>
    <w:rsid w:val="00183674"/>
    <w:rsid w:val="001838E2"/>
    <w:rsid w:val="001840D5"/>
    <w:rsid w:val="0018466C"/>
    <w:rsid w:val="001847EC"/>
    <w:rsid w:val="0018497C"/>
    <w:rsid w:val="00185380"/>
    <w:rsid w:val="00185617"/>
    <w:rsid w:val="001856F9"/>
    <w:rsid w:val="001867A9"/>
    <w:rsid w:val="00186903"/>
    <w:rsid w:val="0018691C"/>
    <w:rsid w:val="001869B8"/>
    <w:rsid w:val="00186CA5"/>
    <w:rsid w:val="00186E62"/>
    <w:rsid w:val="00187422"/>
    <w:rsid w:val="001876F6"/>
    <w:rsid w:val="001904AD"/>
    <w:rsid w:val="00190537"/>
    <w:rsid w:val="00191616"/>
    <w:rsid w:val="0019181F"/>
    <w:rsid w:val="0019231C"/>
    <w:rsid w:val="001925CC"/>
    <w:rsid w:val="00192E96"/>
    <w:rsid w:val="00192EE0"/>
    <w:rsid w:val="001930B1"/>
    <w:rsid w:val="00193139"/>
    <w:rsid w:val="001934DC"/>
    <w:rsid w:val="00193C48"/>
    <w:rsid w:val="00194979"/>
    <w:rsid w:val="0019525D"/>
    <w:rsid w:val="00195553"/>
    <w:rsid w:val="001961CC"/>
    <w:rsid w:val="0019678E"/>
    <w:rsid w:val="001971AF"/>
    <w:rsid w:val="0019780B"/>
    <w:rsid w:val="00197BDE"/>
    <w:rsid w:val="00197F2A"/>
    <w:rsid w:val="001A02B3"/>
    <w:rsid w:val="001A037B"/>
    <w:rsid w:val="001A0658"/>
    <w:rsid w:val="001A06F5"/>
    <w:rsid w:val="001A098B"/>
    <w:rsid w:val="001A130F"/>
    <w:rsid w:val="001A160D"/>
    <w:rsid w:val="001A240A"/>
    <w:rsid w:val="001A265B"/>
    <w:rsid w:val="001A26CD"/>
    <w:rsid w:val="001A2A14"/>
    <w:rsid w:val="001A2A57"/>
    <w:rsid w:val="001A2F9D"/>
    <w:rsid w:val="001A3212"/>
    <w:rsid w:val="001A3545"/>
    <w:rsid w:val="001A35E7"/>
    <w:rsid w:val="001A3CF9"/>
    <w:rsid w:val="001A3EDE"/>
    <w:rsid w:val="001A4DAA"/>
    <w:rsid w:val="001A4DBA"/>
    <w:rsid w:val="001A55CA"/>
    <w:rsid w:val="001A5947"/>
    <w:rsid w:val="001A5C1A"/>
    <w:rsid w:val="001A5E24"/>
    <w:rsid w:val="001A6556"/>
    <w:rsid w:val="001A6C22"/>
    <w:rsid w:val="001A6D8B"/>
    <w:rsid w:val="001A7199"/>
    <w:rsid w:val="001A7B79"/>
    <w:rsid w:val="001B00A8"/>
    <w:rsid w:val="001B01B0"/>
    <w:rsid w:val="001B01C2"/>
    <w:rsid w:val="001B026B"/>
    <w:rsid w:val="001B0449"/>
    <w:rsid w:val="001B0D67"/>
    <w:rsid w:val="001B11B8"/>
    <w:rsid w:val="001B1245"/>
    <w:rsid w:val="001B13A2"/>
    <w:rsid w:val="001B17B7"/>
    <w:rsid w:val="001B213D"/>
    <w:rsid w:val="001B2388"/>
    <w:rsid w:val="001B3A7D"/>
    <w:rsid w:val="001B3BF7"/>
    <w:rsid w:val="001B41C3"/>
    <w:rsid w:val="001B44BA"/>
    <w:rsid w:val="001B48DC"/>
    <w:rsid w:val="001B4E67"/>
    <w:rsid w:val="001B548E"/>
    <w:rsid w:val="001B59B5"/>
    <w:rsid w:val="001B5CC7"/>
    <w:rsid w:val="001B5F3C"/>
    <w:rsid w:val="001B61CE"/>
    <w:rsid w:val="001B65C9"/>
    <w:rsid w:val="001B6D99"/>
    <w:rsid w:val="001B78FB"/>
    <w:rsid w:val="001B7F00"/>
    <w:rsid w:val="001C006E"/>
    <w:rsid w:val="001C086E"/>
    <w:rsid w:val="001C10BD"/>
    <w:rsid w:val="001C1929"/>
    <w:rsid w:val="001C2168"/>
    <w:rsid w:val="001C2CD3"/>
    <w:rsid w:val="001C2D1E"/>
    <w:rsid w:val="001C311C"/>
    <w:rsid w:val="001C31E6"/>
    <w:rsid w:val="001C4243"/>
    <w:rsid w:val="001C4B2D"/>
    <w:rsid w:val="001C590D"/>
    <w:rsid w:val="001C5CD3"/>
    <w:rsid w:val="001C602F"/>
    <w:rsid w:val="001C618A"/>
    <w:rsid w:val="001C6B8A"/>
    <w:rsid w:val="001C718E"/>
    <w:rsid w:val="001C71AD"/>
    <w:rsid w:val="001C7257"/>
    <w:rsid w:val="001C7269"/>
    <w:rsid w:val="001C7EFA"/>
    <w:rsid w:val="001D0343"/>
    <w:rsid w:val="001D0D41"/>
    <w:rsid w:val="001D110A"/>
    <w:rsid w:val="001D1712"/>
    <w:rsid w:val="001D17EE"/>
    <w:rsid w:val="001D18E0"/>
    <w:rsid w:val="001D1ADE"/>
    <w:rsid w:val="001D1DB2"/>
    <w:rsid w:val="001D23F6"/>
    <w:rsid w:val="001D24B9"/>
    <w:rsid w:val="001D255E"/>
    <w:rsid w:val="001D27D0"/>
    <w:rsid w:val="001D2AA4"/>
    <w:rsid w:val="001D4339"/>
    <w:rsid w:val="001D52C8"/>
    <w:rsid w:val="001D5A8A"/>
    <w:rsid w:val="001D5D9C"/>
    <w:rsid w:val="001D5EB0"/>
    <w:rsid w:val="001D6388"/>
    <w:rsid w:val="001D66CE"/>
    <w:rsid w:val="001D68E4"/>
    <w:rsid w:val="001D6CC3"/>
    <w:rsid w:val="001D71F1"/>
    <w:rsid w:val="001D721C"/>
    <w:rsid w:val="001D79F6"/>
    <w:rsid w:val="001D7CAA"/>
    <w:rsid w:val="001D7DD8"/>
    <w:rsid w:val="001E01C2"/>
    <w:rsid w:val="001E0678"/>
    <w:rsid w:val="001E0B2E"/>
    <w:rsid w:val="001E0DCD"/>
    <w:rsid w:val="001E129E"/>
    <w:rsid w:val="001E17DD"/>
    <w:rsid w:val="001E1AF7"/>
    <w:rsid w:val="001E2052"/>
    <w:rsid w:val="001E255A"/>
    <w:rsid w:val="001E3B64"/>
    <w:rsid w:val="001E40B9"/>
    <w:rsid w:val="001E4232"/>
    <w:rsid w:val="001E474A"/>
    <w:rsid w:val="001E47E8"/>
    <w:rsid w:val="001E5530"/>
    <w:rsid w:val="001E5543"/>
    <w:rsid w:val="001E591E"/>
    <w:rsid w:val="001E5CAD"/>
    <w:rsid w:val="001E6784"/>
    <w:rsid w:val="001E7415"/>
    <w:rsid w:val="001E798B"/>
    <w:rsid w:val="001E7B45"/>
    <w:rsid w:val="001E7B99"/>
    <w:rsid w:val="001F0C51"/>
    <w:rsid w:val="001F10AE"/>
    <w:rsid w:val="001F149D"/>
    <w:rsid w:val="001F1CE1"/>
    <w:rsid w:val="001F1D2A"/>
    <w:rsid w:val="001F1E07"/>
    <w:rsid w:val="001F1EBD"/>
    <w:rsid w:val="001F22AA"/>
    <w:rsid w:val="001F2DAF"/>
    <w:rsid w:val="001F325C"/>
    <w:rsid w:val="001F3E8F"/>
    <w:rsid w:val="001F47BF"/>
    <w:rsid w:val="001F4E85"/>
    <w:rsid w:val="001F5C60"/>
    <w:rsid w:val="001F6243"/>
    <w:rsid w:val="001F678E"/>
    <w:rsid w:val="00200A2C"/>
    <w:rsid w:val="00200CD5"/>
    <w:rsid w:val="00201424"/>
    <w:rsid w:val="00201D84"/>
    <w:rsid w:val="00201DF4"/>
    <w:rsid w:val="0020298C"/>
    <w:rsid w:val="00202B3C"/>
    <w:rsid w:val="0020307F"/>
    <w:rsid w:val="00203825"/>
    <w:rsid w:val="00203B6F"/>
    <w:rsid w:val="00203E6D"/>
    <w:rsid w:val="0020437A"/>
    <w:rsid w:val="00204A5D"/>
    <w:rsid w:val="00204BA7"/>
    <w:rsid w:val="00204FB2"/>
    <w:rsid w:val="0020517D"/>
    <w:rsid w:val="002069A7"/>
    <w:rsid w:val="0020724F"/>
    <w:rsid w:val="002073DC"/>
    <w:rsid w:val="00207851"/>
    <w:rsid w:val="002113C2"/>
    <w:rsid w:val="002114C7"/>
    <w:rsid w:val="00211A29"/>
    <w:rsid w:val="00212183"/>
    <w:rsid w:val="002129D2"/>
    <w:rsid w:val="00213066"/>
    <w:rsid w:val="00213755"/>
    <w:rsid w:val="00213AB4"/>
    <w:rsid w:val="00213E85"/>
    <w:rsid w:val="00213E98"/>
    <w:rsid w:val="002140B4"/>
    <w:rsid w:val="002143DF"/>
    <w:rsid w:val="002148FB"/>
    <w:rsid w:val="00214914"/>
    <w:rsid w:val="00215314"/>
    <w:rsid w:val="00215635"/>
    <w:rsid w:val="002156AE"/>
    <w:rsid w:val="002161C8"/>
    <w:rsid w:val="00216258"/>
    <w:rsid w:val="00216453"/>
    <w:rsid w:val="00216C8B"/>
    <w:rsid w:val="00216D43"/>
    <w:rsid w:val="00216F6B"/>
    <w:rsid w:val="0022090D"/>
    <w:rsid w:val="00221FE1"/>
    <w:rsid w:val="002221C8"/>
    <w:rsid w:val="0022226F"/>
    <w:rsid w:val="0022229A"/>
    <w:rsid w:val="002224F6"/>
    <w:rsid w:val="00222634"/>
    <w:rsid w:val="002227BD"/>
    <w:rsid w:val="00222879"/>
    <w:rsid w:val="002229DF"/>
    <w:rsid w:val="00222C17"/>
    <w:rsid w:val="00223370"/>
    <w:rsid w:val="002237DB"/>
    <w:rsid w:val="002238DE"/>
    <w:rsid w:val="0022405E"/>
    <w:rsid w:val="00224692"/>
    <w:rsid w:val="002253DF"/>
    <w:rsid w:val="00225D62"/>
    <w:rsid w:val="0022616C"/>
    <w:rsid w:val="002265A3"/>
    <w:rsid w:val="00226F1F"/>
    <w:rsid w:val="00226F3D"/>
    <w:rsid w:val="00227954"/>
    <w:rsid w:val="00230B54"/>
    <w:rsid w:val="00230CF8"/>
    <w:rsid w:val="00231093"/>
    <w:rsid w:val="0023114E"/>
    <w:rsid w:val="00231B89"/>
    <w:rsid w:val="00231C99"/>
    <w:rsid w:val="00231FA2"/>
    <w:rsid w:val="00232097"/>
    <w:rsid w:val="0023258E"/>
    <w:rsid w:val="002325A9"/>
    <w:rsid w:val="002325BB"/>
    <w:rsid w:val="00232B5F"/>
    <w:rsid w:val="00232CB7"/>
    <w:rsid w:val="00233308"/>
    <w:rsid w:val="0023332B"/>
    <w:rsid w:val="00233F16"/>
    <w:rsid w:val="00234045"/>
    <w:rsid w:val="00234442"/>
    <w:rsid w:val="00234787"/>
    <w:rsid w:val="00234AE8"/>
    <w:rsid w:val="00234FE0"/>
    <w:rsid w:val="00235485"/>
    <w:rsid w:val="002355BE"/>
    <w:rsid w:val="00235D98"/>
    <w:rsid w:val="0023625C"/>
    <w:rsid w:val="00236269"/>
    <w:rsid w:val="002362A9"/>
    <w:rsid w:val="00236317"/>
    <w:rsid w:val="00236A01"/>
    <w:rsid w:val="00236ADF"/>
    <w:rsid w:val="00236E34"/>
    <w:rsid w:val="00237020"/>
    <w:rsid w:val="00237048"/>
    <w:rsid w:val="0024017E"/>
    <w:rsid w:val="0024029F"/>
    <w:rsid w:val="002402A4"/>
    <w:rsid w:val="0024075C"/>
    <w:rsid w:val="00240E20"/>
    <w:rsid w:val="002412EF"/>
    <w:rsid w:val="00241B1F"/>
    <w:rsid w:val="002422BF"/>
    <w:rsid w:val="00242631"/>
    <w:rsid w:val="00242682"/>
    <w:rsid w:val="0024268E"/>
    <w:rsid w:val="0024307E"/>
    <w:rsid w:val="002431DD"/>
    <w:rsid w:val="002439AB"/>
    <w:rsid w:val="00243D38"/>
    <w:rsid w:val="00243FF1"/>
    <w:rsid w:val="00244160"/>
    <w:rsid w:val="00244B22"/>
    <w:rsid w:val="00244CDD"/>
    <w:rsid w:val="002455D6"/>
    <w:rsid w:val="00245B04"/>
    <w:rsid w:val="00245F2B"/>
    <w:rsid w:val="002463EB"/>
    <w:rsid w:val="00247846"/>
    <w:rsid w:val="00247E6D"/>
    <w:rsid w:val="002501A0"/>
    <w:rsid w:val="0025072B"/>
    <w:rsid w:val="00250C09"/>
    <w:rsid w:val="002511B0"/>
    <w:rsid w:val="00251575"/>
    <w:rsid w:val="002518B9"/>
    <w:rsid w:val="002523F0"/>
    <w:rsid w:val="002523F7"/>
    <w:rsid w:val="00252A5C"/>
    <w:rsid w:val="002533DD"/>
    <w:rsid w:val="0025340A"/>
    <w:rsid w:val="002538BA"/>
    <w:rsid w:val="00253AAE"/>
    <w:rsid w:val="00253FD9"/>
    <w:rsid w:val="00254945"/>
    <w:rsid w:val="00254B12"/>
    <w:rsid w:val="00255349"/>
    <w:rsid w:val="002560B6"/>
    <w:rsid w:val="002564B9"/>
    <w:rsid w:val="002566B1"/>
    <w:rsid w:val="002567BA"/>
    <w:rsid w:val="0026011B"/>
    <w:rsid w:val="00260503"/>
    <w:rsid w:val="00260635"/>
    <w:rsid w:val="00260CFF"/>
    <w:rsid w:val="00261207"/>
    <w:rsid w:val="00261366"/>
    <w:rsid w:val="00261E40"/>
    <w:rsid w:val="0026229A"/>
    <w:rsid w:val="002629AF"/>
    <w:rsid w:val="00262A6D"/>
    <w:rsid w:val="00262CD8"/>
    <w:rsid w:val="00262F79"/>
    <w:rsid w:val="0026306E"/>
    <w:rsid w:val="0026323E"/>
    <w:rsid w:val="002635B5"/>
    <w:rsid w:val="00263846"/>
    <w:rsid w:val="00263C59"/>
    <w:rsid w:val="00263E21"/>
    <w:rsid w:val="002642EF"/>
    <w:rsid w:val="0026459F"/>
    <w:rsid w:val="00264B47"/>
    <w:rsid w:val="00264D71"/>
    <w:rsid w:val="00265529"/>
    <w:rsid w:val="002657FB"/>
    <w:rsid w:val="00265C14"/>
    <w:rsid w:val="00267078"/>
    <w:rsid w:val="002672F6"/>
    <w:rsid w:val="00267BD9"/>
    <w:rsid w:val="0027067A"/>
    <w:rsid w:val="002708D3"/>
    <w:rsid w:val="00270A4C"/>
    <w:rsid w:val="00270A8C"/>
    <w:rsid w:val="002712D5"/>
    <w:rsid w:val="002721D7"/>
    <w:rsid w:val="002724D1"/>
    <w:rsid w:val="0027277D"/>
    <w:rsid w:val="00273E9F"/>
    <w:rsid w:val="002741DD"/>
    <w:rsid w:val="0027422D"/>
    <w:rsid w:val="00274828"/>
    <w:rsid w:val="00274A5E"/>
    <w:rsid w:val="00274FAC"/>
    <w:rsid w:val="0027503E"/>
    <w:rsid w:val="00275ED2"/>
    <w:rsid w:val="002768C9"/>
    <w:rsid w:val="00277AE6"/>
    <w:rsid w:val="002806B3"/>
    <w:rsid w:val="002807EF"/>
    <w:rsid w:val="00280843"/>
    <w:rsid w:val="0028123C"/>
    <w:rsid w:val="00281399"/>
    <w:rsid w:val="00281546"/>
    <w:rsid w:val="00281E48"/>
    <w:rsid w:val="00282117"/>
    <w:rsid w:val="002823B8"/>
    <w:rsid w:val="0028241B"/>
    <w:rsid w:val="00282932"/>
    <w:rsid w:val="00282B36"/>
    <w:rsid w:val="00282D8B"/>
    <w:rsid w:val="002835B0"/>
    <w:rsid w:val="00283761"/>
    <w:rsid w:val="00284567"/>
    <w:rsid w:val="00285063"/>
    <w:rsid w:val="002853F1"/>
    <w:rsid w:val="00285474"/>
    <w:rsid w:val="00285729"/>
    <w:rsid w:val="00285797"/>
    <w:rsid w:val="00285B4A"/>
    <w:rsid w:val="00286A5B"/>
    <w:rsid w:val="002876C6"/>
    <w:rsid w:val="00287763"/>
    <w:rsid w:val="002903DB"/>
    <w:rsid w:val="00290426"/>
    <w:rsid w:val="00290AF2"/>
    <w:rsid w:val="00290BBE"/>
    <w:rsid w:val="00290DFC"/>
    <w:rsid w:val="00290E08"/>
    <w:rsid w:val="0029135D"/>
    <w:rsid w:val="0029157D"/>
    <w:rsid w:val="00291BAC"/>
    <w:rsid w:val="00292BDE"/>
    <w:rsid w:val="00292C07"/>
    <w:rsid w:val="0029348E"/>
    <w:rsid w:val="0029357A"/>
    <w:rsid w:val="00293B43"/>
    <w:rsid w:val="00294558"/>
    <w:rsid w:val="00294A6D"/>
    <w:rsid w:val="00294BE9"/>
    <w:rsid w:val="002952AF"/>
    <w:rsid w:val="00295526"/>
    <w:rsid w:val="00295904"/>
    <w:rsid w:val="00295D11"/>
    <w:rsid w:val="00295EB7"/>
    <w:rsid w:val="00297406"/>
    <w:rsid w:val="002978F9"/>
    <w:rsid w:val="00297A2B"/>
    <w:rsid w:val="002A0069"/>
    <w:rsid w:val="002A018B"/>
    <w:rsid w:val="002A023A"/>
    <w:rsid w:val="002A052E"/>
    <w:rsid w:val="002A27B7"/>
    <w:rsid w:val="002A2C62"/>
    <w:rsid w:val="002A31D3"/>
    <w:rsid w:val="002A33C7"/>
    <w:rsid w:val="002A34C4"/>
    <w:rsid w:val="002A39C0"/>
    <w:rsid w:val="002A3A1D"/>
    <w:rsid w:val="002A54D5"/>
    <w:rsid w:val="002A5709"/>
    <w:rsid w:val="002A5CE1"/>
    <w:rsid w:val="002A5D15"/>
    <w:rsid w:val="002A5F28"/>
    <w:rsid w:val="002A61EC"/>
    <w:rsid w:val="002A682F"/>
    <w:rsid w:val="002A6F89"/>
    <w:rsid w:val="002A7EB8"/>
    <w:rsid w:val="002B05A8"/>
    <w:rsid w:val="002B0606"/>
    <w:rsid w:val="002B0EF3"/>
    <w:rsid w:val="002B0F6F"/>
    <w:rsid w:val="002B15AA"/>
    <w:rsid w:val="002B1BF4"/>
    <w:rsid w:val="002B1C15"/>
    <w:rsid w:val="002B2DD4"/>
    <w:rsid w:val="002B32F3"/>
    <w:rsid w:val="002B3346"/>
    <w:rsid w:val="002B356B"/>
    <w:rsid w:val="002B3F83"/>
    <w:rsid w:val="002B470D"/>
    <w:rsid w:val="002B4A2F"/>
    <w:rsid w:val="002B4C88"/>
    <w:rsid w:val="002B4EC9"/>
    <w:rsid w:val="002B5722"/>
    <w:rsid w:val="002B5D49"/>
    <w:rsid w:val="002B5E20"/>
    <w:rsid w:val="002B6288"/>
    <w:rsid w:val="002B629A"/>
    <w:rsid w:val="002B6561"/>
    <w:rsid w:val="002B66CB"/>
    <w:rsid w:val="002B71DE"/>
    <w:rsid w:val="002B75ED"/>
    <w:rsid w:val="002B76DB"/>
    <w:rsid w:val="002B7B49"/>
    <w:rsid w:val="002C03E5"/>
    <w:rsid w:val="002C0C1C"/>
    <w:rsid w:val="002C1596"/>
    <w:rsid w:val="002C1744"/>
    <w:rsid w:val="002C2A8A"/>
    <w:rsid w:val="002C2B0C"/>
    <w:rsid w:val="002C2C9A"/>
    <w:rsid w:val="002C39E8"/>
    <w:rsid w:val="002C3A44"/>
    <w:rsid w:val="002C3E70"/>
    <w:rsid w:val="002C3EE9"/>
    <w:rsid w:val="002C467D"/>
    <w:rsid w:val="002C4AE6"/>
    <w:rsid w:val="002C4CD0"/>
    <w:rsid w:val="002C520B"/>
    <w:rsid w:val="002C5307"/>
    <w:rsid w:val="002C5940"/>
    <w:rsid w:val="002C5A22"/>
    <w:rsid w:val="002C5B7B"/>
    <w:rsid w:val="002C5ECF"/>
    <w:rsid w:val="002C6200"/>
    <w:rsid w:val="002C623E"/>
    <w:rsid w:val="002C636D"/>
    <w:rsid w:val="002C6861"/>
    <w:rsid w:val="002C6AD4"/>
    <w:rsid w:val="002C6B20"/>
    <w:rsid w:val="002C7717"/>
    <w:rsid w:val="002C7BF5"/>
    <w:rsid w:val="002D06F8"/>
    <w:rsid w:val="002D08B3"/>
    <w:rsid w:val="002D0C6C"/>
    <w:rsid w:val="002D0D8E"/>
    <w:rsid w:val="002D1A3A"/>
    <w:rsid w:val="002D2783"/>
    <w:rsid w:val="002D3657"/>
    <w:rsid w:val="002D41C3"/>
    <w:rsid w:val="002D48E8"/>
    <w:rsid w:val="002D4B03"/>
    <w:rsid w:val="002D4E59"/>
    <w:rsid w:val="002D5136"/>
    <w:rsid w:val="002D5353"/>
    <w:rsid w:val="002D5449"/>
    <w:rsid w:val="002D5605"/>
    <w:rsid w:val="002D5726"/>
    <w:rsid w:val="002D598D"/>
    <w:rsid w:val="002D5E49"/>
    <w:rsid w:val="002D6559"/>
    <w:rsid w:val="002D66B9"/>
    <w:rsid w:val="002D66C1"/>
    <w:rsid w:val="002D7648"/>
    <w:rsid w:val="002D7888"/>
    <w:rsid w:val="002E0124"/>
    <w:rsid w:val="002E05CF"/>
    <w:rsid w:val="002E0980"/>
    <w:rsid w:val="002E09D7"/>
    <w:rsid w:val="002E1060"/>
    <w:rsid w:val="002E109C"/>
    <w:rsid w:val="002E10D4"/>
    <w:rsid w:val="002E19A5"/>
    <w:rsid w:val="002E1A1E"/>
    <w:rsid w:val="002E1AD3"/>
    <w:rsid w:val="002E2039"/>
    <w:rsid w:val="002E27F4"/>
    <w:rsid w:val="002E2EFF"/>
    <w:rsid w:val="002E354B"/>
    <w:rsid w:val="002E4163"/>
    <w:rsid w:val="002E5551"/>
    <w:rsid w:val="002E652E"/>
    <w:rsid w:val="002E678B"/>
    <w:rsid w:val="002E69B8"/>
    <w:rsid w:val="002E748B"/>
    <w:rsid w:val="002E7FCE"/>
    <w:rsid w:val="002F0EDA"/>
    <w:rsid w:val="002F100F"/>
    <w:rsid w:val="002F12DA"/>
    <w:rsid w:val="002F15FB"/>
    <w:rsid w:val="002F164B"/>
    <w:rsid w:val="002F199D"/>
    <w:rsid w:val="002F1D6F"/>
    <w:rsid w:val="002F1D96"/>
    <w:rsid w:val="002F1E97"/>
    <w:rsid w:val="002F27D9"/>
    <w:rsid w:val="002F35BA"/>
    <w:rsid w:val="002F3819"/>
    <w:rsid w:val="002F4AA9"/>
    <w:rsid w:val="002F5188"/>
    <w:rsid w:val="002F5B80"/>
    <w:rsid w:val="002F5BFB"/>
    <w:rsid w:val="002F63E5"/>
    <w:rsid w:val="002F768C"/>
    <w:rsid w:val="002F782C"/>
    <w:rsid w:val="002F7912"/>
    <w:rsid w:val="002F7A7F"/>
    <w:rsid w:val="002F7D1E"/>
    <w:rsid w:val="00301735"/>
    <w:rsid w:val="003019A4"/>
    <w:rsid w:val="00301A1A"/>
    <w:rsid w:val="00301E10"/>
    <w:rsid w:val="00302288"/>
    <w:rsid w:val="003022D8"/>
    <w:rsid w:val="00303097"/>
    <w:rsid w:val="00303342"/>
    <w:rsid w:val="00303995"/>
    <w:rsid w:val="00303E84"/>
    <w:rsid w:val="00303F2B"/>
    <w:rsid w:val="0030400D"/>
    <w:rsid w:val="003052FE"/>
    <w:rsid w:val="0030562B"/>
    <w:rsid w:val="00305D8C"/>
    <w:rsid w:val="00305F53"/>
    <w:rsid w:val="00306201"/>
    <w:rsid w:val="003067AA"/>
    <w:rsid w:val="00306AFC"/>
    <w:rsid w:val="00307895"/>
    <w:rsid w:val="00310512"/>
    <w:rsid w:val="0031067F"/>
    <w:rsid w:val="00311E8B"/>
    <w:rsid w:val="00312252"/>
    <w:rsid w:val="003128E3"/>
    <w:rsid w:val="003141F7"/>
    <w:rsid w:val="00314469"/>
    <w:rsid w:val="0031446E"/>
    <w:rsid w:val="00314693"/>
    <w:rsid w:val="00314C64"/>
    <w:rsid w:val="00314C82"/>
    <w:rsid w:val="0031511D"/>
    <w:rsid w:val="0031532E"/>
    <w:rsid w:val="00315A0B"/>
    <w:rsid w:val="00315D7A"/>
    <w:rsid w:val="00316887"/>
    <w:rsid w:val="00317083"/>
    <w:rsid w:val="003170E5"/>
    <w:rsid w:val="00317829"/>
    <w:rsid w:val="00317BA7"/>
    <w:rsid w:val="00317E5D"/>
    <w:rsid w:val="00317F71"/>
    <w:rsid w:val="003208B0"/>
    <w:rsid w:val="00320CD5"/>
    <w:rsid w:val="00320FFD"/>
    <w:rsid w:val="003212DA"/>
    <w:rsid w:val="00321E16"/>
    <w:rsid w:val="003222EA"/>
    <w:rsid w:val="00322382"/>
    <w:rsid w:val="00322520"/>
    <w:rsid w:val="003225D1"/>
    <w:rsid w:val="00322C2C"/>
    <w:rsid w:val="00322FD6"/>
    <w:rsid w:val="003240BB"/>
    <w:rsid w:val="00324D63"/>
    <w:rsid w:val="00325577"/>
    <w:rsid w:val="003255A2"/>
    <w:rsid w:val="00325C78"/>
    <w:rsid w:val="00326E22"/>
    <w:rsid w:val="0032788D"/>
    <w:rsid w:val="00327C2F"/>
    <w:rsid w:val="003303DE"/>
    <w:rsid w:val="00330542"/>
    <w:rsid w:val="0033099E"/>
    <w:rsid w:val="00330F99"/>
    <w:rsid w:val="003312B2"/>
    <w:rsid w:val="003317D8"/>
    <w:rsid w:val="00331A36"/>
    <w:rsid w:val="0033209A"/>
    <w:rsid w:val="0033225C"/>
    <w:rsid w:val="003329B3"/>
    <w:rsid w:val="00333075"/>
    <w:rsid w:val="00333200"/>
    <w:rsid w:val="003333CF"/>
    <w:rsid w:val="0033343F"/>
    <w:rsid w:val="00333458"/>
    <w:rsid w:val="00333696"/>
    <w:rsid w:val="00333AE0"/>
    <w:rsid w:val="0033461C"/>
    <w:rsid w:val="00334E98"/>
    <w:rsid w:val="00334F20"/>
    <w:rsid w:val="00334FF4"/>
    <w:rsid w:val="003354A5"/>
    <w:rsid w:val="003357F1"/>
    <w:rsid w:val="00335DC5"/>
    <w:rsid w:val="00336848"/>
    <w:rsid w:val="0033691E"/>
    <w:rsid w:val="00336954"/>
    <w:rsid w:val="00336A73"/>
    <w:rsid w:val="00336A74"/>
    <w:rsid w:val="00336F39"/>
    <w:rsid w:val="003374B7"/>
    <w:rsid w:val="0033796F"/>
    <w:rsid w:val="00337E2E"/>
    <w:rsid w:val="00337EB0"/>
    <w:rsid w:val="003416BA"/>
    <w:rsid w:val="00341B79"/>
    <w:rsid w:val="00342718"/>
    <w:rsid w:val="00342908"/>
    <w:rsid w:val="00342D82"/>
    <w:rsid w:val="00342F99"/>
    <w:rsid w:val="003433CF"/>
    <w:rsid w:val="0034477E"/>
    <w:rsid w:val="0034501B"/>
    <w:rsid w:val="003450A9"/>
    <w:rsid w:val="0034546A"/>
    <w:rsid w:val="00345505"/>
    <w:rsid w:val="00345D07"/>
    <w:rsid w:val="003463D8"/>
    <w:rsid w:val="00346910"/>
    <w:rsid w:val="003469A0"/>
    <w:rsid w:val="00347343"/>
    <w:rsid w:val="0034765C"/>
    <w:rsid w:val="00347B93"/>
    <w:rsid w:val="003503C3"/>
    <w:rsid w:val="00350F7C"/>
    <w:rsid w:val="003512EE"/>
    <w:rsid w:val="00351898"/>
    <w:rsid w:val="003518A6"/>
    <w:rsid w:val="00351BA3"/>
    <w:rsid w:val="00352271"/>
    <w:rsid w:val="0035235D"/>
    <w:rsid w:val="003523BA"/>
    <w:rsid w:val="00352423"/>
    <w:rsid w:val="003527FC"/>
    <w:rsid w:val="00352B30"/>
    <w:rsid w:val="00352E48"/>
    <w:rsid w:val="00353528"/>
    <w:rsid w:val="00353980"/>
    <w:rsid w:val="00353C9A"/>
    <w:rsid w:val="003542A9"/>
    <w:rsid w:val="00355125"/>
    <w:rsid w:val="003552A6"/>
    <w:rsid w:val="00355E0A"/>
    <w:rsid w:val="003568CB"/>
    <w:rsid w:val="00356988"/>
    <w:rsid w:val="00356F67"/>
    <w:rsid w:val="00357281"/>
    <w:rsid w:val="003573E2"/>
    <w:rsid w:val="00357D8D"/>
    <w:rsid w:val="00360DE2"/>
    <w:rsid w:val="003611AB"/>
    <w:rsid w:val="0036120D"/>
    <w:rsid w:val="00361D6F"/>
    <w:rsid w:val="003622F9"/>
    <w:rsid w:val="00362364"/>
    <w:rsid w:val="003629C8"/>
    <w:rsid w:val="00362C39"/>
    <w:rsid w:val="00363BED"/>
    <w:rsid w:val="00363C79"/>
    <w:rsid w:val="00364034"/>
    <w:rsid w:val="0036421B"/>
    <w:rsid w:val="003646C1"/>
    <w:rsid w:val="00364919"/>
    <w:rsid w:val="003656FB"/>
    <w:rsid w:val="00365785"/>
    <w:rsid w:val="003657C4"/>
    <w:rsid w:val="00365926"/>
    <w:rsid w:val="00365C14"/>
    <w:rsid w:val="00365EBF"/>
    <w:rsid w:val="0036679F"/>
    <w:rsid w:val="0036729A"/>
    <w:rsid w:val="003675E1"/>
    <w:rsid w:val="00367662"/>
    <w:rsid w:val="0036768C"/>
    <w:rsid w:val="00367EA6"/>
    <w:rsid w:val="003702FA"/>
    <w:rsid w:val="00370DC7"/>
    <w:rsid w:val="0037108F"/>
    <w:rsid w:val="003712FA"/>
    <w:rsid w:val="00371539"/>
    <w:rsid w:val="00371D19"/>
    <w:rsid w:val="00372119"/>
    <w:rsid w:val="00372753"/>
    <w:rsid w:val="00373401"/>
    <w:rsid w:val="00373D72"/>
    <w:rsid w:val="00374E4F"/>
    <w:rsid w:val="00375837"/>
    <w:rsid w:val="00375917"/>
    <w:rsid w:val="0037626E"/>
    <w:rsid w:val="00376450"/>
    <w:rsid w:val="00376ED3"/>
    <w:rsid w:val="00377D81"/>
    <w:rsid w:val="00380910"/>
    <w:rsid w:val="0038092A"/>
    <w:rsid w:val="00380AF1"/>
    <w:rsid w:val="00381224"/>
    <w:rsid w:val="00381606"/>
    <w:rsid w:val="0038256B"/>
    <w:rsid w:val="003829B7"/>
    <w:rsid w:val="00382B81"/>
    <w:rsid w:val="003832B3"/>
    <w:rsid w:val="003835EF"/>
    <w:rsid w:val="00383E08"/>
    <w:rsid w:val="00384C09"/>
    <w:rsid w:val="00385A9C"/>
    <w:rsid w:val="00385B3D"/>
    <w:rsid w:val="00386398"/>
    <w:rsid w:val="00386BB3"/>
    <w:rsid w:val="00386EAD"/>
    <w:rsid w:val="00387199"/>
    <w:rsid w:val="003875A4"/>
    <w:rsid w:val="00387610"/>
    <w:rsid w:val="00390286"/>
    <w:rsid w:val="003905D1"/>
    <w:rsid w:val="00390975"/>
    <w:rsid w:val="003909CD"/>
    <w:rsid w:val="00390C17"/>
    <w:rsid w:val="00390EF6"/>
    <w:rsid w:val="003918D0"/>
    <w:rsid w:val="00391EDB"/>
    <w:rsid w:val="00392E52"/>
    <w:rsid w:val="00392FC8"/>
    <w:rsid w:val="003939F7"/>
    <w:rsid w:val="00393EC8"/>
    <w:rsid w:val="00394910"/>
    <w:rsid w:val="00394B61"/>
    <w:rsid w:val="003965D2"/>
    <w:rsid w:val="00396A2D"/>
    <w:rsid w:val="00396FC3"/>
    <w:rsid w:val="00397337"/>
    <w:rsid w:val="00397419"/>
    <w:rsid w:val="00397606"/>
    <w:rsid w:val="00397BC9"/>
    <w:rsid w:val="003A021E"/>
    <w:rsid w:val="003A0296"/>
    <w:rsid w:val="003A09E4"/>
    <w:rsid w:val="003A0A23"/>
    <w:rsid w:val="003A1803"/>
    <w:rsid w:val="003A20D6"/>
    <w:rsid w:val="003A2DC0"/>
    <w:rsid w:val="003A34BF"/>
    <w:rsid w:val="003A37A9"/>
    <w:rsid w:val="003A4288"/>
    <w:rsid w:val="003A43B4"/>
    <w:rsid w:val="003A4900"/>
    <w:rsid w:val="003A4C75"/>
    <w:rsid w:val="003A5758"/>
    <w:rsid w:val="003A59F6"/>
    <w:rsid w:val="003A60A0"/>
    <w:rsid w:val="003A6113"/>
    <w:rsid w:val="003A64BB"/>
    <w:rsid w:val="003A6866"/>
    <w:rsid w:val="003A6C14"/>
    <w:rsid w:val="003A6EBE"/>
    <w:rsid w:val="003A6F6B"/>
    <w:rsid w:val="003A7388"/>
    <w:rsid w:val="003A7525"/>
    <w:rsid w:val="003A7BDC"/>
    <w:rsid w:val="003B02DB"/>
    <w:rsid w:val="003B0556"/>
    <w:rsid w:val="003B07B9"/>
    <w:rsid w:val="003B0AD2"/>
    <w:rsid w:val="003B0B6A"/>
    <w:rsid w:val="003B0C50"/>
    <w:rsid w:val="003B10A0"/>
    <w:rsid w:val="003B1D17"/>
    <w:rsid w:val="003B1F18"/>
    <w:rsid w:val="003B2199"/>
    <w:rsid w:val="003B2294"/>
    <w:rsid w:val="003B29CF"/>
    <w:rsid w:val="003B31AB"/>
    <w:rsid w:val="003B34E6"/>
    <w:rsid w:val="003B3C52"/>
    <w:rsid w:val="003B3C9A"/>
    <w:rsid w:val="003B41AB"/>
    <w:rsid w:val="003B4A36"/>
    <w:rsid w:val="003B4A94"/>
    <w:rsid w:val="003B4B7D"/>
    <w:rsid w:val="003B4E95"/>
    <w:rsid w:val="003B4F5C"/>
    <w:rsid w:val="003B54A5"/>
    <w:rsid w:val="003B54B8"/>
    <w:rsid w:val="003B5C8E"/>
    <w:rsid w:val="003B69AC"/>
    <w:rsid w:val="003B6ADC"/>
    <w:rsid w:val="003B6CEC"/>
    <w:rsid w:val="003B7511"/>
    <w:rsid w:val="003B7D7C"/>
    <w:rsid w:val="003C0266"/>
    <w:rsid w:val="003C04DB"/>
    <w:rsid w:val="003C071B"/>
    <w:rsid w:val="003C08D9"/>
    <w:rsid w:val="003C1219"/>
    <w:rsid w:val="003C1599"/>
    <w:rsid w:val="003C17B8"/>
    <w:rsid w:val="003C18DB"/>
    <w:rsid w:val="003C1A17"/>
    <w:rsid w:val="003C1BD9"/>
    <w:rsid w:val="003C1CFA"/>
    <w:rsid w:val="003C1DC5"/>
    <w:rsid w:val="003C23B5"/>
    <w:rsid w:val="003C2440"/>
    <w:rsid w:val="003C252B"/>
    <w:rsid w:val="003C31FA"/>
    <w:rsid w:val="003C384A"/>
    <w:rsid w:val="003C3A11"/>
    <w:rsid w:val="003C3BA0"/>
    <w:rsid w:val="003C3E7B"/>
    <w:rsid w:val="003C43EF"/>
    <w:rsid w:val="003C4580"/>
    <w:rsid w:val="003C4866"/>
    <w:rsid w:val="003C497F"/>
    <w:rsid w:val="003C4A85"/>
    <w:rsid w:val="003C53EB"/>
    <w:rsid w:val="003C5F1D"/>
    <w:rsid w:val="003C61AA"/>
    <w:rsid w:val="003C62D1"/>
    <w:rsid w:val="003C660E"/>
    <w:rsid w:val="003C6683"/>
    <w:rsid w:val="003C6746"/>
    <w:rsid w:val="003C684C"/>
    <w:rsid w:val="003C7252"/>
    <w:rsid w:val="003C7901"/>
    <w:rsid w:val="003C7E9A"/>
    <w:rsid w:val="003C7F0D"/>
    <w:rsid w:val="003D1043"/>
    <w:rsid w:val="003D152C"/>
    <w:rsid w:val="003D22C1"/>
    <w:rsid w:val="003D25DA"/>
    <w:rsid w:val="003D25E6"/>
    <w:rsid w:val="003D294E"/>
    <w:rsid w:val="003D2FB5"/>
    <w:rsid w:val="003D3FD9"/>
    <w:rsid w:val="003D4457"/>
    <w:rsid w:val="003D44C7"/>
    <w:rsid w:val="003D453C"/>
    <w:rsid w:val="003D50B5"/>
    <w:rsid w:val="003D50ED"/>
    <w:rsid w:val="003D5893"/>
    <w:rsid w:val="003D65D8"/>
    <w:rsid w:val="003D6CA4"/>
    <w:rsid w:val="003D6D88"/>
    <w:rsid w:val="003D70C3"/>
    <w:rsid w:val="003D7CE8"/>
    <w:rsid w:val="003D7CF6"/>
    <w:rsid w:val="003E081A"/>
    <w:rsid w:val="003E09AE"/>
    <w:rsid w:val="003E0B16"/>
    <w:rsid w:val="003E1370"/>
    <w:rsid w:val="003E1412"/>
    <w:rsid w:val="003E1536"/>
    <w:rsid w:val="003E189F"/>
    <w:rsid w:val="003E1A45"/>
    <w:rsid w:val="003E259E"/>
    <w:rsid w:val="003E285E"/>
    <w:rsid w:val="003E2F27"/>
    <w:rsid w:val="003E31A3"/>
    <w:rsid w:val="003E31CA"/>
    <w:rsid w:val="003E322D"/>
    <w:rsid w:val="003E3265"/>
    <w:rsid w:val="003E3300"/>
    <w:rsid w:val="003E43ED"/>
    <w:rsid w:val="003E51E5"/>
    <w:rsid w:val="003E5A8C"/>
    <w:rsid w:val="003E5A9F"/>
    <w:rsid w:val="003E61AE"/>
    <w:rsid w:val="003E6967"/>
    <w:rsid w:val="003E72B9"/>
    <w:rsid w:val="003F04D2"/>
    <w:rsid w:val="003F07A4"/>
    <w:rsid w:val="003F0B1A"/>
    <w:rsid w:val="003F17EA"/>
    <w:rsid w:val="003F1DB9"/>
    <w:rsid w:val="003F1EC5"/>
    <w:rsid w:val="003F205A"/>
    <w:rsid w:val="003F2D71"/>
    <w:rsid w:val="003F2DC1"/>
    <w:rsid w:val="003F3B68"/>
    <w:rsid w:val="003F3E9B"/>
    <w:rsid w:val="003F41F0"/>
    <w:rsid w:val="003F4253"/>
    <w:rsid w:val="003F44E9"/>
    <w:rsid w:val="003F45EB"/>
    <w:rsid w:val="003F47BA"/>
    <w:rsid w:val="003F47F5"/>
    <w:rsid w:val="003F4C80"/>
    <w:rsid w:val="003F5FE0"/>
    <w:rsid w:val="003F6617"/>
    <w:rsid w:val="003F6A47"/>
    <w:rsid w:val="003F6F41"/>
    <w:rsid w:val="003F775F"/>
    <w:rsid w:val="003F788A"/>
    <w:rsid w:val="003F7A96"/>
    <w:rsid w:val="004002F5"/>
    <w:rsid w:val="0040118D"/>
    <w:rsid w:val="00401361"/>
    <w:rsid w:val="00401529"/>
    <w:rsid w:val="00401C55"/>
    <w:rsid w:val="00401E88"/>
    <w:rsid w:val="00401FCB"/>
    <w:rsid w:val="00403295"/>
    <w:rsid w:val="00403536"/>
    <w:rsid w:val="00403C62"/>
    <w:rsid w:val="00403ED6"/>
    <w:rsid w:val="00403F54"/>
    <w:rsid w:val="00404011"/>
    <w:rsid w:val="00404180"/>
    <w:rsid w:val="00406D84"/>
    <w:rsid w:val="00406DDB"/>
    <w:rsid w:val="0040729A"/>
    <w:rsid w:val="00407EDB"/>
    <w:rsid w:val="00410452"/>
    <w:rsid w:val="004104C8"/>
    <w:rsid w:val="00410CA1"/>
    <w:rsid w:val="00410E37"/>
    <w:rsid w:val="004110AE"/>
    <w:rsid w:val="004117BF"/>
    <w:rsid w:val="00412276"/>
    <w:rsid w:val="00412EBA"/>
    <w:rsid w:val="00413CED"/>
    <w:rsid w:val="00413F98"/>
    <w:rsid w:val="00414593"/>
    <w:rsid w:val="00414618"/>
    <w:rsid w:val="004148CC"/>
    <w:rsid w:val="00414DA2"/>
    <w:rsid w:val="00414F02"/>
    <w:rsid w:val="00415677"/>
    <w:rsid w:val="0041572B"/>
    <w:rsid w:val="004157EE"/>
    <w:rsid w:val="00415F25"/>
    <w:rsid w:val="00416B7D"/>
    <w:rsid w:val="00416EA3"/>
    <w:rsid w:val="00417590"/>
    <w:rsid w:val="00417BAA"/>
    <w:rsid w:val="00421BE6"/>
    <w:rsid w:val="00421E1D"/>
    <w:rsid w:val="00422204"/>
    <w:rsid w:val="004225CC"/>
    <w:rsid w:val="004227E2"/>
    <w:rsid w:val="00422A10"/>
    <w:rsid w:val="00422CF5"/>
    <w:rsid w:val="00423076"/>
    <w:rsid w:val="004231EC"/>
    <w:rsid w:val="004234EC"/>
    <w:rsid w:val="00423E77"/>
    <w:rsid w:val="00424A99"/>
    <w:rsid w:val="004254DC"/>
    <w:rsid w:val="00425EEC"/>
    <w:rsid w:val="004265DF"/>
    <w:rsid w:val="00426934"/>
    <w:rsid w:val="00426BDA"/>
    <w:rsid w:val="00427713"/>
    <w:rsid w:val="00427872"/>
    <w:rsid w:val="00427DA2"/>
    <w:rsid w:val="00427E87"/>
    <w:rsid w:val="004302DF"/>
    <w:rsid w:val="004304D3"/>
    <w:rsid w:val="004313AF"/>
    <w:rsid w:val="00431548"/>
    <w:rsid w:val="00431B52"/>
    <w:rsid w:val="00431D6C"/>
    <w:rsid w:val="004324A2"/>
    <w:rsid w:val="00432589"/>
    <w:rsid w:val="00432896"/>
    <w:rsid w:val="00432C0B"/>
    <w:rsid w:val="00433147"/>
    <w:rsid w:val="004337C7"/>
    <w:rsid w:val="00433B60"/>
    <w:rsid w:val="00434052"/>
    <w:rsid w:val="004341CB"/>
    <w:rsid w:val="004349B7"/>
    <w:rsid w:val="00434BB7"/>
    <w:rsid w:val="00434BC2"/>
    <w:rsid w:val="00434D61"/>
    <w:rsid w:val="00435BB3"/>
    <w:rsid w:val="00436851"/>
    <w:rsid w:val="004370D6"/>
    <w:rsid w:val="004372F2"/>
    <w:rsid w:val="004376D9"/>
    <w:rsid w:val="004379E7"/>
    <w:rsid w:val="00437BB6"/>
    <w:rsid w:val="00437C41"/>
    <w:rsid w:val="0044003C"/>
    <w:rsid w:val="0044014A"/>
    <w:rsid w:val="00440369"/>
    <w:rsid w:val="00440DAC"/>
    <w:rsid w:val="0044193D"/>
    <w:rsid w:val="004424DF"/>
    <w:rsid w:val="00442C4F"/>
    <w:rsid w:val="00442E6A"/>
    <w:rsid w:val="00442F94"/>
    <w:rsid w:val="00443340"/>
    <w:rsid w:val="00443469"/>
    <w:rsid w:val="0044372F"/>
    <w:rsid w:val="00443959"/>
    <w:rsid w:val="0044426A"/>
    <w:rsid w:val="00444670"/>
    <w:rsid w:val="0044565F"/>
    <w:rsid w:val="00445A2F"/>
    <w:rsid w:val="00445D65"/>
    <w:rsid w:val="00445EDB"/>
    <w:rsid w:val="0044611B"/>
    <w:rsid w:val="004461DB"/>
    <w:rsid w:val="00446555"/>
    <w:rsid w:val="0044684E"/>
    <w:rsid w:val="00447681"/>
    <w:rsid w:val="0044797B"/>
    <w:rsid w:val="00447E29"/>
    <w:rsid w:val="0045025C"/>
    <w:rsid w:val="00450555"/>
    <w:rsid w:val="004505E5"/>
    <w:rsid w:val="0045136D"/>
    <w:rsid w:val="004522FC"/>
    <w:rsid w:val="00452418"/>
    <w:rsid w:val="004524EF"/>
    <w:rsid w:val="00452691"/>
    <w:rsid w:val="00452A2F"/>
    <w:rsid w:val="00452AE1"/>
    <w:rsid w:val="00452AEB"/>
    <w:rsid w:val="004538F8"/>
    <w:rsid w:val="00454292"/>
    <w:rsid w:val="004544E3"/>
    <w:rsid w:val="00454720"/>
    <w:rsid w:val="0045652F"/>
    <w:rsid w:val="00456AD2"/>
    <w:rsid w:val="004570E5"/>
    <w:rsid w:val="004572F3"/>
    <w:rsid w:val="00457CD1"/>
    <w:rsid w:val="00457F1E"/>
    <w:rsid w:val="0046071F"/>
    <w:rsid w:val="00460B7E"/>
    <w:rsid w:val="00460D95"/>
    <w:rsid w:val="00460DA4"/>
    <w:rsid w:val="0046126F"/>
    <w:rsid w:val="00461E01"/>
    <w:rsid w:val="00461EBA"/>
    <w:rsid w:val="00462597"/>
    <w:rsid w:val="004626BB"/>
    <w:rsid w:val="00462D42"/>
    <w:rsid w:val="0046371D"/>
    <w:rsid w:val="00463CBA"/>
    <w:rsid w:val="00464261"/>
    <w:rsid w:val="00464298"/>
    <w:rsid w:val="00464BC2"/>
    <w:rsid w:val="00464D90"/>
    <w:rsid w:val="00464DDD"/>
    <w:rsid w:val="004655BB"/>
    <w:rsid w:val="0046570E"/>
    <w:rsid w:val="00465C09"/>
    <w:rsid w:val="004662C0"/>
    <w:rsid w:val="0046672B"/>
    <w:rsid w:val="0047047D"/>
    <w:rsid w:val="004704A4"/>
    <w:rsid w:val="00470520"/>
    <w:rsid w:val="00470F54"/>
    <w:rsid w:val="0047119F"/>
    <w:rsid w:val="004713FC"/>
    <w:rsid w:val="004714EF"/>
    <w:rsid w:val="004717B9"/>
    <w:rsid w:val="0047191D"/>
    <w:rsid w:val="00471B59"/>
    <w:rsid w:val="00472137"/>
    <w:rsid w:val="0047218A"/>
    <w:rsid w:val="004722ED"/>
    <w:rsid w:val="004727E1"/>
    <w:rsid w:val="00472EE0"/>
    <w:rsid w:val="00473128"/>
    <w:rsid w:val="004739A5"/>
    <w:rsid w:val="004747C4"/>
    <w:rsid w:val="004749F6"/>
    <w:rsid w:val="00474BF3"/>
    <w:rsid w:val="00474F12"/>
    <w:rsid w:val="0047507A"/>
    <w:rsid w:val="004759C0"/>
    <w:rsid w:val="0047616E"/>
    <w:rsid w:val="004761F2"/>
    <w:rsid w:val="0047638E"/>
    <w:rsid w:val="004763CD"/>
    <w:rsid w:val="00476954"/>
    <w:rsid w:val="00476EA2"/>
    <w:rsid w:val="004770EE"/>
    <w:rsid w:val="0047722B"/>
    <w:rsid w:val="0047743E"/>
    <w:rsid w:val="0047753C"/>
    <w:rsid w:val="004775E4"/>
    <w:rsid w:val="004778BD"/>
    <w:rsid w:val="004778D0"/>
    <w:rsid w:val="004779D3"/>
    <w:rsid w:val="00477DBF"/>
    <w:rsid w:val="00480372"/>
    <w:rsid w:val="004806F7"/>
    <w:rsid w:val="00480878"/>
    <w:rsid w:val="004815C0"/>
    <w:rsid w:val="00481667"/>
    <w:rsid w:val="00481C97"/>
    <w:rsid w:val="00481FC3"/>
    <w:rsid w:val="0048204C"/>
    <w:rsid w:val="00482341"/>
    <w:rsid w:val="004826FE"/>
    <w:rsid w:val="004837C4"/>
    <w:rsid w:val="00483D99"/>
    <w:rsid w:val="0048453D"/>
    <w:rsid w:val="00484B24"/>
    <w:rsid w:val="00484B69"/>
    <w:rsid w:val="00484F4C"/>
    <w:rsid w:val="0048590F"/>
    <w:rsid w:val="00486000"/>
    <w:rsid w:val="00486FD8"/>
    <w:rsid w:val="0048794C"/>
    <w:rsid w:val="004879A0"/>
    <w:rsid w:val="00487E15"/>
    <w:rsid w:val="004901A0"/>
    <w:rsid w:val="00490548"/>
    <w:rsid w:val="004908B0"/>
    <w:rsid w:val="00491C82"/>
    <w:rsid w:val="004921F9"/>
    <w:rsid w:val="004925D0"/>
    <w:rsid w:val="00492985"/>
    <w:rsid w:val="00492A25"/>
    <w:rsid w:val="00493004"/>
    <w:rsid w:val="004930FB"/>
    <w:rsid w:val="00493845"/>
    <w:rsid w:val="00494817"/>
    <w:rsid w:val="004948E3"/>
    <w:rsid w:val="0049580C"/>
    <w:rsid w:val="00495C30"/>
    <w:rsid w:val="00496128"/>
    <w:rsid w:val="004968E2"/>
    <w:rsid w:val="00497140"/>
    <w:rsid w:val="004973B8"/>
    <w:rsid w:val="00497D9C"/>
    <w:rsid w:val="004A02AC"/>
    <w:rsid w:val="004A0DAA"/>
    <w:rsid w:val="004A1405"/>
    <w:rsid w:val="004A1958"/>
    <w:rsid w:val="004A2576"/>
    <w:rsid w:val="004A279F"/>
    <w:rsid w:val="004A2BFE"/>
    <w:rsid w:val="004A381E"/>
    <w:rsid w:val="004A388F"/>
    <w:rsid w:val="004A3980"/>
    <w:rsid w:val="004A3AF5"/>
    <w:rsid w:val="004A4036"/>
    <w:rsid w:val="004A4BD7"/>
    <w:rsid w:val="004A4C48"/>
    <w:rsid w:val="004A5215"/>
    <w:rsid w:val="004A5301"/>
    <w:rsid w:val="004A5A21"/>
    <w:rsid w:val="004A5E9F"/>
    <w:rsid w:val="004A5F92"/>
    <w:rsid w:val="004A6730"/>
    <w:rsid w:val="004A6A65"/>
    <w:rsid w:val="004A6BCB"/>
    <w:rsid w:val="004A6EE8"/>
    <w:rsid w:val="004A724A"/>
    <w:rsid w:val="004A73F5"/>
    <w:rsid w:val="004B024A"/>
    <w:rsid w:val="004B09A4"/>
    <w:rsid w:val="004B0DC5"/>
    <w:rsid w:val="004B1CB5"/>
    <w:rsid w:val="004B1E5D"/>
    <w:rsid w:val="004B1FF5"/>
    <w:rsid w:val="004B21F0"/>
    <w:rsid w:val="004B241E"/>
    <w:rsid w:val="004B29AC"/>
    <w:rsid w:val="004B478D"/>
    <w:rsid w:val="004B4A5E"/>
    <w:rsid w:val="004B5C32"/>
    <w:rsid w:val="004B6EE4"/>
    <w:rsid w:val="004B72F8"/>
    <w:rsid w:val="004B746E"/>
    <w:rsid w:val="004B77A2"/>
    <w:rsid w:val="004B7C34"/>
    <w:rsid w:val="004B7F88"/>
    <w:rsid w:val="004C008D"/>
    <w:rsid w:val="004C0518"/>
    <w:rsid w:val="004C06DF"/>
    <w:rsid w:val="004C071D"/>
    <w:rsid w:val="004C0A7B"/>
    <w:rsid w:val="004C1895"/>
    <w:rsid w:val="004C1950"/>
    <w:rsid w:val="004C1AB4"/>
    <w:rsid w:val="004C1CDA"/>
    <w:rsid w:val="004C2CA5"/>
    <w:rsid w:val="004C3623"/>
    <w:rsid w:val="004C3B4C"/>
    <w:rsid w:val="004C4EF9"/>
    <w:rsid w:val="004C51FD"/>
    <w:rsid w:val="004C5943"/>
    <w:rsid w:val="004C5987"/>
    <w:rsid w:val="004C5D2C"/>
    <w:rsid w:val="004C6CF6"/>
    <w:rsid w:val="004C6FEF"/>
    <w:rsid w:val="004C710F"/>
    <w:rsid w:val="004C7393"/>
    <w:rsid w:val="004C761C"/>
    <w:rsid w:val="004C78C3"/>
    <w:rsid w:val="004D04ED"/>
    <w:rsid w:val="004D0837"/>
    <w:rsid w:val="004D0887"/>
    <w:rsid w:val="004D0E09"/>
    <w:rsid w:val="004D1578"/>
    <w:rsid w:val="004D179D"/>
    <w:rsid w:val="004D1802"/>
    <w:rsid w:val="004D1C44"/>
    <w:rsid w:val="004D2167"/>
    <w:rsid w:val="004D23D3"/>
    <w:rsid w:val="004D2499"/>
    <w:rsid w:val="004D29ED"/>
    <w:rsid w:val="004D2A71"/>
    <w:rsid w:val="004D2CBE"/>
    <w:rsid w:val="004D2F22"/>
    <w:rsid w:val="004D3405"/>
    <w:rsid w:val="004D35BA"/>
    <w:rsid w:val="004D377F"/>
    <w:rsid w:val="004D41DD"/>
    <w:rsid w:val="004D45C2"/>
    <w:rsid w:val="004D4631"/>
    <w:rsid w:val="004D48F6"/>
    <w:rsid w:val="004D4C37"/>
    <w:rsid w:val="004D5114"/>
    <w:rsid w:val="004D517E"/>
    <w:rsid w:val="004D5599"/>
    <w:rsid w:val="004D5F00"/>
    <w:rsid w:val="004D618D"/>
    <w:rsid w:val="004D655D"/>
    <w:rsid w:val="004D658A"/>
    <w:rsid w:val="004D6B11"/>
    <w:rsid w:val="004E0519"/>
    <w:rsid w:val="004E0764"/>
    <w:rsid w:val="004E0D58"/>
    <w:rsid w:val="004E0EDB"/>
    <w:rsid w:val="004E21E3"/>
    <w:rsid w:val="004E2254"/>
    <w:rsid w:val="004E2576"/>
    <w:rsid w:val="004E25A8"/>
    <w:rsid w:val="004E26FA"/>
    <w:rsid w:val="004E3574"/>
    <w:rsid w:val="004E4961"/>
    <w:rsid w:val="004E4D1B"/>
    <w:rsid w:val="004E4DB4"/>
    <w:rsid w:val="004E4EB2"/>
    <w:rsid w:val="004E59CE"/>
    <w:rsid w:val="004E5EF6"/>
    <w:rsid w:val="004E6097"/>
    <w:rsid w:val="004E687A"/>
    <w:rsid w:val="004E6A10"/>
    <w:rsid w:val="004E6D9E"/>
    <w:rsid w:val="004E6DD7"/>
    <w:rsid w:val="004E7B03"/>
    <w:rsid w:val="004E7C8E"/>
    <w:rsid w:val="004F00DB"/>
    <w:rsid w:val="004F0446"/>
    <w:rsid w:val="004F06AC"/>
    <w:rsid w:val="004F0F9C"/>
    <w:rsid w:val="004F13D9"/>
    <w:rsid w:val="004F1AA6"/>
    <w:rsid w:val="004F1C02"/>
    <w:rsid w:val="004F218E"/>
    <w:rsid w:val="004F2193"/>
    <w:rsid w:val="004F23AE"/>
    <w:rsid w:val="004F28E2"/>
    <w:rsid w:val="004F2EFC"/>
    <w:rsid w:val="004F2F3D"/>
    <w:rsid w:val="004F3C92"/>
    <w:rsid w:val="004F4969"/>
    <w:rsid w:val="004F552A"/>
    <w:rsid w:val="004F617D"/>
    <w:rsid w:val="004F63E3"/>
    <w:rsid w:val="004F6BAE"/>
    <w:rsid w:val="004F70FC"/>
    <w:rsid w:val="004F72BB"/>
    <w:rsid w:val="004F797A"/>
    <w:rsid w:val="004F7AC1"/>
    <w:rsid w:val="00500103"/>
    <w:rsid w:val="00500165"/>
    <w:rsid w:val="00500258"/>
    <w:rsid w:val="0050027E"/>
    <w:rsid w:val="00500391"/>
    <w:rsid w:val="00501780"/>
    <w:rsid w:val="00501A3F"/>
    <w:rsid w:val="00502FF3"/>
    <w:rsid w:val="00503031"/>
    <w:rsid w:val="00503482"/>
    <w:rsid w:val="00503E3B"/>
    <w:rsid w:val="00503EF5"/>
    <w:rsid w:val="005044BF"/>
    <w:rsid w:val="0050487A"/>
    <w:rsid w:val="00506A4E"/>
    <w:rsid w:val="00506BB4"/>
    <w:rsid w:val="005079D5"/>
    <w:rsid w:val="00507E08"/>
    <w:rsid w:val="005106A2"/>
    <w:rsid w:val="005108AF"/>
    <w:rsid w:val="00510F34"/>
    <w:rsid w:val="005113C0"/>
    <w:rsid w:val="005115D9"/>
    <w:rsid w:val="005119E2"/>
    <w:rsid w:val="00511D16"/>
    <w:rsid w:val="0051263D"/>
    <w:rsid w:val="005128BE"/>
    <w:rsid w:val="005130DD"/>
    <w:rsid w:val="005132B9"/>
    <w:rsid w:val="00513DC9"/>
    <w:rsid w:val="00513E7C"/>
    <w:rsid w:val="005145DA"/>
    <w:rsid w:val="00514C33"/>
    <w:rsid w:val="00514C4E"/>
    <w:rsid w:val="0051545E"/>
    <w:rsid w:val="005158E1"/>
    <w:rsid w:val="00515E1E"/>
    <w:rsid w:val="0051608F"/>
    <w:rsid w:val="00516B46"/>
    <w:rsid w:val="00516DD5"/>
    <w:rsid w:val="00517BB7"/>
    <w:rsid w:val="00520544"/>
    <w:rsid w:val="00521257"/>
    <w:rsid w:val="00521C1B"/>
    <w:rsid w:val="00521F3F"/>
    <w:rsid w:val="00522081"/>
    <w:rsid w:val="0052254E"/>
    <w:rsid w:val="005229D4"/>
    <w:rsid w:val="005229FE"/>
    <w:rsid w:val="00522CB3"/>
    <w:rsid w:val="00522F2F"/>
    <w:rsid w:val="00523174"/>
    <w:rsid w:val="00523839"/>
    <w:rsid w:val="00523CF0"/>
    <w:rsid w:val="005244F8"/>
    <w:rsid w:val="00524741"/>
    <w:rsid w:val="00524A8B"/>
    <w:rsid w:val="00524C5A"/>
    <w:rsid w:val="00525D0A"/>
    <w:rsid w:val="00525E26"/>
    <w:rsid w:val="00526049"/>
    <w:rsid w:val="0052652F"/>
    <w:rsid w:val="005265D5"/>
    <w:rsid w:val="005267CC"/>
    <w:rsid w:val="00526BC3"/>
    <w:rsid w:val="00526D87"/>
    <w:rsid w:val="00527ABF"/>
    <w:rsid w:val="00527AE1"/>
    <w:rsid w:val="00527CFF"/>
    <w:rsid w:val="00530D18"/>
    <w:rsid w:val="0053181A"/>
    <w:rsid w:val="0053195D"/>
    <w:rsid w:val="00532D88"/>
    <w:rsid w:val="00533085"/>
    <w:rsid w:val="005341E5"/>
    <w:rsid w:val="00534760"/>
    <w:rsid w:val="00534BE3"/>
    <w:rsid w:val="00534D3F"/>
    <w:rsid w:val="00535291"/>
    <w:rsid w:val="0053536F"/>
    <w:rsid w:val="00535F31"/>
    <w:rsid w:val="00537647"/>
    <w:rsid w:val="0053798F"/>
    <w:rsid w:val="00540314"/>
    <w:rsid w:val="00540631"/>
    <w:rsid w:val="00540B18"/>
    <w:rsid w:val="00541007"/>
    <w:rsid w:val="005410C1"/>
    <w:rsid w:val="00541304"/>
    <w:rsid w:val="00541556"/>
    <w:rsid w:val="00541EA3"/>
    <w:rsid w:val="00541FF4"/>
    <w:rsid w:val="0054201F"/>
    <w:rsid w:val="0054207C"/>
    <w:rsid w:val="005422F6"/>
    <w:rsid w:val="005426CF"/>
    <w:rsid w:val="0054290A"/>
    <w:rsid w:val="005430B5"/>
    <w:rsid w:val="00543253"/>
    <w:rsid w:val="00543411"/>
    <w:rsid w:val="0054358C"/>
    <w:rsid w:val="00543AF4"/>
    <w:rsid w:val="00543B98"/>
    <w:rsid w:val="00543C6E"/>
    <w:rsid w:val="00544191"/>
    <w:rsid w:val="00544678"/>
    <w:rsid w:val="00544F39"/>
    <w:rsid w:val="00545152"/>
    <w:rsid w:val="0054536D"/>
    <w:rsid w:val="00545D11"/>
    <w:rsid w:val="00545D96"/>
    <w:rsid w:val="00546F4A"/>
    <w:rsid w:val="00547020"/>
    <w:rsid w:val="005474F0"/>
    <w:rsid w:val="00547511"/>
    <w:rsid w:val="005478AC"/>
    <w:rsid w:val="00547D75"/>
    <w:rsid w:val="00547EFB"/>
    <w:rsid w:val="005504BB"/>
    <w:rsid w:val="00550711"/>
    <w:rsid w:val="00550829"/>
    <w:rsid w:val="00550C73"/>
    <w:rsid w:val="00551B38"/>
    <w:rsid w:val="0055217F"/>
    <w:rsid w:val="00552B65"/>
    <w:rsid w:val="005531DF"/>
    <w:rsid w:val="00554151"/>
    <w:rsid w:val="00554DEC"/>
    <w:rsid w:val="00554F78"/>
    <w:rsid w:val="00555427"/>
    <w:rsid w:val="00555465"/>
    <w:rsid w:val="005556FD"/>
    <w:rsid w:val="00555834"/>
    <w:rsid w:val="00555D0C"/>
    <w:rsid w:val="005564B1"/>
    <w:rsid w:val="0055698C"/>
    <w:rsid w:val="00556AE9"/>
    <w:rsid w:val="00556DD6"/>
    <w:rsid w:val="005576A1"/>
    <w:rsid w:val="00557778"/>
    <w:rsid w:val="0055781F"/>
    <w:rsid w:val="00557E49"/>
    <w:rsid w:val="005602C5"/>
    <w:rsid w:val="00560778"/>
    <w:rsid w:val="00561B7B"/>
    <w:rsid w:val="0056279C"/>
    <w:rsid w:val="00562CA1"/>
    <w:rsid w:val="0056313B"/>
    <w:rsid w:val="005633F8"/>
    <w:rsid w:val="005635CC"/>
    <w:rsid w:val="00563A18"/>
    <w:rsid w:val="00563C3D"/>
    <w:rsid w:val="00563D50"/>
    <w:rsid w:val="00563F3F"/>
    <w:rsid w:val="00564000"/>
    <w:rsid w:val="0056485D"/>
    <w:rsid w:val="00564CF6"/>
    <w:rsid w:val="00564DA6"/>
    <w:rsid w:val="0056543B"/>
    <w:rsid w:val="00565754"/>
    <w:rsid w:val="00565E69"/>
    <w:rsid w:val="00566412"/>
    <w:rsid w:val="00566D99"/>
    <w:rsid w:val="005678DE"/>
    <w:rsid w:val="00567C37"/>
    <w:rsid w:val="0057047D"/>
    <w:rsid w:val="00570E50"/>
    <w:rsid w:val="0057125D"/>
    <w:rsid w:val="00571B23"/>
    <w:rsid w:val="00571E84"/>
    <w:rsid w:val="00572693"/>
    <w:rsid w:val="00573119"/>
    <w:rsid w:val="005733A7"/>
    <w:rsid w:val="00573733"/>
    <w:rsid w:val="00573EEF"/>
    <w:rsid w:val="00574801"/>
    <w:rsid w:val="0057480A"/>
    <w:rsid w:val="00574C99"/>
    <w:rsid w:val="005750EF"/>
    <w:rsid w:val="0057529B"/>
    <w:rsid w:val="00575556"/>
    <w:rsid w:val="00575A24"/>
    <w:rsid w:val="00575A94"/>
    <w:rsid w:val="005760A5"/>
    <w:rsid w:val="0057630E"/>
    <w:rsid w:val="005765E6"/>
    <w:rsid w:val="005778DE"/>
    <w:rsid w:val="00577987"/>
    <w:rsid w:val="005779E4"/>
    <w:rsid w:val="00577A51"/>
    <w:rsid w:val="00577F17"/>
    <w:rsid w:val="005809E1"/>
    <w:rsid w:val="005809E7"/>
    <w:rsid w:val="00580C33"/>
    <w:rsid w:val="00580EE3"/>
    <w:rsid w:val="00580F0C"/>
    <w:rsid w:val="00581662"/>
    <w:rsid w:val="00581982"/>
    <w:rsid w:val="00581AD7"/>
    <w:rsid w:val="00581EB5"/>
    <w:rsid w:val="00582452"/>
    <w:rsid w:val="0058276D"/>
    <w:rsid w:val="00582CCE"/>
    <w:rsid w:val="005833AB"/>
    <w:rsid w:val="005836C7"/>
    <w:rsid w:val="00583BF5"/>
    <w:rsid w:val="005844BA"/>
    <w:rsid w:val="00584703"/>
    <w:rsid w:val="00584CA8"/>
    <w:rsid w:val="00584E2C"/>
    <w:rsid w:val="00585796"/>
    <w:rsid w:val="00585891"/>
    <w:rsid w:val="005861D0"/>
    <w:rsid w:val="00586938"/>
    <w:rsid w:val="00586B2A"/>
    <w:rsid w:val="00586C5C"/>
    <w:rsid w:val="00586EF4"/>
    <w:rsid w:val="00587091"/>
    <w:rsid w:val="00587414"/>
    <w:rsid w:val="00587AA9"/>
    <w:rsid w:val="00587B40"/>
    <w:rsid w:val="00590B49"/>
    <w:rsid w:val="00590B77"/>
    <w:rsid w:val="005913A3"/>
    <w:rsid w:val="00591654"/>
    <w:rsid w:val="005917A7"/>
    <w:rsid w:val="00591A66"/>
    <w:rsid w:val="00591DD3"/>
    <w:rsid w:val="00592106"/>
    <w:rsid w:val="0059348F"/>
    <w:rsid w:val="00593753"/>
    <w:rsid w:val="00593D5E"/>
    <w:rsid w:val="00594037"/>
    <w:rsid w:val="0059423D"/>
    <w:rsid w:val="00595131"/>
    <w:rsid w:val="0059530C"/>
    <w:rsid w:val="00595452"/>
    <w:rsid w:val="00595D83"/>
    <w:rsid w:val="00595EBB"/>
    <w:rsid w:val="00595F93"/>
    <w:rsid w:val="00596408"/>
    <w:rsid w:val="00596568"/>
    <w:rsid w:val="005969CB"/>
    <w:rsid w:val="00596C66"/>
    <w:rsid w:val="0059706A"/>
    <w:rsid w:val="0059728B"/>
    <w:rsid w:val="005972C0"/>
    <w:rsid w:val="005976FC"/>
    <w:rsid w:val="005A0A8A"/>
    <w:rsid w:val="005A0CE1"/>
    <w:rsid w:val="005A1C7B"/>
    <w:rsid w:val="005A24F0"/>
    <w:rsid w:val="005A2510"/>
    <w:rsid w:val="005A2C38"/>
    <w:rsid w:val="005A32F7"/>
    <w:rsid w:val="005A34A8"/>
    <w:rsid w:val="005A401F"/>
    <w:rsid w:val="005A49A8"/>
    <w:rsid w:val="005A6390"/>
    <w:rsid w:val="005A70BA"/>
    <w:rsid w:val="005A71E9"/>
    <w:rsid w:val="005A7328"/>
    <w:rsid w:val="005A75CC"/>
    <w:rsid w:val="005A7B65"/>
    <w:rsid w:val="005A7F37"/>
    <w:rsid w:val="005B0047"/>
    <w:rsid w:val="005B0277"/>
    <w:rsid w:val="005B07EC"/>
    <w:rsid w:val="005B0C75"/>
    <w:rsid w:val="005B0F08"/>
    <w:rsid w:val="005B1C37"/>
    <w:rsid w:val="005B2158"/>
    <w:rsid w:val="005B285B"/>
    <w:rsid w:val="005B29A9"/>
    <w:rsid w:val="005B3341"/>
    <w:rsid w:val="005B339A"/>
    <w:rsid w:val="005B3790"/>
    <w:rsid w:val="005B3B01"/>
    <w:rsid w:val="005B3D1B"/>
    <w:rsid w:val="005B3D7E"/>
    <w:rsid w:val="005B4498"/>
    <w:rsid w:val="005B48BD"/>
    <w:rsid w:val="005B4FF4"/>
    <w:rsid w:val="005B5BEE"/>
    <w:rsid w:val="005B6BFE"/>
    <w:rsid w:val="005B7323"/>
    <w:rsid w:val="005B73D0"/>
    <w:rsid w:val="005B7552"/>
    <w:rsid w:val="005B77D2"/>
    <w:rsid w:val="005B7904"/>
    <w:rsid w:val="005B7C19"/>
    <w:rsid w:val="005C015E"/>
    <w:rsid w:val="005C0964"/>
    <w:rsid w:val="005C0C42"/>
    <w:rsid w:val="005C0EAF"/>
    <w:rsid w:val="005C13F0"/>
    <w:rsid w:val="005C186A"/>
    <w:rsid w:val="005C280F"/>
    <w:rsid w:val="005C3032"/>
    <w:rsid w:val="005C30F5"/>
    <w:rsid w:val="005C3225"/>
    <w:rsid w:val="005C3779"/>
    <w:rsid w:val="005C4B5E"/>
    <w:rsid w:val="005C4F60"/>
    <w:rsid w:val="005C533E"/>
    <w:rsid w:val="005C58C9"/>
    <w:rsid w:val="005C6000"/>
    <w:rsid w:val="005C6B8B"/>
    <w:rsid w:val="005D02E3"/>
    <w:rsid w:val="005D05F5"/>
    <w:rsid w:val="005D081C"/>
    <w:rsid w:val="005D12C0"/>
    <w:rsid w:val="005D14F7"/>
    <w:rsid w:val="005D1519"/>
    <w:rsid w:val="005D1A53"/>
    <w:rsid w:val="005D1CCF"/>
    <w:rsid w:val="005D1D98"/>
    <w:rsid w:val="005D2173"/>
    <w:rsid w:val="005D2709"/>
    <w:rsid w:val="005D32B6"/>
    <w:rsid w:val="005D39F4"/>
    <w:rsid w:val="005D39FD"/>
    <w:rsid w:val="005D3AAF"/>
    <w:rsid w:val="005D3B54"/>
    <w:rsid w:val="005D4B96"/>
    <w:rsid w:val="005D556F"/>
    <w:rsid w:val="005D58D2"/>
    <w:rsid w:val="005D62B3"/>
    <w:rsid w:val="005D6978"/>
    <w:rsid w:val="005D6A28"/>
    <w:rsid w:val="005D7606"/>
    <w:rsid w:val="005D7691"/>
    <w:rsid w:val="005D7ADE"/>
    <w:rsid w:val="005E021D"/>
    <w:rsid w:val="005E04A5"/>
    <w:rsid w:val="005E0831"/>
    <w:rsid w:val="005E1133"/>
    <w:rsid w:val="005E16BE"/>
    <w:rsid w:val="005E20B1"/>
    <w:rsid w:val="005E20BC"/>
    <w:rsid w:val="005E21BD"/>
    <w:rsid w:val="005E247F"/>
    <w:rsid w:val="005E2D38"/>
    <w:rsid w:val="005E2D68"/>
    <w:rsid w:val="005E2DAA"/>
    <w:rsid w:val="005E3308"/>
    <w:rsid w:val="005E33AF"/>
    <w:rsid w:val="005E3537"/>
    <w:rsid w:val="005E3594"/>
    <w:rsid w:val="005E402C"/>
    <w:rsid w:val="005E416B"/>
    <w:rsid w:val="005E4419"/>
    <w:rsid w:val="005E4ADB"/>
    <w:rsid w:val="005E5A53"/>
    <w:rsid w:val="005E5A54"/>
    <w:rsid w:val="005E5B81"/>
    <w:rsid w:val="005E6019"/>
    <w:rsid w:val="005E62DF"/>
    <w:rsid w:val="005E65F6"/>
    <w:rsid w:val="005E666A"/>
    <w:rsid w:val="005E6D55"/>
    <w:rsid w:val="005E7F54"/>
    <w:rsid w:val="005F02F0"/>
    <w:rsid w:val="005F04F4"/>
    <w:rsid w:val="005F091A"/>
    <w:rsid w:val="005F0FF8"/>
    <w:rsid w:val="005F1516"/>
    <w:rsid w:val="005F155C"/>
    <w:rsid w:val="005F1ADA"/>
    <w:rsid w:val="005F229E"/>
    <w:rsid w:val="005F2C09"/>
    <w:rsid w:val="005F2D9A"/>
    <w:rsid w:val="005F3378"/>
    <w:rsid w:val="005F3D9D"/>
    <w:rsid w:val="005F3E74"/>
    <w:rsid w:val="005F4247"/>
    <w:rsid w:val="005F4E52"/>
    <w:rsid w:val="005F4EC2"/>
    <w:rsid w:val="005F4EF5"/>
    <w:rsid w:val="005F5360"/>
    <w:rsid w:val="005F5889"/>
    <w:rsid w:val="005F59CB"/>
    <w:rsid w:val="005F5AB3"/>
    <w:rsid w:val="005F5D2D"/>
    <w:rsid w:val="005F5DD6"/>
    <w:rsid w:val="005F5F0D"/>
    <w:rsid w:val="005F6025"/>
    <w:rsid w:val="005F6F0A"/>
    <w:rsid w:val="005F71CB"/>
    <w:rsid w:val="005F7AC8"/>
    <w:rsid w:val="005F7D2C"/>
    <w:rsid w:val="0060058E"/>
    <w:rsid w:val="00600B58"/>
    <w:rsid w:val="00600E08"/>
    <w:rsid w:val="00600F38"/>
    <w:rsid w:val="0060119D"/>
    <w:rsid w:val="006015CA"/>
    <w:rsid w:val="0060188B"/>
    <w:rsid w:val="00602A3C"/>
    <w:rsid w:val="00602C84"/>
    <w:rsid w:val="00602E8C"/>
    <w:rsid w:val="00602EA6"/>
    <w:rsid w:val="00602FC8"/>
    <w:rsid w:val="006033DE"/>
    <w:rsid w:val="006039F9"/>
    <w:rsid w:val="00603AD1"/>
    <w:rsid w:val="006041F5"/>
    <w:rsid w:val="00604451"/>
    <w:rsid w:val="00604508"/>
    <w:rsid w:val="00604754"/>
    <w:rsid w:val="00604AC5"/>
    <w:rsid w:val="006051E5"/>
    <w:rsid w:val="0060549F"/>
    <w:rsid w:val="006060F1"/>
    <w:rsid w:val="006066E3"/>
    <w:rsid w:val="006067AF"/>
    <w:rsid w:val="0060684F"/>
    <w:rsid w:val="00606D18"/>
    <w:rsid w:val="0060750F"/>
    <w:rsid w:val="00607AC6"/>
    <w:rsid w:val="0061015E"/>
    <w:rsid w:val="0061035A"/>
    <w:rsid w:val="00610B69"/>
    <w:rsid w:val="00610E8B"/>
    <w:rsid w:val="0061110D"/>
    <w:rsid w:val="00611722"/>
    <w:rsid w:val="006117D4"/>
    <w:rsid w:val="006119FD"/>
    <w:rsid w:val="006125D6"/>
    <w:rsid w:val="00612A43"/>
    <w:rsid w:val="00612E72"/>
    <w:rsid w:val="00613791"/>
    <w:rsid w:val="00613BF8"/>
    <w:rsid w:val="00613CEC"/>
    <w:rsid w:val="00613E9E"/>
    <w:rsid w:val="00614069"/>
    <w:rsid w:val="00614079"/>
    <w:rsid w:val="00614328"/>
    <w:rsid w:val="006146D5"/>
    <w:rsid w:val="00614735"/>
    <w:rsid w:val="00614D08"/>
    <w:rsid w:val="00614DA0"/>
    <w:rsid w:val="006152CB"/>
    <w:rsid w:val="006156C3"/>
    <w:rsid w:val="00615E13"/>
    <w:rsid w:val="006166BE"/>
    <w:rsid w:val="00616989"/>
    <w:rsid w:val="00616E6D"/>
    <w:rsid w:val="0061754F"/>
    <w:rsid w:val="00617BE1"/>
    <w:rsid w:val="00617EEE"/>
    <w:rsid w:val="00620352"/>
    <w:rsid w:val="0062055B"/>
    <w:rsid w:val="006209D3"/>
    <w:rsid w:val="006212E9"/>
    <w:rsid w:val="0062165A"/>
    <w:rsid w:val="00621707"/>
    <w:rsid w:val="00621BE7"/>
    <w:rsid w:val="0062224C"/>
    <w:rsid w:val="00622852"/>
    <w:rsid w:val="00622B99"/>
    <w:rsid w:val="00622D0E"/>
    <w:rsid w:val="00622D9D"/>
    <w:rsid w:val="00623389"/>
    <w:rsid w:val="0062346A"/>
    <w:rsid w:val="00623A6A"/>
    <w:rsid w:val="006247D0"/>
    <w:rsid w:val="00624822"/>
    <w:rsid w:val="00624D6B"/>
    <w:rsid w:val="006259BA"/>
    <w:rsid w:val="006262AB"/>
    <w:rsid w:val="00626487"/>
    <w:rsid w:val="006268E4"/>
    <w:rsid w:val="00627098"/>
    <w:rsid w:val="0062761A"/>
    <w:rsid w:val="006279FE"/>
    <w:rsid w:val="00627C1D"/>
    <w:rsid w:val="00627E20"/>
    <w:rsid w:val="00630287"/>
    <w:rsid w:val="00630CBA"/>
    <w:rsid w:val="00632D03"/>
    <w:rsid w:val="006330CA"/>
    <w:rsid w:val="0063378E"/>
    <w:rsid w:val="00633C0E"/>
    <w:rsid w:val="0063413D"/>
    <w:rsid w:val="00634391"/>
    <w:rsid w:val="00634610"/>
    <w:rsid w:val="006349E7"/>
    <w:rsid w:val="00634E10"/>
    <w:rsid w:val="00635554"/>
    <w:rsid w:val="00635A63"/>
    <w:rsid w:val="006361EC"/>
    <w:rsid w:val="006363FA"/>
    <w:rsid w:val="00636B1C"/>
    <w:rsid w:val="00636B9D"/>
    <w:rsid w:val="0063735D"/>
    <w:rsid w:val="0063740F"/>
    <w:rsid w:val="006379D8"/>
    <w:rsid w:val="00637A2A"/>
    <w:rsid w:val="006400FC"/>
    <w:rsid w:val="00640166"/>
    <w:rsid w:val="0064020B"/>
    <w:rsid w:val="006403CE"/>
    <w:rsid w:val="00640F5C"/>
    <w:rsid w:val="00640FAF"/>
    <w:rsid w:val="006415D4"/>
    <w:rsid w:val="006417F1"/>
    <w:rsid w:val="006418FE"/>
    <w:rsid w:val="00641AA0"/>
    <w:rsid w:val="00641AF8"/>
    <w:rsid w:val="006426AF"/>
    <w:rsid w:val="00642883"/>
    <w:rsid w:val="00642E16"/>
    <w:rsid w:val="006431D9"/>
    <w:rsid w:val="00643664"/>
    <w:rsid w:val="00643CAA"/>
    <w:rsid w:val="00644695"/>
    <w:rsid w:val="00644883"/>
    <w:rsid w:val="00644A29"/>
    <w:rsid w:val="0064576B"/>
    <w:rsid w:val="006457CA"/>
    <w:rsid w:val="006459FE"/>
    <w:rsid w:val="00645D14"/>
    <w:rsid w:val="00645DEE"/>
    <w:rsid w:val="00645F22"/>
    <w:rsid w:val="006469B4"/>
    <w:rsid w:val="00646FE3"/>
    <w:rsid w:val="006477FF"/>
    <w:rsid w:val="00647D7B"/>
    <w:rsid w:val="00647DCD"/>
    <w:rsid w:val="00650938"/>
    <w:rsid w:val="006510FB"/>
    <w:rsid w:val="00651937"/>
    <w:rsid w:val="006522CB"/>
    <w:rsid w:val="00652491"/>
    <w:rsid w:val="00652AD2"/>
    <w:rsid w:val="00652C4C"/>
    <w:rsid w:val="00653077"/>
    <w:rsid w:val="0065317D"/>
    <w:rsid w:val="006538E5"/>
    <w:rsid w:val="00653933"/>
    <w:rsid w:val="00653CDE"/>
    <w:rsid w:val="0065414B"/>
    <w:rsid w:val="00654164"/>
    <w:rsid w:val="00654458"/>
    <w:rsid w:val="006546AE"/>
    <w:rsid w:val="00656A3A"/>
    <w:rsid w:val="00656AE8"/>
    <w:rsid w:val="00657AB4"/>
    <w:rsid w:val="00657AB7"/>
    <w:rsid w:val="00657D6F"/>
    <w:rsid w:val="00660430"/>
    <w:rsid w:val="00660485"/>
    <w:rsid w:val="00660653"/>
    <w:rsid w:val="00660E69"/>
    <w:rsid w:val="00660E6C"/>
    <w:rsid w:val="00661277"/>
    <w:rsid w:val="006613CC"/>
    <w:rsid w:val="006613FC"/>
    <w:rsid w:val="0066158C"/>
    <w:rsid w:val="00661F62"/>
    <w:rsid w:val="006621A4"/>
    <w:rsid w:val="006623D7"/>
    <w:rsid w:val="006624DA"/>
    <w:rsid w:val="006624EA"/>
    <w:rsid w:val="0066276E"/>
    <w:rsid w:val="006627AF"/>
    <w:rsid w:val="00662BF1"/>
    <w:rsid w:val="00663040"/>
    <w:rsid w:val="00663380"/>
    <w:rsid w:val="00663B40"/>
    <w:rsid w:val="00663E93"/>
    <w:rsid w:val="00663FEA"/>
    <w:rsid w:val="00664159"/>
    <w:rsid w:val="0066455C"/>
    <w:rsid w:val="00664803"/>
    <w:rsid w:val="00664F9D"/>
    <w:rsid w:val="0066590F"/>
    <w:rsid w:val="00665945"/>
    <w:rsid w:val="00665B3B"/>
    <w:rsid w:val="006663CC"/>
    <w:rsid w:val="006666DC"/>
    <w:rsid w:val="006667F6"/>
    <w:rsid w:val="00666DD5"/>
    <w:rsid w:val="00667B62"/>
    <w:rsid w:val="00667EA7"/>
    <w:rsid w:val="0067030B"/>
    <w:rsid w:val="0067051D"/>
    <w:rsid w:val="0067062C"/>
    <w:rsid w:val="00670BC5"/>
    <w:rsid w:val="00670C7F"/>
    <w:rsid w:val="00670ED5"/>
    <w:rsid w:val="00670F0F"/>
    <w:rsid w:val="00670F71"/>
    <w:rsid w:val="0067106E"/>
    <w:rsid w:val="00671094"/>
    <w:rsid w:val="006715E8"/>
    <w:rsid w:val="006719C4"/>
    <w:rsid w:val="00671AD0"/>
    <w:rsid w:val="006724A5"/>
    <w:rsid w:val="0067290D"/>
    <w:rsid w:val="00672C61"/>
    <w:rsid w:val="006740BD"/>
    <w:rsid w:val="00674549"/>
    <w:rsid w:val="00674554"/>
    <w:rsid w:val="0067492B"/>
    <w:rsid w:val="006749D2"/>
    <w:rsid w:val="00674B85"/>
    <w:rsid w:val="00675075"/>
    <w:rsid w:val="00675766"/>
    <w:rsid w:val="00675C5A"/>
    <w:rsid w:val="00675E90"/>
    <w:rsid w:val="006768BC"/>
    <w:rsid w:val="006772C9"/>
    <w:rsid w:val="00677641"/>
    <w:rsid w:val="006776A3"/>
    <w:rsid w:val="006777FB"/>
    <w:rsid w:val="0067791C"/>
    <w:rsid w:val="00677BF4"/>
    <w:rsid w:val="00681312"/>
    <w:rsid w:val="006817B8"/>
    <w:rsid w:val="00681C17"/>
    <w:rsid w:val="00682A19"/>
    <w:rsid w:val="00682A6A"/>
    <w:rsid w:val="00682F28"/>
    <w:rsid w:val="00683347"/>
    <w:rsid w:val="0068336F"/>
    <w:rsid w:val="00683905"/>
    <w:rsid w:val="00683AD6"/>
    <w:rsid w:val="0068496D"/>
    <w:rsid w:val="00684BDF"/>
    <w:rsid w:val="00684D99"/>
    <w:rsid w:val="00684FD7"/>
    <w:rsid w:val="00685037"/>
    <w:rsid w:val="00686449"/>
    <w:rsid w:val="006866F2"/>
    <w:rsid w:val="00686AE3"/>
    <w:rsid w:val="00686B69"/>
    <w:rsid w:val="0068716B"/>
    <w:rsid w:val="006879E5"/>
    <w:rsid w:val="00687CEA"/>
    <w:rsid w:val="00687E1E"/>
    <w:rsid w:val="0069029C"/>
    <w:rsid w:val="00690437"/>
    <w:rsid w:val="006909B9"/>
    <w:rsid w:val="00690E65"/>
    <w:rsid w:val="00691A77"/>
    <w:rsid w:val="0069294E"/>
    <w:rsid w:val="00692AAF"/>
    <w:rsid w:val="00692EF9"/>
    <w:rsid w:val="0069336A"/>
    <w:rsid w:val="0069476D"/>
    <w:rsid w:val="00694F83"/>
    <w:rsid w:val="00695421"/>
    <w:rsid w:val="00695B3C"/>
    <w:rsid w:val="00695B42"/>
    <w:rsid w:val="0069618D"/>
    <w:rsid w:val="00696241"/>
    <w:rsid w:val="006963CC"/>
    <w:rsid w:val="0069697F"/>
    <w:rsid w:val="00696D24"/>
    <w:rsid w:val="00696E32"/>
    <w:rsid w:val="00697D16"/>
    <w:rsid w:val="00697DFA"/>
    <w:rsid w:val="006A0A00"/>
    <w:rsid w:val="006A18C3"/>
    <w:rsid w:val="006A1ADB"/>
    <w:rsid w:val="006A1E5E"/>
    <w:rsid w:val="006A20DE"/>
    <w:rsid w:val="006A234A"/>
    <w:rsid w:val="006A391C"/>
    <w:rsid w:val="006A3C39"/>
    <w:rsid w:val="006A408D"/>
    <w:rsid w:val="006A4AA0"/>
    <w:rsid w:val="006A4F4E"/>
    <w:rsid w:val="006A5516"/>
    <w:rsid w:val="006A55B3"/>
    <w:rsid w:val="006A6012"/>
    <w:rsid w:val="006A6119"/>
    <w:rsid w:val="006A6A8A"/>
    <w:rsid w:val="006A75DB"/>
    <w:rsid w:val="006A7936"/>
    <w:rsid w:val="006A79E1"/>
    <w:rsid w:val="006A7BE3"/>
    <w:rsid w:val="006B01D1"/>
    <w:rsid w:val="006B030B"/>
    <w:rsid w:val="006B058A"/>
    <w:rsid w:val="006B05E5"/>
    <w:rsid w:val="006B07E8"/>
    <w:rsid w:val="006B0AE2"/>
    <w:rsid w:val="006B0F39"/>
    <w:rsid w:val="006B1020"/>
    <w:rsid w:val="006B13BC"/>
    <w:rsid w:val="006B142E"/>
    <w:rsid w:val="006B15CC"/>
    <w:rsid w:val="006B1E4E"/>
    <w:rsid w:val="006B2213"/>
    <w:rsid w:val="006B259C"/>
    <w:rsid w:val="006B266D"/>
    <w:rsid w:val="006B26C0"/>
    <w:rsid w:val="006B2D20"/>
    <w:rsid w:val="006B347C"/>
    <w:rsid w:val="006B38F1"/>
    <w:rsid w:val="006B39CF"/>
    <w:rsid w:val="006B439A"/>
    <w:rsid w:val="006B4589"/>
    <w:rsid w:val="006B49BC"/>
    <w:rsid w:val="006B5291"/>
    <w:rsid w:val="006B5A8B"/>
    <w:rsid w:val="006B5EFA"/>
    <w:rsid w:val="006B5FAD"/>
    <w:rsid w:val="006B6757"/>
    <w:rsid w:val="006B6932"/>
    <w:rsid w:val="006B6F00"/>
    <w:rsid w:val="006B7ABB"/>
    <w:rsid w:val="006C06FF"/>
    <w:rsid w:val="006C11E7"/>
    <w:rsid w:val="006C2577"/>
    <w:rsid w:val="006C2CDB"/>
    <w:rsid w:val="006C2E14"/>
    <w:rsid w:val="006C2F35"/>
    <w:rsid w:val="006C434F"/>
    <w:rsid w:val="006C4F0E"/>
    <w:rsid w:val="006C52A2"/>
    <w:rsid w:val="006C57AD"/>
    <w:rsid w:val="006C5DB5"/>
    <w:rsid w:val="006C5F01"/>
    <w:rsid w:val="006C6C23"/>
    <w:rsid w:val="006C7880"/>
    <w:rsid w:val="006D081E"/>
    <w:rsid w:val="006D0A73"/>
    <w:rsid w:val="006D0BB7"/>
    <w:rsid w:val="006D0C1D"/>
    <w:rsid w:val="006D134B"/>
    <w:rsid w:val="006D21FD"/>
    <w:rsid w:val="006D2324"/>
    <w:rsid w:val="006D281A"/>
    <w:rsid w:val="006D284A"/>
    <w:rsid w:val="006D3D09"/>
    <w:rsid w:val="006D3ECF"/>
    <w:rsid w:val="006D3FC2"/>
    <w:rsid w:val="006D3FEA"/>
    <w:rsid w:val="006D415B"/>
    <w:rsid w:val="006D4832"/>
    <w:rsid w:val="006D5532"/>
    <w:rsid w:val="006D6195"/>
    <w:rsid w:val="006D670B"/>
    <w:rsid w:val="006D6B14"/>
    <w:rsid w:val="006D6E85"/>
    <w:rsid w:val="006D72C2"/>
    <w:rsid w:val="006D7C85"/>
    <w:rsid w:val="006D7DB5"/>
    <w:rsid w:val="006E013F"/>
    <w:rsid w:val="006E0574"/>
    <w:rsid w:val="006E0CA4"/>
    <w:rsid w:val="006E1838"/>
    <w:rsid w:val="006E19E1"/>
    <w:rsid w:val="006E1F61"/>
    <w:rsid w:val="006E231B"/>
    <w:rsid w:val="006E25E8"/>
    <w:rsid w:val="006E2FFD"/>
    <w:rsid w:val="006E34E4"/>
    <w:rsid w:val="006E3685"/>
    <w:rsid w:val="006E3CE8"/>
    <w:rsid w:val="006E3D52"/>
    <w:rsid w:val="006E3DA1"/>
    <w:rsid w:val="006E3DFD"/>
    <w:rsid w:val="006E42A9"/>
    <w:rsid w:val="006E4430"/>
    <w:rsid w:val="006E45A9"/>
    <w:rsid w:val="006E462E"/>
    <w:rsid w:val="006E4BA9"/>
    <w:rsid w:val="006E4D0A"/>
    <w:rsid w:val="006E4E35"/>
    <w:rsid w:val="006E55A2"/>
    <w:rsid w:val="006E5DD8"/>
    <w:rsid w:val="006E63F6"/>
    <w:rsid w:val="006E7538"/>
    <w:rsid w:val="006E7B87"/>
    <w:rsid w:val="006F00EF"/>
    <w:rsid w:val="006F024B"/>
    <w:rsid w:val="006F03C2"/>
    <w:rsid w:val="006F05D1"/>
    <w:rsid w:val="006F0734"/>
    <w:rsid w:val="006F0A11"/>
    <w:rsid w:val="006F0A60"/>
    <w:rsid w:val="006F0F34"/>
    <w:rsid w:val="006F1829"/>
    <w:rsid w:val="006F182A"/>
    <w:rsid w:val="006F2279"/>
    <w:rsid w:val="006F2341"/>
    <w:rsid w:val="006F24A3"/>
    <w:rsid w:val="006F26A6"/>
    <w:rsid w:val="006F2A64"/>
    <w:rsid w:val="006F2F2A"/>
    <w:rsid w:val="006F3231"/>
    <w:rsid w:val="006F32BD"/>
    <w:rsid w:val="006F3DE3"/>
    <w:rsid w:val="006F4BF8"/>
    <w:rsid w:val="006F4EF2"/>
    <w:rsid w:val="006F518A"/>
    <w:rsid w:val="006F5272"/>
    <w:rsid w:val="006F528C"/>
    <w:rsid w:val="006F547F"/>
    <w:rsid w:val="006F58B0"/>
    <w:rsid w:val="006F5A12"/>
    <w:rsid w:val="006F6103"/>
    <w:rsid w:val="006F6267"/>
    <w:rsid w:val="006F6AD5"/>
    <w:rsid w:val="006F6CB9"/>
    <w:rsid w:val="006F700F"/>
    <w:rsid w:val="006F70BC"/>
    <w:rsid w:val="006F7DDC"/>
    <w:rsid w:val="006F7E1F"/>
    <w:rsid w:val="00700AC0"/>
    <w:rsid w:val="007014A8"/>
    <w:rsid w:val="00701DC3"/>
    <w:rsid w:val="00701E68"/>
    <w:rsid w:val="00702569"/>
    <w:rsid w:val="0070295E"/>
    <w:rsid w:val="0070296A"/>
    <w:rsid w:val="00702A3B"/>
    <w:rsid w:val="00702BEE"/>
    <w:rsid w:val="00702E5B"/>
    <w:rsid w:val="007031B8"/>
    <w:rsid w:val="00703850"/>
    <w:rsid w:val="0070490E"/>
    <w:rsid w:val="00704A47"/>
    <w:rsid w:val="00704BD9"/>
    <w:rsid w:val="00705343"/>
    <w:rsid w:val="007068A2"/>
    <w:rsid w:val="007072A8"/>
    <w:rsid w:val="00707A90"/>
    <w:rsid w:val="007100AF"/>
    <w:rsid w:val="007102DD"/>
    <w:rsid w:val="007104D7"/>
    <w:rsid w:val="007109C1"/>
    <w:rsid w:val="00711426"/>
    <w:rsid w:val="00711850"/>
    <w:rsid w:val="00711A0C"/>
    <w:rsid w:val="0071220F"/>
    <w:rsid w:val="00712A1A"/>
    <w:rsid w:val="00712DF7"/>
    <w:rsid w:val="007131A7"/>
    <w:rsid w:val="00713E9C"/>
    <w:rsid w:val="00714576"/>
    <w:rsid w:val="00714F54"/>
    <w:rsid w:val="00715837"/>
    <w:rsid w:val="007158E6"/>
    <w:rsid w:val="007168D2"/>
    <w:rsid w:val="00716FFF"/>
    <w:rsid w:val="007172A5"/>
    <w:rsid w:val="00717574"/>
    <w:rsid w:val="00717CF4"/>
    <w:rsid w:val="0072147F"/>
    <w:rsid w:val="00721DDE"/>
    <w:rsid w:val="00721EEC"/>
    <w:rsid w:val="00721F0C"/>
    <w:rsid w:val="00721F4A"/>
    <w:rsid w:val="00722033"/>
    <w:rsid w:val="0072249B"/>
    <w:rsid w:val="00722802"/>
    <w:rsid w:val="007229D4"/>
    <w:rsid w:val="007233BD"/>
    <w:rsid w:val="007239FE"/>
    <w:rsid w:val="00724044"/>
    <w:rsid w:val="00725016"/>
    <w:rsid w:val="00725041"/>
    <w:rsid w:val="00725342"/>
    <w:rsid w:val="007254CF"/>
    <w:rsid w:val="00725E0A"/>
    <w:rsid w:val="00726669"/>
    <w:rsid w:val="00726899"/>
    <w:rsid w:val="00726A8A"/>
    <w:rsid w:val="00726ACD"/>
    <w:rsid w:val="00726E2C"/>
    <w:rsid w:val="00726E83"/>
    <w:rsid w:val="00727254"/>
    <w:rsid w:val="0072791A"/>
    <w:rsid w:val="007305CA"/>
    <w:rsid w:val="0073106D"/>
    <w:rsid w:val="0073115D"/>
    <w:rsid w:val="00731240"/>
    <w:rsid w:val="00731726"/>
    <w:rsid w:val="00731B09"/>
    <w:rsid w:val="007332B8"/>
    <w:rsid w:val="007335D2"/>
    <w:rsid w:val="00733FDB"/>
    <w:rsid w:val="00735686"/>
    <w:rsid w:val="0073573A"/>
    <w:rsid w:val="00735C64"/>
    <w:rsid w:val="007364CE"/>
    <w:rsid w:val="007366F9"/>
    <w:rsid w:val="007372D2"/>
    <w:rsid w:val="0073745F"/>
    <w:rsid w:val="00737493"/>
    <w:rsid w:val="00737F49"/>
    <w:rsid w:val="0074033A"/>
    <w:rsid w:val="00740885"/>
    <w:rsid w:val="00741BC6"/>
    <w:rsid w:val="0074212D"/>
    <w:rsid w:val="00743818"/>
    <w:rsid w:val="00743C63"/>
    <w:rsid w:val="00743F6C"/>
    <w:rsid w:val="00744517"/>
    <w:rsid w:val="00744D34"/>
    <w:rsid w:val="007450A5"/>
    <w:rsid w:val="007450CE"/>
    <w:rsid w:val="007455EF"/>
    <w:rsid w:val="00745802"/>
    <w:rsid w:val="00745C8B"/>
    <w:rsid w:val="00745E09"/>
    <w:rsid w:val="00746A63"/>
    <w:rsid w:val="0074731C"/>
    <w:rsid w:val="007474F3"/>
    <w:rsid w:val="007476EC"/>
    <w:rsid w:val="00747AE5"/>
    <w:rsid w:val="00747DE2"/>
    <w:rsid w:val="00747EF1"/>
    <w:rsid w:val="00750DE0"/>
    <w:rsid w:val="0075125F"/>
    <w:rsid w:val="00752075"/>
    <w:rsid w:val="0075219F"/>
    <w:rsid w:val="007525B9"/>
    <w:rsid w:val="007526EC"/>
    <w:rsid w:val="00752B53"/>
    <w:rsid w:val="00752D70"/>
    <w:rsid w:val="0075302B"/>
    <w:rsid w:val="00753931"/>
    <w:rsid w:val="00753C71"/>
    <w:rsid w:val="00753F15"/>
    <w:rsid w:val="00754751"/>
    <w:rsid w:val="00755813"/>
    <w:rsid w:val="00756448"/>
    <w:rsid w:val="00756521"/>
    <w:rsid w:val="007566BA"/>
    <w:rsid w:val="007568EC"/>
    <w:rsid w:val="00756AB7"/>
    <w:rsid w:val="00756B23"/>
    <w:rsid w:val="007572AB"/>
    <w:rsid w:val="00757453"/>
    <w:rsid w:val="007575B5"/>
    <w:rsid w:val="0076155A"/>
    <w:rsid w:val="00761D6B"/>
    <w:rsid w:val="0076219A"/>
    <w:rsid w:val="00762353"/>
    <w:rsid w:val="00762354"/>
    <w:rsid w:val="007628CD"/>
    <w:rsid w:val="00762D43"/>
    <w:rsid w:val="00763189"/>
    <w:rsid w:val="007632F4"/>
    <w:rsid w:val="007636EE"/>
    <w:rsid w:val="00763D94"/>
    <w:rsid w:val="00763E12"/>
    <w:rsid w:val="00764241"/>
    <w:rsid w:val="0076503E"/>
    <w:rsid w:val="0076546F"/>
    <w:rsid w:val="007656C9"/>
    <w:rsid w:val="00765FCE"/>
    <w:rsid w:val="007662A2"/>
    <w:rsid w:val="00766A37"/>
    <w:rsid w:val="00766B4B"/>
    <w:rsid w:val="00766B62"/>
    <w:rsid w:val="00766F3A"/>
    <w:rsid w:val="00766F6E"/>
    <w:rsid w:val="00767518"/>
    <w:rsid w:val="00770471"/>
    <w:rsid w:val="00770993"/>
    <w:rsid w:val="00770F59"/>
    <w:rsid w:val="007715A7"/>
    <w:rsid w:val="007718E9"/>
    <w:rsid w:val="00771AB2"/>
    <w:rsid w:val="007725BD"/>
    <w:rsid w:val="007726A6"/>
    <w:rsid w:val="0077352B"/>
    <w:rsid w:val="00773AA7"/>
    <w:rsid w:val="00773BAD"/>
    <w:rsid w:val="007748E0"/>
    <w:rsid w:val="00775666"/>
    <w:rsid w:val="00775A3B"/>
    <w:rsid w:val="00775B1F"/>
    <w:rsid w:val="00775C91"/>
    <w:rsid w:val="00775DB2"/>
    <w:rsid w:val="0077693F"/>
    <w:rsid w:val="00776BE5"/>
    <w:rsid w:val="00776CD8"/>
    <w:rsid w:val="00776E86"/>
    <w:rsid w:val="00776F37"/>
    <w:rsid w:val="00777575"/>
    <w:rsid w:val="0077757A"/>
    <w:rsid w:val="00777985"/>
    <w:rsid w:val="00777B87"/>
    <w:rsid w:val="00777C71"/>
    <w:rsid w:val="00780049"/>
    <w:rsid w:val="007804A6"/>
    <w:rsid w:val="0078051E"/>
    <w:rsid w:val="007810B4"/>
    <w:rsid w:val="007813D8"/>
    <w:rsid w:val="007816F4"/>
    <w:rsid w:val="00782270"/>
    <w:rsid w:val="00782356"/>
    <w:rsid w:val="00782895"/>
    <w:rsid w:val="007830A2"/>
    <w:rsid w:val="007830D4"/>
    <w:rsid w:val="00783B0D"/>
    <w:rsid w:val="007846A9"/>
    <w:rsid w:val="007857E1"/>
    <w:rsid w:val="00785990"/>
    <w:rsid w:val="00786462"/>
    <w:rsid w:val="00786DAC"/>
    <w:rsid w:val="00787434"/>
    <w:rsid w:val="00787789"/>
    <w:rsid w:val="00787830"/>
    <w:rsid w:val="00787E65"/>
    <w:rsid w:val="0079023A"/>
    <w:rsid w:val="007905E5"/>
    <w:rsid w:val="007907DF"/>
    <w:rsid w:val="00790B30"/>
    <w:rsid w:val="00790B95"/>
    <w:rsid w:val="0079180F"/>
    <w:rsid w:val="00792238"/>
    <w:rsid w:val="0079285E"/>
    <w:rsid w:val="00792A4B"/>
    <w:rsid w:val="00792CCC"/>
    <w:rsid w:val="00792D86"/>
    <w:rsid w:val="00792F27"/>
    <w:rsid w:val="00792F37"/>
    <w:rsid w:val="007945D8"/>
    <w:rsid w:val="00795048"/>
    <w:rsid w:val="007954B1"/>
    <w:rsid w:val="00795757"/>
    <w:rsid w:val="0079621C"/>
    <w:rsid w:val="007966FC"/>
    <w:rsid w:val="00796AAE"/>
    <w:rsid w:val="007976C4"/>
    <w:rsid w:val="00797B72"/>
    <w:rsid w:val="00797BD2"/>
    <w:rsid w:val="007A0332"/>
    <w:rsid w:val="007A0CB2"/>
    <w:rsid w:val="007A11C4"/>
    <w:rsid w:val="007A17C8"/>
    <w:rsid w:val="007A1CE0"/>
    <w:rsid w:val="007A1CE9"/>
    <w:rsid w:val="007A20D1"/>
    <w:rsid w:val="007A25D4"/>
    <w:rsid w:val="007A299A"/>
    <w:rsid w:val="007A3898"/>
    <w:rsid w:val="007A3B19"/>
    <w:rsid w:val="007A3ED8"/>
    <w:rsid w:val="007A4440"/>
    <w:rsid w:val="007A4588"/>
    <w:rsid w:val="007A4B79"/>
    <w:rsid w:val="007A570B"/>
    <w:rsid w:val="007A65BB"/>
    <w:rsid w:val="007A6921"/>
    <w:rsid w:val="007A6ACF"/>
    <w:rsid w:val="007A7091"/>
    <w:rsid w:val="007A75A8"/>
    <w:rsid w:val="007A7732"/>
    <w:rsid w:val="007A7863"/>
    <w:rsid w:val="007A799E"/>
    <w:rsid w:val="007A7FFA"/>
    <w:rsid w:val="007B01BE"/>
    <w:rsid w:val="007B0297"/>
    <w:rsid w:val="007B04BF"/>
    <w:rsid w:val="007B1813"/>
    <w:rsid w:val="007B191B"/>
    <w:rsid w:val="007B1BBF"/>
    <w:rsid w:val="007B1F36"/>
    <w:rsid w:val="007B21AE"/>
    <w:rsid w:val="007B357E"/>
    <w:rsid w:val="007B3F1E"/>
    <w:rsid w:val="007B4D86"/>
    <w:rsid w:val="007B4FD5"/>
    <w:rsid w:val="007B52D9"/>
    <w:rsid w:val="007B5550"/>
    <w:rsid w:val="007B5EE9"/>
    <w:rsid w:val="007B6188"/>
    <w:rsid w:val="007B655B"/>
    <w:rsid w:val="007B668D"/>
    <w:rsid w:val="007B6766"/>
    <w:rsid w:val="007B6D64"/>
    <w:rsid w:val="007B6EBB"/>
    <w:rsid w:val="007B716A"/>
    <w:rsid w:val="007B7293"/>
    <w:rsid w:val="007B774D"/>
    <w:rsid w:val="007B7B1F"/>
    <w:rsid w:val="007B7C68"/>
    <w:rsid w:val="007C04EB"/>
    <w:rsid w:val="007C0525"/>
    <w:rsid w:val="007C08F5"/>
    <w:rsid w:val="007C0BD1"/>
    <w:rsid w:val="007C0F51"/>
    <w:rsid w:val="007C1129"/>
    <w:rsid w:val="007C17A2"/>
    <w:rsid w:val="007C227A"/>
    <w:rsid w:val="007C2472"/>
    <w:rsid w:val="007C2D6E"/>
    <w:rsid w:val="007C34C6"/>
    <w:rsid w:val="007C3530"/>
    <w:rsid w:val="007C3758"/>
    <w:rsid w:val="007C37FC"/>
    <w:rsid w:val="007C3BF7"/>
    <w:rsid w:val="007C3F99"/>
    <w:rsid w:val="007C46AC"/>
    <w:rsid w:val="007C51E7"/>
    <w:rsid w:val="007C581E"/>
    <w:rsid w:val="007C5DE8"/>
    <w:rsid w:val="007C5F21"/>
    <w:rsid w:val="007C6009"/>
    <w:rsid w:val="007C6085"/>
    <w:rsid w:val="007C6446"/>
    <w:rsid w:val="007C66DB"/>
    <w:rsid w:val="007C6882"/>
    <w:rsid w:val="007C6F0E"/>
    <w:rsid w:val="007C71FC"/>
    <w:rsid w:val="007C763F"/>
    <w:rsid w:val="007C7FEC"/>
    <w:rsid w:val="007D04B5"/>
    <w:rsid w:val="007D0672"/>
    <w:rsid w:val="007D0F20"/>
    <w:rsid w:val="007D120D"/>
    <w:rsid w:val="007D181D"/>
    <w:rsid w:val="007D2009"/>
    <w:rsid w:val="007D27E0"/>
    <w:rsid w:val="007D2ABA"/>
    <w:rsid w:val="007D2B3E"/>
    <w:rsid w:val="007D2CED"/>
    <w:rsid w:val="007D2D81"/>
    <w:rsid w:val="007D2E00"/>
    <w:rsid w:val="007D3541"/>
    <w:rsid w:val="007D35AA"/>
    <w:rsid w:val="007D3A63"/>
    <w:rsid w:val="007D4C50"/>
    <w:rsid w:val="007D4EF6"/>
    <w:rsid w:val="007D53F1"/>
    <w:rsid w:val="007D5FDC"/>
    <w:rsid w:val="007D649E"/>
    <w:rsid w:val="007D7536"/>
    <w:rsid w:val="007E12F3"/>
    <w:rsid w:val="007E13CF"/>
    <w:rsid w:val="007E150A"/>
    <w:rsid w:val="007E1F25"/>
    <w:rsid w:val="007E1F32"/>
    <w:rsid w:val="007E34B0"/>
    <w:rsid w:val="007E3B7F"/>
    <w:rsid w:val="007E4147"/>
    <w:rsid w:val="007E4253"/>
    <w:rsid w:val="007E46ED"/>
    <w:rsid w:val="007E4A9C"/>
    <w:rsid w:val="007E5459"/>
    <w:rsid w:val="007E5847"/>
    <w:rsid w:val="007E59A8"/>
    <w:rsid w:val="007E60E6"/>
    <w:rsid w:val="007E67B4"/>
    <w:rsid w:val="007E7184"/>
    <w:rsid w:val="007E7342"/>
    <w:rsid w:val="007E7C0A"/>
    <w:rsid w:val="007E7DF9"/>
    <w:rsid w:val="007E7E50"/>
    <w:rsid w:val="007F0164"/>
    <w:rsid w:val="007F01AB"/>
    <w:rsid w:val="007F0730"/>
    <w:rsid w:val="007F074D"/>
    <w:rsid w:val="007F1396"/>
    <w:rsid w:val="007F1912"/>
    <w:rsid w:val="007F1C89"/>
    <w:rsid w:val="007F2054"/>
    <w:rsid w:val="007F20CB"/>
    <w:rsid w:val="007F2254"/>
    <w:rsid w:val="007F2259"/>
    <w:rsid w:val="007F26C9"/>
    <w:rsid w:val="007F3B21"/>
    <w:rsid w:val="007F4015"/>
    <w:rsid w:val="007F53DA"/>
    <w:rsid w:val="007F5891"/>
    <w:rsid w:val="007F58CB"/>
    <w:rsid w:val="007F5C4C"/>
    <w:rsid w:val="007F601B"/>
    <w:rsid w:val="007F679F"/>
    <w:rsid w:val="007F68A0"/>
    <w:rsid w:val="007F6E0A"/>
    <w:rsid w:val="007F6E3A"/>
    <w:rsid w:val="007F7423"/>
    <w:rsid w:val="007F7A26"/>
    <w:rsid w:val="007F7C61"/>
    <w:rsid w:val="007F7E4C"/>
    <w:rsid w:val="00800150"/>
    <w:rsid w:val="008006C5"/>
    <w:rsid w:val="0080110C"/>
    <w:rsid w:val="00801175"/>
    <w:rsid w:val="0080117F"/>
    <w:rsid w:val="00801438"/>
    <w:rsid w:val="008014A7"/>
    <w:rsid w:val="008014F2"/>
    <w:rsid w:val="008014FC"/>
    <w:rsid w:val="00802424"/>
    <w:rsid w:val="00802B92"/>
    <w:rsid w:val="00803A50"/>
    <w:rsid w:val="00803E7D"/>
    <w:rsid w:val="00803F25"/>
    <w:rsid w:val="0080404D"/>
    <w:rsid w:val="008041E4"/>
    <w:rsid w:val="0080446D"/>
    <w:rsid w:val="00804580"/>
    <w:rsid w:val="00804611"/>
    <w:rsid w:val="008047D2"/>
    <w:rsid w:val="008051AC"/>
    <w:rsid w:val="008055A9"/>
    <w:rsid w:val="00805697"/>
    <w:rsid w:val="00805CBE"/>
    <w:rsid w:val="00805E2F"/>
    <w:rsid w:val="008067EC"/>
    <w:rsid w:val="008069EF"/>
    <w:rsid w:val="0080739C"/>
    <w:rsid w:val="0080742F"/>
    <w:rsid w:val="00807BE3"/>
    <w:rsid w:val="008103A5"/>
    <w:rsid w:val="008107CD"/>
    <w:rsid w:val="00810CB1"/>
    <w:rsid w:val="00810E8E"/>
    <w:rsid w:val="008111F4"/>
    <w:rsid w:val="008113A0"/>
    <w:rsid w:val="00811413"/>
    <w:rsid w:val="0081167B"/>
    <w:rsid w:val="00811B23"/>
    <w:rsid w:val="008124D0"/>
    <w:rsid w:val="008127CE"/>
    <w:rsid w:val="00812AD9"/>
    <w:rsid w:val="00813170"/>
    <w:rsid w:val="00814F35"/>
    <w:rsid w:val="00815320"/>
    <w:rsid w:val="00816398"/>
    <w:rsid w:val="008163C8"/>
    <w:rsid w:val="008172AA"/>
    <w:rsid w:val="00817683"/>
    <w:rsid w:val="00817ACA"/>
    <w:rsid w:val="008206D0"/>
    <w:rsid w:val="008208E7"/>
    <w:rsid w:val="008209CD"/>
    <w:rsid w:val="00820A8E"/>
    <w:rsid w:val="00820B27"/>
    <w:rsid w:val="00820DF4"/>
    <w:rsid w:val="0082114C"/>
    <w:rsid w:val="008215B2"/>
    <w:rsid w:val="00821A3B"/>
    <w:rsid w:val="00821B22"/>
    <w:rsid w:val="00821C2B"/>
    <w:rsid w:val="00821CAD"/>
    <w:rsid w:val="00821E54"/>
    <w:rsid w:val="00822C60"/>
    <w:rsid w:val="00826AB9"/>
    <w:rsid w:val="00826BB5"/>
    <w:rsid w:val="00827975"/>
    <w:rsid w:val="00827AE7"/>
    <w:rsid w:val="00827AF2"/>
    <w:rsid w:val="00827B0B"/>
    <w:rsid w:val="00827CA8"/>
    <w:rsid w:val="00827E0F"/>
    <w:rsid w:val="0083035B"/>
    <w:rsid w:val="00830471"/>
    <w:rsid w:val="008304C2"/>
    <w:rsid w:val="00830F73"/>
    <w:rsid w:val="008311FB"/>
    <w:rsid w:val="008312E8"/>
    <w:rsid w:val="0083130C"/>
    <w:rsid w:val="008313DE"/>
    <w:rsid w:val="00831409"/>
    <w:rsid w:val="008317A8"/>
    <w:rsid w:val="008325B9"/>
    <w:rsid w:val="0083279F"/>
    <w:rsid w:val="00832979"/>
    <w:rsid w:val="008330A4"/>
    <w:rsid w:val="008330C0"/>
    <w:rsid w:val="00833428"/>
    <w:rsid w:val="0083367B"/>
    <w:rsid w:val="00833B7F"/>
    <w:rsid w:val="00834459"/>
    <w:rsid w:val="00834A95"/>
    <w:rsid w:val="0083524E"/>
    <w:rsid w:val="00835292"/>
    <w:rsid w:val="008358EE"/>
    <w:rsid w:val="008373B7"/>
    <w:rsid w:val="008378C3"/>
    <w:rsid w:val="00837C45"/>
    <w:rsid w:val="0084005B"/>
    <w:rsid w:val="00840D98"/>
    <w:rsid w:val="008411BD"/>
    <w:rsid w:val="00841436"/>
    <w:rsid w:val="008416A6"/>
    <w:rsid w:val="00841B45"/>
    <w:rsid w:val="00841FDF"/>
    <w:rsid w:val="008430AD"/>
    <w:rsid w:val="008430C0"/>
    <w:rsid w:val="008431CF"/>
    <w:rsid w:val="008438D2"/>
    <w:rsid w:val="00843E79"/>
    <w:rsid w:val="00843F81"/>
    <w:rsid w:val="00844EFE"/>
    <w:rsid w:val="00844FBD"/>
    <w:rsid w:val="0084551C"/>
    <w:rsid w:val="00845EBF"/>
    <w:rsid w:val="008463DD"/>
    <w:rsid w:val="00846DD5"/>
    <w:rsid w:val="008472EA"/>
    <w:rsid w:val="00847605"/>
    <w:rsid w:val="0084793D"/>
    <w:rsid w:val="00847B5A"/>
    <w:rsid w:val="00847BC5"/>
    <w:rsid w:val="00847E8A"/>
    <w:rsid w:val="008505F6"/>
    <w:rsid w:val="0085068E"/>
    <w:rsid w:val="008509C9"/>
    <w:rsid w:val="00850FF8"/>
    <w:rsid w:val="00851AD3"/>
    <w:rsid w:val="00852F21"/>
    <w:rsid w:val="00853222"/>
    <w:rsid w:val="00853590"/>
    <w:rsid w:val="0085372F"/>
    <w:rsid w:val="008537F8"/>
    <w:rsid w:val="008538B8"/>
    <w:rsid w:val="00853BF4"/>
    <w:rsid w:val="00853DDA"/>
    <w:rsid w:val="00853EE8"/>
    <w:rsid w:val="00854103"/>
    <w:rsid w:val="00854602"/>
    <w:rsid w:val="0085470A"/>
    <w:rsid w:val="008551E0"/>
    <w:rsid w:val="008553D7"/>
    <w:rsid w:val="00856651"/>
    <w:rsid w:val="00856873"/>
    <w:rsid w:val="00857259"/>
    <w:rsid w:val="008577FF"/>
    <w:rsid w:val="00857DE2"/>
    <w:rsid w:val="00857FA0"/>
    <w:rsid w:val="00860677"/>
    <w:rsid w:val="008608E1"/>
    <w:rsid w:val="00860A1F"/>
    <w:rsid w:val="00861389"/>
    <w:rsid w:val="008614B2"/>
    <w:rsid w:val="0086186C"/>
    <w:rsid w:val="00861E2B"/>
    <w:rsid w:val="00862823"/>
    <w:rsid w:val="00862A31"/>
    <w:rsid w:val="00863018"/>
    <w:rsid w:val="008637FD"/>
    <w:rsid w:val="008648FD"/>
    <w:rsid w:val="00864A16"/>
    <w:rsid w:val="00864B2D"/>
    <w:rsid w:val="00864E79"/>
    <w:rsid w:val="00865469"/>
    <w:rsid w:val="008661C3"/>
    <w:rsid w:val="0086647D"/>
    <w:rsid w:val="00866726"/>
    <w:rsid w:val="00866A0D"/>
    <w:rsid w:val="008674D7"/>
    <w:rsid w:val="00867719"/>
    <w:rsid w:val="00867890"/>
    <w:rsid w:val="00867C4A"/>
    <w:rsid w:val="00870582"/>
    <w:rsid w:val="00870965"/>
    <w:rsid w:val="00870E29"/>
    <w:rsid w:val="00870E9C"/>
    <w:rsid w:val="00871919"/>
    <w:rsid w:val="00871A39"/>
    <w:rsid w:val="00872500"/>
    <w:rsid w:val="00872546"/>
    <w:rsid w:val="0087262F"/>
    <w:rsid w:val="008726B8"/>
    <w:rsid w:val="0087284E"/>
    <w:rsid w:val="00872A32"/>
    <w:rsid w:val="00872B79"/>
    <w:rsid w:val="00872CC6"/>
    <w:rsid w:val="00873553"/>
    <w:rsid w:val="00873994"/>
    <w:rsid w:val="00874132"/>
    <w:rsid w:val="008742E4"/>
    <w:rsid w:val="008747F1"/>
    <w:rsid w:val="00874944"/>
    <w:rsid w:val="0087541A"/>
    <w:rsid w:val="008759F1"/>
    <w:rsid w:val="00875FC8"/>
    <w:rsid w:val="00876551"/>
    <w:rsid w:val="00876585"/>
    <w:rsid w:val="00876B58"/>
    <w:rsid w:val="00876F18"/>
    <w:rsid w:val="00877398"/>
    <w:rsid w:val="008776F4"/>
    <w:rsid w:val="00880004"/>
    <w:rsid w:val="008804BA"/>
    <w:rsid w:val="00880D39"/>
    <w:rsid w:val="00880D3E"/>
    <w:rsid w:val="00880E1D"/>
    <w:rsid w:val="00881FC8"/>
    <w:rsid w:val="008822EC"/>
    <w:rsid w:val="00882661"/>
    <w:rsid w:val="00882905"/>
    <w:rsid w:val="00882B44"/>
    <w:rsid w:val="00882F5E"/>
    <w:rsid w:val="00883874"/>
    <w:rsid w:val="00883C8C"/>
    <w:rsid w:val="008840A4"/>
    <w:rsid w:val="0088412A"/>
    <w:rsid w:val="00884344"/>
    <w:rsid w:val="00884E1F"/>
    <w:rsid w:val="00884EAA"/>
    <w:rsid w:val="0088558E"/>
    <w:rsid w:val="008856F8"/>
    <w:rsid w:val="0088580A"/>
    <w:rsid w:val="00886063"/>
    <w:rsid w:val="008864A9"/>
    <w:rsid w:val="008864C7"/>
    <w:rsid w:val="008869F5"/>
    <w:rsid w:val="00886CF8"/>
    <w:rsid w:val="008871B0"/>
    <w:rsid w:val="00887473"/>
    <w:rsid w:val="008875FD"/>
    <w:rsid w:val="00887E1E"/>
    <w:rsid w:val="0089014B"/>
    <w:rsid w:val="00890316"/>
    <w:rsid w:val="00890421"/>
    <w:rsid w:val="008908C4"/>
    <w:rsid w:val="00890DEB"/>
    <w:rsid w:val="00890F76"/>
    <w:rsid w:val="00891376"/>
    <w:rsid w:val="00891DFD"/>
    <w:rsid w:val="00892015"/>
    <w:rsid w:val="008921C3"/>
    <w:rsid w:val="0089253D"/>
    <w:rsid w:val="0089286F"/>
    <w:rsid w:val="0089289F"/>
    <w:rsid w:val="008928E2"/>
    <w:rsid w:val="00892F7E"/>
    <w:rsid w:val="00892FEF"/>
    <w:rsid w:val="00894368"/>
    <w:rsid w:val="00895161"/>
    <w:rsid w:val="00895EED"/>
    <w:rsid w:val="00896093"/>
    <w:rsid w:val="00896249"/>
    <w:rsid w:val="008962E0"/>
    <w:rsid w:val="00896351"/>
    <w:rsid w:val="008979C4"/>
    <w:rsid w:val="008A0A2B"/>
    <w:rsid w:val="008A0CB2"/>
    <w:rsid w:val="008A0EA0"/>
    <w:rsid w:val="008A0FC9"/>
    <w:rsid w:val="008A114A"/>
    <w:rsid w:val="008A17B4"/>
    <w:rsid w:val="008A2105"/>
    <w:rsid w:val="008A234C"/>
    <w:rsid w:val="008A2DA3"/>
    <w:rsid w:val="008A3D26"/>
    <w:rsid w:val="008A40D3"/>
    <w:rsid w:val="008A41B3"/>
    <w:rsid w:val="008A43A4"/>
    <w:rsid w:val="008A451F"/>
    <w:rsid w:val="008A454C"/>
    <w:rsid w:val="008A4AB8"/>
    <w:rsid w:val="008A55ED"/>
    <w:rsid w:val="008A6BCC"/>
    <w:rsid w:val="008A7882"/>
    <w:rsid w:val="008A7D0A"/>
    <w:rsid w:val="008A7D14"/>
    <w:rsid w:val="008B0268"/>
    <w:rsid w:val="008B0ADB"/>
    <w:rsid w:val="008B1031"/>
    <w:rsid w:val="008B1040"/>
    <w:rsid w:val="008B1303"/>
    <w:rsid w:val="008B1592"/>
    <w:rsid w:val="008B16D3"/>
    <w:rsid w:val="008B1AB2"/>
    <w:rsid w:val="008B1E76"/>
    <w:rsid w:val="008B2238"/>
    <w:rsid w:val="008B2A19"/>
    <w:rsid w:val="008B2DBD"/>
    <w:rsid w:val="008B2E7C"/>
    <w:rsid w:val="008B2EF1"/>
    <w:rsid w:val="008B315D"/>
    <w:rsid w:val="008B3C41"/>
    <w:rsid w:val="008B4468"/>
    <w:rsid w:val="008B5A6B"/>
    <w:rsid w:val="008B5BF4"/>
    <w:rsid w:val="008B6688"/>
    <w:rsid w:val="008B66BD"/>
    <w:rsid w:val="008B6749"/>
    <w:rsid w:val="008B6D2A"/>
    <w:rsid w:val="008B6D3A"/>
    <w:rsid w:val="008B6D51"/>
    <w:rsid w:val="008B6E48"/>
    <w:rsid w:val="008B721B"/>
    <w:rsid w:val="008B733C"/>
    <w:rsid w:val="008B784D"/>
    <w:rsid w:val="008B7BCA"/>
    <w:rsid w:val="008C10E3"/>
    <w:rsid w:val="008C13AA"/>
    <w:rsid w:val="008C1DA4"/>
    <w:rsid w:val="008C28CC"/>
    <w:rsid w:val="008C2CD5"/>
    <w:rsid w:val="008C3111"/>
    <w:rsid w:val="008C325B"/>
    <w:rsid w:val="008C353F"/>
    <w:rsid w:val="008C3618"/>
    <w:rsid w:val="008C4040"/>
    <w:rsid w:val="008C4771"/>
    <w:rsid w:val="008C482B"/>
    <w:rsid w:val="008C572E"/>
    <w:rsid w:val="008C5906"/>
    <w:rsid w:val="008C6407"/>
    <w:rsid w:val="008C673B"/>
    <w:rsid w:val="008C6F60"/>
    <w:rsid w:val="008C71E7"/>
    <w:rsid w:val="008C731F"/>
    <w:rsid w:val="008C73EE"/>
    <w:rsid w:val="008C7559"/>
    <w:rsid w:val="008C7E0D"/>
    <w:rsid w:val="008D05A2"/>
    <w:rsid w:val="008D0E44"/>
    <w:rsid w:val="008D15B3"/>
    <w:rsid w:val="008D1857"/>
    <w:rsid w:val="008D1C7F"/>
    <w:rsid w:val="008D1E23"/>
    <w:rsid w:val="008D26DB"/>
    <w:rsid w:val="008D284C"/>
    <w:rsid w:val="008D2F39"/>
    <w:rsid w:val="008D3059"/>
    <w:rsid w:val="008D309E"/>
    <w:rsid w:val="008D3902"/>
    <w:rsid w:val="008D39EF"/>
    <w:rsid w:val="008D4189"/>
    <w:rsid w:val="008D4F95"/>
    <w:rsid w:val="008D51E2"/>
    <w:rsid w:val="008D5773"/>
    <w:rsid w:val="008D6337"/>
    <w:rsid w:val="008D6855"/>
    <w:rsid w:val="008D7155"/>
    <w:rsid w:val="008D7AB9"/>
    <w:rsid w:val="008D7D92"/>
    <w:rsid w:val="008E0FF9"/>
    <w:rsid w:val="008E1A1C"/>
    <w:rsid w:val="008E1C20"/>
    <w:rsid w:val="008E1EBC"/>
    <w:rsid w:val="008E22A8"/>
    <w:rsid w:val="008E2896"/>
    <w:rsid w:val="008E29CE"/>
    <w:rsid w:val="008E2CC0"/>
    <w:rsid w:val="008E34AD"/>
    <w:rsid w:val="008E3583"/>
    <w:rsid w:val="008E3674"/>
    <w:rsid w:val="008E3825"/>
    <w:rsid w:val="008E3871"/>
    <w:rsid w:val="008E3DC5"/>
    <w:rsid w:val="008E41EC"/>
    <w:rsid w:val="008E4361"/>
    <w:rsid w:val="008E4801"/>
    <w:rsid w:val="008E5100"/>
    <w:rsid w:val="008E53E6"/>
    <w:rsid w:val="008E593A"/>
    <w:rsid w:val="008E5B1F"/>
    <w:rsid w:val="008E5BCE"/>
    <w:rsid w:val="008E5BD4"/>
    <w:rsid w:val="008E5FDB"/>
    <w:rsid w:val="008E6687"/>
    <w:rsid w:val="008E6792"/>
    <w:rsid w:val="008E6897"/>
    <w:rsid w:val="008E6AD6"/>
    <w:rsid w:val="008E6D1D"/>
    <w:rsid w:val="008F07F3"/>
    <w:rsid w:val="008F1523"/>
    <w:rsid w:val="008F20C7"/>
    <w:rsid w:val="008F269D"/>
    <w:rsid w:val="008F2728"/>
    <w:rsid w:val="008F2FFA"/>
    <w:rsid w:val="008F3DE3"/>
    <w:rsid w:val="008F40A2"/>
    <w:rsid w:val="008F4586"/>
    <w:rsid w:val="008F4602"/>
    <w:rsid w:val="008F4670"/>
    <w:rsid w:val="008F515B"/>
    <w:rsid w:val="008F5531"/>
    <w:rsid w:val="008F5617"/>
    <w:rsid w:val="008F5C6A"/>
    <w:rsid w:val="008F69B8"/>
    <w:rsid w:val="008F704D"/>
    <w:rsid w:val="008F7342"/>
    <w:rsid w:val="008F7B7A"/>
    <w:rsid w:val="008F7DFB"/>
    <w:rsid w:val="008F7E21"/>
    <w:rsid w:val="009000CA"/>
    <w:rsid w:val="0090014F"/>
    <w:rsid w:val="009003C4"/>
    <w:rsid w:val="00900BC1"/>
    <w:rsid w:val="009019AA"/>
    <w:rsid w:val="00901C4B"/>
    <w:rsid w:val="00901EF3"/>
    <w:rsid w:val="009022BC"/>
    <w:rsid w:val="009026D4"/>
    <w:rsid w:val="009027F2"/>
    <w:rsid w:val="00902EE1"/>
    <w:rsid w:val="0090306C"/>
    <w:rsid w:val="009036D7"/>
    <w:rsid w:val="00903CB5"/>
    <w:rsid w:val="00903DD0"/>
    <w:rsid w:val="00903F4F"/>
    <w:rsid w:val="0090432C"/>
    <w:rsid w:val="00904589"/>
    <w:rsid w:val="00904896"/>
    <w:rsid w:val="00904BED"/>
    <w:rsid w:val="00904C10"/>
    <w:rsid w:val="00904D7E"/>
    <w:rsid w:val="00905D7E"/>
    <w:rsid w:val="0090600B"/>
    <w:rsid w:val="00906215"/>
    <w:rsid w:val="00906829"/>
    <w:rsid w:val="00906849"/>
    <w:rsid w:val="00906BA5"/>
    <w:rsid w:val="00906F07"/>
    <w:rsid w:val="00907375"/>
    <w:rsid w:val="00907663"/>
    <w:rsid w:val="009078C2"/>
    <w:rsid w:val="00907A77"/>
    <w:rsid w:val="00907FA0"/>
    <w:rsid w:val="0091096C"/>
    <w:rsid w:val="00910DB2"/>
    <w:rsid w:val="00910F8A"/>
    <w:rsid w:val="0091122C"/>
    <w:rsid w:val="009116F5"/>
    <w:rsid w:val="009117CA"/>
    <w:rsid w:val="00911F01"/>
    <w:rsid w:val="0091213A"/>
    <w:rsid w:val="009123DC"/>
    <w:rsid w:val="009128A8"/>
    <w:rsid w:val="00912AC3"/>
    <w:rsid w:val="00912FA2"/>
    <w:rsid w:val="009134FC"/>
    <w:rsid w:val="00913B42"/>
    <w:rsid w:val="00913D41"/>
    <w:rsid w:val="00913EC2"/>
    <w:rsid w:val="00913F57"/>
    <w:rsid w:val="00914329"/>
    <w:rsid w:val="00914604"/>
    <w:rsid w:val="009156DA"/>
    <w:rsid w:val="009165E6"/>
    <w:rsid w:val="0091685B"/>
    <w:rsid w:val="0091705A"/>
    <w:rsid w:val="0091707C"/>
    <w:rsid w:val="00917356"/>
    <w:rsid w:val="00917412"/>
    <w:rsid w:val="00917964"/>
    <w:rsid w:val="00920184"/>
    <w:rsid w:val="00920EA4"/>
    <w:rsid w:val="0092150B"/>
    <w:rsid w:val="00922303"/>
    <w:rsid w:val="00922712"/>
    <w:rsid w:val="0092274E"/>
    <w:rsid w:val="00923898"/>
    <w:rsid w:val="009240ED"/>
    <w:rsid w:val="009242BB"/>
    <w:rsid w:val="00924C2E"/>
    <w:rsid w:val="00924CF5"/>
    <w:rsid w:val="00925181"/>
    <w:rsid w:val="00926170"/>
    <w:rsid w:val="00926462"/>
    <w:rsid w:val="009265A2"/>
    <w:rsid w:val="009266EA"/>
    <w:rsid w:val="00926905"/>
    <w:rsid w:val="00926BBF"/>
    <w:rsid w:val="00926BD7"/>
    <w:rsid w:val="009276E0"/>
    <w:rsid w:val="00927B37"/>
    <w:rsid w:val="009314AB"/>
    <w:rsid w:val="00931B3D"/>
    <w:rsid w:val="00931F5D"/>
    <w:rsid w:val="00932A72"/>
    <w:rsid w:val="00932BEE"/>
    <w:rsid w:val="00932E7B"/>
    <w:rsid w:val="0093317B"/>
    <w:rsid w:val="009336B2"/>
    <w:rsid w:val="00933757"/>
    <w:rsid w:val="00933981"/>
    <w:rsid w:val="00933C9F"/>
    <w:rsid w:val="00934AB9"/>
    <w:rsid w:val="00934DD7"/>
    <w:rsid w:val="00937542"/>
    <w:rsid w:val="00937990"/>
    <w:rsid w:val="00937FC3"/>
    <w:rsid w:val="009400EE"/>
    <w:rsid w:val="00941FE2"/>
    <w:rsid w:val="009421C9"/>
    <w:rsid w:val="00942306"/>
    <w:rsid w:val="009429E8"/>
    <w:rsid w:val="00942A33"/>
    <w:rsid w:val="00943FFC"/>
    <w:rsid w:val="009444D5"/>
    <w:rsid w:val="00945225"/>
    <w:rsid w:val="009453D2"/>
    <w:rsid w:val="009454F3"/>
    <w:rsid w:val="009458B0"/>
    <w:rsid w:val="00945EE6"/>
    <w:rsid w:val="00946465"/>
    <w:rsid w:val="00946B32"/>
    <w:rsid w:val="00946BE6"/>
    <w:rsid w:val="00946C54"/>
    <w:rsid w:val="00947424"/>
    <w:rsid w:val="009475C6"/>
    <w:rsid w:val="009475FB"/>
    <w:rsid w:val="009478A2"/>
    <w:rsid w:val="00950884"/>
    <w:rsid w:val="009510F1"/>
    <w:rsid w:val="00951125"/>
    <w:rsid w:val="0095152D"/>
    <w:rsid w:val="00951597"/>
    <w:rsid w:val="00951818"/>
    <w:rsid w:val="00951DBF"/>
    <w:rsid w:val="00951FA0"/>
    <w:rsid w:val="0095242E"/>
    <w:rsid w:val="00952CAB"/>
    <w:rsid w:val="00953276"/>
    <w:rsid w:val="00953A9B"/>
    <w:rsid w:val="00954177"/>
    <w:rsid w:val="0095424B"/>
    <w:rsid w:val="0095425B"/>
    <w:rsid w:val="00954400"/>
    <w:rsid w:val="00955FBB"/>
    <w:rsid w:val="009561B5"/>
    <w:rsid w:val="00956585"/>
    <w:rsid w:val="00956A66"/>
    <w:rsid w:val="00956BD5"/>
    <w:rsid w:val="009577B5"/>
    <w:rsid w:val="009606F5"/>
    <w:rsid w:val="00960AFD"/>
    <w:rsid w:val="00960E02"/>
    <w:rsid w:val="00961E72"/>
    <w:rsid w:val="0096269B"/>
    <w:rsid w:val="00962800"/>
    <w:rsid w:val="00962A94"/>
    <w:rsid w:val="00962AAF"/>
    <w:rsid w:val="00962AB7"/>
    <w:rsid w:val="00962B6A"/>
    <w:rsid w:val="00962CA4"/>
    <w:rsid w:val="00964077"/>
    <w:rsid w:val="0096440C"/>
    <w:rsid w:val="00964528"/>
    <w:rsid w:val="00964BE4"/>
    <w:rsid w:val="009651A2"/>
    <w:rsid w:val="00966253"/>
    <w:rsid w:val="00966522"/>
    <w:rsid w:val="00966AD9"/>
    <w:rsid w:val="009670CE"/>
    <w:rsid w:val="00967329"/>
    <w:rsid w:val="00967862"/>
    <w:rsid w:val="00967EF4"/>
    <w:rsid w:val="0097006C"/>
    <w:rsid w:val="00970FFF"/>
    <w:rsid w:val="00971232"/>
    <w:rsid w:val="009718D4"/>
    <w:rsid w:val="009718E8"/>
    <w:rsid w:val="00971CF1"/>
    <w:rsid w:val="0097327F"/>
    <w:rsid w:val="00973BC6"/>
    <w:rsid w:val="00974260"/>
    <w:rsid w:val="009743EF"/>
    <w:rsid w:val="00975107"/>
    <w:rsid w:val="0097535C"/>
    <w:rsid w:val="009755AD"/>
    <w:rsid w:val="00975A16"/>
    <w:rsid w:val="00975B7D"/>
    <w:rsid w:val="009761CE"/>
    <w:rsid w:val="00976FD1"/>
    <w:rsid w:val="0097723F"/>
    <w:rsid w:val="0097760F"/>
    <w:rsid w:val="0097779F"/>
    <w:rsid w:val="009801C2"/>
    <w:rsid w:val="0098040B"/>
    <w:rsid w:val="00980777"/>
    <w:rsid w:val="00980DB3"/>
    <w:rsid w:val="00981706"/>
    <w:rsid w:val="009819B7"/>
    <w:rsid w:val="00981F29"/>
    <w:rsid w:val="00982444"/>
    <w:rsid w:val="009826A4"/>
    <w:rsid w:val="0098366A"/>
    <w:rsid w:val="00983E22"/>
    <w:rsid w:val="0098534E"/>
    <w:rsid w:val="00985C3A"/>
    <w:rsid w:val="00985C3D"/>
    <w:rsid w:val="00985FB3"/>
    <w:rsid w:val="0098613C"/>
    <w:rsid w:val="00986600"/>
    <w:rsid w:val="0098757E"/>
    <w:rsid w:val="0098788A"/>
    <w:rsid w:val="00987910"/>
    <w:rsid w:val="00990225"/>
    <w:rsid w:val="00990771"/>
    <w:rsid w:val="00990835"/>
    <w:rsid w:val="00990DE9"/>
    <w:rsid w:val="00990FBE"/>
    <w:rsid w:val="0099117C"/>
    <w:rsid w:val="00991480"/>
    <w:rsid w:val="009916AB"/>
    <w:rsid w:val="009918F7"/>
    <w:rsid w:val="00991E27"/>
    <w:rsid w:val="00991FAA"/>
    <w:rsid w:val="0099232C"/>
    <w:rsid w:val="00992393"/>
    <w:rsid w:val="00992CD0"/>
    <w:rsid w:val="00992F35"/>
    <w:rsid w:val="00993168"/>
    <w:rsid w:val="009932D0"/>
    <w:rsid w:val="009934DA"/>
    <w:rsid w:val="0099373A"/>
    <w:rsid w:val="009939F9"/>
    <w:rsid w:val="00993CF9"/>
    <w:rsid w:val="00994257"/>
    <w:rsid w:val="00994955"/>
    <w:rsid w:val="00994CE8"/>
    <w:rsid w:val="00994F5C"/>
    <w:rsid w:val="0099594D"/>
    <w:rsid w:val="00995AE5"/>
    <w:rsid w:val="00995D67"/>
    <w:rsid w:val="00995E05"/>
    <w:rsid w:val="009960EC"/>
    <w:rsid w:val="0099677A"/>
    <w:rsid w:val="00996792"/>
    <w:rsid w:val="00996A73"/>
    <w:rsid w:val="00996E2B"/>
    <w:rsid w:val="00996EAD"/>
    <w:rsid w:val="009978D0"/>
    <w:rsid w:val="00997AB9"/>
    <w:rsid w:val="00997DBC"/>
    <w:rsid w:val="00997FEA"/>
    <w:rsid w:val="009A01F6"/>
    <w:rsid w:val="009A0E0E"/>
    <w:rsid w:val="009A10C2"/>
    <w:rsid w:val="009A213F"/>
    <w:rsid w:val="009A3009"/>
    <w:rsid w:val="009A303A"/>
    <w:rsid w:val="009A36AE"/>
    <w:rsid w:val="009A3DA9"/>
    <w:rsid w:val="009A3DDE"/>
    <w:rsid w:val="009A40A9"/>
    <w:rsid w:val="009A4545"/>
    <w:rsid w:val="009A4AC5"/>
    <w:rsid w:val="009A4B81"/>
    <w:rsid w:val="009A4FCE"/>
    <w:rsid w:val="009A53AF"/>
    <w:rsid w:val="009A55E4"/>
    <w:rsid w:val="009A5BBF"/>
    <w:rsid w:val="009A6559"/>
    <w:rsid w:val="009A6C49"/>
    <w:rsid w:val="009A773F"/>
    <w:rsid w:val="009A775F"/>
    <w:rsid w:val="009B0D31"/>
    <w:rsid w:val="009B0E34"/>
    <w:rsid w:val="009B0FB8"/>
    <w:rsid w:val="009B1980"/>
    <w:rsid w:val="009B19DE"/>
    <w:rsid w:val="009B1C2B"/>
    <w:rsid w:val="009B20F5"/>
    <w:rsid w:val="009B21F6"/>
    <w:rsid w:val="009B277D"/>
    <w:rsid w:val="009B2A82"/>
    <w:rsid w:val="009B2F9B"/>
    <w:rsid w:val="009B30BF"/>
    <w:rsid w:val="009B3125"/>
    <w:rsid w:val="009B3647"/>
    <w:rsid w:val="009B434E"/>
    <w:rsid w:val="009B4956"/>
    <w:rsid w:val="009B4A6C"/>
    <w:rsid w:val="009B58B0"/>
    <w:rsid w:val="009B5FA3"/>
    <w:rsid w:val="009B656C"/>
    <w:rsid w:val="009B680B"/>
    <w:rsid w:val="009B68C6"/>
    <w:rsid w:val="009B6CE7"/>
    <w:rsid w:val="009B6D2F"/>
    <w:rsid w:val="009B6E52"/>
    <w:rsid w:val="009B6E98"/>
    <w:rsid w:val="009B7164"/>
    <w:rsid w:val="009B7C56"/>
    <w:rsid w:val="009C01A4"/>
    <w:rsid w:val="009C01BD"/>
    <w:rsid w:val="009C0277"/>
    <w:rsid w:val="009C0D39"/>
    <w:rsid w:val="009C0E97"/>
    <w:rsid w:val="009C11B1"/>
    <w:rsid w:val="009C1273"/>
    <w:rsid w:val="009C18B1"/>
    <w:rsid w:val="009C1A29"/>
    <w:rsid w:val="009C1C97"/>
    <w:rsid w:val="009C24CC"/>
    <w:rsid w:val="009C24E8"/>
    <w:rsid w:val="009C2997"/>
    <w:rsid w:val="009C313F"/>
    <w:rsid w:val="009C31FD"/>
    <w:rsid w:val="009C349A"/>
    <w:rsid w:val="009C34EF"/>
    <w:rsid w:val="009C36FF"/>
    <w:rsid w:val="009C426C"/>
    <w:rsid w:val="009C5233"/>
    <w:rsid w:val="009C5AC2"/>
    <w:rsid w:val="009C6322"/>
    <w:rsid w:val="009C63B8"/>
    <w:rsid w:val="009C6467"/>
    <w:rsid w:val="009C64A2"/>
    <w:rsid w:val="009C664F"/>
    <w:rsid w:val="009C6CE5"/>
    <w:rsid w:val="009C6D50"/>
    <w:rsid w:val="009C7012"/>
    <w:rsid w:val="009C7574"/>
    <w:rsid w:val="009C7B26"/>
    <w:rsid w:val="009C7B36"/>
    <w:rsid w:val="009C7C7C"/>
    <w:rsid w:val="009D0704"/>
    <w:rsid w:val="009D13BD"/>
    <w:rsid w:val="009D1A82"/>
    <w:rsid w:val="009D1F9E"/>
    <w:rsid w:val="009D1FDB"/>
    <w:rsid w:val="009D240C"/>
    <w:rsid w:val="009D257E"/>
    <w:rsid w:val="009D25B8"/>
    <w:rsid w:val="009D270D"/>
    <w:rsid w:val="009D27F1"/>
    <w:rsid w:val="009D2922"/>
    <w:rsid w:val="009D2A46"/>
    <w:rsid w:val="009D2CC9"/>
    <w:rsid w:val="009D2F24"/>
    <w:rsid w:val="009D2F60"/>
    <w:rsid w:val="009D3407"/>
    <w:rsid w:val="009D3545"/>
    <w:rsid w:val="009D3C7E"/>
    <w:rsid w:val="009D3D25"/>
    <w:rsid w:val="009D3D39"/>
    <w:rsid w:val="009D3E69"/>
    <w:rsid w:val="009D407B"/>
    <w:rsid w:val="009D44AB"/>
    <w:rsid w:val="009D4982"/>
    <w:rsid w:val="009D526D"/>
    <w:rsid w:val="009D52FA"/>
    <w:rsid w:val="009D5A73"/>
    <w:rsid w:val="009D65A6"/>
    <w:rsid w:val="009D6C94"/>
    <w:rsid w:val="009D6DD9"/>
    <w:rsid w:val="009D6EDB"/>
    <w:rsid w:val="009D6FB6"/>
    <w:rsid w:val="009D7217"/>
    <w:rsid w:val="009D7321"/>
    <w:rsid w:val="009D77B3"/>
    <w:rsid w:val="009D78B4"/>
    <w:rsid w:val="009D7F28"/>
    <w:rsid w:val="009E0224"/>
    <w:rsid w:val="009E0C5F"/>
    <w:rsid w:val="009E1406"/>
    <w:rsid w:val="009E161E"/>
    <w:rsid w:val="009E1B91"/>
    <w:rsid w:val="009E2325"/>
    <w:rsid w:val="009E2E1B"/>
    <w:rsid w:val="009E30C7"/>
    <w:rsid w:val="009E33B0"/>
    <w:rsid w:val="009E3965"/>
    <w:rsid w:val="009E3EB7"/>
    <w:rsid w:val="009E41DA"/>
    <w:rsid w:val="009E444E"/>
    <w:rsid w:val="009E4857"/>
    <w:rsid w:val="009E4CD1"/>
    <w:rsid w:val="009E534B"/>
    <w:rsid w:val="009E5988"/>
    <w:rsid w:val="009E5AD0"/>
    <w:rsid w:val="009E67D3"/>
    <w:rsid w:val="009E6927"/>
    <w:rsid w:val="009E693D"/>
    <w:rsid w:val="009E720C"/>
    <w:rsid w:val="009E7AA7"/>
    <w:rsid w:val="009E7CA0"/>
    <w:rsid w:val="009E7F90"/>
    <w:rsid w:val="009F041F"/>
    <w:rsid w:val="009F0EC4"/>
    <w:rsid w:val="009F0F88"/>
    <w:rsid w:val="009F19D5"/>
    <w:rsid w:val="009F1A79"/>
    <w:rsid w:val="009F1B76"/>
    <w:rsid w:val="009F2349"/>
    <w:rsid w:val="009F307A"/>
    <w:rsid w:val="009F3A29"/>
    <w:rsid w:val="009F3CA2"/>
    <w:rsid w:val="009F4701"/>
    <w:rsid w:val="009F5CFB"/>
    <w:rsid w:val="009F5DC8"/>
    <w:rsid w:val="009F6183"/>
    <w:rsid w:val="009F654A"/>
    <w:rsid w:val="009F65F4"/>
    <w:rsid w:val="009F676B"/>
    <w:rsid w:val="009F69AF"/>
    <w:rsid w:val="009F6C42"/>
    <w:rsid w:val="009F7184"/>
    <w:rsid w:val="009F7A77"/>
    <w:rsid w:val="009F7EC3"/>
    <w:rsid w:val="00A00A47"/>
    <w:rsid w:val="00A00F39"/>
    <w:rsid w:val="00A00F4A"/>
    <w:rsid w:val="00A01158"/>
    <w:rsid w:val="00A016CE"/>
    <w:rsid w:val="00A01ABA"/>
    <w:rsid w:val="00A01B03"/>
    <w:rsid w:val="00A01BB5"/>
    <w:rsid w:val="00A02169"/>
    <w:rsid w:val="00A02936"/>
    <w:rsid w:val="00A029F2"/>
    <w:rsid w:val="00A02C66"/>
    <w:rsid w:val="00A031E2"/>
    <w:rsid w:val="00A0441A"/>
    <w:rsid w:val="00A0464C"/>
    <w:rsid w:val="00A04E0A"/>
    <w:rsid w:val="00A054E0"/>
    <w:rsid w:val="00A05CD9"/>
    <w:rsid w:val="00A0645F"/>
    <w:rsid w:val="00A0701F"/>
    <w:rsid w:val="00A07087"/>
    <w:rsid w:val="00A070D4"/>
    <w:rsid w:val="00A07329"/>
    <w:rsid w:val="00A077D8"/>
    <w:rsid w:val="00A07CC7"/>
    <w:rsid w:val="00A100BD"/>
    <w:rsid w:val="00A10E23"/>
    <w:rsid w:val="00A10E74"/>
    <w:rsid w:val="00A11042"/>
    <w:rsid w:val="00A112D5"/>
    <w:rsid w:val="00A113E4"/>
    <w:rsid w:val="00A116F8"/>
    <w:rsid w:val="00A11C60"/>
    <w:rsid w:val="00A12133"/>
    <w:rsid w:val="00A133D8"/>
    <w:rsid w:val="00A13BA4"/>
    <w:rsid w:val="00A14A07"/>
    <w:rsid w:val="00A14A58"/>
    <w:rsid w:val="00A15326"/>
    <w:rsid w:val="00A15DD0"/>
    <w:rsid w:val="00A15EAD"/>
    <w:rsid w:val="00A160D7"/>
    <w:rsid w:val="00A16130"/>
    <w:rsid w:val="00A162FB"/>
    <w:rsid w:val="00A16547"/>
    <w:rsid w:val="00A16F3E"/>
    <w:rsid w:val="00A1794F"/>
    <w:rsid w:val="00A17EBF"/>
    <w:rsid w:val="00A200A6"/>
    <w:rsid w:val="00A20B61"/>
    <w:rsid w:val="00A20D90"/>
    <w:rsid w:val="00A21059"/>
    <w:rsid w:val="00A216EB"/>
    <w:rsid w:val="00A21EB0"/>
    <w:rsid w:val="00A233EF"/>
    <w:rsid w:val="00A23527"/>
    <w:rsid w:val="00A24483"/>
    <w:rsid w:val="00A24AE5"/>
    <w:rsid w:val="00A24E24"/>
    <w:rsid w:val="00A24FB3"/>
    <w:rsid w:val="00A24FF5"/>
    <w:rsid w:val="00A259D7"/>
    <w:rsid w:val="00A25EB4"/>
    <w:rsid w:val="00A2605F"/>
    <w:rsid w:val="00A261FA"/>
    <w:rsid w:val="00A262A8"/>
    <w:rsid w:val="00A2670F"/>
    <w:rsid w:val="00A26976"/>
    <w:rsid w:val="00A269F6"/>
    <w:rsid w:val="00A270D2"/>
    <w:rsid w:val="00A274CA"/>
    <w:rsid w:val="00A27546"/>
    <w:rsid w:val="00A3052E"/>
    <w:rsid w:val="00A30BB2"/>
    <w:rsid w:val="00A311F1"/>
    <w:rsid w:val="00A31353"/>
    <w:rsid w:val="00A3187F"/>
    <w:rsid w:val="00A31D33"/>
    <w:rsid w:val="00A3226E"/>
    <w:rsid w:val="00A3244E"/>
    <w:rsid w:val="00A3267A"/>
    <w:rsid w:val="00A32ABF"/>
    <w:rsid w:val="00A33056"/>
    <w:rsid w:val="00A3316F"/>
    <w:rsid w:val="00A337EB"/>
    <w:rsid w:val="00A33986"/>
    <w:rsid w:val="00A34091"/>
    <w:rsid w:val="00A3467F"/>
    <w:rsid w:val="00A34A46"/>
    <w:rsid w:val="00A34D9B"/>
    <w:rsid w:val="00A34DD4"/>
    <w:rsid w:val="00A351E0"/>
    <w:rsid w:val="00A35212"/>
    <w:rsid w:val="00A3532F"/>
    <w:rsid w:val="00A35583"/>
    <w:rsid w:val="00A37392"/>
    <w:rsid w:val="00A37F8E"/>
    <w:rsid w:val="00A40135"/>
    <w:rsid w:val="00A40288"/>
    <w:rsid w:val="00A41222"/>
    <w:rsid w:val="00A4160B"/>
    <w:rsid w:val="00A4177F"/>
    <w:rsid w:val="00A4192B"/>
    <w:rsid w:val="00A41BD9"/>
    <w:rsid w:val="00A42221"/>
    <w:rsid w:val="00A4235D"/>
    <w:rsid w:val="00A42688"/>
    <w:rsid w:val="00A43237"/>
    <w:rsid w:val="00A438B2"/>
    <w:rsid w:val="00A43CF4"/>
    <w:rsid w:val="00A43F2C"/>
    <w:rsid w:val="00A4434D"/>
    <w:rsid w:val="00A448FF"/>
    <w:rsid w:val="00A44BF9"/>
    <w:rsid w:val="00A44D48"/>
    <w:rsid w:val="00A44D58"/>
    <w:rsid w:val="00A45332"/>
    <w:rsid w:val="00A465EB"/>
    <w:rsid w:val="00A466EB"/>
    <w:rsid w:val="00A469CB"/>
    <w:rsid w:val="00A46EFE"/>
    <w:rsid w:val="00A47ECC"/>
    <w:rsid w:val="00A47FD7"/>
    <w:rsid w:val="00A50171"/>
    <w:rsid w:val="00A506DF"/>
    <w:rsid w:val="00A5102E"/>
    <w:rsid w:val="00A51E08"/>
    <w:rsid w:val="00A52282"/>
    <w:rsid w:val="00A523D1"/>
    <w:rsid w:val="00A52C11"/>
    <w:rsid w:val="00A52F14"/>
    <w:rsid w:val="00A53357"/>
    <w:rsid w:val="00A53363"/>
    <w:rsid w:val="00A53784"/>
    <w:rsid w:val="00A5387E"/>
    <w:rsid w:val="00A53B19"/>
    <w:rsid w:val="00A544DD"/>
    <w:rsid w:val="00A550D7"/>
    <w:rsid w:val="00A5516A"/>
    <w:rsid w:val="00A552C3"/>
    <w:rsid w:val="00A55411"/>
    <w:rsid w:val="00A55525"/>
    <w:rsid w:val="00A55780"/>
    <w:rsid w:val="00A55D2C"/>
    <w:rsid w:val="00A55E68"/>
    <w:rsid w:val="00A56044"/>
    <w:rsid w:val="00A561AA"/>
    <w:rsid w:val="00A562BE"/>
    <w:rsid w:val="00A562E6"/>
    <w:rsid w:val="00A565ED"/>
    <w:rsid w:val="00A56C45"/>
    <w:rsid w:val="00A56CB0"/>
    <w:rsid w:val="00A56DEE"/>
    <w:rsid w:val="00A57517"/>
    <w:rsid w:val="00A575B8"/>
    <w:rsid w:val="00A576C8"/>
    <w:rsid w:val="00A57927"/>
    <w:rsid w:val="00A57F67"/>
    <w:rsid w:val="00A57F9D"/>
    <w:rsid w:val="00A61026"/>
    <w:rsid w:val="00A616BB"/>
    <w:rsid w:val="00A61C63"/>
    <w:rsid w:val="00A62677"/>
    <w:rsid w:val="00A62774"/>
    <w:rsid w:val="00A63727"/>
    <w:rsid w:val="00A639CD"/>
    <w:rsid w:val="00A63B26"/>
    <w:rsid w:val="00A63E61"/>
    <w:rsid w:val="00A642A4"/>
    <w:rsid w:val="00A6451C"/>
    <w:rsid w:val="00A647B1"/>
    <w:rsid w:val="00A6499A"/>
    <w:rsid w:val="00A64D66"/>
    <w:rsid w:val="00A6606B"/>
    <w:rsid w:val="00A660C4"/>
    <w:rsid w:val="00A672AE"/>
    <w:rsid w:val="00A672D8"/>
    <w:rsid w:val="00A673F0"/>
    <w:rsid w:val="00A67667"/>
    <w:rsid w:val="00A6777D"/>
    <w:rsid w:val="00A67966"/>
    <w:rsid w:val="00A70216"/>
    <w:rsid w:val="00A71008"/>
    <w:rsid w:val="00A7185E"/>
    <w:rsid w:val="00A72BB0"/>
    <w:rsid w:val="00A72BC3"/>
    <w:rsid w:val="00A736F5"/>
    <w:rsid w:val="00A7373C"/>
    <w:rsid w:val="00A7393A"/>
    <w:rsid w:val="00A739A6"/>
    <w:rsid w:val="00A73EB5"/>
    <w:rsid w:val="00A74051"/>
    <w:rsid w:val="00A74400"/>
    <w:rsid w:val="00A7490B"/>
    <w:rsid w:val="00A74B1D"/>
    <w:rsid w:val="00A75666"/>
    <w:rsid w:val="00A75CD6"/>
    <w:rsid w:val="00A75FE0"/>
    <w:rsid w:val="00A7618B"/>
    <w:rsid w:val="00A767E4"/>
    <w:rsid w:val="00A77253"/>
    <w:rsid w:val="00A77604"/>
    <w:rsid w:val="00A77672"/>
    <w:rsid w:val="00A807F1"/>
    <w:rsid w:val="00A80A41"/>
    <w:rsid w:val="00A81503"/>
    <w:rsid w:val="00A8245E"/>
    <w:rsid w:val="00A8286A"/>
    <w:rsid w:val="00A82CA5"/>
    <w:rsid w:val="00A82CBC"/>
    <w:rsid w:val="00A82EEA"/>
    <w:rsid w:val="00A82F56"/>
    <w:rsid w:val="00A82FE9"/>
    <w:rsid w:val="00A835B9"/>
    <w:rsid w:val="00A8363F"/>
    <w:rsid w:val="00A83A96"/>
    <w:rsid w:val="00A83FBE"/>
    <w:rsid w:val="00A8402B"/>
    <w:rsid w:val="00A84304"/>
    <w:rsid w:val="00A84F0B"/>
    <w:rsid w:val="00A84FFF"/>
    <w:rsid w:val="00A85388"/>
    <w:rsid w:val="00A8558A"/>
    <w:rsid w:val="00A85BCA"/>
    <w:rsid w:val="00A85BCC"/>
    <w:rsid w:val="00A85D53"/>
    <w:rsid w:val="00A86982"/>
    <w:rsid w:val="00A86A09"/>
    <w:rsid w:val="00A87433"/>
    <w:rsid w:val="00A87712"/>
    <w:rsid w:val="00A90F5E"/>
    <w:rsid w:val="00A910AD"/>
    <w:rsid w:val="00A911FD"/>
    <w:rsid w:val="00A912A5"/>
    <w:rsid w:val="00A916A1"/>
    <w:rsid w:val="00A91FBC"/>
    <w:rsid w:val="00A92155"/>
    <w:rsid w:val="00A9246D"/>
    <w:rsid w:val="00A936B8"/>
    <w:rsid w:val="00A936F9"/>
    <w:rsid w:val="00A93AFE"/>
    <w:rsid w:val="00A94388"/>
    <w:rsid w:val="00A94541"/>
    <w:rsid w:val="00A94601"/>
    <w:rsid w:val="00A94A2F"/>
    <w:rsid w:val="00A94CE7"/>
    <w:rsid w:val="00A94FF2"/>
    <w:rsid w:val="00A95BEA"/>
    <w:rsid w:val="00A96106"/>
    <w:rsid w:val="00A96252"/>
    <w:rsid w:val="00A968B5"/>
    <w:rsid w:val="00A96E7E"/>
    <w:rsid w:val="00A97060"/>
    <w:rsid w:val="00AA06A4"/>
    <w:rsid w:val="00AA0A76"/>
    <w:rsid w:val="00AA1B35"/>
    <w:rsid w:val="00AA1E23"/>
    <w:rsid w:val="00AA25CB"/>
    <w:rsid w:val="00AA28CB"/>
    <w:rsid w:val="00AA2B5C"/>
    <w:rsid w:val="00AA2BEF"/>
    <w:rsid w:val="00AA2F35"/>
    <w:rsid w:val="00AA2F64"/>
    <w:rsid w:val="00AA2F8B"/>
    <w:rsid w:val="00AA313A"/>
    <w:rsid w:val="00AA38D3"/>
    <w:rsid w:val="00AA4485"/>
    <w:rsid w:val="00AA4756"/>
    <w:rsid w:val="00AA4B14"/>
    <w:rsid w:val="00AA4EC4"/>
    <w:rsid w:val="00AA577F"/>
    <w:rsid w:val="00AA59C8"/>
    <w:rsid w:val="00AA5A22"/>
    <w:rsid w:val="00AA5DEC"/>
    <w:rsid w:val="00AA6328"/>
    <w:rsid w:val="00AA6BE2"/>
    <w:rsid w:val="00AA6C13"/>
    <w:rsid w:val="00AA73DA"/>
    <w:rsid w:val="00AA7925"/>
    <w:rsid w:val="00AA7AF3"/>
    <w:rsid w:val="00AA7F07"/>
    <w:rsid w:val="00AB010E"/>
    <w:rsid w:val="00AB0326"/>
    <w:rsid w:val="00AB03FD"/>
    <w:rsid w:val="00AB0880"/>
    <w:rsid w:val="00AB095A"/>
    <w:rsid w:val="00AB0A53"/>
    <w:rsid w:val="00AB0F65"/>
    <w:rsid w:val="00AB1375"/>
    <w:rsid w:val="00AB1C5E"/>
    <w:rsid w:val="00AB1C7F"/>
    <w:rsid w:val="00AB21B5"/>
    <w:rsid w:val="00AB270B"/>
    <w:rsid w:val="00AB2C8B"/>
    <w:rsid w:val="00AB38CB"/>
    <w:rsid w:val="00AB415B"/>
    <w:rsid w:val="00AB4E59"/>
    <w:rsid w:val="00AB524D"/>
    <w:rsid w:val="00AB5415"/>
    <w:rsid w:val="00AB5417"/>
    <w:rsid w:val="00AB577E"/>
    <w:rsid w:val="00AB5C98"/>
    <w:rsid w:val="00AB5D35"/>
    <w:rsid w:val="00AB67EB"/>
    <w:rsid w:val="00AB6A0A"/>
    <w:rsid w:val="00AB6EE0"/>
    <w:rsid w:val="00AB717B"/>
    <w:rsid w:val="00AC0213"/>
    <w:rsid w:val="00AC0ED3"/>
    <w:rsid w:val="00AC2329"/>
    <w:rsid w:val="00AC256D"/>
    <w:rsid w:val="00AC2884"/>
    <w:rsid w:val="00AC2899"/>
    <w:rsid w:val="00AC29E4"/>
    <w:rsid w:val="00AC2E0C"/>
    <w:rsid w:val="00AC2ED5"/>
    <w:rsid w:val="00AC418E"/>
    <w:rsid w:val="00AC437C"/>
    <w:rsid w:val="00AC4725"/>
    <w:rsid w:val="00AC5ADA"/>
    <w:rsid w:val="00AC5EF3"/>
    <w:rsid w:val="00AC5F41"/>
    <w:rsid w:val="00AC6060"/>
    <w:rsid w:val="00AC6916"/>
    <w:rsid w:val="00AC7ADE"/>
    <w:rsid w:val="00AC7C30"/>
    <w:rsid w:val="00AD00D8"/>
    <w:rsid w:val="00AD01E6"/>
    <w:rsid w:val="00AD0699"/>
    <w:rsid w:val="00AD06B8"/>
    <w:rsid w:val="00AD071A"/>
    <w:rsid w:val="00AD124B"/>
    <w:rsid w:val="00AD12E4"/>
    <w:rsid w:val="00AD1526"/>
    <w:rsid w:val="00AD15F1"/>
    <w:rsid w:val="00AD174F"/>
    <w:rsid w:val="00AD177F"/>
    <w:rsid w:val="00AD1E24"/>
    <w:rsid w:val="00AD2F89"/>
    <w:rsid w:val="00AD36E3"/>
    <w:rsid w:val="00AD36FD"/>
    <w:rsid w:val="00AD3782"/>
    <w:rsid w:val="00AD3F3B"/>
    <w:rsid w:val="00AD3F64"/>
    <w:rsid w:val="00AD4024"/>
    <w:rsid w:val="00AD4467"/>
    <w:rsid w:val="00AD6073"/>
    <w:rsid w:val="00AD6206"/>
    <w:rsid w:val="00AD631A"/>
    <w:rsid w:val="00AD6372"/>
    <w:rsid w:val="00AD660A"/>
    <w:rsid w:val="00AD71E5"/>
    <w:rsid w:val="00AD7541"/>
    <w:rsid w:val="00AD77B7"/>
    <w:rsid w:val="00AD77E1"/>
    <w:rsid w:val="00AE03F7"/>
    <w:rsid w:val="00AE09F3"/>
    <w:rsid w:val="00AE0A4B"/>
    <w:rsid w:val="00AE0FC7"/>
    <w:rsid w:val="00AE123A"/>
    <w:rsid w:val="00AE13E4"/>
    <w:rsid w:val="00AE13FB"/>
    <w:rsid w:val="00AE14A7"/>
    <w:rsid w:val="00AE17E5"/>
    <w:rsid w:val="00AE20C2"/>
    <w:rsid w:val="00AE25DE"/>
    <w:rsid w:val="00AE2BBF"/>
    <w:rsid w:val="00AE33A6"/>
    <w:rsid w:val="00AE3543"/>
    <w:rsid w:val="00AE3B97"/>
    <w:rsid w:val="00AE481B"/>
    <w:rsid w:val="00AE48FF"/>
    <w:rsid w:val="00AE56C3"/>
    <w:rsid w:val="00AE611A"/>
    <w:rsid w:val="00AE6450"/>
    <w:rsid w:val="00AE7421"/>
    <w:rsid w:val="00AF0513"/>
    <w:rsid w:val="00AF0CB5"/>
    <w:rsid w:val="00AF0FC0"/>
    <w:rsid w:val="00AF14A7"/>
    <w:rsid w:val="00AF1FC2"/>
    <w:rsid w:val="00AF20EE"/>
    <w:rsid w:val="00AF2241"/>
    <w:rsid w:val="00AF2454"/>
    <w:rsid w:val="00AF24E4"/>
    <w:rsid w:val="00AF2FCF"/>
    <w:rsid w:val="00AF3383"/>
    <w:rsid w:val="00AF3ADA"/>
    <w:rsid w:val="00AF3BA5"/>
    <w:rsid w:val="00AF3F3C"/>
    <w:rsid w:val="00AF43ED"/>
    <w:rsid w:val="00AF45DB"/>
    <w:rsid w:val="00AF4EB9"/>
    <w:rsid w:val="00AF4ED4"/>
    <w:rsid w:val="00AF4FF1"/>
    <w:rsid w:val="00AF550D"/>
    <w:rsid w:val="00AF5A04"/>
    <w:rsid w:val="00AF5F9D"/>
    <w:rsid w:val="00AF60D4"/>
    <w:rsid w:val="00AF60FB"/>
    <w:rsid w:val="00AF6B9F"/>
    <w:rsid w:val="00AF78B9"/>
    <w:rsid w:val="00AF7941"/>
    <w:rsid w:val="00B00021"/>
    <w:rsid w:val="00B012FD"/>
    <w:rsid w:val="00B0175C"/>
    <w:rsid w:val="00B02365"/>
    <w:rsid w:val="00B0242F"/>
    <w:rsid w:val="00B025C3"/>
    <w:rsid w:val="00B02C1E"/>
    <w:rsid w:val="00B02C89"/>
    <w:rsid w:val="00B02F59"/>
    <w:rsid w:val="00B02F60"/>
    <w:rsid w:val="00B03618"/>
    <w:rsid w:val="00B037A4"/>
    <w:rsid w:val="00B0440E"/>
    <w:rsid w:val="00B0492B"/>
    <w:rsid w:val="00B05131"/>
    <w:rsid w:val="00B05BE8"/>
    <w:rsid w:val="00B05DA6"/>
    <w:rsid w:val="00B068F1"/>
    <w:rsid w:val="00B06900"/>
    <w:rsid w:val="00B06DC6"/>
    <w:rsid w:val="00B07367"/>
    <w:rsid w:val="00B073FE"/>
    <w:rsid w:val="00B07587"/>
    <w:rsid w:val="00B07DED"/>
    <w:rsid w:val="00B10050"/>
    <w:rsid w:val="00B10842"/>
    <w:rsid w:val="00B10A6E"/>
    <w:rsid w:val="00B10A8E"/>
    <w:rsid w:val="00B10F5A"/>
    <w:rsid w:val="00B113FC"/>
    <w:rsid w:val="00B1145C"/>
    <w:rsid w:val="00B115E6"/>
    <w:rsid w:val="00B129EA"/>
    <w:rsid w:val="00B1311B"/>
    <w:rsid w:val="00B1364A"/>
    <w:rsid w:val="00B142EB"/>
    <w:rsid w:val="00B14B58"/>
    <w:rsid w:val="00B14E0E"/>
    <w:rsid w:val="00B152BD"/>
    <w:rsid w:val="00B15986"/>
    <w:rsid w:val="00B15A9F"/>
    <w:rsid w:val="00B16442"/>
    <w:rsid w:val="00B16B32"/>
    <w:rsid w:val="00B17220"/>
    <w:rsid w:val="00B172E4"/>
    <w:rsid w:val="00B20852"/>
    <w:rsid w:val="00B20BA1"/>
    <w:rsid w:val="00B20F18"/>
    <w:rsid w:val="00B21208"/>
    <w:rsid w:val="00B21274"/>
    <w:rsid w:val="00B21632"/>
    <w:rsid w:val="00B21849"/>
    <w:rsid w:val="00B2275E"/>
    <w:rsid w:val="00B22943"/>
    <w:rsid w:val="00B22ECD"/>
    <w:rsid w:val="00B23110"/>
    <w:rsid w:val="00B231CA"/>
    <w:rsid w:val="00B23239"/>
    <w:rsid w:val="00B23407"/>
    <w:rsid w:val="00B23632"/>
    <w:rsid w:val="00B23738"/>
    <w:rsid w:val="00B23C31"/>
    <w:rsid w:val="00B243BE"/>
    <w:rsid w:val="00B2468C"/>
    <w:rsid w:val="00B24F1D"/>
    <w:rsid w:val="00B255F8"/>
    <w:rsid w:val="00B2589B"/>
    <w:rsid w:val="00B25E41"/>
    <w:rsid w:val="00B25EE6"/>
    <w:rsid w:val="00B264A5"/>
    <w:rsid w:val="00B2680D"/>
    <w:rsid w:val="00B26C6F"/>
    <w:rsid w:val="00B27AF3"/>
    <w:rsid w:val="00B27B2D"/>
    <w:rsid w:val="00B27DF2"/>
    <w:rsid w:val="00B30B8A"/>
    <w:rsid w:val="00B30C1A"/>
    <w:rsid w:val="00B310DB"/>
    <w:rsid w:val="00B31793"/>
    <w:rsid w:val="00B3193D"/>
    <w:rsid w:val="00B31BB2"/>
    <w:rsid w:val="00B32356"/>
    <w:rsid w:val="00B3299A"/>
    <w:rsid w:val="00B32BED"/>
    <w:rsid w:val="00B3335A"/>
    <w:rsid w:val="00B33CD9"/>
    <w:rsid w:val="00B33D52"/>
    <w:rsid w:val="00B34110"/>
    <w:rsid w:val="00B35897"/>
    <w:rsid w:val="00B36459"/>
    <w:rsid w:val="00B36865"/>
    <w:rsid w:val="00B375E3"/>
    <w:rsid w:val="00B40BB1"/>
    <w:rsid w:val="00B41973"/>
    <w:rsid w:val="00B41A66"/>
    <w:rsid w:val="00B43495"/>
    <w:rsid w:val="00B43541"/>
    <w:rsid w:val="00B439CE"/>
    <w:rsid w:val="00B43D45"/>
    <w:rsid w:val="00B44779"/>
    <w:rsid w:val="00B44AD0"/>
    <w:rsid w:val="00B44B64"/>
    <w:rsid w:val="00B45565"/>
    <w:rsid w:val="00B456AA"/>
    <w:rsid w:val="00B45956"/>
    <w:rsid w:val="00B4705A"/>
    <w:rsid w:val="00B47500"/>
    <w:rsid w:val="00B5013E"/>
    <w:rsid w:val="00B50234"/>
    <w:rsid w:val="00B50316"/>
    <w:rsid w:val="00B5043D"/>
    <w:rsid w:val="00B50631"/>
    <w:rsid w:val="00B506F8"/>
    <w:rsid w:val="00B509F2"/>
    <w:rsid w:val="00B50CA4"/>
    <w:rsid w:val="00B50DB0"/>
    <w:rsid w:val="00B50F61"/>
    <w:rsid w:val="00B52845"/>
    <w:rsid w:val="00B52C68"/>
    <w:rsid w:val="00B52CC8"/>
    <w:rsid w:val="00B52DF5"/>
    <w:rsid w:val="00B52F3B"/>
    <w:rsid w:val="00B52FA6"/>
    <w:rsid w:val="00B533CC"/>
    <w:rsid w:val="00B53444"/>
    <w:rsid w:val="00B537D2"/>
    <w:rsid w:val="00B5462E"/>
    <w:rsid w:val="00B54B73"/>
    <w:rsid w:val="00B54D3E"/>
    <w:rsid w:val="00B54EFB"/>
    <w:rsid w:val="00B552C6"/>
    <w:rsid w:val="00B55A3C"/>
    <w:rsid w:val="00B561DB"/>
    <w:rsid w:val="00B56F25"/>
    <w:rsid w:val="00B571D9"/>
    <w:rsid w:val="00B571DD"/>
    <w:rsid w:val="00B57684"/>
    <w:rsid w:val="00B576D3"/>
    <w:rsid w:val="00B5786A"/>
    <w:rsid w:val="00B5787E"/>
    <w:rsid w:val="00B57DF9"/>
    <w:rsid w:val="00B600C1"/>
    <w:rsid w:val="00B6022A"/>
    <w:rsid w:val="00B60510"/>
    <w:rsid w:val="00B6059A"/>
    <w:rsid w:val="00B60AC4"/>
    <w:rsid w:val="00B60DFB"/>
    <w:rsid w:val="00B61099"/>
    <w:rsid w:val="00B61369"/>
    <w:rsid w:val="00B6248A"/>
    <w:rsid w:val="00B62DF3"/>
    <w:rsid w:val="00B632EE"/>
    <w:rsid w:val="00B638FF"/>
    <w:rsid w:val="00B63963"/>
    <w:rsid w:val="00B63BEC"/>
    <w:rsid w:val="00B6401A"/>
    <w:rsid w:val="00B64144"/>
    <w:rsid w:val="00B64518"/>
    <w:rsid w:val="00B64BB8"/>
    <w:rsid w:val="00B64F2A"/>
    <w:rsid w:val="00B655F4"/>
    <w:rsid w:val="00B65651"/>
    <w:rsid w:val="00B656B2"/>
    <w:rsid w:val="00B66790"/>
    <w:rsid w:val="00B66FE5"/>
    <w:rsid w:val="00B67399"/>
    <w:rsid w:val="00B67491"/>
    <w:rsid w:val="00B67578"/>
    <w:rsid w:val="00B677B2"/>
    <w:rsid w:val="00B702AE"/>
    <w:rsid w:val="00B70AE9"/>
    <w:rsid w:val="00B71051"/>
    <w:rsid w:val="00B71778"/>
    <w:rsid w:val="00B7199D"/>
    <w:rsid w:val="00B7217B"/>
    <w:rsid w:val="00B727F5"/>
    <w:rsid w:val="00B72930"/>
    <w:rsid w:val="00B72F10"/>
    <w:rsid w:val="00B737F2"/>
    <w:rsid w:val="00B73BA1"/>
    <w:rsid w:val="00B74047"/>
    <w:rsid w:val="00B7424A"/>
    <w:rsid w:val="00B74487"/>
    <w:rsid w:val="00B7562B"/>
    <w:rsid w:val="00B75A56"/>
    <w:rsid w:val="00B768BB"/>
    <w:rsid w:val="00B76D1D"/>
    <w:rsid w:val="00B76F2B"/>
    <w:rsid w:val="00B774E4"/>
    <w:rsid w:val="00B7768F"/>
    <w:rsid w:val="00B7797D"/>
    <w:rsid w:val="00B77F7F"/>
    <w:rsid w:val="00B801EE"/>
    <w:rsid w:val="00B80270"/>
    <w:rsid w:val="00B8040F"/>
    <w:rsid w:val="00B80621"/>
    <w:rsid w:val="00B810C4"/>
    <w:rsid w:val="00B813B5"/>
    <w:rsid w:val="00B813BE"/>
    <w:rsid w:val="00B81591"/>
    <w:rsid w:val="00B81FEB"/>
    <w:rsid w:val="00B83019"/>
    <w:rsid w:val="00B84060"/>
    <w:rsid w:val="00B847DB"/>
    <w:rsid w:val="00B84F07"/>
    <w:rsid w:val="00B86121"/>
    <w:rsid w:val="00B8615F"/>
    <w:rsid w:val="00B86CD0"/>
    <w:rsid w:val="00B87BF7"/>
    <w:rsid w:val="00B87D5C"/>
    <w:rsid w:val="00B90891"/>
    <w:rsid w:val="00B913E4"/>
    <w:rsid w:val="00B9150E"/>
    <w:rsid w:val="00B9269D"/>
    <w:rsid w:val="00B928AD"/>
    <w:rsid w:val="00B92C46"/>
    <w:rsid w:val="00B934C6"/>
    <w:rsid w:val="00B93901"/>
    <w:rsid w:val="00B93C9C"/>
    <w:rsid w:val="00B94DEA"/>
    <w:rsid w:val="00B951D4"/>
    <w:rsid w:val="00B953AA"/>
    <w:rsid w:val="00B95560"/>
    <w:rsid w:val="00B95716"/>
    <w:rsid w:val="00B95FEF"/>
    <w:rsid w:val="00B9620D"/>
    <w:rsid w:val="00B965EE"/>
    <w:rsid w:val="00B96B44"/>
    <w:rsid w:val="00B96D79"/>
    <w:rsid w:val="00B97B86"/>
    <w:rsid w:val="00BA0319"/>
    <w:rsid w:val="00BA0A39"/>
    <w:rsid w:val="00BA0B1A"/>
    <w:rsid w:val="00BA1440"/>
    <w:rsid w:val="00BA15DC"/>
    <w:rsid w:val="00BA1C42"/>
    <w:rsid w:val="00BA21C8"/>
    <w:rsid w:val="00BA24CD"/>
    <w:rsid w:val="00BA29C3"/>
    <w:rsid w:val="00BA2ADA"/>
    <w:rsid w:val="00BA3563"/>
    <w:rsid w:val="00BA4095"/>
    <w:rsid w:val="00BA478B"/>
    <w:rsid w:val="00BA514B"/>
    <w:rsid w:val="00BA5411"/>
    <w:rsid w:val="00BA5968"/>
    <w:rsid w:val="00BA5BE6"/>
    <w:rsid w:val="00BA5C96"/>
    <w:rsid w:val="00BA5F4C"/>
    <w:rsid w:val="00BA72AA"/>
    <w:rsid w:val="00BA7B9F"/>
    <w:rsid w:val="00BA7CA7"/>
    <w:rsid w:val="00BA7D34"/>
    <w:rsid w:val="00BB03F0"/>
    <w:rsid w:val="00BB040B"/>
    <w:rsid w:val="00BB07D7"/>
    <w:rsid w:val="00BB083A"/>
    <w:rsid w:val="00BB0924"/>
    <w:rsid w:val="00BB0B03"/>
    <w:rsid w:val="00BB1270"/>
    <w:rsid w:val="00BB1B47"/>
    <w:rsid w:val="00BB2428"/>
    <w:rsid w:val="00BB2500"/>
    <w:rsid w:val="00BB2683"/>
    <w:rsid w:val="00BB26D0"/>
    <w:rsid w:val="00BB2E4E"/>
    <w:rsid w:val="00BB2ED4"/>
    <w:rsid w:val="00BB40CC"/>
    <w:rsid w:val="00BB41E5"/>
    <w:rsid w:val="00BB435F"/>
    <w:rsid w:val="00BB4D04"/>
    <w:rsid w:val="00BB4E1D"/>
    <w:rsid w:val="00BB5075"/>
    <w:rsid w:val="00BB59D9"/>
    <w:rsid w:val="00BB6BD3"/>
    <w:rsid w:val="00BB6EFC"/>
    <w:rsid w:val="00BB7058"/>
    <w:rsid w:val="00BB706D"/>
    <w:rsid w:val="00BB7742"/>
    <w:rsid w:val="00BC060A"/>
    <w:rsid w:val="00BC06C5"/>
    <w:rsid w:val="00BC0728"/>
    <w:rsid w:val="00BC07B1"/>
    <w:rsid w:val="00BC1030"/>
    <w:rsid w:val="00BC13BF"/>
    <w:rsid w:val="00BC1551"/>
    <w:rsid w:val="00BC1EA6"/>
    <w:rsid w:val="00BC2460"/>
    <w:rsid w:val="00BC2505"/>
    <w:rsid w:val="00BC2612"/>
    <w:rsid w:val="00BC2918"/>
    <w:rsid w:val="00BC2EFE"/>
    <w:rsid w:val="00BC303D"/>
    <w:rsid w:val="00BC308D"/>
    <w:rsid w:val="00BC3C29"/>
    <w:rsid w:val="00BC4624"/>
    <w:rsid w:val="00BC467C"/>
    <w:rsid w:val="00BC4BE8"/>
    <w:rsid w:val="00BC4E8B"/>
    <w:rsid w:val="00BC523D"/>
    <w:rsid w:val="00BC52C7"/>
    <w:rsid w:val="00BC57DB"/>
    <w:rsid w:val="00BC5E8A"/>
    <w:rsid w:val="00BC6888"/>
    <w:rsid w:val="00BC6D79"/>
    <w:rsid w:val="00BC6E73"/>
    <w:rsid w:val="00BC7B71"/>
    <w:rsid w:val="00BD035E"/>
    <w:rsid w:val="00BD03A0"/>
    <w:rsid w:val="00BD0687"/>
    <w:rsid w:val="00BD0AE4"/>
    <w:rsid w:val="00BD116C"/>
    <w:rsid w:val="00BD1176"/>
    <w:rsid w:val="00BD1339"/>
    <w:rsid w:val="00BD179A"/>
    <w:rsid w:val="00BD2571"/>
    <w:rsid w:val="00BD2FE4"/>
    <w:rsid w:val="00BD4E5E"/>
    <w:rsid w:val="00BD504C"/>
    <w:rsid w:val="00BD5134"/>
    <w:rsid w:val="00BD536D"/>
    <w:rsid w:val="00BD580F"/>
    <w:rsid w:val="00BD5AA4"/>
    <w:rsid w:val="00BD5B26"/>
    <w:rsid w:val="00BD63FB"/>
    <w:rsid w:val="00BD6423"/>
    <w:rsid w:val="00BD6857"/>
    <w:rsid w:val="00BD6EF9"/>
    <w:rsid w:val="00BD7882"/>
    <w:rsid w:val="00BD79F6"/>
    <w:rsid w:val="00BD7B85"/>
    <w:rsid w:val="00BE00E7"/>
    <w:rsid w:val="00BE0A36"/>
    <w:rsid w:val="00BE0E1E"/>
    <w:rsid w:val="00BE1CD8"/>
    <w:rsid w:val="00BE2457"/>
    <w:rsid w:val="00BE2912"/>
    <w:rsid w:val="00BE29BC"/>
    <w:rsid w:val="00BE3427"/>
    <w:rsid w:val="00BE41BE"/>
    <w:rsid w:val="00BE51CA"/>
    <w:rsid w:val="00BE5927"/>
    <w:rsid w:val="00BE5AFE"/>
    <w:rsid w:val="00BE600C"/>
    <w:rsid w:val="00BE6069"/>
    <w:rsid w:val="00BE6097"/>
    <w:rsid w:val="00BE6539"/>
    <w:rsid w:val="00BE6D61"/>
    <w:rsid w:val="00BE71A7"/>
    <w:rsid w:val="00BE7663"/>
    <w:rsid w:val="00BE782F"/>
    <w:rsid w:val="00BE7AA0"/>
    <w:rsid w:val="00BF0109"/>
    <w:rsid w:val="00BF0550"/>
    <w:rsid w:val="00BF09A2"/>
    <w:rsid w:val="00BF0B3D"/>
    <w:rsid w:val="00BF16FD"/>
    <w:rsid w:val="00BF1711"/>
    <w:rsid w:val="00BF1945"/>
    <w:rsid w:val="00BF1FD3"/>
    <w:rsid w:val="00BF33B3"/>
    <w:rsid w:val="00BF36F6"/>
    <w:rsid w:val="00BF3EE5"/>
    <w:rsid w:val="00BF3FAC"/>
    <w:rsid w:val="00BF4342"/>
    <w:rsid w:val="00BF4531"/>
    <w:rsid w:val="00BF4A80"/>
    <w:rsid w:val="00BF4F21"/>
    <w:rsid w:val="00BF5466"/>
    <w:rsid w:val="00BF5DEF"/>
    <w:rsid w:val="00BF6649"/>
    <w:rsid w:val="00BF66A6"/>
    <w:rsid w:val="00BF746D"/>
    <w:rsid w:val="00BF7549"/>
    <w:rsid w:val="00C011B8"/>
    <w:rsid w:val="00C011D7"/>
    <w:rsid w:val="00C012F6"/>
    <w:rsid w:val="00C017DD"/>
    <w:rsid w:val="00C017FE"/>
    <w:rsid w:val="00C018D0"/>
    <w:rsid w:val="00C025D4"/>
    <w:rsid w:val="00C02918"/>
    <w:rsid w:val="00C02C7C"/>
    <w:rsid w:val="00C03581"/>
    <w:rsid w:val="00C035EF"/>
    <w:rsid w:val="00C0385A"/>
    <w:rsid w:val="00C0396D"/>
    <w:rsid w:val="00C03FA9"/>
    <w:rsid w:val="00C0457B"/>
    <w:rsid w:val="00C0482D"/>
    <w:rsid w:val="00C04BCA"/>
    <w:rsid w:val="00C058AF"/>
    <w:rsid w:val="00C062AE"/>
    <w:rsid w:val="00C062D8"/>
    <w:rsid w:val="00C06809"/>
    <w:rsid w:val="00C069A0"/>
    <w:rsid w:val="00C06C86"/>
    <w:rsid w:val="00C06DC0"/>
    <w:rsid w:val="00C073C4"/>
    <w:rsid w:val="00C07E9F"/>
    <w:rsid w:val="00C1030C"/>
    <w:rsid w:val="00C11096"/>
    <w:rsid w:val="00C115C6"/>
    <w:rsid w:val="00C1183A"/>
    <w:rsid w:val="00C11912"/>
    <w:rsid w:val="00C11AAF"/>
    <w:rsid w:val="00C121CF"/>
    <w:rsid w:val="00C126BE"/>
    <w:rsid w:val="00C128AE"/>
    <w:rsid w:val="00C12DDF"/>
    <w:rsid w:val="00C13739"/>
    <w:rsid w:val="00C1373D"/>
    <w:rsid w:val="00C144D9"/>
    <w:rsid w:val="00C14FA0"/>
    <w:rsid w:val="00C152E8"/>
    <w:rsid w:val="00C15500"/>
    <w:rsid w:val="00C15669"/>
    <w:rsid w:val="00C16781"/>
    <w:rsid w:val="00C16802"/>
    <w:rsid w:val="00C16A7E"/>
    <w:rsid w:val="00C16DA2"/>
    <w:rsid w:val="00C17F33"/>
    <w:rsid w:val="00C201AF"/>
    <w:rsid w:val="00C20A75"/>
    <w:rsid w:val="00C20CC7"/>
    <w:rsid w:val="00C20F27"/>
    <w:rsid w:val="00C211EA"/>
    <w:rsid w:val="00C22293"/>
    <w:rsid w:val="00C2257F"/>
    <w:rsid w:val="00C22B0D"/>
    <w:rsid w:val="00C22E86"/>
    <w:rsid w:val="00C235C1"/>
    <w:rsid w:val="00C238A7"/>
    <w:rsid w:val="00C23DEE"/>
    <w:rsid w:val="00C24595"/>
    <w:rsid w:val="00C24DFB"/>
    <w:rsid w:val="00C24FAB"/>
    <w:rsid w:val="00C2518C"/>
    <w:rsid w:val="00C25AF3"/>
    <w:rsid w:val="00C25E57"/>
    <w:rsid w:val="00C269D2"/>
    <w:rsid w:val="00C26CE9"/>
    <w:rsid w:val="00C30291"/>
    <w:rsid w:val="00C3066E"/>
    <w:rsid w:val="00C310A4"/>
    <w:rsid w:val="00C315F8"/>
    <w:rsid w:val="00C31AD6"/>
    <w:rsid w:val="00C32384"/>
    <w:rsid w:val="00C32A01"/>
    <w:rsid w:val="00C32E0E"/>
    <w:rsid w:val="00C33362"/>
    <w:rsid w:val="00C33507"/>
    <w:rsid w:val="00C33D34"/>
    <w:rsid w:val="00C34427"/>
    <w:rsid w:val="00C346E1"/>
    <w:rsid w:val="00C34826"/>
    <w:rsid w:val="00C34CBA"/>
    <w:rsid w:val="00C35228"/>
    <w:rsid w:val="00C3524B"/>
    <w:rsid w:val="00C35473"/>
    <w:rsid w:val="00C35B31"/>
    <w:rsid w:val="00C3604C"/>
    <w:rsid w:val="00C360B3"/>
    <w:rsid w:val="00C3628E"/>
    <w:rsid w:val="00C36AD3"/>
    <w:rsid w:val="00C37027"/>
    <w:rsid w:val="00C379AF"/>
    <w:rsid w:val="00C4046A"/>
    <w:rsid w:val="00C40BEA"/>
    <w:rsid w:val="00C40D83"/>
    <w:rsid w:val="00C40F25"/>
    <w:rsid w:val="00C40F52"/>
    <w:rsid w:val="00C42B9F"/>
    <w:rsid w:val="00C42E56"/>
    <w:rsid w:val="00C430ED"/>
    <w:rsid w:val="00C4360A"/>
    <w:rsid w:val="00C44470"/>
    <w:rsid w:val="00C447D5"/>
    <w:rsid w:val="00C44F49"/>
    <w:rsid w:val="00C453AB"/>
    <w:rsid w:val="00C454FA"/>
    <w:rsid w:val="00C45A1C"/>
    <w:rsid w:val="00C45A6E"/>
    <w:rsid w:val="00C46217"/>
    <w:rsid w:val="00C46553"/>
    <w:rsid w:val="00C46584"/>
    <w:rsid w:val="00C467D2"/>
    <w:rsid w:val="00C4698D"/>
    <w:rsid w:val="00C46E0D"/>
    <w:rsid w:val="00C46E5C"/>
    <w:rsid w:val="00C471AE"/>
    <w:rsid w:val="00C478FA"/>
    <w:rsid w:val="00C4790C"/>
    <w:rsid w:val="00C47C55"/>
    <w:rsid w:val="00C47EA9"/>
    <w:rsid w:val="00C5051E"/>
    <w:rsid w:val="00C50B38"/>
    <w:rsid w:val="00C51178"/>
    <w:rsid w:val="00C52479"/>
    <w:rsid w:val="00C524FE"/>
    <w:rsid w:val="00C52AA3"/>
    <w:rsid w:val="00C52C59"/>
    <w:rsid w:val="00C52CEE"/>
    <w:rsid w:val="00C537B1"/>
    <w:rsid w:val="00C5383F"/>
    <w:rsid w:val="00C53C32"/>
    <w:rsid w:val="00C53D5D"/>
    <w:rsid w:val="00C53EA3"/>
    <w:rsid w:val="00C540CB"/>
    <w:rsid w:val="00C546A7"/>
    <w:rsid w:val="00C54D3D"/>
    <w:rsid w:val="00C55344"/>
    <w:rsid w:val="00C55873"/>
    <w:rsid w:val="00C55D6A"/>
    <w:rsid w:val="00C5605B"/>
    <w:rsid w:val="00C56247"/>
    <w:rsid w:val="00C56A52"/>
    <w:rsid w:val="00C56B8E"/>
    <w:rsid w:val="00C570EF"/>
    <w:rsid w:val="00C57D42"/>
    <w:rsid w:val="00C60148"/>
    <w:rsid w:val="00C607E8"/>
    <w:rsid w:val="00C60AAE"/>
    <w:rsid w:val="00C60E8E"/>
    <w:rsid w:val="00C615E6"/>
    <w:rsid w:val="00C61737"/>
    <w:rsid w:val="00C619AD"/>
    <w:rsid w:val="00C61CFF"/>
    <w:rsid w:val="00C61D0F"/>
    <w:rsid w:val="00C61E75"/>
    <w:rsid w:val="00C6247D"/>
    <w:rsid w:val="00C62DBB"/>
    <w:rsid w:val="00C62E80"/>
    <w:rsid w:val="00C62F0D"/>
    <w:rsid w:val="00C62FD1"/>
    <w:rsid w:val="00C633F4"/>
    <w:rsid w:val="00C6352C"/>
    <w:rsid w:val="00C63DBF"/>
    <w:rsid w:val="00C642D3"/>
    <w:rsid w:val="00C64338"/>
    <w:rsid w:val="00C6490C"/>
    <w:rsid w:val="00C64A1C"/>
    <w:rsid w:val="00C64AE5"/>
    <w:rsid w:val="00C64FE7"/>
    <w:rsid w:val="00C65147"/>
    <w:rsid w:val="00C65610"/>
    <w:rsid w:val="00C65CD6"/>
    <w:rsid w:val="00C6646C"/>
    <w:rsid w:val="00C66A97"/>
    <w:rsid w:val="00C66B51"/>
    <w:rsid w:val="00C67759"/>
    <w:rsid w:val="00C67D08"/>
    <w:rsid w:val="00C67D9D"/>
    <w:rsid w:val="00C71433"/>
    <w:rsid w:val="00C7153F"/>
    <w:rsid w:val="00C71968"/>
    <w:rsid w:val="00C71CE5"/>
    <w:rsid w:val="00C71F44"/>
    <w:rsid w:val="00C72470"/>
    <w:rsid w:val="00C73100"/>
    <w:rsid w:val="00C734BA"/>
    <w:rsid w:val="00C7491E"/>
    <w:rsid w:val="00C74ADB"/>
    <w:rsid w:val="00C74EFC"/>
    <w:rsid w:val="00C75682"/>
    <w:rsid w:val="00C757DC"/>
    <w:rsid w:val="00C75A0E"/>
    <w:rsid w:val="00C75C32"/>
    <w:rsid w:val="00C76A1A"/>
    <w:rsid w:val="00C77089"/>
    <w:rsid w:val="00C775AE"/>
    <w:rsid w:val="00C77900"/>
    <w:rsid w:val="00C77ED8"/>
    <w:rsid w:val="00C8063F"/>
    <w:rsid w:val="00C80D7E"/>
    <w:rsid w:val="00C81EC5"/>
    <w:rsid w:val="00C825F9"/>
    <w:rsid w:val="00C828DB"/>
    <w:rsid w:val="00C82A71"/>
    <w:rsid w:val="00C82A8B"/>
    <w:rsid w:val="00C82ABF"/>
    <w:rsid w:val="00C82EA6"/>
    <w:rsid w:val="00C84215"/>
    <w:rsid w:val="00C84B23"/>
    <w:rsid w:val="00C84CFE"/>
    <w:rsid w:val="00C8514D"/>
    <w:rsid w:val="00C85729"/>
    <w:rsid w:val="00C858B9"/>
    <w:rsid w:val="00C86F8C"/>
    <w:rsid w:val="00C87879"/>
    <w:rsid w:val="00C87AB5"/>
    <w:rsid w:val="00C87BC2"/>
    <w:rsid w:val="00C87CFD"/>
    <w:rsid w:val="00C91916"/>
    <w:rsid w:val="00C91B47"/>
    <w:rsid w:val="00C925F5"/>
    <w:rsid w:val="00C9260A"/>
    <w:rsid w:val="00C92805"/>
    <w:rsid w:val="00C92C3E"/>
    <w:rsid w:val="00C92F21"/>
    <w:rsid w:val="00C93084"/>
    <w:rsid w:val="00C93128"/>
    <w:rsid w:val="00C93166"/>
    <w:rsid w:val="00C937AD"/>
    <w:rsid w:val="00C9415F"/>
    <w:rsid w:val="00C941D4"/>
    <w:rsid w:val="00C948FD"/>
    <w:rsid w:val="00C94999"/>
    <w:rsid w:val="00C950C9"/>
    <w:rsid w:val="00C954D7"/>
    <w:rsid w:val="00C958C8"/>
    <w:rsid w:val="00C95E78"/>
    <w:rsid w:val="00C96134"/>
    <w:rsid w:val="00C963A8"/>
    <w:rsid w:val="00C96940"/>
    <w:rsid w:val="00C96B54"/>
    <w:rsid w:val="00C96DF5"/>
    <w:rsid w:val="00C97112"/>
    <w:rsid w:val="00C973F8"/>
    <w:rsid w:val="00C975C2"/>
    <w:rsid w:val="00C97A03"/>
    <w:rsid w:val="00C97DA5"/>
    <w:rsid w:val="00CA0028"/>
    <w:rsid w:val="00CA05D3"/>
    <w:rsid w:val="00CA0987"/>
    <w:rsid w:val="00CA1064"/>
    <w:rsid w:val="00CA106B"/>
    <w:rsid w:val="00CA1D93"/>
    <w:rsid w:val="00CA231C"/>
    <w:rsid w:val="00CA24B1"/>
    <w:rsid w:val="00CA25C0"/>
    <w:rsid w:val="00CA28B6"/>
    <w:rsid w:val="00CA3014"/>
    <w:rsid w:val="00CA3329"/>
    <w:rsid w:val="00CA33DE"/>
    <w:rsid w:val="00CA36D3"/>
    <w:rsid w:val="00CA37E2"/>
    <w:rsid w:val="00CA4701"/>
    <w:rsid w:val="00CA4948"/>
    <w:rsid w:val="00CA4F8D"/>
    <w:rsid w:val="00CA513D"/>
    <w:rsid w:val="00CA54E5"/>
    <w:rsid w:val="00CA587B"/>
    <w:rsid w:val="00CA5EE1"/>
    <w:rsid w:val="00CA5FF8"/>
    <w:rsid w:val="00CA6441"/>
    <w:rsid w:val="00CA6DF4"/>
    <w:rsid w:val="00CA6E91"/>
    <w:rsid w:val="00CA7582"/>
    <w:rsid w:val="00CA7853"/>
    <w:rsid w:val="00CB0775"/>
    <w:rsid w:val="00CB0A9D"/>
    <w:rsid w:val="00CB0CB9"/>
    <w:rsid w:val="00CB205D"/>
    <w:rsid w:val="00CB20CA"/>
    <w:rsid w:val="00CB2286"/>
    <w:rsid w:val="00CB23B9"/>
    <w:rsid w:val="00CB2455"/>
    <w:rsid w:val="00CB2AB8"/>
    <w:rsid w:val="00CB304C"/>
    <w:rsid w:val="00CB376E"/>
    <w:rsid w:val="00CB3A18"/>
    <w:rsid w:val="00CB3C4B"/>
    <w:rsid w:val="00CB4D84"/>
    <w:rsid w:val="00CB4F92"/>
    <w:rsid w:val="00CB5677"/>
    <w:rsid w:val="00CB5CB2"/>
    <w:rsid w:val="00CB5E04"/>
    <w:rsid w:val="00CB64CA"/>
    <w:rsid w:val="00CB68AC"/>
    <w:rsid w:val="00CB697B"/>
    <w:rsid w:val="00CB7031"/>
    <w:rsid w:val="00CB7171"/>
    <w:rsid w:val="00CB7525"/>
    <w:rsid w:val="00CC0088"/>
    <w:rsid w:val="00CC0AF7"/>
    <w:rsid w:val="00CC0BFB"/>
    <w:rsid w:val="00CC0F1E"/>
    <w:rsid w:val="00CC114E"/>
    <w:rsid w:val="00CC1A6F"/>
    <w:rsid w:val="00CC1BA0"/>
    <w:rsid w:val="00CC2CBB"/>
    <w:rsid w:val="00CC307C"/>
    <w:rsid w:val="00CC3F26"/>
    <w:rsid w:val="00CC3F91"/>
    <w:rsid w:val="00CC426E"/>
    <w:rsid w:val="00CC438F"/>
    <w:rsid w:val="00CC4A3E"/>
    <w:rsid w:val="00CC4A76"/>
    <w:rsid w:val="00CC4BF1"/>
    <w:rsid w:val="00CC4ED5"/>
    <w:rsid w:val="00CC544A"/>
    <w:rsid w:val="00CC57EA"/>
    <w:rsid w:val="00CC5DBB"/>
    <w:rsid w:val="00CC5EB9"/>
    <w:rsid w:val="00CC5F68"/>
    <w:rsid w:val="00CC6069"/>
    <w:rsid w:val="00CC6097"/>
    <w:rsid w:val="00CC6992"/>
    <w:rsid w:val="00CC6BA9"/>
    <w:rsid w:val="00CC7306"/>
    <w:rsid w:val="00CC732E"/>
    <w:rsid w:val="00CC780E"/>
    <w:rsid w:val="00CD0335"/>
    <w:rsid w:val="00CD0349"/>
    <w:rsid w:val="00CD034A"/>
    <w:rsid w:val="00CD05A0"/>
    <w:rsid w:val="00CD08D4"/>
    <w:rsid w:val="00CD09A5"/>
    <w:rsid w:val="00CD13DC"/>
    <w:rsid w:val="00CD16BF"/>
    <w:rsid w:val="00CD1709"/>
    <w:rsid w:val="00CD1826"/>
    <w:rsid w:val="00CD18D7"/>
    <w:rsid w:val="00CD1AB6"/>
    <w:rsid w:val="00CD1AD5"/>
    <w:rsid w:val="00CD1BD4"/>
    <w:rsid w:val="00CD2406"/>
    <w:rsid w:val="00CD258C"/>
    <w:rsid w:val="00CD29B6"/>
    <w:rsid w:val="00CD30B4"/>
    <w:rsid w:val="00CD33CB"/>
    <w:rsid w:val="00CD3E2B"/>
    <w:rsid w:val="00CD436A"/>
    <w:rsid w:val="00CD437E"/>
    <w:rsid w:val="00CD4747"/>
    <w:rsid w:val="00CD4989"/>
    <w:rsid w:val="00CD4B70"/>
    <w:rsid w:val="00CD54B4"/>
    <w:rsid w:val="00CD572C"/>
    <w:rsid w:val="00CD590C"/>
    <w:rsid w:val="00CD5DAD"/>
    <w:rsid w:val="00CD6053"/>
    <w:rsid w:val="00CD60FF"/>
    <w:rsid w:val="00CD6270"/>
    <w:rsid w:val="00CD6386"/>
    <w:rsid w:val="00CD6766"/>
    <w:rsid w:val="00CD6819"/>
    <w:rsid w:val="00CD6DCE"/>
    <w:rsid w:val="00CD7420"/>
    <w:rsid w:val="00CD764F"/>
    <w:rsid w:val="00CD76BA"/>
    <w:rsid w:val="00CD784E"/>
    <w:rsid w:val="00CD7943"/>
    <w:rsid w:val="00CD7A1E"/>
    <w:rsid w:val="00CD7CE2"/>
    <w:rsid w:val="00CE06EC"/>
    <w:rsid w:val="00CE0789"/>
    <w:rsid w:val="00CE1A03"/>
    <w:rsid w:val="00CE2057"/>
    <w:rsid w:val="00CE2CB3"/>
    <w:rsid w:val="00CE2DE8"/>
    <w:rsid w:val="00CE2ECA"/>
    <w:rsid w:val="00CE2FBC"/>
    <w:rsid w:val="00CE30FA"/>
    <w:rsid w:val="00CE3322"/>
    <w:rsid w:val="00CE34DF"/>
    <w:rsid w:val="00CE383C"/>
    <w:rsid w:val="00CE3962"/>
    <w:rsid w:val="00CE4696"/>
    <w:rsid w:val="00CE4A99"/>
    <w:rsid w:val="00CE4F4D"/>
    <w:rsid w:val="00CE519C"/>
    <w:rsid w:val="00CE53D1"/>
    <w:rsid w:val="00CE56BD"/>
    <w:rsid w:val="00CE5933"/>
    <w:rsid w:val="00CE6FC6"/>
    <w:rsid w:val="00CE714B"/>
    <w:rsid w:val="00CE7726"/>
    <w:rsid w:val="00CE7C84"/>
    <w:rsid w:val="00CF044B"/>
    <w:rsid w:val="00CF08B7"/>
    <w:rsid w:val="00CF0A32"/>
    <w:rsid w:val="00CF131A"/>
    <w:rsid w:val="00CF1858"/>
    <w:rsid w:val="00CF195E"/>
    <w:rsid w:val="00CF1A59"/>
    <w:rsid w:val="00CF1EDA"/>
    <w:rsid w:val="00CF208E"/>
    <w:rsid w:val="00CF237E"/>
    <w:rsid w:val="00CF24AD"/>
    <w:rsid w:val="00CF2889"/>
    <w:rsid w:val="00CF2BE2"/>
    <w:rsid w:val="00CF2C0E"/>
    <w:rsid w:val="00CF37AA"/>
    <w:rsid w:val="00CF3DA7"/>
    <w:rsid w:val="00CF45DD"/>
    <w:rsid w:val="00CF474C"/>
    <w:rsid w:val="00CF4DAD"/>
    <w:rsid w:val="00CF50A0"/>
    <w:rsid w:val="00CF51C4"/>
    <w:rsid w:val="00CF65CB"/>
    <w:rsid w:val="00CF6B48"/>
    <w:rsid w:val="00D0069E"/>
    <w:rsid w:val="00D0095E"/>
    <w:rsid w:val="00D00DD8"/>
    <w:rsid w:val="00D01030"/>
    <w:rsid w:val="00D0161D"/>
    <w:rsid w:val="00D01B3E"/>
    <w:rsid w:val="00D01C39"/>
    <w:rsid w:val="00D01CF9"/>
    <w:rsid w:val="00D0264C"/>
    <w:rsid w:val="00D02ED5"/>
    <w:rsid w:val="00D02F9F"/>
    <w:rsid w:val="00D0334D"/>
    <w:rsid w:val="00D03C6D"/>
    <w:rsid w:val="00D046B1"/>
    <w:rsid w:val="00D0503C"/>
    <w:rsid w:val="00D05157"/>
    <w:rsid w:val="00D05839"/>
    <w:rsid w:val="00D05967"/>
    <w:rsid w:val="00D0599C"/>
    <w:rsid w:val="00D06542"/>
    <w:rsid w:val="00D06624"/>
    <w:rsid w:val="00D06C72"/>
    <w:rsid w:val="00D0737A"/>
    <w:rsid w:val="00D0759B"/>
    <w:rsid w:val="00D075A8"/>
    <w:rsid w:val="00D07A8F"/>
    <w:rsid w:val="00D1018E"/>
    <w:rsid w:val="00D1117B"/>
    <w:rsid w:val="00D12587"/>
    <w:rsid w:val="00D13F36"/>
    <w:rsid w:val="00D1444F"/>
    <w:rsid w:val="00D14799"/>
    <w:rsid w:val="00D147DF"/>
    <w:rsid w:val="00D148F5"/>
    <w:rsid w:val="00D14EA7"/>
    <w:rsid w:val="00D15921"/>
    <w:rsid w:val="00D163F3"/>
    <w:rsid w:val="00D16732"/>
    <w:rsid w:val="00D167D6"/>
    <w:rsid w:val="00D17019"/>
    <w:rsid w:val="00D1707D"/>
    <w:rsid w:val="00D17344"/>
    <w:rsid w:val="00D17C46"/>
    <w:rsid w:val="00D200BA"/>
    <w:rsid w:val="00D2019D"/>
    <w:rsid w:val="00D202D8"/>
    <w:rsid w:val="00D20AF4"/>
    <w:rsid w:val="00D21168"/>
    <w:rsid w:val="00D21714"/>
    <w:rsid w:val="00D219C8"/>
    <w:rsid w:val="00D220C6"/>
    <w:rsid w:val="00D2229D"/>
    <w:rsid w:val="00D2243C"/>
    <w:rsid w:val="00D22A7B"/>
    <w:rsid w:val="00D22B04"/>
    <w:rsid w:val="00D23904"/>
    <w:rsid w:val="00D23CD1"/>
    <w:rsid w:val="00D2410C"/>
    <w:rsid w:val="00D2438C"/>
    <w:rsid w:val="00D24836"/>
    <w:rsid w:val="00D24A08"/>
    <w:rsid w:val="00D25423"/>
    <w:rsid w:val="00D25A8A"/>
    <w:rsid w:val="00D25B71"/>
    <w:rsid w:val="00D25EB6"/>
    <w:rsid w:val="00D26007"/>
    <w:rsid w:val="00D262A2"/>
    <w:rsid w:val="00D26CED"/>
    <w:rsid w:val="00D26E4F"/>
    <w:rsid w:val="00D27185"/>
    <w:rsid w:val="00D271BD"/>
    <w:rsid w:val="00D300E4"/>
    <w:rsid w:val="00D303ED"/>
    <w:rsid w:val="00D304AF"/>
    <w:rsid w:val="00D30C85"/>
    <w:rsid w:val="00D31716"/>
    <w:rsid w:val="00D31EED"/>
    <w:rsid w:val="00D3203A"/>
    <w:rsid w:val="00D3244D"/>
    <w:rsid w:val="00D32584"/>
    <w:rsid w:val="00D3282E"/>
    <w:rsid w:val="00D32890"/>
    <w:rsid w:val="00D32A0B"/>
    <w:rsid w:val="00D32CD9"/>
    <w:rsid w:val="00D32F1B"/>
    <w:rsid w:val="00D335CF"/>
    <w:rsid w:val="00D33767"/>
    <w:rsid w:val="00D33AB3"/>
    <w:rsid w:val="00D33B7A"/>
    <w:rsid w:val="00D33CCC"/>
    <w:rsid w:val="00D33DB8"/>
    <w:rsid w:val="00D34555"/>
    <w:rsid w:val="00D34AA5"/>
    <w:rsid w:val="00D34B64"/>
    <w:rsid w:val="00D354C2"/>
    <w:rsid w:val="00D358C5"/>
    <w:rsid w:val="00D35B45"/>
    <w:rsid w:val="00D36892"/>
    <w:rsid w:val="00D36C3E"/>
    <w:rsid w:val="00D36E18"/>
    <w:rsid w:val="00D371E5"/>
    <w:rsid w:val="00D4072D"/>
    <w:rsid w:val="00D40748"/>
    <w:rsid w:val="00D40A63"/>
    <w:rsid w:val="00D40FB5"/>
    <w:rsid w:val="00D418BD"/>
    <w:rsid w:val="00D4230B"/>
    <w:rsid w:val="00D42759"/>
    <w:rsid w:val="00D42D36"/>
    <w:rsid w:val="00D4337F"/>
    <w:rsid w:val="00D43DF2"/>
    <w:rsid w:val="00D442C8"/>
    <w:rsid w:val="00D4446C"/>
    <w:rsid w:val="00D44613"/>
    <w:rsid w:val="00D44B5B"/>
    <w:rsid w:val="00D44C4B"/>
    <w:rsid w:val="00D45893"/>
    <w:rsid w:val="00D45A4F"/>
    <w:rsid w:val="00D45BC2"/>
    <w:rsid w:val="00D46428"/>
    <w:rsid w:val="00D468B8"/>
    <w:rsid w:val="00D4693F"/>
    <w:rsid w:val="00D46B33"/>
    <w:rsid w:val="00D471AF"/>
    <w:rsid w:val="00D472D1"/>
    <w:rsid w:val="00D47940"/>
    <w:rsid w:val="00D50124"/>
    <w:rsid w:val="00D504B8"/>
    <w:rsid w:val="00D50508"/>
    <w:rsid w:val="00D50519"/>
    <w:rsid w:val="00D50A74"/>
    <w:rsid w:val="00D5134C"/>
    <w:rsid w:val="00D515B8"/>
    <w:rsid w:val="00D51CF0"/>
    <w:rsid w:val="00D51CF6"/>
    <w:rsid w:val="00D51E1C"/>
    <w:rsid w:val="00D51EAF"/>
    <w:rsid w:val="00D52095"/>
    <w:rsid w:val="00D52283"/>
    <w:rsid w:val="00D52541"/>
    <w:rsid w:val="00D540BF"/>
    <w:rsid w:val="00D54745"/>
    <w:rsid w:val="00D55951"/>
    <w:rsid w:val="00D559FD"/>
    <w:rsid w:val="00D55A17"/>
    <w:rsid w:val="00D5634D"/>
    <w:rsid w:val="00D56824"/>
    <w:rsid w:val="00D56A8C"/>
    <w:rsid w:val="00D56E3E"/>
    <w:rsid w:val="00D572A4"/>
    <w:rsid w:val="00D578F7"/>
    <w:rsid w:val="00D60983"/>
    <w:rsid w:val="00D60D3D"/>
    <w:rsid w:val="00D61237"/>
    <w:rsid w:val="00D615DF"/>
    <w:rsid w:val="00D61A16"/>
    <w:rsid w:val="00D61EB9"/>
    <w:rsid w:val="00D624AC"/>
    <w:rsid w:val="00D62BAA"/>
    <w:rsid w:val="00D62CF8"/>
    <w:rsid w:val="00D62E63"/>
    <w:rsid w:val="00D63299"/>
    <w:rsid w:val="00D63F38"/>
    <w:rsid w:val="00D640F6"/>
    <w:rsid w:val="00D641A5"/>
    <w:rsid w:val="00D65923"/>
    <w:rsid w:val="00D65C19"/>
    <w:rsid w:val="00D66142"/>
    <w:rsid w:val="00D66160"/>
    <w:rsid w:val="00D66458"/>
    <w:rsid w:val="00D664AD"/>
    <w:rsid w:val="00D66D8B"/>
    <w:rsid w:val="00D66F8E"/>
    <w:rsid w:val="00D67187"/>
    <w:rsid w:val="00D675ED"/>
    <w:rsid w:val="00D67616"/>
    <w:rsid w:val="00D70328"/>
    <w:rsid w:val="00D7137A"/>
    <w:rsid w:val="00D714C6"/>
    <w:rsid w:val="00D7175C"/>
    <w:rsid w:val="00D721B7"/>
    <w:rsid w:val="00D72519"/>
    <w:rsid w:val="00D7261A"/>
    <w:rsid w:val="00D726D1"/>
    <w:rsid w:val="00D7288E"/>
    <w:rsid w:val="00D736B6"/>
    <w:rsid w:val="00D73C2C"/>
    <w:rsid w:val="00D745C5"/>
    <w:rsid w:val="00D74C31"/>
    <w:rsid w:val="00D74CF6"/>
    <w:rsid w:val="00D74D9C"/>
    <w:rsid w:val="00D74EB8"/>
    <w:rsid w:val="00D760B4"/>
    <w:rsid w:val="00D76575"/>
    <w:rsid w:val="00D770C5"/>
    <w:rsid w:val="00D778FE"/>
    <w:rsid w:val="00D77FF8"/>
    <w:rsid w:val="00D80711"/>
    <w:rsid w:val="00D80DF3"/>
    <w:rsid w:val="00D81182"/>
    <w:rsid w:val="00D81300"/>
    <w:rsid w:val="00D81BC1"/>
    <w:rsid w:val="00D81FE9"/>
    <w:rsid w:val="00D82454"/>
    <w:rsid w:val="00D8259F"/>
    <w:rsid w:val="00D826B9"/>
    <w:rsid w:val="00D82783"/>
    <w:rsid w:val="00D82FF3"/>
    <w:rsid w:val="00D83011"/>
    <w:rsid w:val="00D83625"/>
    <w:rsid w:val="00D84670"/>
    <w:rsid w:val="00D8482F"/>
    <w:rsid w:val="00D84F27"/>
    <w:rsid w:val="00D85A70"/>
    <w:rsid w:val="00D85B8E"/>
    <w:rsid w:val="00D85C20"/>
    <w:rsid w:val="00D85E5F"/>
    <w:rsid w:val="00D86111"/>
    <w:rsid w:val="00D8616C"/>
    <w:rsid w:val="00D8647F"/>
    <w:rsid w:val="00D864CE"/>
    <w:rsid w:val="00D86B4C"/>
    <w:rsid w:val="00D86D48"/>
    <w:rsid w:val="00D86FB2"/>
    <w:rsid w:val="00D903FC"/>
    <w:rsid w:val="00D90E12"/>
    <w:rsid w:val="00D910B6"/>
    <w:rsid w:val="00D916A9"/>
    <w:rsid w:val="00D91A09"/>
    <w:rsid w:val="00D91E17"/>
    <w:rsid w:val="00D91E90"/>
    <w:rsid w:val="00D9204E"/>
    <w:rsid w:val="00D92976"/>
    <w:rsid w:val="00D929A1"/>
    <w:rsid w:val="00D93E1D"/>
    <w:rsid w:val="00D93E22"/>
    <w:rsid w:val="00D93F95"/>
    <w:rsid w:val="00D94286"/>
    <w:rsid w:val="00D94553"/>
    <w:rsid w:val="00D9478C"/>
    <w:rsid w:val="00D94B4B"/>
    <w:rsid w:val="00D94BE0"/>
    <w:rsid w:val="00D96A14"/>
    <w:rsid w:val="00D97485"/>
    <w:rsid w:val="00D977F7"/>
    <w:rsid w:val="00D97F29"/>
    <w:rsid w:val="00D97F4E"/>
    <w:rsid w:val="00DA00D3"/>
    <w:rsid w:val="00DA0357"/>
    <w:rsid w:val="00DA08CE"/>
    <w:rsid w:val="00DA153A"/>
    <w:rsid w:val="00DA1BB3"/>
    <w:rsid w:val="00DA1BCD"/>
    <w:rsid w:val="00DA1CD8"/>
    <w:rsid w:val="00DA240D"/>
    <w:rsid w:val="00DA2553"/>
    <w:rsid w:val="00DA290A"/>
    <w:rsid w:val="00DA300E"/>
    <w:rsid w:val="00DA3089"/>
    <w:rsid w:val="00DA3F8F"/>
    <w:rsid w:val="00DA4118"/>
    <w:rsid w:val="00DA42B0"/>
    <w:rsid w:val="00DA4301"/>
    <w:rsid w:val="00DA49E9"/>
    <w:rsid w:val="00DA502E"/>
    <w:rsid w:val="00DA5967"/>
    <w:rsid w:val="00DA596B"/>
    <w:rsid w:val="00DA59D1"/>
    <w:rsid w:val="00DA5B02"/>
    <w:rsid w:val="00DA5C53"/>
    <w:rsid w:val="00DA7027"/>
    <w:rsid w:val="00DA7449"/>
    <w:rsid w:val="00DA7747"/>
    <w:rsid w:val="00DA7DB6"/>
    <w:rsid w:val="00DA7E4E"/>
    <w:rsid w:val="00DB02A8"/>
    <w:rsid w:val="00DB0B23"/>
    <w:rsid w:val="00DB0C5B"/>
    <w:rsid w:val="00DB0EF8"/>
    <w:rsid w:val="00DB1555"/>
    <w:rsid w:val="00DB15B2"/>
    <w:rsid w:val="00DB1902"/>
    <w:rsid w:val="00DB208B"/>
    <w:rsid w:val="00DB2AD4"/>
    <w:rsid w:val="00DB2FA5"/>
    <w:rsid w:val="00DB35EE"/>
    <w:rsid w:val="00DB4224"/>
    <w:rsid w:val="00DB432C"/>
    <w:rsid w:val="00DB4699"/>
    <w:rsid w:val="00DB4CD3"/>
    <w:rsid w:val="00DB5153"/>
    <w:rsid w:val="00DB5286"/>
    <w:rsid w:val="00DB5884"/>
    <w:rsid w:val="00DB5AB9"/>
    <w:rsid w:val="00DB6149"/>
    <w:rsid w:val="00DB64A3"/>
    <w:rsid w:val="00DB6819"/>
    <w:rsid w:val="00DB6A0C"/>
    <w:rsid w:val="00DB6DA3"/>
    <w:rsid w:val="00DB73A6"/>
    <w:rsid w:val="00DB7645"/>
    <w:rsid w:val="00DB7C93"/>
    <w:rsid w:val="00DB7E38"/>
    <w:rsid w:val="00DC0030"/>
    <w:rsid w:val="00DC032D"/>
    <w:rsid w:val="00DC06E9"/>
    <w:rsid w:val="00DC07EF"/>
    <w:rsid w:val="00DC0AC7"/>
    <w:rsid w:val="00DC0BB7"/>
    <w:rsid w:val="00DC0BF2"/>
    <w:rsid w:val="00DC15A2"/>
    <w:rsid w:val="00DC1E4E"/>
    <w:rsid w:val="00DC36EF"/>
    <w:rsid w:val="00DC37D5"/>
    <w:rsid w:val="00DC3BA9"/>
    <w:rsid w:val="00DC3ECF"/>
    <w:rsid w:val="00DC401D"/>
    <w:rsid w:val="00DC43B5"/>
    <w:rsid w:val="00DC43CF"/>
    <w:rsid w:val="00DC4F2C"/>
    <w:rsid w:val="00DC57D0"/>
    <w:rsid w:val="00DC59BD"/>
    <w:rsid w:val="00DC618E"/>
    <w:rsid w:val="00DC647C"/>
    <w:rsid w:val="00DC6751"/>
    <w:rsid w:val="00DC67B1"/>
    <w:rsid w:val="00DC67D9"/>
    <w:rsid w:val="00DC68A3"/>
    <w:rsid w:val="00DC6E94"/>
    <w:rsid w:val="00DC6EBB"/>
    <w:rsid w:val="00DC74A3"/>
    <w:rsid w:val="00DD0E1D"/>
    <w:rsid w:val="00DD1A21"/>
    <w:rsid w:val="00DD276E"/>
    <w:rsid w:val="00DD3952"/>
    <w:rsid w:val="00DD48F0"/>
    <w:rsid w:val="00DD4C5D"/>
    <w:rsid w:val="00DD57C2"/>
    <w:rsid w:val="00DD582F"/>
    <w:rsid w:val="00DD58BE"/>
    <w:rsid w:val="00DD638A"/>
    <w:rsid w:val="00DD6940"/>
    <w:rsid w:val="00DD6B32"/>
    <w:rsid w:val="00DD6CFF"/>
    <w:rsid w:val="00DD7259"/>
    <w:rsid w:val="00DE04C9"/>
    <w:rsid w:val="00DE0720"/>
    <w:rsid w:val="00DE1BF5"/>
    <w:rsid w:val="00DE1CC7"/>
    <w:rsid w:val="00DE2246"/>
    <w:rsid w:val="00DE295D"/>
    <w:rsid w:val="00DE2D11"/>
    <w:rsid w:val="00DE370F"/>
    <w:rsid w:val="00DE387D"/>
    <w:rsid w:val="00DE3E02"/>
    <w:rsid w:val="00DE3E22"/>
    <w:rsid w:val="00DE4C83"/>
    <w:rsid w:val="00DE4DD9"/>
    <w:rsid w:val="00DE4DF6"/>
    <w:rsid w:val="00DE5151"/>
    <w:rsid w:val="00DE5CC6"/>
    <w:rsid w:val="00DE6A6C"/>
    <w:rsid w:val="00DE6CEA"/>
    <w:rsid w:val="00DE753A"/>
    <w:rsid w:val="00DE75A6"/>
    <w:rsid w:val="00DE7B71"/>
    <w:rsid w:val="00DE7E28"/>
    <w:rsid w:val="00DF01F7"/>
    <w:rsid w:val="00DF024E"/>
    <w:rsid w:val="00DF0403"/>
    <w:rsid w:val="00DF069F"/>
    <w:rsid w:val="00DF0DE5"/>
    <w:rsid w:val="00DF0EFC"/>
    <w:rsid w:val="00DF1299"/>
    <w:rsid w:val="00DF1ADD"/>
    <w:rsid w:val="00DF1D57"/>
    <w:rsid w:val="00DF1E17"/>
    <w:rsid w:val="00DF22C1"/>
    <w:rsid w:val="00DF23A8"/>
    <w:rsid w:val="00DF26BC"/>
    <w:rsid w:val="00DF2821"/>
    <w:rsid w:val="00DF2DCC"/>
    <w:rsid w:val="00DF343D"/>
    <w:rsid w:val="00DF3AE0"/>
    <w:rsid w:val="00DF4809"/>
    <w:rsid w:val="00DF4ABE"/>
    <w:rsid w:val="00DF4C0F"/>
    <w:rsid w:val="00DF5261"/>
    <w:rsid w:val="00DF5C2B"/>
    <w:rsid w:val="00DF67EB"/>
    <w:rsid w:val="00DF690A"/>
    <w:rsid w:val="00DF6CCC"/>
    <w:rsid w:val="00DF6F64"/>
    <w:rsid w:val="00DF721E"/>
    <w:rsid w:val="00DF7B22"/>
    <w:rsid w:val="00DF7DB7"/>
    <w:rsid w:val="00DF7E50"/>
    <w:rsid w:val="00E006C3"/>
    <w:rsid w:val="00E012A2"/>
    <w:rsid w:val="00E016A9"/>
    <w:rsid w:val="00E0187A"/>
    <w:rsid w:val="00E01891"/>
    <w:rsid w:val="00E027C3"/>
    <w:rsid w:val="00E02E63"/>
    <w:rsid w:val="00E03286"/>
    <w:rsid w:val="00E03628"/>
    <w:rsid w:val="00E0366A"/>
    <w:rsid w:val="00E03C39"/>
    <w:rsid w:val="00E04027"/>
    <w:rsid w:val="00E040EF"/>
    <w:rsid w:val="00E0495E"/>
    <w:rsid w:val="00E04A10"/>
    <w:rsid w:val="00E04B1B"/>
    <w:rsid w:val="00E04BCE"/>
    <w:rsid w:val="00E04F4E"/>
    <w:rsid w:val="00E0570B"/>
    <w:rsid w:val="00E05B98"/>
    <w:rsid w:val="00E05D0D"/>
    <w:rsid w:val="00E06A7F"/>
    <w:rsid w:val="00E06AD5"/>
    <w:rsid w:val="00E06C0A"/>
    <w:rsid w:val="00E070C8"/>
    <w:rsid w:val="00E070F0"/>
    <w:rsid w:val="00E07579"/>
    <w:rsid w:val="00E07669"/>
    <w:rsid w:val="00E10513"/>
    <w:rsid w:val="00E10DBA"/>
    <w:rsid w:val="00E11238"/>
    <w:rsid w:val="00E11A0A"/>
    <w:rsid w:val="00E11F65"/>
    <w:rsid w:val="00E12287"/>
    <w:rsid w:val="00E12731"/>
    <w:rsid w:val="00E12A00"/>
    <w:rsid w:val="00E1404F"/>
    <w:rsid w:val="00E15252"/>
    <w:rsid w:val="00E1587F"/>
    <w:rsid w:val="00E1591D"/>
    <w:rsid w:val="00E16BA6"/>
    <w:rsid w:val="00E17984"/>
    <w:rsid w:val="00E2013F"/>
    <w:rsid w:val="00E219CE"/>
    <w:rsid w:val="00E21F4D"/>
    <w:rsid w:val="00E22034"/>
    <w:rsid w:val="00E224C9"/>
    <w:rsid w:val="00E2273F"/>
    <w:rsid w:val="00E22BBC"/>
    <w:rsid w:val="00E22D8F"/>
    <w:rsid w:val="00E23466"/>
    <w:rsid w:val="00E236E2"/>
    <w:rsid w:val="00E239F4"/>
    <w:rsid w:val="00E242C2"/>
    <w:rsid w:val="00E24306"/>
    <w:rsid w:val="00E24510"/>
    <w:rsid w:val="00E24956"/>
    <w:rsid w:val="00E24CC4"/>
    <w:rsid w:val="00E24EBC"/>
    <w:rsid w:val="00E251A6"/>
    <w:rsid w:val="00E2522C"/>
    <w:rsid w:val="00E2522E"/>
    <w:rsid w:val="00E2584E"/>
    <w:rsid w:val="00E25B30"/>
    <w:rsid w:val="00E26190"/>
    <w:rsid w:val="00E26194"/>
    <w:rsid w:val="00E2737E"/>
    <w:rsid w:val="00E2782E"/>
    <w:rsid w:val="00E278F6"/>
    <w:rsid w:val="00E27CB7"/>
    <w:rsid w:val="00E27D54"/>
    <w:rsid w:val="00E27FA8"/>
    <w:rsid w:val="00E30192"/>
    <w:rsid w:val="00E3035F"/>
    <w:rsid w:val="00E303BA"/>
    <w:rsid w:val="00E3115F"/>
    <w:rsid w:val="00E316C5"/>
    <w:rsid w:val="00E317A4"/>
    <w:rsid w:val="00E31FBE"/>
    <w:rsid w:val="00E32008"/>
    <w:rsid w:val="00E32781"/>
    <w:rsid w:val="00E32F09"/>
    <w:rsid w:val="00E32F5B"/>
    <w:rsid w:val="00E3319A"/>
    <w:rsid w:val="00E3411F"/>
    <w:rsid w:val="00E3414D"/>
    <w:rsid w:val="00E34474"/>
    <w:rsid w:val="00E34513"/>
    <w:rsid w:val="00E349E9"/>
    <w:rsid w:val="00E354FC"/>
    <w:rsid w:val="00E356DF"/>
    <w:rsid w:val="00E35A74"/>
    <w:rsid w:val="00E35A81"/>
    <w:rsid w:val="00E36242"/>
    <w:rsid w:val="00E366F1"/>
    <w:rsid w:val="00E36D77"/>
    <w:rsid w:val="00E37699"/>
    <w:rsid w:val="00E37AB5"/>
    <w:rsid w:val="00E37CD0"/>
    <w:rsid w:val="00E37E22"/>
    <w:rsid w:val="00E41402"/>
    <w:rsid w:val="00E41584"/>
    <w:rsid w:val="00E41D36"/>
    <w:rsid w:val="00E425E0"/>
    <w:rsid w:val="00E42762"/>
    <w:rsid w:val="00E42911"/>
    <w:rsid w:val="00E42BA5"/>
    <w:rsid w:val="00E42C03"/>
    <w:rsid w:val="00E43053"/>
    <w:rsid w:val="00E43D2D"/>
    <w:rsid w:val="00E44505"/>
    <w:rsid w:val="00E44C65"/>
    <w:rsid w:val="00E4520E"/>
    <w:rsid w:val="00E45743"/>
    <w:rsid w:val="00E4598A"/>
    <w:rsid w:val="00E45A2B"/>
    <w:rsid w:val="00E464F6"/>
    <w:rsid w:val="00E473DC"/>
    <w:rsid w:val="00E4756C"/>
    <w:rsid w:val="00E47BC0"/>
    <w:rsid w:val="00E47BFC"/>
    <w:rsid w:val="00E47E38"/>
    <w:rsid w:val="00E47EC7"/>
    <w:rsid w:val="00E5079D"/>
    <w:rsid w:val="00E51990"/>
    <w:rsid w:val="00E51A86"/>
    <w:rsid w:val="00E51B8B"/>
    <w:rsid w:val="00E51C05"/>
    <w:rsid w:val="00E534FD"/>
    <w:rsid w:val="00E53730"/>
    <w:rsid w:val="00E53988"/>
    <w:rsid w:val="00E53D76"/>
    <w:rsid w:val="00E54511"/>
    <w:rsid w:val="00E54E6C"/>
    <w:rsid w:val="00E55183"/>
    <w:rsid w:val="00E5551E"/>
    <w:rsid w:val="00E55A70"/>
    <w:rsid w:val="00E55B4F"/>
    <w:rsid w:val="00E55CF5"/>
    <w:rsid w:val="00E565C3"/>
    <w:rsid w:val="00E568E0"/>
    <w:rsid w:val="00E56B9A"/>
    <w:rsid w:val="00E56C50"/>
    <w:rsid w:val="00E571F6"/>
    <w:rsid w:val="00E57331"/>
    <w:rsid w:val="00E57577"/>
    <w:rsid w:val="00E577FC"/>
    <w:rsid w:val="00E60F85"/>
    <w:rsid w:val="00E61B73"/>
    <w:rsid w:val="00E63691"/>
    <w:rsid w:val="00E637BE"/>
    <w:rsid w:val="00E638C7"/>
    <w:rsid w:val="00E638F7"/>
    <w:rsid w:val="00E63963"/>
    <w:rsid w:val="00E63AAE"/>
    <w:rsid w:val="00E63E90"/>
    <w:rsid w:val="00E64235"/>
    <w:rsid w:val="00E654FF"/>
    <w:rsid w:val="00E6567B"/>
    <w:rsid w:val="00E67080"/>
    <w:rsid w:val="00E67885"/>
    <w:rsid w:val="00E679E5"/>
    <w:rsid w:val="00E67DF2"/>
    <w:rsid w:val="00E67E25"/>
    <w:rsid w:val="00E70E30"/>
    <w:rsid w:val="00E71A62"/>
    <w:rsid w:val="00E71B01"/>
    <w:rsid w:val="00E71BF9"/>
    <w:rsid w:val="00E7262B"/>
    <w:rsid w:val="00E72830"/>
    <w:rsid w:val="00E73111"/>
    <w:rsid w:val="00E731F0"/>
    <w:rsid w:val="00E73314"/>
    <w:rsid w:val="00E73BAE"/>
    <w:rsid w:val="00E73C3E"/>
    <w:rsid w:val="00E744F3"/>
    <w:rsid w:val="00E745C3"/>
    <w:rsid w:val="00E7482C"/>
    <w:rsid w:val="00E74951"/>
    <w:rsid w:val="00E749E8"/>
    <w:rsid w:val="00E74A0C"/>
    <w:rsid w:val="00E75796"/>
    <w:rsid w:val="00E76B6B"/>
    <w:rsid w:val="00E76F57"/>
    <w:rsid w:val="00E7713B"/>
    <w:rsid w:val="00E77A13"/>
    <w:rsid w:val="00E77DFB"/>
    <w:rsid w:val="00E80BDF"/>
    <w:rsid w:val="00E81670"/>
    <w:rsid w:val="00E8191A"/>
    <w:rsid w:val="00E81EE0"/>
    <w:rsid w:val="00E82255"/>
    <w:rsid w:val="00E8251E"/>
    <w:rsid w:val="00E8291B"/>
    <w:rsid w:val="00E82CDE"/>
    <w:rsid w:val="00E82CE7"/>
    <w:rsid w:val="00E83664"/>
    <w:rsid w:val="00E83905"/>
    <w:rsid w:val="00E83969"/>
    <w:rsid w:val="00E8415D"/>
    <w:rsid w:val="00E84C8F"/>
    <w:rsid w:val="00E853B1"/>
    <w:rsid w:val="00E855F7"/>
    <w:rsid w:val="00E85940"/>
    <w:rsid w:val="00E86AEB"/>
    <w:rsid w:val="00E86CCF"/>
    <w:rsid w:val="00E86DB3"/>
    <w:rsid w:val="00E871A3"/>
    <w:rsid w:val="00E87219"/>
    <w:rsid w:val="00E873D3"/>
    <w:rsid w:val="00E87BD2"/>
    <w:rsid w:val="00E91044"/>
    <w:rsid w:val="00E910D3"/>
    <w:rsid w:val="00E9153F"/>
    <w:rsid w:val="00E91575"/>
    <w:rsid w:val="00E91D72"/>
    <w:rsid w:val="00E9269E"/>
    <w:rsid w:val="00E927C8"/>
    <w:rsid w:val="00E92A61"/>
    <w:rsid w:val="00E92F12"/>
    <w:rsid w:val="00E93154"/>
    <w:rsid w:val="00E938EF"/>
    <w:rsid w:val="00E93C6F"/>
    <w:rsid w:val="00E93C7F"/>
    <w:rsid w:val="00E93CB2"/>
    <w:rsid w:val="00E94CFB"/>
    <w:rsid w:val="00E957EE"/>
    <w:rsid w:val="00E95A0D"/>
    <w:rsid w:val="00E95D07"/>
    <w:rsid w:val="00E96640"/>
    <w:rsid w:val="00E96CD6"/>
    <w:rsid w:val="00E9734C"/>
    <w:rsid w:val="00EA05AA"/>
    <w:rsid w:val="00EA0DEC"/>
    <w:rsid w:val="00EA131D"/>
    <w:rsid w:val="00EA1592"/>
    <w:rsid w:val="00EA198D"/>
    <w:rsid w:val="00EA229A"/>
    <w:rsid w:val="00EA2460"/>
    <w:rsid w:val="00EA25D6"/>
    <w:rsid w:val="00EA28BD"/>
    <w:rsid w:val="00EA2C48"/>
    <w:rsid w:val="00EA313E"/>
    <w:rsid w:val="00EA32C1"/>
    <w:rsid w:val="00EA350D"/>
    <w:rsid w:val="00EA36F1"/>
    <w:rsid w:val="00EA3A58"/>
    <w:rsid w:val="00EA4AAE"/>
    <w:rsid w:val="00EA4F1F"/>
    <w:rsid w:val="00EA569C"/>
    <w:rsid w:val="00EA62B8"/>
    <w:rsid w:val="00EA6A88"/>
    <w:rsid w:val="00EA6E4E"/>
    <w:rsid w:val="00EA760A"/>
    <w:rsid w:val="00EB05D0"/>
    <w:rsid w:val="00EB1820"/>
    <w:rsid w:val="00EB1D49"/>
    <w:rsid w:val="00EB204B"/>
    <w:rsid w:val="00EB27EA"/>
    <w:rsid w:val="00EB29AA"/>
    <w:rsid w:val="00EB2B96"/>
    <w:rsid w:val="00EB33DD"/>
    <w:rsid w:val="00EB3609"/>
    <w:rsid w:val="00EB3644"/>
    <w:rsid w:val="00EB3900"/>
    <w:rsid w:val="00EB403B"/>
    <w:rsid w:val="00EB5951"/>
    <w:rsid w:val="00EB5963"/>
    <w:rsid w:val="00EB5F8E"/>
    <w:rsid w:val="00EB6C45"/>
    <w:rsid w:val="00EB7680"/>
    <w:rsid w:val="00EB7822"/>
    <w:rsid w:val="00EB7B78"/>
    <w:rsid w:val="00EC1075"/>
    <w:rsid w:val="00EC15B9"/>
    <w:rsid w:val="00EC1DD0"/>
    <w:rsid w:val="00EC21B7"/>
    <w:rsid w:val="00EC2584"/>
    <w:rsid w:val="00EC2A2B"/>
    <w:rsid w:val="00EC2F62"/>
    <w:rsid w:val="00EC34B0"/>
    <w:rsid w:val="00EC3570"/>
    <w:rsid w:val="00EC39EC"/>
    <w:rsid w:val="00EC3E9F"/>
    <w:rsid w:val="00EC418E"/>
    <w:rsid w:val="00EC41E4"/>
    <w:rsid w:val="00EC5A2C"/>
    <w:rsid w:val="00EC5B67"/>
    <w:rsid w:val="00EC5D5F"/>
    <w:rsid w:val="00EC7024"/>
    <w:rsid w:val="00EC7175"/>
    <w:rsid w:val="00EC77A1"/>
    <w:rsid w:val="00EC78EE"/>
    <w:rsid w:val="00ED0078"/>
    <w:rsid w:val="00ED0875"/>
    <w:rsid w:val="00ED0D37"/>
    <w:rsid w:val="00ED127E"/>
    <w:rsid w:val="00ED145C"/>
    <w:rsid w:val="00ED1F4B"/>
    <w:rsid w:val="00ED266A"/>
    <w:rsid w:val="00ED2B20"/>
    <w:rsid w:val="00ED30DC"/>
    <w:rsid w:val="00ED3525"/>
    <w:rsid w:val="00ED3705"/>
    <w:rsid w:val="00ED484D"/>
    <w:rsid w:val="00ED4A29"/>
    <w:rsid w:val="00ED4A53"/>
    <w:rsid w:val="00ED53ED"/>
    <w:rsid w:val="00ED5D9C"/>
    <w:rsid w:val="00ED6908"/>
    <w:rsid w:val="00ED6C2B"/>
    <w:rsid w:val="00ED7266"/>
    <w:rsid w:val="00ED7417"/>
    <w:rsid w:val="00ED75E8"/>
    <w:rsid w:val="00ED7A09"/>
    <w:rsid w:val="00EE010C"/>
    <w:rsid w:val="00EE0F3D"/>
    <w:rsid w:val="00EE1C92"/>
    <w:rsid w:val="00EE21DD"/>
    <w:rsid w:val="00EE2386"/>
    <w:rsid w:val="00EE2735"/>
    <w:rsid w:val="00EE2800"/>
    <w:rsid w:val="00EE375E"/>
    <w:rsid w:val="00EE37C1"/>
    <w:rsid w:val="00EE3B50"/>
    <w:rsid w:val="00EE41F1"/>
    <w:rsid w:val="00EE4619"/>
    <w:rsid w:val="00EE4835"/>
    <w:rsid w:val="00EE4AE6"/>
    <w:rsid w:val="00EE4D74"/>
    <w:rsid w:val="00EE5151"/>
    <w:rsid w:val="00EE5A14"/>
    <w:rsid w:val="00EE611F"/>
    <w:rsid w:val="00EE62C1"/>
    <w:rsid w:val="00EE671C"/>
    <w:rsid w:val="00EE6E3C"/>
    <w:rsid w:val="00EE75E1"/>
    <w:rsid w:val="00EE7BF2"/>
    <w:rsid w:val="00EE7C01"/>
    <w:rsid w:val="00EF0738"/>
    <w:rsid w:val="00EF0C20"/>
    <w:rsid w:val="00EF1E34"/>
    <w:rsid w:val="00EF2109"/>
    <w:rsid w:val="00EF2728"/>
    <w:rsid w:val="00EF2B2E"/>
    <w:rsid w:val="00EF2BC3"/>
    <w:rsid w:val="00EF3810"/>
    <w:rsid w:val="00EF477B"/>
    <w:rsid w:val="00EF4C7B"/>
    <w:rsid w:val="00EF4F00"/>
    <w:rsid w:val="00EF5190"/>
    <w:rsid w:val="00EF5554"/>
    <w:rsid w:val="00EF56AA"/>
    <w:rsid w:val="00EF57BC"/>
    <w:rsid w:val="00EF5C76"/>
    <w:rsid w:val="00EF5CB6"/>
    <w:rsid w:val="00EF5E33"/>
    <w:rsid w:val="00EF6180"/>
    <w:rsid w:val="00EF62B0"/>
    <w:rsid w:val="00EF6A2D"/>
    <w:rsid w:val="00EF6B9B"/>
    <w:rsid w:val="00EF6FAC"/>
    <w:rsid w:val="00EF7033"/>
    <w:rsid w:val="00EF7379"/>
    <w:rsid w:val="00EF793D"/>
    <w:rsid w:val="00EF7B71"/>
    <w:rsid w:val="00F0041A"/>
    <w:rsid w:val="00F006C0"/>
    <w:rsid w:val="00F007D9"/>
    <w:rsid w:val="00F00923"/>
    <w:rsid w:val="00F00D3C"/>
    <w:rsid w:val="00F01A29"/>
    <w:rsid w:val="00F01D21"/>
    <w:rsid w:val="00F01FE8"/>
    <w:rsid w:val="00F024FF"/>
    <w:rsid w:val="00F02686"/>
    <w:rsid w:val="00F02EC0"/>
    <w:rsid w:val="00F03104"/>
    <w:rsid w:val="00F03368"/>
    <w:rsid w:val="00F04427"/>
    <w:rsid w:val="00F04E15"/>
    <w:rsid w:val="00F05025"/>
    <w:rsid w:val="00F06925"/>
    <w:rsid w:val="00F069EA"/>
    <w:rsid w:val="00F073A1"/>
    <w:rsid w:val="00F076E4"/>
    <w:rsid w:val="00F0785D"/>
    <w:rsid w:val="00F07FE3"/>
    <w:rsid w:val="00F10549"/>
    <w:rsid w:val="00F10C74"/>
    <w:rsid w:val="00F11374"/>
    <w:rsid w:val="00F119A2"/>
    <w:rsid w:val="00F11CE5"/>
    <w:rsid w:val="00F11DDC"/>
    <w:rsid w:val="00F11E19"/>
    <w:rsid w:val="00F11EAA"/>
    <w:rsid w:val="00F11FB1"/>
    <w:rsid w:val="00F1269F"/>
    <w:rsid w:val="00F127B6"/>
    <w:rsid w:val="00F12B24"/>
    <w:rsid w:val="00F12DAB"/>
    <w:rsid w:val="00F12FCC"/>
    <w:rsid w:val="00F1302E"/>
    <w:rsid w:val="00F1361E"/>
    <w:rsid w:val="00F1377E"/>
    <w:rsid w:val="00F13F07"/>
    <w:rsid w:val="00F144B4"/>
    <w:rsid w:val="00F144B8"/>
    <w:rsid w:val="00F14523"/>
    <w:rsid w:val="00F1494F"/>
    <w:rsid w:val="00F14A63"/>
    <w:rsid w:val="00F14F40"/>
    <w:rsid w:val="00F15082"/>
    <w:rsid w:val="00F1509C"/>
    <w:rsid w:val="00F1569C"/>
    <w:rsid w:val="00F16055"/>
    <w:rsid w:val="00F1627B"/>
    <w:rsid w:val="00F164B2"/>
    <w:rsid w:val="00F16C8B"/>
    <w:rsid w:val="00F179B3"/>
    <w:rsid w:val="00F20313"/>
    <w:rsid w:val="00F20B19"/>
    <w:rsid w:val="00F20F3D"/>
    <w:rsid w:val="00F210EE"/>
    <w:rsid w:val="00F2173D"/>
    <w:rsid w:val="00F217EB"/>
    <w:rsid w:val="00F21A24"/>
    <w:rsid w:val="00F21FA9"/>
    <w:rsid w:val="00F22260"/>
    <w:rsid w:val="00F22756"/>
    <w:rsid w:val="00F22C25"/>
    <w:rsid w:val="00F2311A"/>
    <w:rsid w:val="00F232FF"/>
    <w:rsid w:val="00F24337"/>
    <w:rsid w:val="00F24F54"/>
    <w:rsid w:val="00F259C2"/>
    <w:rsid w:val="00F25AF8"/>
    <w:rsid w:val="00F25C3C"/>
    <w:rsid w:val="00F25F3A"/>
    <w:rsid w:val="00F260D9"/>
    <w:rsid w:val="00F2637F"/>
    <w:rsid w:val="00F26745"/>
    <w:rsid w:val="00F277E9"/>
    <w:rsid w:val="00F27CCD"/>
    <w:rsid w:val="00F27DA7"/>
    <w:rsid w:val="00F30355"/>
    <w:rsid w:val="00F30568"/>
    <w:rsid w:val="00F30CF8"/>
    <w:rsid w:val="00F310EA"/>
    <w:rsid w:val="00F31A20"/>
    <w:rsid w:val="00F31B89"/>
    <w:rsid w:val="00F32599"/>
    <w:rsid w:val="00F32AE2"/>
    <w:rsid w:val="00F32D04"/>
    <w:rsid w:val="00F32D4C"/>
    <w:rsid w:val="00F3329F"/>
    <w:rsid w:val="00F33353"/>
    <w:rsid w:val="00F33462"/>
    <w:rsid w:val="00F33BF7"/>
    <w:rsid w:val="00F33DE3"/>
    <w:rsid w:val="00F34B14"/>
    <w:rsid w:val="00F34C7B"/>
    <w:rsid w:val="00F34E3F"/>
    <w:rsid w:val="00F35268"/>
    <w:rsid w:val="00F360A0"/>
    <w:rsid w:val="00F3626F"/>
    <w:rsid w:val="00F3632A"/>
    <w:rsid w:val="00F3635B"/>
    <w:rsid w:val="00F36C73"/>
    <w:rsid w:val="00F36E5F"/>
    <w:rsid w:val="00F3781E"/>
    <w:rsid w:val="00F4008D"/>
    <w:rsid w:val="00F40101"/>
    <w:rsid w:val="00F4012A"/>
    <w:rsid w:val="00F40501"/>
    <w:rsid w:val="00F40AF2"/>
    <w:rsid w:val="00F40BEF"/>
    <w:rsid w:val="00F4141E"/>
    <w:rsid w:val="00F4146A"/>
    <w:rsid w:val="00F41AD3"/>
    <w:rsid w:val="00F44BBE"/>
    <w:rsid w:val="00F44FE7"/>
    <w:rsid w:val="00F452FD"/>
    <w:rsid w:val="00F45444"/>
    <w:rsid w:val="00F4597B"/>
    <w:rsid w:val="00F45A08"/>
    <w:rsid w:val="00F45B18"/>
    <w:rsid w:val="00F45C63"/>
    <w:rsid w:val="00F463F3"/>
    <w:rsid w:val="00F46723"/>
    <w:rsid w:val="00F46B91"/>
    <w:rsid w:val="00F46CB2"/>
    <w:rsid w:val="00F46E29"/>
    <w:rsid w:val="00F4743E"/>
    <w:rsid w:val="00F47BD4"/>
    <w:rsid w:val="00F47D67"/>
    <w:rsid w:val="00F47FFD"/>
    <w:rsid w:val="00F50016"/>
    <w:rsid w:val="00F503FF"/>
    <w:rsid w:val="00F506C1"/>
    <w:rsid w:val="00F50D15"/>
    <w:rsid w:val="00F50D45"/>
    <w:rsid w:val="00F50FF8"/>
    <w:rsid w:val="00F5156C"/>
    <w:rsid w:val="00F5175C"/>
    <w:rsid w:val="00F5178B"/>
    <w:rsid w:val="00F52963"/>
    <w:rsid w:val="00F52C0B"/>
    <w:rsid w:val="00F52C52"/>
    <w:rsid w:val="00F52CFB"/>
    <w:rsid w:val="00F531AB"/>
    <w:rsid w:val="00F53949"/>
    <w:rsid w:val="00F53958"/>
    <w:rsid w:val="00F53BC8"/>
    <w:rsid w:val="00F53E28"/>
    <w:rsid w:val="00F53E7A"/>
    <w:rsid w:val="00F543D4"/>
    <w:rsid w:val="00F5489F"/>
    <w:rsid w:val="00F560C4"/>
    <w:rsid w:val="00F574E8"/>
    <w:rsid w:val="00F60265"/>
    <w:rsid w:val="00F607E3"/>
    <w:rsid w:val="00F60D2F"/>
    <w:rsid w:val="00F60EAC"/>
    <w:rsid w:val="00F62210"/>
    <w:rsid w:val="00F6232F"/>
    <w:rsid w:val="00F6275E"/>
    <w:rsid w:val="00F635C5"/>
    <w:rsid w:val="00F6417E"/>
    <w:rsid w:val="00F64368"/>
    <w:rsid w:val="00F644C7"/>
    <w:rsid w:val="00F64B2F"/>
    <w:rsid w:val="00F64D67"/>
    <w:rsid w:val="00F65097"/>
    <w:rsid w:val="00F6520F"/>
    <w:rsid w:val="00F6560E"/>
    <w:rsid w:val="00F6658E"/>
    <w:rsid w:val="00F674E7"/>
    <w:rsid w:val="00F676B7"/>
    <w:rsid w:val="00F678A9"/>
    <w:rsid w:val="00F70799"/>
    <w:rsid w:val="00F70B79"/>
    <w:rsid w:val="00F70E2A"/>
    <w:rsid w:val="00F710A6"/>
    <w:rsid w:val="00F71AEF"/>
    <w:rsid w:val="00F71B32"/>
    <w:rsid w:val="00F71BE4"/>
    <w:rsid w:val="00F721F6"/>
    <w:rsid w:val="00F7225D"/>
    <w:rsid w:val="00F724FB"/>
    <w:rsid w:val="00F725D1"/>
    <w:rsid w:val="00F7333E"/>
    <w:rsid w:val="00F7466D"/>
    <w:rsid w:val="00F74EA3"/>
    <w:rsid w:val="00F756DD"/>
    <w:rsid w:val="00F76840"/>
    <w:rsid w:val="00F7766F"/>
    <w:rsid w:val="00F7797B"/>
    <w:rsid w:val="00F77B16"/>
    <w:rsid w:val="00F8044B"/>
    <w:rsid w:val="00F80894"/>
    <w:rsid w:val="00F80F9F"/>
    <w:rsid w:val="00F81342"/>
    <w:rsid w:val="00F82380"/>
    <w:rsid w:val="00F82FC1"/>
    <w:rsid w:val="00F83182"/>
    <w:rsid w:val="00F831FF"/>
    <w:rsid w:val="00F83558"/>
    <w:rsid w:val="00F846ED"/>
    <w:rsid w:val="00F849EC"/>
    <w:rsid w:val="00F8582C"/>
    <w:rsid w:val="00F85D26"/>
    <w:rsid w:val="00F85D5A"/>
    <w:rsid w:val="00F85EDE"/>
    <w:rsid w:val="00F862F7"/>
    <w:rsid w:val="00F8697D"/>
    <w:rsid w:val="00F869DC"/>
    <w:rsid w:val="00F87019"/>
    <w:rsid w:val="00F87449"/>
    <w:rsid w:val="00F87707"/>
    <w:rsid w:val="00F87809"/>
    <w:rsid w:val="00F87B2C"/>
    <w:rsid w:val="00F907C9"/>
    <w:rsid w:val="00F90CFA"/>
    <w:rsid w:val="00F90DFE"/>
    <w:rsid w:val="00F90EF8"/>
    <w:rsid w:val="00F90F23"/>
    <w:rsid w:val="00F910DA"/>
    <w:rsid w:val="00F91906"/>
    <w:rsid w:val="00F91BDA"/>
    <w:rsid w:val="00F91D79"/>
    <w:rsid w:val="00F926D7"/>
    <w:rsid w:val="00F92C8D"/>
    <w:rsid w:val="00F9321F"/>
    <w:rsid w:val="00F936F9"/>
    <w:rsid w:val="00F93DC2"/>
    <w:rsid w:val="00F93E84"/>
    <w:rsid w:val="00F952D9"/>
    <w:rsid w:val="00F959CD"/>
    <w:rsid w:val="00F967C3"/>
    <w:rsid w:val="00F972DA"/>
    <w:rsid w:val="00F9735D"/>
    <w:rsid w:val="00F9772D"/>
    <w:rsid w:val="00F97805"/>
    <w:rsid w:val="00FA0464"/>
    <w:rsid w:val="00FA0559"/>
    <w:rsid w:val="00FA0D7F"/>
    <w:rsid w:val="00FA1720"/>
    <w:rsid w:val="00FA188C"/>
    <w:rsid w:val="00FA1A65"/>
    <w:rsid w:val="00FA1DAB"/>
    <w:rsid w:val="00FA21C3"/>
    <w:rsid w:val="00FA24BA"/>
    <w:rsid w:val="00FA27DC"/>
    <w:rsid w:val="00FA3232"/>
    <w:rsid w:val="00FA39E0"/>
    <w:rsid w:val="00FA3C15"/>
    <w:rsid w:val="00FA4444"/>
    <w:rsid w:val="00FA472D"/>
    <w:rsid w:val="00FA477E"/>
    <w:rsid w:val="00FA4E40"/>
    <w:rsid w:val="00FA541A"/>
    <w:rsid w:val="00FA55A6"/>
    <w:rsid w:val="00FA5E5E"/>
    <w:rsid w:val="00FA602E"/>
    <w:rsid w:val="00FA671A"/>
    <w:rsid w:val="00FA68F4"/>
    <w:rsid w:val="00FA6FE4"/>
    <w:rsid w:val="00FA7040"/>
    <w:rsid w:val="00FA747D"/>
    <w:rsid w:val="00FA7EC4"/>
    <w:rsid w:val="00FB035E"/>
    <w:rsid w:val="00FB09D6"/>
    <w:rsid w:val="00FB09E0"/>
    <w:rsid w:val="00FB0ECD"/>
    <w:rsid w:val="00FB10EC"/>
    <w:rsid w:val="00FB1717"/>
    <w:rsid w:val="00FB17FB"/>
    <w:rsid w:val="00FB27E3"/>
    <w:rsid w:val="00FB2CA1"/>
    <w:rsid w:val="00FB2E61"/>
    <w:rsid w:val="00FB2F38"/>
    <w:rsid w:val="00FB3B2E"/>
    <w:rsid w:val="00FB3B71"/>
    <w:rsid w:val="00FB3D26"/>
    <w:rsid w:val="00FB3F4E"/>
    <w:rsid w:val="00FB46B3"/>
    <w:rsid w:val="00FB510A"/>
    <w:rsid w:val="00FB58B0"/>
    <w:rsid w:val="00FB58B9"/>
    <w:rsid w:val="00FB5AF1"/>
    <w:rsid w:val="00FB6AB8"/>
    <w:rsid w:val="00FB74E6"/>
    <w:rsid w:val="00FB79D1"/>
    <w:rsid w:val="00FB7F4E"/>
    <w:rsid w:val="00FC01B5"/>
    <w:rsid w:val="00FC06E2"/>
    <w:rsid w:val="00FC0BCF"/>
    <w:rsid w:val="00FC1953"/>
    <w:rsid w:val="00FC29F8"/>
    <w:rsid w:val="00FC3185"/>
    <w:rsid w:val="00FC336C"/>
    <w:rsid w:val="00FC374A"/>
    <w:rsid w:val="00FC3817"/>
    <w:rsid w:val="00FC4149"/>
    <w:rsid w:val="00FC45C2"/>
    <w:rsid w:val="00FC4855"/>
    <w:rsid w:val="00FC4979"/>
    <w:rsid w:val="00FC4D49"/>
    <w:rsid w:val="00FC5AF3"/>
    <w:rsid w:val="00FC5E19"/>
    <w:rsid w:val="00FC68F1"/>
    <w:rsid w:val="00FC69E4"/>
    <w:rsid w:val="00FC6D78"/>
    <w:rsid w:val="00FC72D8"/>
    <w:rsid w:val="00FC7686"/>
    <w:rsid w:val="00FC7928"/>
    <w:rsid w:val="00FC79BC"/>
    <w:rsid w:val="00FC7CB5"/>
    <w:rsid w:val="00FD013D"/>
    <w:rsid w:val="00FD01BF"/>
    <w:rsid w:val="00FD0B97"/>
    <w:rsid w:val="00FD0ECF"/>
    <w:rsid w:val="00FD1076"/>
    <w:rsid w:val="00FD15EA"/>
    <w:rsid w:val="00FD1E1F"/>
    <w:rsid w:val="00FD2735"/>
    <w:rsid w:val="00FD3B8D"/>
    <w:rsid w:val="00FD412C"/>
    <w:rsid w:val="00FD4405"/>
    <w:rsid w:val="00FD4AA0"/>
    <w:rsid w:val="00FD655A"/>
    <w:rsid w:val="00FD6B92"/>
    <w:rsid w:val="00FD6D76"/>
    <w:rsid w:val="00FD6DBB"/>
    <w:rsid w:val="00FD74AD"/>
    <w:rsid w:val="00FD7739"/>
    <w:rsid w:val="00FD7ABA"/>
    <w:rsid w:val="00FD7BA6"/>
    <w:rsid w:val="00FE043D"/>
    <w:rsid w:val="00FE04DB"/>
    <w:rsid w:val="00FE150C"/>
    <w:rsid w:val="00FE169B"/>
    <w:rsid w:val="00FE19A9"/>
    <w:rsid w:val="00FE1AE7"/>
    <w:rsid w:val="00FE1C88"/>
    <w:rsid w:val="00FE1E0A"/>
    <w:rsid w:val="00FE27BE"/>
    <w:rsid w:val="00FE27F6"/>
    <w:rsid w:val="00FE2B7D"/>
    <w:rsid w:val="00FE2BC4"/>
    <w:rsid w:val="00FE2D42"/>
    <w:rsid w:val="00FE38B9"/>
    <w:rsid w:val="00FE3D5D"/>
    <w:rsid w:val="00FE4991"/>
    <w:rsid w:val="00FE503B"/>
    <w:rsid w:val="00FE6E56"/>
    <w:rsid w:val="00FE72BA"/>
    <w:rsid w:val="00FE741D"/>
    <w:rsid w:val="00FF01AC"/>
    <w:rsid w:val="00FF0742"/>
    <w:rsid w:val="00FF0DA8"/>
    <w:rsid w:val="00FF105E"/>
    <w:rsid w:val="00FF124E"/>
    <w:rsid w:val="00FF15B8"/>
    <w:rsid w:val="00FF1C9B"/>
    <w:rsid w:val="00FF2032"/>
    <w:rsid w:val="00FF2136"/>
    <w:rsid w:val="00FF23F1"/>
    <w:rsid w:val="00FF2431"/>
    <w:rsid w:val="00FF2469"/>
    <w:rsid w:val="00FF36AE"/>
    <w:rsid w:val="00FF42CF"/>
    <w:rsid w:val="00FF4767"/>
    <w:rsid w:val="00FF48D1"/>
    <w:rsid w:val="00FF4F89"/>
    <w:rsid w:val="00FF57E4"/>
    <w:rsid w:val="00FF5915"/>
    <w:rsid w:val="00FF60F2"/>
    <w:rsid w:val="00FF68F1"/>
    <w:rsid w:val="00FF7A12"/>
    <w:rsid w:val="026B05AF"/>
    <w:rsid w:val="03076ED3"/>
    <w:rsid w:val="049A2702"/>
    <w:rsid w:val="05847DCB"/>
    <w:rsid w:val="05C23F5D"/>
    <w:rsid w:val="05DB065E"/>
    <w:rsid w:val="05DD364A"/>
    <w:rsid w:val="070677A2"/>
    <w:rsid w:val="084A5DB4"/>
    <w:rsid w:val="0A0861E8"/>
    <w:rsid w:val="0A5704E3"/>
    <w:rsid w:val="0A9F3ACB"/>
    <w:rsid w:val="0B4C33C1"/>
    <w:rsid w:val="0B7735DC"/>
    <w:rsid w:val="0B8600F0"/>
    <w:rsid w:val="0C1360EA"/>
    <w:rsid w:val="0CA034F0"/>
    <w:rsid w:val="0E506C54"/>
    <w:rsid w:val="0F3F795B"/>
    <w:rsid w:val="10191DDD"/>
    <w:rsid w:val="10407D8F"/>
    <w:rsid w:val="11F40F1A"/>
    <w:rsid w:val="12155E62"/>
    <w:rsid w:val="13EC2D22"/>
    <w:rsid w:val="14450B27"/>
    <w:rsid w:val="152B4878"/>
    <w:rsid w:val="159E778E"/>
    <w:rsid w:val="15B871E8"/>
    <w:rsid w:val="162F7B89"/>
    <w:rsid w:val="169D4AF9"/>
    <w:rsid w:val="17DA19B8"/>
    <w:rsid w:val="1854279E"/>
    <w:rsid w:val="18C2464E"/>
    <w:rsid w:val="18C708FC"/>
    <w:rsid w:val="199D0B74"/>
    <w:rsid w:val="1A8C1B75"/>
    <w:rsid w:val="1AC365D7"/>
    <w:rsid w:val="1ACD56B3"/>
    <w:rsid w:val="1C502276"/>
    <w:rsid w:val="1C5B5197"/>
    <w:rsid w:val="1DF701F2"/>
    <w:rsid w:val="1E5B328E"/>
    <w:rsid w:val="1EFA2540"/>
    <w:rsid w:val="1FFF1CCA"/>
    <w:rsid w:val="1FFF7034"/>
    <w:rsid w:val="202E11BC"/>
    <w:rsid w:val="2234120F"/>
    <w:rsid w:val="23102771"/>
    <w:rsid w:val="24077749"/>
    <w:rsid w:val="26CE0D59"/>
    <w:rsid w:val="2714290A"/>
    <w:rsid w:val="274C6FFB"/>
    <w:rsid w:val="28DB46A8"/>
    <w:rsid w:val="2919534F"/>
    <w:rsid w:val="294707D9"/>
    <w:rsid w:val="29704200"/>
    <w:rsid w:val="29883BEF"/>
    <w:rsid w:val="29F45BEC"/>
    <w:rsid w:val="2A07637C"/>
    <w:rsid w:val="2AE32A0B"/>
    <w:rsid w:val="2B114AAC"/>
    <w:rsid w:val="2B990335"/>
    <w:rsid w:val="2D03632E"/>
    <w:rsid w:val="2D630BFB"/>
    <w:rsid w:val="2DFB266F"/>
    <w:rsid w:val="2E3208DD"/>
    <w:rsid w:val="2E396CE5"/>
    <w:rsid w:val="2F193B60"/>
    <w:rsid w:val="30120987"/>
    <w:rsid w:val="303C542F"/>
    <w:rsid w:val="30A235FD"/>
    <w:rsid w:val="30B20C44"/>
    <w:rsid w:val="31686211"/>
    <w:rsid w:val="31C7503D"/>
    <w:rsid w:val="323532DC"/>
    <w:rsid w:val="329208CE"/>
    <w:rsid w:val="330C3D6B"/>
    <w:rsid w:val="33453D7F"/>
    <w:rsid w:val="345938FB"/>
    <w:rsid w:val="34633820"/>
    <w:rsid w:val="34B53FB3"/>
    <w:rsid w:val="35010862"/>
    <w:rsid w:val="361D7E5F"/>
    <w:rsid w:val="36562C22"/>
    <w:rsid w:val="38BC7AD3"/>
    <w:rsid w:val="38CC5315"/>
    <w:rsid w:val="3A2465D4"/>
    <w:rsid w:val="3AF63BC4"/>
    <w:rsid w:val="3BF95D48"/>
    <w:rsid w:val="3D7D6B80"/>
    <w:rsid w:val="3DFD6502"/>
    <w:rsid w:val="3E304CC6"/>
    <w:rsid w:val="3E45113D"/>
    <w:rsid w:val="3E763AE1"/>
    <w:rsid w:val="3EFC6676"/>
    <w:rsid w:val="426D6BE3"/>
    <w:rsid w:val="43041322"/>
    <w:rsid w:val="433C187A"/>
    <w:rsid w:val="45805114"/>
    <w:rsid w:val="465B470D"/>
    <w:rsid w:val="46C06659"/>
    <w:rsid w:val="47206DD0"/>
    <w:rsid w:val="474C63FD"/>
    <w:rsid w:val="47710090"/>
    <w:rsid w:val="47A670F5"/>
    <w:rsid w:val="47D01688"/>
    <w:rsid w:val="48C955B7"/>
    <w:rsid w:val="49FE7275"/>
    <w:rsid w:val="4A3B6C95"/>
    <w:rsid w:val="4E5C6206"/>
    <w:rsid w:val="4F0E226F"/>
    <w:rsid w:val="4F207833"/>
    <w:rsid w:val="4F6540D2"/>
    <w:rsid w:val="50B963C1"/>
    <w:rsid w:val="518B234A"/>
    <w:rsid w:val="5315483C"/>
    <w:rsid w:val="53DD77EC"/>
    <w:rsid w:val="55784F97"/>
    <w:rsid w:val="56C77A83"/>
    <w:rsid w:val="573B3BAE"/>
    <w:rsid w:val="575357AF"/>
    <w:rsid w:val="57D653E8"/>
    <w:rsid w:val="5A517EA9"/>
    <w:rsid w:val="5D7F6756"/>
    <w:rsid w:val="5F411FF8"/>
    <w:rsid w:val="5F6F1A2E"/>
    <w:rsid w:val="5F9370AF"/>
    <w:rsid w:val="5FA453BE"/>
    <w:rsid w:val="60221D7C"/>
    <w:rsid w:val="60C5686F"/>
    <w:rsid w:val="62F92E8C"/>
    <w:rsid w:val="651B26D3"/>
    <w:rsid w:val="6714572D"/>
    <w:rsid w:val="686E5B7D"/>
    <w:rsid w:val="69C6491E"/>
    <w:rsid w:val="69FD1B99"/>
    <w:rsid w:val="6AD96AD7"/>
    <w:rsid w:val="6B200D16"/>
    <w:rsid w:val="6BD07EBF"/>
    <w:rsid w:val="6C671F84"/>
    <w:rsid w:val="6CBD4D91"/>
    <w:rsid w:val="6D4B07BC"/>
    <w:rsid w:val="6E7C1A96"/>
    <w:rsid w:val="6F467459"/>
    <w:rsid w:val="6F490B1E"/>
    <w:rsid w:val="70E81BA8"/>
    <w:rsid w:val="7141437C"/>
    <w:rsid w:val="71E96F85"/>
    <w:rsid w:val="729C4BB7"/>
    <w:rsid w:val="740415CB"/>
    <w:rsid w:val="74A62D93"/>
    <w:rsid w:val="74D07384"/>
    <w:rsid w:val="77AC6C64"/>
    <w:rsid w:val="799A187C"/>
    <w:rsid w:val="7AD106CF"/>
    <w:rsid w:val="7AE25683"/>
    <w:rsid w:val="7BC71922"/>
    <w:rsid w:val="7C085916"/>
    <w:rsid w:val="7C8C529F"/>
    <w:rsid w:val="7D722E24"/>
    <w:rsid w:val="7DE72825"/>
    <w:rsid w:val="7EA70766"/>
    <w:rsid w:val="7FD15029"/>
    <w:rsid w:val="7FDD36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3"/>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8"/>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9"/>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70"/>
    <w:qFormat/>
    <w:uiPriority w:val="0"/>
    <w:pPr>
      <w:keepNext/>
      <w:keepLines/>
      <w:numPr>
        <w:ilvl w:val="8"/>
        <w:numId w:val="1"/>
      </w:numPr>
      <w:spacing w:before="240" w:after="64" w:line="320" w:lineRule="auto"/>
      <w:outlineLvl w:val="8"/>
    </w:pPr>
    <w:rPr>
      <w:rFonts w:ascii="Arial" w:hAnsi="Arial" w:eastAsia="黑体"/>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7">
    <w:name w:val="Normal Indent"/>
    <w:basedOn w:val="1"/>
    <w:link w:val="66"/>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1"/>
    <w:qFormat/>
    <w:uiPriority w:val="0"/>
    <w:pPr>
      <w:jc w:val="left"/>
    </w:pPr>
  </w:style>
  <w:style w:type="paragraph" w:styleId="18">
    <w:name w:val="Body Text 3"/>
    <w:basedOn w:val="1"/>
    <w:link w:val="72"/>
    <w:qFormat/>
    <w:uiPriority w:val="0"/>
    <w:pPr>
      <w:spacing w:line="500" w:lineRule="exact"/>
    </w:pPr>
    <w:rPr>
      <w:b/>
      <w:bCs/>
      <w:sz w:val="24"/>
    </w:rPr>
  </w:style>
  <w:style w:type="paragraph" w:styleId="19">
    <w:name w:val="Body Text"/>
    <w:basedOn w:val="1"/>
    <w:next w:val="1"/>
    <w:link w:val="60"/>
    <w:unhideWhenUsed/>
    <w:qFormat/>
    <w:uiPriority w:val="99"/>
    <w:pPr>
      <w:spacing w:after="120"/>
    </w:pPr>
  </w:style>
  <w:style w:type="paragraph" w:styleId="20">
    <w:name w:val="Body Text Indent"/>
    <w:basedOn w:val="1"/>
    <w:link w:val="73"/>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spacing w:line="240" w:lineRule="auto"/>
      <w:ind w:left="420" w:right="33" w:firstLine="0" w:firstLineChars="0"/>
      <w:jc w:val="left"/>
      <w:textAlignment w:val="baseline"/>
    </w:pPr>
    <w:rPr>
      <w:kern w:val="0"/>
      <w:sz w:val="24"/>
      <w:szCs w:val="20"/>
    </w:rPr>
  </w:style>
  <w:style w:type="paragraph" w:styleId="24">
    <w:name w:val="toc 5"/>
    <w:basedOn w:val="1"/>
    <w:next w:val="1"/>
    <w:unhideWhenUsed/>
    <w:qFormat/>
    <w:uiPriority w:val="39"/>
    <w:pPr>
      <w:ind w:left="1680" w:leftChars="800"/>
    </w:pPr>
    <w:rPr>
      <w:rFonts w:ascii="Calibri" w:hAnsi="Calibri"/>
      <w:szCs w:val="22"/>
    </w:rPr>
  </w:style>
  <w:style w:type="paragraph" w:styleId="25">
    <w:name w:val="toc 3"/>
    <w:basedOn w:val="1"/>
    <w:next w:val="1"/>
    <w:unhideWhenUsed/>
    <w:qFormat/>
    <w:uiPriority w:val="39"/>
    <w:pPr>
      <w:ind w:left="840" w:leftChars="400"/>
    </w:pPr>
    <w:rPr>
      <w:rFonts w:ascii="Calibri" w:hAnsi="Calibri"/>
      <w:szCs w:val="22"/>
    </w:rPr>
  </w:style>
  <w:style w:type="paragraph" w:styleId="26">
    <w:name w:val="Plain Text"/>
    <w:basedOn w:val="1"/>
    <w:link w:val="74"/>
    <w:qFormat/>
    <w:uiPriority w:val="99"/>
    <w:rPr>
      <w:rFonts w:ascii="宋体" w:hAnsi="Courier New"/>
      <w:kern w:val="0"/>
      <w:sz w:val="20"/>
      <w:szCs w:val="21"/>
    </w:rPr>
  </w:style>
  <w:style w:type="paragraph" w:styleId="27">
    <w:name w:val="toc 8"/>
    <w:basedOn w:val="1"/>
    <w:next w:val="1"/>
    <w:unhideWhenUsed/>
    <w:qFormat/>
    <w:uiPriority w:val="39"/>
    <w:pPr>
      <w:ind w:left="2940" w:leftChars="1400"/>
    </w:pPr>
    <w:rPr>
      <w:rFonts w:ascii="Calibri" w:hAnsi="Calibri"/>
      <w:szCs w:val="22"/>
    </w:rPr>
  </w:style>
  <w:style w:type="paragraph" w:styleId="28">
    <w:name w:val="Date"/>
    <w:basedOn w:val="1"/>
    <w:next w:val="1"/>
    <w:link w:val="75"/>
    <w:unhideWhenUsed/>
    <w:qFormat/>
    <w:uiPriority w:val="99"/>
    <w:pPr>
      <w:ind w:left="100" w:leftChars="2500"/>
    </w:pPr>
  </w:style>
  <w:style w:type="paragraph" w:styleId="29">
    <w:name w:val="Body Text Indent 2"/>
    <w:basedOn w:val="1"/>
    <w:link w:val="76"/>
    <w:qFormat/>
    <w:uiPriority w:val="0"/>
    <w:pPr>
      <w:ind w:firstLine="630"/>
    </w:pPr>
    <w:rPr>
      <w:sz w:val="32"/>
      <w:szCs w:val="20"/>
    </w:rPr>
  </w:style>
  <w:style w:type="paragraph" w:styleId="30">
    <w:name w:val="endnote text"/>
    <w:basedOn w:val="1"/>
    <w:unhideWhenUsed/>
    <w:qFormat/>
    <w:uiPriority w:val="0"/>
    <w:pPr>
      <w:snapToGrid w:val="0"/>
      <w:jc w:val="left"/>
    </w:pPr>
  </w:style>
  <w:style w:type="paragraph" w:styleId="31">
    <w:name w:val="Balloon Text"/>
    <w:basedOn w:val="1"/>
    <w:semiHidden/>
    <w:qFormat/>
    <w:uiPriority w:val="0"/>
    <w:rPr>
      <w:sz w:val="18"/>
      <w:szCs w:val="18"/>
    </w:rPr>
  </w:style>
  <w:style w:type="paragraph" w:styleId="32">
    <w:name w:val="footer"/>
    <w:basedOn w:val="1"/>
    <w:link w:val="77"/>
    <w:unhideWhenUsed/>
    <w:qFormat/>
    <w:uiPriority w:val="99"/>
    <w:pPr>
      <w:tabs>
        <w:tab w:val="center" w:pos="4153"/>
        <w:tab w:val="right" w:pos="8306"/>
      </w:tabs>
      <w:snapToGrid w:val="0"/>
      <w:jc w:val="left"/>
    </w:pPr>
    <w:rPr>
      <w:kern w:val="0"/>
      <w:sz w:val="18"/>
      <w:szCs w:val="18"/>
    </w:rPr>
  </w:style>
  <w:style w:type="paragraph" w:styleId="33">
    <w:name w:val="header"/>
    <w:basedOn w:val="1"/>
    <w:link w:val="7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unhideWhenUsed/>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index heading"/>
    <w:basedOn w:val="1"/>
    <w:next w:val="37"/>
    <w:semiHidden/>
    <w:qFormat/>
    <w:uiPriority w:val="0"/>
    <w:rPr>
      <w:szCs w:val="20"/>
    </w:rPr>
  </w:style>
  <w:style w:type="paragraph" w:styleId="37">
    <w:name w:val="index 1"/>
    <w:basedOn w:val="1"/>
    <w:next w:val="1"/>
    <w:semiHidden/>
    <w:qFormat/>
    <w:uiPriority w:val="0"/>
    <w:pPr>
      <w:spacing w:line="400" w:lineRule="exact"/>
      <w:ind w:firstLine="420"/>
    </w:pPr>
    <w:rPr>
      <w:rFonts w:ascii="宋体" w:hAnsi="Courier New"/>
      <w:b/>
      <w:szCs w:val="20"/>
    </w:rPr>
  </w:style>
  <w:style w:type="paragraph" w:styleId="38">
    <w:name w:val="List"/>
    <w:basedOn w:val="1"/>
    <w:qFormat/>
    <w:uiPriority w:val="0"/>
    <w:pPr>
      <w:ind w:left="200" w:hanging="200" w:hangingChars="200"/>
    </w:pPr>
    <w:rPr>
      <w:sz w:val="28"/>
    </w:rPr>
  </w:style>
  <w:style w:type="paragraph" w:styleId="39">
    <w:name w:val="footnote text"/>
    <w:basedOn w:val="1"/>
    <w:unhideWhenUsed/>
    <w:qFormat/>
    <w:uiPriority w:val="0"/>
    <w:pPr>
      <w:snapToGrid w:val="0"/>
      <w:jc w:val="left"/>
    </w:pPr>
    <w:rPr>
      <w:sz w:val="18"/>
      <w:szCs w:val="18"/>
    </w:rPr>
  </w:style>
  <w:style w:type="paragraph" w:styleId="40">
    <w:name w:val="toc 6"/>
    <w:basedOn w:val="1"/>
    <w:next w:val="1"/>
    <w:unhideWhenUsed/>
    <w:qFormat/>
    <w:uiPriority w:val="39"/>
    <w:pPr>
      <w:ind w:left="2100" w:leftChars="1000"/>
    </w:pPr>
    <w:rPr>
      <w:rFonts w:ascii="Calibri" w:hAnsi="Calibri"/>
      <w:szCs w:val="22"/>
    </w:rPr>
  </w:style>
  <w:style w:type="paragraph" w:styleId="41">
    <w:name w:val="Body Text Indent 3"/>
    <w:basedOn w:val="1"/>
    <w:link w:val="79"/>
    <w:qFormat/>
    <w:uiPriority w:val="0"/>
    <w:pPr>
      <w:spacing w:after="120"/>
      <w:ind w:left="420" w:leftChars="200"/>
    </w:pPr>
    <w:rPr>
      <w:sz w:val="16"/>
      <w:szCs w:val="16"/>
    </w:rPr>
  </w:style>
  <w:style w:type="paragraph" w:styleId="42">
    <w:name w:val="toc 2"/>
    <w:basedOn w:val="1"/>
    <w:next w:val="1"/>
    <w:unhideWhenUsed/>
    <w:qFormat/>
    <w:uiPriority w:val="39"/>
    <w:pPr>
      <w:tabs>
        <w:tab w:val="right" w:leader="dot" w:pos="8450"/>
      </w:tabs>
      <w:ind w:left="420" w:leftChars="200"/>
    </w:pPr>
  </w:style>
  <w:style w:type="paragraph" w:styleId="43">
    <w:name w:val="toc 9"/>
    <w:basedOn w:val="1"/>
    <w:next w:val="1"/>
    <w:unhideWhenUsed/>
    <w:qFormat/>
    <w:uiPriority w:val="39"/>
    <w:pPr>
      <w:ind w:left="3360" w:leftChars="1600"/>
    </w:pPr>
    <w:rPr>
      <w:rFonts w:ascii="Calibri" w:hAnsi="Calibri"/>
      <w:szCs w:val="22"/>
    </w:rPr>
  </w:style>
  <w:style w:type="paragraph" w:styleId="44">
    <w:name w:val="Body Text 2"/>
    <w:basedOn w:val="1"/>
    <w:link w:val="80"/>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next w:val="1"/>
    <w:qFormat/>
    <w:uiPriority w:val="0"/>
    <w:pPr>
      <w:spacing w:before="240" w:after="60"/>
      <w:jc w:val="center"/>
      <w:outlineLvl w:val="0"/>
    </w:pPr>
    <w:rPr>
      <w:rFonts w:ascii="Cambria" w:hAnsi="Cambria"/>
      <w:b/>
      <w:bCs/>
      <w:sz w:val="32"/>
      <w:szCs w:val="32"/>
    </w:rPr>
  </w:style>
  <w:style w:type="paragraph" w:styleId="48">
    <w:name w:val="annotation subject"/>
    <w:basedOn w:val="17"/>
    <w:next w:val="17"/>
    <w:semiHidden/>
    <w:qFormat/>
    <w:uiPriority w:val="0"/>
    <w:rPr>
      <w:b/>
      <w:bCs/>
    </w:rPr>
  </w:style>
  <w:style w:type="paragraph" w:styleId="49">
    <w:name w:val="Body Text First Indent"/>
    <w:basedOn w:val="19"/>
    <w:link w:val="81"/>
    <w:qFormat/>
    <w:uiPriority w:val="0"/>
    <w:pPr>
      <w:ind w:firstLine="420" w:firstLineChars="100"/>
    </w:pPr>
    <w:rPr>
      <w:rFonts w:ascii="宋体" w:hAnsi="Courier New"/>
      <w:kern w:val="0"/>
      <w:sz w:val="20"/>
      <w:szCs w:val="21"/>
    </w:rPr>
  </w:style>
  <w:style w:type="paragraph" w:styleId="50">
    <w:name w:val="Body Text First Indent 2"/>
    <w:basedOn w:val="20"/>
    <w:link w:val="82"/>
    <w:unhideWhenUsed/>
    <w:qFormat/>
    <w:uiPriority w:val="99"/>
    <w:pPr>
      <w:spacing w:after="120"/>
      <w:ind w:left="420" w:leftChars="200" w:firstLine="420" w:firstLineChars="200"/>
    </w:pPr>
    <w:rPr>
      <w:kern w:val="2"/>
      <w:sz w:val="21"/>
      <w:szCs w:val="24"/>
    </w:rPr>
  </w:style>
  <w:style w:type="table" w:styleId="52">
    <w:name w:val="Table Grid"/>
    <w:basedOn w:val="5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rFonts w:ascii="Tahoma" w:hAnsi="Tahoma" w:eastAsia="宋体"/>
      <w:b/>
      <w:bCs/>
      <w:spacing w:val="10"/>
      <w:kern w:val="2"/>
      <w:sz w:val="24"/>
      <w:szCs w:val="24"/>
      <w:lang w:val="en-US" w:eastAsia="zh-CN" w:bidi="ar-SA"/>
    </w:rPr>
  </w:style>
  <w:style w:type="character" w:styleId="55">
    <w:name w:val="page number"/>
    <w:basedOn w:val="53"/>
    <w:qFormat/>
    <w:uiPriority w:val="0"/>
  </w:style>
  <w:style w:type="character" w:styleId="56">
    <w:name w:val="FollowedHyperlink"/>
    <w:unhideWhenUsed/>
    <w:qFormat/>
    <w:uiPriority w:val="99"/>
    <w:rPr>
      <w:color w:val="800080"/>
      <w:u w:val="single"/>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paragraph" w:customStyle="1" w:styleId="59">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character" w:customStyle="1" w:styleId="60">
    <w:name w:val="正文文本 Char"/>
    <w:link w:val="19"/>
    <w:qFormat/>
    <w:uiPriority w:val="99"/>
    <w:rPr>
      <w:rFonts w:ascii="Times New Roman" w:hAnsi="Times New Roman"/>
      <w:kern w:val="2"/>
      <w:sz w:val="21"/>
      <w:szCs w:val="24"/>
    </w:rPr>
  </w:style>
  <w:style w:type="character" w:customStyle="1" w:styleId="61">
    <w:name w:val="标题 1 Char"/>
    <w:link w:val="2"/>
    <w:qFormat/>
    <w:uiPriority w:val="0"/>
    <w:rPr>
      <w:rFonts w:eastAsia="宋体"/>
      <w:b/>
      <w:bCs/>
      <w:kern w:val="44"/>
      <w:sz w:val="44"/>
      <w:szCs w:val="44"/>
      <w:lang w:val="en-US" w:eastAsia="zh-CN" w:bidi="ar-SA"/>
    </w:rPr>
  </w:style>
  <w:style w:type="character" w:customStyle="1" w:styleId="62">
    <w:name w:val="标题 2 Char1"/>
    <w:link w:val="3"/>
    <w:qFormat/>
    <w:uiPriority w:val="9"/>
    <w:rPr>
      <w:rFonts w:ascii="Cambria" w:hAnsi="Cambria" w:eastAsia="宋体" w:cs="Times New Roman"/>
      <w:b/>
      <w:bCs/>
      <w:kern w:val="2"/>
      <w:sz w:val="32"/>
      <w:szCs w:val="32"/>
    </w:rPr>
  </w:style>
  <w:style w:type="character" w:customStyle="1" w:styleId="63">
    <w:name w:val="标题 3 Char"/>
    <w:link w:val="4"/>
    <w:qFormat/>
    <w:uiPriority w:val="0"/>
    <w:rPr>
      <w:rFonts w:eastAsia="宋体"/>
      <w:b/>
      <w:bCs/>
      <w:kern w:val="2"/>
      <w:sz w:val="32"/>
      <w:szCs w:val="32"/>
      <w:lang w:val="en-US" w:eastAsia="zh-CN" w:bidi="ar-SA"/>
    </w:rPr>
  </w:style>
  <w:style w:type="character" w:customStyle="1" w:styleId="64">
    <w:name w:val="标题 4 Char"/>
    <w:link w:val="5"/>
    <w:qFormat/>
    <w:uiPriority w:val="0"/>
    <w:rPr>
      <w:rFonts w:ascii="Arial" w:hAnsi="Arial" w:eastAsia="黑体"/>
      <w:b/>
      <w:bCs/>
      <w:kern w:val="2"/>
      <w:sz w:val="28"/>
      <w:szCs w:val="28"/>
      <w:lang w:val="en-US" w:eastAsia="zh-CN" w:bidi="ar-SA"/>
    </w:rPr>
  </w:style>
  <w:style w:type="character" w:customStyle="1" w:styleId="65">
    <w:name w:val="标题 5 Char"/>
    <w:link w:val="6"/>
    <w:qFormat/>
    <w:uiPriority w:val="0"/>
    <w:rPr>
      <w:rFonts w:eastAsia="宋体"/>
      <w:b/>
      <w:kern w:val="2"/>
      <w:sz w:val="28"/>
      <w:szCs w:val="24"/>
      <w:lang w:val="en-US" w:eastAsia="zh-CN" w:bidi="ar-SA"/>
    </w:rPr>
  </w:style>
  <w:style w:type="character" w:customStyle="1" w:styleId="66">
    <w:name w:val="正文缩进 Char"/>
    <w:link w:val="7"/>
    <w:qFormat/>
    <w:uiPriority w:val="0"/>
    <w:rPr>
      <w:rFonts w:eastAsia="宋体"/>
      <w:kern w:val="2"/>
      <w:sz w:val="21"/>
      <w:lang w:val="en-US" w:eastAsia="zh-CN" w:bidi="ar-SA"/>
    </w:rPr>
  </w:style>
  <w:style w:type="character" w:customStyle="1" w:styleId="67">
    <w:name w:val="标题 6 Char"/>
    <w:link w:val="8"/>
    <w:qFormat/>
    <w:uiPriority w:val="0"/>
    <w:rPr>
      <w:rFonts w:ascii="Arial" w:hAnsi="Arial" w:eastAsia="黑体"/>
      <w:b/>
      <w:kern w:val="2"/>
      <w:sz w:val="24"/>
      <w:szCs w:val="24"/>
      <w:lang w:val="en-US" w:eastAsia="zh-CN" w:bidi="ar-SA"/>
    </w:rPr>
  </w:style>
  <w:style w:type="character" w:customStyle="1" w:styleId="68">
    <w:name w:val="标题 7 Char"/>
    <w:link w:val="9"/>
    <w:qFormat/>
    <w:uiPriority w:val="0"/>
    <w:rPr>
      <w:rFonts w:eastAsia="宋体"/>
      <w:b/>
      <w:kern w:val="2"/>
      <w:sz w:val="24"/>
      <w:szCs w:val="24"/>
      <w:lang w:val="en-US" w:eastAsia="zh-CN" w:bidi="ar-SA"/>
    </w:rPr>
  </w:style>
  <w:style w:type="character" w:customStyle="1" w:styleId="69">
    <w:name w:val="标题 8 Char"/>
    <w:link w:val="10"/>
    <w:qFormat/>
    <w:uiPriority w:val="0"/>
    <w:rPr>
      <w:rFonts w:ascii="Arial" w:hAnsi="Arial" w:eastAsia="黑体"/>
      <w:kern w:val="2"/>
      <w:sz w:val="24"/>
      <w:szCs w:val="24"/>
      <w:lang w:val="en-US" w:eastAsia="zh-CN" w:bidi="ar-SA"/>
    </w:rPr>
  </w:style>
  <w:style w:type="character" w:customStyle="1" w:styleId="70">
    <w:name w:val="标题 9 Char"/>
    <w:link w:val="11"/>
    <w:qFormat/>
    <w:uiPriority w:val="0"/>
    <w:rPr>
      <w:rFonts w:ascii="Arial" w:hAnsi="Arial" w:eastAsia="黑体"/>
      <w:kern w:val="2"/>
      <w:sz w:val="21"/>
      <w:szCs w:val="24"/>
      <w:lang w:val="en-US" w:eastAsia="zh-CN" w:bidi="ar-SA"/>
    </w:rPr>
  </w:style>
  <w:style w:type="character" w:customStyle="1" w:styleId="71">
    <w:name w:val="批注文字 Char"/>
    <w:link w:val="17"/>
    <w:qFormat/>
    <w:uiPriority w:val="0"/>
    <w:rPr>
      <w:rFonts w:ascii="Times New Roman" w:hAnsi="Times New Roman"/>
      <w:kern w:val="2"/>
      <w:sz w:val="21"/>
      <w:szCs w:val="24"/>
    </w:rPr>
  </w:style>
  <w:style w:type="character" w:customStyle="1" w:styleId="72">
    <w:name w:val="正文文本 3 Char"/>
    <w:link w:val="18"/>
    <w:qFormat/>
    <w:uiPriority w:val="0"/>
    <w:rPr>
      <w:rFonts w:eastAsia="宋体"/>
      <w:b/>
      <w:bCs/>
      <w:kern w:val="2"/>
      <w:sz w:val="24"/>
      <w:szCs w:val="24"/>
      <w:lang w:val="en-US" w:eastAsia="zh-CN" w:bidi="ar-SA"/>
    </w:rPr>
  </w:style>
  <w:style w:type="character" w:customStyle="1" w:styleId="73">
    <w:name w:val="正文文本缩进 Char"/>
    <w:link w:val="20"/>
    <w:qFormat/>
    <w:uiPriority w:val="0"/>
    <w:rPr>
      <w:rFonts w:ascii="仿宋_GB2312" w:hAnsi="Times New Roman" w:eastAsia="仿宋_GB2312" w:cs="Times New Roman"/>
      <w:sz w:val="32"/>
      <w:szCs w:val="20"/>
    </w:rPr>
  </w:style>
  <w:style w:type="character" w:customStyle="1" w:styleId="74">
    <w:name w:val="纯文本 Char"/>
    <w:link w:val="26"/>
    <w:qFormat/>
    <w:uiPriority w:val="0"/>
    <w:rPr>
      <w:rFonts w:ascii="宋体" w:hAnsi="Courier New" w:eastAsia="宋体" w:cs="Courier New"/>
      <w:szCs w:val="21"/>
    </w:rPr>
  </w:style>
  <w:style w:type="character" w:customStyle="1" w:styleId="75">
    <w:name w:val="日期 Char"/>
    <w:link w:val="28"/>
    <w:semiHidden/>
    <w:qFormat/>
    <w:uiPriority w:val="99"/>
    <w:rPr>
      <w:rFonts w:ascii="Times New Roman" w:hAnsi="Times New Roman"/>
      <w:kern w:val="2"/>
      <w:sz w:val="21"/>
      <w:szCs w:val="24"/>
    </w:rPr>
  </w:style>
  <w:style w:type="character" w:customStyle="1" w:styleId="76">
    <w:name w:val="正文文本缩进 2 Char"/>
    <w:link w:val="29"/>
    <w:qFormat/>
    <w:uiPriority w:val="0"/>
    <w:rPr>
      <w:rFonts w:eastAsia="宋体"/>
      <w:kern w:val="2"/>
      <w:sz w:val="32"/>
      <w:lang w:val="en-US" w:eastAsia="zh-CN" w:bidi="ar-SA"/>
    </w:rPr>
  </w:style>
  <w:style w:type="character" w:customStyle="1" w:styleId="77">
    <w:name w:val="页脚 Char"/>
    <w:link w:val="32"/>
    <w:qFormat/>
    <w:uiPriority w:val="99"/>
    <w:rPr>
      <w:sz w:val="18"/>
      <w:szCs w:val="18"/>
    </w:rPr>
  </w:style>
  <w:style w:type="character" w:customStyle="1" w:styleId="78">
    <w:name w:val="页眉 Char"/>
    <w:link w:val="33"/>
    <w:qFormat/>
    <w:uiPriority w:val="99"/>
    <w:rPr>
      <w:sz w:val="18"/>
      <w:szCs w:val="18"/>
    </w:rPr>
  </w:style>
  <w:style w:type="character" w:customStyle="1" w:styleId="79">
    <w:name w:val="正文文本缩进 3 Char"/>
    <w:link w:val="41"/>
    <w:qFormat/>
    <w:uiPriority w:val="0"/>
    <w:rPr>
      <w:rFonts w:eastAsia="宋体"/>
      <w:kern w:val="2"/>
      <w:sz w:val="16"/>
      <w:szCs w:val="16"/>
      <w:lang w:val="en-US" w:eastAsia="zh-CN" w:bidi="ar-SA"/>
    </w:rPr>
  </w:style>
  <w:style w:type="character" w:customStyle="1" w:styleId="80">
    <w:name w:val="正文文本 2 Char"/>
    <w:link w:val="44"/>
    <w:qFormat/>
    <w:uiPriority w:val="0"/>
    <w:rPr>
      <w:rFonts w:eastAsia="宋体"/>
      <w:kern w:val="2"/>
      <w:sz w:val="21"/>
      <w:szCs w:val="24"/>
      <w:lang w:val="en-US" w:eastAsia="zh-CN" w:bidi="ar-SA"/>
    </w:rPr>
  </w:style>
  <w:style w:type="character" w:customStyle="1" w:styleId="81">
    <w:name w:val="正文首行缩进 Char"/>
    <w:link w:val="49"/>
    <w:qFormat/>
    <w:uiPriority w:val="0"/>
    <w:rPr>
      <w:rFonts w:ascii="宋体" w:hAnsi="Courier New" w:eastAsia="宋体" w:cs="Courier New"/>
      <w:szCs w:val="21"/>
    </w:rPr>
  </w:style>
  <w:style w:type="character" w:customStyle="1" w:styleId="82">
    <w:name w:val="正文首行缩进 2 字符"/>
    <w:link w:val="50"/>
    <w:semiHidden/>
    <w:qFormat/>
    <w:uiPriority w:val="99"/>
    <w:rPr>
      <w:rFonts w:ascii="仿宋_GB2312" w:hAnsi="Times New Roman" w:eastAsia="仿宋_GB2312" w:cs="Times New Roman"/>
      <w:kern w:val="2"/>
      <w:sz w:val="21"/>
      <w:szCs w:val="24"/>
    </w:rPr>
  </w:style>
  <w:style w:type="character" w:customStyle="1" w:styleId="83">
    <w:name w:val="Char Char18"/>
    <w:qFormat/>
    <w:uiPriority w:val="0"/>
    <w:rPr>
      <w:rFonts w:ascii="Calibri" w:hAnsi="Calibri" w:eastAsia="宋体" w:cs="Times New Roman"/>
      <w:b/>
      <w:bCs/>
      <w:sz w:val="28"/>
      <w:szCs w:val="28"/>
    </w:rPr>
  </w:style>
  <w:style w:type="character" w:customStyle="1" w:styleId="84">
    <w:name w:val="font01"/>
    <w:basedOn w:val="53"/>
    <w:qFormat/>
    <w:uiPriority w:val="0"/>
    <w:rPr>
      <w:rFonts w:hint="eastAsia" w:ascii="宋体" w:hAnsi="宋体" w:eastAsia="宋体" w:cs="宋体"/>
      <w:color w:val="000000"/>
      <w:sz w:val="20"/>
      <w:szCs w:val="20"/>
      <w:u w:val="none"/>
    </w:rPr>
  </w:style>
  <w:style w:type="character" w:customStyle="1" w:styleId="85">
    <w:name w:val="apple-style-span"/>
    <w:basedOn w:val="53"/>
    <w:qFormat/>
    <w:uiPriority w:val="0"/>
  </w:style>
  <w:style w:type="character" w:customStyle="1" w:styleId="86">
    <w:name w:val="Char Char13"/>
    <w:qFormat/>
    <w:uiPriority w:val="0"/>
    <w:rPr>
      <w:rFonts w:ascii="Times New Roman" w:hAnsi="Times New Roman" w:eastAsia="宋体" w:cs="Times New Roman"/>
      <w:kern w:val="2"/>
      <w:sz w:val="18"/>
      <w:szCs w:val="18"/>
    </w:rPr>
  </w:style>
  <w:style w:type="character" w:customStyle="1" w:styleId="87">
    <w:name w:val="无缩进 Char"/>
    <w:qFormat/>
    <w:uiPriority w:val="0"/>
    <w:rPr>
      <w:rFonts w:ascii="Times New Roman" w:hAnsi="Times New Roman" w:eastAsia="宋体" w:cs="Times New Roman"/>
      <w:kern w:val="2"/>
      <w:sz w:val="21"/>
      <w:szCs w:val="20"/>
    </w:rPr>
  </w:style>
  <w:style w:type="character" w:customStyle="1" w:styleId="88">
    <w:name w:val="普通文字 Char Char2"/>
    <w:qFormat/>
    <w:uiPriority w:val="0"/>
    <w:rPr>
      <w:rFonts w:ascii="宋体" w:hAnsi="Courier New" w:eastAsia="宋体"/>
      <w:kern w:val="2"/>
      <w:sz w:val="21"/>
      <w:lang w:val="en-US" w:eastAsia="zh-CN" w:bidi="ar-SA"/>
    </w:rPr>
  </w:style>
  <w:style w:type="character" w:customStyle="1" w:styleId="89">
    <w:name w:val="Char Char9"/>
    <w:qFormat/>
    <w:uiPriority w:val="0"/>
    <w:rPr>
      <w:rFonts w:ascii="Calibri" w:hAnsi="Calibri" w:eastAsia="宋体" w:cs="Times New Roman"/>
      <w:kern w:val="2"/>
      <w:sz w:val="18"/>
      <w:szCs w:val="18"/>
      <w:lang w:val="en-US" w:eastAsia="zh-CN" w:bidi="ar-SA"/>
    </w:rPr>
  </w:style>
  <w:style w:type="character" w:customStyle="1" w:styleId="90">
    <w:name w:val="标题-3 Char"/>
    <w:link w:val="91"/>
    <w:qFormat/>
    <w:uiPriority w:val="0"/>
    <w:rPr>
      <w:rFonts w:ascii="宋体" w:hAnsi="宋体" w:eastAsia="宋体"/>
      <w:b/>
      <w:sz w:val="24"/>
      <w:szCs w:val="24"/>
      <w:lang w:bidi="ar-SA"/>
    </w:rPr>
  </w:style>
  <w:style w:type="paragraph" w:customStyle="1" w:styleId="91">
    <w:name w:val="标题-3"/>
    <w:basedOn w:val="1"/>
    <w:link w:val="90"/>
    <w:qFormat/>
    <w:uiPriority w:val="0"/>
    <w:pPr>
      <w:spacing w:beforeLines="50" w:afterLines="50"/>
      <w:outlineLvl w:val="2"/>
    </w:pPr>
    <w:rPr>
      <w:rFonts w:ascii="宋体" w:hAnsi="宋体"/>
      <w:b/>
      <w:kern w:val="0"/>
      <w:sz w:val="24"/>
    </w:rPr>
  </w:style>
  <w:style w:type="character" w:customStyle="1" w:styleId="92">
    <w:name w:val="2nd level Char"/>
    <w:qFormat/>
    <w:uiPriority w:val="0"/>
    <w:rPr>
      <w:rFonts w:ascii="Arial" w:hAnsi="Arial" w:eastAsia="黑体" w:cs="Times New Roman"/>
      <w:b/>
      <w:bCs/>
      <w:kern w:val="2"/>
      <w:sz w:val="32"/>
      <w:szCs w:val="32"/>
    </w:rPr>
  </w:style>
  <w:style w:type="character" w:customStyle="1" w:styleId="93">
    <w:name w:val="textcontents"/>
    <w:basedOn w:val="53"/>
    <w:qFormat/>
    <w:uiPriority w:val="0"/>
  </w:style>
  <w:style w:type="character" w:customStyle="1" w:styleId="94">
    <w:name w:val="标题 2 Char"/>
    <w:qFormat/>
    <w:uiPriority w:val="9"/>
    <w:rPr>
      <w:rFonts w:ascii="Cambria" w:hAnsi="Cambria" w:eastAsia="宋体" w:cs="Times New Roman"/>
      <w:b/>
      <w:bCs/>
      <w:color w:val="4F81BD"/>
      <w:kern w:val="2"/>
      <w:sz w:val="26"/>
      <w:szCs w:val="26"/>
    </w:rPr>
  </w:style>
  <w:style w:type="character" w:customStyle="1" w:styleId="95">
    <w:name w:val="五级标题 Char"/>
    <w:link w:val="96"/>
    <w:qFormat/>
    <w:uiPriority w:val="0"/>
    <w:rPr>
      <w:rFonts w:eastAsia="黑体"/>
      <w:b/>
      <w:kern w:val="2"/>
      <w:sz w:val="28"/>
      <w:lang w:bidi="ar-SA"/>
    </w:rPr>
  </w:style>
  <w:style w:type="paragraph" w:customStyle="1" w:styleId="96">
    <w:name w:val="五级标题"/>
    <w:basedOn w:val="1"/>
    <w:link w:val="95"/>
    <w:qFormat/>
    <w:uiPriority w:val="0"/>
    <w:pPr>
      <w:numPr>
        <w:ilvl w:val="0"/>
        <w:numId w:val="3"/>
      </w:numPr>
      <w:spacing w:line="360" w:lineRule="auto"/>
      <w:outlineLvl w:val="4"/>
    </w:pPr>
    <w:rPr>
      <w:rFonts w:eastAsia="黑体"/>
      <w:b/>
      <w:sz w:val="28"/>
      <w:szCs w:val="20"/>
    </w:rPr>
  </w:style>
  <w:style w:type="character" w:customStyle="1" w:styleId="97">
    <w:name w:val="Char Char15"/>
    <w:qFormat/>
    <w:uiPriority w:val="0"/>
    <w:rPr>
      <w:rFonts w:ascii="Cambria" w:hAnsi="Cambria" w:eastAsia="宋体" w:cs="Times New Roman"/>
      <w:sz w:val="24"/>
      <w:szCs w:val="24"/>
    </w:rPr>
  </w:style>
  <w:style w:type="character" w:customStyle="1" w:styleId="98">
    <w:name w:val="font11"/>
    <w:qFormat/>
    <w:uiPriority w:val="0"/>
    <w:rPr>
      <w:rFonts w:hint="eastAsia" w:ascii="宋体" w:hAnsi="宋体" w:eastAsia="宋体" w:cs="宋体"/>
      <w:b/>
      <w:color w:val="000000"/>
      <w:sz w:val="20"/>
      <w:szCs w:val="20"/>
      <w:u w:val="none"/>
    </w:rPr>
  </w:style>
  <w:style w:type="character" w:customStyle="1" w:styleId="99">
    <w:name w:val="ca-12"/>
    <w:qFormat/>
    <w:uiPriority w:val="0"/>
    <w:rPr>
      <w:rFonts w:eastAsia="宋体" w:cs="Times New Roman"/>
      <w:kern w:val="2"/>
      <w:sz w:val="24"/>
      <w:szCs w:val="24"/>
      <w:lang w:val="en-US" w:eastAsia="zh-CN" w:bidi="ar-SA"/>
    </w:rPr>
  </w:style>
  <w:style w:type="character" w:customStyle="1" w:styleId="100">
    <w:name w:val="fontorange1"/>
    <w:qFormat/>
    <w:uiPriority w:val="0"/>
    <w:rPr>
      <w:rFonts w:hint="default" w:ascii="ˎ̥" w:hAnsi="ˎ̥" w:eastAsia="宋体"/>
      <w:color w:val="FF6600"/>
      <w:kern w:val="2"/>
      <w:sz w:val="18"/>
      <w:szCs w:val="18"/>
      <w:lang w:val="en-US" w:eastAsia="zh-CN" w:bidi="ar-SA"/>
    </w:rPr>
  </w:style>
  <w:style w:type="character" w:customStyle="1" w:styleId="101">
    <w:name w:val="正文小标题 Char Char"/>
    <w:qFormat/>
    <w:uiPriority w:val="0"/>
    <w:rPr>
      <w:rFonts w:ascii="仿宋_GB2312" w:hAnsi="Times New Roman" w:eastAsia="仿宋_GB2312" w:cs="Times New Roman"/>
      <w:kern w:val="2"/>
      <w:sz w:val="32"/>
      <w:szCs w:val="20"/>
    </w:rPr>
  </w:style>
  <w:style w:type="character" w:customStyle="1" w:styleId="102">
    <w:name w:val="四级标题 Char"/>
    <w:link w:val="103"/>
    <w:qFormat/>
    <w:uiPriority w:val="0"/>
    <w:rPr>
      <w:rFonts w:eastAsia="黑体"/>
      <w:b/>
      <w:kern w:val="2"/>
      <w:sz w:val="28"/>
      <w:lang w:bidi="ar-SA"/>
    </w:rPr>
  </w:style>
  <w:style w:type="paragraph" w:customStyle="1" w:styleId="103">
    <w:name w:val="四级标题"/>
    <w:basedOn w:val="1"/>
    <w:link w:val="102"/>
    <w:qFormat/>
    <w:uiPriority w:val="0"/>
    <w:pPr>
      <w:numPr>
        <w:ilvl w:val="0"/>
        <w:numId w:val="4"/>
      </w:numPr>
      <w:spacing w:line="360" w:lineRule="auto"/>
      <w:outlineLvl w:val="3"/>
    </w:pPr>
    <w:rPr>
      <w:rFonts w:eastAsia="黑体"/>
      <w:b/>
      <w:sz w:val="28"/>
      <w:szCs w:val="20"/>
    </w:rPr>
  </w:style>
  <w:style w:type="character" w:customStyle="1" w:styleId="104">
    <w:name w:val="Char Char11"/>
    <w:qFormat/>
    <w:uiPriority w:val="0"/>
    <w:rPr>
      <w:rFonts w:ascii="Times New Roman" w:hAnsi="Times New Roman" w:eastAsia="宋体" w:cs="Times New Roman"/>
      <w:kern w:val="2"/>
      <w:sz w:val="21"/>
      <w:szCs w:val="20"/>
    </w:rPr>
  </w:style>
  <w:style w:type="character" w:customStyle="1" w:styleId="105">
    <w:name w:val="short_text"/>
    <w:qFormat/>
    <w:uiPriority w:val="0"/>
    <w:rPr>
      <w:rFonts w:eastAsia="宋体"/>
      <w:kern w:val="2"/>
      <w:sz w:val="24"/>
      <w:szCs w:val="24"/>
      <w:lang w:val="en-US" w:eastAsia="zh-CN" w:bidi="ar-SA"/>
    </w:rPr>
  </w:style>
  <w:style w:type="character" w:customStyle="1" w:styleId="106">
    <w:name w:val="纯文本 Char2"/>
    <w:qFormat/>
    <w:uiPriority w:val="99"/>
    <w:rPr>
      <w:rFonts w:ascii="宋体" w:eastAsia="宋体"/>
      <w:szCs w:val="21"/>
    </w:rPr>
  </w:style>
  <w:style w:type="character" w:customStyle="1" w:styleId="107">
    <w:name w:val="Char Char171"/>
    <w:qFormat/>
    <w:uiPriority w:val="0"/>
    <w:rPr>
      <w:rFonts w:ascii="Calibri" w:hAnsi="Calibri" w:eastAsia="宋体" w:cs="Times New Roman"/>
      <w:b/>
      <w:bCs/>
      <w:kern w:val="2"/>
      <w:sz w:val="32"/>
      <w:szCs w:val="32"/>
      <w:lang w:val="en-US" w:eastAsia="zh-CN" w:bidi="ar-SA"/>
    </w:rPr>
  </w:style>
  <w:style w:type="character" w:customStyle="1" w:styleId="108">
    <w:name w:val="apple-converted-space"/>
    <w:basedOn w:val="53"/>
    <w:qFormat/>
    <w:uiPriority w:val="0"/>
  </w:style>
  <w:style w:type="character" w:customStyle="1" w:styleId="109">
    <w:name w:val="纯文本 Char1"/>
    <w:qFormat/>
    <w:uiPriority w:val="99"/>
    <w:rPr>
      <w:rFonts w:ascii="宋体" w:eastAsia="宋体"/>
      <w:szCs w:val="21"/>
    </w:rPr>
  </w:style>
  <w:style w:type="character" w:customStyle="1" w:styleId="110">
    <w:name w:val="Char Char17"/>
    <w:qFormat/>
    <w:uiPriority w:val="0"/>
    <w:rPr>
      <w:rFonts w:ascii="Cambria" w:hAnsi="Cambria" w:eastAsia="宋体" w:cs="Times New Roman"/>
      <w:b/>
      <w:bCs/>
      <w:sz w:val="24"/>
      <w:szCs w:val="24"/>
    </w:rPr>
  </w:style>
  <w:style w:type="character" w:customStyle="1" w:styleId="111">
    <w:name w:val="Char Char14"/>
    <w:qFormat/>
    <w:uiPriority w:val="0"/>
    <w:rPr>
      <w:rFonts w:ascii="Cambria" w:hAnsi="Cambria" w:eastAsia="宋体" w:cs="Times New Roman"/>
      <w:sz w:val="21"/>
      <w:szCs w:val="21"/>
    </w:rPr>
  </w:style>
  <w:style w:type="character" w:customStyle="1" w:styleId="112">
    <w:name w:val="Char Char12"/>
    <w:qFormat/>
    <w:uiPriority w:val="0"/>
    <w:rPr>
      <w:rFonts w:ascii="Times New Roman" w:hAnsi="Times New Roman" w:eastAsia="宋体" w:cs="Times New Roman"/>
      <w:kern w:val="2"/>
      <w:sz w:val="18"/>
      <w:szCs w:val="18"/>
    </w:rPr>
  </w:style>
  <w:style w:type="character" w:customStyle="1" w:styleId="113">
    <w:name w:val="批注文字 Char1"/>
    <w:qFormat/>
    <w:uiPriority w:val="0"/>
    <w:rPr>
      <w:rFonts w:ascii="宋体" w:eastAsia="宋体"/>
      <w:kern w:val="2"/>
      <w:sz w:val="24"/>
      <w:szCs w:val="21"/>
      <w:lang w:bidi="ar-SA"/>
    </w:rPr>
  </w:style>
  <w:style w:type="character" w:customStyle="1" w:styleId="114">
    <w:name w:val="Char Char16"/>
    <w:qFormat/>
    <w:uiPriority w:val="0"/>
    <w:rPr>
      <w:rFonts w:ascii="Calibri" w:hAnsi="Calibri" w:eastAsia="宋体" w:cs="Times New Roman"/>
      <w:b/>
      <w:bCs/>
      <w:sz w:val="24"/>
      <w:szCs w:val="24"/>
    </w:rPr>
  </w:style>
  <w:style w:type="paragraph" w:customStyle="1" w:styleId="115">
    <w:name w:val="表格文字"/>
    <w:basedOn w:val="1"/>
    <w:qFormat/>
    <w:uiPriority w:val="0"/>
    <w:pPr>
      <w:spacing w:before="25" w:after="25"/>
      <w:jc w:val="left"/>
    </w:pPr>
    <w:rPr>
      <w:bCs/>
      <w:spacing w:val="10"/>
      <w:kern w:val="0"/>
      <w:sz w:val="24"/>
      <w:szCs w:val="20"/>
    </w:rPr>
  </w:style>
  <w:style w:type="paragraph" w:customStyle="1" w:styleId="116">
    <w:name w:val="xl73"/>
    <w:basedOn w:val="1"/>
    <w:qFormat/>
    <w:uiPriority w:val="0"/>
    <w:pPr>
      <w:widowControl/>
      <w:spacing w:before="100" w:beforeAutospacing="1" w:after="100" w:afterAutospacing="1" w:line="240" w:lineRule="auto"/>
      <w:ind w:firstLine="0" w:firstLineChars="0"/>
      <w:jc w:val="left"/>
    </w:pPr>
    <w:rPr>
      <w:rFonts w:ascii="宋体" w:hAnsi="宋体" w:cs="宋体"/>
      <w:color w:val="FF0000"/>
      <w:kern w:val="0"/>
      <w:sz w:val="24"/>
    </w:rPr>
  </w:style>
  <w:style w:type="paragraph" w:customStyle="1" w:styleId="1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1"/>
    </w:rPr>
  </w:style>
  <w:style w:type="paragraph" w:customStyle="1" w:styleId="1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20"/>
      <w:szCs w:val="20"/>
    </w:rPr>
  </w:style>
  <w:style w:type="paragraph" w:customStyle="1" w:styleId="119">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0">
    <w:name w:val="样式 首行缩进:  2 字符"/>
    <w:basedOn w:val="1"/>
    <w:qFormat/>
    <w:uiPriority w:val="0"/>
    <w:pPr>
      <w:spacing w:line="400" w:lineRule="exact"/>
    </w:pPr>
    <w:rPr>
      <w:rFonts w:cs="宋体"/>
      <w:sz w:val="24"/>
    </w:rPr>
  </w:style>
  <w:style w:type="paragraph" w:customStyle="1" w:styleId="121">
    <w:name w:val="列出段落1"/>
    <w:basedOn w:val="1"/>
    <w:qFormat/>
    <w:uiPriority w:val="0"/>
    <w:pPr>
      <w:spacing w:line="240" w:lineRule="auto"/>
      <w:ind w:firstLine="420"/>
    </w:pPr>
  </w:style>
  <w:style w:type="paragraph" w:customStyle="1" w:styleId="122">
    <w:name w:val="Char Char2 Char"/>
    <w:basedOn w:val="1"/>
    <w:qFormat/>
    <w:uiPriority w:val="0"/>
    <w:rPr>
      <w:rFonts w:ascii="宋体" w:hAnsi="宋体"/>
      <w:b/>
      <w:sz w:val="28"/>
      <w:szCs w:val="28"/>
    </w:rPr>
  </w:style>
  <w:style w:type="paragraph" w:customStyle="1" w:styleId="1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Cs w:val="21"/>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6">
    <w:name w:val="xl75"/>
    <w:basedOn w:val="1"/>
    <w:qFormat/>
    <w:uiPriority w:val="0"/>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29">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3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styleId="131">
    <w:name w:val="List Paragraph"/>
    <w:basedOn w:val="1"/>
    <w:link w:val="132"/>
    <w:qFormat/>
    <w:uiPriority w:val="0"/>
    <w:pPr>
      <w:ind w:firstLine="420"/>
    </w:pPr>
  </w:style>
  <w:style w:type="character" w:customStyle="1" w:styleId="132">
    <w:name w:val="列出段落 Char"/>
    <w:link w:val="131"/>
    <w:qFormat/>
    <w:locked/>
    <w:uiPriority w:val="0"/>
    <w:rPr>
      <w:kern w:val="2"/>
      <w:sz w:val="21"/>
      <w:szCs w:val="24"/>
    </w:rPr>
  </w:style>
  <w:style w:type="paragraph" w:customStyle="1" w:styleId="133">
    <w:name w:val="正文首行缩进两字符"/>
    <w:basedOn w:val="1"/>
    <w:qFormat/>
    <w:uiPriority w:val="0"/>
    <w:pPr>
      <w:spacing w:line="360" w:lineRule="auto"/>
    </w:pPr>
  </w:style>
  <w:style w:type="paragraph" w:customStyle="1" w:styleId="134">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37">
    <w:name w:val="修订1"/>
    <w:semiHidden/>
    <w:qFormat/>
    <w:uiPriority w:val="0"/>
    <w:pPr>
      <w:spacing w:line="32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38">
    <w:name w:val="List Paragraph1"/>
    <w:basedOn w:val="1"/>
    <w:qFormat/>
    <w:uiPriority w:val="0"/>
    <w:pPr>
      <w:widowControl/>
      <w:spacing w:after="200" w:line="276" w:lineRule="auto"/>
      <w:ind w:left="720"/>
      <w:jc w:val="left"/>
    </w:pPr>
    <w:rPr>
      <w:rFonts w:ascii="Calibri" w:hAnsi="Calibri"/>
      <w:kern w:val="0"/>
      <w:sz w:val="22"/>
      <w:szCs w:val="22"/>
    </w:rPr>
  </w:style>
  <w:style w:type="paragraph" w:customStyle="1" w:styleId="13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0">
    <w:name w:val="题注4"/>
    <w:basedOn w:val="1"/>
    <w:next w:val="15"/>
    <w:qFormat/>
    <w:uiPriority w:val="0"/>
    <w:pPr>
      <w:ind w:left="-132" w:leftChars="-64" w:right="-105" w:rightChars="-50" w:hanging="2"/>
      <w:jc w:val="center"/>
    </w:pPr>
    <w:rPr>
      <w:b/>
      <w:color w:val="FF0000"/>
      <w:szCs w:val="21"/>
      <w:lang w:val="en-GB"/>
    </w:rPr>
  </w:style>
  <w:style w:type="paragraph" w:customStyle="1" w:styleId="141">
    <w:name w:val="样式"/>
    <w:qFormat/>
    <w:uiPriority w:val="0"/>
    <w:pPr>
      <w:widowControl w:val="0"/>
      <w:autoSpaceDE w:val="0"/>
      <w:autoSpaceDN w:val="0"/>
      <w:adjustRightInd w:val="0"/>
      <w:spacing w:line="320" w:lineRule="exact"/>
      <w:ind w:firstLine="200" w:firstLineChars="200"/>
    </w:pPr>
    <w:rPr>
      <w:rFonts w:ascii="宋体" w:hAnsi="宋体" w:eastAsia="宋体" w:cs="宋体"/>
      <w:sz w:val="24"/>
      <w:szCs w:val="24"/>
      <w:lang w:val="en-US" w:eastAsia="zh-CN" w:bidi="ar-SA"/>
    </w:rPr>
  </w:style>
  <w:style w:type="paragraph" w:customStyle="1" w:styleId="1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1"/>
    </w:rPr>
  </w:style>
  <w:style w:type="paragraph" w:customStyle="1" w:styleId="14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kern w:val="0"/>
      <w:sz w:val="20"/>
      <w:szCs w:val="20"/>
    </w:rPr>
  </w:style>
  <w:style w:type="paragraph" w:customStyle="1" w:styleId="145">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6">
    <w:name w:val="默认段落字体 Para Char Char Char Char Char Char Char Char Char1 Char Char Char Char"/>
    <w:basedOn w:val="1"/>
    <w:qFormat/>
    <w:uiPriority w:val="0"/>
    <w:rPr>
      <w:rFonts w:ascii="Tahoma" w:hAnsi="Tahoma"/>
      <w:sz w:val="24"/>
      <w:szCs w:val="20"/>
    </w:rPr>
  </w:style>
  <w:style w:type="paragraph" w:customStyle="1" w:styleId="14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pPr>
    <w:rPr>
      <w:rFonts w:ascii="宋体" w:hAnsi="宋体" w:cs="宋体"/>
      <w:color w:val="000000"/>
      <w:kern w:val="0"/>
      <w:sz w:val="18"/>
      <w:szCs w:val="18"/>
    </w:rPr>
  </w:style>
  <w:style w:type="paragraph" w:customStyle="1" w:styleId="1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49">
    <w:name w:val="Zchn Zchn"/>
    <w:basedOn w:val="1"/>
    <w:qFormat/>
    <w:uiPriority w:val="0"/>
    <w:rPr>
      <w:rFonts w:ascii="Tahoma" w:hAnsi="Tahoma"/>
      <w:sz w:val="24"/>
      <w:szCs w:val="20"/>
    </w:rPr>
  </w:style>
  <w:style w:type="paragraph" w:customStyle="1" w:styleId="150">
    <w:name w:val="_Style 149"/>
    <w:unhideWhenUsed/>
    <w:qFormat/>
    <w:uiPriority w:val="99"/>
    <w:rPr>
      <w:rFonts w:ascii="Times New Roman" w:hAnsi="Times New Roman" w:eastAsia="宋体" w:cs="Times New Roman"/>
      <w:kern w:val="2"/>
      <w:sz w:val="21"/>
      <w:szCs w:val="24"/>
      <w:lang w:val="en-US" w:eastAsia="zh-CN" w:bidi="ar-SA"/>
    </w:rPr>
  </w:style>
  <w:style w:type="paragraph" w:customStyle="1" w:styleId="151">
    <w:name w:val="TOC 标题1"/>
    <w:basedOn w:val="2"/>
    <w:next w:val="1"/>
    <w:qFormat/>
    <w:uiPriority w:val="0"/>
    <w:pPr>
      <w:widowControl/>
      <w:numPr>
        <w:ilvl w:val="0"/>
        <w:numId w:val="5"/>
      </w:numPr>
      <w:spacing w:before="480" w:after="0" w:line="276" w:lineRule="auto"/>
      <w:jc w:val="left"/>
      <w:outlineLvl w:val="9"/>
    </w:pPr>
    <w:rPr>
      <w:rFonts w:ascii="Cambria" w:hAnsi="Cambria"/>
      <w:color w:val="365F91"/>
      <w:kern w:val="0"/>
      <w:sz w:val="28"/>
      <w:szCs w:val="28"/>
    </w:rPr>
  </w:style>
  <w:style w:type="paragraph" w:customStyle="1" w:styleId="152">
    <w:name w:val="招标文件样式2"/>
    <w:basedOn w:val="1"/>
    <w:qFormat/>
    <w:uiPriority w:val="0"/>
    <w:pPr>
      <w:jc w:val="center"/>
      <w:outlineLvl w:val="0"/>
    </w:pPr>
    <w:rPr>
      <w:rFonts w:ascii="宋体" w:hAnsi="宋体"/>
      <w:b/>
      <w:sz w:val="28"/>
      <w:szCs w:val="28"/>
    </w:rPr>
  </w:style>
  <w:style w:type="paragraph" w:customStyle="1" w:styleId="1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4">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5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156">
    <w:name w:val="Char Char Char"/>
    <w:basedOn w:val="1"/>
    <w:qFormat/>
    <w:uiPriority w:val="0"/>
    <w:rPr>
      <w:rFonts w:ascii="Tahoma" w:hAnsi="Tahoma"/>
      <w:sz w:val="24"/>
      <w:szCs w:val="20"/>
    </w:rPr>
  </w:style>
  <w:style w:type="paragraph" w:customStyle="1" w:styleId="157">
    <w:name w:val="Char1"/>
    <w:basedOn w:val="1"/>
    <w:qFormat/>
    <w:uiPriority w:val="0"/>
    <w:rPr>
      <w:szCs w:val="21"/>
    </w:rPr>
  </w:style>
  <w:style w:type="paragraph" w:customStyle="1" w:styleId="158">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59">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6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2">
    <w:name w:val="Char Char Char Char"/>
    <w:basedOn w:val="1"/>
    <w:qFormat/>
    <w:uiPriority w:val="0"/>
    <w:pPr>
      <w:tabs>
        <w:tab w:val="left" w:pos="780"/>
      </w:tabs>
      <w:ind w:left="780" w:hanging="360"/>
    </w:pPr>
    <w:rPr>
      <w:sz w:val="24"/>
    </w:rPr>
  </w:style>
  <w:style w:type="paragraph" w:customStyle="1" w:styleId="163">
    <w:name w:val="正文段"/>
    <w:basedOn w:val="1"/>
    <w:qFormat/>
    <w:uiPriority w:val="0"/>
    <w:pPr>
      <w:widowControl/>
      <w:snapToGrid w:val="0"/>
      <w:spacing w:afterLines="50"/>
    </w:pPr>
    <w:rPr>
      <w:kern w:val="0"/>
      <w:sz w:val="24"/>
      <w:szCs w:val="20"/>
    </w:rPr>
  </w:style>
  <w:style w:type="paragraph" w:customStyle="1" w:styleId="164">
    <w:name w:val="Char Char Char Char Char Char Char"/>
    <w:basedOn w:val="1"/>
    <w:qFormat/>
    <w:uiPriority w:val="0"/>
    <w:pPr>
      <w:tabs>
        <w:tab w:val="left" w:pos="425"/>
      </w:tabs>
      <w:ind w:left="425" w:hanging="425"/>
    </w:pPr>
    <w:rPr>
      <w:rFonts w:eastAsia="仿宋_GB2312"/>
      <w:kern w:val="24"/>
      <w:sz w:val="24"/>
    </w:rPr>
  </w:style>
  <w:style w:type="paragraph" w:customStyle="1" w:styleId="16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20"/>
      <w:szCs w:val="20"/>
    </w:rPr>
  </w:style>
  <w:style w:type="paragraph" w:customStyle="1" w:styleId="166">
    <w:name w:val="默认段落字体 Para Char"/>
    <w:basedOn w:val="1"/>
    <w:qFormat/>
    <w:uiPriority w:val="0"/>
    <w:rPr>
      <w:rFonts w:ascii="宋体" w:hAnsi="宋体"/>
      <w:b/>
      <w:sz w:val="28"/>
      <w:szCs w:val="28"/>
    </w:rPr>
  </w:style>
  <w:style w:type="paragraph" w:customStyle="1" w:styleId="167">
    <w:name w:val="Char Char2 Char Char Char Char Char"/>
    <w:basedOn w:val="1"/>
    <w:qFormat/>
    <w:uiPriority w:val="0"/>
    <w:pPr>
      <w:numPr>
        <w:ilvl w:val="0"/>
        <w:numId w:val="6"/>
      </w:numPr>
    </w:pPr>
    <w:rPr>
      <w:sz w:val="24"/>
    </w:rPr>
  </w:style>
  <w:style w:type="paragraph" w:customStyle="1" w:styleId="16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0">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17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72">
    <w:name w:val="Char2"/>
    <w:basedOn w:val="16"/>
    <w:semiHidden/>
    <w:qFormat/>
    <w:uiPriority w:val="0"/>
    <w:rPr>
      <w:rFonts w:ascii="Tahoma" w:hAnsi="Tahoma" w:cs="Tahoma"/>
      <w:kern w:val="0"/>
      <w:sz w:val="18"/>
    </w:rPr>
  </w:style>
  <w:style w:type="paragraph" w:customStyle="1" w:styleId="173">
    <w:name w:val="办公自动化专用标题"/>
    <w:basedOn w:val="47"/>
    <w:qFormat/>
    <w:uiPriority w:val="0"/>
    <w:pPr>
      <w:spacing w:line="560" w:lineRule="atLeast"/>
    </w:pPr>
    <w:rPr>
      <w:rFonts w:ascii="宋体" w:hAnsi="Arial"/>
      <w:bCs w:val="0"/>
      <w:sz w:val="44"/>
      <w:szCs w:val="20"/>
    </w:rPr>
  </w:style>
  <w:style w:type="paragraph" w:customStyle="1" w:styleId="174">
    <w:name w:val="题注5"/>
    <w:basedOn w:val="1"/>
    <w:next w:val="15"/>
    <w:qFormat/>
    <w:uiPriority w:val="0"/>
    <w:pPr>
      <w:jc w:val="center"/>
    </w:pPr>
    <w:rPr>
      <w:b/>
      <w:color w:val="000000"/>
      <w:sz w:val="24"/>
      <w:szCs w:val="21"/>
    </w:rPr>
  </w:style>
  <w:style w:type="paragraph" w:customStyle="1" w:styleId="175">
    <w:name w:val="表格"/>
    <w:basedOn w:val="1"/>
    <w:qFormat/>
    <w:uiPriority w:val="0"/>
    <w:pPr>
      <w:spacing w:line="400" w:lineRule="exact"/>
    </w:pPr>
    <w:rPr>
      <w:sz w:val="24"/>
    </w:rPr>
  </w:style>
  <w:style w:type="paragraph" w:customStyle="1" w:styleId="176">
    <w:name w:val="xl86"/>
    <w:basedOn w:val="1"/>
    <w:qFormat/>
    <w:uiPriority w:val="0"/>
    <w:pPr>
      <w:widowControl/>
      <w:pBdr>
        <w:bottom w:val="single" w:color="auto" w:sz="4" w:space="0"/>
      </w:pBdr>
      <w:spacing w:before="100" w:beforeAutospacing="1" w:after="100" w:afterAutospacing="1" w:line="240" w:lineRule="auto"/>
      <w:ind w:firstLine="0" w:firstLineChars="0"/>
      <w:jc w:val="center"/>
    </w:pPr>
    <w:rPr>
      <w:rFonts w:ascii="宋体" w:hAnsi="宋体" w:cs="宋体"/>
      <w:kern w:val="0"/>
      <w:sz w:val="24"/>
    </w:rPr>
  </w:style>
  <w:style w:type="paragraph" w:customStyle="1" w:styleId="177">
    <w:name w:val="xl87"/>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kern w:val="0"/>
      <w:sz w:val="20"/>
      <w:szCs w:val="20"/>
    </w:rPr>
  </w:style>
  <w:style w:type="character" w:customStyle="1" w:styleId="178">
    <w:name w:val="纯文本 Char4"/>
    <w:qFormat/>
    <w:uiPriority w:val="0"/>
    <w:rPr>
      <w:rFonts w:ascii="宋体" w:eastAsia="宋体"/>
      <w:szCs w:val="21"/>
    </w:rPr>
  </w:style>
  <w:style w:type="paragraph" w:customStyle="1" w:styleId="179">
    <w:name w:val="_Style 178"/>
    <w:basedOn w:val="2"/>
    <w:next w:val="1"/>
    <w:unhideWhenUsed/>
    <w:qFormat/>
    <w:uiPriority w:val="39"/>
    <w:pPr>
      <w:spacing w:line="578" w:lineRule="atLeast"/>
      <w:outlineLvl w:val="9"/>
    </w:pPr>
  </w:style>
  <w:style w:type="character" w:customStyle="1" w:styleId="180">
    <w:name w:val="纯文本 字符"/>
    <w:qFormat/>
    <w:uiPriority w:val="99"/>
    <w:rPr>
      <w:rFonts w:ascii="宋体" w:hAnsi="Courier New" w:eastAsia="宋体" w:cs="Courier New"/>
      <w:szCs w:val="21"/>
    </w:rPr>
  </w:style>
  <w:style w:type="paragraph" w:customStyle="1" w:styleId="181">
    <w:name w:val="Heading1"/>
    <w:basedOn w:val="1"/>
    <w:next w:val="1"/>
    <w:qFormat/>
    <w:uiPriority w:val="0"/>
    <w:pPr>
      <w:keepNext/>
      <w:keepLines/>
      <w:widowControl/>
      <w:spacing w:before="340" w:after="330" w:line="578" w:lineRule="auto"/>
      <w:ind w:firstLine="0" w:firstLineChars="0"/>
      <w:textAlignment w:val="baseline"/>
    </w:pPr>
    <w:rPr>
      <w:kern w:val="44"/>
      <w:sz w:val="44"/>
      <w:szCs w:val="44"/>
    </w:rPr>
  </w:style>
  <w:style w:type="paragraph" w:customStyle="1" w:styleId="182">
    <w:name w:val="Heading3"/>
    <w:basedOn w:val="1"/>
    <w:next w:val="1"/>
    <w:qFormat/>
    <w:uiPriority w:val="0"/>
    <w:pPr>
      <w:keepNext/>
      <w:keepLines/>
      <w:widowControl/>
      <w:spacing w:before="260" w:after="260" w:line="416" w:lineRule="auto"/>
      <w:ind w:firstLine="0" w:firstLineChars="0"/>
      <w:textAlignment w:val="baseline"/>
    </w:pPr>
    <w:rPr>
      <w:rFonts w:ascii="Calibri" w:hAnsi="Calibri"/>
      <w:sz w:val="32"/>
      <w:szCs w:val="32"/>
    </w:rPr>
  </w:style>
  <w:style w:type="character" w:customStyle="1" w:styleId="183">
    <w:name w:val="NormalCharacter"/>
    <w:qFormat/>
    <w:uiPriority w:val="0"/>
  </w:style>
  <w:style w:type="character" w:customStyle="1" w:styleId="184">
    <w:name w:val="未处理的提及"/>
    <w:unhideWhenUsed/>
    <w:qFormat/>
    <w:uiPriority w:val="99"/>
    <w:rPr>
      <w:color w:val="605E5C"/>
      <w:shd w:val="clear" w:color="auto" w:fill="E1DFDD"/>
    </w:rPr>
  </w:style>
  <w:style w:type="paragraph" w:customStyle="1" w:styleId="185">
    <w:name w:val="Table Paragraph"/>
    <w:basedOn w:val="1"/>
    <w:qFormat/>
    <w:uiPriority w:val="1"/>
    <w:pPr>
      <w:spacing w:line="240" w:lineRule="auto"/>
      <w:ind w:firstLine="0" w:firstLineChars="0"/>
      <w:jc w:val="left"/>
    </w:pPr>
    <w:rPr>
      <w:rFonts w:ascii="Calibri" w:hAnsi="Calibri"/>
      <w:kern w:val="0"/>
      <w:sz w:val="22"/>
      <w:szCs w:val="22"/>
      <w:lang w:eastAsia="en-US"/>
    </w:rPr>
  </w:style>
  <w:style w:type="character" w:customStyle="1" w:styleId="186">
    <w:name w:val="竞标标题 Char"/>
    <w:link w:val="187"/>
    <w:qFormat/>
    <w:uiPriority w:val="0"/>
    <w:rPr>
      <w:rFonts w:ascii="宋体" w:hAnsi="宋体" w:eastAsia="仿宋"/>
      <w:b/>
      <w:color w:val="000000"/>
      <w:kern w:val="2"/>
      <w:sz w:val="44"/>
      <w:szCs w:val="44"/>
    </w:rPr>
  </w:style>
  <w:style w:type="paragraph" w:customStyle="1" w:styleId="187">
    <w:name w:val="竞标标题"/>
    <w:basedOn w:val="1"/>
    <w:next w:val="1"/>
    <w:link w:val="186"/>
    <w:qFormat/>
    <w:uiPriority w:val="0"/>
    <w:pPr>
      <w:widowControl/>
      <w:spacing w:line="360" w:lineRule="auto"/>
      <w:ind w:firstLine="0" w:firstLineChars="0"/>
      <w:jc w:val="center"/>
      <w:outlineLvl w:val="2"/>
    </w:pPr>
    <w:rPr>
      <w:rFonts w:ascii="宋体" w:hAnsi="宋体" w:eastAsia="仿宋"/>
      <w:b/>
      <w:color w:val="000000"/>
      <w:sz w:val="44"/>
      <w:szCs w:val="44"/>
    </w:rPr>
  </w:style>
  <w:style w:type="character" w:customStyle="1" w:styleId="188">
    <w:name w:val="font41"/>
    <w:qFormat/>
    <w:uiPriority w:val="0"/>
    <w:rPr>
      <w:rFonts w:hint="eastAsia" w:ascii="宋体" w:hAnsi="宋体" w:eastAsia="宋体" w:cs="宋体"/>
      <w:color w:val="000000"/>
      <w:sz w:val="20"/>
      <w:szCs w:val="20"/>
      <w:u w:val="none"/>
    </w:rPr>
  </w:style>
  <w:style w:type="character" w:customStyle="1" w:styleId="189">
    <w:name w:val="页脚 字符"/>
    <w:qFormat/>
    <w:uiPriority w:val="99"/>
  </w:style>
  <w:style w:type="character" w:customStyle="1" w:styleId="190">
    <w:name w:val="纯文本 字符1"/>
    <w:qFormat/>
    <w:uiPriority w:val="0"/>
    <w:rPr>
      <w:rFonts w:ascii="宋体" w:hAnsi="Courier New" w:eastAsia="宋体" w:cs="Courier New"/>
      <w:szCs w:val="21"/>
    </w:rPr>
  </w:style>
  <w:style w:type="character" w:customStyle="1" w:styleId="191">
    <w:name w:val="页眉 字符"/>
    <w:qFormat/>
    <w:uiPriority w:val="99"/>
    <w:rPr>
      <w:sz w:val="18"/>
      <w:szCs w:val="18"/>
    </w:rPr>
  </w:style>
  <w:style w:type="character" w:customStyle="1" w:styleId="192">
    <w:name w:val="font71"/>
    <w:qFormat/>
    <w:uiPriority w:val="0"/>
    <w:rPr>
      <w:rFonts w:hint="default" w:ascii="Times New Roman" w:hAnsi="Times New Roman" w:cs="Times New Roman"/>
      <w:color w:val="000000"/>
      <w:kern w:val="0"/>
      <w:sz w:val="20"/>
      <w:szCs w:val="20"/>
      <w:u w:val="none"/>
      <w:lang w:eastAsia="en-US"/>
    </w:rPr>
  </w:style>
  <w:style w:type="paragraph" w:customStyle="1" w:styleId="193">
    <w:name w:val="我的样式1"/>
    <w:basedOn w:val="1"/>
    <w:next w:val="1"/>
    <w:qFormat/>
    <w:uiPriority w:val="0"/>
    <w:pPr>
      <w:numPr>
        <w:ilvl w:val="0"/>
        <w:numId w:val="7"/>
      </w:numPr>
      <w:spacing w:line="240" w:lineRule="auto"/>
      <w:ind w:left="0" w:right="210" w:rightChars="100" w:firstLine="0" w:firstLineChars="0"/>
      <w:jc w:val="left"/>
    </w:pPr>
    <w:rPr>
      <w:rFonts w:ascii="等线" w:hAnsi="等线" w:eastAsia="等线" w:cs="Times New Roman"/>
      <w:sz w:val="24"/>
      <w:szCs w:val="22"/>
    </w:rPr>
  </w:style>
  <w:style w:type="character" w:customStyle="1" w:styleId="194">
    <w:name w:val="纯文本 字符3"/>
    <w:qFormat/>
    <w:uiPriority w:val="0"/>
    <w:rPr>
      <w:rFonts w:ascii="宋体" w:hAnsi="Courier New" w:eastAsia="宋体" w:cs="Courier New"/>
      <w:szCs w:val="21"/>
    </w:rPr>
  </w:style>
  <w:style w:type="character" w:customStyle="1" w:styleId="195">
    <w:name w:val="批注文字 字符1"/>
    <w:semiHidden/>
    <w:qFormat/>
    <w:uiPriority w:val="0"/>
    <w:rPr>
      <w:kern w:val="2"/>
      <w:sz w:val="21"/>
      <w:szCs w:val="24"/>
    </w:rPr>
  </w:style>
  <w:style w:type="character" w:customStyle="1" w:styleId="196">
    <w:name w:val="批注文字 字符"/>
    <w:qFormat/>
    <w:uiPriority w:val="0"/>
    <w:rPr>
      <w:rFonts w:ascii="Times New Roman" w:hAnsi="Times New Roman"/>
      <w:kern w:val="2"/>
      <w:sz w:val="21"/>
      <w:szCs w:val="24"/>
    </w:rPr>
  </w:style>
  <w:style w:type="character" w:customStyle="1" w:styleId="197">
    <w:name w:val="正文文本 3 字符"/>
    <w:semiHidden/>
    <w:qFormat/>
    <w:uiPriority w:val="0"/>
    <w:rPr>
      <w:b/>
      <w:bCs/>
      <w:kern w:val="2"/>
      <w:sz w:val="24"/>
      <w:szCs w:val="24"/>
    </w:rPr>
  </w:style>
  <w:style w:type="paragraph" w:customStyle="1" w:styleId="198">
    <w:name w:val="Table Text"/>
    <w:basedOn w:val="1"/>
    <w:semiHidden/>
    <w:qFormat/>
    <w:uiPriority w:val="0"/>
    <w:rPr>
      <w:rFonts w:ascii="宋体" w:hAnsi="宋体" w:eastAsia="宋体" w:cs="宋体"/>
      <w:sz w:val="21"/>
      <w:szCs w:val="21"/>
      <w:lang w:val="en-US" w:eastAsia="en-US" w:bidi="ar-SA"/>
    </w:rPr>
  </w:style>
  <w:style w:type="table" w:customStyle="1" w:styleId="199">
    <w:name w:val="Table Normal"/>
    <w:semiHidden/>
    <w:unhideWhenUsed/>
    <w:qFormat/>
    <w:uiPriority w:val="0"/>
    <w:tblPr>
      <w:tblCellMar>
        <w:top w:w="0" w:type="dxa"/>
        <w:left w:w="0" w:type="dxa"/>
        <w:bottom w:w="0" w:type="dxa"/>
        <w:right w:w="0" w:type="dxa"/>
      </w:tblCellMar>
    </w:tblPr>
  </w:style>
  <w:style w:type="character" w:customStyle="1" w:styleId="200">
    <w:name w:val="font31"/>
    <w:basedOn w:val="53"/>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86</Pages>
  <Words>17421</Words>
  <Characters>18617</Characters>
  <Lines>319</Lines>
  <Paragraphs>89</Paragraphs>
  <TotalTime>13</TotalTime>
  <ScaleCrop>false</ScaleCrop>
  <LinksUpToDate>false</LinksUpToDate>
  <CharactersWithSpaces>19000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2023-12-29T09:12:00Z</dcterms:created>
  <dc:creator>刘国亮</dc:creator>
  <cp:keywords>刘国亮</cp:keywords>
  <cp:lastModifiedBy>Administrator</cp:lastModifiedBy>
  <cp:lastPrinted>2022-11-24T08:45:00Z</cp:lastPrinted>
  <dcterms:modified xsi:type="dcterms:W3CDTF">2025-03-20T08:53:39Z</dcterms:modified>
  <dc:subject>磋商文件</dc:subject>
  <dc:title>竞争性磋商文件规范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35C3D657C5234ECAB4EFD195B74C1E67_13</vt:lpwstr>
  </property>
  <property fmtid="{D5CDD505-2E9C-101B-9397-08002B2CF9AE}" pid="4" name="KSOTemplateDocerSaveRecord">
    <vt:lpwstr>eyJoZGlkIjoiZGNmZDUwNmIwYmJmOWIwZWZjNTlhYjNmNTVkNzExODAiLCJ1c2VySWQiOiIxOTk2NDI0OTUifQ==</vt:lpwstr>
  </property>
</Properties>
</file>