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3FEE2">
      <w:pPr>
        <w:jc w:val="center"/>
        <w:rPr>
          <w:rFonts w:hint="eastAsia" w:ascii="宋体" w:hAnsi="宋体" w:eastAsia="宋体" w:cs="宋体"/>
          <w:color w:val="auto"/>
          <w:highlight w:val="none"/>
        </w:rPr>
      </w:pPr>
    </w:p>
    <w:p w14:paraId="71DBB70F">
      <w:pPr>
        <w:pStyle w:val="12"/>
        <w:ind w:firstLine="5"/>
        <w:jc w:val="center"/>
        <w:rPr>
          <w:rFonts w:hint="eastAsia" w:hAnsi="宋体" w:cs="宋体"/>
          <w:color w:val="auto"/>
          <w:spacing w:val="30"/>
          <w:kern w:val="52"/>
          <w:sz w:val="52"/>
          <w:szCs w:val="52"/>
          <w:highlight w:val="none"/>
        </w:rPr>
      </w:pPr>
      <w:r>
        <w:rPr>
          <w:rFonts w:hAnsi="宋体" w:cs="宋体"/>
          <w:color w:val="auto"/>
          <w:kern w:val="0"/>
          <w:sz w:val="24"/>
          <w:highlight w:val="none"/>
        </w:rPr>
        <w:fldChar w:fldCharType="begin"/>
      </w:r>
      <w:r>
        <w:rPr>
          <w:rFonts w:hAnsi="宋体" w:cs="宋体"/>
          <w:color w:val="auto"/>
          <w:kern w:val="0"/>
          <w:sz w:val="24"/>
          <w:highlight w:val="none"/>
        </w:rPr>
        <w:instrText xml:space="preserve"> INCLUDEPICTURE  "E:\\项目\\2021年项目\\9月份项目\\已开标项目\\AppData\\Roaming\\Tencent\\Users\\317279920\\QQ\\WinTemp\\RichOle\\SAB%252525252525252525252525252525252525252525257d3)31%252525252525252525252525252525252525252525255bD2$YZ~%252525252525252525252525252525252525252525257bKO$61%252525252525252525252525252525252525252525255bO.png" \* MERGEFORMATINET </w:instrText>
      </w:r>
      <w:r>
        <w:rPr>
          <w:rFonts w:hAnsi="宋体" w:cs="宋体"/>
          <w:color w:val="auto"/>
          <w:kern w:val="0"/>
          <w:sz w:val="24"/>
          <w:highlight w:val="none"/>
        </w:rPr>
        <w:fldChar w:fldCharType="separate"/>
      </w:r>
      <w:r>
        <w:rPr>
          <w:rFonts w:hAnsi="宋体" w:cs="宋体"/>
          <w:color w:val="auto"/>
          <w:kern w:val="0"/>
          <w:sz w:val="24"/>
          <w:highlight w:val="none"/>
        </w:rPr>
        <w:drawing>
          <wp:inline distT="0" distB="0" distL="114300" distR="114300">
            <wp:extent cx="3686810" cy="2139315"/>
            <wp:effectExtent l="0" t="0" r="8890" b="6985"/>
            <wp:docPr id="4" name="图片 1" descr="SAB%252525252525252525252525252525252525252525252525257d3)31%252525252525252525252525252525252525252525252525255bD2$YZ~%252525252525252525252525252525252525252525252525257bKO$61%252525252525252525252525252525252525252525252525255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SAB%252525252525252525252525252525252525252525252525257d3)31%252525252525252525252525252525252525252525252525255bD2$YZ~%252525252525252525252525252525252525252525252525257bKO$61%252525252525252525252525252525252525252525252525255bO"/>
                    <pic:cNvPicPr>
                      <a:picLocks noChangeAspect="1"/>
                    </pic:cNvPicPr>
                  </pic:nvPicPr>
                  <pic:blipFill>
                    <a:blip r:embed="rId10"/>
                    <a:srcRect l="10628" t="14285" r="8534" b="5220"/>
                    <a:stretch>
                      <a:fillRect/>
                    </a:stretch>
                  </pic:blipFill>
                  <pic:spPr>
                    <a:xfrm>
                      <a:off x="0" y="0"/>
                      <a:ext cx="3686810" cy="2139315"/>
                    </a:xfrm>
                    <a:prstGeom prst="rect">
                      <a:avLst/>
                    </a:prstGeom>
                    <a:noFill/>
                    <a:ln>
                      <a:noFill/>
                    </a:ln>
                  </pic:spPr>
                </pic:pic>
              </a:graphicData>
            </a:graphic>
          </wp:inline>
        </w:drawing>
      </w:r>
      <w:r>
        <w:rPr>
          <w:rFonts w:hAnsi="宋体" w:cs="宋体"/>
          <w:color w:val="auto"/>
          <w:kern w:val="0"/>
          <w:sz w:val="24"/>
          <w:highlight w:val="none"/>
        </w:rPr>
        <w:fldChar w:fldCharType="end"/>
      </w:r>
    </w:p>
    <w:p w14:paraId="01C322E6">
      <w:pPr>
        <w:pStyle w:val="12"/>
        <w:jc w:val="center"/>
        <w:rPr>
          <w:rFonts w:hint="default" w:hAnsi="宋体" w:cs="宋体"/>
          <w:color w:val="auto"/>
          <w:spacing w:val="30"/>
          <w:kern w:val="52"/>
          <w:sz w:val="48"/>
          <w:szCs w:val="48"/>
          <w:highlight w:val="none"/>
          <w:u w:val="single"/>
          <w:lang w:val="en-US" w:eastAsia="zh-CN"/>
        </w:rPr>
      </w:pPr>
      <w:r>
        <w:rPr>
          <w:rFonts w:hint="eastAsia" w:hAnsi="宋体" w:cs="宋体"/>
          <w:color w:val="auto"/>
          <w:spacing w:val="30"/>
          <w:kern w:val="52"/>
          <w:sz w:val="48"/>
          <w:szCs w:val="48"/>
          <w:highlight w:val="none"/>
          <w:u w:val="single"/>
          <w:lang w:val="en-US" w:eastAsia="zh-CN"/>
        </w:rPr>
        <w:t xml:space="preserve">  </w:t>
      </w:r>
      <w:r>
        <w:rPr>
          <w:rFonts w:hint="eastAsia" w:hAnsi="宋体" w:cs="宋体"/>
          <w:color w:val="auto"/>
          <w:spacing w:val="30"/>
          <w:kern w:val="52"/>
          <w:sz w:val="48"/>
          <w:szCs w:val="48"/>
          <w:highlight w:val="none"/>
          <w:u w:val="single"/>
          <w:lang w:eastAsia="zh-CN"/>
        </w:rPr>
        <w:t>广西圣元达工程咨询有限公司</w:t>
      </w:r>
      <w:r>
        <w:rPr>
          <w:rFonts w:hint="eastAsia" w:hAnsi="宋体" w:cs="宋体"/>
          <w:color w:val="auto"/>
          <w:spacing w:val="30"/>
          <w:kern w:val="52"/>
          <w:sz w:val="48"/>
          <w:szCs w:val="48"/>
          <w:highlight w:val="none"/>
          <w:u w:val="single"/>
          <w:lang w:val="en-US" w:eastAsia="zh-CN"/>
        </w:rPr>
        <w:t xml:space="preserve">  </w:t>
      </w:r>
    </w:p>
    <w:p w14:paraId="46AB23DF">
      <w:pPr>
        <w:pStyle w:val="12"/>
        <w:jc w:val="center"/>
        <w:rPr>
          <w:rFonts w:hint="eastAsia" w:ascii="宋体" w:hAnsi="宋体" w:eastAsia="宋体" w:cs="宋体"/>
          <w:b/>
          <w:color w:val="auto"/>
          <w:spacing w:val="-18"/>
          <w:sz w:val="84"/>
          <w:szCs w:val="84"/>
          <w:highlight w:val="none"/>
        </w:rPr>
      </w:pPr>
      <w:r>
        <w:rPr>
          <w:rFonts w:hint="eastAsia" w:ascii="宋体" w:hAnsi="宋体" w:eastAsia="宋体" w:cs="宋体"/>
          <w:b/>
          <w:color w:val="auto"/>
          <w:sz w:val="84"/>
          <w:szCs w:val="84"/>
          <w:highlight w:val="none"/>
          <w:lang w:eastAsia="zh-CN"/>
        </w:rPr>
        <w:t>单一来源</w:t>
      </w:r>
      <w:r>
        <w:rPr>
          <w:rFonts w:hint="eastAsia" w:ascii="宋体" w:hAnsi="宋体" w:eastAsia="宋体" w:cs="宋体"/>
          <w:b/>
          <w:color w:val="auto"/>
          <w:sz w:val="84"/>
          <w:szCs w:val="84"/>
          <w:highlight w:val="none"/>
        </w:rPr>
        <w:t>采购文件</w:t>
      </w:r>
    </w:p>
    <w:p w14:paraId="30393C2F">
      <w:pPr>
        <w:pStyle w:val="12"/>
        <w:rPr>
          <w:rFonts w:hint="eastAsia" w:ascii="宋体" w:hAnsi="宋体" w:eastAsia="宋体" w:cs="宋体"/>
          <w:b/>
          <w:color w:val="auto"/>
          <w:highlight w:val="none"/>
        </w:rPr>
      </w:pPr>
    </w:p>
    <w:p w14:paraId="55E8DA6D">
      <w:pPr>
        <w:pStyle w:val="12"/>
        <w:rPr>
          <w:rFonts w:hint="eastAsia" w:ascii="宋体" w:hAnsi="宋体" w:eastAsia="宋体" w:cs="宋体"/>
          <w:b/>
          <w:color w:val="auto"/>
          <w:highlight w:val="none"/>
        </w:rPr>
      </w:pPr>
    </w:p>
    <w:p w14:paraId="3B6000AB">
      <w:pPr>
        <w:pStyle w:val="12"/>
        <w:rPr>
          <w:rFonts w:hint="eastAsia" w:ascii="宋体" w:hAnsi="宋体" w:eastAsia="宋体" w:cs="宋体"/>
          <w:b/>
          <w:color w:val="auto"/>
          <w:highlight w:val="none"/>
        </w:rPr>
      </w:pPr>
    </w:p>
    <w:p w14:paraId="10AB559B">
      <w:pPr>
        <w:pStyle w:val="12"/>
        <w:rPr>
          <w:rFonts w:hint="eastAsia" w:ascii="宋体" w:hAnsi="宋体" w:eastAsia="宋体" w:cs="宋体"/>
          <w:b/>
          <w:color w:val="auto"/>
          <w:highlight w:val="none"/>
        </w:rPr>
      </w:pPr>
    </w:p>
    <w:p w14:paraId="21FBA55F">
      <w:pPr>
        <w:snapToGrid w:val="0"/>
        <w:spacing w:before="156" w:beforeLines="50" w:line="360" w:lineRule="auto"/>
        <w:rPr>
          <w:rFonts w:hint="eastAsia" w:ascii="宋体" w:hAnsi="宋体" w:eastAsia="宋体" w:cs="宋体"/>
          <w:b/>
          <w:color w:val="auto"/>
          <w:sz w:val="32"/>
          <w:szCs w:val="32"/>
          <w:highlight w:val="none"/>
        </w:rPr>
      </w:pPr>
    </w:p>
    <w:p w14:paraId="2F89ABAD">
      <w:pPr>
        <w:snapToGrid w:val="0"/>
        <w:spacing w:before="156" w:beforeLines="50" w:line="360" w:lineRule="auto"/>
        <w:rPr>
          <w:rFonts w:hint="eastAsia" w:ascii="宋体" w:hAnsi="宋体" w:eastAsia="宋体" w:cs="宋体"/>
          <w:b/>
          <w:color w:val="auto"/>
          <w:sz w:val="32"/>
          <w:szCs w:val="32"/>
          <w:highlight w:val="none"/>
        </w:rPr>
      </w:pPr>
    </w:p>
    <w:p w14:paraId="683F5BEF">
      <w:pPr>
        <w:snapToGrid w:val="0"/>
        <w:spacing w:before="156" w:beforeLines="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项目名称：</w:t>
      </w:r>
      <w:r>
        <w:rPr>
          <w:rFonts w:hint="eastAsia" w:ascii="宋体" w:hAnsi="宋体" w:cs="宋体"/>
          <w:b/>
          <w:color w:val="auto"/>
          <w:sz w:val="32"/>
          <w:szCs w:val="32"/>
          <w:highlight w:val="none"/>
          <w:lang w:eastAsia="zh-CN"/>
        </w:rPr>
        <w:t>覃塘区人民医院信息系统换代升级建设项目</w:t>
      </w:r>
    </w:p>
    <w:p w14:paraId="73E431C9">
      <w:pPr>
        <w:snapToGrid w:val="0"/>
        <w:spacing w:before="156" w:beforeLines="50" w:line="360" w:lineRule="auto"/>
        <w:ind w:firstLine="964" w:firstLineChars="300"/>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GGZC2025-D3-040002-GXSY</w:t>
      </w:r>
    </w:p>
    <w:p w14:paraId="49BE3519">
      <w:pPr>
        <w:snapToGrid w:val="0"/>
        <w:spacing w:before="156" w:beforeLines="50" w:line="360" w:lineRule="auto"/>
        <w:ind w:firstLine="964" w:firstLineChars="300"/>
        <w:rPr>
          <w:rFonts w:hint="default" w:ascii="宋体" w:hAnsi="宋体" w:eastAsia="宋体" w:cs="宋体"/>
          <w:b/>
          <w:color w:val="auto"/>
          <w:sz w:val="32"/>
          <w:szCs w:val="32"/>
          <w:highlight w:val="none"/>
          <w:lang w:val="en-US"/>
        </w:rPr>
      </w:pPr>
      <w:r>
        <w:rPr>
          <w:rFonts w:hint="eastAsia" w:ascii="宋体" w:hAnsi="宋体" w:cs="宋体"/>
          <w:b/>
          <w:color w:val="auto"/>
          <w:sz w:val="32"/>
          <w:szCs w:val="32"/>
          <w:highlight w:val="none"/>
          <w:lang w:val="en-US" w:eastAsia="zh-CN"/>
        </w:rPr>
        <w:t>政府采购计划表：TTZC2025-D3-00009</w:t>
      </w:r>
    </w:p>
    <w:p w14:paraId="6C4B2BAC">
      <w:pPr>
        <w:snapToGrid w:val="0"/>
        <w:spacing w:before="156" w:beforeLines="50" w:line="360" w:lineRule="auto"/>
        <w:ind w:firstLine="2159" w:firstLineChars="672"/>
        <w:rPr>
          <w:rFonts w:hint="eastAsia" w:ascii="宋体" w:hAnsi="宋体" w:eastAsia="宋体" w:cs="宋体"/>
          <w:b/>
          <w:color w:val="auto"/>
          <w:sz w:val="32"/>
          <w:szCs w:val="32"/>
          <w:highlight w:val="none"/>
        </w:rPr>
      </w:pPr>
    </w:p>
    <w:p w14:paraId="43A272B4">
      <w:pPr>
        <w:pStyle w:val="13"/>
        <w:rPr>
          <w:rFonts w:hint="eastAsia" w:ascii="宋体" w:hAnsi="宋体" w:eastAsia="宋体" w:cs="宋体"/>
          <w:b/>
          <w:color w:val="auto"/>
          <w:sz w:val="32"/>
          <w:szCs w:val="32"/>
          <w:highlight w:val="none"/>
        </w:rPr>
      </w:pPr>
    </w:p>
    <w:p w14:paraId="2D92B03A">
      <w:pPr>
        <w:rPr>
          <w:rFonts w:hint="eastAsia"/>
          <w:color w:val="auto"/>
          <w:highlight w:val="none"/>
        </w:rPr>
      </w:pPr>
    </w:p>
    <w:p w14:paraId="284BE1B5">
      <w:pPr>
        <w:pStyle w:val="13"/>
        <w:rPr>
          <w:rFonts w:hint="eastAsia"/>
          <w:color w:val="auto"/>
          <w:highlight w:val="none"/>
        </w:rPr>
      </w:pPr>
    </w:p>
    <w:p w14:paraId="33E8F412">
      <w:pPr>
        <w:rPr>
          <w:rFonts w:hint="eastAsia"/>
          <w:color w:val="auto"/>
          <w:highlight w:val="none"/>
        </w:rPr>
      </w:pPr>
    </w:p>
    <w:p w14:paraId="05074859">
      <w:pPr>
        <w:snapToGrid w:val="0"/>
        <w:spacing w:before="156" w:beforeLines="50" w:line="360" w:lineRule="auto"/>
        <w:ind w:firstLine="1606" w:firstLineChars="500"/>
        <w:jc w:val="both"/>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贵港市覃塘区人民医院</w:t>
      </w:r>
    </w:p>
    <w:p w14:paraId="5ECF7989">
      <w:pPr>
        <w:snapToGrid w:val="0"/>
        <w:spacing w:before="156" w:beforeLines="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eastAsia="zh-CN"/>
        </w:rPr>
        <w:t>广西圣元达工程咨询有限公司</w:t>
      </w:r>
    </w:p>
    <w:p w14:paraId="7EEA7205">
      <w:pPr>
        <w:snapToGrid w:val="0"/>
        <w:spacing w:before="156" w:beforeLines="50" w:line="360" w:lineRule="auto"/>
        <w:jc w:val="center"/>
        <w:rPr>
          <w:rFonts w:hint="default" w:ascii="宋体" w:hAnsi="宋体" w:eastAsia="宋体" w:cs="宋体"/>
          <w:b/>
          <w:bCs/>
          <w:color w:val="auto"/>
          <w:kern w:val="0"/>
          <w:sz w:val="30"/>
          <w:szCs w:val="30"/>
          <w:highlight w:val="none"/>
          <w:lang w:val="en-US" w:eastAsia="zh-CN"/>
        </w:rPr>
        <w:sectPr>
          <w:headerReference r:id="rId5" w:type="first"/>
          <w:footerReference r:id="rId6" w:type="first"/>
          <w:headerReference r:id="rId3" w:type="default"/>
          <w:headerReference r:id="rId4" w:type="even"/>
          <w:pgSz w:w="11906" w:h="16838"/>
          <w:pgMar w:top="1134" w:right="1134" w:bottom="1134" w:left="1134" w:header="720" w:footer="720" w:gutter="0"/>
          <w:pgNumType w:start="0"/>
          <w:cols w:space="720" w:num="1"/>
          <w:docGrid w:linePitch="331" w:charSpace="0"/>
        </w:sectPr>
      </w:pPr>
      <w:r>
        <w:rPr>
          <w:rFonts w:hint="eastAsia" w:ascii="宋体" w:hAnsi="宋体" w:eastAsia="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rPr>
        <w:t>月</w:t>
      </w:r>
    </w:p>
    <w:sdt>
      <w:sdtPr>
        <w:rPr>
          <w:rFonts w:hint="eastAsia" w:ascii="宋体" w:hAnsi="宋体" w:eastAsia="宋体" w:cs="宋体"/>
          <w:b/>
          <w:bCs/>
          <w:color w:val="auto"/>
          <w:kern w:val="2"/>
          <w:sz w:val="48"/>
          <w:szCs w:val="48"/>
          <w:highlight w:val="none"/>
          <w:lang w:val="en-US" w:eastAsia="zh-CN" w:bidi="ar-SA"/>
        </w:rPr>
        <w:id w:val="147457133"/>
        <w15:color w:val="DBDBDB"/>
        <w:docPartObj>
          <w:docPartGallery w:val="Table of Contents"/>
          <w:docPartUnique/>
        </w:docPartObj>
      </w:sdtPr>
      <w:sdtEndPr>
        <w:rPr>
          <w:rFonts w:hint="eastAsia" w:ascii="宋体" w:hAnsi="宋体" w:eastAsia="宋体" w:cs="Times New Roman"/>
          <w:b/>
          <w:bCs/>
          <w:color w:val="auto"/>
          <w:kern w:val="2"/>
          <w:sz w:val="21"/>
          <w:szCs w:val="44"/>
          <w:highlight w:val="none"/>
          <w:lang w:val="en-US" w:eastAsia="zh-CN" w:bidi="ar-SA"/>
        </w:rPr>
      </w:sdtEndPr>
      <w:sdtContent>
        <w:p w14:paraId="06EA2B9E">
          <w:pPr>
            <w:keepNext w:val="0"/>
            <w:keepLines w:val="0"/>
            <w:pageBreakBefore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rPr>
            <w:t>录</w:t>
          </w:r>
        </w:p>
        <w:p w14:paraId="53800EAD">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p>
        <w:p w14:paraId="575B20AF">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TOC \o "1-1" \h \u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_Toc1520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第一章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单一来源采购邀请函</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_Toc1520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2</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04FF879E">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_Toc18912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第二章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供应商须知</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_Toc18912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5</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314FE2CC">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_Toc10787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第三章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采购需求</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_Toc10787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15</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7CFA9E60">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_Toc16403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第四章  评审程序和评定成交的标准</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_Toc16403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20</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679372B5">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_Toc26950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第五章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响应文件格式</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_Toc26950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27</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460A06A2">
          <w:pPr>
            <w:pStyle w:val="26"/>
            <w:keepNext w:val="0"/>
            <w:keepLines w:val="0"/>
            <w:pageBreakBefore w:val="0"/>
            <w:tabs>
              <w:tab w:val="right" w:leader="dot" w:pos="9848"/>
            </w:tabs>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HYPERLINK \l _Toc16152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第六章</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合同文本</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 PAGEREF _Toc16152 \h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
              <w:bCs/>
              <w:color w:val="auto"/>
              <w:sz w:val="30"/>
              <w:szCs w:val="30"/>
              <w:highlight w:val="none"/>
            </w:rPr>
            <w:t>41</w:t>
          </w:r>
          <w:r>
            <w:rPr>
              <w:rFonts w:hint="eastAsia" w:ascii="宋体" w:hAnsi="宋体" w:eastAsia="宋体" w:cs="宋体"/>
              <w:b/>
              <w:bCs/>
              <w:color w:val="auto"/>
              <w:sz w:val="30"/>
              <w:szCs w:val="30"/>
              <w:highlight w:val="none"/>
            </w:rPr>
            <w:fldChar w:fldCharType="end"/>
          </w:r>
          <w:r>
            <w:rPr>
              <w:rFonts w:hint="eastAsia" w:ascii="宋体" w:hAnsi="宋体" w:eastAsia="宋体" w:cs="宋体"/>
              <w:b/>
              <w:bCs/>
              <w:color w:val="auto"/>
              <w:sz w:val="30"/>
              <w:szCs w:val="30"/>
              <w:highlight w:val="none"/>
            </w:rPr>
            <w:fldChar w:fldCharType="end"/>
          </w:r>
        </w:p>
        <w:p w14:paraId="6403B06C">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宋体" w:hAnsi="宋体"/>
              <w:b/>
              <w:color w:val="auto"/>
              <w:sz w:val="44"/>
              <w:szCs w:val="44"/>
              <w:highlight w:val="none"/>
            </w:rPr>
          </w:pPr>
          <w:r>
            <w:rPr>
              <w:rFonts w:hint="eastAsia" w:ascii="宋体" w:hAnsi="宋体" w:eastAsia="宋体" w:cs="宋体"/>
              <w:b/>
              <w:bCs/>
              <w:color w:val="auto"/>
              <w:sz w:val="30"/>
              <w:szCs w:val="30"/>
              <w:highlight w:val="none"/>
            </w:rPr>
            <w:fldChar w:fldCharType="end"/>
          </w:r>
        </w:p>
      </w:sdtContent>
    </w:sdt>
    <w:p w14:paraId="52B27A9D">
      <w:pPr>
        <w:pStyle w:val="1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宋体" w:hAnsi="宋体" w:eastAsia="宋体" w:cs="宋体"/>
          <w:color w:val="auto"/>
          <w:sz w:val="44"/>
          <w:highlight w:val="none"/>
        </w:rPr>
      </w:pPr>
    </w:p>
    <w:p w14:paraId="7F4BEF47">
      <w:pPr>
        <w:spacing w:line="540" w:lineRule="exact"/>
        <w:jc w:val="center"/>
        <w:rPr>
          <w:rFonts w:hint="eastAsia" w:ascii="宋体" w:hAnsi="宋体" w:eastAsia="宋体" w:cs="宋体"/>
          <w:b/>
          <w:color w:val="auto"/>
          <w:sz w:val="32"/>
          <w:szCs w:val="32"/>
          <w:highlight w:val="none"/>
          <w:lang w:eastAsia="zh-CN"/>
        </w:rPr>
      </w:pPr>
    </w:p>
    <w:p w14:paraId="4B10BABA">
      <w:pPr>
        <w:spacing w:line="540" w:lineRule="exact"/>
        <w:jc w:val="center"/>
        <w:rPr>
          <w:rFonts w:hint="eastAsia" w:ascii="宋体" w:hAnsi="宋体" w:eastAsia="宋体" w:cs="宋体"/>
          <w:b/>
          <w:color w:val="auto"/>
          <w:sz w:val="32"/>
          <w:szCs w:val="32"/>
          <w:highlight w:val="none"/>
          <w:lang w:eastAsia="zh-CN"/>
        </w:rPr>
      </w:pPr>
    </w:p>
    <w:p w14:paraId="2960BDE1">
      <w:pPr>
        <w:spacing w:line="540" w:lineRule="exact"/>
        <w:jc w:val="center"/>
        <w:rPr>
          <w:rFonts w:hint="eastAsia" w:ascii="宋体" w:hAnsi="宋体" w:eastAsia="宋体" w:cs="宋体"/>
          <w:b/>
          <w:color w:val="auto"/>
          <w:sz w:val="32"/>
          <w:szCs w:val="32"/>
          <w:highlight w:val="none"/>
          <w:lang w:eastAsia="zh-CN"/>
        </w:rPr>
      </w:pPr>
    </w:p>
    <w:p w14:paraId="182C327A">
      <w:pPr>
        <w:spacing w:line="540" w:lineRule="exact"/>
        <w:jc w:val="center"/>
        <w:rPr>
          <w:rFonts w:hint="eastAsia" w:ascii="宋体" w:hAnsi="宋体" w:eastAsia="宋体" w:cs="宋体"/>
          <w:b/>
          <w:color w:val="auto"/>
          <w:sz w:val="32"/>
          <w:szCs w:val="32"/>
          <w:highlight w:val="none"/>
          <w:lang w:eastAsia="zh-CN"/>
        </w:rPr>
      </w:pPr>
    </w:p>
    <w:p w14:paraId="2AB4A7E6">
      <w:pPr>
        <w:spacing w:line="540" w:lineRule="exact"/>
        <w:jc w:val="center"/>
        <w:rPr>
          <w:rFonts w:hint="eastAsia" w:ascii="宋体" w:hAnsi="宋体" w:eastAsia="宋体" w:cs="宋体"/>
          <w:b/>
          <w:color w:val="auto"/>
          <w:sz w:val="32"/>
          <w:szCs w:val="32"/>
          <w:highlight w:val="none"/>
          <w:lang w:eastAsia="zh-CN"/>
        </w:rPr>
      </w:pPr>
    </w:p>
    <w:p w14:paraId="12CD3320">
      <w:pPr>
        <w:spacing w:line="540" w:lineRule="exact"/>
        <w:jc w:val="center"/>
        <w:rPr>
          <w:rFonts w:hint="eastAsia" w:ascii="宋体" w:hAnsi="宋体" w:eastAsia="宋体" w:cs="宋体"/>
          <w:b/>
          <w:color w:val="auto"/>
          <w:sz w:val="32"/>
          <w:szCs w:val="32"/>
          <w:highlight w:val="none"/>
          <w:lang w:eastAsia="zh-CN"/>
        </w:rPr>
      </w:pPr>
    </w:p>
    <w:p w14:paraId="14545CDE">
      <w:pPr>
        <w:spacing w:line="540" w:lineRule="exact"/>
        <w:jc w:val="center"/>
        <w:rPr>
          <w:rFonts w:hint="eastAsia" w:ascii="宋体" w:hAnsi="宋体" w:eastAsia="宋体" w:cs="宋体"/>
          <w:b/>
          <w:color w:val="auto"/>
          <w:sz w:val="32"/>
          <w:szCs w:val="32"/>
          <w:highlight w:val="none"/>
          <w:lang w:eastAsia="zh-CN"/>
        </w:rPr>
      </w:pPr>
    </w:p>
    <w:p w14:paraId="2A1146A8">
      <w:pPr>
        <w:spacing w:line="540" w:lineRule="exact"/>
        <w:jc w:val="center"/>
        <w:rPr>
          <w:rFonts w:hint="eastAsia" w:ascii="宋体" w:hAnsi="宋体" w:eastAsia="宋体" w:cs="宋体"/>
          <w:b/>
          <w:color w:val="auto"/>
          <w:sz w:val="32"/>
          <w:szCs w:val="32"/>
          <w:highlight w:val="none"/>
          <w:lang w:eastAsia="zh-CN"/>
        </w:rPr>
      </w:pPr>
    </w:p>
    <w:p w14:paraId="77255386">
      <w:pPr>
        <w:spacing w:line="540" w:lineRule="exact"/>
        <w:jc w:val="center"/>
        <w:rPr>
          <w:rFonts w:hint="eastAsia" w:ascii="宋体" w:hAnsi="宋体" w:eastAsia="宋体" w:cs="宋体"/>
          <w:b/>
          <w:color w:val="auto"/>
          <w:sz w:val="32"/>
          <w:szCs w:val="32"/>
          <w:highlight w:val="none"/>
          <w:lang w:eastAsia="zh-CN"/>
        </w:rPr>
      </w:pPr>
    </w:p>
    <w:p w14:paraId="4C60DE52">
      <w:pPr>
        <w:spacing w:line="540" w:lineRule="exact"/>
        <w:jc w:val="center"/>
        <w:rPr>
          <w:rFonts w:hint="eastAsia" w:ascii="宋体" w:hAnsi="宋体" w:eastAsia="宋体" w:cs="宋体"/>
          <w:b/>
          <w:color w:val="auto"/>
          <w:sz w:val="32"/>
          <w:szCs w:val="32"/>
          <w:highlight w:val="none"/>
          <w:lang w:eastAsia="zh-CN"/>
        </w:rPr>
      </w:pPr>
    </w:p>
    <w:p w14:paraId="53F1514F">
      <w:pPr>
        <w:spacing w:line="540" w:lineRule="exact"/>
        <w:jc w:val="center"/>
        <w:rPr>
          <w:rFonts w:hint="eastAsia" w:ascii="宋体" w:hAnsi="宋体" w:eastAsia="宋体" w:cs="宋体"/>
          <w:b/>
          <w:color w:val="auto"/>
          <w:sz w:val="32"/>
          <w:szCs w:val="32"/>
          <w:highlight w:val="none"/>
          <w:lang w:eastAsia="zh-CN"/>
        </w:rPr>
      </w:pPr>
    </w:p>
    <w:p w14:paraId="252FBF22">
      <w:pPr>
        <w:spacing w:line="540" w:lineRule="exact"/>
        <w:jc w:val="center"/>
        <w:rPr>
          <w:rFonts w:hint="eastAsia" w:ascii="宋体" w:hAnsi="宋体" w:eastAsia="宋体" w:cs="宋体"/>
          <w:b/>
          <w:color w:val="auto"/>
          <w:sz w:val="32"/>
          <w:szCs w:val="32"/>
          <w:highlight w:val="none"/>
          <w:lang w:eastAsia="zh-CN"/>
        </w:rPr>
      </w:pPr>
    </w:p>
    <w:p w14:paraId="0C2FF2B5">
      <w:pPr>
        <w:spacing w:line="540" w:lineRule="exact"/>
        <w:jc w:val="center"/>
        <w:rPr>
          <w:rFonts w:hint="eastAsia" w:ascii="宋体" w:hAnsi="宋体" w:eastAsia="宋体" w:cs="宋体"/>
          <w:b/>
          <w:color w:val="auto"/>
          <w:sz w:val="32"/>
          <w:szCs w:val="32"/>
          <w:highlight w:val="none"/>
          <w:lang w:eastAsia="zh-CN"/>
        </w:rPr>
      </w:pPr>
    </w:p>
    <w:p w14:paraId="0F11D42A">
      <w:pPr>
        <w:spacing w:line="540" w:lineRule="exact"/>
        <w:jc w:val="center"/>
        <w:rPr>
          <w:rFonts w:hint="eastAsia" w:ascii="宋体" w:hAnsi="宋体" w:eastAsia="宋体" w:cs="宋体"/>
          <w:b/>
          <w:color w:val="auto"/>
          <w:sz w:val="32"/>
          <w:szCs w:val="32"/>
          <w:highlight w:val="none"/>
          <w:lang w:eastAsia="zh-CN"/>
        </w:rPr>
      </w:pPr>
    </w:p>
    <w:p w14:paraId="36B1A4FE">
      <w:pPr>
        <w:spacing w:line="540" w:lineRule="exact"/>
        <w:jc w:val="both"/>
        <w:rPr>
          <w:rFonts w:hint="eastAsia" w:ascii="宋体" w:hAnsi="宋体" w:eastAsia="宋体" w:cs="宋体"/>
          <w:b/>
          <w:color w:val="auto"/>
          <w:sz w:val="32"/>
          <w:szCs w:val="32"/>
          <w:highlight w:val="none"/>
          <w:lang w:eastAsia="zh-CN"/>
        </w:rPr>
      </w:pPr>
    </w:p>
    <w:p w14:paraId="205E358E">
      <w:pPr>
        <w:pStyle w:val="12"/>
        <w:spacing w:line="500" w:lineRule="exact"/>
        <w:jc w:val="center"/>
        <w:rPr>
          <w:rFonts w:hint="eastAsia" w:ascii="宋体" w:hAnsi="宋体" w:eastAsia="宋体" w:cs="宋体"/>
          <w:b/>
          <w:color w:val="auto"/>
          <w:sz w:val="36"/>
          <w:szCs w:val="36"/>
          <w:highlight w:val="none"/>
        </w:rPr>
      </w:pPr>
      <w:bookmarkStart w:id="0" w:name="_Toc28359001"/>
      <w:bookmarkStart w:id="1" w:name="_Toc35393789"/>
    </w:p>
    <w:p w14:paraId="18E1FA02">
      <w:pPr>
        <w:pStyle w:val="12"/>
        <w:spacing w:line="500" w:lineRule="exact"/>
        <w:jc w:val="center"/>
        <w:outlineLvl w:val="0"/>
        <w:rPr>
          <w:rFonts w:hint="eastAsia" w:ascii="宋体" w:hAnsi="宋体" w:eastAsia="宋体" w:cs="宋体"/>
          <w:b/>
          <w:color w:val="auto"/>
          <w:sz w:val="36"/>
          <w:szCs w:val="36"/>
          <w:highlight w:val="none"/>
          <w:lang w:eastAsia="zh-CN"/>
        </w:rPr>
      </w:pPr>
      <w:bookmarkStart w:id="2" w:name="_Toc1520"/>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bookmarkEnd w:id="2"/>
      <w:r>
        <w:rPr>
          <w:rFonts w:hint="eastAsia" w:ascii="宋体" w:hAnsi="宋体" w:eastAsia="宋体" w:cs="宋体"/>
          <w:b/>
          <w:color w:val="auto"/>
          <w:sz w:val="36"/>
          <w:szCs w:val="36"/>
          <w:highlight w:val="none"/>
          <w:lang w:eastAsia="zh-CN"/>
        </w:rPr>
        <w:t>单一来源采购邀请函</w:t>
      </w:r>
    </w:p>
    <w:bookmarkEnd w:id="0"/>
    <w:bookmarkEnd w:id="1"/>
    <w:p w14:paraId="6489F4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sz w:val="21"/>
          <w:szCs w:val="21"/>
          <w:highlight w:val="none"/>
        </w:rPr>
      </w:pPr>
    </w:p>
    <w:p w14:paraId="777C8994">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众阳健康科技集团有限公司：</w:t>
      </w:r>
    </w:p>
    <w:p w14:paraId="13686496">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广西圣元达工程咨询有限公司</w:t>
      </w:r>
      <w:r>
        <w:rPr>
          <w:rFonts w:hint="eastAsia" w:ascii="宋体" w:hAnsi="宋体" w:eastAsia="宋体" w:cs="宋体"/>
          <w:b w:val="0"/>
          <w:bCs w:val="0"/>
          <w:color w:val="auto"/>
          <w:sz w:val="21"/>
          <w:szCs w:val="21"/>
          <w:highlight w:val="none"/>
        </w:rPr>
        <w:t>受</w:t>
      </w:r>
      <w:r>
        <w:rPr>
          <w:rFonts w:hint="eastAsia" w:ascii="宋体" w:hAnsi="宋体" w:cs="宋体"/>
          <w:b w:val="0"/>
          <w:bCs w:val="0"/>
          <w:color w:val="auto"/>
          <w:sz w:val="21"/>
          <w:szCs w:val="21"/>
          <w:highlight w:val="none"/>
          <w:lang w:eastAsia="zh-CN"/>
        </w:rPr>
        <w:t>贵港市覃塘区人民医院</w:t>
      </w:r>
      <w:r>
        <w:rPr>
          <w:rFonts w:hint="eastAsia" w:ascii="宋体" w:hAnsi="宋体" w:eastAsia="宋体" w:cs="宋体"/>
          <w:b w:val="0"/>
          <w:bCs w:val="0"/>
          <w:color w:val="auto"/>
          <w:sz w:val="21"/>
          <w:szCs w:val="21"/>
          <w:highlight w:val="none"/>
        </w:rPr>
        <w:t>的委托，拟对</w:t>
      </w:r>
      <w:r>
        <w:rPr>
          <w:rFonts w:hint="eastAsia" w:ascii="宋体" w:hAnsi="宋体" w:cs="宋体"/>
          <w:b w:val="0"/>
          <w:bCs w:val="0"/>
          <w:color w:val="auto"/>
          <w:sz w:val="21"/>
          <w:szCs w:val="21"/>
          <w:highlight w:val="none"/>
          <w:lang w:eastAsia="zh-CN"/>
        </w:rPr>
        <w:t>覃塘区人民医院信息系统换代升级建设项目</w:t>
      </w:r>
      <w:r>
        <w:rPr>
          <w:rFonts w:hint="eastAsia" w:ascii="宋体" w:hAnsi="宋体" w:eastAsia="宋体" w:cs="宋体"/>
          <w:b w:val="0"/>
          <w:bCs w:val="0"/>
          <w:color w:val="auto"/>
          <w:sz w:val="21"/>
          <w:szCs w:val="21"/>
          <w:highlight w:val="none"/>
        </w:rPr>
        <w:t>进行单一来源采购，特邀请贵单位参加报价协商，现将有关事项通知如下：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255D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14:paraId="17DCB635">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14:paraId="123BEE37">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lang w:eastAsia="zh-CN"/>
              </w:rPr>
              <w:t>覃塘区人民医院信息系统换代升级建设项目</w:t>
            </w:r>
            <w:r>
              <w:rPr>
                <w:rFonts w:hint="eastAsia" w:ascii="宋体" w:hAnsi="宋体" w:eastAsia="宋体" w:cs="宋体"/>
                <w:color w:val="auto"/>
                <w:sz w:val="21"/>
                <w:szCs w:val="21"/>
                <w:highlight w:val="none"/>
              </w:rPr>
              <w:t>的单一来源供应商应在</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获取单一来源采购文件，并于</w:t>
            </w:r>
            <w:r>
              <w:rPr>
                <w:rFonts w:hint="eastAsia" w:ascii="宋体" w:hAnsi="宋体" w:cs="宋体"/>
                <w:color w:val="auto"/>
                <w:sz w:val="21"/>
                <w:szCs w:val="21"/>
                <w:highlight w:val="none"/>
                <w:lang w:eastAsia="zh-CN"/>
              </w:rPr>
              <w:t>2025年1月23日9时00分</w:t>
            </w:r>
            <w:r>
              <w:rPr>
                <w:rFonts w:hint="eastAsia" w:ascii="宋体" w:hAnsi="宋体" w:eastAsia="宋体" w:cs="宋体"/>
                <w:color w:val="auto"/>
                <w:sz w:val="21"/>
                <w:szCs w:val="21"/>
                <w:highlight w:val="none"/>
              </w:rPr>
              <w:t>（北京时间）前提交响应文件。</w:t>
            </w:r>
          </w:p>
        </w:tc>
      </w:tr>
    </w:tbl>
    <w:p w14:paraId="1B577CC8">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CD28178">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GGZC2025-D3-040002-GXSY</w:t>
      </w:r>
    </w:p>
    <w:p w14:paraId="47713ECB">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覃塘区人民医院信息系统换代升级建设项目</w:t>
      </w:r>
    </w:p>
    <w:p w14:paraId="10BBD90E">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采购方式：单一来源采购</w:t>
      </w:r>
    </w:p>
    <w:p w14:paraId="05A297C3">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139.3</w:t>
      </w:r>
      <w:r>
        <w:rPr>
          <w:rFonts w:hint="eastAsia" w:ascii="宋体" w:hAnsi="宋体" w:eastAsia="宋体" w:cs="宋体"/>
          <w:color w:val="auto"/>
          <w:sz w:val="21"/>
          <w:szCs w:val="21"/>
          <w:highlight w:val="none"/>
        </w:rPr>
        <w:t>万元。</w:t>
      </w:r>
    </w:p>
    <w:p w14:paraId="27ACCC7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p>
    <w:p w14:paraId="16504A33">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rPr>
        <w:t>为进一步加强医院信息化建设及管理工作，不断提高信息化建设及管理水平，现对覃塘区人民医院云健康智慧医院信息系统换代升级服务一项，具体内容和数量以单一来源采购文件第三章《采购项目需求一览表》为准。</w:t>
      </w:r>
    </w:p>
    <w:p w14:paraId="19CD01D1">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u w:val="single"/>
        </w:rPr>
        <w:t>自合同签订生效之日起3个月内完成。</w:t>
      </w:r>
    </w:p>
    <w:p w14:paraId="62981E12">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14:paraId="55C644FD">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二、申请人的资格条件</w:t>
      </w:r>
    </w:p>
    <w:p w14:paraId="4508DB3A">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满足《中华人民共和国政府采购法》第二十二条规定；</w:t>
      </w:r>
    </w:p>
    <w:p w14:paraId="46A70DA5">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落实政府采购政策需满足的资格要求：</w:t>
      </w:r>
      <w:r>
        <w:rPr>
          <w:rFonts w:hint="eastAsia" w:ascii="宋体" w:hAnsi="宋体" w:cs="宋体"/>
          <w:color w:val="auto"/>
          <w:sz w:val="21"/>
          <w:szCs w:val="21"/>
          <w:highlight w:val="none"/>
          <w:lang w:eastAsia="zh-CN"/>
        </w:rPr>
        <w:t>无</w:t>
      </w:r>
      <w:r>
        <w:rPr>
          <w:rFonts w:hint="eastAsia" w:ascii="宋体" w:hAnsi="宋体" w:eastAsia="宋体" w:cs="宋体"/>
          <w:color w:val="auto"/>
          <w:sz w:val="21"/>
          <w:szCs w:val="21"/>
          <w:highlight w:val="none"/>
        </w:rPr>
        <w:t>；</w:t>
      </w:r>
    </w:p>
    <w:p w14:paraId="01D942B7">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本项目的特定资格要求：</w:t>
      </w:r>
      <w:r>
        <w:rPr>
          <w:rFonts w:hint="eastAsia" w:ascii="宋体" w:hAnsi="宋体" w:cs="宋体"/>
          <w:color w:val="auto"/>
          <w:sz w:val="21"/>
          <w:szCs w:val="21"/>
          <w:highlight w:val="none"/>
          <w:lang w:eastAsia="zh-CN"/>
        </w:rPr>
        <w:t>无</w:t>
      </w:r>
      <w:r>
        <w:rPr>
          <w:rFonts w:hint="eastAsia" w:ascii="宋体" w:hAnsi="宋体" w:eastAsia="宋体" w:cs="宋体"/>
          <w:color w:val="auto"/>
          <w:sz w:val="21"/>
          <w:szCs w:val="21"/>
          <w:highlight w:val="none"/>
        </w:rPr>
        <w:t>。</w:t>
      </w:r>
    </w:p>
    <w:p w14:paraId="751ADBD4">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三、获取单一来源采购文件</w:t>
      </w:r>
    </w:p>
    <w:p w14:paraId="54240ADD">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日起至</w:t>
      </w:r>
      <w:r>
        <w:rPr>
          <w:rFonts w:hint="eastAsia" w:ascii="宋体" w:hAnsi="宋体" w:cs="Arial"/>
          <w:color w:val="auto"/>
          <w:highlight w:val="none"/>
        </w:rPr>
        <w:t>响应文件提交的截止时间止</w:t>
      </w:r>
      <w:r>
        <w:rPr>
          <w:rFonts w:hint="eastAsia" w:ascii="宋体" w:hAnsi="宋体" w:eastAsia="宋体" w:cs="宋体"/>
          <w:color w:val="auto"/>
          <w:sz w:val="21"/>
          <w:szCs w:val="21"/>
          <w:highlight w:val="none"/>
        </w:rPr>
        <w:t>，</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p>
    <w:p w14:paraId="13F3647F">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w:t>
      </w:r>
    </w:p>
    <w:p w14:paraId="0F54C922">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方式：网上下载。本项目不发放纸质文件，供应商应自行在</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下载单一来源采购文件（操作路径：登录</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-项目采购-获取采购文件-找到本项目-点击“申请获取采购文件”），电子响应文件制作需要基于</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获取的单一来源采购文件编制。</w:t>
      </w:r>
    </w:p>
    <w:p w14:paraId="2873FC62">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14:paraId="0A842576">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首次响应文件提交截止时间：</w:t>
      </w:r>
      <w:r>
        <w:rPr>
          <w:rFonts w:hint="eastAsia" w:ascii="宋体" w:hAnsi="宋体" w:cs="宋体"/>
          <w:color w:val="auto"/>
          <w:sz w:val="21"/>
          <w:szCs w:val="21"/>
          <w:highlight w:val="none"/>
          <w:lang w:eastAsia="zh-CN"/>
        </w:rPr>
        <w:t>2025年1月23日9时00分</w:t>
      </w:r>
      <w:r>
        <w:rPr>
          <w:rFonts w:hint="eastAsia" w:ascii="宋体" w:hAnsi="宋体" w:eastAsia="宋体" w:cs="宋体"/>
          <w:color w:val="auto"/>
          <w:sz w:val="21"/>
          <w:szCs w:val="21"/>
          <w:highlight w:val="none"/>
        </w:rPr>
        <w:t>（北京时间）</w:t>
      </w:r>
    </w:p>
    <w:p w14:paraId="663C5848">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地点：通过</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在线提交。</w:t>
      </w:r>
    </w:p>
    <w:p w14:paraId="7CD24744">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1DB24DFE">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首次响应文件开启时间：</w:t>
      </w:r>
      <w:r>
        <w:rPr>
          <w:rFonts w:hint="eastAsia" w:ascii="宋体" w:hAnsi="宋体" w:cs="宋体"/>
          <w:color w:val="auto"/>
          <w:sz w:val="21"/>
          <w:szCs w:val="21"/>
          <w:highlight w:val="none"/>
          <w:lang w:eastAsia="zh-CN"/>
        </w:rPr>
        <w:t>2025年1月23日9时00分</w:t>
      </w:r>
      <w:r>
        <w:rPr>
          <w:rFonts w:hint="eastAsia" w:ascii="宋体" w:hAnsi="宋体" w:eastAsia="宋体" w:cs="宋体"/>
          <w:color w:val="auto"/>
          <w:sz w:val="21"/>
          <w:szCs w:val="21"/>
          <w:highlight w:val="none"/>
        </w:rPr>
        <w:t>（北京时间）</w:t>
      </w:r>
    </w:p>
    <w:p w14:paraId="1F7834DF">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地点：本项目将在</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电子开标大厅解密、开启。</w:t>
      </w:r>
    </w:p>
    <w:p w14:paraId="42D0E19A">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cs="宋体"/>
          <w:b/>
          <w:bCs/>
          <w:color w:val="auto"/>
          <w:sz w:val="21"/>
          <w:szCs w:val="21"/>
          <w:highlight w:val="none"/>
          <w:lang w:eastAsia="zh-CN"/>
        </w:rPr>
        <w:t>邀请函</w:t>
      </w:r>
      <w:r>
        <w:rPr>
          <w:rFonts w:hint="eastAsia" w:ascii="宋体" w:hAnsi="宋体" w:eastAsia="宋体" w:cs="宋体"/>
          <w:b/>
          <w:bCs/>
          <w:color w:val="auto"/>
          <w:sz w:val="21"/>
          <w:szCs w:val="21"/>
          <w:highlight w:val="none"/>
        </w:rPr>
        <w:t>期限</w:t>
      </w:r>
    </w:p>
    <w:p w14:paraId="10D440DB">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w:t>
      </w:r>
      <w:r>
        <w:rPr>
          <w:rFonts w:hint="eastAsia" w:ascii="宋体" w:hAnsi="宋体" w:cs="宋体"/>
          <w:color w:val="auto"/>
          <w:sz w:val="21"/>
          <w:szCs w:val="21"/>
          <w:highlight w:val="none"/>
          <w:lang w:eastAsia="zh-CN"/>
        </w:rPr>
        <w:t>邀请函</w:t>
      </w:r>
      <w:r>
        <w:rPr>
          <w:rFonts w:hint="eastAsia" w:ascii="宋体" w:hAnsi="宋体" w:eastAsia="宋体" w:cs="宋体"/>
          <w:color w:val="auto"/>
          <w:sz w:val="21"/>
          <w:szCs w:val="21"/>
          <w:highlight w:val="none"/>
        </w:rPr>
        <w:t>发</w:t>
      </w:r>
      <w:r>
        <w:rPr>
          <w:rFonts w:hint="eastAsia" w:ascii="宋体" w:hAnsi="宋体" w:cs="宋体"/>
          <w:color w:val="auto"/>
          <w:sz w:val="21"/>
          <w:szCs w:val="21"/>
          <w:highlight w:val="none"/>
          <w:lang w:eastAsia="zh-CN"/>
        </w:rPr>
        <w:t>出</w:t>
      </w:r>
      <w:r>
        <w:rPr>
          <w:rFonts w:hint="eastAsia" w:ascii="宋体" w:hAnsi="宋体" w:eastAsia="宋体" w:cs="宋体"/>
          <w:color w:val="auto"/>
          <w:sz w:val="21"/>
          <w:szCs w:val="21"/>
          <w:highlight w:val="none"/>
        </w:rPr>
        <w:t>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w:t>
      </w:r>
    </w:p>
    <w:p w14:paraId="5347AD96">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七、其他补充事宜</w:t>
      </w:r>
    </w:p>
    <w:p w14:paraId="0F3EC807">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宋体" w:hAnsi="宋体" w:cs="宋体"/>
          <w:color w:val="auto"/>
          <w:szCs w:val="21"/>
          <w:highlight w:val="none"/>
          <w:lang w:eastAsia="zh-CN" w:bidi="ar"/>
        </w:rPr>
        <w:t>协商</w:t>
      </w:r>
      <w:r>
        <w:rPr>
          <w:rFonts w:hint="eastAsia" w:ascii="宋体" w:hAnsi="宋体" w:cs="宋体"/>
          <w:color w:val="auto"/>
          <w:szCs w:val="21"/>
          <w:highlight w:val="none"/>
          <w:lang w:bidi="ar"/>
        </w:rPr>
        <w:t>保证金（人民币）：本项目免收</w:t>
      </w:r>
      <w:r>
        <w:rPr>
          <w:rFonts w:hint="eastAsia" w:ascii="宋体" w:hAnsi="宋体" w:cs="宋体"/>
          <w:color w:val="auto"/>
          <w:szCs w:val="21"/>
          <w:highlight w:val="none"/>
          <w:lang w:eastAsia="zh-CN" w:bidi="ar"/>
        </w:rPr>
        <w:t>协商</w:t>
      </w:r>
      <w:r>
        <w:rPr>
          <w:rFonts w:hint="eastAsia" w:ascii="宋体" w:hAnsi="宋体" w:cs="宋体"/>
          <w:color w:val="auto"/>
          <w:szCs w:val="21"/>
          <w:highlight w:val="none"/>
          <w:lang w:bidi="ar"/>
        </w:rPr>
        <w:t>保证金。</w:t>
      </w:r>
    </w:p>
    <w:p w14:paraId="4F37F14A">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F68063F">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1C0DDA4">
      <w:pPr>
        <w:widowControl/>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网上查询地址：</w:t>
      </w:r>
      <w:r>
        <w:rPr>
          <w:rFonts w:hint="eastAsia" w:ascii="宋体" w:hAnsi="宋体" w:cs="宋体"/>
          <w:color w:val="auto"/>
          <w:szCs w:val="21"/>
          <w:highlight w:val="none"/>
          <w:u w:val="single"/>
          <w:lang w:bidi="ar"/>
        </w:rPr>
        <w:t>中国政府采购网（www.ccgp.gov.cn）、广西政府采购网（zfcg.gxzf.gov.cn）</w:t>
      </w:r>
      <w:bookmarkStart w:id="3" w:name="_Hlk73023815"/>
      <w:r>
        <w:rPr>
          <w:rFonts w:hint="eastAsia" w:ascii="宋体" w:hAnsi="宋体" w:cs="宋体"/>
          <w:color w:val="auto"/>
          <w:szCs w:val="21"/>
          <w:highlight w:val="none"/>
          <w:u w:val="single"/>
          <w:lang w:bidi="ar"/>
        </w:rPr>
        <w:t>、</w:t>
      </w:r>
      <w:r>
        <w:rPr>
          <w:rFonts w:hint="eastAsia" w:ascii="宋体" w:hAnsi="宋体" w:cs="宋体"/>
          <w:color w:val="auto"/>
          <w:kern w:val="0"/>
          <w:szCs w:val="21"/>
          <w:highlight w:val="none"/>
          <w:u w:val="single"/>
        </w:rPr>
        <w:t>贵港市政府采购网（http</w:t>
      </w:r>
      <w:r>
        <w:rPr>
          <w:rFonts w:ascii="宋体" w:hAnsi="宋体" w:cs="Arial"/>
          <w:color w:val="auto"/>
          <w:szCs w:val="21"/>
          <w:highlight w:val="none"/>
          <w:u w:val="single"/>
        </w:rPr>
        <w:t>:</w:t>
      </w:r>
      <w:r>
        <w:rPr>
          <w:rFonts w:hint="eastAsia" w:ascii="宋体" w:hAnsi="宋体" w:cs="宋体"/>
          <w:color w:val="auto"/>
          <w:kern w:val="0"/>
          <w:szCs w:val="21"/>
          <w:highlight w:val="none"/>
          <w:u w:val="single"/>
        </w:rPr>
        <w:t>//zfcg.czj.gxgg.gov.cn）、</w:t>
      </w:r>
      <w:r>
        <w:rPr>
          <w:rFonts w:hint="eastAsia" w:ascii="宋体" w:hAnsi="宋体" w:cs="Arial"/>
          <w:color w:val="auto"/>
          <w:szCs w:val="21"/>
          <w:highlight w:val="none"/>
          <w:u w:val="single"/>
        </w:rPr>
        <w:t>全国公共资源交易平台（广西•贵港）</w:t>
      </w:r>
      <w:bookmarkEnd w:id="3"/>
      <w:r>
        <w:rPr>
          <w:rFonts w:hint="eastAsia" w:ascii="宋体" w:hAnsi="宋体" w:cs="Arial"/>
          <w:color w:val="auto"/>
          <w:szCs w:val="21"/>
          <w:highlight w:val="none"/>
          <w:u w:val="single"/>
        </w:rPr>
        <w:t>（http</w:t>
      </w:r>
      <w:r>
        <w:rPr>
          <w:rFonts w:ascii="宋体" w:hAnsi="宋体" w:cs="Arial"/>
          <w:color w:val="auto"/>
          <w:szCs w:val="21"/>
          <w:highlight w:val="none"/>
          <w:u w:val="single"/>
        </w:rPr>
        <w:t>:</w:t>
      </w:r>
      <w:r>
        <w:rPr>
          <w:rFonts w:hint="eastAsia" w:ascii="宋体" w:hAnsi="宋体" w:cs="Arial"/>
          <w:color w:val="auto"/>
          <w:szCs w:val="21"/>
          <w:highlight w:val="none"/>
          <w:u w:val="single"/>
        </w:rPr>
        <w:t>//ggzy.jgswj.gxzf.gov.cn/ggggzy/）</w:t>
      </w:r>
      <w:r>
        <w:rPr>
          <w:rFonts w:hint="eastAsia" w:ascii="宋体" w:hAnsi="宋体" w:cs="Arial"/>
          <w:color w:val="auto"/>
          <w:szCs w:val="21"/>
          <w:highlight w:val="none"/>
          <w:u w:val="single"/>
          <w:lang w:eastAsia="zh-CN"/>
        </w:rPr>
        <w:t>。</w:t>
      </w:r>
    </w:p>
    <w:p w14:paraId="3F82ECA2">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w:t>
      </w:r>
      <w:r>
        <w:rPr>
          <w:rFonts w:hint="eastAsia" w:ascii="宋体" w:hAnsi="宋体" w:cs="宋体"/>
          <w:color w:val="auto"/>
          <w:szCs w:val="21"/>
          <w:highlight w:val="none"/>
          <w:lang w:val="en-US" w:eastAsia="zh-CN" w:bidi="ar"/>
        </w:rPr>
        <w:t>.</w:t>
      </w:r>
      <w:r>
        <w:rPr>
          <w:rFonts w:hint="eastAsia" w:ascii="宋体" w:hAnsi="宋体" w:cs="宋体"/>
          <w:color w:val="auto"/>
          <w:szCs w:val="21"/>
          <w:highlight w:val="none"/>
          <w:lang w:bidi="ar"/>
        </w:rPr>
        <w:t>本项目需要落实的政府采购政策：</w:t>
      </w:r>
    </w:p>
    <w:p w14:paraId="6133642B">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（1）政府采购促进中小企业发展。</w:t>
      </w:r>
    </w:p>
    <w:p w14:paraId="46F2BAE0">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（2）政府采购支持采用本国产品的政策。</w:t>
      </w:r>
    </w:p>
    <w:p w14:paraId="40FD274F">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（3）强制采购节能产品；优先采购节能产品、环境标志产品。</w:t>
      </w:r>
    </w:p>
    <w:p w14:paraId="7C613432">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（4）政府采购促进残疾人就业政策。</w:t>
      </w:r>
    </w:p>
    <w:p w14:paraId="6CFB082E">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（5）政府采购支持监狱企业发展。</w:t>
      </w:r>
    </w:p>
    <w:p w14:paraId="44C714F0">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lang w:bidi="ar"/>
        </w:rPr>
        <w:t>（6）扶持不发达地区和少数民族地区政策</w:t>
      </w:r>
    </w:p>
    <w:p w14:paraId="7E09DB79">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协商注意事项：</w:t>
      </w:r>
    </w:p>
    <w:p w14:paraId="48865C96">
      <w:pPr>
        <w:widowControl/>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lang w:bidi="ar"/>
        </w:rPr>
        <w:t>（1）</w:t>
      </w:r>
      <w:r>
        <w:rPr>
          <w:rFonts w:hint="eastAsia" w:ascii="宋体" w:hAnsi="宋体" w:cs="宋体"/>
          <w:color w:val="auto"/>
          <w:szCs w:val="21"/>
          <w:highlight w:val="none"/>
        </w:rPr>
        <w:t>响应文件</w:t>
      </w:r>
      <w:r>
        <w:rPr>
          <w:rFonts w:hint="eastAsia" w:ascii="宋体" w:hAnsi="宋体" w:cs="宋体"/>
          <w:color w:val="auto"/>
          <w:szCs w:val="21"/>
          <w:highlight w:val="none"/>
          <w:lang w:bidi="ar"/>
        </w:rPr>
        <w:t>提交方式：本项目为全流程电子化政府采购项目，通过广西政府采购云平台（https://www.gcy.zfcg.gxzf.gov.cn/）实行在线电子</w:t>
      </w:r>
      <w:r>
        <w:rPr>
          <w:rFonts w:hint="eastAsia" w:ascii="宋体" w:hAnsi="宋体" w:cs="宋体"/>
          <w:color w:val="auto"/>
          <w:szCs w:val="21"/>
          <w:highlight w:val="none"/>
          <w:lang w:eastAsia="zh-CN" w:bidi="ar"/>
        </w:rPr>
        <w:t>协商</w:t>
      </w:r>
      <w:r>
        <w:rPr>
          <w:rFonts w:hint="eastAsia" w:ascii="宋体" w:hAnsi="宋体" w:cs="宋体"/>
          <w:color w:val="auto"/>
          <w:szCs w:val="21"/>
          <w:highlight w:val="none"/>
          <w:lang w:bidi="ar"/>
        </w:rPr>
        <w:t>采购，供应商应先安装“广西政府采购云平台新版客户端”（</w:t>
      </w:r>
      <w:r>
        <w:rPr>
          <w:rFonts w:hint="eastAsia"/>
          <w:color w:val="auto"/>
          <w:highlight w:val="none"/>
        </w:rPr>
        <w:t>客户端下载路径：</w:t>
      </w:r>
      <w:r>
        <w:rPr>
          <w:rFonts w:hint="eastAsia" w:ascii="宋体" w:hAnsi="宋体" w:cs="宋体"/>
          <w:color w:val="auto"/>
          <w:szCs w:val="21"/>
          <w:highlight w:val="none"/>
          <w:lang w:bidi="ar"/>
        </w:rPr>
        <w:t>广西政府采购网（访问地址http://zfcg.gxzf.gov.cn/）—办事服务—下载专区），并按照本项目</w:t>
      </w:r>
      <w:r>
        <w:rPr>
          <w:rFonts w:hint="eastAsia" w:ascii="宋体" w:hAnsi="宋体" w:cs="宋体"/>
          <w:color w:val="auto"/>
          <w:szCs w:val="21"/>
          <w:highlight w:val="none"/>
          <w:lang w:eastAsia="zh-CN" w:bidi="ar"/>
        </w:rPr>
        <w:t>单一来源采购</w:t>
      </w:r>
      <w:r>
        <w:rPr>
          <w:rFonts w:hint="eastAsia" w:ascii="宋体" w:hAnsi="宋体" w:cs="宋体"/>
          <w:color w:val="auto"/>
          <w:szCs w:val="21"/>
          <w:highlight w:val="none"/>
          <w:lang w:bidi="ar"/>
        </w:rPr>
        <w:t>文件和广西政府采购云平台的要求编制、加密后在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前通过网络上传至广西政府采购云平台，</w:t>
      </w:r>
      <w:r>
        <w:rPr>
          <w:rFonts w:hint="eastAsia" w:ascii="宋体" w:hAnsi="宋体" w:cs="宋体"/>
          <w:b/>
          <w:color w:val="auto"/>
          <w:szCs w:val="21"/>
          <w:highlight w:val="none"/>
          <w:lang w:bidi="ar"/>
        </w:rPr>
        <w:t>供应商在广西政府采购云平台提交电子版响应文件时，请填写参加远程开标活动经办人联系方式。</w:t>
      </w:r>
    </w:p>
    <w:p w14:paraId="7563B743">
      <w:pPr>
        <w:widowControl/>
        <w:wordWrap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供应商应及时熟悉掌握电子标系统操作指南（见</w:t>
      </w:r>
      <w:r>
        <w:rPr>
          <w:rFonts w:hint="eastAsia" w:ascii="宋体" w:hAnsi="宋体" w:cs="宋体"/>
          <w:color w:val="auto"/>
          <w:szCs w:val="21"/>
          <w:highlight w:val="none"/>
          <w:lang w:bidi="ar"/>
        </w:rPr>
        <w:t>广西政府采购云平台</w:t>
      </w:r>
      <w:r>
        <w:rPr>
          <w:rFonts w:ascii="宋体" w:hAnsi="宋体" w:cs="宋体"/>
          <w:color w:val="auto"/>
          <w:szCs w:val="21"/>
          <w:highlight w:val="none"/>
          <w:lang w:bidi="ar"/>
        </w:rPr>
        <w:t>电子卖场首页右上角—服务中心—</w:t>
      </w:r>
      <w:r>
        <w:rPr>
          <w:rFonts w:hint="eastAsia" w:ascii="宋体" w:hAnsi="宋体" w:cs="宋体"/>
          <w:color w:val="auto"/>
          <w:szCs w:val="21"/>
          <w:highlight w:val="none"/>
          <w:lang w:bidi="ar"/>
        </w:rPr>
        <w:t>帮助中心</w:t>
      </w:r>
      <w:r>
        <w:rPr>
          <w:rFonts w:ascii="宋体" w:hAnsi="宋体" w:cs="宋体"/>
          <w:color w:val="auto"/>
          <w:szCs w:val="21"/>
          <w:highlight w:val="none"/>
          <w:lang w:bidi="ar"/>
        </w:rPr>
        <w:t>—项目采购）：https://helpcenter.zcygov.cn/document/#/document/dashboard?siteCode=gx</w:t>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741F3378">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前，完成电子交易平台上的CA数字证书办理及响应文件的提交。完成CA数字证书办理预计7日左右，供应商只需办理其中一家CA数字证书及签章，建议供应商抓紧时间办理。</w:t>
      </w:r>
    </w:p>
    <w:p w14:paraId="34215BAD">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（4）为确保网上操作合法、有效和安全，请供应商确保在电子</w:t>
      </w:r>
      <w:r>
        <w:rPr>
          <w:rFonts w:hint="eastAsia" w:ascii="宋体" w:hAnsi="宋体" w:cs="宋体"/>
          <w:color w:val="auto"/>
          <w:szCs w:val="21"/>
          <w:highlight w:val="none"/>
          <w:lang w:eastAsia="zh-CN" w:bidi="ar"/>
        </w:rPr>
        <w:t>协商</w:t>
      </w:r>
      <w:r>
        <w:rPr>
          <w:rFonts w:hint="eastAsia" w:ascii="宋体" w:hAnsi="宋体" w:cs="宋体"/>
          <w:color w:val="auto"/>
          <w:szCs w:val="21"/>
          <w:highlight w:val="none"/>
          <w:lang w:bidi="ar"/>
        </w:rPr>
        <w:t>过程中能够对相关数据电文进行加密和使用电子签章，妥善保管CA数字证书并使用有效的CA数字证书参与整个采购活动。</w:t>
      </w:r>
    </w:p>
    <w:p w14:paraId="3E460E2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注：供应商应当在首次响应文件提交截止时间前完成电子响应文件的上传、递交，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前可以补充、修改或者撤回响应文件。补充或者修改响应文件的，应当先行撤回原文件，补充、修改后重新上传、递交。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前未完成上传、递交的，视为撤回响应文件。</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以后上传递交的响应文件，广西政府采购云平台将予以拒收。</w:t>
      </w:r>
    </w:p>
    <w:p w14:paraId="50117E45">
      <w:pPr>
        <w:widowControl/>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kern w:val="0"/>
          <w:szCs w:val="21"/>
          <w:highlight w:val="none"/>
          <w:lang w:bidi="ar"/>
        </w:rPr>
        <w:t>7</w:t>
      </w:r>
      <w:r>
        <w:rPr>
          <w:rFonts w:hint="eastAsia" w:ascii="宋体" w:hAnsi="宋体" w:cs="宋体"/>
          <w:color w:val="auto"/>
          <w:kern w:val="0"/>
          <w:szCs w:val="21"/>
          <w:highlight w:val="none"/>
          <w:lang w:val="en-US" w:eastAsia="zh-CN" w:bidi="ar"/>
        </w:rPr>
        <w:t>.</w:t>
      </w:r>
      <w:r>
        <w:rPr>
          <w:rFonts w:hint="eastAsia" w:ascii="宋体" w:hAnsi="宋体" w:cs="宋体"/>
          <w:color w:val="auto"/>
          <w:szCs w:val="21"/>
          <w:highlight w:val="none"/>
          <w:lang w:bidi="ar"/>
        </w:rPr>
        <w:t>CA证书在线解密：首次响应文件开启时，须要供应商携带制作响应文件时用来加密的有效数字证书（CA认证）登录广西政府采购云平台电子开标大厅现场按</w:t>
      </w:r>
      <w:r>
        <w:rPr>
          <w:rFonts w:hint="eastAsia" w:ascii="宋体" w:hAnsi="宋体" w:cs="宋体"/>
          <w:color w:val="auto"/>
          <w:szCs w:val="21"/>
          <w:highlight w:val="none"/>
          <w:lang w:eastAsia="zh-CN" w:bidi="ar"/>
        </w:rPr>
        <w:t>系统的规定时间内对加密的响应文件进行解密</w:t>
      </w:r>
      <w:r>
        <w:rPr>
          <w:rFonts w:hint="eastAsia" w:ascii="宋体" w:hAnsi="宋体" w:cs="宋体"/>
          <w:color w:val="auto"/>
          <w:szCs w:val="21"/>
          <w:highlight w:val="none"/>
          <w:lang w:bidi="ar"/>
        </w:rPr>
        <w:t>，否则后果自负。</w:t>
      </w:r>
    </w:p>
    <w:p w14:paraId="4E4AD78F">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lang w:bidi="ar"/>
        </w:rPr>
        <w:t>8</w:t>
      </w:r>
      <w:r>
        <w:rPr>
          <w:rFonts w:hint="eastAsia" w:ascii="宋体" w:hAnsi="宋体" w:cs="宋体"/>
          <w:color w:val="auto"/>
          <w:szCs w:val="21"/>
          <w:highlight w:val="none"/>
          <w:lang w:val="en-US" w:eastAsia="zh-CN" w:bidi="ar"/>
        </w:rPr>
        <w:t>.</w:t>
      </w:r>
      <w:r>
        <w:rPr>
          <w:rFonts w:hint="eastAsia" w:ascii="宋体" w:hAnsi="宋体" w:cs="宋体"/>
          <w:color w:val="auto"/>
          <w:szCs w:val="21"/>
          <w:highlight w:val="none"/>
          <w:lang w:bidi="ar"/>
        </w:rPr>
        <w:t>供应商需要在具备有摄像头及语音功能且互联网网络状况良好的电脑登录广西政府采购云平台远程开标大厅参与本次</w:t>
      </w:r>
      <w:r>
        <w:rPr>
          <w:rFonts w:hint="eastAsia" w:ascii="宋体" w:hAnsi="宋体" w:cs="宋体"/>
          <w:color w:val="auto"/>
          <w:szCs w:val="21"/>
          <w:highlight w:val="none"/>
          <w:lang w:eastAsia="zh-CN" w:bidi="ar"/>
        </w:rPr>
        <w:t>协商</w:t>
      </w:r>
      <w:r>
        <w:rPr>
          <w:rFonts w:hint="eastAsia" w:ascii="宋体" w:hAnsi="宋体" w:cs="宋体"/>
          <w:color w:val="auto"/>
          <w:szCs w:val="21"/>
          <w:highlight w:val="none"/>
          <w:lang w:bidi="ar"/>
        </w:rPr>
        <w:t>，否则后果自负。</w:t>
      </w:r>
    </w:p>
    <w:p w14:paraId="62BAB74A">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9</w:t>
      </w:r>
      <w:r>
        <w:rPr>
          <w:rFonts w:hint="eastAsia" w:ascii="宋体" w:hAnsi="宋体" w:cs="宋体"/>
          <w:color w:val="auto"/>
          <w:szCs w:val="21"/>
          <w:highlight w:val="none"/>
          <w:lang w:val="en-US" w:eastAsia="zh-CN" w:bidi="ar"/>
        </w:rPr>
        <w:t>.</w:t>
      </w:r>
      <w:r>
        <w:rPr>
          <w:rFonts w:hint="eastAsia" w:ascii="宋体" w:hAnsi="宋体" w:cs="宋体"/>
          <w:color w:val="auto"/>
          <w:szCs w:val="21"/>
          <w:highlight w:val="none"/>
          <w:lang w:bidi="ar"/>
        </w:rPr>
        <w:t>若对项目采购电子交易系统操作有疑问，可登录广西政府采购云平台（https://www.gcy.zfcg.gxzf.gov.cn/），点击右侧咨询小采，获取采小蜜智能服务管家帮助，或拨打广西政府采购云平台服务热线</w:t>
      </w:r>
      <w:r>
        <w:rPr>
          <w:rFonts w:hint="eastAsia" w:ascii="宋体" w:hAnsi="宋体" w:cs="宋体"/>
          <w:color w:val="auto"/>
          <w:szCs w:val="21"/>
          <w:highlight w:val="none"/>
          <w:u w:val="single"/>
          <w:lang w:bidi="ar"/>
        </w:rPr>
        <w:t>95763</w:t>
      </w:r>
      <w:r>
        <w:rPr>
          <w:rFonts w:hint="eastAsia" w:ascii="宋体" w:hAnsi="宋体" w:cs="宋体"/>
          <w:color w:val="auto"/>
          <w:szCs w:val="21"/>
          <w:highlight w:val="none"/>
          <w:lang w:bidi="ar"/>
        </w:rPr>
        <w:t>获取热线服务帮助。</w:t>
      </w:r>
    </w:p>
    <w:p w14:paraId="4BC64362">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监督部门：贵港市覃塘区财政局综合业务股      电话：0775-</w:t>
      </w:r>
      <w:r>
        <w:rPr>
          <w:rFonts w:hint="eastAsia" w:ascii="宋体" w:hAnsi="宋体" w:cs="宋体"/>
          <w:color w:val="auto"/>
          <w:sz w:val="21"/>
          <w:szCs w:val="21"/>
          <w:highlight w:val="none"/>
          <w:lang w:eastAsia="zh-CN"/>
        </w:rPr>
        <w:t>4721505</w:t>
      </w:r>
    </w:p>
    <w:p w14:paraId="0EFC0B9D">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六、凡对本次采购提出询问，请按以下方式联系：</w:t>
      </w:r>
    </w:p>
    <w:p w14:paraId="1F4700D0">
      <w:pPr>
        <w:spacing w:line="440" w:lineRule="exact"/>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711B782">
      <w:pPr>
        <w:spacing w:line="440" w:lineRule="exact"/>
        <w:ind w:firstLine="567" w:firstLineChars="27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highlight w:val="none"/>
          <w:lang w:eastAsia="zh-CN"/>
        </w:rPr>
        <w:t>贵港市覃塘区人民医院</w:t>
      </w:r>
    </w:p>
    <w:p w14:paraId="5F14ED05">
      <w:pPr>
        <w:spacing w:line="440" w:lineRule="exact"/>
        <w:ind w:firstLine="567" w:firstLineChars="27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地址：贵港市覃塘镇中山大道638号</w:t>
      </w:r>
    </w:p>
    <w:p w14:paraId="52DEED5B">
      <w:pPr>
        <w:spacing w:line="440" w:lineRule="exact"/>
        <w:ind w:firstLine="567" w:firstLineChars="270"/>
        <w:jc w:val="left"/>
        <w:rPr>
          <w:rFonts w:hint="default" w:ascii="宋体" w:hAnsi="宋体" w:cs="宋体"/>
          <w:color w:val="auto"/>
          <w:szCs w:val="21"/>
          <w:highlight w:val="none"/>
          <w:lang w:val="en-US"/>
        </w:rPr>
      </w:pPr>
      <w:bookmarkStart w:id="4" w:name="_Toc28359086"/>
      <w:bookmarkStart w:id="5" w:name="_Toc28359009"/>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 xml:space="preserve"> 曹波</w:t>
      </w:r>
    </w:p>
    <w:p w14:paraId="053D6F14">
      <w:pPr>
        <w:spacing w:line="440" w:lineRule="exact"/>
        <w:ind w:firstLine="567" w:firstLineChars="270"/>
        <w:jc w:val="left"/>
        <w:rPr>
          <w:rFonts w:hint="eastAsia" w:ascii="宋体" w:hAnsi="宋体" w:cs="宋体"/>
          <w:color w:val="auto"/>
          <w:szCs w:val="21"/>
          <w:highlight w:val="none"/>
          <w:u w:val="single"/>
        </w:rPr>
      </w:pPr>
      <w:r>
        <w:rPr>
          <w:rFonts w:hint="eastAsia" w:ascii="宋体" w:hAnsi="宋体" w:cs="宋体"/>
          <w:color w:val="auto"/>
          <w:szCs w:val="21"/>
          <w:highlight w:val="none"/>
        </w:rPr>
        <w:t>项目联系方式：0775-4720022</w:t>
      </w:r>
      <w:r>
        <w:rPr>
          <w:rFonts w:hint="eastAsia" w:ascii="宋体" w:hAnsi="宋体" w:cs="宋体"/>
          <w:color w:val="auto"/>
          <w:szCs w:val="21"/>
          <w:highlight w:val="none"/>
          <w:lang w:val="en-US" w:eastAsia="zh-CN"/>
        </w:rPr>
        <w:t xml:space="preserve"> </w:t>
      </w:r>
    </w:p>
    <w:p w14:paraId="6834C15B">
      <w:pPr>
        <w:spacing w:line="440" w:lineRule="exact"/>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4"/>
      <w:bookmarkEnd w:id="5"/>
    </w:p>
    <w:p w14:paraId="382516A2">
      <w:pPr>
        <w:spacing w:line="440" w:lineRule="exact"/>
        <w:ind w:firstLine="567" w:firstLineChars="2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广西圣元达工程咨询有限公司</w:t>
      </w:r>
    </w:p>
    <w:p w14:paraId="20056A12">
      <w:pPr>
        <w:spacing w:line="440" w:lineRule="exact"/>
        <w:ind w:firstLine="567" w:firstLineChars="2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贵港市港北区荷城路1108号(荷城世家)77幢商铺</w:t>
      </w:r>
    </w:p>
    <w:p w14:paraId="5A312088">
      <w:pPr>
        <w:spacing w:line="440" w:lineRule="exact"/>
        <w:ind w:firstLine="567" w:firstLineChars="270"/>
        <w:rPr>
          <w:rFonts w:hint="eastAsia" w:ascii="宋体" w:hAnsi="宋体" w:eastAsia="宋体" w:cs="宋体"/>
          <w:color w:val="auto"/>
          <w:szCs w:val="21"/>
          <w:highlight w:val="none"/>
          <w:lang w:eastAsia="zh-CN"/>
        </w:rPr>
      </w:pPr>
      <w:bookmarkStart w:id="6" w:name="_Toc28359087"/>
      <w:bookmarkStart w:id="7" w:name="_Toc28359010"/>
      <w:r>
        <w:rPr>
          <w:rFonts w:hint="eastAsia" w:ascii="宋体" w:hAnsi="宋体" w:cs="宋体"/>
          <w:color w:val="auto"/>
          <w:szCs w:val="21"/>
          <w:highlight w:val="none"/>
        </w:rPr>
        <w:t>项目联系人：潘彩云</w:t>
      </w:r>
    </w:p>
    <w:p w14:paraId="5FF9D952">
      <w:pPr>
        <w:spacing w:line="440" w:lineRule="exact"/>
        <w:ind w:firstLine="567" w:firstLineChars="27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项目联系方式：0775-4550123</w:t>
      </w:r>
    </w:p>
    <w:bookmarkEnd w:id="6"/>
    <w:bookmarkEnd w:id="7"/>
    <w:p w14:paraId="2D5EDA9B">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p>
    <w:p w14:paraId="2B25B12F">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righ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广西圣元达工程咨询有限公司</w:t>
      </w:r>
    </w:p>
    <w:p w14:paraId="3487F3AF">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w:t>
      </w:r>
    </w:p>
    <w:p w14:paraId="2C23B521">
      <w:pPr>
        <w:rPr>
          <w:rFonts w:hint="eastAsia" w:ascii="宋体" w:hAnsi="宋体" w:eastAsia="宋体" w:cs="宋体"/>
          <w:b/>
          <w:color w:val="auto"/>
          <w:sz w:val="36"/>
          <w:szCs w:val="36"/>
          <w:highlight w:val="none"/>
        </w:rPr>
      </w:pPr>
      <w:bookmarkStart w:id="8" w:name="_Toc74322009"/>
      <w:bookmarkStart w:id="9" w:name="_Toc18912"/>
      <w:r>
        <w:rPr>
          <w:rFonts w:hint="eastAsia" w:ascii="宋体" w:hAnsi="宋体" w:eastAsia="宋体" w:cs="宋体"/>
          <w:b/>
          <w:color w:val="auto"/>
          <w:sz w:val="36"/>
          <w:szCs w:val="36"/>
          <w:highlight w:val="none"/>
        </w:rPr>
        <w:br w:type="page"/>
      </w:r>
    </w:p>
    <w:p w14:paraId="6EE0A2A1">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供应商须知</w:t>
      </w:r>
      <w:bookmarkEnd w:id="8"/>
      <w:bookmarkEnd w:id="9"/>
    </w:p>
    <w:p w14:paraId="671040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0"/>
        <w:tblW w:w="9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95"/>
      </w:tblGrid>
      <w:tr w14:paraId="6D68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noWrap w:val="0"/>
            <w:vAlign w:val="top"/>
          </w:tcPr>
          <w:p w14:paraId="75161411">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8695" w:type="dxa"/>
            <w:noWrap w:val="0"/>
            <w:vAlign w:val="top"/>
          </w:tcPr>
          <w:p w14:paraId="1A714335">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14:paraId="5BF7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9352443">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695" w:type="dxa"/>
            <w:noWrap w:val="0"/>
            <w:vAlign w:val="center"/>
          </w:tcPr>
          <w:p w14:paraId="0069520A">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供应商的资格条件：详见邀请函</w:t>
            </w:r>
          </w:p>
        </w:tc>
      </w:tr>
      <w:tr w14:paraId="5B185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F2A3E1B">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8695" w:type="dxa"/>
            <w:noWrap w:val="0"/>
            <w:vAlign w:val="center"/>
          </w:tcPr>
          <w:p w14:paraId="6BC7D2EF">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：详见邀请函</w:t>
            </w:r>
          </w:p>
        </w:tc>
      </w:tr>
      <w:tr w14:paraId="37EC3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966823B">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8695" w:type="dxa"/>
            <w:noWrap w:val="0"/>
            <w:vAlign w:val="center"/>
          </w:tcPr>
          <w:p w14:paraId="6E4E0C77">
            <w:pPr>
              <w:keepNext w:val="0"/>
              <w:keepLines w:val="0"/>
              <w:pageBreakBefore w:val="0"/>
              <w:widowControl w:val="0"/>
              <w:kinsoku/>
              <w:wordWrap/>
              <w:overflowPunct/>
              <w:topLinePunct w:val="0"/>
              <w:bidi w:val="0"/>
              <w:adjustRightInd/>
              <w:spacing w:line="42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本项目不允许分包。</w:t>
            </w:r>
          </w:p>
        </w:tc>
      </w:tr>
      <w:tr w14:paraId="18E2D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A2F3CE0">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8695" w:type="dxa"/>
            <w:noWrap w:val="0"/>
            <w:vAlign w:val="center"/>
          </w:tcPr>
          <w:p w14:paraId="125B5416">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20DC7843">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供应商有效的营业执照副本复印件；（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19AA255">
            <w:pPr>
              <w:keepNext w:val="0"/>
              <w:keepLines w:val="0"/>
              <w:pageBreakBefore w:val="0"/>
              <w:widowControl w:val="0"/>
              <w:kinsoku/>
              <w:wordWrap/>
              <w:overflowPunct/>
              <w:topLinePunct w:val="0"/>
              <w:bidi w:val="0"/>
              <w:adjustRightInd/>
              <w:spacing w:line="420" w:lineRule="exact"/>
              <w:contextualSpacing/>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贵港市政府采购项目投标资格承诺函（格式后附）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9D43AF4">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供应商直接控股、管理关系信息表、供应商直接管理关系信息表</w:t>
            </w:r>
            <w:r>
              <w:rPr>
                <w:rFonts w:hint="eastAsia" w:ascii="宋体" w:hAnsi="宋体" w:cs="宋体"/>
                <w:color w:val="auto"/>
                <w:szCs w:val="21"/>
                <w:highlight w:val="none"/>
              </w:rPr>
              <w:t>（格式后附）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F139156">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声明（格式后附）；（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55A1621">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注：以上材料须加盖供应商</w:t>
            </w:r>
            <w:r>
              <w:rPr>
                <w:rFonts w:hint="eastAsia" w:ascii="宋体" w:hAnsi="宋体" w:cs="宋体"/>
                <w:b/>
                <w:color w:val="auto"/>
                <w:szCs w:val="21"/>
                <w:highlight w:val="none"/>
                <w:lang w:val="en-US" w:eastAsia="zh-CN"/>
              </w:rPr>
              <w:t>CA电子</w:t>
            </w:r>
            <w:r>
              <w:rPr>
                <w:rFonts w:hint="eastAsia" w:ascii="宋体" w:hAnsi="宋体" w:eastAsia="宋体" w:cs="宋体"/>
                <w:b/>
                <w:color w:val="auto"/>
                <w:szCs w:val="21"/>
                <w:highlight w:val="none"/>
              </w:rPr>
              <w:t>章，否则响应文件按无效响应处理。</w:t>
            </w:r>
          </w:p>
        </w:tc>
      </w:tr>
      <w:tr w14:paraId="2183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55B917A">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8695" w:type="dxa"/>
            <w:noWrap w:val="0"/>
            <w:vAlign w:val="center"/>
          </w:tcPr>
          <w:p w14:paraId="2726F243">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报价商务技术文件</w:t>
            </w:r>
          </w:p>
          <w:p w14:paraId="5EB22121">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报价表（格式后附）；（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97C7A45">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法定代表人身份证明及法定代表人有效身份证正反面复印件（格式后附）；（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2B5CDD">
            <w:pPr>
              <w:keepNext w:val="0"/>
              <w:keepLines w:val="0"/>
              <w:pageBreakBefore w:val="0"/>
              <w:widowControl w:val="0"/>
              <w:kinsoku/>
              <w:wordWrap/>
              <w:overflowPunct/>
              <w:topLinePunct w:val="0"/>
              <w:bidi w:val="0"/>
              <w:adjustRightInd/>
              <w:spacing w:line="42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782A1307">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商务要求偏离表（格式后附）；（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37729F3">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1105490">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val="en-US" w:eastAsia="zh-CN"/>
              </w:rPr>
              <w:t>.服务承诺</w:t>
            </w:r>
            <w:r>
              <w:rPr>
                <w:rFonts w:hint="eastAsia" w:ascii="宋体" w:hAnsi="宋体" w:eastAsia="宋体" w:cs="宋体"/>
                <w:color w:val="auto"/>
                <w:szCs w:val="21"/>
                <w:highlight w:val="none"/>
              </w:rPr>
              <w:t>（格式自拟）；（</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08A88CC">
            <w:pPr>
              <w:snapToGrid w:val="0"/>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项目实施人员一览表（格式自拟）；</w:t>
            </w:r>
          </w:p>
          <w:p w14:paraId="419839C2">
            <w:pPr>
              <w:keepNext w:val="0"/>
              <w:keepLines w:val="0"/>
              <w:pageBreakBefore w:val="0"/>
              <w:widowControl w:val="0"/>
              <w:kinsoku/>
              <w:wordWrap/>
              <w:overflowPunct/>
              <w:topLinePunct w:val="0"/>
              <w:bidi w:val="0"/>
              <w:adjustRightInd/>
              <w:spacing w:line="42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对应采购需求的技术要求、商务要求提供的其他文件资料（格式自拟）；</w:t>
            </w:r>
          </w:p>
          <w:p w14:paraId="0F46903E">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注：以上材料须加盖供应商</w:t>
            </w:r>
            <w:r>
              <w:rPr>
                <w:rFonts w:hint="eastAsia" w:ascii="宋体" w:hAnsi="宋体" w:cs="宋体"/>
                <w:b/>
                <w:color w:val="auto"/>
                <w:szCs w:val="21"/>
                <w:highlight w:val="none"/>
                <w:lang w:val="en-US" w:eastAsia="zh-CN"/>
              </w:rPr>
              <w:t>CA电子</w:t>
            </w:r>
            <w:r>
              <w:rPr>
                <w:rFonts w:hint="eastAsia" w:ascii="宋体" w:hAnsi="宋体" w:eastAsia="宋体" w:cs="宋体"/>
                <w:b/>
                <w:color w:val="auto"/>
                <w:szCs w:val="21"/>
                <w:highlight w:val="none"/>
              </w:rPr>
              <w:t>章，否则响应文件按无效响应处理。</w:t>
            </w:r>
          </w:p>
        </w:tc>
      </w:tr>
      <w:tr w14:paraId="13336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CDE2A2E">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8695" w:type="dxa"/>
            <w:noWrap w:val="0"/>
            <w:vAlign w:val="center"/>
          </w:tcPr>
          <w:p w14:paraId="0F0E4E23">
            <w:pPr>
              <w:widowControl/>
              <w:jc w:val="left"/>
              <w:textAlignment w:val="center"/>
              <w:rPr>
                <w:rFonts w:ascii="宋体" w:hAnsi="宋体" w:cs="宋体"/>
                <w:color w:val="auto"/>
                <w:kern w:val="0"/>
                <w:szCs w:val="21"/>
                <w:highlight w:val="none"/>
                <w:lang w:bidi="ar"/>
              </w:rPr>
            </w:pPr>
            <w:r>
              <w:rPr>
                <w:rFonts w:hint="eastAsia" w:ascii="Arial" w:hAnsi="Arial" w:cs="Arial"/>
                <w:color w:val="auto"/>
                <w:highlight w:val="none"/>
                <w:lang w:val="en-US" w:eastAsia="zh-CN"/>
              </w:rPr>
              <w:t>投标报价的</w:t>
            </w:r>
            <w:r>
              <w:rPr>
                <w:rFonts w:hint="eastAsia" w:ascii="Arial" w:hAnsi="Arial" w:cs="Arial"/>
                <w:color w:val="auto"/>
                <w:highlight w:val="none"/>
              </w:rPr>
              <w:t>合计金额包括</w:t>
            </w:r>
            <w:r>
              <w:rPr>
                <w:rFonts w:hint="eastAsia" w:ascii="宋体" w:hAnsi="宋体" w:cs="宋体"/>
                <w:color w:val="auto"/>
                <w:kern w:val="0"/>
                <w:szCs w:val="21"/>
                <w:highlight w:val="none"/>
                <w:lang w:bidi="ar"/>
              </w:rPr>
              <w:t>报完成本项目中全部内容的含税、费的人民币价格，含以下部分，包括：</w:t>
            </w:r>
          </w:p>
          <w:p w14:paraId="64C6BFFA">
            <w:pPr>
              <w:widowControl/>
              <w:ind w:firstLine="420" w:firstLineChars="2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软件及服务、货物（如涉及）的价格</w:t>
            </w:r>
            <w:r>
              <w:rPr>
                <w:rFonts w:hint="eastAsia" w:ascii="宋体" w:hAnsi="宋体" w:cs="宋体"/>
                <w:color w:val="auto"/>
                <w:kern w:val="0"/>
                <w:szCs w:val="21"/>
                <w:highlight w:val="none"/>
                <w:lang w:bidi="ar"/>
              </w:rPr>
              <w:t>；</w:t>
            </w:r>
          </w:p>
          <w:p w14:paraId="471E53D3">
            <w:pPr>
              <w:widowControl/>
              <w:ind w:firstLine="420" w:firstLineChars="2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（2）必要的保险费用和各项税金；</w:t>
            </w:r>
          </w:p>
          <w:p w14:paraId="41FB35ED">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（3）其他：如运输服务、二次运输服务、安装服务、调试服务、培训服务、技术支持服务、更新升级服务等费用。</w:t>
            </w:r>
          </w:p>
        </w:tc>
      </w:tr>
      <w:tr w14:paraId="378F5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3821454">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8695" w:type="dxa"/>
            <w:noWrap w:val="0"/>
            <w:vAlign w:val="center"/>
          </w:tcPr>
          <w:p w14:paraId="580F174D">
            <w:pPr>
              <w:pStyle w:val="5"/>
              <w:keepNext w:val="0"/>
              <w:keepLines w:val="0"/>
              <w:pageBreakBefore w:val="0"/>
              <w:widowControl w:val="0"/>
              <w:numPr>
                <w:ilvl w:val="0"/>
                <w:numId w:val="0"/>
              </w:numPr>
              <w:tabs>
                <w:tab w:val="left" w:pos="720"/>
                <w:tab w:val="left" w:pos="840"/>
                <w:tab w:val="clear" w:pos="360"/>
              </w:tabs>
              <w:kinsoku/>
              <w:wordWrap/>
              <w:overflowPunct/>
              <w:topLinePunct w:val="0"/>
              <w:bidi w:val="0"/>
              <w:adjustRightInd/>
              <w:snapToGrid w:val="0"/>
              <w:spacing w:afterLines="0" w:line="42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协商</w:t>
            </w:r>
            <w:r>
              <w:rPr>
                <w:rFonts w:hint="eastAsia" w:ascii="宋体" w:hAnsi="宋体" w:eastAsia="宋体" w:cs="宋体"/>
                <w:color w:val="auto"/>
                <w:kern w:val="2"/>
                <w:sz w:val="21"/>
                <w:szCs w:val="21"/>
                <w:highlight w:val="none"/>
              </w:rPr>
              <w:t xml:space="preserve">有效期：首次响应文件提交截止之日起60天内。 </w:t>
            </w:r>
          </w:p>
        </w:tc>
      </w:tr>
      <w:tr w14:paraId="57B5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47405D0">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8695" w:type="dxa"/>
            <w:noWrap w:val="0"/>
            <w:vAlign w:val="center"/>
          </w:tcPr>
          <w:p w14:paraId="5EBA25C4">
            <w:pPr>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w:t>
            </w:r>
            <w:r>
              <w:rPr>
                <w:rFonts w:hint="eastAsia" w:ascii="宋体" w:hAnsi="宋体" w:cs="宋体"/>
                <w:color w:val="auto"/>
                <w:szCs w:val="21"/>
                <w:highlight w:val="none"/>
                <w:lang w:eastAsia="zh-CN"/>
              </w:rPr>
              <w:t>不</w:t>
            </w:r>
            <w:r>
              <w:rPr>
                <w:rFonts w:hint="eastAsia" w:ascii="宋体" w:hAnsi="宋体" w:eastAsia="宋体" w:cs="宋体"/>
                <w:color w:val="auto"/>
                <w:szCs w:val="21"/>
                <w:highlight w:val="none"/>
              </w:rPr>
              <w:t>收取</w:t>
            </w:r>
            <w:r>
              <w:rPr>
                <w:rFonts w:hint="eastAsia" w:ascii="宋体" w:hAnsi="宋体" w:eastAsia="宋体" w:cs="宋体"/>
                <w:color w:val="auto"/>
                <w:szCs w:val="21"/>
                <w:highlight w:val="none"/>
                <w:lang w:eastAsia="zh-CN"/>
              </w:rPr>
              <w:t>协商保证金</w:t>
            </w:r>
            <w:r>
              <w:rPr>
                <w:rFonts w:hint="eastAsia" w:ascii="宋体" w:hAnsi="宋体" w:cs="宋体"/>
                <w:color w:val="auto"/>
                <w:szCs w:val="21"/>
                <w:highlight w:val="none"/>
                <w:lang w:eastAsia="zh-CN"/>
              </w:rPr>
              <w:t>。</w:t>
            </w:r>
          </w:p>
        </w:tc>
      </w:tr>
      <w:tr w14:paraId="536C6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F6886E4">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w:t>
            </w:r>
          </w:p>
        </w:tc>
        <w:tc>
          <w:tcPr>
            <w:tcW w:w="8695" w:type="dxa"/>
            <w:noWrap w:val="0"/>
            <w:vAlign w:val="center"/>
          </w:tcPr>
          <w:p w14:paraId="513E81FB">
            <w:pPr>
              <w:keepNext w:val="0"/>
              <w:keepLines w:val="0"/>
              <w:pageBreakBefore w:val="0"/>
              <w:widowControl w:val="0"/>
              <w:kinsoku/>
              <w:wordWrap/>
              <w:overflowPunct/>
              <w:topLinePunct w:val="0"/>
              <w:bidi w:val="0"/>
              <w:adjustRightInd/>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响应文件应按资格证明文件、报价商务技术文件分别编制，</w:t>
            </w:r>
            <w:r>
              <w:rPr>
                <w:rFonts w:hint="eastAsia" w:ascii="宋体" w:hAnsi="宋体" w:eastAsia="宋体" w:cs="宋体"/>
                <w:color w:val="auto"/>
                <w:szCs w:val="21"/>
                <w:highlight w:val="none"/>
                <w:lang w:bidi="ar"/>
              </w:rPr>
              <w:t>并按</w:t>
            </w:r>
            <w:r>
              <w:rPr>
                <w:rFonts w:hint="eastAsia" w:ascii="宋体" w:hAnsi="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的要求编制、加密、上传。</w:t>
            </w:r>
          </w:p>
        </w:tc>
      </w:tr>
      <w:tr w14:paraId="734D3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68A1908">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8695" w:type="dxa"/>
            <w:noWrap w:val="0"/>
            <w:vAlign w:val="center"/>
          </w:tcPr>
          <w:p w14:paraId="5A2E65E3">
            <w:pPr>
              <w:keepNext w:val="0"/>
              <w:keepLines w:val="0"/>
              <w:pageBreakBefore w:val="0"/>
              <w:widowControl w:val="0"/>
              <w:kinsoku/>
              <w:wordWrap/>
              <w:overflowPunct/>
              <w:topLinePunct w:val="0"/>
              <w:bidi w:val="0"/>
              <w:adjustRightInd/>
              <w:spacing w:line="420" w:lineRule="exact"/>
              <w:contextualSpacing/>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首次响应文件提交截止时间：详见邀请函。</w:t>
            </w:r>
          </w:p>
          <w:p w14:paraId="20CCDA9A">
            <w:pPr>
              <w:keepNext w:val="0"/>
              <w:keepLines w:val="0"/>
              <w:pageBreakBefore w:val="0"/>
              <w:widowControl w:val="0"/>
              <w:kinsoku/>
              <w:wordWrap/>
              <w:overflowPunct/>
              <w:topLinePunct w:val="0"/>
              <w:bidi w:val="0"/>
              <w:adjustRightInd/>
              <w:spacing w:line="420" w:lineRule="exact"/>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首次响应文件提交地点：详见邀请函。</w:t>
            </w:r>
          </w:p>
        </w:tc>
      </w:tr>
      <w:tr w14:paraId="60E69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CD95D17">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p>
        </w:tc>
        <w:tc>
          <w:tcPr>
            <w:tcW w:w="8695" w:type="dxa"/>
            <w:noWrap w:val="0"/>
            <w:vAlign w:val="center"/>
          </w:tcPr>
          <w:p w14:paraId="0B4A72EA">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小组的人数：3人。</w:t>
            </w:r>
          </w:p>
        </w:tc>
      </w:tr>
      <w:tr w14:paraId="4B67A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5CF18F3">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p>
        </w:tc>
        <w:tc>
          <w:tcPr>
            <w:tcW w:w="8695" w:type="dxa"/>
            <w:noWrap w:val="0"/>
            <w:vAlign w:val="center"/>
          </w:tcPr>
          <w:p w14:paraId="00F9BE3B">
            <w:pPr>
              <w:keepNext w:val="0"/>
              <w:keepLines w:val="0"/>
              <w:pageBreakBefore w:val="0"/>
              <w:widowControl w:val="0"/>
              <w:kinsoku/>
              <w:wordWrap/>
              <w:overflowPunct/>
              <w:topLinePunct w:val="0"/>
              <w:bidi w:val="0"/>
              <w:adjustRightInd/>
              <w:snapToGrid w:val="0"/>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采购代理机构将依托电子交易平台发起开始解密指令，</w:t>
            </w:r>
            <w:r>
              <w:rPr>
                <w:rFonts w:hint="eastAsia" w:ascii="宋体" w:hAnsi="宋体" w:eastAsia="宋体" w:cs="宋体"/>
                <w:b/>
                <w:color w:val="auto"/>
                <w:szCs w:val="21"/>
                <w:highlight w:val="none"/>
              </w:rPr>
              <w:t>供应商的法定代表人或其委托代理人须携带加密时所用的CA锁按平台提示和采购文件的规定登录到</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电子开标大厅签到并在</w:t>
            </w:r>
            <w:r>
              <w:rPr>
                <w:rFonts w:hint="eastAsia" w:ascii="宋体" w:hAnsi="宋体" w:cs="宋体"/>
                <w:b/>
                <w:color w:val="auto"/>
                <w:szCs w:val="21"/>
                <w:highlight w:val="none"/>
                <w:lang w:eastAsia="zh-CN"/>
              </w:rPr>
              <w:t>发起解密指令之时起按系统规定的时间内完成对电子响应文</w:t>
            </w:r>
            <w:r>
              <w:rPr>
                <w:rFonts w:hint="eastAsia" w:ascii="宋体" w:hAnsi="宋体" w:eastAsia="宋体" w:cs="宋体"/>
                <w:b/>
                <w:color w:val="auto"/>
                <w:szCs w:val="21"/>
                <w:highlight w:val="none"/>
              </w:rPr>
              <w:t>件在线解密。</w:t>
            </w:r>
            <w:r>
              <w:rPr>
                <w:rFonts w:hint="eastAsia" w:ascii="宋体" w:hAnsi="宋体" w:eastAsia="宋体" w:cs="宋体"/>
                <w:b/>
                <w:bCs/>
                <w:color w:val="auto"/>
                <w:szCs w:val="21"/>
                <w:highlight w:val="none"/>
              </w:rPr>
              <w:t>响应文件未按时解密的，视为响应文件无效。</w:t>
            </w:r>
          </w:p>
        </w:tc>
      </w:tr>
      <w:tr w14:paraId="2A973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81BB66C">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8695" w:type="dxa"/>
            <w:noWrap w:val="0"/>
            <w:vAlign w:val="center"/>
          </w:tcPr>
          <w:p w14:paraId="604966F5">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240A9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37C04E0">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8695" w:type="dxa"/>
            <w:noWrap w:val="0"/>
            <w:vAlign w:val="center"/>
          </w:tcPr>
          <w:p w14:paraId="2000C97B">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14:paraId="11C1A9F7">
            <w:pPr>
              <w:keepNext w:val="0"/>
              <w:keepLines w:val="0"/>
              <w:pageBreakBefore w:val="0"/>
              <w:widowControl w:val="0"/>
              <w:kinsoku/>
              <w:wordWrap/>
              <w:overflowPunct/>
              <w:topLinePunct w:val="0"/>
              <w:autoSpaceDE w:val="0"/>
              <w:autoSpaceDN w:val="0"/>
              <w:bidi w:val="0"/>
              <w:adjustRightInd/>
              <w:snapToGrid w:val="0"/>
              <w:spacing w:line="42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委托代理人负责签订合同的，须携带授权委托书及委托代理人身份证原件等其他资格证件。</w:t>
            </w:r>
          </w:p>
          <w:p w14:paraId="1C1B49DE">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法定代表人负责签订合同的，须携带法定代表人身份证明原件及身份证原件等其他证明材料。</w:t>
            </w:r>
          </w:p>
        </w:tc>
      </w:tr>
      <w:tr w14:paraId="66466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A54E4A8">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.1</w:t>
            </w:r>
          </w:p>
        </w:tc>
        <w:tc>
          <w:tcPr>
            <w:tcW w:w="8695" w:type="dxa"/>
            <w:noWrap w:val="0"/>
            <w:vAlign w:val="center"/>
          </w:tcPr>
          <w:p w14:paraId="7A1DCECB">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1.采购代理服务费支付方式：本项目的招标代理服务费按以下收费标准向成交供应商收取，领取成交通知书前，成交供应商应向采购代理机构一次付清招标代理服务费，否则采购代理机构有权不予以办理。</w:t>
            </w:r>
          </w:p>
          <w:p w14:paraId="5A05F448">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采购代理服务费收取标准：</w:t>
            </w:r>
          </w:p>
          <w:p w14:paraId="338B3EAD">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highlight w:val="none"/>
                <w:u w:val="single"/>
                <w:lang w:val="en-US" w:eastAsia="zh-CN"/>
              </w:rPr>
            </w:pPr>
            <w:r>
              <w:rPr>
                <w:rFonts w:hint="eastAsia" w:ascii="宋体" w:hAnsi="宋体" w:eastAsia="宋体" w:cs="宋体"/>
                <w:color w:val="auto"/>
                <w:sz w:val="21"/>
                <w:highlight w:val="none"/>
                <w:u w:val="single"/>
                <w:lang w:val="en-US" w:eastAsia="zh-CN"/>
              </w:rPr>
              <w:t>本项目采购代理服务费以预算金额为计算标准，参照国家计委《招标代理服务收费管理暂行办法》（计价格[2002]1980号）和发改委《国家发展改革委关于降低部分建设项目收费标准规范收费行为等有关问题的通知》（发改价格[2011]534号）的</w:t>
            </w:r>
            <w:r>
              <w:rPr>
                <w:rFonts w:hint="eastAsia" w:hAnsi="宋体" w:cs="宋体"/>
                <w:color w:val="auto"/>
                <w:sz w:val="21"/>
                <w:highlight w:val="none"/>
                <w:u w:val="single"/>
                <w:lang w:val="en-US" w:eastAsia="zh-CN"/>
              </w:rPr>
              <w:t>服务类</w:t>
            </w:r>
            <w:r>
              <w:rPr>
                <w:rFonts w:hint="eastAsia" w:ascii="宋体" w:hAnsi="宋体" w:eastAsia="宋体" w:cs="宋体"/>
                <w:color w:val="auto"/>
                <w:sz w:val="21"/>
                <w:highlight w:val="none"/>
                <w:u w:val="single"/>
                <w:lang w:val="en-US" w:eastAsia="zh-CN"/>
              </w:rPr>
              <w:t>收费计算</w:t>
            </w:r>
            <w:r>
              <w:rPr>
                <w:rFonts w:hint="eastAsia" w:hAnsi="宋体" w:cs="宋体"/>
                <w:color w:val="auto"/>
                <w:sz w:val="21"/>
                <w:highlight w:val="none"/>
                <w:u w:val="single"/>
                <w:lang w:val="en-US" w:eastAsia="zh-CN"/>
              </w:rPr>
              <w:t>及结合中介超市选取代理的固定报价</w:t>
            </w:r>
            <w:r>
              <w:rPr>
                <w:rFonts w:hint="eastAsia" w:ascii="宋体" w:hAnsi="宋体" w:eastAsia="宋体" w:cs="宋体"/>
                <w:color w:val="auto"/>
                <w:sz w:val="21"/>
                <w:highlight w:val="none"/>
                <w:u w:val="single"/>
                <w:lang w:val="en-US" w:eastAsia="zh-CN"/>
              </w:rPr>
              <w:t>向成交人收取，具体采购代理服务费为：人民币</w:t>
            </w:r>
            <w:r>
              <w:rPr>
                <w:rFonts w:hint="eastAsia" w:hAnsi="宋体" w:cs="宋体"/>
                <w:color w:val="auto"/>
                <w:sz w:val="21"/>
                <w:highlight w:val="none"/>
                <w:u w:val="single"/>
                <w:lang w:val="en-US" w:eastAsia="zh-CN"/>
              </w:rPr>
              <w:fldChar w:fldCharType="begin"/>
            </w:r>
            <w:r>
              <w:rPr>
                <w:rFonts w:hint="eastAsia" w:hAnsi="宋体" w:cs="宋体"/>
                <w:color w:val="auto"/>
                <w:sz w:val="21"/>
                <w:highlight w:val="none"/>
                <w:u w:val="single"/>
                <w:lang w:val="en-US" w:eastAsia="zh-CN"/>
              </w:rPr>
              <w:instrText xml:space="preserve"> = 15000 \* CHINESENUM2 \* MERGEFORMAT </w:instrText>
            </w:r>
            <w:r>
              <w:rPr>
                <w:rFonts w:hint="eastAsia" w:hAnsi="宋体" w:cs="宋体"/>
                <w:color w:val="auto"/>
                <w:sz w:val="21"/>
                <w:highlight w:val="none"/>
                <w:u w:val="single"/>
                <w:lang w:val="en-US" w:eastAsia="zh-CN"/>
              </w:rPr>
              <w:fldChar w:fldCharType="separate"/>
            </w:r>
            <w:r>
              <w:rPr>
                <w:color w:val="auto"/>
                <w:highlight w:val="none"/>
                <w:u w:val="single"/>
              </w:rPr>
              <w:t>壹万伍仟</w:t>
            </w:r>
            <w:r>
              <w:rPr>
                <w:rFonts w:hint="eastAsia" w:hAnsi="宋体" w:cs="宋体"/>
                <w:color w:val="auto"/>
                <w:sz w:val="21"/>
                <w:highlight w:val="none"/>
                <w:u w:val="single"/>
                <w:lang w:val="en-US" w:eastAsia="zh-CN"/>
              </w:rPr>
              <w:fldChar w:fldCharType="end"/>
            </w:r>
            <w:r>
              <w:rPr>
                <w:rFonts w:hint="eastAsia" w:hAnsi="宋体" w:cs="宋体"/>
                <w:color w:val="auto"/>
                <w:sz w:val="21"/>
                <w:highlight w:val="none"/>
                <w:u w:val="single"/>
                <w:lang w:val="en-US" w:eastAsia="zh-CN"/>
              </w:rPr>
              <w:t>元整</w:t>
            </w:r>
            <w:r>
              <w:rPr>
                <w:rFonts w:hint="eastAsia" w:ascii="宋体" w:hAnsi="宋体" w:eastAsia="宋体" w:cs="宋体"/>
                <w:color w:val="auto"/>
                <w:sz w:val="21"/>
                <w:highlight w:val="none"/>
                <w:u w:val="single"/>
                <w:lang w:val="en-US" w:eastAsia="zh-CN"/>
              </w:rPr>
              <w:t>(¥</w:t>
            </w:r>
            <w:r>
              <w:rPr>
                <w:rFonts w:hint="eastAsia" w:hAnsi="宋体" w:cs="宋体"/>
                <w:color w:val="auto"/>
                <w:sz w:val="21"/>
                <w:highlight w:val="none"/>
                <w:u w:val="single"/>
                <w:lang w:val="en-US" w:eastAsia="zh-CN"/>
              </w:rPr>
              <w:t>15000</w:t>
            </w:r>
            <w:r>
              <w:rPr>
                <w:rFonts w:hint="eastAsia" w:ascii="宋体" w:hAnsi="宋体" w:eastAsia="宋体" w:cs="宋体"/>
                <w:color w:val="auto"/>
                <w:sz w:val="21"/>
                <w:highlight w:val="none"/>
                <w:u w:val="single"/>
                <w:lang w:val="en-US" w:eastAsia="zh-CN"/>
              </w:rPr>
              <w:t>.00)。</w:t>
            </w:r>
          </w:p>
          <w:p w14:paraId="2FC85344">
            <w:pPr>
              <w:pStyle w:val="12"/>
              <w:snapToGrid w:val="0"/>
              <w:spacing w:line="400" w:lineRule="exact"/>
              <w:rPr>
                <w:rFonts w:hint="eastAsia" w:hAnsi="宋体" w:cs="宋体"/>
                <w:color w:val="auto"/>
                <w:sz w:val="21"/>
                <w:szCs w:val="21"/>
                <w:highlight w:val="none"/>
                <w:lang w:val="en-US" w:eastAsia="zh-CN"/>
              </w:rPr>
            </w:pPr>
            <w:r>
              <w:rPr>
                <w:rFonts w:hint="eastAsia" w:ascii="宋体" w:hAnsi="宋体" w:eastAsia="宋体" w:cs="宋体"/>
                <w:color w:val="auto"/>
                <w:sz w:val="21"/>
                <w:highlight w:val="none"/>
                <w:lang w:val="en-US" w:eastAsia="zh-CN"/>
              </w:rPr>
              <w:t>3、</w:t>
            </w:r>
            <w:r>
              <w:rPr>
                <w:rFonts w:hint="eastAsia" w:hAnsi="宋体" w:cs="宋体"/>
                <w:color w:val="auto"/>
                <w:sz w:val="21"/>
                <w:szCs w:val="21"/>
                <w:highlight w:val="none"/>
                <w:lang w:val="en-US" w:eastAsia="zh-CN"/>
              </w:rPr>
              <w:t>账户名称：广西圣元达工程咨询有限公司</w:t>
            </w:r>
          </w:p>
          <w:p w14:paraId="63A51A93">
            <w:pPr>
              <w:pStyle w:val="12"/>
              <w:snapToGrid w:val="0"/>
              <w:spacing w:line="400" w:lineRule="exac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账户号码：800134376688991</w:t>
            </w:r>
          </w:p>
          <w:p w14:paraId="0C46779A">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u w:val="single"/>
                <w:lang w:val="en-US" w:eastAsia="zh-CN"/>
              </w:rPr>
            </w:pPr>
            <w:r>
              <w:rPr>
                <w:rFonts w:hint="eastAsia" w:hAnsi="宋体" w:cs="宋体"/>
                <w:color w:val="auto"/>
                <w:sz w:val="21"/>
                <w:szCs w:val="21"/>
                <w:highlight w:val="none"/>
                <w:lang w:val="en-US" w:eastAsia="zh-CN"/>
              </w:rPr>
              <w:t>开户银行：广西北部湾银行股份有限公司贵港市港南支行</w:t>
            </w:r>
          </w:p>
        </w:tc>
      </w:tr>
      <w:tr w14:paraId="27D46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A76744D">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w:t>
            </w:r>
          </w:p>
        </w:tc>
        <w:tc>
          <w:tcPr>
            <w:tcW w:w="8695" w:type="dxa"/>
            <w:noWrap w:val="0"/>
            <w:vAlign w:val="center"/>
          </w:tcPr>
          <w:p w14:paraId="58FC7948">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解释：构成本单一来源采购文件的各个组成文件应互为解释，互为说明；除单一来源采购文件中有特别规定外，仅适用于协商阶段的规定，按更正公告（澄清公告）、单一来源采购邀请函、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单一来源采购文件不一致时以更正公告（澄清公告）为准。按本款前述规定仍不能形成结论的，由采购人或者采购代理机构负责解释。</w:t>
            </w:r>
          </w:p>
        </w:tc>
      </w:tr>
      <w:tr w14:paraId="51198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9C27BE">
            <w:pPr>
              <w:keepNext w:val="0"/>
              <w:keepLines w:val="0"/>
              <w:pageBreakBefore w:val="0"/>
              <w:widowControl w:val="0"/>
              <w:kinsoku/>
              <w:wordWrap/>
              <w:overflowPunct/>
              <w:topLinePunct w:val="0"/>
              <w:bidi w:val="0"/>
              <w:adjustRightInd/>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w:t>
            </w:r>
          </w:p>
        </w:tc>
        <w:tc>
          <w:tcPr>
            <w:tcW w:w="8695" w:type="dxa"/>
            <w:noWrap w:val="0"/>
            <w:vAlign w:val="center"/>
          </w:tcPr>
          <w:p w14:paraId="16ABD326">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单一来源采购文件中描述供应商的“公章”是指根据我国对公章的管理规定，用供应商法定主体行为名称制作的印章（含电子印章），除本单一来源采购文件有特殊规定外，供应商的财务章、部门章、分公司章、工会章、合同章、协商专用章、业务专用章及银行的转账章、现金收讫章、现金付讫章等其他形式印章均不能代替公章。</w:t>
            </w:r>
          </w:p>
          <w:p w14:paraId="312F39AE">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2.本单一来源采购文件中描述供应商的“签字”是指供应商的法定代表人或者委托代理人在文件规定签署处签名（含电子签名）</w:t>
            </w:r>
            <w:r>
              <w:rPr>
                <w:rFonts w:hint="eastAsia" w:hAnsi="宋体" w:cs="宋体"/>
                <w:color w:val="auto"/>
                <w:sz w:val="21"/>
                <w:highlight w:val="none"/>
                <w:lang w:val="en-US" w:eastAsia="zh-CN"/>
              </w:rPr>
              <w:t>或</w:t>
            </w:r>
            <w:r>
              <w:rPr>
                <w:rFonts w:hint="eastAsia" w:ascii="宋体" w:hAnsi="宋体" w:eastAsia="宋体" w:cs="宋体"/>
                <w:color w:val="auto"/>
                <w:sz w:val="21"/>
                <w:highlight w:val="none"/>
                <w:lang w:val="en-US" w:eastAsia="zh-CN"/>
              </w:rPr>
              <w:t>私章、印鉴等其他形式</w:t>
            </w:r>
            <w:r>
              <w:rPr>
                <w:rFonts w:hint="eastAsia" w:hAnsi="宋体" w:cs="宋体"/>
                <w:color w:val="auto"/>
                <w:sz w:val="21"/>
                <w:highlight w:val="none"/>
                <w:lang w:val="en-US" w:eastAsia="zh-CN"/>
              </w:rPr>
              <w:t>均可</w:t>
            </w:r>
            <w:r>
              <w:rPr>
                <w:rFonts w:hint="eastAsia" w:ascii="宋体" w:hAnsi="宋体" w:eastAsia="宋体" w:cs="宋体"/>
                <w:color w:val="auto"/>
                <w:sz w:val="21"/>
                <w:highlight w:val="none"/>
                <w:lang w:val="en-US" w:eastAsia="zh-CN"/>
              </w:rPr>
              <w:t>。</w:t>
            </w:r>
          </w:p>
          <w:p w14:paraId="6C877E03">
            <w:pPr>
              <w:pStyle w:val="12"/>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3.本单一来源采购文件所称的“以上”“以下”“以内”“届满”，包括本数；所称的“不满”“超过”“以外”，不包括本数。</w:t>
            </w:r>
          </w:p>
        </w:tc>
      </w:tr>
    </w:tbl>
    <w:p w14:paraId="576B2FFE">
      <w:pPr>
        <w:rPr>
          <w:rFonts w:hint="eastAsia" w:ascii="宋体" w:hAnsi="宋体" w:eastAsia="宋体" w:cs="宋体"/>
          <w:color w:val="auto"/>
          <w:highlight w:val="none"/>
        </w:rPr>
      </w:pPr>
    </w:p>
    <w:p w14:paraId="3B5901AE">
      <w:pPr>
        <w:rPr>
          <w:rFonts w:hint="eastAsia" w:ascii="宋体" w:hAnsi="宋体" w:eastAsia="宋体" w:cs="宋体"/>
          <w:color w:val="auto"/>
          <w:highlight w:val="none"/>
        </w:rPr>
      </w:pPr>
    </w:p>
    <w:p w14:paraId="7BF1A72B">
      <w:pPr>
        <w:pStyle w:val="12"/>
        <w:spacing w:line="500" w:lineRule="exact"/>
        <w:jc w:val="center"/>
        <w:rPr>
          <w:rFonts w:hint="eastAsia" w:ascii="宋体" w:hAnsi="宋体" w:eastAsia="宋体" w:cs="宋体"/>
          <w:b/>
          <w:color w:val="auto"/>
          <w:sz w:val="36"/>
          <w:szCs w:val="36"/>
          <w:highlight w:val="none"/>
          <w:lang w:eastAsia="zh-CN"/>
        </w:rPr>
      </w:pPr>
    </w:p>
    <w:p w14:paraId="3B9ED149">
      <w:pPr>
        <w:spacing w:line="400" w:lineRule="exact"/>
        <w:jc w:val="center"/>
        <w:rPr>
          <w:rFonts w:hint="eastAsia" w:ascii="宋体" w:hAnsi="宋体" w:eastAsia="宋体" w:cs="宋体"/>
          <w:b/>
          <w:color w:val="auto"/>
          <w:sz w:val="32"/>
          <w:szCs w:val="32"/>
          <w:highlight w:val="none"/>
        </w:rPr>
      </w:pPr>
    </w:p>
    <w:p w14:paraId="05A642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6"/>
          <w:szCs w:val="36"/>
          <w:highlight w:val="none"/>
        </w:rPr>
      </w:pPr>
    </w:p>
    <w:p w14:paraId="105160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6"/>
          <w:szCs w:val="36"/>
          <w:highlight w:val="none"/>
        </w:rPr>
      </w:pPr>
    </w:p>
    <w:p w14:paraId="360CBA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6"/>
          <w:szCs w:val="36"/>
          <w:highlight w:val="none"/>
        </w:rPr>
      </w:pPr>
    </w:p>
    <w:p w14:paraId="7A5DA1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6"/>
          <w:szCs w:val="36"/>
          <w:highlight w:val="none"/>
        </w:rPr>
      </w:pPr>
    </w:p>
    <w:p w14:paraId="58673D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6"/>
          <w:szCs w:val="36"/>
          <w:highlight w:val="none"/>
        </w:rPr>
      </w:pPr>
    </w:p>
    <w:p w14:paraId="6765C4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6"/>
          <w:szCs w:val="36"/>
          <w:highlight w:val="none"/>
        </w:rPr>
      </w:pPr>
    </w:p>
    <w:p w14:paraId="31B348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6"/>
          <w:szCs w:val="36"/>
          <w:highlight w:val="none"/>
        </w:rPr>
      </w:pPr>
    </w:p>
    <w:p w14:paraId="10D826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6"/>
          <w:szCs w:val="36"/>
          <w:highlight w:val="none"/>
        </w:rPr>
      </w:pPr>
    </w:p>
    <w:p w14:paraId="0848072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EDCC8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6"/>
          <w:szCs w:val="36"/>
          <w:highlight w:val="none"/>
        </w:rPr>
        <w:t>供应商须知正文</w:t>
      </w:r>
    </w:p>
    <w:p w14:paraId="59CB7D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一、总则</w:t>
      </w:r>
    </w:p>
    <w:p w14:paraId="5367EA5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p>
    <w:p w14:paraId="36FE5FAA">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7EA19E5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的相关行为均受《中华人民共和国政府采购法》《中华人民共和国政府采购法实施条例》《政府采购非招标采购方式管理办法》</w:t>
      </w:r>
      <w:r>
        <w:rPr>
          <w:rFonts w:hint="eastAsia" w:ascii="宋体" w:hAnsi="宋体" w:cs="宋体"/>
          <w:color w:val="auto"/>
          <w:szCs w:val="21"/>
          <w:highlight w:val="none"/>
          <w:lang w:eastAsia="zh-CN"/>
        </w:rPr>
        <w:t>、《广西壮族自治区财政厅关于进一步规范政府采购单一来源采购方式管理的通知》桂财规〔2021〕4 号</w:t>
      </w:r>
      <w:r>
        <w:rPr>
          <w:rFonts w:hint="eastAsia" w:ascii="宋体" w:hAnsi="宋体" w:eastAsia="宋体" w:cs="宋体"/>
          <w:color w:val="auto"/>
          <w:szCs w:val="21"/>
          <w:highlight w:val="none"/>
        </w:rPr>
        <w:t>及本项目本级和上级财政部门政府采购有关规定的约束和保护。</w:t>
      </w:r>
    </w:p>
    <w:p w14:paraId="7E1A015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w:t>
      </w:r>
      <w:r>
        <w:rPr>
          <w:rFonts w:hint="eastAsia" w:ascii="宋体" w:hAnsi="宋体" w:eastAsia="宋体" w:cs="宋体"/>
          <w:color w:val="auto"/>
          <w:spacing w:val="-6"/>
          <w:szCs w:val="21"/>
          <w:highlight w:val="none"/>
          <w:lang w:eastAsia="zh-CN"/>
        </w:rPr>
        <w:t>单一来源采购文件</w:t>
      </w:r>
      <w:r>
        <w:rPr>
          <w:rFonts w:hint="eastAsia" w:ascii="宋体" w:hAnsi="宋体" w:eastAsia="宋体" w:cs="宋体"/>
          <w:color w:val="auto"/>
          <w:spacing w:val="-6"/>
          <w:szCs w:val="21"/>
          <w:highlight w:val="none"/>
        </w:rPr>
        <w:t>（以下简称</w:t>
      </w:r>
      <w:r>
        <w:rPr>
          <w:rFonts w:hint="eastAsia" w:ascii="宋体" w:hAnsi="宋体" w:eastAsia="宋体" w:cs="宋体"/>
          <w:color w:val="auto"/>
          <w:spacing w:val="-6"/>
          <w:szCs w:val="21"/>
          <w:highlight w:val="none"/>
          <w:lang w:eastAsia="zh-CN"/>
        </w:rPr>
        <w:t>采购文件</w:t>
      </w:r>
      <w:r>
        <w:rPr>
          <w:rFonts w:hint="eastAsia" w:ascii="宋体" w:hAnsi="宋体" w:eastAsia="宋体" w:cs="宋体"/>
          <w:color w:val="auto"/>
          <w:spacing w:val="-6"/>
          <w:szCs w:val="21"/>
          <w:highlight w:val="none"/>
        </w:rPr>
        <w:t>）适用于本项目的所有采购程序和环节（法律、法规另有规定的，从其规定）。</w:t>
      </w:r>
    </w:p>
    <w:p w14:paraId="02C8CD8A">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763659F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14:paraId="5AB99F6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w:t>
      </w:r>
      <w:r>
        <w:rPr>
          <w:rFonts w:hint="eastAsia" w:ascii="宋体" w:hAnsi="宋体" w:eastAsia="宋体" w:cs="宋体"/>
          <w:b/>
          <w:color w:val="auto"/>
          <w:szCs w:val="21"/>
          <w:highlight w:val="none"/>
        </w:rPr>
        <w:t>是指政府采购集中采购机构和集中采购机构以外的采购代理机构。</w:t>
      </w:r>
    </w:p>
    <w:p w14:paraId="4F0720A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6126D6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服务”是指除货物和工程以外的其他政府采购对象。</w:t>
      </w:r>
    </w:p>
    <w:p w14:paraId="06F87BF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”是指按照本项目</w:t>
      </w:r>
      <w:r>
        <w:rPr>
          <w:rFonts w:hint="eastAsia" w:ascii="宋体" w:hAnsi="宋体" w:eastAsia="宋体" w:cs="宋体"/>
          <w:color w:val="auto"/>
          <w:szCs w:val="21"/>
          <w:highlight w:val="none"/>
          <w:lang w:eastAsia="zh-CN"/>
        </w:rPr>
        <w:t>单一来源采购邀请函</w:t>
      </w:r>
      <w:r>
        <w:rPr>
          <w:rFonts w:hint="eastAsia" w:ascii="宋体" w:hAnsi="宋体" w:eastAsia="宋体" w:cs="宋体"/>
          <w:color w:val="auto"/>
          <w:szCs w:val="21"/>
          <w:highlight w:val="none"/>
        </w:rPr>
        <w:t>规定的方式供应商获取</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、提交响应文件并希望获得标的的行为。</w:t>
      </w:r>
    </w:p>
    <w:p w14:paraId="17EE998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124F33A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w:t>
      </w:r>
      <w:r>
        <w:rPr>
          <w:rFonts w:hint="eastAsia" w:ascii="宋体" w:hAnsi="宋体" w:eastAsia="宋体" w:cs="宋体"/>
          <w:color w:val="auto"/>
          <w:spacing w:val="-6"/>
          <w:szCs w:val="21"/>
          <w:highlight w:val="none"/>
          <w:lang w:eastAsia="zh-CN"/>
        </w:rPr>
        <w:t>采购文件</w:t>
      </w:r>
      <w:r>
        <w:rPr>
          <w:rFonts w:hint="eastAsia" w:ascii="宋体" w:hAnsi="宋体" w:eastAsia="宋体" w:cs="宋体"/>
          <w:color w:val="auto"/>
          <w:spacing w:val="-6"/>
          <w:szCs w:val="21"/>
          <w:highlight w:val="none"/>
        </w:rPr>
        <w:t>要求，编制包含报价、技术和服务等所有内容的文件。</w:t>
      </w:r>
    </w:p>
    <w:p w14:paraId="0E6189B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“实质性要求”是指采购需求中带“▲”的条款或者不能负偏离的条款或者已经指明不满足按响应文件按无效响应处理的条款。</w:t>
      </w:r>
    </w:p>
    <w:p w14:paraId="069A6C9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“正偏离”，是指响应文件对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“采购需求”中有关条款作出优于条款要求并有利于采购人的响应情形；</w:t>
      </w:r>
    </w:p>
    <w:p w14:paraId="7507463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“负偏离”，是指响应文件对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“采购需求”中有关条款作出的响应不满足条款要求，导致采购人要求不能得到满足的情形。</w:t>
      </w:r>
    </w:p>
    <w:p w14:paraId="7AAD145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“允许负偏离的条款”是指采购需求中的不属于“实质性要求”的条款。</w:t>
      </w:r>
    </w:p>
    <w:p w14:paraId="53F5160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“首次报价”是指供应商提交的首次响应文件中的</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w:t>
      </w:r>
    </w:p>
    <w:p w14:paraId="3828E412">
      <w:pPr>
        <w:keepNext w:val="0"/>
        <w:keepLines w:val="0"/>
        <w:pageBreakBefore w:val="0"/>
        <w:kinsoku/>
        <w:wordWrap/>
        <w:overflowPunct/>
        <w:topLinePunct w:val="0"/>
        <w:autoSpaceDE/>
        <w:autoSpaceDN/>
        <w:bidi w:val="0"/>
        <w:adjustRightInd/>
        <w:snapToGrid/>
        <w:spacing w:line="420" w:lineRule="exact"/>
        <w:ind w:firstLine="482" w:firstLineChars="200"/>
        <w:contextualSpacing/>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63FDE277">
      <w:pPr>
        <w:keepNext w:val="0"/>
        <w:keepLines w:val="0"/>
        <w:pageBreakBefore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642E0B2E">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r>
        <w:rPr>
          <w:rFonts w:hint="eastAsia" w:ascii="宋体" w:hAnsi="宋体" w:eastAsia="宋体" w:cs="宋体"/>
          <w:b/>
          <w:bCs/>
          <w:color w:val="auto"/>
          <w:sz w:val="24"/>
          <w:highlight w:val="none"/>
          <w:lang w:eastAsia="zh-CN"/>
        </w:rPr>
        <w:t>协商</w:t>
      </w:r>
      <w:r>
        <w:rPr>
          <w:rFonts w:hint="eastAsia" w:ascii="宋体" w:hAnsi="宋体" w:eastAsia="宋体" w:cs="宋体"/>
          <w:b/>
          <w:bCs/>
          <w:color w:val="auto"/>
          <w:sz w:val="24"/>
          <w:highlight w:val="none"/>
        </w:rPr>
        <w:t>费用</w:t>
      </w:r>
    </w:p>
    <w:p w14:paraId="1D73F5C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费用：供应商应承担参与本次采购活动有关的所有费用，包括但不限于获取</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、勘查现场、编制和提交响应文件、参加</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与应答、签订合同等，不论</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结果如何，均应自行承担。</w:t>
      </w:r>
    </w:p>
    <w:p w14:paraId="02E92769">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5.联合体</w:t>
      </w:r>
      <w:r>
        <w:rPr>
          <w:rFonts w:hint="eastAsia" w:ascii="宋体" w:hAnsi="宋体" w:eastAsia="宋体" w:cs="宋体"/>
          <w:b/>
          <w:bCs/>
          <w:color w:val="auto"/>
          <w:sz w:val="24"/>
          <w:highlight w:val="none"/>
          <w:lang w:eastAsia="zh-CN"/>
        </w:rPr>
        <w:t>协商</w:t>
      </w:r>
    </w:p>
    <w:p w14:paraId="749DA49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w:t>
      </w:r>
      <w:r>
        <w:rPr>
          <w:rFonts w:hint="eastAsia" w:ascii="宋体" w:hAnsi="宋体" w:eastAsia="宋体" w:cs="宋体"/>
          <w:color w:val="auto"/>
          <w:szCs w:val="21"/>
          <w:highlight w:val="none"/>
          <w:lang w:eastAsia="zh-CN"/>
        </w:rPr>
        <w:t>不</w:t>
      </w:r>
      <w:r>
        <w:rPr>
          <w:rFonts w:hint="eastAsia" w:ascii="宋体" w:hAnsi="宋体" w:eastAsia="宋体" w:cs="宋体"/>
          <w:color w:val="auto"/>
          <w:szCs w:val="21"/>
          <w:highlight w:val="none"/>
        </w:rPr>
        <w:t>接受联合体</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w:t>
      </w:r>
    </w:p>
    <w:p w14:paraId="5FB682BC">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6.转包与分包</w:t>
      </w:r>
    </w:p>
    <w:p w14:paraId="1ED4E9FE">
      <w:pPr>
        <w:keepNext w:val="0"/>
        <w:keepLines w:val="0"/>
        <w:pageBreakBefore w:val="0"/>
        <w:kinsoku/>
        <w:wordWrap/>
        <w:overflowPunct/>
        <w:topLinePunct w:val="0"/>
        <w:autoSpaceDE/>
        <w:autoSpaceDN/>
        <w:bidi w:val="0"/>
        <w:adjustRightInd/>
        <w:snapToGrid/>
        <w:spacing w:before="0" w:after="0" w:line="420" w:lineRule="exact"/>
        <w:ind w:firstLine="420" w:firstLineChars="200"/>
        <w:textAlignment w:val="auto"/>
        <w:outlineLvl w:val="9"/>
        <w:rPr>
          <w:rFonts w:hint="eastAsia" w:ascii="宋体" w:hAnsi="宋体" w:eastAsia="宋体" w:cs="宋体"/>
          <w:b w:val="0"/>
          <w:color w:val="auto"/>
          <w:sz w:val="21"/>
          <w:szCs w:val="21"/>
          <w:highlight w:val="none"/>
        </w:rPr>
      </w:pPr>
      <w:bookmarkStart w:id="10" w:name="_Toc254970532"/>
      <w:bookmarkStart w:id="11" w:name="_Toc254970673"/>
      <w:r>
        <w:rPr>
          <w:rFonts w:hint="eastAsia" w:ascii="宋体" w:hAnsi="宋体" w:eastAsia="宋体" w:cs="宋体"/>
          <w:b w:val="0"/>
          <w:color w:val="auto"/>
          <w:sz w:val="21"/>
          <w:szCs w:val="21"/>
          <w:highlight w:val="none"/>
        </w:rPr>
        <w:t>6.1本项目不允许转包。</w:t>
      </w:r>
    </w:p>
    <w:p w14:paraId="49542EB2">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7.特别说明</w:t>
      </w:r>
      <w:bookmarkEnd w:id="10"/>
      <w:bookmarkEnd w:id="11"/>
    </w:p>
    <w:p w14:paraId="69BE0D3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bookmarkStart w:id="12" w:name="_8.1提供相同品牌产品且通过资格审查、符合性审查的不同投标人参加同一合"/>
      <w:bookmarkEnd w:id="12"/>
      <w:r>
        <w:rPr>
          <w:rFonts w:hint="eastAsia" w:ascii="宋体" w:hAnsi="宋体" w:eastAsia="宋体" w:cs="宋体"/>
          <w:color w:val="auto"/>
          <w:szCs w:val="21"/>
          <w:highlight w:val="none"/>
        </w:rPr>
        <w:t>7.1如果本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要求提供供应商或制造商的资格、信誉、荣誉、业绩与企业认证等材料的，资格、信誉、荣誉、业绩与企业认证等必须为供应商或者制造商所拥有或自身获得。</w:t>
      </w:r>
    </w:p>
    <w:p w14:paraId="5246743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的所有内容，按照</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的要求提交响应文件，并对所提供的全部资料的真实性承担法律责任。</w:t>
      </w:r>
    </w:p>
    <w:p w14:paraId="4168636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活动中提供任何虚假材料,其响应文件按无效响应处理，并报监管部门查处；签订合同后发现的,成交供应商须依法赔偿采购人，且民事赔偿并不免除违法供应商的行政与刑事责任。</w:t>
      </w:r>
    </w:p>
    <w:p w14:paraId="5DE124A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7EF418E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3C7DE48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14BE928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8CA02F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579C710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2394F83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bookmarkStart w:id="13" w:name="_Toc254970675"/>
      <w:bookmarkStart w:id="14" w:name="_Toc254970534"/>
    </w:p>
    <w:p w14:paraId="70CA5BCD">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32"/>
          <w:szCs w:val="32"/>
          <w:highlight w:val="none"/>
        </w:rPr>
      </w:pPr>
    </w:p>
    <w:p w14:paraId="0E177FFB">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二、</w:t>
      </w:r>
      <w:bookmarkEnd w:id="13"/>
      <w:bookmarkEnd w:id="14"/>
      <w:r>
        <w:rPr>
          <w:rFonts w:hint="eastAsia" w:ascii="宋体" w:hAnsi="宋体" w:eastAsia="宋体" w:cs="宋体"/>
          <w:b/>
          <w:color w:val="auto"/>
          <w:sz w:val="32"/>
          <w:szCs w:val="32"/>
          <w:highlight w:val="none"/>
          <w:lang w:eastAsia="zh-CN"/>
        </w:rPr>
        <w:t>采购文件</w:t>
      </w:r>
    </w:p>
    <w:p w14:paraId="2E5F90C7">
      <w:pPr>
        <w:keepNext w:val="0"/>
        <w:keepLines w:val="0"/>
        <w:pageBreakBefore w:val="0"/>
        <w:kinsoku/>
        <w:wordWrap/>
        <w:overflowPunct/>
        <w:topLinePunct w:val="0"/>
        <w:autoSpaceDE/>
        <w:autoSpaceDN/>
        <w:bidi w:val="0"/>
        <w:adjustRightInd/>
        <w:snapToGrid/>
        <w:spacing w:line="420" w:lineRule="exact"/>
        <w:ind w:firstLine="420" w:firstLineChars="200"/>
        <w:jc w:val="center"/>
        <w:textAlignment w:val="auto"/>
        <w:rPr>
          <w:rFonts w:hint="eastAsia" w:ascii="宋体" w:hAnsi="宋体" w:eastAsia="宋体" w:cs="宋体"/>
          <w:color w:val="auto"/>
          <w:szCs w:val="21"/>
          <w:highlight w:val="none"/>
        </w:rPr>
      </w:pPr>
    </w:p>
    <w:p w14:paraId="7B33BC56">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eastAsia="zh-CN"/>
        </w:rPr>
        <w:t>采购文件</w:t>
      </w:r>
      <w:r>
        <w:rPr>
          <w:rFonts w:hint="eastAsia" w:ascii="宋体" w:hAnsi="宋体" w:eastAsia="宋体" w:cs="宋体"/>
          <w:b/>
          <w:bCs/>
          <w:color w:val="auto"/>
          <w:sz w:val="24"/>
          <w:highlight w:val="none"/>
        </w:rPr>
        <w:t>的构成</w:t>
      </w:r>
    </w:p>
    <w:p w14:paraId="132145B1">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单一来源采购邀请函</w:t>
      </w:r>
      <w:r>
        <w:rPr>
          <w:rFonts w:hint="eastAsia" w:ascii="宋体" w:hAnsi="宋体" w:eastAsia="宋体" w:cs="宋体"/>
          <w:color w:val="auto"/>
          <w:szCs w:val="21"/>
          <w:highlight w:val="none"/>
        </w:rPr>
        <w:t>；</w:t>
      </w:r>
    </w:p>
    <w:p w14:paraId="32AF6B54">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（2）供应商须知； </w:t>
      </w:r>
    </w:p>
    <w:p w14:paraId="465E048D">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64515DC0">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）评审程序和评定成交的标准；</w:t>
      </w:r>
    </w:p>
    <w:p w14:paraId="786205C4">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）响应文件格式</w:t>
      </w:r>
      <w:r>
        <w:rPr>
          <w:rFonts w:hint="eastAsia" w:ascii="宋体" w:hAnsi="宋体" w:eastAsia="宋体" w:cs="宋体"/>
          <w:color w:val="auto"/>
          <w:szCs w:val="21"/>
          <w:highlight w:val="none"/>
          <w:lang w:eastAsia="zh-CN"/>
        </w:rPr>
        <w:t>；</w:t>
      </w:r>
    </w:p>
    <w:p w14:paraId="3627E6AC">
      <w:pPr>
        <w:keepNext w:val="0"/>
        <w:keepLines w:val="0"/>
        <w:pageBreakBefore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）合同文本；</w:t>
      </w:r>
    </w:p>
    <w:p w14:paraId="6F4143E2">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5E76A2F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的采购需求，如供应商对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有疑问的，如要求采购人作出澄清或者修改的，供应商尽可能在提交首次响应文件截止之日前，以纸质书面形式向采购人、采购代理机构提出，否则，由此产生的后果由供应商自行负责。</w:t>
      </w:r>
    </w:p>
    <w:p w14:paraId="00694E3E">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w:t>
      </w:r>
      <w:r>
        <w:rPr>
          <w:rFonts w:hint="eastAsia" w:ascii="宋体" w:hAnsi="宋体" w:eastAsia="宋体" w:cs="宋体"/>
          <w:b/>
          <w:bCs/>
          <w:color w:val="auto"/>
          <w:sz w:val="24"/>
          <w:highlight w:val="none"/>
          <w:lang w:eastAsia="zh-CN"/>
        </w:rPr>
        <w:t>采购文件</w:t>
      </w:r>
      <w:r>
        <w:rPr>
          <w:rFonts w:hint="eastAsia" w:ascii="宋体" w:hAnsi="宋体" w:eastAsia="宋体" w:cs="宋体"/>
          <w:b/>
          <w:bCs/>
          <w:color w:val="auto"/>
          <w:sz w:val="24"/>
          <w:highlight w:val="none"/>
        </w:rPr>
        <w:t>的澄清和修改</w:t>
      </w:r>
    </w:p>
    <w:p w14:paraId="627E3D2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10.1提交首次响应文件截止之日前，采购人、采购代理机构或者</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可以对已发出的</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进行必要的澄清或者修改，澄清或者修改的内容作为</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的组成部分。澄清或者修改将在</w:t>
      </w:r>
      <w:r>
        <w:rPr>
          <w:rFonts w:hint="eastAsia" w:ascii="宋体" w:hAnsi="宋体" w:cs="宋体"/>
          <w:color w:val="auto"/>
          <w:szCs w:val="21"/>
          <w:highlight w:val="none"/>
          <w:lang w:eastAsia="zh-CN"/>
        </w:rPr>
        <w:t>相应的网站</w:t>
      </w:r>
      <w:r>
        <w:rPr>
          <w:rFonts w:hint="eastAsia" w:ascii="宋体" w:hAnsi="宋体" w:eastAsia="宋体" w:cs="宋体"/>
          <w:color w:val="auto"/>
          <w:szCs w:val="21"/>
          <w:highlight w:val="none"/>
        </w:rPr>
        <w:t>上发布更正公告。澄清或者修改的内容可能影响响应文件编制的，采购人、采购代理机构或者</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应当在提交首次响应文件截止之日3个工作日前，在</w:t>
      </w:r>
      <w:r>
        <w:rPr>
          <w:rFonts w:hint="eastAsia" w:ascii="宋体" w:hAnsi="宋体" w:cs="宋体"/>
          <w:color w:val="auto"/>
          <w:szCs w:val="21"/>
          <w:highlight w:val="none"/>
          <w:lang w:eastAsia="zh-CN"/>
        </w:rPr>
        <w:t>相应的网站上</w:t>
      </w:r>
      <w:r>
        <w:rPr>
          <w:rFonts w:hint="eastAsia" w:ascii="宋体" w:hAnsi="宋体" w:eastAsia="宋体" w:cs="宋体"/>
          <w:color w:val="auto"/>
          <w:szCs w:val="21"/>
          <w:highlight w:val="none"/>
        </w:rPr>
        <w:t>发布更正公告；不足3个工作日的，应当顺延提交首次响应文件截止之日。</w:t>
      </w:r>
    </w:p>
    <w:p w14:paraId="66A46C0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10.2采购人和采购代理机构可以视采购具体情况，变更</w:t>
      </w:r>
      <w:r>
        <w:rPr>
          <w:rFonts w:hint="eastAsia" w:ascii="宋体" w:hAnsi="宋体" w:eastAsia="宋体" w:cs="宋体"/>
          <w:color w:val="auto"/>
          <w:szCs w:val="21"/>
          <w:highlight w:val="none"/>
        </w:rPr>
        <w:t>首次响应文件提交截止时间</w:t>
      </w:r>
      <w:r>
        <w:rPr>
          <w:rFonts w:hint="eastAsia" w:ascii="宋体" w:hAnsi="宋体" w:eastAsia="宋体" w:cs="宋体"/>
          <w:color w:val="auto"/>
          <w:highlight w:val="none"/>
        </w:rPr>
        <w:t>，并</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相应的网站上</w:t>
      </w:r>
      <w:r>
        <w:rPr>
          <w:rFonts w:hint="eastAsia" w:ascii="宋体" w:hAnsi="宋体" w:eastAsia="宋体" w:cs="宋体"/>
          <w:color w:val="auto"/>
          <w:szCs w:val="21"/>
          <w:highlight w:val="none"/>
        </w:rPr>
        <w:t>发布更正公告。</w:t>
      </w:r>
    </w:p>
    <w:p w14:paraId="4176726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澄清、答复、修改、补充的内容为</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的组成部分。</w:t>
      </w:r>
      <w:r>
        <w:rPr>
          <w:rFonts w:hint="eastAsia" w:ascii="宋体" w:hAnsi="宋体" w:eastAsia="宋体" w:cs="宋体"/>
          <w:b/>
          <w:color w:val="auto"/>
          <w:szCs w:val="21"/>
          <w:highlight w:val="none"/>
        </w:rPr>
        <w:t>当</w:t>
      </w:r>
      <w:r>
        <w:rPr>
          <w:rFonts w:hint="eastAsia" w:ascii="宋体" w:hAnsi="宋体" w:eastAsia="宋体" w:cs="宋体"/>
          <w:b/>
          <w:color w:val="auto"/>
          <w:szCs w:val="21"/>
          <w:highlight w:val="none"/>
          <w:lang w:eastAsia="zh-CN"/>
        </w:rPr>
        <w:t>采购文件</w:t>
      </w:r>
      <w:r>
        <w:rPr>
          <w:rFonts w:hint="eastAsia" w:ascii="宋体" w:hAnsi="宋体" w:eastAsia="宋体" w:cs="宋体"/>
          <w:b/>
          <w:color w:val="auto"/>
          <w:szCs w:val="21"/>
          <w:highlight w:val="none"/>
        </w:rPr>
        <w:t>与</w:t>
      </w:r>
      <w:r>
        <w:rPr>
          <w:rFonts w:hint="eastAsia" w:ascii="宋体" w:hAnsi="宋体" w:eastAsia="宋体" w:cs="宋体"/>
          <w:b/>
          <w:color w:val="auto"/>
          <w:szCs w:val="21"/>
          <w:highlight w:val="none"/>
          <w:lang w:eastAsia="zh-CN"/>
        </w:rPr>
        <w:t>采购文件</w:t>
      </w:r>
      <w:r>
        <w:rPr>
          <w:rFonts w:hint="eastAsia" w:ascii="宋体" w:hAnsi="宋体" w:eastAsia="宋体" w:cs="宋体"/>
          <w:b/>
          <w:color w:val="auto"/>
          <w:szCs w:val="21"/>
          <w:highlight w:val="none"/>
        </w:rPr>
        <w:t>的澄清、答复、修改、补充通知就同一内容的表述不一致时，以最后发出的文件为准。</w:t>
      </w:r>
    </w:p>
    <w:p w14:paraId="33327903">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highlight w:val="none"/>
        </w:rPr>
        <w:t>10.4</w:t>
      </w:r>
      <w:r>
        <w:rPr>
          <w:rFonts w:hint="eastAsia" w:ascii="宋体" w:hAnsi="宋体" w:eastAsia="宋体" w:cs="宋体"/>
          <w:b/>
          <w:color w:val="auto"/>
          <w:szCs w:val="21"/>
          <w:highlight w:val="none"/>
        </w:rPr>
        <w:t>响应文件未按</w:t>
      </w:r>
      <w:r>
        <w:rPr>
          <w:rFonts w:hint="eastAsia" w:ascii="宋体" w:hAnsi="宋体" w:eastAsia="宋体" w:cs="宋体"/>
          <w:b/>
          <w:color w:val="auto"/>
          <w:szCs w:val="21"/>
          <w:highlight w:val="none"/>
          <w:lang w:eastAsia="zh-CN"/>
        </w:rPr>
        <w:t>采购文件</w:t>
      </w:r>
      <w:r>
        <w:rPr>
          <w:rFonts w:hint="eastAsia" w:ascii="宋体" w:hAnsi="宋体" w:eastAsia="宋体" w:cs="宋体"/>
          <w:b/>
          <w:color w:val="auto"/>
          <w:szCs w:val="21"/>
          <w:highlight w:val="none"/>
        </w:rPr>
        <w:t>的澄清、修改后的内容编制的，其响应文件作无效响应处理。</w:t>
      </w:r>
    </w:p>
    <w:p w14:paraId="571541E0">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32"/>
          <w:szCs w:val="32"/>
          <w:highlight w:val="none"/>
        </w:rPr>
      </w:pPr>
    </w:p>
    <w:p w14:paraId="0FCDCD0F">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 w:val="32"/>
          <w:szCs w:val="32"/>
          <w:highlight w:val="none"/>
        </w:rPr>
        <w:t>三、响应文件的编制</w:t>
      </w:r>
    </w:p>
    <w:p w14:paraId="7D1AA06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p>
    <w:p w14:paraId="77B2FABC">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6A94418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的要求编制响应文件，并对其提交的响应文件的真实性、合法性承担法律责任。响应文件必须对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作出实质性响应。</w:t>
      </w:r>
    </w:p>
    <w:p w14:paraId="33705D5F">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3A722C7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12.1响应文件由资格证明文件、报价商务技术文件两部分组成。</w:t>
      </w:r>
    </w:p>
    <w:p w14:paraId="5FD2317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14:paraId="35A5D08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12.1.2报价商务技术文件：详见“供应商须知前附表”</w:t>
      </w:r>
    </w:p>
    <w:p w14:paraId="2F14EB82">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59F5A56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已有明确规定的，使用</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规定的计量单位；</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没有规定的，应采用中华人民共和国法定计量单位，货币种类为人民币，否则视同未响应。</w:t>
      </w:r>
    </w:p>
    <w:p w14:paraId="287FFBEA">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w:t>
      </w:r>
      <w:r>
        <w:rPr>
          <w:rFonts w:hint="eastAsia" w:ascii="宋体" w:hAnsi="宋体" w:eastAsia="宋体" w:cs="宋体"/>
          <w:b/>
          <w:bCs/>
          <w:color w:val="auto"/>
          <w:sz w:val="24"/>
          <w:highlight w:val="none"/>
          <w:lang w:eastAsia="zh-CN"/>
        </w:rPr>
        <w:t>协商</w:t>
      </w:r>
      <w:r>
        <w:rPr>
          <w:rFonts w:hint="eastAsia" w:ascii="宋体" w:hAnsi="宋体" w:eastAsia="宋体" w:cs="宋体"/>
          <w:b/>
          <w:bCs/>
          <w:color w:val="auto"/>
          <w:sz w:val="24"/>
          <w:highlight w:val="none"/>
        </w:rPr>
        <w:t>的风险</w:t>
      </w:r>
    </w:p>
    <w:p w14:paraId="4A0C971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要求提供全部资料，或者供应商没有对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在各方面作出实质性响应可能导致其响应文件按无效响应处理，是供应商应当考虑的风险。</w:t>
      </w:r>
    </w:p>
    <w:p w14:paraId="6382D1A3">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15.</w:t>
      </w:r>
      <w:r>
        <w:rPr>
          <w:rFonts w:hint="eastAsia" w:ascii="宋体" w:hAnsi="宋体" w:eastAsia="宋体" w:cs="宋体"/>
          <w:b/>
          <w:bCs/>
          <w:color w:val="auto"/>
          <w:sz w:val="24"/>
          <w:highlight w:val="none"/>
          <w:lang w:eastAsia="zh-CN"/>
        </w:rPr>
        <w:t>报价</w:t>
      </w:r>
    </w:p>
    <w:p w14:paraId="16A96F7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中“</w:t>
      </w:r>
      <w:r>
        <w:rPr>
          <w:rFonts w:hint="eastAsia" w:ascii="宋体" w:hAnsi="宋体" w:cs="宋体"/>
          <w:color w:val="auto"/>
          <w:szCs w:val="21"/>
          <w:highlight w:val="none"/>
          <w:lang w:eastAsia="zh-CN"/>
        </w:rPr>
        <w:t>协商</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表”格式填写。</w:t>
      </w:r>
    </w:p>
    <w:p w14:paraId="5E9F3BC3">
      <w:pPr>
        <w:keepNext w:val="0"/>
        <w:keepLines w:val="0"/>
        <w:pageBreakBefore w:val="0"/>
        <w:tabs>
          <w:tab w:val="left" w:pos="249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的内容详见“供应商须知前附表”。</w:t>
      </w:r>
    </w:p>
    <w:p w14:paraId="3F566DB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要求</w:t>
      </w:r>
    </w:p>
    <w:p w14:paraId="5D42F51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应符合以下要求，否则响应文件按无效响应处理：</w:t>
      </w:r>
    </w:p>
    <w:p w14:paraId="45B2CD5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w:t>
      </w:r>
      <w:r>
        <w:rPr>
          <w:rFonts w:hint="eastAsia" w:ascii="宋体" w:hAnsi="宋体" w:cs="宋体"/>
          <w:color w:val="auto"/>
          <w:szCs w:val="21"/>
          <w:highlight w:val="none"/>
          <w:lang w:eastAsia="zh-CN"/>
        </w:rPr>
        <w:t>所协商的全部内容作完整唯一总价报价</w:t>
      </w:r>
      <w:r>
        <w:rPr>
          <w:rFonts w:hint="eastAsia" w:ascii="宋体" w:hAnsi="宋体" w:eastAsia="宋体" w:cs="宋体"/>
          <w:color w:val="auto"/>
          <w:szCs w:val="21"/>
          <w:highlight w:val="none"/>
        </w:rPr>
        <w:t>，不得存在漏项报价；</w:t>
      </w:r>
    </w:p>
    <w:p w14:paraId="74223E5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供应商必须就所协商的全部内容作唯一报价供应商必须就所协商的全部内容作唯一报价</w:t>
      </w:r>
      <w:r>
        <w:rPr>
          <w:rFonts w:hint="eastAsia" w:ascii="宋体" w:hAnsi="宋体" w:eastAsia="宋体" w:cs="宋体"/>
          <w:color w:val="auto"/>
          <w:szCs w:val="21"/>
          <w:highlight w:val="none"/>
        </w:rPr>
        <w:t>。</w:t>
      </w:r>
    </w:p>
    <w:p w14:paraId="0D7FEDA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15.3.2报价超过所</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规定的采购预算金额或者最高限价的，其响应文件将按无效响应处理。</w:t>
      </w:r>
    </w:p>
    <w:p w14:paraId="232DE6CB">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w:t>
      </w:r>
      <w:r>
        <w:rPr>
          <w:rFonts w:hint="eastAsia" w:ascii="宋体" w:hAnsi="宋体" w:eastAsia="宋体" w:cs="宋体"/>
          <w:b/>
          <w:bCs/>
          <w:color w:val="auto"/>
          <w:sz w:val="24"/>
          <w:highlight w:val="none"/>
          <w:lang w:eastAsia="zh-CN"/>
        </w:rPr>
        <w:t>协商</w:t>
      </w:r>
      <w:r>
        <w:rPr>
          <w:rFonts w:hint="eastAsia" w:ascii="宋体" w:hAnsi="宋体" w:eastAsia="宋体" w:cs="宋体"/>
          <w:b/>
          <w:bCs/>
          <w:color w:val="auto"/>
          <w:sz w:val="24"/>
          <w:highlight w:val="none"/>
        </w:rPr>
        <w:t>有效期</w:t>
      </w:r>
    </w:p>
    <w:p w14:paraId="497D08D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有效期是指为保证采购人有足够的时间在提交响应文件后完成评审、确定成交供应商、合同签订等工作而要求供应商提交的响应文件在一定时间内保持有效的期限。</w:t>
      </w:r>
    </w:p>
    <w:p w14:paraId="2696D56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有效期应由供应商按“供应商须知前附表”规定的期限作出响应。</w:t>
      </w:r>
    </w:p>
    <w:p w14:paraId="1BA12C8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有效期内均保持有效。</w:t>
      </w:r>
    </w:p>
    <w:p w14:paraId="46E15B3E">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w:t>
      </w:r>
      <w:r>
        <w:rPr>
          <w:rFonts w:hint="eastAsia" w:ascii="宋体" w:hAnsi="宋体" w:eastAsia="宋体" w:cs="宋体"/>
          <w:b/>
          <w:bCs/>
          <w:color w:val="auto"/>
          <w:sz w:val="24"/>
          <w:highlight w:val="none"/>
          <w:lang w:eastAsia="zh-CN"/>
        </w:rPr>
        <w:t>协商</w:t>
      </w:r>
      <w:r>
        <w:rPr>
          <w:rFonts w:hint="eastAsia" w:ascii="宋体" w:hAnsi="宋体" w:eastAsia="宋体" w:cs="宋体"/>
          <w:b/>
          <w:bCs/>
          <w:color w:val="auto"/>
          <w:sz w:val="24"/>
          <w:highlight w:val="none"/>
        </w:rPr>
        <w:t>保证金</w:t>
      </w:r>
    </w:p>
    <w:p w14:paraId="40B4D9C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保证金。</w:t>
      </w:r>
    </w:p>
    <w:p w14:paraId="6EEF8F58">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5CA3499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18.1供应商应按本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规定的格式和顺序编制、装订响应文件并标注页码，响应文件内容</w:t>
      </w:r>
      <w:r>
        <w:rPr>
          <w:rFonts w:hint="eastAsia" w:ascii="宋体" w:hAnsi="宋体" w:eastAsia="宋体" w:cs="宋体"/>
          <w:color w:val="auto"/>
          <w:spacing w:val="-6"/>
          <w:szCs w:val="21"/>
          <w:highlight w:val="none"/>
        </w:rPr>
        <w:t>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pacing w:val="-6"/>
          <w:szCs w:val="21"/>
          <w:highlight w:val="none"/>
        </w:rPr>
        <w:t>后果由供应商承担。</w:t>
      </w:r>
    </w:p>
    <w:p w14:paraId="4DCB1A3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18.2响应文件应按资格证明文件、报价商务技术文件分别编制电子文件，</w:t>
      </w:r>
      <w:r>
        <w:rPr>
          <w:rFonts w:hint="eastAsia" w:ascii="宋体" w:hAnsi="宋体" w:eastAsia="宋体" w:cs="宋体"/>
          <w:color w:val="auto"/>
          <w:szCs w:val="21"/>
          <w:highlight w:val="none"/>
          <w:lang w:bidi="ar"/>
        </w:rPr>
        <w:t>并按</w:t>
      </w:r>
      <w:r>
        <w:rPr>
          <w:rFonts w:hint="eastAsia" w:ascii="宋体" w:hAnsi="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的要求编制、加密、上传。</w:t>
      </w:r>
    </w:p>
    <w:p w14:paraId="20116BB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5" w:name="_Hlk65832699"/>
      <w:r>
        <w:rPr>
          <w:rFonts w:hint="eastAsia" w:ascii="宋体" w:hAnsi="宋体" w:eastAsia="宋体" w:cs="宋体"/>
          <w:color w:val="auto"/>
          <w:szCs w:val="21"/>
          <w:highlight w:val="none"/>
        </w:rPr>
        <w:t>3响应文件须由供应商在规定位置盖公章并签字</w:t>
      </w:r>
      <w:bookmarkStart w:id="16" w:name="_Hlk65832569"/>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rPr>
        <w:t>签名（含电子签名）或私章、印鉴（具体以供应商须知前附表或响应文件格式规定为准）</w:t>
      </w:r>
      <w:bookmarkEnd w:id="15"/>
      <w:bookmarkEnd w:id="16"/>
      <w:r>
        <w:rPr>
          <w:rFonts w:hint="eastAsia" w:ascii="宋体" w:hAnsi="宋体" w:eastAsia="宋体" w:cs="宋体"/>
          <w:color w:val="auto"/>
          <w:szCs w:val="21"/>
          <w:highlight w:val="none"/>
        </w:rPr>
        <w:t>，否则其响应文件按无效响应处理。</w:t>
      </w:r>
    </w:p>
    <w:p w14:paraId="1A8A9A8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18.4响应文件中标注的供应商名称应与营业执照及公章一致，否则其响应文件按无效响应处理。</w:t>
      </w:r>
    </w:p>
    <w:p w14:paraId="4FA5043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18.5响应文件应尽量避免涂改、行间插字或者删除。如果出现上述情况，改动之处应由供应商的法定代表人或者其委托代理人签字</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rPr>
        <w:t>签名（含电子签名）或私章、印鉴或者加盖公章。响应文件因涂改、行间插字或者删除导致字迹潦草或者表达不清所引起的后果由供应商承担。</w:t>
      </w:r>
    </w:p>
    <w:p w14:paraId="6C815CB5">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19.响应文件的加密、解密</w:t>
      </w:r>
    </w:p>
    <w:p w14:paraId="430E0B1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19.1电子响应文件编制完成后，供应商应按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的要求进行加密，并在规定时间内解密，否则，由此产生的后果由供应商自行负责。</w:t>
      </w:r>
    </w:p>
    <w:p w14:paraId="64F5727C">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B37BBE0">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color w:val="auto"/>
          <w:szCs w:val="21"/>
          <w:highlight w:val="none"/>
          <w:lang w:bidi="ar"/>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bidi="ar"/>
        </w:rPr>
        <w:t>本项目为全流程电子化政府采购项目，通过</w:t>
      </w:r>
      <w:r>
        <w:rPr>
          <w:rFonts w:hint="eastAsia" w:ascii="宋体" w:hAnsi="宋体" w:cs="宋体"/>
          <w:color w:val="auto"/>
          <w:szCs w:val="21"/>
          <w:highlight w:val="none"/>
          <w:lang w:eastAsia="zh-CN" w:bidi="ar"/>
        </w:rPr>
        <w:t>广西政府采购云平台（https://www.gcy.zfcg.gxzf.gov.cn/）</w:t>
      </w:r>
      <w:r>
        <w:rPr>
          <w:rFonts w:hint="eastAsia" w:ascii="宋体" w:hAnsi="宋体" w:eastAsia="宋体" w:cs="宋体"/>
          <w:color w:val="auto"/>
          <w:szCs w:val="21"/>
          <w:highlight w:val="none"/>
          <w:lang w:bidi="ar"/>
        </w:rPr>
        <w:t>实行在线电子</w:t>
      </w:r>
      <w:r>
        <w:rPr>
          <w:rFonts w:hint="eastAsia" w:ascii="宋体" w:hAnsi="宋体" w:eastAsia="宋体" w:cs="宋体"/>
          <w:color w:val="auto"/>
          <w:szCs w:val="21"/>
          <w:highlight w:val="none"/>
          <w:lang w:eastAsia="zh-CN" w:bidi="ar"/>
        </w:rPr>
        <w:t>协商</w:t>
      </w:r>
      <w:r>
        <w:rPr>
          <w:rFonts w:hint="eastAsia" w:ascii="宋体" w:hAnsi="宋体" w:eastAsia="宋体" w:cs="宋体"/>
          <w:color w:val="auto"/>
          <w:szCs w:val="21"/>
          <w:highlight w:val="none"/>
          <w:lang w:bidi="ar"/>
        </w:rPr>
        <w:t>，</w:t>
      </w:r>
      <w:r>
        <w:rPr>
          <w:rFonts w:hint="eastAsia" w:ascii="宋体" w:hAnsi="宋体" w:cs="宋体"/>
          <w:color w:val="auto"/>
          <w:szCs w:val="21"/>
          <w:highlight w:val="none"/>
          <w:lang w:bidi="ar"/>
        </w:rPr>
        <w:t>供应商应先安装“广西政府采购云平台新版客户端”（</w:t>
      </w:r>
      <w:r>
        <w:rPr>
          <w:rFonts w:hint="eastAsia"/>
          <w:color w:val="auto"/>
          <w:highlight w:val="none"/>
        </w:rPr>
        <w:t>客户端下载路径：</w:t>
      </w:r>
      <w:r>
        <w:rPr>
          <w:rFonts w:hint="eastAsia" w:ascii="宋体" w:hAnsi="宋体" w:cs="宋体"/>
          <w:color w:val="auto"/>
          <w:szCs w:val="21"/>
          <w:highlight w:val="none"/>
          <w:lang w:bidi="ar"/>
        </w:rPr>
        <w:t>广西政府采购网（访问地址http://zfcg.gxzf.gov.cn/）—办事服务—下载专区）</w:t>
      </w:r>
      <w:r>
        <w:rPr>
          <w:rFonts w:hint="eastAsia" w:ascii="宋体" w:hAnsi="宋体" w:eastAsia="宋体" w:cs="宋体"/>
          <w:color w:val="auto"/>
          <w:szCs w:val="21"/>
          <w:highlight w:val="none"/>
          <w:lang w:bidi="ar"/>
        </w:rPr>
        <w:t>，并按照本项目</w:t>
      </w:r>
      <w:r>
        <w:rPr>
          <w:rFonts w:hint="eastAsia" w:ascii="宋体" w:hAnsi="宋体" w:eastAsia="宋体" w:cs="宋体"/>
          <w:color w:val="auto"/>
          <w:szCs w:val="21"/>
          <w:highlight w:val="none"/>
          <w:lang w:eastAsia="zh-CN" w:bidi="ar"/>
        </w:rPr>
        <w:t>单一来源采购文件</w:t>
      </w:r>
      <w:r>
        <w:rPr>
          <w:rFonts w:hint="eastAsia" w:ascii="宋体" w:hAnsi="宋体" w:eastAsia="宋体" w:cs="宋体"/>
          <w:color w:val="auto"/>
          <w:szCs w:val="21"/>
          <w:highlight w:val="none"/>
          <w:lang w:bidi="ar"/>
        </w:rPr>
        <w:t>和</w:t>
      </w:r>
      <w:r>
        <w:rPr>
          <w:rFonts w:hint="eastAsia" w:ascii="宋体" w:hAnsi="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的要求编制、加密后在首次响应文件提交截止时间前通过网络上传至</w:t>
      </w:r>
      <w:r>
        <w:rPr>
          <w:rFonts w:hint="eastAsia" w:ascii="宋体" w:hAnsi="宋体" w:cs="宋体"/>
          <w:color w:val="auto"/>
          <w:szCs w:val="21"/>
          <w:highlight w:val="none"/>
          <w:lang w:eastAsia="zh-CN" w:bidi="ar"/>
        </w:rPr>
        <w:t>广西政府采购云平台</w:t>
      </w:r>
      <w:r>
        <w:rPr>
          <w:rFonts w:hint="eastAsia" w:ascii="宋体" w:hAnsi="宋体" w:eastAsia="宋体" w:cs="宋体"/>
          <w:color w:val="auto"/>
          <w:szCs w:val="21"/>
          <w:highlight w:val="none"/>
          <w:lang w:bidi="ar"/>
        </w:rPr>
        <w:t>，</w:t>
      </w:r>
      <w:r>
        <w:rPr>
          <w:rFonts w:hint="eastAsia" w:ascii="宋体" w:hAnsi="宋体" w:eastAsia="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eastAsia="宋体" w:cs="宋体"/>
          <w:b/>
          <w:color w:val="auto"/>
          <w:szCs w:val="21"/>
          <w:highlight w:val="none"/>
          <w:lang w:bidi="ar"/>
        </w:rPr>
        <w:t>提交电子版响应文件时，请填写参加远程开标活动经办人联系方式。</w:t>
      </w:r>
    </w:p>
    <w:p w14:paraId="1AAE94D6">
      <w:pPr>
        <w:keepNext w:val="0"/>
        <w:keepLines w:val="0"/>
        <w:pageBreakBefore w:val="0"/>
        <w:kinsoku/>
        <w:wordWrap/>
        <w:overflowPunct/>
        <w:topLinePunct w:val="0"/>
        <w:autoSpaceDE/>
        <w:autoSpaceDN/>
        <w:bidi w:val="0"/>
        <w:adjustRightInd/>
        <w:snapToGrid/>
        <w:spacing w:before="0" w:after="0" w:line="420" w:lineRule="exact"/>
        <w:ind w:firstLine="420" w:firstLineChars="200"/>
        <w:jc w:val="left"/>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eastAsia="zh-CN"/>
        </w:rPr>
        <w:t>0</w:t>
      </w:r>
      <w:r>
        <w:rPr>
          <w:rFonts w:hint="eastAsia" w:ascii="宋体" w:hAnsi="宋体" w:eastAsia="宋体" w:cs="宋体"/>
          <w:b w:val="0"/>
          <w:color w:val="auto"/>
          <w:sz w:val="21"/>
          <w:szCs w:val="21"/>
          <w:highlight w:val="none"/>
        </w:rPr>
        <w:t>.</w:t>
      </w:r>
      <w:r>
        <w:rPr>
          <w:rFonts w:hint="eastAsia" w:ascii="宋体" w:hAnsi="宋体" w:eastAsia="宋体" w:cs="宋体"/>
          <w:b w:val="0"/>
          <w:color w:val="auto"/>
          <w:sz w:val="21"/>
          <w:szCs w:val="21"/>
          <w:highlight w:val="none"/>
          <w:lang w:eastAsia="zh-CN"/>
        </w:rPr>
        <w:t>3</w:t>
      </w:r>
      <w:r>
        <w:rPr>
          <w:rFonts w:hint="eastAsia" w:ascii="宋体" w:hAnsi="宋体" w:eastAsia="宋体" w:cs="宋体"/>
          <w:b w:val="0"/>
          <w:color w:val="auto"/>
          <w:sz w:val="21"/>
          <w:szCs w:val="21"/>
          <w:highlight w:val="none"/>
        </w:rPr>
        <w:t>未在规定时间内</w:t>
      </w:r>
      <w:r>
        <w:rPr>
          <w:rFonts w:hint="eastAsia" w:ascii="宋体" w:hAnsi="宋体" w:eastAsia="宋体" w:cs="宋体"/>
          <w:b w:val="0"/>
          <w:color w:val="auto"/>
          <w:sz w:val="21"/>
          <w:szCs w:val="21"/>
          <w:highlight w:val="none"/>
          <w:lang w:eastAsia="zh-CN"/>
        </w:rPr>
        <w:t>上传</w:t>
      </w:r>
      <w:r>
        <w:rPr>
          <w:rFonts w:hint="eastAsia" w:ascii="宋体" w:hAnsi="宋体" w:eastAsia="宋体" w:cs="宋体"/>
          <w:b w:val="0"/>
          <w:color w:val="auto"/>
          <w:sz w:val="21"/>
          <w:szCs w:val="21"/>
          <w:highlight w:val="none"/>
        </w:rPr>
        <w:t>或者未按</w:t>
      </w:r>
      <w:r>
        <w:rPr>
          <w:rFonts w:hint="eastAsia" w:ascii="宋体" w:hAnsi="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的要求编制、加密的电子响应文件，</w:t>
      </w:r>
      <w:r>
        <w:rPr>
          <w:rFonts w:hint="eastAsia" w:ascii="宋体" w:hAnsi="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将拒收。</w:t>
      </w:r>
    </w:p>
    <w:p w14:paraId="38BA294A">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20.4电子响应文件提交方式见“</w:t>
      </w:r>
      <w:r>
        <w:rPr>
          <w:rFonts w:hint="eastAsia" w:ascii="宋体" w:hAnsi="宋体" w:eastAsia="宋体" w:cs="宋体"/>
          <w:color w:val="auto"/>
          <w:szCs w:val="21"/>
          <w:highlight w:val="none"/>
          <w:lang w:eastAsia="zh-CN"/>
        </w:rPr>
        <w:t>单一来源采购邀请函</w:t>
      </w:r>
      <w:r>
        <w:rPr>
          <w:rFonts w:hint="eastAsia" w:ascii="宋体" w:hAnsi="宋体" w:eastAsia="宋体" w:cs="宋体"/>
          <w:color w:val="auto"/>
          <w:szCs w:val="21"/>
          <w:highlight w:val="none"/>
        </w:rPr>
        <w:t>”中“四、响应文件提交”。</w:t>
      </w:r>
    </w:p>
    <w:p w14:paraId="687791D5">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1DE9952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bCs/>
          <w:color w:val="auto"/>
          <w:szCs w:val="21"/>
          <w:highlight w:val="none"/>
          <w:lang w:eastAsia="zh-CN" w:bidi="ar"/>
        </w:rPr>
        <w:t>广西政府采购云平台</w:t>
      </w:r>
      <w:r>
        <w:rPr>
          <w:rFonts w:hint="eastAsia" w:ascii="宋体" w:hAnsi="宋体" w:eastAsia="宋体" w:cs="宋体"/>
          <w:bCs/>
          <w:color w:val="auto"/>
          <w:szCs w:val="21"/>
          <w:highlight w:val="none"/>
          <w:lang w:bidi="ar"/>
        </w:rPr>
        <w:t>将予以拒收。</w:t>
      </w:r>
    </w:p>
    <w:p w14:paraId="43AE08B1">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22.首次响应文件的退回</w:t>
      </w:r>
    </w:p>
    <w:p w14:paraId="1BD43C5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22.1采购人和采购代理机构对已提交的电子响应文件概不退回。</w:t>
      </w:r>
    </w:p>
    <w:p w14:paraId="56712AF9">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23.截止时间后的撤回</w:t>
      </w:r>
    </w:p>
    <w:p w14:paraId="2A2F65B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23.1供应商在首次响应文件提交截止时间后书面通知采购人、采购代理机构书面撤回响应文件的，将根据</w:t>
      </w:r>
      <w:r>
        <w:rPr>
          <w:rFonts w:hint="eastAsia" w:ascii="宋体" w:hAnsi="宋体" w:eastAsia="宋体" w:cs="宋体"/>
          <w:color w:val="auto"/>
          <w:szCs w:val="21"/>
          <w:highlight w:val="none"/>
          <w:lang w:eastAsia="zh-CN"/>
        </w:rPr>
        <w:t>相关法律法规处理</w:t>
      </w:r>
      <w:r>
        <w:rPr>
          <w:rFonts w:hint="eastAsia" w:ascii="宋体" w:hAnsi="宋体" w:eastAsia="宋体" w:cs="宋体"/>
          <w:color w:val="auto"/>
          <w:szCs w:val="21"/>
          <w:highlight w:val="none"/>
        </w:rPr>
        <w:t>。</w:t>
      </w:r>
    </w:p>
    <w:p w14:paraId="5F2E3C9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p>
    <w:p w14:paraId="02838491">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四、评审及</w:t>
      </w:r>
      <w:r>
        <w:rPr>
          <w:rFonts w:hint="eastAsia" w:ascii="宋体" w:hAnsi="宋体" w:eastAsia="宋体" w:cs="宋体"/>
          <w:b/>
          <w:color w:val="auto"/>
          <w:sz w:val="32"/>
          <w:szCs w:val="32"/>
          <w:highlight w:val="none"/>
          <w:lang w:eastAsia="zh-CN"/>
        </w:rPr>
        <w:t>协商</w:t>
      </w:r>
    </w:p>
    <w:p w14:paraId="16D8F6F8">
      <w:pPr>
        <w:keepNext w:val="0"/>
        <w:keepLines w:val="0"/>
        <w:pageBreakBefore w:val="0"/>
        <w:kinsoku/>
        <w:wordWrap/>
        <w:overflowPunct/>
        <w:topLinePunct w:val="0"/>
        <w:autoSpaceDE/>
        <w:autoSpaceDN/>
        <w:bidi w:val="0"/>
        <w:adjustRightInd/>
        <w:snapToGrid/>
        <w:spacing w:line="420" w:lineRule="exact"/>
        <w:ind w:left="420" w:firstLine="420" w:firstLineChars="200"/>
        <w:textAlignment w:val="auto"/>
        <w:rPr>
          <w:rFonts w:hint="eastAsia" w:ascii="宋体" w:hAnsi="宋体" w:eastAsia="宋体" w:cs="宋体"/>
          <w:color w:val="auto"/>
          <w:szCs w:val="21"/>
          <w:highlight w:val="none"/>
        </w:rPr>
      </w:pPr>
    </w:p>
    <w:p w14:paraId="608A67C7">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w:t>
      </w:r>
      <w:r>
        <w:rPr>
          <w:rFonts w:hint="eastAsia" w:ascii="宋体" w:hAnsi="宋体" w:eastAsia="宋体" w:cs="宋体"/>
          <w:b/>
          <w:bCs/>
          <w:color w:val="auto"/>
          <w:sz w:val="24"/>
          <w:highlight w:val="none"/>
          <w:lang w:eastAsia="zh-CN"/>
        </w:rPr>
        <w:t>协商小组</w:t>
      </w:r>
      <w:r>
        <w:rPr>
          <w:rFonts w:hint="eastAsia" w:ascii="宋体" w:hAnsi="宋体" w:eastAsia="宋体" w:cs="宋体"/>
          <w:b/>
          <w:bCs/>
          <w:color w:val="auto"/>
          <w:sz w:val="24"/>
          <w:highlight w:val="none"/>
        </w:rPr>
        <w:t>成立</w:t>
      </w:r>
    </w:p>
    <w:p w14:paraId="2C9C82C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成立：</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由评审专共3人以上单数组成，具体人数详见“供应商须知前附表”。采购代理机构人员不得参加本机构代理的采购项目的评审。达到公开招标数额标准的货物或者服务采购项目，或者达到招标规模标准的政府采购工程，</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应当由5人以上单数组成。</w:t>
      </w:r>
    </w:p>
    <w:p w14:paraId="5870DAA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24.2评审专家应当从政府采购评审专家库内相关专业的专家名单中随机抽取。技术复杂、专业性强的</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采购项目，通过随机方式难以确定合适的评审专家的，经主管预算单位同意，可以自行选定评审专家。</w:t>
      </w:r>
    </w:p>
    <w:p w14:paraId="2C9D9647">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17EBF9D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或者采购代理机构在“供应商须知前附表”规定的时间开启。</w:t>
      </w:r>
    </w:p>
    <w:p w14:paraId="2EA04DC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25.2响应文件解密：采购代理机构将在“供应商须知前附表”规定的时间通过电子交易平台组织响应文件开启，采购代理机构将依托电子交易平台发起开始解密指令，</w:t>
      </w:r>
      <w:r>
        <w:rPr>
          <w:rFonts w:hint="eastAsia" w:ascii="宋体" w:hAnsi="宋体" w:eastAsia="宋体" w:cs="宋体"/>
          <w:b/>
          <w:color w:val="auto"/>
          <w:szCs w:val="21"/>
          <w:highlight w:val="none"/>
        </w:rPr>
        <w:t>供应商的法定代表人或其委托代理人须携带加密时所用的CA锁按平台提示和采购文件的规定登录到</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电子开标大厅签到并在</w:t>
      </w:r>
      <w:r>
        <w:rPr>
          <w:rFonts w:hint="eastAsia" w:ascii="宋体" w:hAnsi="宋体" w:cs="宋体"/>
          <w:b/>
          <w:color w:val="auto"/>
          <w:szCs w:val="21"/>
          <w:highlight w:val="none"/>
          <w:lang w:eastAsia="zh-CN"/>
        </w:rPr>
        <w:t>发起解密指令之时起按系统规定的时间内完成对电子响应文</w:t>
      </w:r>
      <w:r>
        <w:rPr>
          <w:rFonts w:hint="eastAsia" w:ascii="宋体" w:hAnsi="宋体" w:eastAsia="宋体" w:cs="宋体"/>
          <w:b/>
          <w:color w:val="auto"/>
          <w:szCs w:val="21"/>
          <w:highlight w:val="none"/>
        </w:rPr>
        <w:t>件在线解密。</w:t>
      </w:r>
      <w:r>
        <w:rPr>
          <w:rFonts w:hint="eastAsia" w:ascii="宋体" w:hAnsi="宋体" w:eastAsia="宋体" w:cs="宋体"/>
          <w:b/>
          <w:bCs/>
          <w:color w:val="auto"/>
          <w:szCs w:val="21"/>
          <w:highlight w:val="none"/>
        </w:rPr>
        <w:t>响应文件未按时解密的，视为响应文件无效。</w:t>
      </w:r>
      <w:r>
        <w:rPr>
          <w:rFonts w:hint="eastAsia" w:ascii="宋体" w:hAnsi="宋体" w:eastAsia="宋体" w:cs="宋体"/>
          <w:color w:val="auto"/>
          <w:szCs w:val="21"/>
          <w:highlight w:val="none"/>
        </w:rPr>
        <w:t>（解密异常情况处理：详见本章26.2电子交易活动的中止。）</w:t>
      </w:r>
    </w:p>
    <w:p w14:paraId="11251C1A">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26.评审程序和评定成交的标准</w:t>
      </w:r>
    </w:p>
    <w:p w14:paraId="0995656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按照“第四章  评审程序和评定成交的标准”规定的评审程序对响应文件进行评审，并按照评定成交的标准推荐成交候选供应商。</w:t>
      </w:r>
    </w:p>
    <w:p w14:paraId="629C43E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26.2电子交易活动的中止。采购过程中出现以下情形，导致电子交易平台无法正常运行，或者无法保证电子交易的公平、公正和安全时，采购机构可中止电子交易活动：</w:t>
      </w:r>
    </w:p>
    <w:p w14:paraId="663662E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（1）电子交易平台发生故障而无法登录访问的； </w:t>
      </w:r>
    </w:p>
    <w:p w14:paraId="0DFB12E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4B9B39B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66F8333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（4）病毒发作导致不能进行正常操作的； </w:t>
      </w:r>
    </w:p>
    <w:p w14:paraId="49249ED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（4）其他无法保证电子交易的公平、公正和安全的情况。</w:t>
      </w:r>
    </w:p>
    <w:p w14:paraId="02A4315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26.3出现以上情形，不影响采购公平、公正性的，采购代理机构可以待上述情形消除后继续组织电子交易活动；影响或可能影响采购公平、公正性的，经采购代理机构确认后，应当重新采购。</w:t>
      </w:r>
    </w:p>
    <w:p w14:paraId="76FFAA32">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1A48FA6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27.1采购代理机构应当在评审结束后2个工作日内将评审报告送采购人确认。采购人应当在收到评审报告后5个工作日内，将评审报告提出的成交候选人确定为成交供应商，也可以书面授权</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直接确定成交供应商。采购人逾期未确定成交供应商且不提出异议的，视为确定评审报告提出的成交候选人为成交供应商。</w:t>
      </w:r>
    </w:p>
    <w:p w14:paraId="083793BB">
      <w:pPr>
        <w:pStyle w:val="6"/>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27.2采购代理机构应当在成交供应商确定后2个工作日内，在省级以上财政部门指定的媒体上公告成交结果，同时向成交供应商发出成交通知书。</w:t>
      </w:r>
      <w:r>
        <w:rPr>
          <w:rFonts w:hint="eastAsia" w:ascii="宋体" w:hAnsi="宋体" w:eastAsia="宋体" w:cs="宋体"/>
          <w:b/>
          <w:color w:val="auto"/>
          <w:kern w:val="0"/>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w:t>
      </w:r>
      <w:r>
        <w:rPr>
          <w:rFonts w:hint="eastAsia" w:ascii="宋体" w:hAnsi="宋体" w:eastAsia="宋体" w:cs="宋体"/>
          <w:color w:val="auto"/>
          <w:kern w:val="0"/>
          <w:szCs w:val="21"/>
          <w:highlight w:val="none"/>
        </w:rPr>
        <w:t>。以上信息查询记录及相关证据与</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一并保存。</w:t>
      </w:r>
    </w:p>
    <w:p w14:paraId="39CF5FED">
      <w:pPr>
        <w:pStyle w:val="6"/>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27.3出现下列情形之一的，采购人或者采购代理机构应当终止</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采购活动，发布项目终止公告并说明原因，重新开展采购活动：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（一）因情况变化，不再符合规定的</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采购方式适用情形的；</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（二）出现影响采购公正的违法、违规行为的；</w:t>
      </w:r>
    </w:p>
    <w:p w14:paraId="771D09BB">
      <w:pPr>
        <w:pStyle w:val="6"/>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27.4在采购活动中因重大变故，采购任务取消的，采购人或者采购代理机构应当终止采购活动，通知所有参加采购活动的供应商。</w:t>
      </w:r>
    </w:p>
    <w:p w14:paraId="4591C26C">
      <w:pPr>
        <w:pStyle w:val="6"/>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成交供应商拒绝签订政府采购合同（包括但不限于放弃成交、因不可抗力不能履行合同而放弃签订合同），</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可以重新开展政府采购活动。</w:t>
      </w:r>
    </w:p>
    <w:p w14:paraId="4E0C7D28">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1AAEC47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r>
        <w:rPr>
          <w:rFonts w:hint="eastAsia" w:ascii="宋体" w:hAnsi="宋体" w:eastAsia="宋体" w:cs="宋体"/>
          <w:color w:val="auto"/>
          <w:szCs w:val="21"/>
          <w:highlight w:val="none"/>
          <w:lang w:eastAsia="zh-CN"/>
        </w:rPr>
        <w:t>本项目不需要提交</w:t>
      </w:r>
      <w:r>
        <w:rPr>
          <w:rFonts w:hint="eastAsia" w:ascii="宋体" w:hAnsi="宋体" w:eastAsia="宋体" w:cs="宋体"/>
          <w:color w:val="auto"/>
          <w:szCs w:val="21"/>
          <w:highlight w:val="none"/>
        </w:rPr>
        <w:t>履约保证金。</w:t>
      </w:r>
    </w:p>
    <w:p w14:paraId="7C099546">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2A19FDA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29.1成交供应商在收到成交通知书（书面或电子）后，按“供应商须知前附表”规定向采购人出示相关证明材料，经采购人核验合格后方可签订合同（书面或电子）。</w:t>
      </w:r>
    </w:p>
    <w:p w14:paraId="32868C1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29.2签订合同时间：按成交通知书的规定与采购人签订政府采购合同（最长不能超过25日）。</w:t>
      </w:r>
    </w:p>
    <w:p w14:paraId="57AB73B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29.3成交供应商拒绝与采购人签订合同的，按照本须知正文第27.5条的规定执行。</w:t>
      </w:r>
    </w:p>
    <w:p w14:paraId="796CD9E8">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22C9B04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CB903AB">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rPr>
        <w:t>.其他内容</w:t>
      </w:r>
    </w:p>
    <w:p w14:paraId="7F0FAFB8">
      <w:pPr>
        <w:keepNext w:val="0"/>
        <w:keepLines w:val="0"/>
        <w:pageBreakBefore w:val="0"/>
        <w:tabs>
          <w:tab w:val="left" w:pos="2835"/>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.1代理服务费：代理服务收取标准及缴费账户详见“供应商须知前附表”，供应商为联合体的，可以由联合体中的一方或者多方共同交纳代理服务费。</w:t>
      </w:r>
    </w:p>
    <w:p w14:paraId="77FEB295">
      <w:pPr>
        <w:keepNext w:val="0"/>
        <w:keepLines w:val="0"/>
        <w:pageBreakBefore w:val="0"/>
        <w:tabs>
          <w:tab w:val="left" w:pos="2835"/>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.2代理服务费收费计算标准：</w:t>
      </w:r>
    </w:p>
    <w:p w14:paraId="6D908E23">
      <w:pPr>
        <w:pStyle w:val="12"/>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highlight w:val="none"/>
          <w:u w:val="single"/>
          <w:lang w:val="en-US" w:eastAsia="zh-CN"/>
        </w:rPr>
      </w:pPr>
      <w:r>
        <w:rPr>
          <w:rFonts w:hint="eastAsia" w:ascii="宋体" w:hAnsi="宋体" w:eastAsia="宋体" w:cs="宋体"/>
          <w:color w:val="auto"/>
          <w:sz w:val="21"/>
          <w:highlight w:val="none"/>
          <w:u w:val="single"/>
          <w:lang w:val="en-US" w:eastAsia="zh-CN"/>
        </w:rPr>
        <w:t>本项目采购代理服务费以预算金额为计算标准，参照国家计委《招标代理服务收费管理暂行办法》（计价格[2002]1980号）和发改委《国家发展改革委关于降低部分建设项目收费标准规范收费行为等有关问题的通知》（发改价格[2011]534号）的</w:t>
      </w:r>
      <w:r>
        <w:rPr>
          <w:rFonts w:hint="eastAsia" w:hAnsi="宋体" w:cs="宋体"/>
          <w:color w:val="auto"/>
          <w:sz w:val="21"/>
          <w:highlight w:val="none"/>
          <w:u w:val="single"/>
          <w:lang w:val="en-US" w:eastAsia="zh-CN"/>
        </w:rPr>
        <w:t>服务类</w:t>
      </w:r>
      <w:r>
        <w:rPr>
          <w:rFonts w:hint="eastAsia" w:ascii="宋体" w:hAnsi="宋体" w:eastAsia="宋体" w:cs="宋体"/>
          <w:color w:val="auto"/>
          <w:sz w:val="21"/>
          <w:highlight w:val="none"/>
          <w:u w:val="single"/>
          <w:lang w:val="en-US" w:eastAsia="zh-CN"/>
        </w:rPr>
        <w:t>收费计算</w:t>
      </w:r>
      <w:r>
        <w:rPr>
          <w:rFonts w:hint="eastAsia" w:hAnsi="宋体" w:cs="宋体"/>
          <w:color w:val="auto"/>
          <w:sz w:val="21"/>
          <w:highlight w:val="none"/>
          <w:u w:val="single"/>
          <w:lang w:val="en-US" w:eastAsia="zh-CN"/>
        </w:rPr>
        <w:t>及结合中介超市选取代理的固定报价</w:t>
      </w:r>
      <w:r>
        <w:rPr>
          <w:rFonts w:hint="eastAsia" w:ascii="宋体" w:hAnsi="宋体" w:eastAsia="宋体" w:cs="宋体"/>
          <w:color w:val="auto"/>
          <w:sz w:val="21"/>
          <w:highlight w:val="none"/>
          <w:u w:val="single"/>
          <w:lang w:val="en-US" w:eastAsia="zh-CN"/>
        </w:rPr>
        <w:t>向成交人收取，具体采购代理服务费为：人民币</w:t>
      </w:r>
      <w:r>
        <w:rPr>
          <w:rFonts w:hint="eastAsia" w:hAnsi="宋体" w:cs="宋体"/>
          <w:color w:val="auto"/>
          <w:sz w:val="21"/>
          <w:highlight w:val="none"/>
          <w:u w:val="single"/>
          <w:lang w:val="en-US" w:eastAsia="zh-CN"/>
        </w:rPr>
        <w:fldChar w:fldCharType="begin"/>
      </w:r>
      <w:r>
        <w:rPr>
          <w:rFonts w:hint="eastAsia" w:hAnsi="宋体" w:cs="宋体"/>
          <w:color w:val="auto"/>
          <w:sz w:val="21"/>
          <w:highlight w:val="none"/>
          <w:u w:val="single"/>
          <w:lang w:val="en-US" w:eastAsia="zh-CN"/>
        </w:rPr>
        <w:instrText xml:space="preserve"> = 15000 \* CHINESENUM2 \* MERGEFORMAT </w:instrText>
      </w:r>
      <w:r>
        <w:rPr>
          <w:rFonts w:hint="eastAsia" w:hAnsi="宋体" w:cs="宋体"/>
          <w:color w:val="auto"/>
          <w:sz w:val="21"/>
          <w:highlight w:val="none"/>
          <w:u w:val="single"/>
          <w:lang w:val="en-US" w:eastAsia="zh-CN"/>
        </w:rPr>
        <w:fldChar w:fldCharType="separate"/>
      </w:r>
      <w:r>
        <w:rPr>
          <w:color w:val="auto"/>
          <w:highlight w:val="none"/>
          <w:u w:val="single"/>
        </w:rPr>
        <w:t>壹万伍仟</w:t>
      </w:r>
      <w:r>
        <w:rPr>
          <w:rFonts w:hint="eastAsia" w:hAnsi="宋体" w:cs="宋体"/>
          <w:color w:val="auto"/>
          <w:sz w:val="21"/>
          <w:highlight w:val="none"/>
          <w:u w:val="single"/>
          <w:lang w:val="en-US" w:eastAsia="zh-CN"/>
        </w:rPr>
        <w:fldChar w:fldCharType="end"/>
      </w:r>
      <w:r>
        <w:rPr>
          <w:rFonts w:hint="eastAsia" w:hAnsi="宋体" w:cs="宋体"/>
          <w:color w:val="auto"/>
          <w:sz w:val="21"/>
          <w:highlight w:val="none"/>
          <w:u w:val="single"/>
          <w:lang w:val="en-US" w:eastAsia="zh-CN"/>
        </w:rPr>
        <w:t>元整</w:t>
      </w:r>
      <w:r>
        <w:rPr>
          <w:rFonts w:hint="eastAsia" w:ascii="宋体" w:hAnsi="宋体" w:eastAsia="宋体" w:cs="宋体"/>
          <w:color w:val="auto"/>
          <w:sz w:val="21"/>
          <w:highlight w:val="none"/>
          <w:u w:val="single"/>
          <w:lang w:val="en-US" w:eastAsia="zh-CN"/>
        </w:rPr>
        <w:t>(¥</w:t>
      </w:r>
      <w:r>
        <w:rPr>
          <w:rFonts w:hint="eastAsia" w:hAnsi="宋体" w:cs="宋体"/>
          <w:color w:val="auto"/>
          <w:sz w:val="21"/>
          <w:highlight w:val="none"/>
          <w:u w:val="single"/>
          <w:lang w:val="en-US" w:eastAsia="zh-CN"/>
        </w:rPr>
        <w:t>15000</w:t>
      </w:r>
      <w:r>
        <w:rPr>
          <w:rFonts w:hint="eastAsia" w:ascii="宋体" w:hAnsi="宋体" w:eastAsia="宋体" w:cs="宋体"/>
          <w:color w:val="auto"/>
          <w:sz w:val="21"/>
          <w:highlight w:val="none"/>
          <w:u w:val="single"/>
          <w:lang w:val="en-US" w:eastAsia="zh-CN"/>
        </w:rPr>
        <w:t>.00)。</w:t>
      </w:r>
    </w:p>
    <w:p w14:paraId="3D70907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31.3 代理服务费交纳银行帐号信息</w:t>
      </w:r>
    </w:p>
    <w:p w14:paraId="1FB112B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账户名称：广西圣元达工程咨询有限公司</w:t>
      </w:r>
    </w:p>
    <w:p w14:paraId="54A0871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账户号码：800134376688991</w:t>
      </w:r>
    </w:p>
    <w:p w14:paraId="7D5381B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开户银行：广西北部湾银行股份有限公司贵港市港南支行</w:t>
      </w:r>
    </w:p>
    <w:p w14:paraId="7AD6009A">
      <w:pPr>
        <w:keepNext w:val="0"/>
        <w:keepLines w:val="0"/>
        <w:pageBreakBefore w:val="0"/>
        <w:kinsoku/>
        <w:wordWrap/>
        <w:overflowPunct/>
        <w:topLinePunct w:val="0"/>
        <w:autoSpaceDE/>
        <w:autoSpaceDN/>
        <w:bidi w:val="0"/>
        <w:adjustRightInd/>
        <w:snapToGrid/>
        <w:spacing w:line="420" w:lineRule="exact"/>
        <w:ind w:firstLine="482" w:firstLineChars="200"/>
        <w:contextualSpacing/>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 需要补充的其他内容</w:t>
      </w:r>
    </w:p>
    <w:p w14:paraId="4EE1E9FC">
      <w:pPr>
        <w:pStyle w:val="12"/>
        <w:keepNext w:val="0"/>
        <w:keepLines w:val="0"/>
        <w:pageBreakBefore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hAnsi="宋体" w:cs="宋体"/>
          <w:color w:val="auto"/>
          <w:sz w:val="21"/>
          <w:highlight w:val="none"/>
          <w:lang w:val="en-US" w:eastAsia="zh-CN"/>
        </w:rPr>
        <w:t>2</w:t>
      </w:r>
      <w:r>
        <w:rPr>
          <w:rFonts w:hint="eastAsia" w:ascii="宋体" w:hAnsi="宋体" w:eastAsia="宋体" w:cs="宋体"/>
          <w:color w:val="auto"/>
          <w:sz w:val="21"/>
          <w:highlight w:val="none"/>
        </w:rPr>
        <w:t>.1本</w:t>
      </w:r>
      <w:r>
        <w:rPr>
          <w:rFonts w:hint="eastAsia" w:ascii="宋体" w:hAnsi="宋体" w:eastAsia="宋体" w:cs="宋体"/>
          <w:color w:val="auto"/>
          <w:sz w:val="21"/>
          <w:highlight w:val="none"/>
          <w:lang w:eastAsia="zh-CN"/>
        </w:rPr>
        <w:t>采购文件</w:t>
      </w:r>
      <w:r>
        <w:rPr>
          <w:rFonts w:hint="eastAsia" w:ascii="宋体" w:hAnsi="宋体" w:eastAsia="宋体" w:cs="宋体"/>
          <w:color w:val="auto"/>
          <w:sz w:val="21"/>
          <w:highlight w:val="none"/>
        </w:rPr>
        <w:t>解释规则详见“供应商须知前附表”。</w:t>
      </w:r>
    </w:p>
    <w:p w14:paraId="248E11DA">
      <w:pPr>
        <w:pStyle w:val="12"/>
        <w:spacing w:line="360" w:lineRule="auto"/>
        <w:ind w:firstLine="420" w:firstLineChars="200"/>
        <w:textAlignment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.2 其他事</w:t>
      </w:r>
      <w:r>
        <w:rPr>
          <w:rFonts w:hint="eastAsia" w:ascii="宋体" w:hAnsi="宋体" w:eastAsia="宋体" w:cs="宋体"/>
          <w:color w:val="auto"/>
          <w:highlight w:val="none"/>
        </w:rPr>
        <w:t>项详见“供应商须知前附表”。</w:t>
      </w:r>
    </w:p>
    <w:p w14:paraId="177F8C0A">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w:t>
      </w:r>
      <w:r>
        <w:rPr>
          <w:rFonts w:hint="eastAsia" w:hAnsi="宋体" w:cs="宋体"/>
          <w:color w:val="auto"/>
          <w:kern w:val="2"/>
          <w:sz w:val="21"/>
          <w:highlight w:val="none"/>
          <w:lang w:eastAsia="zh-CN"/>
        </w:rPr>
        <w:t>采购</w:t>
      </w:r>
      <w:r>
        <w:rPr>
          <w:rFonts w:hint="eastAsia" w:hAnsi="宋体" w:cs="宋体"/>
          <w:color w:val="auto"/>
          <w:kern w:val="2"/>
          <w:sz w:val="21"/>
          <w:highlight w:val="none"/>
        </w:rPr>
        <w:t>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hAnsi="宋体" w:cs="宋体"/>
          <w:color w:val="auto"/>
          <w:kern w:val="2"/>
          <w:sz w:val="21"/>
          <w:highlight w:val="none"/>
          <w:lang w:eastAsia="zh-CN"/>
        </w:rPr>
        <w:t>采购</w:t>
      </w:r>
      <w:r>
        <w:rPr>
          <w:rFonts w:hint="eastAsia" w:hAnsi="宋体" w:cs="宋体"/>
          <w:color w:val="auto"/>
          <w:kern w:val="2"/>
          <w:sz w:val="21"/>
          <w:highlight w:val="none"/>
        </w:rPr>
        <w:t>文件规定的中小企业扶持政策：</w:t>
      </w:r>
    </w:p>
    <w:p w14:paraId="72586FA8">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721F8C9">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0868D32A">
      <w:pPr>
        <w:pStyle w:val="12"/>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60F5868">
      <w:pPr>
        <w:pStyle w:val="12"/>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w:t>
      </w:r>
      <w:r>
        <w:rPr>
          <w:rFonts w:hint="eastAsia" w:hAnsi="宋体" w:cs="宋体"/>
          <w:color w:val="auto"/>
          <w:kern w:val="2"/>
          <w:sz w:val="21"/>
          <w:highlight w:val="none"/>
          <w:lang w:eastAsia="zh-CN"/>
        </w:rPr>
        <w:t>采购</w:t>
      </w:r>
      <w:r>
        <w:rPr>
          <w:rFonts w:hint="eastAsia" w:hAnsi="宋体" w:cs="宋体"/>
          <w:color w:val="auto"/>
          <w:kern w:val="2"/>
          <w:sz w:val="21"/>
          <w:highlight w:val="none"/>
        </w:rPr>
        <w:t>文件规定的中小企业扶持政策。以联合体形式参加政府采购活动，联合体各方均为中小企业的，联合体视同中小企业。其中，联合体各方均为小微企业的，联合体视同小微企业。</w:t>
      </w:r>
    </w:p>
    <w:p w14:paraId="61980DA6">
      <w:pPr>
        <w:keepNext w:val="0"/>
        <w:keepLines w:val="0"/>
        <w:pageBreakBefore w:val="0"/>
        <w:kinsoku/>
        <w:wordWrap/>
        <w:overflowPunct/>
        <w:topLinePunct w:val="0"/>
        <w:autoSpaceDE/>
        <w:autoSpaceDN/>
        <w:bidi w:val="0"/>
        <w:adjustRightInd/>
        <w:snapToGrid/>
        <w:spacing w:line="420" w:lineRule="exact"/>
        <w:ind w:firstLine="420" w:firstLineChars="200"/>
        <w:contextualSpacing/>
        <w:textAlignment w:val="auto"/>
        <w:rPr>
          <w:rFonts w:hint="eastAsia" w:ascii="宋体" w:hAnsi="宋体" w:eastAsia="宋体" w:cs="宋体"/>
          <w:color w:val="auto"/>
          <w:highlight w:val="none"/>
        </w:rPr>
      </w:pPr>
      <w:r>
        <w:rPr>
          <w:rFonts w:hint="eastAsia" w:hAnsi="宋体" w:cs="宋体"/>
          <w:color w:val="auto"/>
          <w:kern w:val="2"/>
          <w:sz w:val="21"/>
          <w:highlight w:val="none"/>
        </w:rPr>
        <w:t>依据本</w:t>
      </w:r>
      <w:r>
        <w:rPr>
          <w:rFonts w:hint="eastAsia" w:hAnsi="宋体" w:cs="宋体"/>
          <w:color w:val="auto"/>
          <w:kern w:val="2"/>
          <w:sz w:val="21"/>
          <w:highlight w:val="none"/>
          <w:lang w:eastAsia="zh-CN"/>
        </w:rPr>
        <w:t>采购</w:t>
      </w:r>
      <w:r>
        <w:rPr>
          <w:rFonts w:hint="eastAsia" w:hAnsi="宋体" w:cs="宋体"/>
          <w:color w:val="auto"/>
          <w:kern w:val="2"/>
          <w:sz w:val="21"/>
          <w:highlight w:val="none"/>
        </w:rPr>
        <w:t>文件规定享受扶持政策获得政府采购合同的，小微企业不得将合同分包给大中型企业，中型企业不得将合同分包给大型企业。</w:t>
      </w:r>
    </w:p>
    <w:p w14:paraId="4A02EE7C">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color w:val="auto"/>
          <w:sz w:val="36"/>
          <w:szCs w:val="36"/>
          <w:highlight w:val="none"/>
        </w:rPr>
      </w:pPr>
      <w:bookmarkStart w:id="17" w:name="_Toc10787"/>
      <w:bookmarkStart w:id="18" w:name="_Toc74322010"/>
    </w:p>
    <w:p w14:paraId="422F682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E94061E">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w:t>
      </w:r>
      <w:r>
        <w:rPr>
          <w:rFonts w:hint="eastAsia"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采购需求</w:t>
      </w:r>
      <w:bookmarkEnd w:id="17"/>
      <w:bookmarkEnd w:id="18"/>
    </w:p>
    <w:p w14:paraId="35AF7C22">
      <w:pPr>
        <w:spacing w:before="120" w:line="320" w:lineRule="atLeast"/>
        <w:rPr>
          <w:rFonts w:hint="eastAsia" w:ascii="宋体" w:hAnsi="宋体" w:cs="宋体"/>
          <w:b/>
          <w:bCs/>
          <w:color w:val="auto"/>
          <w:szCs w:val="21"/>
          <w:highlight w:val="none"/>
          <w:lang w:bidi="ar"/>
        </w:rPr>
      </w:pPr>
      <w:bookmarkStart w:id="19" w:name="_Toc254970490"/>
      <w:bookmarkStart w:id="20" w:name="_Toc254970631"/>
      <w:bookmarkStart w:id="21" w:name="_Hlk48036094"/>
      <w:r>
        <w:rPr>
          <w:rFonts w:hint="eastAsia" w:ascii="宋体" w:hAnsi="宋体" w:cs="宋体"/>
          <w:b/>
          <w:bCs/>
          <w:color w:val="auto"/>
          <w:szCs w:val="21"/>
          <w:highlight w:val="none"/>
          <w:lang w:bidi="ar"/>
        </w:rPr>
        <w:t>说明：</w:t>
      </w:r>
    </w:p>
    <w:p w14:paraId="72E8D921">
      <w:pPr>
        <w:spacing w:before="120" w:line="32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1、本</w:t>
      </w:r>
      <w:r>
        <w:rPr>
          <w:rFonts w:hint="eastAsia" w:ascii="宋体" w:hAnsi="宋体" w:cs="宋体"/>
          <w:color w:val="auto"/>
          <w:szCs w:val="21"/>
          <w:highlight w:val="none"/>
          <w:lang w:eastAsia="zh-CN" w:bidi="ar"/>
        </w:rPr>
        <w:t>招标文件</w:t>
      </w:r>
      <w:r>
        <w:rPr>
          <w:rFonts w:hint="eastAsia" w:ascii="宋体" w:hAnsi="宋体" w:cs="宋体"/>
          <w:color w:val="auto"/>
          <w:szCs w:val="21"/>
          <w:highlight w:val="none"/>
          <w:lang w:bidi="ar"/>
        </w:rPr>
        <w:t>所称中小企业必须符合《政府采购促进中小企业发展管理办法》（财库【2020】46号）文的第二条规定。</w:t>
      </w:r>
    </w:p>
    <w:p w14:paraId="7CD0477B">
      <w:pPr>
        <w:spacing w:before="120" w:line="32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2、在政府采购活动中，供应商提供的货物、工程或者服务符合下列情形的，享受本办法规定的中小企业扶持 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7CCC99A3">
      <w:pPr>
        <w:spacing w:before="120" w:line="32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3、价格扣除比例或者价格分加分比例对小型企业和微型企业同等对待，不作区分。价格扣除比例详见评标办法。</w:t>
      </w:r>
    </w:p>
    <w:p w14:paraId="71C2CEBE">
      <w:pPr>
        <w:spacing w:before="120" w:line="32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4、中小企业参加政府采购活动，应当出具《中小企业声明函》，否则不得享受相关中小企业扶持政策。</w:t>
      </w:r>
    </w:p>
    <w:p w14:paraId="3F38270A">
      <w:pPr>
        <w:spacing w:before="120" w:line="32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5、根据《财政部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投标人的投标货物必须使用政府强制采购的节能产品，投标人必须在投标文件中提供所投标产品的节能产品认证证书扫描件（加盖投标人电子签章），否则按无效投标处理。如属于品目清单内非标注“★”的产品时，应优先采购。</w:t>
      </w:r>
    </w:p>
    <w:p w14:paraId="71981716">
      <w:pPr>
        <w:spacing w:before="120" w:line="32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6、根据《关于调整网络安全专用产品安全管理有关事项的公告》（2023 年 1 号）规定，本项目采购需求中的产品如果包括《网络关键设备和网络安全专用产品目录》的网络安全专用产品，供应商在投标文件中应主动列明供货范围中属于网络安全专用产品的投标产品，并在投标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6151AE16">
      <w:pPr>
        <w:spacing w:before="120" w:line="320" w:lineRule="atLeast"/>
        <w:rPr>
          <w:rFonts w:hint="eastAsia" w:ascii="宋体" w:hAnsi="宋体" w:cs="宋体"/>
          <w:color w:val="auto"/>
          <w:szCs w:val="21"/>
          <w:highlight w:val="none"/>
          <w:lang w:bidi="ar"/>
        </w:rPr>
      </w:pPr>
      <w:r>
        <w:rPr>
          <w:rFonts w:hint="eastAsia" w:ascii="宋体" w:hAnsi="宋体" w:cs="宋体"/>
          <w:color w:val="auto"/>
          <w:szCs w:val="21"/>
          <w:highlight w:val="none"/>
          <w:lang w:bidi="ar"/>
        </w:rPr>
        <w:t>7、本需求表中的技术参数及性能配置要求为最低配置要求，投标人响应的技术参数及性能配置要实质上相当于或优于采购要求。</w:t>
      </w:r>
    </w:p>
    <w:p w14:paraId="2A98A530">
      <w:pPr>
        <w:spacing w:before="120" w:line="320" w:lineRule="atLeast"/>
        <w:rPr>
          <w:rFonts w:hint="eastAsia" w:ascii="宋体" w:hAnsi="宋体" w:cs="宋体"/>
          <w:b/>
          <w:bCs/>
          <w:color w:val="auto"/>
          <w:highlight w:val="none"/>
          <w:u w:val="single"/>
        </w:rPr>
      </w:pPr>
      <w:r>
        <w:rPr>
          <w:rFonts w:hint="eastAsia" w:ascii="宋体" w:hAnsi="宋体" w:cs="宋体"/>
          <w:color w:val="auto"/>
          <w:szCs w:val="21"/>
          <w:highlight w:val="none"/>
          <w:lang w:val="en-US" w:eastAsia="zh-CN" w:bidi="ar"/>
        </w:rPr>
        <w:t>8</w:t>
      </w:r>
      <w:r>
        <w:rPr>
          <w:rFonts w:hint="eastAsia" w:ascii="宋体" w:hAnsi="宋体" w:cs="宋体"/>
          <w:b/>
          <w:bCs/>
          <w:color w:val="auto"/>
          <w:szCs w:val="21"/>
          <w:highlight w:val="none"/>
          <w:lang w:bidi="ar"/>
        </w:rPr>
        <w:t>、</w:t>
      </w:r>
      <w:r>
        <w:rPr>
          <w:rFonts w:hint="eastAsia" w:ascii="宋体" w:hAnsi="宋体" w:cs="宋体"/>
          <w:b/>
          <w:bCs/>
          <w:color w:val="auto"/>
          <w:kern w:val="0"/>
          <w:highlight w:val="none"/>
        </w:rPr>
        <w:t>本项目所有采购标的所对应的中小企业划分标准所属行业为：</w:t>
      </w:r>
      <w:r>
        <w:rPr>
          <w:rFonts w:hint="eastAsia" w:ascii="宋体" w:hAnsi="宋体" w:cs="宋体"/>
          <w:b/>
          <w:bCs/>
          <w:color w:val="auto"/>
          <w:kern w:val="0"/>
          <w:highlight w:val="none"/>
          <w:u w:val="single"/>
        </w:rPr>
        <w:t>软件和信息技术服务业。</w:t>
      </w:r>
    </w:p>
    <w:p w14:paraId="4683DEF5">
      <w:pPr>
        <w:keepNext w:val="0"/>
        <w:keepLines w:val="0"/>
        <w:pageBreakBefore w:val="0"/>
        <w:widowControl w:val="0"/>
        <w:kinsoku/>
        <w:wordWrap/>
        <w:overflowPunct/>
        <w:topLinePunct w:val="0"/>
        <w:autoSpaceDE/>
        <w:autoSpaceDN/>
        <w:bidi w:val="0"/>
        <w:adjustRightInd/>
        <w:snapToGrid/>
        <w:spacing w:line="420" w:lineRule="exact"/>
        <w:ind w:left="-10" w:leftChars="-5" w:right="2" w:rightChars="1" w:firstLine="422" w:firstLineChars="200"/>
        <w:textAlignment w:val="auto"/>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lang w:val="en-US" w:eastAsia="zh-CN"/>
        </w:rPr>
        <w:t>采购预算</w:t>
      </w:r>
      <w:r>
        <w:rPr>
          <w:rFonts w:hint="eastAsia" w:ascii="宋体" w:hAnsi="宋体" w:cs="宋体"/>
          <w:b/>
          <w:bCs/>
          <w:color w:val="auto"/>
          <w:highlight w:val="none"/>
          <w:lang w:val="en-US" w:eastAsia="zh-CN"/>
        </w:rPr>
        <w:t>价</w:t>
      </w: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u w:val="single"/>
          <w:lang w:val="en-US" w:eastAsia="zh-CN"/>
        </w:rPr>
        <w:t>139.3</w:t>
      </w:r>
      <w:r>
        <w:rPr>
          <w:rFonts w:hint="eastAsia" w:ascii="宋体" w:hAnsi="宋体" w:eastAsia="宋体" w:cs="宋体"/>
          <w:b/>
          <w:bCs/>
          <w:color w:val="auto"/>
          <w:highlight w:val="none"/>
          <w:u w:val="single"/>
          <w:lang w:val="en-US" w:eastAsia="zh-CN"/>
        </w:rPr>
        <w:t>万元</w:t>
      </w:r>
      <w:bookmarkEnd w:id="19"/>
      <w:bookmarkEnd w:id="20"/>
    </w:p>
    <w:tbl>
      <w:tblPr>
        <w:tblStyle w:val="20"/>
        <w:tblW w:w="4914" w:type="pct"/>
        <w:jc w:val="center"/>
        <w:tblLayout w:type="fixed"/>
        <w:tblCellMar>
          <w:top w:w="0" w:type="dxa"/>
          <w:left w:w="108" w:type="dxa"/>
          <w:bottom w:w="0" w:type="dxa"/>
          <w:right w:w="108" w:type="dxa"/>
        </w:tblCellMar>
      </w:tblPr>
      <w:tblGrid>
        <w:gridCol w:w="539"/>
        <w:gridCol w:w="1395"/>
        <w:gridCol w:w="691"/>
        <w:gridCol w:w="574"/>
        <w:gridCol w:w="6692"/>
      </w:tblGrid>
      <w:tr w14:paraId="6325C328">
        <w:tblPrEx>
          <w:tblCellMar>
            <w:top w:w="0" w:type="dxa"/>
            <w:left w:w="108" w:type="dxa"/>
            <w:bottom w:w="0" w:type="dxa"/>
            <w:right w:w="108" w:type="dxa"/>
          </w:tblCellMar>
        </w:tblPrEx>
        <w:trPr>
          <w:trHeight w:val="23" w:hRule="atLeast"/>
          <w:jc w:val="center"/>
        </w:trPr>
        <w:tc>
          <w:tcPr>
            <w:tcW w:w="272" w:type="pct"/>
            <w:tcBorders>
              <w:top w:val="single" w:color="000000" w:sz="4" w:space="0"/>
              <w:left w:val="single" w:color="000000" w:sz="4" w:space="0"/>
              <w:bottom w:val="single" w:color="000000" w:sz="4" w:space="0"/>
              <w:right w:val="single" w:color="000000" w:sz="4" w:space="0"/>
            </w:tcBorders>
            <w:noWrap w:val="0"/>
            <w:vAlign w:val="center"/>
          </w:tcPr>
          <w:p w14:paraId="77172223">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项号</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7F7F193F">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服务内容</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4F211005">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数量</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14:paraId="0FC2E0AE">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3382" w:type="pct"/>
            <w:tcBorders>
              <w:top w:val="single" w:color="000000" w:sz="4" w:space="0"/>
              <w:left w:val="single" w:color="000000" w:sz="4" w:space="0"/>
              <w:bottom w:val="single" w:color="000000" w:sz="4" w:space="0"/>
              <w:right w:val="single" w:color="000000" w:sz="4" w:space="0"/>
            </w:tcBorders>
            <w:noWrap w:val="0"/>
            <w:vAlign w:val="center"/>
          </w:tcPr>
          <w:p w14:paraId="5E60B719">
            <w:pPr>
              <w:widowControl/>
              <w:jc w:val="center"/>
              <w:textAlignment w:val="center"/>
              <w:rPr>
                <w:rFonts w:hint="eastAsia"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技术及服务需求</w:t>
            </w:r>
          </w:p>
        </w:tc>
      </w:tr>
      <w:tr w14:paraId="1DD13095">
        <w:tblPrEx>
          <w:tblCellMar>
            <w:top w:w="0" w:type="dxa"/>
            <w:left w:w="108" w:type="dxa"/>
            <w:bottom w:w="0" w:type="dxa"/>
            <w:right w:w="108" w:type="dxa"/>
          </w:tblCellMar>
        </w:tblPrEx>
        <w:trPr>
          <w:trHeight w:val="23" w:hRule="atLeast"/>
          <w:jc w:val="center"/>
        </w:trPr>
        <w:tc>
          <w:tcPr>
            <w:tcW w:w="272" w:type="pct"/>
            <w:tcBorders>
              <w:top w:val="single" w:color="000000" w:sz="4" w:space="0"/>
              <w:left w:val="single" w:color="000000" w:sz="4" w:space="0"/>
              <w:bottom w:val="single" w:color="000000" w:sz="4" w:space="0"/>
              <w:right w:val="single" w:color="000000" w:sz="4" w:space="0"/>
            </w:tcBorders>
            <w:noWrap w:val="0"/>
            <w:vAlign w:val="center"/>
          </w:tcPr>
          <w:p w14:paraId="14C5DDE7">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14:paraId="12220594">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覃塘区人民医院信息系统换代升级建设项目</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14:paraId="2B6FD341">
            <w:pPr>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center"/>
              <w:textAlignment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14:paraId="35FE073E">
            <w:pPr>
              <w:widowControl/>
              <w:jc w:val="center"/>
              <w:textAlignment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3382" w:type="pct"/>
            <w:tcBorders>
              <w:top w:val="single" w:color="000000" w:sz="4" w:space="0"/>
              <w:left w:val="single" w:color="000000" w:sz="4" w:space="0"/>
              <w:bottom w:val="single" w:color="000000" w:sz="4" w:space="0"/>
              <w:right w:val="single" w:color="000000" w:sz="4" w:space="0"/>
            </w:tcBorders>
            <w:noWrap w:val="0"/>
            <w:vAlign w:val="center"/>
          </w:tcPr>
          <w:p w14:paraId="557599B9">
            <w:pPr>
              <w:pStyle w:val="18"/>
              <w:keepNext w:val="0"/>
              <w:keepLines w:val="0"/>
              <w:pageBreakBefore w:val="0"/>
              <w:widowControl w:val="0"/>
              <w:numPr>
                <w:ilvl w:val="0"/>
                <w:numId w:val="0"/>
              </w:numPr>
              <w:suppressLineNumbers w:val="0"/>
              <w:kinsoku/>
              <w:overflowPunct/>
              <w:topLinePunct w:val="0"/>
              <w:autoSpaceDE w:val="0"/>
              <w:autoSpaceDN w:val="0"/>
              <w:bidi w:val="0"/>
              <w:adjustRightInd w:val="0"/>
              <w:spacing w:before="0" w:beforeAutospacing="0" w:after="0" w:afterAutospacing="0" w:line="360" w:lineRule="auto"/>
              <w:ind w:left="0" w:leftChars="0" w:right="0" w:rightChars="0" w:firstLine="0" w:firstLineChars="0"/>
              <w:jc w:val="left"/>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
              </w:rPr>
              <w:t>服务</w:t>
            </w:r>
            <w:r>
              <w:rPr>
                <w:rFonts w:hint="eastAsia" w:cs="宋体"/>
                <w:color w:val="auto"/>
                <w:kern w:val="2"/>
                <w:sz w:val="21"/>
                <w:szCs w:val="21"/>
                <w:highlight w:val="none"/>
                <w:lang w:val="en-US" w:eastAsia="zh-CN" w:bidi="ar"/>
              </w:rPr>
              <w:t>内容</w:t>
            </w:r>
            <w:r>
              <w:rPr>
                <w:rFonts w:hint="eastAsia" w:ascii="宋体" w:hAnsi="宋体" w:eastAsia="宋体" w:cs="宋体"/>
                <w:color w:val="auto"/>
                <w:kern w:val="2"/>
                <w:sz w:val="21"/>
                <w:szCs w:val="21"/>
                <w:highlight w:val="none"/>
                <w:lang w:val="en-US" w:eastAsia="zh-CN" w:bidi="ar"/>
              </w:rPr>
              <w:t>：为进一步加强医院信息化建设及管理工作，不断提高信息化建设及管理水平，现对覃塘区人民医院云健</w:t>
            </w:r>
            <w:bookmarkStart w:id="36" w:name="_GoBack"/>
            <w:bookmarkEnd w:id="36"/>
            <w:r>
              <w:rPr>
                <w:rFonts w:hint="eastAsia" w:ascii="宋体" w:hAnsi="宋体" w:eastAsia="宋体" w:cs="宋体"/>
                <w:color w:val="auto"/>
                <w:kern w:val="2"/>
                <w:sz w:val="21"/>
                <w:szCs w:val="21"/>
                <w:highlight w:val="none"/>
                <w:lang w:val="en-US" w:eastAsia="zh-CN" w:bidi="ar"/>
              </w:rPr>
              <w:t>康智慧医院信息系统换代升级服务一项</w:t>
            </w:r>
            <w:r>
              <w:rPr>
                <w:rFonts w:hint="eastAsia" w:cs="宋体"/>
                <w:color w:val="auto"/>
                <w:kern w:val="2"/>
                <w:sz w:val="21"/>
                <w:szCs w:val="21"/>
                <w:highlight w:val="none"/>
                <w:lang w:val="en-US" w:eastAsia="zh-CN" w:bidi="ar"/>
              </w:rPr>
              <w:t>，具体要求如下：</w:t>
            </w:r>
          </w:p>
          <w:p w14:paraId="130C4CB7">
            <w:pPr>
              <w:pStyle w:val="18"/>
              <w:keepNext w:val="0"/>
              <w:keepLines w:val="0"/>
              <w:pageBreakBefore w:val="0"/>
              <w:widowControl w:val="0"/>
              <w:numPr>
                <w:ilvl w:val="0"/>
                <w:numId w:val="0"/>
              </w:numPr>
              <w:suppressLineNumbers w:val="0"/>
              <w:kinsoku/>
              <w:overflowPunct/>
              <w:topLinePunct w:val="0"/>
              <w:autoSpaceDE w:val="0"/>
              <w:autoSpaceDN w:val="0"/>
              <w:bidi w:val="0"/>
              <w:adjustRightInd w:val="0"/>
              <w:spacing w:before="0" w:beforeAutospacing="0" w:after="0" w:afterAutospacing="0" w:line="360" w:lineRule="auto"/>
              <w:ind w:left="0" w:leftChars="0" w:right="0" w:rightChars="0" w:firstLine="0" w:firstLineChars="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
              </w:rPr>
              <w:t>服务需求说明：</w:t>
            </w:r>
          </w:p>
          <w:p w14:paraId="143C32D1">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2.1.采购清单</w:t>
            </w:r>
          </w:p>
          <w:p w14:paraId="27DBD221">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p>
          <w:tbl>
            <w:tblPr>
              <w:tblStyle w:val="21"/>
              <w:tblW w:w="44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80"/>
              <w:gridCol w:w="2267"/>
              <w:gridCol w:w="585"/>
              <w:gridCol w:w="808"/>
            </w:tblGrid>
            <w:tr w14:paraId="22D5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tcPr>
                <w:p w14:paraId="358B6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14:ligatures w14:val="none"/>
                    </w:rPr>
                  </w:pPr>
                  <w:r>
                    <w:rPr>
                      <w:rFonts w:hint="eastAsia" w:ascii="宋体" w:hAnsi="宋体" w:eastAsia="宋体" w:cs="宋体"/>
                      <w:b w:val="0"/>
                      <w:bCs w:val="0"/>
                      <w:color w:val="auto"/>
                      <w:kern w:val="0"/>
                      <w:sz w:val="21"/>
                      <w:szCs w:val="21"/>
                      <w:highlight w:val="none"/>
                      <w14:ligatures w14:val="none"/>
                    </w:rPr>
                    <w:t>序号</w:t>
                  </w:r>
                </w:p>
              </w:tc>
              <w:tc>
                <w:tcPr>
                  <w:tcW w:w="3200" w:type="pct"/>
                  <w:gridSpan w:val="2"/>
                </w:tcPr>
                <w:p w14:paraId="00A7A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14:ligatures w14:val="none"/>
                    </w:rPr>
                  </w:pPr>
                  <w:r>
                    <w:rPr>
                      <w:rFonts w:hint="eastAsia" w:ascii="宋体" w:hAnsi="宋体" w:eastAsia="宋体" w:cs="宋体"/>
                      <w:b w:val="0"/>
                      <w:bCs w:val="0"/>
                      <w:color w:val="auto"/>
                      <w:kern w:val="0"/>
                      <w:sz w:val="21"/>
                      <w:szCs w:val="21"/>
                      <w:highlight w:val="none"/>
                      <w:lang w:val="en-US" w:eastAsia="zh-CN"/>
                      <w14:ligatures w14:val="none"/>
                    </w:rPr>
                    <w:t>服务名称</w:t>
                  </w:r>
                </w:p>
              </w:tc>
              <w:tc>
                <w:tcPr>
                  <w:tcW w:w="513" w:type="pct"/>
                  <w:vAlign w:val="center"/>
                </w:tcPr>
                <w:p w14:paraId="283453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14:ligatures w14:val="none"/>
                    </w:rPr>
                  </w:pPr>
                  <w:r>
                    <w:rPr>
                      <w:rFonts w:hint="eastAsia" w:ascii="宋体" w:hAnsi="宋体" w:eastAsia="宋体" w:cs="宋体"/>
                      <w:b w:val="0"/>
                      <w:bCs w:val="0"/>
                      <w:color w:val="auto"/>
                      <w:kern w:val="0"/>
                      <w:sz w:val="21"/>
                      <w:szCs w:val="21"/>
                      <w:highlight w:val="none"/>
                      <w14:ligatures w14:val="none"/>
                    </w:rPr>
                    <w:t>数量</w:t>
                  </w:r>
                </w:p>
              </w:tc>
              <w:tc>
                <w:tcPr>
                  <w:tcW w:w="709" w:type="pct"/>
                  <w:vAlign w:val="center"/>
                </w:tcPr>
                <w:p w14:paraId="7228B5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14:ligatures w14:val="none"/>
                    </w:rPr>
                  </w:pPr>
                  <w:r>
                    <w:rPr>
                      <w:rFonts w:hint="eastAsia" w:ascii="宋体" w:hAnsi="宋体" w:eastAsia="宋体" w:cs="宋体"/>
                      <w:b w:val="0"/>
                      <w:bCs w:val="0"/>
                      <w:color w:val="auto"/>
                      <w:kern w:val="0"/>
                      <w:sz w:val="21"/>
                      <w:szCs w:val="21"/>
                      <w:highlight w:val="none"/>
                      <w14:ligatures w14:val="none"/>
                    </w:rPr>
                    <w:t>单位</w:t>
                  </w:r>
                </w:p>
              </w:tc>
            </w:tr>
            <w:tr w14:paraId="267D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tcPr>
                <w:p w14:paraId="34CF8E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bCs w:val="0"/>
                      <w:color w:val="auto"/>
                      <w:kern w:val="0"/>
                      <w:sz w:val="21"/>
                      <w:szCs w:val="21"/>
                      <w:highlight w:val="none"/>
                      <w14:ligatures w14:val="none"/>
                    </w:rPr>
                  </w:pPr>
                  <w:bookmarkStart w:id="22" w:name="_Hlk131165803"/>
                  <w:r>
                    <w:rPr>
                      <w:rFonts w:hint="eastAsia" w:ascii="宋体" w:hAnsi="宋体" w:eastAsia="宋体" w:cs="宋体"/>
                      <w:b w:val="0"/>
                      <w:bCs w:val="0"/>
                      <w:color w:val="auto"/>
                      <w:kern w:val="0"/>
                      <w:sz w:val="21"/>
                      <w:szCs w:val="21"/>
                      <w:highlight w:val="none"/>
                      <w:lang w:val="en-US" w:eastAsia="zh-CN" w:bidi="ar-SA"/>
                      <w14:ligatures w14:val="none"/>
                    </w:rPr>
                    <w:t>1.</w:t>
                  </w:r>
                </w:p>
              </w:tc>
              <w:tc>
                <w:tcPr>
                  <w:tcW w:w="1210" w:type="pct"/>
                  <w:vMerge w:val="restart"/>
                  <w:vAlign w:val="center"/>
                </w:tcPr>
                <w:p w14:paraId="585D3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云健康升级服务</w:t>
                  </w:r>
                </w:p>
              </w:tc>
              <w:tc>
                <w:tcPr>
                  <w:tcW w:w="1989" w:type="pct"/>
                  <w:vAlign w:val="center"/>
                </w:tcPr>
                <w:p w14:paraId="656282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云健康升级实施服务</w:t>
                  </w:r>
                </w:p>
              </w:tc>
              <w:tc>
                <w:tcPr>
                  <w:tcW w:w="513" w:type="pct"/>
                </w:tcPr>
                <w:p w14:paraId="44699E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1</w:t>
                  </w:r>
                </w:p>
              </w:tc>
              <w:tc>
                <w:tcPr>
                  <w:tcW w:w="709" w:type="pct"/>
                </w:tcPr>
                <w:p w14:paraId="238215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项</w:t>
                  </w:r>
                </w:p>
              </w:tc>
            </w:tr>
            <w:tr w14:paraId="1DEF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tcPr>
                <w:p w14:paraId="665972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bCs w:val="0"/>
                      <w:color w:val="auto"/>
                      <w:kern w:val="0"/>
                      <w:sz w:val="21"/>
                      <w:szCs w:val="21"/>
                      <w:highlight w:val="none"/>
                      <w14:ligatures w14:val="none"/>
                    </w:rPr>
                  </w:pPr>
                  <w:r>
                    <w:rPr>
                      <w:rFonts w:hint="eastAsia" w:ascii="宋体" w:hAnsi="宋体" w:eastAsia="宋体" w:cs="宋体"/>
                      <w:b w:val="0"/>
                      <w:bCs w:val="0"/>
                      <w:color w:val="auto"/>
                      <w:kern w:val="0"/>
                      <w:sz w:val="21"/>
                      <w:szCs w:val="21"/>
                      <w:highlight w:val="none"/>
                      <w:lang w:val="en-US" w:eastAsia="zh-CN" w:bidi="ar-SA"/>
                      <w14:ligatures w14:val="none"/>
                    </w:rPr>
                    <w:t>2.</w:t>
                  </w:r>
                </w:p>
              </w:tc>
              <w:tc>
                <w:tcPr>
                  <w:tcW w:w="1210" w:type="pct"/>
                  <w:vMerge w:val="continue"/>
                  <w:vAlign w:val="center"/>
                </w:tcPr>
                <w:p w14:paraId="7C165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kern w:val="0"/>
                      <w:sz w:val="21"/>
                      <w:szCs w:val="21"/>
                      <w:highlight w:val="none"/>
                      <w14:ligatures w14:val="none"/>
                    </w:rPr>
                  </w:pPr>
                </w:p>
              </w:tc>
              <w:tc>
                <w:tcPr>
                  <w:tcW w:w="1989" w:type="pct"/>
                  <w:vAlign w:val="center"/>
                </w:tcPr>
                <w:p w14:paraId="6B2275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中间件部署服务</w:t>
                  </w:r>
                </w:p>
              </w:tc>
              <w:tc>
                <w:tcPr>
                  <w:tcW w:w="513" w:type="pct"/>
                </w:tcPr>
                <w:p w14:paraId="170033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1</w:t>
                  </w:r>
                </w:p>
              </w:tc>
              <w:tc>
                <w:tcPr>
                  <w:tcW w:w="709" w:type="pct"/>
                </w:tcPr>
                <w:p w14:paraId="0985C5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项</w:t>
                  </w:r>
                </w:p>
              </w:tc>
            </w:tr>
            <w:tr w14:paraId="673B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pct"/>
                </w:tcPr>
                <w:p w14:paraId="480B64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3.</w:t>
                  </w:r>
                </w:p>
              </w:tc>
              <w:tc>
                <w:tcPr>
                  <w:tcW w:w="1210" w:type="pct"/>
                  <w:vAlign w:val="center"/>
                </w:tcPr>
                <w:p w14:paraId="636BBE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配套小硬件</w:t>
                  </w:r>
                </w:p>
              </w:tc>
              <w:tc>
                <w:tcPr>
                  <w:tcW w:w="1989" w:type="pct"/>
                  <w:vAlign w:val="center"/>
                </w:tcPr>
                <w:p w14:paraId="2A4933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高清采集卡</w:t>
                  </w:r>
                </w:p>
              </w:tc>
              <w:tc>
                <w:tcPr>
                  <w:tcW w:w="513" w:type="pct"/>
                </w:tcPr>
                <w:p w14:paraId="256B2B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14</w:t>
                  </w:r>
                </w:p>
              </w:tc>
              <w:tc>
                <w:tcPr>
                  <w:tcW w:w="709" w:type="pct"/>
                </w:tcPr>
                <w:p w14:paraId="2A326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val="0"/>
                      <w:color w:val="auto"/>
                      <w:kern w:val="0"/>
                      <w:sz w:val="21"/>
                      <w:szCs w:val="21"/>
                      <w:highlight w:val="none"/>
                      <w:lang w:val="en-US" w:eastAsia="zh-CN"/>
                      <w14:ligatures w14:val="none"/>
                    </w:rPr>
                  </w:pPr>
                  <w:r>
                    <w:rPr>
                      <w:rFonts w:hint="eastAsia" w:ascii="宋体" w:hAnsi="宋体" w:eastAsia="宋体" w:cs="宋体"/>
                      <w:b w:val="0"/>
                      <w:bCs w:val="0"/>
                      <w:color w:val="auto"/>
                      <w:kern w:val="0"/>
                      <w:sz w:val="21"/>
                      <w:szCs w:val="21"/>
                      <w:highlight w:val="none"/>
                      <w:lang w:val="en-US" w:eastAsia="zh-CN"/>
                      <w14:ligatures w14:val="none"/>
                    </w:rPr>
                    <w:t>块</w:t>
                  </w:r>
                </w:p>
              </w:tc>
            </w:tr>
            <w:bookmarkEnd w:id="22"/>
          </w:tbl>
          <w:p w14:paraId="639CBB04">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p>
          <w:p w14:paraId="2A056621">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2.2云健康升级服务</w:t>
            </w:r>
          </w:p>
          <w:p w14:paraId="5A4DC31D">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2.2.1云健康升级实施服务</w:t>
            </w:r>
          </w:p>
          <w:p w14:paraId="0AA45ECE">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（1）系统升级清单</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2383"/>
              <w:gridCol w:w="3528"/>
            </w:tblGrid>
            <w:tr w14:paraId="06A2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4C6C8FCB">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sz w:val="21"/>
                      <w:szCs w:val="21"/>
                      <w:highlight w:val="none"/>
                      <w:lang w:val="en-US" w:eastAsia="zh-CN"/>
                    </w:rPr>
                    <w:t>序号</w:t>
                  </w:r>
                </w:p>
              </w:tc>
              <w:tc>
                <w:tcPr>
                  <w:tcW w:w="1843" w:type="pct"/>
                  <w:noWrap/>
                  <w:vAlign w:val="center"/>
                </w:tcPr>
                <w:p w14:paraId="0DDC2C7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系统名称</w:t>
                  </w:r>
                </w:p>
              </w:tc>
              <w:tc>
                <w:tcPr>
                  <w:tcW w:w="2727" w:type="pct"/>
                  <w:noWrap/>
                  <w:vAlign w:val="center"/>
                </w:tcPr>
                <w:p w14:paraId="36C3104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422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135CE73E">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0D9FE07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医院信息系统（HIS)</w:t>
                  </w:r>
                </w:p>
              </w:tc>
              <w:tc>
                <w:tcPr>
                  <w:tcW w:w="2727" w:type="pct"/>
                  <w:noWrap/>
                  <w:vAlign w:val="center"/>
                </w:tcPr>
                <w:p w14:paraId="33BE1BE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已建设，在原有系统基础之上升级</w:t>
                  </w:r>
                </w:p>
              </w:tc>
            </w:tr>
            <w:tr w14:paraId="2306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6F025F81">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68C0A4F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检验系统（LIS)</w:t>
                  </w:r>
                </w:p>
              </w:tc>
              <w:tc>
                <w:tcPr>
                  <w:tcW w:w="2727" w:type="pct"/>
                  <w:noWrap/>
                  <w:vAlign w:val="center"/>
                </w:tcPr>
                <w:p w14:paraId="2EB48F7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2803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0CC51CF7">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40A7FEA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影像系统(PACS)</w:t>
                  </w:r>
                </w:p>
              </w:tc>
              <w:tc>
                <w:tcPr>
                  <w:tcW w:w="2727" w:type="pct"/>
                  <w:noWrap/>
                  <w:vAlign w:val="center"/>
                </w:tcPr>
                <w:p w14:paraId="2B706BF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3370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6BD4508F">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1E66D93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电子病历系统</w:t>
                  </w:r>
                </w:p>
              </w:tc>
              <w:tc>
                <w:tcPr>
                  <w:tcW w:w="2727" w:type="pct"/>
                  <w:vMerge w:val="restart"/>
                  <w:noWrap/>
                  <w:vAlign w:val="center"/>
                </w:tcPr>
                <w:p w14:paraId="100D7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3927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119738ED">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084F28C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门诊电子病历系统</w:t>
                  </w:r>
                </w:p>
              </w:tc>
              <w:tc>
                <w:tcPr>
                  <w:tcW w:w="2727" w:type="pct"/>
                  <w:vMerge w:val="continue"/>
                  <w:noWrap/>
                  <w:vAlign w:val="center"/>
                </w:tcPr>
                <w:p w14:paraId="64DE02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p>
              </w:tc>
            </w:tr>
            <w:tr w14:paraId="6945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007460BD">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47E1D70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临床路径管理系统</w:t>
                  </w:r>
                </w:p>
              </w:tc>
              <w:tc>
                <w:tcPr>
                  <w:tcW w:w="2727" w:type="pct"/>
                  <w:noWrap/>
                  <w:vAlign w:val="center"/>
                </w:tcPr>
                <w:p w14:paraId="65288BC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7BB6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0BAB6956">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1E7887B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数字病理系统</w:t>
                  </w:r>
                </w:p>
              </w:tc>
              <w:tc>
                <w:tcPr>
                  <w:tcW w:w="2727" w:type="pct"/>
                  <w:noWrap/>
                  <w:vAlign w:val="center"/>
                </w:tcPr>
                <w:p w14:paraId="3B7337D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4A99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50150982">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6E02CBB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体检信息系统</w:t>
                  </w:r>
                </w:p>
              </w:tc>
              <w:tc>
                <w:tcPr>
                  <w:tcW w:w="2727" w:type="pct"/>
                  <w:noWrap/>
                  <w:vAlign w:val="center"/>
                </w:tcPr>
                <w:p w14:paraId="358B71D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0540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6960D0F4">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14B96C6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血液管理系统</w:t>
                  </w:r>
                </w:p>
              </w:tc>
              <w:tc>
                <w:tcPr>
                  <w:tcW w:w="2727" w:type="pct"/>
                  <w:noWrap/>
                  <w:vAlign w:val="center"/>
                </w:tcPr>
                <w:p w14:paraId="5ED0E4A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0BB3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676A2059">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57B1A367">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重症监护系统</w:t>
                  </w:r>
                </w:p>
              </w:tc>
              <w:tc>
                <w:tcPr>
                  <w:tcW w:w="2727" w:type="pct"/>
                  <w:noWrap/>
                  <w:vAlign w:val="center"/>
                </w:tcPr>
                <w:p w14:paraId="2670915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0288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5883DB34">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7FA94C2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临床上报系统</w:t>
                  </w:r>
                </w:p>
              </w:tc>
              <w:tc>
                <w:tcPr>
                  <w:tcW w:w="2727" w:type="pct"/>
                  <w:noWrap/>
                  <w:vAlign w:val="center"/>
                </w:tcPr>
                <w:p w14:paraId="7EE152C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0B45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019EE208">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0A8A75F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不良事件管理系统</w:t>
                  </w:r>
                </w:p>
              </w:tc>
              <w:tc>
                <w:tcPr>
                  <w:tcW w:w="2727" w:type="pct"/>
                  <w:noWrap/>
                  <w:vAlign w:val="center"/>
                </w:tcPr>
                <w:p w14:paraId="3B34BAF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2FC1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16EE7C9E">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1AF83FF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医信平台医生端系统</w:t>
                  </w:r>
                </w:p>
              </w:tc>
              <w:tc>
                <w:tcPr>
                  <w:tcW w:w="2727" w:type="pct"/>
                  <w:noWrap/>
                  <w:vAlign w:val="center"/>
                </w:tcPr>
                <w:p w14:paraId="7C2F65D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5AA2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3E4906B3">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5B245E0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医信平台护士端系统</w:t>
                  </w:r>
                </w:p>
              </w:tc>
              <w:tc>
                <w:tcPr>
                  <w:tcW w:w="2727" w:type="pct"/>
                  <w:noWrap/>
                  <w:vAlign w:val="center"/>
                </w:tcPr>
                <w:p w14:paraId="0C661EE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367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13C20D98">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6647684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院长管控平台（含移动驾驶舱）</w:t>
                  </w:r>
                </w:p>
              </w:tc>
              <w:tc>
                <w:tcPr>
                  <w:tcW w:w="2727" w:type="pct"/>
                  <w:noWrap/>
                  <w:vAlign w:val="center"/>
                </w:tcPr>
                <w:p w14:paraId="67322CE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6DD5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4928B47B">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37859BC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病案管理系统 </w:t>
                  </w:r>
                </w:p>
              </w:tc>
              <w:tc>
                <w:tcPr>
                  <w:tcW w:w="2727" w:type="pct"/>
                  <w:noWrap/>
                  <w:vAlign w:val="center"/>
                </w:tcPr>
                <w:p w14:paraId="4E8B6D4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6CB5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11605EE6">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2CE91B1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病历质控系统</w:t>
                  </w:r>
                </w:p>
              </w:tc>
              <w:tc>
                <w:tcPr>
                  <w:tcW w:w="2727" w:type="pct"/>
                  <w:noWrap/>
                  <w:vAlign w:val="center"/>
                </w:tcPr>
                <w:p w14:paraId="6B0BB67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6B86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1AC2FB28">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55A6A9F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手术麻醉系统</w:t>
                  </w:r>
                </w:p>
              </w:tc>
              <w:tc>
                <w:tcPr>
                  <w:tcW w:w="2727" w:type="pct"/>
                  <w:noWrap/>
                  <w:vAlign w:val="center"/>
                </w:tcPr>
                <w:p w14:paraId="69D01B4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3E6D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33205322">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1B033C7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医院感染管理系统</w:t>
                  </w:r>
                </w:p>
              </w:tc>
              <w:tc>
                <w:tcPr>
                  <w:tcW w:w="2727" w:type="pct"/>
                  <w:noWrap/>
                  <w:vAlign w:val="center"/>
                </w:tcPr>
                <w:p w14:paraId="22B6D57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11AE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03DF0A64">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23A0697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患者智能服务系统</w:t>
                  </w:r>
                </w:p>
              </w:tc>
              <w:tc>
                <w:tcPr>
                  <w:tcW w:w="2727" w:type="pct"/>
                  <w:noWrap/>
                  <w:vAlign w:val="center"/>
                </w:tcPr>
                <w:p w14:paraId="29EE5FB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4228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29" w:type="pct"/>
                  <w:noWrap/>
                  <w:vAlign w:val="center"/>
                </w:tcPr>
                <w:p w14:paraId="02EF821A">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37AB561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门诊叫号系统（包含门诊医生叫号、</w:t>
                  </w:r>
                  <w:r>
                    <w:rPr>
                      <w:rFonts w:hint="eastAsia" w:ascii="宋体" w:hAnsi="宋体" w:eastAsia="宋体" w:cs="宋体"/>
                      <w:color w:val="auto"/>
                      <w:kern w:val="2"/>
                      <w:sz w:val="21"/>
                      <w:szCs w:val="21"/>
                      <w:highlight w:val="none"/>
                      <w:lang w:val="en-US" w:eastAsia="zh-CN" w:bidi="ar-SA"/>
                    </w:rPr>
                    <w:t>pacs分诊叫号</w:t>
                  </w:r>
                  <w:r>
                    <w:rPr>
                      <w:rFonts w:hint="eastAsia" w:ascii="宋体" w:hAnsi="宋体" w:eastAsia="宋体" w:cs="宋体"/>
                      <w:color w:val="auto"/>
                      <w:sz w:val="21"/>
                      <w:szCs w:val="21"/>
                      <w:highlight w:val="none"/>
                      <w:lang w:val="en-US" w:eastAsia="zh-CN"/>
                    </w:rPr>
                    <w:t>）</w:t>
                  </w:r>
                </w:p>
              </w:tc>
              <w:tc>
                <w:tcPr>
                  <w:tcW w:w="2727" w:type="pct"/>
                  <w:noWrap/>
                  <w:vAlign w:val="center"/>
                </w:tcPr>
                <w:p w14:paraId="0ACD4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6604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494FA9A9">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6428020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门诊医生预约系统</w:t>
                  </w:r>
                </w:p>
              </w:tc>
              <w:tc>
                <w:tcPr>
                  <w:tcW w:w="2727" w:type="pct"/>
                  <w:noWrap/>
                  <w:vAlign w:val="center"/>
                </w:tcPr>
                <w:p w14:paraId="68669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7441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35FA4A76">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0FF3614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门诊输液系统</w:t>
                  </w:r>
                </w:p>
              </w:tc>
              <w:tc>
                <w:tcPr>
                  <w:tcW w:w="2727" w:type="pct"/>
                  <w:noWrap/>
                  <w:vAlign w:val="center"/>
                </w:tcPr>
                <w:p w14:paraId="576DE59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31D7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19B359BA">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36DB444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一体化办公平台OA</w:t>
                  </w:r>
                </w:p>
              </w:tc>
              <w:tc>
                <w:tcPr>
                  <w:tcW w:w="2727" w:type="pct"/>
                  <w:noWrap/>
                  <w:vAlign w:val="center"/>
                </w:tcPr>
                <w:p w14:paraId="448D3A1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489F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0221DAFA">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26EB037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处方点评</w:t>
                  </w:r>
                </w:p>
              </w:tc>
              <w:tc>
                <w:tcPr>
                  <w:tcW w:w="2727" w:type="pct"/>
                  <w:noWrap/>
                  <w:vAlign w:val="center"/>
                </w:tcPr>
                <w:p w14:paraId="6C1D2F6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已建设，在原有系统基础之上升级</w:t>
                  </w:r>
                </w:p>
              </w:tc>
            </w:tr>
            <w:tr w14:paraId="1F0A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pct"/>
                  <w:noWrap/>
                  <w:vAlign w:val="center"/>
                </w:tcPr>
                <w:p w14:paraId="7D3A89E7">
                  <w:pPr>
                    <w:pStyle w:val="10"/>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color w:val="auto"/>
                      <w:sz w:val="21"/>
                      <w:szCs w:val="21"/>
                      <w:highlight w:val="none"/>
                      <w:lang w:val="en-US" w:eastAsia="zh-CN"/>
                    </w:rPr>
                  </w:pPr>
                </w:p>
              </w:tc>
              <w:tc>
                <w:tcPr>
                  <w:tcW w:w="1843" w:type="pct"/>
                  <w:noWrap/>
                  <w:vAlign w:val="center"/>
                </w:tcPr>
                <w:p w14:paraId="3CAF053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合理用药监测系统</w:t>
                  </w:r>
                </w:p>
              </w:tc>
              <w:tc>
                <w:tcPr>
                  <w:tcW w:w="2727" w:type="pct"/>
                  <w:noWrap/>
                  <w:vAlign w:val="center"/>
                </w:tcPr>
                <w:p w14:paraId="458042A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已建设，在原有系统基础之上升级</w:t>
                  </w:r>
                </w:p>
              </w:tc>
            </w:tr>
          </w:tbl>
          <w:p w14:paraId="4D818D69">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p>
          <w:p w14:paraId="7D40B248">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（2）要求基于云原生技术，构建高可用服务需面向医院的业务要求，利用云原生简单易扩展的优势，提供稳定可靠的应用服务。</w:t>
            </w:r>
          </w:p>
          <w:p w14:paraId="3CA39A18">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需利用云原生特性，保障系统在应用快速迭代变化的同时，既可以保持高度的可用性、多节点、负载均衡、弹性扩展等特性，又具备高效处理、水平扩展和数据高并发访问的能力。</w:t>
            </w:r>
          </w:p>
          <w:p w14:paraId="08B4DA77">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（3）各个业务模块应具有统一的前端框架、设计风格、高度一致的交互体验要求系统从样式、组件、框架、组件交互四个维度实现体验标准化，保障基础体验、交互体验的高度一致。</w:t>
            </w:r>
          </w:p>
          <w:p w14:paraId="47C56073">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（4）采用微服务架构，搭建业务中台、数据中台等中台服务。</w:t>
            </w:r>
          </w:p>
          <w:p w14:paraId="3DA58D81">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要求能够将不同模块、不同业务单元、不同应用程序有机且良好的结合起来，实现服务的轻量化、标准化、快速响应化。</w:t>
            </w:r>
          </w:p>
          <w:p w14:paraId="1FC93305">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需构建业务中台、数据中台等中台服务，使系统能够提供高可用、高稳定、快速访问和响应的同时，还能够做到服务模块化、可配置化。</w:t>
            </w:r>
          </w:p>
          <w:p w14:paraId="380F897A">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（5）要求将系统，进行云化升级</w:t>
            </w:r>
          </w:p>
          <w:p w14:paraId="2D70CDEF">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要求将本地系统迁移到云，实现系统的云化升级。投标人需保证云上的系统与本地系统的衔接和过渡，实现云上系统的正常运行。</w:t>
            </w:r>
          </w:p>
          <w:p w14:paraId="59D2E24E">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（6）要求使用无版权纠纷的数据库，避免数据制约为避免因技术问题造成数据库软件不被授权、不能使用，整个医院系统瘫痪等问题；软件升级后需保证数据库无版权纠纷。</w:t>
            </w:r>
          </w:p>
          <w:p w14:paraId="402EFD10">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（7）应用+中台架构，支持快速响应政策要求变更支持在业务中台基础之上，根据国家政策要求变更，复用中台基础能力，快速构建应用支持。</w:t>
            </w:r>
          </w:p>
          <w:p w14:paraId="372D860F">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（8）要求支持无感升级</w:t>
            </w:r>
          </w:p>
          <w:p w14:paraId="3466655E">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应支持在系统升级过程中，无感知、无影响、无侵入；支持灰度发布、金丝雀发布、蓝绿发布、AB发布等常见过渡发布方式。要求业务系统具有完善的预警、监测机制。</w:t>
            </w:r>
          </w:p>
          <w:p w14:paraId="5108CD1D">
            <w:pPr>
              <w:pStyle w:val="18"/>
              <w:keepNext w:val="0"/>
              <w:keepLines w:val="0"/>
              <w:pageBreakBefore w:val="0"/>
              <w:widowControl w:val="0"/>
              <w:suppressLineNumbers w:val="0"/>
              <w:kinsoku/>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2.2.2中间件部署服务</w:t>
            </w:r>
          </w:p>
          <w:p w14:paraId="14381799">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（1）支持针对服务器资源进行详细规划，应包括服务器部署节点划分要求、不同配置服务器间的使用划分，特殊网络要求的服务器特殊处理等。</w:t>
            </w:r>
          </w:p>
          <w:p w14:paraId="3E2BA2E7">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（2）数据库安装部署，应包括业务主库、从库、2 级从库的分别建设，应包括对数据库本机全量备份、本机增量备份等功能的支持；建设数据中台库与数据中台 ETL 抽取程序，实现整体一主两从+数据中台的数据库建设模式。</w:t>
            </w:r>
          </w:p>
          <w:p w14:paraId="1C28315F">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（3）支持针对特殊环境下访问入口是域名、IP 等形式的规则变换，支持增加灰度功能。</w:t>
            </w:r>
          </w:p>
          <w:p w14:paraId="4E548C16">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（4）支持建设 Redis 缓存中间件，根据特殊环境下服务器资源要求，建设不同集群模式的 Redis 集群。</w:t>
            </w:r>
          </w:p>
          <w:p w14:paraId="2D1FEFE4">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（5）支持建设 RocketMQ 消息队列中间件，根据特殊环境下服务器资源要求，建设不同集群模式的 RocketMQ 集群，并附带建设 RocketMQ-Console 控制台，以对消息队列内容进行可视化查询。</w:t>
            </w:r>
          </w:p>
          <w:p w14:paraId="47B5DEA8">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（6）针对业务系统，建设 ElasticSearch 集群，并支持中文分词等个性化需求，为保障业务使用 ES 的查询效率，对 ES 集群进行合理资源分配。</w:t>
            </w:r>
          </w:p>
          <w:p w14:paraId="17BC37D1">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（7）支持建设基于 Nacos 的配置中心和服务注册中心，云健康下微服务众多，为保障服务间正常的注册和发现，支持搭建 Nacos 注册中心统一管理所有微服务，支持提供标准的 Nacos 配置，为各个微服务连接中间件提供配置支持。</w:t>
            </w:r>
          </w:p>
          <w:p w14:paraId="1E31864A">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（8）针对特殊环境下的不同存储介质，支持建设文件上传服务，可对接 OBS 对象存储、OSS 对象存储、NAS 存储、磁盘存储等多种存储模式，将文件个性化对接与产品隔离，保持标准的对接协议。</w:t>
            </w:r>
          </w:p>
          <w:p w14:paraId="1BF6BA69">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（9）支持为以上所有中间件、所有微服务建设完善的监控体系，支持建设完善的监控面板，预警指标，支持结合移动端钉钉进行即时预警，设立运维排版和稳定性小组统一负责云健康相关服务的稳定运行。</w:t>
            </w:r>
          </w:p>
          <w:p w14:paraId="53B8DAB9">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（10）针对云健康的持续迭代升级，应提供持续的架构升级支持，包括对于各个中间件的版本升级、服务扩缩容等。</w:t>
            </w:r>
          </w:p>
          <w:p w14:paraId="662ED3E4">
            <w:pPr>
              <w:pStyle w:val="18"/>
              <w:keepNext w:val="0"/>
              <w:keepLines w:val="0"/>
              <w:pageBreakBefore w:val="0"/>
              <w:widowControl w:val="0"/>
              <w:numPr>
                <w:ilvl w:val="0"/>
                <w:numId w:val="0"/>
              </w:numPr>
              <w:suppressLineNumbers w:val="0"/>
              <w:kinsoku/>
              <w:overflowPunct/>
              <w:topLinePunct w:val="0"/>
              <w:autoSpaceDE w:val="0"/>
              <w:autoSpaceDN w:val="0"/>
              <w:bidi w:val="0"/>
              <w:adjustRightInd w:val="0"/>
              <w:spacing w:before="0" w:beforeAutospacing="0" w:after="0" w:afterAutospacing="0" w:line="360" w:lineRule="auto"/>
              <w:ind w:left="0" w:leftChars="0" w:right="0" w:rightChars="0" w:firstLine="0" w:firstLineChars="0"/>
              <w:jc w:val="left"/>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SA"/>
              </w:rPr>
              <w:t>2.3</w:t>
            </w:r>
            <w:r>
              <w:rPr>
                <w:rFonts w:hint="eastAsia" w:ascii="宋体" w:hAnsi="宋体" w:eastAsia="宋体" w:cs="宋体"/>
                <w:color w:val="auto"/>
                <w:kern w:val="2"/>
                <w:sz w:val="21"/>
                <w:szCs w:val="21"/>
                <w:highlight w:val="none"/>
                <w:lang w:val="en-US" w:eastAsia="zh-CN" w:bidi="ar"/>
              </w:rPr>
              <w:t>配套小硬件：</w:t>
            </w:r>
          </w:p>
          <w:p w14:paraId="10531BF6">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2.3.1.高清采集卡</w:t>
            </w:r>
          </w:p>
          <w:p w14:paraId="77E1D7A3">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（1）应支持采集1路全高清1080P信号。</w:t>
            </w:r>
          </w:p>
          <w:p w14:paraId="08410A50">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（2）高清输入视频信号可达1080p/60 Hz。</w:t>
            </w:r>
          </w:p>
          <w:p w14:paraId="1B47FA31">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（3）高清信号可采集HDMI、SDI、DVI、VGA、分量信号，CVBS,SVIDEO</w:t>
            </w:r>
            <w:r>
              <w:rPr>
                <w:rFonts w:hint="eastAsia" w:cs="宋体"/>
                <w:color w:val="auto"/>
                <w:kern w:val="2"/>
                <w:sz w:val="21"/>
                <w:szCs w:val="21"/>
                <w:highlight w:val="none"/>
                <w:lang w:val="en-US" w:eastAsia="zh-CN" w:bidi="ar"/>
              </w:rPr>
              <w:t>。</w:t>
            </w:r>
          </w:p>
          <w:p w14:paraId="230B2DA3">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（4）可采集HDMI和模拟音频信号。</w:t>
            </w:r>
          </w:p>
          <w:p w14:paraId="1B909983">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（5）应支持高性能DMA传输功能。</w:t>
            </w:r>
          </w:p>
          <w:p w14:paraId="5FD114E1">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（6）高清输入可动态切换信号源类型</w:t>
            </w:r>
          </w:p>
          <w:p w14:paraId="46CC116F">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（7）应支持运动自适应去隔行功能。</w:t>
            </w:r>
          </w:p>
          <w:p w14:paraId="54A61355">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（8）高清输入应支持画面水平、垂直反转功能。</w:t>
            </w:r>
          </w:p>
          <w:p w14:paraId="4ADF408F">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（9）高清输入应支持自动输入视频格式侦测，自动视频有效区域侦测。</w:t>
            </w:r>
          </w:p>
          <w:p w14:paraId="0D3241EE">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（10）高清输入应支持多阶画面缩放功能，具有三种针对画面宽高比的缩放模式。</w:t>
            </w:r>
          </w:p>
          <w:p w14:paraId="42275F37">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（11）硬件色彩转换，可输出RGB24，YUY2色彩格式。</w:t>
            </w:r>
          </w:p>
          <w:p w14:paraId="0B43F34C">
            <w:pPr>
              <w:pStyle w:val="18"/>
              <w:keepNext w:val="0"/>
              <w:keepLines w:val="0"/>
              <w:pageBreakBefore w:val="0"/>
              <w:widowControl w:val="0"/>
              <w:suppressLineNumbers w:val="0"/>
              <w:kinsoku/>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（12）高清输入应支持支持色彩调节功能，可调节画面的对比度、亮度、色彩饱和度、对比度。</w:t>
            </w:r>
          </w:p>
        </w:tc>
      </w:tr>
      <w:tr w14:paraId="0A574D80">
        <w:tblPrEx>
          <w:tblCellMar>
            <w:top w:w="0" w:type="dxa"/>
            <w:left w:w="108" w:type="dxa"/>
            <w:bottom w:w="0" w:type="dxa"/>
            <w:right w:w="108" w:type="dxa"/>
          </w:tblCellMar>
        </w:tblPrEx>
        <w:trPr>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14:paraId="47D3D98A">
            <w:pPr>
              <w:widowControl/>
              <w:jc w:val="left"/>
              <w:textAlignment w:val="center"/>
              <w:rPr>
                <w:rFonts w:ascii="宋体" w:hAnsi="宋体" w:cs="宋体"/>
                <w:color w:val="auto"/>
                <w:kern w:val="0"/>
                <w:sz w:val="21"/>
                <w:szCs w:val="21"/>
                <w:highlight w:val="none"/>
                <w:lang w:bidi="ar"/>
              </w:rPr>
            </w:pPr>
            <w:r>
              <w:rPr>
                <w:rFonts w:hint="eastAsia" w:ascii="宋体" w:hAnsi="宋体" w:cs="宋体"/>
                <w:b/>
                <w:bCs/>
                <w:color w:val="auto"/>
                <w:sz w:val="21"/>
                <w:szCs w:val="21"/>
                <w:highlight w:val="none"/>
              </w:rPr>
              <w:t>二、</w:t>
            </w:r>
            <w:r>
              <w:rPr>
                <w:rFonts w:hint="eastAsia" w:ascii="宋体" w:hAnsi="宋体" w:cs="宋体"/>
                <w:color w:val="auto"/>
                <w:kern w:val="0"/>
                <w:sz w:val="21"/>
                <w:szCs w:val="21"/>
                <w:highlight w:val="none"/>
                <w:lang w:bidi="ar"/>
              </w:rPr>
              <w:t>▲</w:t>
            </w:r>
            <w:r>
              <w:rPr>
                <w:rFonts w:hint="eastAsia" w:ascii="宋体" w:hAnsi="宋体" w:cs="宋体"/>
                <w:b/>
                <w:bCs/>
                <w:color w:val="auto"/>
                <w:sz w:val="21"/>
                <w:szCs w:val="21"/>
                <w:highlight w:val="none"/>
              </w:rPr>
              <w:t>商务条款要求</w:t>
            </w:r>
          </w:p>
        </w:tc>
      </w:tr>
      <w:tr w14:paraId="6EA7CEEF">
        <w:tblPrEx>
          <w:tblCellMar>
            <w:top w:w="0" w:type="dxa"/>
            <w:left w:w="108" w:type="dxa"/>
            <w:bottom w:w="0" w:type="dxa"/>
            <w:right w:w="108" w:type="dxa"/>
          </w:tblCellMar>
        </w:tblPrEx>
        <w:trPr>
          <w:trHeight w:val="23" w:hRule="atLeast"/>
          <w:jc w:val="center"/>
        </w:trPr>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14:paraId="638B81ED">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报价要求</w:t>
            </w:r>
          </w:p>
        </w:tc>
        <w:tc>
          <w:tcPr>
            <w:tcW w:w="4022" w:type="pct"/>
            <w:gridSpan w:val="3"/>
            <w:tcBorders>
              <w:top w:val="single" w:color="000000" w:sz="4" w:space="0"/>
              <w:left w:val="single" w:color="000000" w:sz="4" w:space="0"/>
              <w:bottom w:val="single" w:color="000000" w:sz="4" w:space="0"/>
              <w:right w:val="single" w:color="000000" w:sz="4" w:space="0"/>
            </w:tcBorders>
            <w:noWrap w:val="0"/>
            <w:vAlign w:val="center"/>
          </w:tcPr>
          <w:p w14:paraId="5A9F1936">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报价是履行合同的最终价格，投标人应报完成本项目中全部内容的含税、费的人民币价格，必须含以下部分，包括：</w:t>
            </w:r>
          </w:p>
          <w:p w14:paraId="51CF182D">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（1）软件及服务、货物（如涉及）的价格；</w:t>
            </w:r>
          </w:p>
          <w:p w14:paraId="37F961CA">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（2）必要的保险费用和各项税金；</w:t>
            </w:r>
          </w:p>
          <w:p w14:paraId="706BFDF4">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（3）其他：如运输服务、二次运输服务、安装服务、调试服务、培训服务、技术支持服务、更新升级服务等费用。</w:t>
            </w:r>
          </w:p>
        </w:tc>
      </w:tr>
      <w:tr w14:paraId="09E48EA5">
        <w:tblPrEx>
          <w:tblCellMar>
            <w:top w:w="0" w:type="dxa"/>
            <w:left w:w="108" w:type="dxa"/>
            <w:bottom w:w="0" w:type="dxa"/>
            <w:right w:w="108" w:type="dxa"/>
          </w:tblCellMar>
        </w:tblPrEx>
        <w:trPr>
          <w:trHeight w:val="23" w:hRule="atLeast"/>
          <w:jc w:val="center"/>
        </w:trPr>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14:paraId="60CE56D2">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合同签订日期</w:t>
            </w:r>
          </w:p>
        </w:tc>
        <w:tc>
          <w:tcPr>
            <w:tcW w:w="4022" w:type="pct"/>
            <w:gridSpan w:val="3"/>
            <w:tcBorders>
              <w:top w:val="single" w:color="000000" w:sz="4" w:space="0"/>
              <w:left w:val="single" w:color="000000" w:sz="4" w:space="0"/>
              <w:bottom w:val="single" w:color="000000" w:sz="4" w:space="0"/>
              <w:right w:val="single" w:color="000000" w:sz="4" w:space="0"/>
            </w:tcBorders>
            <w:noWrap w:val="0"/>
            <w:vAlign w:val="center"/>
          </w:tcPr>
          <w:p w14:paraId="43BC40C9">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sz w:val="21"/>
                <w:szCs w:val="21"/>
                <w:highlight w:val="none"/>
              </w:rPr>
              <w:t>成交供应商自成交通知书发出之日20天内与招标人签订合同。</w:t>
            </w:r>
          </w:p>
        </w:tc>
      </w:tr>
      <w:tr w14:paraId="7D265716">
        <w:tblPrEx>
          <w:tblCellMar>
            <w:top w:w="0" w:type="dxa"/>
            <w:left w:w="108" w:type="dxa"/>
            <w:bottom w:w="0" w:type="dxa"/>
            <w:right w:w="108" w:type="dxa"/>
          </w:tblCellMar>
        </w:tblPrEx>
        <w:trPr>
          <w:trHeight w:val="23" w:hRule="atLeast"/>
          <w:jc w:val="center"/>
        </w:trPr>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14:paraId="7D7541FD">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合同履约期限</w:t>
            </w:r>
          </w:p>
        </w:tc>
        <w:tc>
          <w:tcPr>
            <w:tcW w:w="4022" w:type="pct"/>
            <w:gridSpan w:val="3"/>
            <w:tcBorders>
              <w:top w:val="single" w:color="000000" w:sz="4" w:space="0"/>
              <w:left w:val="single" w:color="000000" w:sz="4" w:space="0"/>
              <w:bottom w:val="single" w:color="000000" w:sz="4" w:space="0"/>
              <w:right w:val="single" w:color="000000" w:sz="4" w:space="0"/>
            </w:tcBorders>
            <w:noWrap w:val="0"/>
            <w:vAlign w:val="center"/>
          </w:tcPr>
          <w:p w14:paraId="348DCE0E">
            <w:pPr>
              <w:widowControl/>
              <w:jc w:val="left"/>
              <w:textAlignment w:val="center"/>
              <w:rPr>
                <w:rFonts w:hint="eastAsia" w:ascii="宋体" w:hAnsi="宋体" w:cs="宋体"/>
                <w:color w:val="auto"/>
                <w:kern w:val="0"/>
                <w:sz w:val="21"/>
                <w:szCs w:val="21"/>
                <w:highlight w:val="none"/>
                <w:lang w:bidi="ar"/>
              </w:rPr>
            </w:pPr>
            <w:r>
              <w:rPr>
                <w:rFonts w:hint="eastAsia" w:ascii="宋体" w:hAnsi="宋体" w:eastAsia="宋体" w:cs="宋体"/>
                <w:color w:val="auto"/>
                <w:kern w:val="2"/>
                <w:sz w:val="21"/>
                <w:szCs w:val="21"/>
                <w:highlight w:val="none"/>
                <w:u w:val="single"/>
                <w:lang w:val="en-US" w:eastAsia="zh-CN" w:bidi="ar"/>
              </w:rPr>
              <w:t>自合同签订生效之日起3个月内完成</w:t>
            </w:r>
          </w:p>
        </w:tc>
      </w:tr>
      <w:tr w14:paraId="0FAD18DE">
        <w:tblPrEx>
          <w:tblCellMar>
            <w:top w:w="0" w:type="dxa"/>
            <w:left w:w="108" w:type="dxa"/>
            <w:bottom w:w="0" w:type="dxa"/>
            <w:right w:w="108" w:type="dxa"/>
          </w:tblCellMar>
        </w:tblPrEx>
        <w:trPr>
          <w:trHeight w:val="23" w:hRule="atLeast"/>
          <w:jc w:val="center"/>
        </w:trPr>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14:paraId="140575AD">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项目服务地点</w:t>
            </w:r>
          </w:p>
        </w:tc>
        <w:tc>
          <w:tcPr>
            <w:tcW w:w="4022" w:type="pct"/>
            <w:gridSpan w:val="3"/>
            <w:tcBorders>
              <w:top w:val="single" w:color="000000" w:sz="4" w:space="0"/>
              <w:left w:val="single" w:color="000000" w:sz="4" w:space="0"/>
              <w:bottom w:val="single" w:color="000000" w:sz="4" w:space="0"/>
              <w:right w:val="single" w:color="000000" w:sz="4" w:space="0"/>
            </w:tcBorders>
            <w:noWrap w:val="0"/>
            <w:vAlign w:val="center"/>
          </w:tcPr>
          <w:p w14:paraId="594597A7">
            <w:pPr>
              <w:widowControl/>
              <w:jc w:val="left"/>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贵港市</w:t>
            </w:r>
            <w:r>
              <w:rPr>
                <w:rFonts w:hint="eastAsia" w:ascii="宋体" w:hAnsi="宋体" w:cs="宋体"/>
                <w:color w:val="auto"/>
                <w:kern w:val="0"/>
                <w:sz w:val="21"/>
                <w:szCs w:val="21"/>
                <w:highlight w:val="none"/>
                <w:lang w:val="en-US" w:eastAsia="zh-CN" w:bidi="ar"/>
              </w:rPr>
              <w:t>覃塘区人民医院</w:t>
            </w:r>
            <w:r>
              <w:rPr>
                <w:rFonts w:hint="eastAsia" w:ascii="宋体" w:hAnsi="宋体" w:cs="宋体"/>
                <w:color w:val="auto"/>
                <w:kern w:val="0"/>
                <w:sz w:val="21"/>
                <w:szCs w:val="21"/>
                <w:highlight w:val="none"/>
                <w:lang w:bidi="ar"/>
              </w:rPr>
              <w:t>。</w:t>
            </w:r>
          </w:p>
        </w:tc>
      </w:tr>
      <w:tr w14:paraId="276E31F2">
        <w:tblPrEx>
          <w:tblCellMar>
            <w:top w:w="0" w:type="dxa"/>
            <w:left w:w="108" w:type="dxa"/>
            <w:bottom w:w="0" w:type="dxa"/>
            <w:right w:w="108" w:type="dxa"/>
          </w:tblCellMar>
        </w:tblPrEx>
        <w:trPr>
          <w:trHeight w:val="1284" w:hRule="atLeast"/>
          <w:jc w:val="center"/>
        </w:trPr>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14:paraId="6B6A3C60">
            <w:pPr>
              <w:widowControl/>
              <w:jc w:val="left"/>
              <w:textAlignment w:val="center"/>
              <w:rPr>
                <w:rFonts w:hint="eastAsia" w:ascii="宋体" w:hAnsi="宋体" w:cs="宋体"/>
                <w:b w:val="0"/>
                <w:bCs w:val="0"/>
                <w:color w:val="auto"/>
                <w:kern w:val="0"/>
                <w:sz w:val="21"/>
                <w:szCs w:val="21"/>
                <w:highlight w:val="none"/>
                <w:lang w:bidi="ar"/>
              </w:rPr>
            </w:pPr>
            <w:r>
              <w:rPr>
                <w:rFonts w:hint="eastAsia" w:ascii="宋体" w:hAnsi="宋体" w:cs="宋体"/>
                <w:b w:val="0"/>
                <w:bCs w:val="0"/>
                <w:color w:val="auto"/>
                <w:kern w:val="0"/>
                <w:sz w:val="21"/>
                <w:szCs w:val="21"/>
                <w:highlight w:val="none"/>
                <w:lang w:bidi="ar"/>
              </w:rPr>
              <w:t>付款方式、时间及条件</w:t>
            </w:r>
          </w:p>
        </w:tc>
        <w:tc>
          <w:tcPr>
            <w:tcW w:w="4022" w:type="pct"/>
            <w:gridSpan w:val="3"/>
            <w:tcBorders>
              <w:top w:val="single" w:color="000000" w:sz="4" w:space="0"/>
              <w:left w:val="single" w:color="000000" w:sz="4" w:space="0"/>
              <w:bottom w:val="single" w:color="000000" w:sz="4" w:space="0"/>
              <w:right w:val="single" w:color="000000" w:sz="4" w:space="0"/>
            </w:tcBorders>
            <w:noWrap w:val="0"/>
            <w:vAlign w:val="center"/>
          </w:tcPr>
          <w:p w14:paraId="16BFDC36">
            <w:pPr>
              <w:widowControl/>
              <w:jc w:val="left"/>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合同签定后7个工作日内付合同总额的30%，供应商应在合同签订后且具备实施条件后3个工作日内进场实施。2.项目验收合格后7个工作日内支付合同总额的60%。3.项目验收合格之日起算6个月内无息付清剩余合同价款。上诉付款条件均为供应商先开具对应数额的发票给采购方审核。</w:t>
            </w:r>
          </w:p>
        </w:tc>
      </w:tr>
      <w:tr w14:paraId="56FDD1A7">
        <w:tblPrEx>
          <w:tblCellMar>
            <w:top w:w="0" w:type="dxa"/>
            <w:left w:w="108" w:type="dxa"/>
            <w:bottom w:w="0" w:type="dxa"/>
            <w:right w:w="108" w:type="dxa"/>
          </w:tblCellMar>
        </w:tblPrEx>
        <w:trPr>
          <w:trHeight w:val="1284" w:hRule="atLeast"/>
          <w:jc w:val="center"/>
        </w:trPr>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14:paraId="057D2ED4">
            <w:pPr>
              <w:widowControl/>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要求</w:t>
            </w:r>
          </w:p>
        </w:tc>
        <w:tc>
          <w:tcPr>
            <w:tcW w:w="4022" w:type="pct"/>
            <w:gridSpan w:val="3"/>
            <w:tcBorders>
              <w:top w:val="single" w:color="000000" w:sz="4" w:space="0"/>
              <w:left w:val="single" w:color="000000" w:sz="4" w:space="0"/>
              <w:bottom w:val="single" w:color="000000" w:sz="4" w:space="0"/>
              <w:right w:val="single" w:color="000000" w:sz="4" w:space="0"/>
            </w:tcBorders>
            <w:noWrap w:val="0"/>
            <w:vAlign w:val="center"/>
          </w:tcPr>
          <w:p w14:paraId="113D5DA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采购人在使用过程中若产品发生故障，在接到采购人通知后5小时内电话响应，24个小时内到达现场处理，一般故障处理时限不超过24小时修复，重大故障处理时限不超过72小时修复。</w:t>
            </w:r>
          </w:p>
          <w:p w14:paraId="05B741C7">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）供应商在提供服务过程中，对所接触到的所有信息负有保密义务，并签署相关保密协议，如因服务商原因造成的信息泄露事件，采购人可追究其责任。</w:t>
            </w:r>
          </w:p>
        </w:tc>
      </w:tr>
      <w:tr w14:paraId="35863213">
        <w:tblPrEx>
          <w:tblCellMar>
            <w:top w:w="0" w:type="dxa"/>
            <w:left w:w="108" w:type="dxa"/>
            <w:bottom w:w="0" w:type="dxa"/>
            <w:right w:w="108" w:type="dxa"/>
          </w:tblCellMar>
        </w:tblPrEx>
        <w:trPr>
          <w:trHeight w:val="1284" w:hRule="atLeast"/>
          <w:jc w:val="center"/>
        </w:trPr>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14:paraId="39284A7C">
            <w:pPr>
              <w:pStyle w:val="12"/>
              <w:spacing w:line="420" w:lineRule="exact"/>
              <w:jc w:val="center"/>
              <w:rPr>
                <w:rFonts w:hint="eastAsia" w:ascii="宋体" w:hAnsi="宋体" w:cs="宋体"/>
                <w:b w:val="0"/>
                <w:bCs w:val="0"/>
                <w:color w:val="auto"/>
                <w:kern w:val="0"/>
                <w:sz w:val="21"/>
                <w:szCs w:val="21"/>
                <w:highlight w:val="none"/>
                <w:lang w:bidi="ar"/>
              </w:rPr>
            </w:pPr>
            <w:r>
              <w:rPr>
                <w:rFonts w:hint="eastAsia" w:ascii="宋体" w:hAnsi="宋体"/>
                <w:b w:val="0"/>
                <w:bCs w:val="0"/>
                <w:color w:val="auto"/>
                <w:sz w:val="21"/>
                <w:szCs w:val="21"/>
                <w:highlight w:val="none"/>
              </w:rPr>
              <w:t>验收标准</w:t>
            </w:r>
          </w:p>
        </w:tc>
        <w:tc>
          <w:tcPr>
            <w:tcW w:w="4022" w:type="pct"/>
            <w:gridSpan w:val="3"/>
            <w:tcBorders>
              <w:top w:val="single" w:color="000000" w:sz="4" w:space="0"/>
              <w:left w:val="single" w:color="000000" w:sz="4" w:space="0"/>
              <w:bottom w:val="single" w:color="000000" w:sz="4" w:space="0"/>
              <w:right w:val="single" w:color="000000" w:sz="4" w:space="0"/>
            </w:tcBorders>
            <w:noWrap w:val="0"/>
            <w:vAlign w:val="center"/>
          </w:tcPr>
          <w:p w14:paraId="5251EB64">
            <w:pPr>
              <w:pStyle w:val="12"/>
              <w:spacing w:line="420" w:lineRule="exact"/>
              <w:rPr>
                <w:rFonts w:hint="eastAsia" w:ascii="宋体" w:hAnsi="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按照国家相关法律规定、现行行业标准与规范进行验收。</w:t>
            </w:r>
          </w:p>
        </w:tc>
      </w:tr>
      <w:tr w14:paraId="12518055">
        <w:tblPrEx>
          <w:tblCellMar>
            <w:top w:w="0" w:type="dxa"/>
            <w:left w:w="108" w:type="dxa"/>
            <w:bottom w:w="0" w:type="dxa"/>
            <w:right w:w="108" w:type="dxa"/>
          </w:tblCellMar>
        </w:tblPrEx>
        <w:trPr>
          <w:trHeight w:val="1284" w:hRule="atLeast"/>
          <w:jc w:val="center"/>
        </w:trPr>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14:paraId="23C5F2AE">
            <w:pPr>
              <w:pStyle w:val="12"/>
              <w:spacing w:line="420" w:lineRule="exact"/>
              <w:jc w:val="center"/>
              <w:rPr>
                <w:rFonts w:hint="eastAsia" w:ascii="宋体" w:hAnsi="宋体" w:cs="宋体"/>
                <w:color w:val="auto"/>
                <w:kern w:val="0"/>
                <w:sz w:val="21"/>
                <w:szCs w:val="21"/>
                <w:highlight w:val="none"/>
                <w:lang w:bidi="ar"/>
              </w:rPr>
            </w:pPr>
            <w:r>
              <w:rPr>
                <w:rFonts w:hint="eastAsia" w:ascii="宋体" w:hAnsi="宋体"/>
                <w:color w:val="auto"/>
                <w:sz w:val="21"/>
                <w:szCs w:val="21"/>
                <w:highlight w:val="none"/>
              </w:rPr>
              <w:t>其他要求</w:t>
            </w:r>
          </w:p>
        </w:tc>
        <w:tc>
          <w:tcPr>
            <w:tcW w:w="4022" w:type="pct"/>
            <w:gridSpan w:val="3"/>
            <w:tcBorders>
              <w:top w:val="single" w:color="000000" w:sz="4" w:space="0"/>
              <w:left w:val="single" w:color="000000" w:sz="4" w:space="0"/>
              <w:bottom w:val="single" w:color="000000" w:sz="4" w:space="0"/>
              <w:right w:val="single" w:color="000000" w:sz="4" w:space="0"/>
            </w:tcBorders>
            <w:noWrap w:val="0"/>
            <w:vAlign w:val="center"/>
          </w:tcPr>
          <w:p w14:paraId="7C00498C">
            <w:pPr>
              <w:pStyle w:val="12"/>
              <w:numPr>
                <w:ilvl w:val="0"/>
                <w:numId w:val="3"/>
              </w:numPr>
              <w:spacing w:line="42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知识产权保护要求：</w:t>
            </w:r>
            <w:r>
              <w:rPr>
                <w:rFonts w:hint="eastAsia" w:hAnsi="宋体" w:cs="宋体"/>
                <w:bCs/>
                <w:color w:val="auto"/>
                <w:sz w:val="21"/>
                <w:szCs w:val="21"/>
                <w:highlight w:val="none"/>
                <w:lang w:eastAsia="zh-CN"/>
              </w:rPr>
              <w:t>协商供应商</w:t>
            </w:r>
            <w:r>
              <w:rPr>
                <w:rFonts w:hint="eastAsia" w:ascii="宋体" w:hAnsi="宋体" w:cs="宋体"/>
                <w:bCs/>
                <w:color w:val="auto"/>
                <w:sz w:val="21"/>
                <w:szCs w:val="21"/>
                <w:highlight w:val="none"/>
              </w:rPr>
              <w:t>应对</w:t>
            </w:r>
            <w:r>
              <w:rPr>
                <w:rFonts w:hint="eastAsia" w:hAnsi="宋体" w:cs="宋体"/>
                <w:bCs/>
                <w:color w:val="auto"/>
                <w:sz w:val="21"/>
                <w:szCs w:val="21"/>
                <w:highlight w:val="none"/>
                <w:lang w:eastAsia="zh-CN"/>
              </w:rPr>
              <w:t>协商</w:t>
            </w:r>
            <w:r>
              <w:rPr>
                <w:rFonts w:hint="eastAsia" w:ascii="宋体" w:hAnsi="宋体" w:cs="宋体"/>
                <w:bCs/>
                <w:color w:val="auto"/>
                <w:sz w:val="21"/>
                <w:szCs w:val="21"/>
                <w:highlight w:val="none"/>
              </w:rPr>
              <w:t>内容所涉及的专利承担责任，并负责保护采购单位的利益不受任何损害。一切由于文字、商标、技术和软件专利授权引起的法律裁决、诉讼和赔偿费用均由成交人负责。所使用的设备、材料须符合国家有关标准要求。</w:t>
            </w:r>
          </w:p>
          <w:p w14:paraId="4BD4F0AE">
            <w:pPr>
              <w:pStyle w:val="12"/>
              <w:numPr>
                <w:ilvl w:val="0"/>
                <w:numId w:val="3"/>
              </w:numPr>
              <w:spacing w:line="420" w:lineRule="exact"/>
              <w:rPr>
                <w:rFonts w:hint="eastAsia" w:ascii="宋体" w:hAnsi="宋体" w:cs="宋体"/>
                <w:bCs/>
                <w:color w:val="auto"/>
                <w:sz w:val="21"/>
                <w:szCs w:val="21"/>
                <w:highlight w:val="none"/>
                <w:lang w:val="en-US" w:eastAsia="zh-CN"/>
              </w:rPr>
            </w:pPr>
            <w:r>
              <w:rPr>
                <w:rFonts w:hint="eastAsia" w:hAnsi="宋体" w:cs="宋体"/>
                <w:bCs/>
                <w:color w:val="auto"/>
                <w:sz w:val="21"/>
                <w:szCs w:val="21"/>
                <w:highlight w:val="none"/>
                <w:lang w:eastAsia="zh-CN"/>
              </w:rPr>
              <w:t>协商供应商</w:t>
            </w:r>
            <w:r>
              <w:rPr>
                <w:rFonts w:hint="eastAsia" w:ascii="宋体" w:hAnsi="宋体" w:eastAsia="宋体" w:cs="宋体"/>
                <w:color w:val="auto"/>
                <w:sz w:val="21"/>
                <w:szCs w:val="21"/>
                <w:highlight w:val="none"/>
              </w:rPr>
              <w:t>所提供的投标材料均应为厂家官网下载或印刷版本或者通过正规渠道获取，</w:t>
            </w:r>
            <w:r>
              <w:rPr>
                <w:rFonts w:hint="eastAsia" w:hAnsi="宋体" w:cs="宋体"/>
                <w:bCs/>
                <w:color w:val="auto"/>
                <w:sz w:val="21"/>
                <w:szCs w:val="21"/>
                <w:highlight w:val="none"/>
                <w:lang w:eastAsia="zh-CN"/>
              </w:rPr>
              <w:t>协商供应商</w:t>
            </w:r>
            <w:r>
              <w:rPr>
                <w:rFonts w:hint="eastAsia" w:ascii="宋体" w:hAnsi="宋体" w:eastAsia="宋体" w:cs="宋体"/>
                <w:color w:val="auto"/>
                <w:sz w:val="21"/>
                <w:szCs w:val="21"/>
                <w:highlight w:val="none"/>
              </w:rPr>
              <w:t>未进行篡改，如有发现承诺文件的内容与实际不相符，追究</w:t>
            </w:r>
            <w:r>
              <w:rPr>
                <w:rFonts w:hint="eastAsia" w:hAnsi="宋体" w:cs="宋体"/>
                <w:bCs/>
                <w:color w:val="auto"/>
                <w:sz w:val="21"/>
                <w:szCs w:val="21"/>
                <w:highlight w:val="none"/>
                <w:lang w:eastAsia="zh-CN"/>
              </w:rPr>
              <w:t>协商供应商</w:t>
            </w:r>
            <w:r>
              <w:rPr>
                <w:rFonts w:hint="eastAsia" w:ascii="宋体" w:hAnsi="宋体" w:eastAsia="宋体" w:cs="宋体"/>
                <w:color w:val="auto"/>
                <w:sz w:val="21"/>
                <w:szCs w:val="21"/>
                <w:highlight w:val="none"/>
              </w:rPr>
              <w:t>虚假应标的法律责任。</w:t>
            </w:r>
          </w:p>
        </w:tc>
      </w:tr>
    </w:tbl>
    <w:p w14:paraId="7A10A4E2">
      <w:pPr>
        <w:pStyle w:val="13"/>
        <w:rPr>
          <w:rFonts w:hint="eastAsia" w:ascii="宋体" w:hAnsi="宋体" w:eastAsia="宋体" w:cs="宋体"/>
          <w:b/>
          <w:bCs/>
          <w:color w:val="auto"/>
          <w:highlight w:val="none"/>
          <w:u w:val="single"/>
          <w:lang w:val="en-US" w:eastAsia="zh-CN"/>
        </w:rPr>
      </w:pPr>
    </w:p>
    <w:p w14:paraId="1F505443">
      <w:pPr>
        <w:rPr>
          <w:rFonts w:hint="eastAsia" w:ascii="宋体" w:hAnsi="宋体" w:eastAsia="宋体" w:cs="宋体"/>
          <w:b/>
          <w:bCs/>
          <w:color w:val="auto"/>
          <w:highlight w:val="none"/>
          <w:u w:val="single"/>
          <w:lang w:val="en-US" w:eastAsia="zh-CN"/>
        </w:rPr>
      </w:pPr>
    </w:p>
    <w:p w14:paraId="1C16D41A">
      <w:pPr>
        <w:pStyle w:val="13"/>
        <w:rPr>
          <w:rFonts w:hint="eastAsia" w:ascii="宋体" w:hAnsi="宋体" w:eastAsia="宋体" w:cs="宋体"/>
          <w:b/>
          <w:bCs/>
          <w:color w:val="auto"/>
          <w:highlight w:val="none"/>
          <w:u w:val="single"/>
          <w:lang w:val="en-US" w:eastAsia="zh-CN"/>
        </w:rPr>
      </w:pPr>
    </w:p>
    <w:p w14:paraId="208D3730">
      <w:pPr>
        <w:rPr>
          <w:rFonts w:hint="eastAsia" w:ascii="宋体" w:hAnsi="宋体" w:eastAsia="宋体" w:cs="宋体"/>
          <w:b/>
          <w:bCs/>
          <w:color w:val="auto"/>
          <w:highlight w:val="none"/>
          <w:u w:val="single"/>
          <w:lang w:val="en-US" w:eastAsia="zh-CN"/>
        </w:rPr>
      </w:pPr>
    </w:p>
    <w:bookmarkEnd w:id="21"/>
    <w:p w14:paraId="1E8EA0B0">
      <w:pPr>
        <w:spacing w:line="360" w:lineRule="auto"/>
        <w:ind w:firstLine="470" w:firstLineChars="147"/>
        <w:jc w:val="left"/>
        <w:rPr>
          <w:rFonts w:ascii="Arial Unicode MS" w:hAnsi="Arial Unicode MS" w:eastAsia="Arial Unicode MS" w:cs="Arial Unicode MS"/>
          <w:color w:val="auto"/>
          <w:sz w:val="17"/>
          <w:szCs w:val="17"/>
          <w:highlight w:val="none"/>
        </w:rPr>
      </w:pPr>
      <w:bookmarkStart w:id="23" w:name="_Toc16403"/>
      <w:bookmarkStart w:id="24" w:name="_Toc74322011"/>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6A927430">
      <w:pPr>
        <w:spacing w:line="528" w:lineRule="exact"/>
        <w:jc w:val="center"/>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0"/>
        <w:tblW w:w="9220" w:type="dxa"/>
        <w:tblInd w:w="93" w:type="dxa"/>
        <w:tblLayout w:type="autofit"/>
        <w:tblCellMar>
          <w:top w:w="0" w:type="dxa"/>
          <w:left w:w="108" w:type="dxa"/>
          <w:bottom w:w="0" w:type="dxa"/>
          <w:right w:w="108" w:type="dxa"/>
        </w:tblCellMar>
      </w:tblPr>
      <w:tblGrid>
        <w:gridCol w:w="660"/>
        <w:gridCol w:w="1116"/>
        <w:gridCol w:w="1516"/>
        <w:gridCol w:w="1620"/>
        <w:gridCol w:w="4540"/>
      </w:tblGrid>
      <w:tr w14:paraId="2EAA93DD">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ign w:val="top"/>
          </w:tcPr>
          <w:p w14:paraId="792B45DD">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14:paraId="227228CB">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ign w:val="center"/>
          </w:tcPr>
          <w:p w14:paraId="7105AC97">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2BBE330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0E326AE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ign w:val="center"/>
          </w:tcPr>
          <w:p w14:paraId="6469EBC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ign w:val="center"/>
          </w:tcPr>
          <w:p w14:paraId="559601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ign w:val="center"/>
          </w:tcPr>
          <w:p w14:paraId="3C557F9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7734BF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9B367B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55AE666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3B2054CC">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652498F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ign w:val="center"/>
          </w:tcPr>
          <w:p w14:paraId="2E40609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ADDDD4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574EB8F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5BE3D6C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699776FA">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54D78F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ign w:val="center"/>
          </w:tcPr>
          <w:p w14:paraId="7416063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28E4A6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7EAB90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2ED0D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ign w:val="center"/>
          </w:tcPr>
          <w:p w14:paraId="4A78CD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00FDF91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ign w:val="center"/>
          </w:tcPr>
          <w:p w14:paraId="7D319C4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ign w:val="center"/>
          </w:tcPr>
          <w:p w14:paraId="1253B1E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3264FD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170EEAC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083105D6">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BBA29C5">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6714E02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ign w:val="center"/>
          </w:tcPr>
          <w:p w14:paraId="1A9A6DA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D0607A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5116798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1BE6ADB2">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B008AED">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3FE349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ign w:val="center"/>
          </w:tcPr>
          <w:p w14:paraId="2813E68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D03537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1AC321A5">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15692E5A">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858E9A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ign w:val="center"/>
          </w:tcPr>
          <w:p w14:paraId="77FCF6A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ign w:val="center"/>
          </w:tcPr>
          <w:p w14:paraId="05ADF3D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2BC5B28B">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2DC425D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0DBFD622">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17B395F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ign w:val="center"/>
          </w:tcPr>
          <w:p w14:paraId="1CC569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ign w:val="center"/>
          </w:tcPr>
          <w:p w14:paraId="3373E48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2F72002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E0903E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ign w:val="center"/>
          </w:tcPr>
          <w:p w14:paraId="4832B6F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ign w:val="center"/>
          </w:tcPr>
          <w:p w14:paraId="0055E7C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4D9C7A5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06B29A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786E050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8588D9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ign w:val="center"/>
          </w:tcPr>
          <w:p w14:paraId="4EA3770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ign w:val="center"/>
          </w:tcPr>
          <w:p w14:paraId="48CE83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48FDE70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410DE7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868323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4A6307B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ign w:val="center"/>
          </w:tcPr>
          <w:p w14:paraId="781E21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ign w:val="center"/>
          </w:tcPr>
          <w:p w14:paraId="0EE9FFC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ign w:val="center"/>
          </w:tcPr>
          <w:p w14:paraId="1674B15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FDBC29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42A7203D">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3CF3F46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ign w:val="center"/>
          </w:tcPr>
          <w:p w14:paraId="55C79B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750A664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ign w:val="center"/>
          </w:tcPr>
          <w:p w14:paraId="60AEF76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ign w:val="center"/>
          </w:tcPr>
          <w:p w14:paraId="64A63F7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3376D87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6BDCC11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701EE14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31A697E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3946FC9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ign w:val="center"/>
          </w:tcPr>
          <w:p w14:paraId="112BA07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002F9BB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76A8F33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E9392C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7124CA6A">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4DFD22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ign w:val="center"/>
          </w:tcPr>
          <w:p w14:paraId="5CB5D64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1304924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23016D3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7084CBD5">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2DFA035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ign w:val="center"/>
          </w:tcPr>
          <w:p w14:paraId="707B001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ign w:val="center"/>
          </w:tcPr>
          <w:p w14:paraId="04BD370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BEF448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691B5A9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77D64B0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6649705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AEF9CA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ign w:val="center"/>
          </w:tcPr>
          <w:p w14:paraId="15A421F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6EFE1C4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0389CA6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4D6ADC8F">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BF0E7E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ign w:val="center"/>
          </w:tcPr>
          <w:p w14:paraId="447BA6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ign w:val="center"/>
          </w:tcPr>
          <w:p w14:paraId="29422BD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77A73C5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2E7DFF6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1EF5382A">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6BA95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ign w:val="center"/>
          </w:tcPr>
          <w:p w14:paraId="393C7EC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ign w:val="center"/>
          </w:tcPr>
          <w:p w14:paraId="051D936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318ECB0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56EB14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ign w:val="center"/>
          </w:tcPr>
          <w:p w14:paraId="461354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ign w:val="center"/>
          </w:tcPr>
          <w:p w14:paraId="02B54C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20675FA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689ED6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3E9A10C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0CCE92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ign w:val="center"/>
          </w:tcPr>
          <w:p w14:paraId="3E4FBB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ign w:val="center"/>
          </w:tcPr>
          <w:p w14:paraId="1567EE7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ign w:val="center"/>
          </w:tcPr>
          <w:p w14:paraId="7CCD093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415B9E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21E4B69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0D1B6A2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ign w:val="center"/>
          </w:tcPr>
          <w:p w14:paraId="601D94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ign w:val="center"/>
          </w:tcPr>
          <w:p w14:paraId="314A03C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ign w:val="center"/>
          </w:tcPr>
          <w:p w14:paraId="3F30F0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54DCCC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1863682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409E69A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ign w:val="center"/>
          </w:tcPr>
          <w:p w14:paraId="6F5F4DA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ign w:val="center"/>
          </w:tcPr>
          <w:p w14:paraId="759E2C7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ign w:val="center"/>
          </w:tcPr>
          <w:p w14:paraId="14FCFE7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919938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0B758727">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2DADC2D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16050B6A">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5ADB2D2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ign w:val="center"/>
          </w:tcPr>
          <w:p w14:paraId="43A2F8C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ign w:val="center"/>
          </w:tcPr>
          <w:p w14:paraId="348116E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3E8C8AB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0E564FA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1A5BAA62">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7687C73F">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81513C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ign w:val="center"/>
          </w:tcPr>
          <w:p w14:paraId="0806228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DAC3E5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1FBF8BF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57FB3B8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0400F7D9">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4D9FA06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ign w:val="center"/>
          </w:tcPr>
          <w:p w14:paraId="07426E9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380760E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5CAD91D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4BA545B">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1EC2646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ign w:val="center"/>
          </w:tcPr>
          <w:p w14:paraId="505D249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027527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65861D4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74791416">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60C0731D">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24124A9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ign w:val="center"/>
          </w:tcPr>
          <w:p w14:paraId="22C5F7D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ign w:val="center"/>
          </w:tcPr>
          <w:p w14:paraId="6E619F3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32F5E48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2C498B4C">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7A08001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69F327DA">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1D3AC22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ign w:val="center"/>
          </w:tcPr>
          <w:p w14:paraId="1402628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559BB3E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57FC146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61A8E2F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1FC54E9E">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D4B20B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ign w:val="center"/>
          </w:tcPr>
          <w:p w14:paraId="034192E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2ACCF11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6996461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0081D6B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00C12A31">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64A80B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ign w:val="center"/>
          </w:tcPr>
          <w:p w14:paraId="0E1496D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5F70B412">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61AC804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noWrap/>
            <w:vAlign w:val="center"/>
          </w:tcPr>
          <w:p w14:paraId="5355913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noWrap/>
            <w:vAlign w:val="center"/>
          </w:tcPr>
          <w:p w14:paraId="1919336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noWrap/>
            <w:vAlign w:val="center"/>
          </w:tcPr>
          <w:p w14:paraId="66CF48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4069B2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454F9D6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242DC5D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5D32C4E3">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149730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noWrap/>
            <w:vAlign w:val="center"/>
          </w:tcPr>
          <w:p w14:paraId="3BF23E3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E8D455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2997C85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4B79B0F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63D131D0">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606CBA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noWrap/>
            <w:vAlign w:val="center"/>
          </w:tcPr>
          <w:p w14:paraId="02D8591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FCBBAB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7C628897">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4D1C817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0BFBBD7">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563533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noWrap/>
            <w:vAlign w:val="center"/>
          </w:tcPr>
          <w:p w14:paraId="7C2FC65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26AFE8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97A4BDB">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ign w:val="center"/>
          </w:tcPr>
          <w:p w14:paraId="4289B32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noWrap/>
            <w:vAlign w:val="center"/>
          </w:tcPr>
          <w:p w14:paraId="4C552FF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noWrap/>
            <w:vAlign w:val="center"/>
          </w:tcPr>
          <w:p w14:paraId="4CC36C6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noWrap/>
            <w:vAlign w:val="center"/>
          </w:tcPr>
          <w:p w14:paraId="5745887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F3BF85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05BAD20D">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ign w:val="center"/>
          </w:tcPr>
          <w:p w14:paraId="01BDE0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noWrap/>
            <w:vAlign w:val="center"/>
          </w:tcPr>
          <w:p w14:paraId="0DEAA32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noWrap/>
            <w:vAlign w:val="center"/>
          </w:tcPr>
          <w:p w14:paraId="244CD95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noWrap/>
            <w:vAlign w:val="center"/>
          </w:tcPr>
          <w:p w14:paraId="2571923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noWrap/>
            <w:vAlign w:val="center"/>
          </w:tcPr>
          <w:p w14:paraId="6AAD3FB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EFE283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4350014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noWrap/>
            <w:vAlign w:val="center"/>
          </w:tcPr>
          <w:p w14:paraId="39E536C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noWrap/>
            <w:vAlign w:val="center"/>
          </w:tcPr>
          <w:p w14:paraId="3D5E83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noWrap/>
            <w:vAlign w:val="center"/>
          </w:tcPr>
          <w:p w14:paraId="1601817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01F3E4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488A309C">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5EE5CC9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noWrap/>
            <w:vAlign w:val="center"/>
          </w:tcPr>
          <w:p w14:paraId="76C26D8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noWrap/>
            <w:vAlign w:val="center"/>
          </w:tcPr>
          <w:p w14:paraId="5F5CCDC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noWrap/>
            <w:vAlign w:val="center"/>
          </w:tcPr>
          <w:p w14:paraId="5FFCB8B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B4038D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452773B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2A10C08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7392EC52">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2A288AF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noWrap/>
            <w:vAlign w:val="center"/>
          </w:tcPr>
          <w:p w14:paraId="2DB06E6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FAE237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94C4E0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56515BB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36BA2077">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4FF6CEA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noWrap/>
            <w:vAlign w:val="center"/>
          </w:tcPr>
          <w:p w14:paraId="51EC199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7F8AC0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0DC9583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4599F2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ign w:val="center"/>
          </w:tcPr>
          <w:p w14:paraId="3002DF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ign w:val="center"/>
          </w:tcPr>
          <w:p w14:paraId="24184A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56A6F6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27AA67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75DB437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8BEB1F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ign w:val="center"/>
          </w:tcPr>
          <w:p w14:paraId="30E9A21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ign w:val="center"/>
          </w:tcPr>
          <w:p w14:paraId="56EB337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61E6063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3A1AE0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2B948C5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7C647B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ign w:val="center"/>
          </w:tcPr>
          <w:p w14:paraId="02FB267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ign w:val="center"/>
          </w:tcPr>
          <w:p w14:paraId="0239357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227BAC6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5A45AA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1775C097">
      <w:pPr>
        <w:spacing w:after="120" w:line="360" w:lineRule="auto"/>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2A194B23">
      <w:pPr>
        <w:spacing w:line="380" w:lineRule="exact"/>
        <w:rPr>
          <w:rFonts w:hint="eastAsia"/>
          <w:color w:val="auto"/>
          <w:kern w:val="0"/>
          <w:sz w:val="24"/>
          <w:highlight w:val="none"/>
        </w:rPr>
      </w:pPr>
      <w:r>
        <w:rPr>
          <w:rFonts w:hint="eastAsia" w:ascii="宋体" w:hAnsi="Courier New"/>
          <w:color w:val="auto"/>
          <w:kern w:val="0"/>
          <w:sz w:val="20"/>
          <w:szCs w:val="21"/>
          <w:highlight w:val="none"/>
        </w:rPr>
        <w:t>2.以</w:t>
      </w:r>
      <w:r>
        <w:rPr>
          <w:rFonts w:ascii="宋体" w:hAnsi="Courier New"/>
          <w:color w:val="auto"/>
          <w:kern w:val="0"/>
          <w:sz w:val="20"/>
          <w:szCs w:val="21"/>
          <w:highlight w:val="none"/>
        </w:rPr>
        <w:t>“</w:t>
      </w:r>
      <w:r>
        <w:rPr>
          <w:rFonts w:hint="eastAsia" w:ascii="宋体" w:hAnsi="Courier New"/>
          <w:color w:val="auto"/>
          <w:kern w:val="0"/>
          <w:sz w:val="20"/>
          <w:szCs w:val="21"/>
          <w:highlight w:val="none"/>
        </w:rPr>
        <w:t>★</w:t>
      </w:r>
      <w:r>
        <w:rPr>
          <w:rFonts w:ascii="宋体" w:hAnsi="Courier New"/>
          <w:color w:val="auto"/>
          <w:kern w:val="0"/>
          <w:sz w:val="20"/>
          <w:szCs w:val="21"/>
          <w:highlight w:val="none"/>
        </w:rPr>
        <w:t>”</w:t>
      </w:r>
      <w:r>
        <w:rPr>
          <w:rFonts w:hint="eastAsia" w:ascii="宋体" w:hAnsi="Courier New"/>
          <w:color w:val="auto"/>
          <w:kern w:val="0"/>
          <w:sz w:val="20"/>
          <w:szCs w:val="21"/>
          <w:highlight w:val="none"/>
        </w:rPr>
        <w:t>标注的为政府强制采购产品。</w:t>
      </w:r>
    </w:p>
    <w:p w14:paraId="56D6D1A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E7376A6">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第四章  </w:t>
      </w:r>
      <w:bookmarkStart w:id="25" w:name="_Hlk68601507"/>
      <w:r>
        <w:rPr>
          <w:rFonts w:hint="eastAsia" w:ascii="宋体" w:hAnsi="宋体" w:eastAsia="宋体" w:cs="宋体"/>
          <w:b/>
          <w:color w:val="auto"/>
          <w:sz w:val="36"/>
          <w:szCs w:val="36"/>
          <w:highlight w:val="none"/>
        </w:rPr>
        <w:t>评审程序和评定成交的标准</w:t>
      </w:r>
      <w:bookmarkEnd w:id="23"/>
      <w:bookmarkEnd w:id="24"/>
      <w:bookmarkEnd w:id="25"/>
    </w:p>
    <w:p w14:paraId="17EA48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w:t>
      </w:r>
    </w:p>
    <w:p w14:paraId="24F1CFC2">
      <w:pPr>
        <w:spacing w:line="360" w:lineRule="auto"/>
        <w:ind w:firstLine="482" w:firstLineChars="200"/>
        <w:rPr>
          <w:rFonts w:hint="eastAsia" w:ascii="宋体" w:hAnsi="宋体" w:eastAsia="宋体" w:cs="宋体"/>
          <w:b/>
          <w:bCs/>
          <w:color w:val="auto"/>
          <w:sz w:val="24"/>
          <w:highlight w:val="none"/>
        </w:rPr>
      </w:pPr>
    </w:p>
    <w:p w14:paraId="7B3543BF">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1.确认</w:t>
      </w:r>
      <w:r>
        <w:rPr>
          <w:rFonts w:hint="eastAsia" w:ascii="宋体" w:hAnsi="宋体" w:eastAsia="宋体" w:cs="宋体"/>
          <w:b/>
          <w:bCs/>
          <w:color w:val="auto"/>
          <w:sz w:val="24"/>
          <w:highlight w:val="none"/>
          <w:lang w:eastAsia="zh-CN"/>
        </w:rPr>
        <w:t>单一来源采购文件</w:t>
      </w:r>
    </w:p>
    <w:p w14:paraId="4BFB951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确认</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w:t>
      </w:r>
    </w:p>
    <w:p w14:paraId="1B295CD9">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3FD98D8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依法对供应商的资格证明文件进行审查。</w:t>
      </w:r>
    </w:p>
    <w:p w14:paraId="49086E0C">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w:t>
      </w:r>
    </w:p>
    <w:p w14:paraId="7E28BC94">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0E133F7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（3）查询记录和证据留存方式：</w:t>
      </w:r>
      <w:r>
        <w:rPr>
          <w:rFonts w:hint="eastAsia" w:ascii="宋体" w:hAnsi="宋体" w:cs="宋体"/>
          <w:color w:val="auto"/>
          <w:szCs w:val="21"/>
          <w:highlight w:val="none"/>
        </w:rPr>
        <w:t>通过广西政府采购云平台链接到相关查询网站进行查询及记录。</w:t>
      </w:r>
    </w:p>
    <w:p w14:paraId="3D5AD015">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3C0B3D6">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中载明对供应商资格要求的条件。本项目资格审查采用合格制，凡符合</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规定的供应商资格要求的供应商均通过资格审查。</w:t>
      </w:r>
    </w:p>
    <w:p w14:paraId="4A2D467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供应商有下列情形之一的，资格审查不通过，其响应文件按无效响应处理：</w:t>
      </w:r>
    </w:p>
    <w:p w14:paraId="2AECEA38">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中规定的资格要求的；</w:t>
      </w:r>
    </w:p>
    <w:p w14:paraId="47BF9BA2">
      <w:pPr>
        <w:keepNext w:val="0"/>
        <w:keepLines w:val="0"/>
        <w:pageBreakBefore w:val="0"/>
        <w:widowControl w:val="0"/>
        <w:kinsoku/>
        <w:wordWrap/>
        <w:overflowPunct/>
        <w:topLinePunct w:val="0"/>
        <w:autoSpaceDE/>
        <w:autoSpaceDN/>
        <w:bidi w:val="0"/>
        <w:adjustRightInd/>
        <w:spacing w:line="420" w:lineRule="exact"/>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（2）响应文件中的资格证明文件缺少任一项“供应商须知前附表”资格证明文件规定的“必须提供”的文件资料的；</w:t>
      </w:r>
    </w:p>
    <w:p w14:paraId="15D58A0F">
      <w:pPr>
        <w:keepNext w:val="0"/>
        <w:keepLines w:val="0"/>
        <w:pageBreakBefore w:val="0"/>
        <w:widowControl w:val="0"/>
        <w:kinsoku/>
        <w:wordWrap/>
        <w:overflowPunct/>
        <w:topLinePunct w:val="0"/>
        <w:autoSpaceDE/>
        <w:autoSpaceDN/>
        <w:bidi w:val="0"/>
        <w:adjustRightInd/>
        <w:spacing w:line="420" w:lineRule="exact"/>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（3）响应文件中的资格证明文件出现任一项不符合“供应商须知前附表”资格证明文件规定的“必须提供”的文件资料要求或者无效的；</w:t>
      </w:r>
    </w:p>
    <w:p w14:paraId="0488CDD9">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188894E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对资格审查的合格的供应商的响应文件进行报价、商务、技术等实质性要求符合性审查，以确定其是否满足</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的实质性要求。</w:t>
      </w:r>
    </w:p>
    <w:p w14:paraId="0AC68B69">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DBD40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要求供应商澄清、说明或者更正响应文件应当以电子澄清函形式作出。供应商的澄清、说明或者更正应当以电子回函形式按照</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的要求作出明确的澄清、说明或者更正，未按</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的要求作出明确澄清、说明或者更正的供应商的响应文件将按照</w:t>
      </w:r>
      <w:r>
        <w:rPr>
          <w:rFonts w:hint="eastAsia" w:ascii="宋体" w:hAnsi="宋体" w:eastAsia="宋体" w:cs="宋体"/>
          <w:color w:val="auto"/>
          <w:highlight w:val="none"/>
        </w:rPr>
        <w:t>有利于采购人</w:t>
      </w:r>
      <w:r>
        <w:rPr>
          <w:rFonts w:hint="eastAsia" w:ascii="宋体" w:hAnsi="宋体" w:eastAsia="宋体" w:cs="宋体"/>
          <w:color w:val="auto"/>
          <w:szCs w:val="21"/>
          <w:highlight w:val="none"/>
        </w:rPr>
        <w:t>的原则由</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进行判定。供应商的澄清、说明或者更正必须由法定代表人或者其委托代理人签字</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rPr>
        <w:t>签名（含电子签名）或私章、印鉴或者加盖供应商公章。</w:t>
      </w:r>
    </w:p>
    <w:p w14:paraId="2F05E331">
      <w:pPr>
        <w:keepNext w:val="0"/>
        <w:keepLines w:val="0"/>
        <w:pageBreakBefore w:val="0"/>
        <w:widowControl w:val="0"/>
        <w:kinsoku/>
        <w:wordWrap/>
        <w:overflowPunct/>
        <w:topLinePunct w:val="0"/>
        <w:autoSpaceDE/>
        <w:autoSpaceDN/>
        <w:bidi w:val="0"/>
        <w:adjustRightInd/>
        <w:spacing w:line="420" w:lineRule="exact"/>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74CF8DA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2FDC566F">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4AB9A59F">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4FD17E4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E944C82">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79999A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63C9DE15">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在评审时，如发现下列情形之一的，将被视为响应文件无效响应处理：</w:t>
      </w:r>
    </w:p>
    <w:p w14:paraId="155EE84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CB627B9">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要求签署、盖章的；</w:t>
      </w:r>
    </w:p>
    <w:p w14:paraId="20212AE2">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）响应文件中的报价商务技术文件出现任一项不符合“供应商须知前附表”中“必须提供”或者“委托时必须提供”文件资料要求的规定或者提供的报价商务技术文件无效。</w:t>
      </w:r>
    </w:p>
    <w:p w14:paraId="536B78EF">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）商务条款中标“▲”的条款发生负偏离或者允许负偏离的条款数超过“供应商须知前附表”规定项数的；</w:t>
      </w:r>
    </w:p>
    <w:p w14:paraId="31F94E95">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）未对</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有效期作出响应或者响应文件承诺的</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有效期不满足</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要求；</w:t>
      </w:r>
    </w:p>
    <w:p w14:paraId="627BAD00">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）响应文件的实质性内容未使用中文表述、使用计量单位不符合</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要求的；</w:t>
      </w:r>
    </w:p>
    <w:p w14:paraId="2866A99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）响应文件中的文件资料因填写不齐全或者内容虚假或者出现其他情形而导致被</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认定无效的；</w:t>
      </w:r>
    </w:p>
    <w:p w14:paraId="01304B28">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）响应文件含有采购人不能接受的附加条件的；</w:t>
      </w:r>
    </w:p>
    <w:p w14:paraId="1024D185">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）属于“供应商须知正文”第7.5条的情形的；</w:t>
      </w:r>
    </w:p>
    <w:p w14:paraId="0DF0DE41">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）技术要求中标“▲”的条款发生负偏离或允许负偏离的条款数超过“供应商须知前附表”规定项数的；</w:t>
      </w:r>
    </w:p>
    <w:p w14:paraId="65E19D11">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）虚假</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，或者出现其他情形而导致被</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认定无效的；</w:t>
      </w:r>
    </w:p>
    <w:p w14:paraId="23CFD6D1">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bookmarkStart w:id="26" w:name="_Hlk71704147"/>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未载明允许提供备选（替代）</w:t>
      </w:r>
      <w:r>
        <w:rPr>
          <w:rFonts w:hint="eastAsia" w:ascii="宋体" w:hAnsi="宋体" w:eastAsia="宋体" w:cs="宋体"/>
          <w:color w:val="auto"/>
          <w:szCs w:val="21"/>
          <w:highlight w:val="none"/>
          <w:lang w:eastAsia="zh-CN"/>
        </w:rPr>
        <w:t>协商方案</w:t>
      </w:r>
      <w:r>
        <w:rPr>
          <w:rFonts w:hint="eastAsia" w:ascii="宋体" w:hAnsi="宋体" w:eastAsia="宋体" w:cs="宋体"/>
          <w:color w:val="auto"/>
          <w:szCs w:val="21"/>
          <w:highlight w:val="none"/>
        </w:rPr>
        <w:t>或明确不允许提供备选（替代）</w:t>
      </w:r>
      <w:r>
        <w:rPr>
          <w:rFonts w:hint="eastAsia" w:ascii="宋体" w:hAnsi="宋体" w:eastAsia="宋体" w:cs="宋体"/>
          <w:color w:val="auto"/>
          <w:szCs w:val="21"/>
          <w:highlight w:val="none"/>
          <w:lang w:eastAsia="zh-CN"/>
        </w:rPr>
        <w:t>协商方案</w:t>
      </w:r>
      <w:r>
        <w:rPr>
          <w:rFonts w:hint="eastAsia" w:ascii="宋体" w:hAnsi="宋体" w:eastAsia="宋体" w:cs="宋体"/>
          <w:color w:val="auto"/>
          <w:szCs w:val="21"/>
          <w:highlight w:val="none"/>
        </w:rPr>
        <w:t>时，供应商提供了备选（替代）</w:t>
      </w:r>
      <w:r>
        <w:rPr>
          <w:rFonts w:hint="eastAsia" w:ascii="宋体" w:hAnsi="宋体" w:eastAsia="宋体" w:cs="宋体"/>
          <w:color w:val="auto"/>
          <w:szCs w:val="21"/>
          <w:highlight w:val="none"/>
          <w:lang w:eastAsia="zh-CN"/>
        </w:rPr>
        <w:t>协商方案</w:t>
      </w:r>
      <w:r>
        <w:rPr>
          <w:rFonts w:hint="eastAsia" w:ascii="宋体" w:hAnsi="宋体" w:eastAsia="宋体" w:cs="宋体"/>
          <w:color w:val="auto"/>
          <w:szCs w:val="21"/>
          <w:highlight w:val="none"/>
        </w:rPr>
        <w:t>的；</w:t>
      </w:r>
      <w:bookmarkEnd w:id="26"/>
    </w:p>
    <w:p w14:paraId="51C982B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）响应文件标注的项目名称或者项目编号与</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标注的项目名称或者项目编号不一致的；</w:t>
      </w:r>
    </w:p>
    <w:p w14:paraId="49E74ACA">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b w:val="0"/>
          <w:bCs/>
          <w:color w:val="auto"/>
          <w:szCs w:val="21"/>
          <w:highlight w:val="none"/>
          <w:lang w:eastAsia="zh-CN"/>
        </w:rPr>
        <w:t>单一来源采购文件</w:t>
      </w:r>
      <w:r>
        <w:rPr>
          <w:rFonts w:hint="eastAsia" w:ascii="宋体" w:hAnsi="宋体" w:eastAsia="宋体" w:cs="宋体"/>
          <w:b w:val="0"/>
          <w:bCs/>
          <w:color w:val="auto"/>
          <w:szCs w:val="21"/>
          <w:highlight w:val="none"/>
        </w:rPr>
        <w:t>明确不允许分包，响应文件拟分包的；</w:t>
      </w:r>
    </w:p>
    <w:p w14:paraId="541D033D">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）未响应</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实质性要求；</w:t>
      </w:r>
    </w:p>
    <w:p w14:paraId="68DC6441">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）法律、法规和</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规定的其他无效情形。</w:t>
      </w:r>
    </w:p>
    <w:p w14:paraId="061D118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233AC99C">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1）响应文件未提供“供应商须知前附表”报价商务技术文件中规定的“</w:t>
      </w:r>
      <w:r>
        <w:rPr>
          <w:rFonts w:hint="eastAsia" w:ascii="宋体" w:hAnsi="宋体" w:eastAsia="宋体" w:cs="宋体"/>
          <w:color w:val="auto"/>
          <w:szCs w:val="21"/>
          <w:highlight w:val="none"/>
          <w:lang w:eastAsia="zh-CN"/>
        </w:rPr>
        <w:t>协商报价表</w:t>
      </w:r>
      <w:r>
        <w:rPr>
          <w:rFonts w:hint="eastAsia" w:ascii="宋体" w:hAnsi="宋体" w:eastAsia="宋体" w:cs="宋体"/>
          <w:color w:val="auto"/>
          <w:szCs w:val="21"/>
          <w:highlight w:val="none"/>
        </w:rPr>
        <w:t>”的；</w:t>
      </w:r>
    </w:p>
    <w:p w14:paraId="0C4CB54A">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标明的币种报价的；</w:t>
      </w:r>
    </w:p>
    <w:p w14:paraId="24BD1914">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w:t>
      </w:r>
      <w:r>
        <w:rPr>
          <w:rFonts w:hint="eastAsia" w:ascii="宋体" w:hAnsi="宋体" w:eastAsia="宋体" w:cs="宋体"/>
          <w:color w:val="auto"/>
          <w:szCs w:val="21"/>
          <w:highlight w:val="none"/>
          <w:lang w:eastAsia="zh-CN"/>
        </w:rPr>
        <w:t>协商</w:t>
      </w:r>
      <w:r>
        <w:rPr>
          <w:rFonts w:hint="eastAsia" w:ascii="宋体" w:hAnsi="宋体" w:cs="宋体"/>
          <w:color w:val="auto"/>
          <w:szCs w:val="21"/>
          <w:highlight w:val="none"/>
          <w:lang w:val="en-US" w:eastAsia="zh-CN"/>
        </w:rPr>
        <w:t>的内容</w:t>
      </w:r>
      <w:r>
        <w:rPr>
          <w:rFonts w:hint="eastAsia" w:ascii="宋体" w:hAnsi="宋体" w:eastAsia="宋体" w:cs="宋体"/>
          <w:color w:val="auto"/>
          <w:szCs w:val="21"/>
          <w:highlight w:val="none"/>
        </w:rPr>
        <w:t>进行报价或者存在漏项报价的；供应商未就所</w:t>
      </w:r>
      <w:r>
        <w:rPr>
          <w:rFonts w:hint="eastAsia" w:ascii="宋体" w:hAnsi="宋体" w:eastAsia="宋体" w:cs="宋体"/>
          <w:color w:val="auto"/>
          <w:szCs w:val="21"/>
          <w:highlight w:val="none"/>
          <w:lang w:eastAsia="zh-CN"/>
        </w:rPr>
        <w:t>协商</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内容作唯一报价的；供应商未就所</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的全部内容作完整唯一总价报价的；供应商响应文件中存在有选择、有条件报价的（</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允许有备选方案或者其他约定的除外）；</w:t>
      </w:r>
    </w:p>
    <w:p w14:paraId="3B64E2B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4）报价超过所</w:t>
      </w:r>
      <w:r>
        <w:rPr>
          <w:rFonts w:hint="eastAsia" w:ascii="宋体" w:hAnsi="宋体" w:eastAsia="宋体" w:cs="宋体"/>
          <w:color w:val="auto"/>
          <w:szCs w:val="21"/>
          <w:highlight w:val="none"/>
          <w:lang w:eastAsia="zh-CN"/>
        </w:rPr>
        <w:t>协商</w:t>
      </w:r>
      <w:r>
        <w:rPr>
          <w:rFonts w:hint="eastAsia" w:ascii="宋体" w:hAnsi="宋体" w:cs="宋体"/>
          <w:color w:val="auto"/>
          <w:szCs w:val="21"/>
          <w:highlight w:val="none"/>
          <w:lang w:val="en-US" w:eastAsia="zh-CN"/>
        </w:rPr>
        <w:t>全部内容</w:t>
      </w:r>
      <w:r>
        <w:rPr>
          <w:rFonts w:hint="eastAsia" w:ascii="宋体" w:hAnsi="宋体" w:eastAsia="宋体" w:cs="宋体"/>
          <w:color w:val="auto"/>
          <w:szCs w:val="21"/>
          <w:highlight w:val="none"/>
        </w:rPr>
        <w:t xml:space="preserve">规定的采购预算金额或者最高限价的（如本项目公布了最高限价）； </w:t>
      </w:r>
    </w:p>
    <w:p w14:paraId="01022DDA">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5）修正后的报价，供应商不确认的；或者经供应商确认修正后的报价超过所</w:t>
      </w:r>
      <w:r>
        <w:rPr>
          <w:rFonts w:hint="eastAsia" w:ascii="宋体" w:hAnsi="宋体" w:eastAsia="宋体" w:cs="宋体"/>
          <w:color w:val="auto"/>
          <w:szCs w:val="21"/>
          <w:highlight w:val="none"/>
          <w:lang w:eastAsia="zh-CN"/>
        </w:rPr>
        <w:t>协商</w:t>
      </w:r>
      <w:r>
        <w:rPr>
          <w:rFonts w:hint="eastAsia" w:ascii="宋体" w:hAnsi="宋体" w:cs="宋体"/>
          <w:color w:val="auto"/>
          <w:szCs w:val="21"/>
          <w:highlight w:val="none"/>
          <w:lang w:val="en-US" w:eastAsia="zh-CN"/>
        </w:rPr>
        <w:t>的全部内容</w:t>
      </w:r>
      <w:r>
        <w:rPr>
          <w:rFonts w:hint="eastAsia" w:ascii="宋体" w:hAnsi="宋体" w:eastAsia="宋体" w:cs="宋体"/>
          <w:color w:val="auto"/>
          <w:szCs w:val="21"/>
          <w:highlight w:val="none"/>
        </w:rPr>
        <w:t>规定的采购预算金额或者最高限价（如本项目公布了最高限价）；</w:t>
      </w:r>
    </w:p>
    <w:p w14:paraId="635F12B2">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w:t>
      </w:r>
      <w:r>
        <w:rPr>
          <w:rFonts w:hint="eastAsia" w:ascii="宋体" w:hAnsi="宋体" w:eastAsia="宋体" w:cs="宋体"/>
          <w:color w:val="auto"/>
          <w:szCs w:val="21"/>
          <w:highlight w:val="none"/>
          <w:lang w:eastAsia="zh-CN"/>
        </w:rPr>
        <w:t>协商</w:t>
      </w:r>
      <w:r>
        <w:rPr>
          <w:rFonts w:hint="eastAsia" w:ascii="宋体" w:hAnsi="宋体" w:eastAsia="宋体" w:cs="宋体"/>
          <w:color w:val="auto"/>
          <w:szCs w:val="21"/>
          <w:highlight w:val="none"/>
        </w:rPr>
        <w:t>采购文件要求实质性不一致的。</w:t>
      </w:r>
    </w:p>
    <w:p w14:paraId="5F95631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对响应文件进行评审，未实质性响应</w:t>
      </w:r>
      <w:r>
        <w:rPr>
          <w:rFonts w:hint="eastAsia" w:ascii="宋体" w:hAnsi="宋体" w:eastAsia="宋体" w:cs="宋体"/>
          <w:color w:val="auto"/>
          <w:szCs w:val="21"/>
          <w:highlight w:val="none"/>
          <w:lang w:eastAsia="zh-CN"/>
        </w:rPr>
        <w:t>单一来源采购文件</w:t>
      </w:r>
      <w:r>
        <w:rPr>
          <w:rFonts w:hint="eastAsia" w:ascii="宋体" w:hAnsi="宋体" w:eastAsia="宋体" w:cs="宋体"/>
          <w:color w:val="auto"/>
          <w:szCs w:val="21"/>
          <w:highlight w:val="none"/>
        </w:rPr>
        <w:t>的响应文件按无效响应处理。</w:t>
      </w:r>
      <w:r>
        <w:rPr>
          <w:rFonts w:hint="eastAsia" w:ascii="宋体" w:hAnsi="宋体" w:eastAsia="宋体" w:cs="宋体"/>
          <w:color w:val="auto"/>
          <w:szCs w:val="21"/>
          <w:highlight w:val="none"/>
          <w:lang w:eastAsia="zh-CN"/>
        </w:rPr>
        <w:t>协商小组</w:t>
      </w:r>
      <w:r>
        <w:rPr>
          <w:rFonts w:hint="eastAsia" w:ascii="宋体" w:hAnsi="宋体" w:eastAsia="宋体" w:cs="宋体"/>
          <w:color w:val="auto"/>
          <w:szCs w:val="21"/>
          <w:highlight w:val="none"/>
        </w:rPr>
        <w:t>应当将资格和符合性不通过的情况告知供应商。</w:t>
      </w:r>
    </w:p>
    <w:p w14:paraId="325DC058">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r>
        <w:rPr>
          <w:rFonts w:hint="eastAsia" w:ascii="宋体" w:hAnsi="宋体" w:eastAsia="宋体" w:cs="宋体"/>
          <w:b/>
          <w:bCs/>
          <w:color w:val="auto"/>
          <w:sz w:val="24"/>
          <w:highlight w:val="none"/>
          <w:lang w:eastAsia="zh-CN"/>
        </w:rPr>
        <w:t>协商</w:t>
      </w:r>
      <w:r>
        <w:rPr>
          <w:rFonts w:hint="eastAsia" w:ascii="宋体" w:hAnsi="宋体" w:eastAsia="宋体" w:cs="宋体"/>
          <w:b/>
          <w:bCs/>
          <w:color w:val="auto"/>
          <w:sz w:val="24"/>
          <w:highlight w:val="none"/>
        </w:rPr>
        <w:t>程序</w:t>
      </w:r>
    </w:p>
    <w:p w14:paraId="1A81B2F5">
      <w:pPr>
        <w:pStyle w:val="12"/>
        <w:spacing w:line="400" w:lineRule="exact"/>
        <w:ind w:firstLine="420" w:firstLineChars="200"/>
        <w:rPr>
          <w:color w:val="auto"/>
          <w:highlight w:val="none"/>
        </w:rPr>
      </w:pPr>
      <w:r>
        <w:rPr>
          <w:rFonts w:hint="eastAsia"/>
          <w:color w:val="auto"/>
          <w:highlight w:val="none"/>
          <w:lang w:val="en-US" w:eastAsia="zh-CN"/>
        </w:rPr>
        <w:t>4.1</w:t>
      </w:r>
      <w:r>
        <w:rPr>
          <w:color w:val="auto"/>
          <w:highlight w:val="none"/>
        </w:rPr>
        <w:t xml:space="preserve">在协商开始前，协商小组定好下列事项：协商的具体程序，如协商轮次及每个轮次的协商重点；拟协商的内容，包括技术规格、价格、服务等，明确协商小组应当考虑的具体因素及相关要求等。 </w:t>
      </w:r>
      <w:r>
        <w:rPr>
          <w:color w:val="auto"/>
          <w:highlight w:val="none"/>
        </w:rPr>
        <w:br w:type="textWrapping"/>
      </w:r>
      <w:r>
        <w:rPr>
          <w:color w:val="auto"/>
          <w:highlight w:val="none"/>
        </w:rPr>
        <w:t xml:space="preserve">    </w:t>
      </w:r>
      <w:r>
        <w:rPr>
          <w:rFonts w:hint="eastAsia"/>
          <w:color w:val="auto"/>
          <w:highlight w:val="none"/>
          <w:lang w:val="en-US" w:eastAsia="zh-CN"/>
        </w:rPr>
        <w:t>4.2</w:t>
      </w:r>
      <w:r>
        <w:rPr>
          <w:color w:val="auto"/>
          <w:highlight w:val="none"/>
        </w:rPr>
        <w:t>协商原则如下：</w:t>
      </w:r>
    </w:p>
    <w:p w14:paraId="46A059FE">
      <w:pPr>
        <w:pStyle w:val="12"/>
        <w:spacing w:line="40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供应商可由1～3人参加协商，协商中供应商成员之间意见不一致时，以供应商的法定代表人（或其委托代理人）的意见为准。供应商的法定代表人或其授权的受托人必须在设备前等候参加协商。</w:t>
      </w:r>
    </w:p>
    <w:p w14:paraId="343BA8AE">
      <w:pPr>
        <w:pStyle w:val="12"/>
        <w:spacing w:line="40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协商小组成员作为一个集体与供应商进行协商，协商的内容包括技术性条件、商务性条件以及协商小组认为需要协商的内容。当单一来源采购文件有实质性变动的，协商小组通知参加协商的供应商。</w:t>
      </w:r>
    </w:p>
    <w:p w14:paraId="36DEAA62">
      <w:pPr>
        <w:pStyle w:val="12"/>
        <w:spacing w:line="40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协商内容应作记录，并由供应商及协商小组成员签字确认。</w:t>
      </w:r>
    </w:p>
    <w:p w14:paraId="5E2A1424">
      <w:pPr>
        <w:pStyle w:val="12"/>
        <w:spacing w:line="40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color w:val="auto"/>
          <w:highlight w:val="none"/>
        </w:rPr>
        <w:t>协商结束后，协商小组应要求供应商在规定的时间、地点递交协商时要求其就商务和技术条件作出的包含补充、修改、承诺、重新报价等内容的应答文件，应答文件必须由供应商的法定代表人或委托代理人签名或盖公章，应答文件构成响应文件的一部分。</w:t>
      </w:r>
    </w:p>
    <w:p w14:paraId="16867731">
      <w:pPr>
        <w:pStyle w:val="12"/>
        <w:spacing w:line="400" w:lineRule="exact"/>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color w:val="auto"/>
          <w:highlight w:val="none"/>
        </w:rPr>
        <w:t>协商小组对供应商递交的应答文件开启，并进行评审后，认为有必要再次进行协商的，可再次与供应商进行协商。对最后一轮协商，协商小组应明确告知供应商，并要求供应商在规定的时间、地点递交最终的应答文件。</w:t>
      </w:r>
    </w:p>
    <w:p w14:paraId="34957A11">
      <w:pPr>
        <w:pStyle w:val="12"/>
        <w:spacing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最终</w:t>
      </w:r>
      <w:r>
        <w:rPr>
          <w:rFonts w:hint="eastAsia"/>
          <w:color w:val="auto"/>
          <w:highlight w:val="none"/>
          <w:lang w:eastAsia="zh-CN"/>
        </w:rPr>
        <w:t>协商</w:t>
      </w:r>
      <w:r>
        <w:rPr>
          <w:rFonts w:hint="eastAsia"/>
          <w:color w:val="auto"/>
          <w:highlight w:val="none"/>
        </w:rPr>
        <w:t>结束后，协商小组不得再与供应商进行任何形式的商谈。</w:t>
      </w:r>
    </w:p>
    <w:p w14:paraId="497E115F">
      <w:pPr>
        <w:pStyle w:val="12"/>
        <w:spacing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协商小组应当编写协商情况记录，协商情况记录应当由协商小组全体签字认可。对记录有异议的</w:t>
      </w:r>
    </w:p>
    <w:p w14:paraId="5BBFBD45">
      <w:pPr>
        <w:pStyle w:val="12"/>
        <w:spacing w:line="400" w:lineRule="exact"/>
        <w:rPr>
          <w:rFonts w:hint="eastAsia"/>
          <w:color w:val="auto"/>
          <w:highlight w:val="none"/>
        </w:rPr>
      </w:pPr>
      <w:r>
        <w:rPr>
          <w:rFonts w:hint="eastAsia"/>
          <w:color w:val="auto"/>
          <w:highlight w:val="none"/>
        </w:rPr>
        <w:t>协商小组</w:t>
      </w:r>
      <w:r>
        <w:rPr>
          <w:rFonts w:hint="eastAsia"/>
          <w:color w:val="auto"/>
          <w:highlight w:val="none"/>
          <w:lang w:eastAsia="zh-CN"/>
        </w:rPr>
        <w:t>成员</w:t>
      </w:r>
      <w:r>
        <w:rPr>
          <w:rFonts w:hint="eastAsia"/>
          <w:color w:val="auto"/>
          <w:highlight w:val="none"/>
        </w:rPr>
        <w:t>，应当签署不同意见并说明理由。协商小组</w:t>
      </w:r>
      <w:r>
        <w:rPr>
          <w:rFonts w:hint="eastAsia"/>
          <w:color w:val="auto"/>
          <w:highlight w:val="none"/>
          <w:lang w:eastAsia="zh-CN"/>
        </w:rPr>
        <w:t>成员</w:t>
      </w:r>
      <w:r>
        <w:rPr>
          <w:rFonts w:hint="eastAsia"/>
          <w:color w:val="auto"/>
          <w:highlight w:val="none"/>
        </w:rPr>
        <w:t>拒绝在记录上签字又不书面说明其不同意见和理由的，视为同意。</w:t>
      </w:r>
    </w:p>
    <w:p w14:paraId="0D9D517A">
      <w:pPr>
        <w:pStyle w:val="12"/>
        <w:spacing w:line="400" w:lineRule="exact"/>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）协商</w:t>
      </w:r>
      <w:r>
        <w:rPr>
          <w:rFonts w:hint="eastAsia"/>
          <w:color w:val="auto"/>
          <w:highlight w:val="none"/>
        </w:rPr>
        <w:t>的任何一方不得透露与商定有关的信息。</w:t>
      </w:r>
    </w:p>
    <w:p w14:paraId="16804665">
      <w:pPr>
        <w:pStyle w:val="12"/>
        <w:spacing w:line="400" w:lineRule="exact"/>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供应商未在协商小组规定时间内作出澄清或说明的，作主动弃权处理，一切后果由供应商承担</w:t>
      </w:r>
      <w:r>
        <w:rPr>
          <w:rFonts w:hint="eastAsia"/>
          <w:color w:val="auto"/>
          <w:highlight w:val="none"/>
          <w:lang w:eastAsia="zh-CN"/>
        </w:rPr>
        <w:t>。</w:t>
      </w:r>
    </w:p>
    <w:p w14:paraId="18B954A4">
      <w:pPr>
        <w:spacing w:line="360" w:lineRule="auto"/>
        <w:ind w:firstLine="472" w:firstLineChars="196"/>
        <w:rPr>
          <w:rFonts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政府采购政策性扣除</w:t>
      </w:r>
    </w:p>
    <w:p w14:paraId="719AAD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.1</w:t>
      </w:r>
      <w:r>
        <w:rPr>
          <w:rFonts w:hint="eastAsia" w:ascii="宋体" w:hAnsi="宋体" w:cs="宋体"/>
          <w:color w:val="auto"/>
          <w:szCs w:val="21"/>
          <w:highlight w:val="none"/>
        </w:rPr>
        <w:t>评标价为供应商的报价进行政策性扣除后的价格，评标价只是作为评审时使用。最终成交供应商的成交金额等于</w:t>
      </w:r>
      <w:r>
        <w:rPr>
          <w:rFonts w:hint="eastAsia" w:ascii="宋体" w:hAnsi="宋体" w:cs="宋体"/>
          <w:color w:val="auto"/>
          <w:szCs w:val="21"/>
          <w:highlight w:val="none"/>
          <w:lang w:eastAsia="zh-CN"/>
        </w:rPr>
        <w:t>其</w:t>
      </w:r>
      <w:r>
        <w:rPr>
          <w:rFonts w:hint="eastAsia" w:ascii="宋体" w:hAnsi="宋体" w:cs="宋体"/>
          <w:color w:val="auto"/>
          <w:szCs w:val="21"/>
          <w:highlight w:val="none"/>
        </w:rPr>
        <w:t>报价（如有修正，以确认修正后的最后报价为准）。</w:t>
      </w:r>
    </w:p>
    <w:p w14:paraId="2CF7FD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.2</w:t>
      </w:r>
      <w:r>
        <w:rPr>
          <w:rFonts w:hint="eastAsia" w:ascii="宋体" w:hAnsi="宋体" w:cs="宋体"/>
          <w:color w:val="auto"/>
          <w:szCs w:val="21"/>
          <w:highlight w:val="none"/>
        </w:rPr>
        <w:t>政策性扣除计算方法。</w:t>
      </w:r>
    </w:p>
    <w:p w14:paraId="1DEDCA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根据《政府采购促进中小企业发展管理办法》及</w:t>
      </w:r>
      <w:r>
        <w:rPr>
          <w:rFonts w:hint="eastAsia" w:ascii="宋体" w:hAnsi="宋体"/>
          <w:color w:val="auto"/>
          <w:szCs w:val="21"/>
          <w:highlight w:val="none"/>
        </w:rPr>
        <w:t>《关于进一步加大政府采购支持中小企业力度的通知》（财库〔2022〕19号）</w:t>
      </w:r>
      <w:r>
        <w:rPr>
          <w:rFonts w:hint="eastAsia" w:ascii="宋体" w:hAnsi="宋体" w:cs="宋体"/>
          <w:color w:val="auto"/>
          <w:szCs w:val="21"/>
          <w:highlight w:val="none"/>
        </w:rPr>
        <w:t>的规定，供应商属于《政府采购促进中小企业发展管理办法》规定的小微企业的，对</w:t>
      </w:r>
      <w:r>
        <w:rPr>
          <w:rFonts w:hint="eastAsia" w:ascii="宋体" w:hAnsi="宋体" w:cs="宋体"/>
          <w:color w:val="auto"/>
          <w:szCs w:val="21"/>
          <w:highlight w:val="none"/>
          <w:lang w:eastAsia="zh-CN"/>
        </w:rPr>
        <w:t>协商</w:t>
      </w:r>
      <w:r>
        <w:rPr>
          <w:rFonts w:hint="eastAsia" w:ascii="宋体" w:hAnsi="宋体" w:cs="宋体"/>
          <w:color w:val="auto"/>
          <w:szCs w:val="21"/>
          <w:highlight w:val="none"/>
        </w:rPr>
        <w:t>报价给予20%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w:t>
      </w:r>
      <w:r>
        <w:rPr>
          <w:rFonts w:hint="eastAsia" w:ascii="宋体" w:hAnsi="宋体" w:cs="宋体"/>
          <w:color w:val="auto"/>
          <w:szCs w:val="21"/>
          <w:highlight w:val="none"/>
          <w:lang w:eastAsia="zh-CN"/>
        </w:rPr>
        <w:t>协商</w:t>
      </w:r>
      <w:r>
        <w:rPr>
          <w:rFonts w:hint="eastAsia" w:ascii="宋体" w:hAnsi="宋体" w:cs="宋体"/>
          <w:color w:val="auto"/>
          <w:szCs w:val="21"/>
          <w:highlight w:val="none"/>
        </w:rPr>
        <w:t>报价×（1 - 扣除比例）。</w:t>
      </w:r>
    </w:p>
    <w:p w14:paraId="6FC48E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251167C">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6EB0CE0">
      <w:pPr>
        <w:ind w:firstLine="420" w:firstLineChars="200"/>
        <w:rPr>
          <w:rFonts w:hint="eastAsia"/>
          <w:color w:val="auto"/>
          <w:highlight w:val="none"/>
          <w:lang w:eastAsia="zh-CN"/>
        </w:rPr>
      </w:pPr>
      <w:r>
        <w:rPr>
          <w:rFonts w:hint="eastAsia" w:ascii="宋体" w:hAnsi="宋体" w:cs="宋体"/>
          <w:color w:val="auto"/>
          <w:highlight w:val="none"/>
          <w:lang w:val="en-US" w:eastAsia="zh-CN"/>
        </w:rPr>
        <w:t>5</w:t>
      </w:r>
      <w:r>
        <w:rPr>
          <w:rFonts w:ascii="宋体" w:hAnsi="宋体" w:cs="宋体"/>
          <w:color w:val="auto"/>
          <w:highlight w:val="none"/>
        </w:rPr>
        <w:t>.5</w:t>
      </w:r>
      <w:r>
        <w:rPr>
          <w:rFonts w:hint="eastAsia" w:ascii="宋体" w:hAnsi="宋体" w:cs="宋体"/>
          <w:color w:val="auto"/>
          <w:highlight w:val="none"/>
        </w:rPr>
        <w:t>除上述情况外，评标价＝</w:t>
      </w:r>
      <w:r>
        <w:rPr>
          <w:rFonts w:hint="eastAsia" w:ascii="宋体" w:hAnsi="宋体" w:cs="宋体"/>
          <w:color w:val="auto"/>
          <w:highlight w:val="none"/>
          <w:lang w:eastAsia="zh-CN"/>
        </w:rPr>
        <w:t>协商</w:t>
      </w:r>
      <w:r>
        <w:rPr>
          <w:rFonts w:hint="eastAsia" w:ascii="宋体" w:hAnsi="宋体" w:cs="宋体"/>
          <w:color w:val="auto"/>
          <w:highlight w:val="none"/>
        </w:rPr>
        <w:t>报价。</w:t>
      </w:r>
    </w:p>
    <w:p w14:paraId="5F34EA30">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sz w:val="32"/>
          <w:szCs w:val="32"/>
          <w:highlight w:val="none"/>
        </w:rPr>
      </w:pPr>
    </w:p>
    <w:p w14:paraId="22059EEA">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二、评定成交的标准</w:t>
      </w:r>
    </w:p>
    <w:p w14:paraId="5F53039B">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 成交候选人推荐原则</w:t>
      </w:r>
    </w:p>
    <w:p w14:paraId="399D99D3">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评审小组以单一来源采购文件为依据，对单一来源</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进行评审，并在遵循《中华人民共和国政府采购法》所规定原则的前提下，在保证采购项目质量且</w:t>
      </w:r>
      <w:r>
        <w:rPr>
          <w:rFonts w:hint="eastAsia" w:ascii="宋体" w:hAnsi="宋体" w:cs="宋体"/>
          <w:color w:val="auto"/>
          <w:kern w:val="0"/>
          <w:szCs w:val="21"/>
          <w:highlight w:val="none"/>
          <w:lang w:eastAsia="zh-CN"/>
        </w:rPr>
        <w:t>协商</w:t>
      </w:r>
      <w:r>
        <w:rPr>
          <w:rFonts w:hint="eastAsia" w:ascii="宋体" w:hAnsi="宋体" w:eastAsia="宋体" w:cs="宋体"/>
          <w:color w:val="auto"/>
          <w:kern w:val="0"/>
          <w:szCs w:val="21"/>
          <w:highlight w:val="none"/>
        </w:rPr>
        <w:t>报价合理的基础上确定成交候选人</w:t>
      </w:r>
      <w:r>
        <w:rPr>
          <w:rFonts w:hint="eastAsia" w:ascii="宋体" w:hAnsi="宋体" w:eastAsia="宋体" w:cs="宋体"/>
          <w:color w:val="auto"/>
          <w:highlight w:val="none"/>
        </w:rPr>
        <w:t>,并编写评审报告。</w:t>
      </w:r>
    </w:p>
    <w:p w14:paraId="15C43DC8">
      <w:pPr>
        <w:pStyle w:val="12"/>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b/>
          <w:color w:val="auto"/>
          <w:sz w:val="36"/>
          <w:szCs w:val="36"/>
          <w:highlight w:val="none"/>
          <w:lang w:eastAsia="zh-CN"/>
        </w:rPr>
      </w:pPr>
    </w:p>
    <w:p w14:paraId="7AB9787D">
      <w:pPr>
        <w:pStyle w:val="12"/>
        <w:spacing w:line="500" w:lineRule="exact"/>
        <w:jc w:val="center"/>
        <w:rPr>
          <w:rFonts w:hint="eastAsia" w:ascii="宋体" w:hAnsi="宋体" w:eastAsia="宋体" w:cs="宋体"/>
          <w:b/>
          <w:color w:val="auto"/>
          <w:sz w:val="36"/>
          <w:szCs w:val="36"/>
          <w:highlight w:val="none"/>
          <w:lang w:eastAsia="zh-CN"/>
        </w:rPr>
      </w:pPr>
    </w:p>
    <w:p w14:paraId="0916488C">
      <w:pPr>
        <w:pStyle w:val="12"/>
        <w:spacing w:line="500" w:lineRule="exact"/>
        <w:jc w:val="center"/>
        <w:rPr>
          <w:rFonts w:hint="eastAsia" w:ascii="宋体" w:hAnsi="宋体" w:eastAsia="宋体" w:cs="宋体"/>
          <w:b/>
          <w:color w:val="auto"/>
          <w:sz w:val="36"/>
          <w:szCs w:val="36"/>
          <w:highlight w:val="none"/>
          <w:lang w:eastAsia="zh-CN"/>
        </w:rPr>
      </w:pPr>
    </w:p>
    <w:p w14:paraId="2F7DECC8">
      <w:pPr>
        <w:pStyle w:val="12"/>
        <w:spacing w:line="500" w:lineRule="exact"/>
        <w:jc w:val="center"/>
        <w:rPr>
          <w:rFonts w:hint="eastAsia" w:ascii="宋体" w:hAnsi="宋体" w:eastAsia="宋体" w:cs="宋体"/>
          <w:b/>
          <w:color w:val="auto"/>
          <w:sz w:val="36"/>
          <w:szCs w:val="36"/>
          <w:highlight w:val="none"/>
          <w:lang w:eastAsia="zh-CN"/>
        </w:rPr>
      </w:pPr>
    </w:p>
    <w:p w14:paraId="5BF1C64C">
      <w:pPr>
        <w:pStyle w:val="12"/>
        <w:spacing w:line="500" w:lineRule="exact"/>
        <w:jc w:val="center"/>
        <w:rPr>
          <w:rFonts w:hint="eastAsia" w:ascii="宋体" w:hAnsi="宋体" w:eastAsia="宋体" w:cs="宋体"/>
          <w:b/>
          <w:color w:val="auto"/>
          <w:sz w:val="36"/>
          <w:szCs w:val="36"/>
          <w:highlight w:val="none"/>
          <w:lang w:eastAsia="zh-CN"/>
        </w:rPr>
      </w:pPr>
    </w:p>
    <w:p w14:paraId="24A6A6B5">
      <w:pPr>
        <w:pStyle w:val="12"/>
        <w:spacing w:line="500" w:lineRule="exact"/>
        <w:jc w:val="center"/>
        <w:rPr>
          <w:rFonts w:hint="eastAsia" w:ascii="宋体" w:hAnsi="宋体" w:eastAsia="宋体" w:cs="宋体"/>
          <w:b/>
          <w:color w:val="auto"/>
          <w:sz w:val="36"/>
          <w:szCs w:val="36"/>
          <w:highlight w:val="none"/>
          <w:lang w:eastAsia="zh-CN"/>
        </w:rPr>
      </w:pPr>
    </w:p>
    <w:p w14:paraId="2CC54605">
      <w:pPr>
        <w:rPr>
          <w:rFonts w:hint="eastAsia" w:ascii="宋体" w:hAnsi="宋体" w:eastAsia="宋体" w:cs="宋体"/>
          <w:b/>
          <w:color w:val="auto"/>
          <w:sz w:val="36"/>
          <w:szCs w:val="36"/>
          <w:highlight w:val="none"/>
        </w:rPr>
      </w:pPr>
      <w:bookmarkStart w:id="27" w:name="_Toc26950"/>
      <w:bookmarkStart w:id="28" w:name="_Toc74322012"/>
      <w:r>
        <w:rPr>
          <w:rFonts w:hint="eastAsia" w:ascii="宋体" w:hAnsi="宋体" w:eastAsia="宋体" w:cs="宋体"/>
          <w:b/>
          <w:color w:val="auto"/>
          <w:sz w:val="36"/>
          <w:szCs w:val="36"/>
          <w:highlight w:val="none"/>
        </w:rPr>
        <w:br w:type="page"/>
      </w:r>
    </w:p>
    <w:p w14:paraId="7D775D59">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w:t>
      </w:r>
      <w:r>
        <w:rPr>
          <w:rFonts w:hint="eastAsia"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响应文件格式</w:t>
      </w:r>
      <w:bookmarkEnd w:id="27"/>
      <w:bookmarkEnd w:id="28"/>
    </w:p>
    <w:p w14:paraId="22764C2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b/>
          <w:color w:val="auto"/>
          <w:sz w:val="32"/>
          <w:szCs w:val="32"/>
          <w:highlight w:val="none"/>
        </w:rPr>
      </w:pPr>
      <w:bookmarkStart w:id="29" w:name="_Toc71365382"/>
      <w:bookmarkStart w:id="30" w:name="_Toc71366060"/>
      <w:r>
        <w:rPr>
          <w:rFonts w:hint="eastAsia" w:ascii="宋体" w:hAnsi="宋体" w:eastAsia="宋体" w:cs="宋体"/>
          <w:b/>
          <w:color w:val="auto"/>
          <w:sz w:val="32"/>
          <w:szCs w:val="32"/>
          <w:highlight w:val="none"/>
        </w:rPr>
        <w:t>一、资格证明文件格式</w:t>
      </w:r>
      <w:bookmarkEnd w:id="29"/>
      <w:bookmarkEnd w:id="30"/>
    </w:p>
    <w:p w14:paraId="5CE433D6">
      <w:pPr>
        <w:keepNext w:val="0"/>
        <w:keepLines w:val="0"/>
        <w:pageBreakBefore w:val="0"/>
        <w:widowControl w:val="0"/>
        <w:kinsoku/>
        <w:wordWrap/>
        <w:overflowPunct/>
        <w:topLinePunct w:val="0"/>
        <w:autoSpaceDE/>
        <w:autoSpaceDN/>
        <w:bidi w:val="0"/>
        <w:adjustRightInd/>
        <w:snapToGrid w:val="0"/>
        <w:spacing w:before="120" w:beforeLines="50" w:after="50" w:line="480" w:lineRule="exact"/>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1.资格证明文件封面格式：</w:t>
      </w:r>
      <w:r>
        <w:rPr>
          <w:rFonts w:hint="eastAsia" w:ascii="宋体" w:hAnsi="宋体" w:eastAsia="宋体" w:cs="宋体"/>
          <w:b/>
          <w:color w:val="auto"/>
          <w:sz w:val="24"/>
          <w:highlight w:val="none"/>
        </w:rPr>
        <w:t xml:space="preserve"> </w:t>
      </w:r>
    </w:p>
    <w:p w14:paraId="558B55CA">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6AA9692F">
      <w:pPr>
        <w:snapToGrid w:val="0"/>
        <w:spacing w:before="120" w:beforeLines="50" w:after="50"/>
        <w:jc w:val="center"/>
        <w:rPr>
          <w:rFonts w:hint="eastAsia" w:ascii="宋体" w:hAnsi="宋体" w:eastAsia="宋体" w:cs="宋体"/>
          <w:bCs/>
          <w:color w:val="auto"/>
          <w:sz w:val="44"/>
          <w:szCs w:val="44"/>
          <w:highlight w:val="none"/>
        </w:rPr>
      </w:pPr>
    </w:p>
    <w:p w14:paraId="5CB7FE62">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5A218E4F">
      <w:pPr>
        <w:snapToGrid w:val="0"/>
        <w:spacing w:before="120" w:beforeLines="50" w:after="50"/>
        <w:rPr>
          <w:rFonts w:hint="eastAsia" w:ascii="宋体" w:hAnsi="宋体" w:eastAsia="宋体" w:cs="宋体"/>
          <w:color w:val="auto"/>
          <w:sz w:val="24"/>
          <w:szCs w:val="20"/>
          <w:highlight w:val="none"/>
        </w:rPr>
      </w:pPr>
    </w:p>
    <w:p w14:paraId="674513D3">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  格  证  明  文  件</w:t>
      </w:r>
    </w:p>
    <w:p w14:paraId="65FE00A6">
      <w:pPr>
        <w:snapToGrid w:val="0"/>
        <w:spacing w:before="120" w:beforeLines="50" w:after="50"/>
        <w:rPr>
          <w:rFonts w:hint="eastAsia" w:ascii="宋体" w:hAnsi="宋体" w:eastAsia="宋体" w:cs="宋体"/>
          <w:bCs/>
          <w:color w:val="auto"/>
          <w:sz w:val="24"/>
          <w:szCs w:val="20"/>
          <w:highlight w:val="none"/>
        </w:rPr>
      </w:pPr>
    </w:p>
    <w:p w14:paraId="13DBC921">
      <w:pPr>
        <w:snapToGrid w:val="0"/>
        <w:spacing w:before="120" w:beforeLines="50" w:after="50"/>
        <w:rPr>
          <w:rFonts w:hint="eastAsia" w:ascii="宋体" w:hAnsi="宋体" w:eastAsia="宋体" w:cs="宋体"/>
          <w:bCs/>
          <w:color w:val="auto"/>
          <w:sz w:val="24"/>
          <w:szCs w:val="20"/>
          <w:highlight w:val="none"/>
        </w:rPr>
      </w:pPr>
    </w:p>
    <w:p w14:paraId="3C10A447">
      <w:pPr>
        <w:snapToGrid w:val="0"/>
        <w:spacing w:before="120" w:beforeLines="50" w:after="50"/>
        <w:rPr>
          <w:rFonts w:hint="eastAsia" w:ascii="宋体" w:hAnsi="宋体" w:eastAsia="宋体" w:cs="宋体"/>
          <w:bCs/>
          <w:color w:val="auto"/>
          <w:sz w:val="24"/>
          <w:szCs w:val="20"/>
          <w:highlight w:val="none"/>
        </w:rPr>
      </w:pPr>
    </w:p>
    <w:p w14:paraId="1262173E">
      <w:pPr>
        <w:snapToGrid w:val="0"/>
        <w:spacing w:before="120" w:beforeLines="50" w:after="50"/>
        <w:rPr>
          <w:rFonts w:hint="eastAsia" w:ascii="宋体" w:hAnsi="宋体" w:eastAsia="宋体" w:cs="宋体"/>
          <w:bCs/>
          <w:color w:val="auto"/>
          <w:sz w:val="24"/>
          <w:szCs w:val="20"/>
          <w:highlight w:val="none"/>
        </w:rPr>
      </w:pPr>
    </w:p>
    <w:p w14:paraId="1C0FEC81">
      <w:pPr>
        <w:snapToGrid w:val="0"/>
        <w:spacing w:before="120" w:beforeLines="50" w:after="50"/>
        <w:rPr>
          <w:rFonts w:hint="eastAsia" w:ascii="宋体" w:hAnsi="宋体" w:eastAsia="宋体" w:cs="宋体"/>
          <w:bCs/>
          <w:color w:val="auto"/>
          <w:sz w:val="24"/>
          <w:szCs w:val="20"/>
          <w:highlight w:val="none"/>
        </w:rPr>
      </w:pPr>
    </w:p>
    <w:p w14:paraId="70D5D82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9466D2B">
      <w:pPr>
        <w:snapToGrid w:val="0"/>
        <w:spacing w:before="120" w:beforeLines="50" w:after="50"/>
        <w:ind w:firstLine="720" w:firstLineChars="225"/>
        <w:rPr>
          <w:rFonts w:hint="eastAsia" w:ascii="宋体" w:hAnsi="宋体" w:eastAsia="宋体" w:cs="宋体"/>
          <w:bCs/>
          <w:color w:val="auto"/>
          <w:sz w:val="32"/>
          <w:szCs w:val="32"/>
          <w:highlight w:val="none"/>
        </w:rPr>
      </w:pPr>
    </w:p>
    <w:p w14:paraId="5555FE4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7616F63B">
      <w:pPr>
        <w:snapToGrid w:val="0"/>
        <w:spacing w:before="120" w:beforeLines="50" w:after="50"/>
        <w:ind w:firstLine="640" w:firstLineChars="200"/>
        <w:rPr>
          <w:rFonts w:hint="eastAsia" w:ascii="宋体" w:hAnsi="宋体" w:eastAsia="宋体" w:cs="宋体"/>
          <w:bCs/>
          <w:color w:val="auto"/>
          <w:sz w:val="32"/>
          <w:szCs w:val="32"/>
          <w:highlight w:val="none"/>
        </w:rPr>
      </w:pPr>
    </w:p>
    <w:p w14:paraId="7DE51F7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D1DD4D5">
      <w:pPr>
        <w:snapToGrid w:val="0"/>
        <w:spacing w:before="120" w:beforeLines="50" w:after="50"/>
        <w:ind w:firstLine="640" w:firstLineChars="200"/>
        <w:rPr>
          <w:rFonts w:hint="eastAsia" w:ascii="宋体" w:hAnsi="宋体" w:eastAsia="宋体" w:cs="宋体"/>
          <w:bCs/>
          <w:color w:val="auto"/>
          <w:sz w:val="32"/>
          <w:szCs w:val="32"/>
          <w:highlight w:val="none"/>
        </w:rPr>
      </w:pPr>
    </w:p>
    <w:p w14:paraId="12CCE9C5">
      <w:pPr>
        <w:pStyle w:val="4"/>
        <w:snapToGrid w:val="0"/>
        <w:spacing w:before="50" w:after="50"/>
        <w:ind w:firstLine="720" w:firstLineChars="225"/>
        <w:rPr>
          <w:rFonts w:hint="eastAsia" w:ascii="宋体" w:hAnsi="宋体" w:eastAsia="宋体" w:cs="宋体"/>
          <w:bCs/>
          <w:color w:val="auto"/>
          <w:sz w:val="32"/>
          <w:szCs w:val="32"/>
          <w:highlight w:val="none"/>
        </w:rPr>
      </w:pPr>
    </w:p>
    <w:p w14:paraId="05649992">
      <w:pPr>
        <w:pStyle w:val="4"/>
        <w:snapToGrid w:val="0"/>
        <w:spacing w:before="50" w:after="50"/>
        <w:ind w:firstLine="1280" w:firstLineChars="400"/>
        <w:rPr>
          <w:rFonts w:hint="eastAsia" w:ascii="宋体" w:hAnsi="宋体" w:eastAsia="宋体" w:cs="宋体"/>
          <w:bCs/>
          <w:color w:val="auto"/>
          <w:sz w:val="32"/>
          <w:szCs w:val="32"/>
          <w:highlight w:val="none"/>
        </w:rPr>
      </w:pPr>
    </w:p>
    <w:p w14:paraId="6EE44214">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32F715A">
      <w:pPr>
        <w:snapToGrid w:val="0"/>
        <w:spacing w:before="120" w:beforeLines="50" w:after="50" w:line="360" w:lineRule="auto"/>
        <w:ind w:left="142"/>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2.资格证明文件目录</w:t>
      </w:r>
    </w:p>
    <w:p w14:paraId="63BFA4FD">
      <w:pPr>
        <w:snapToGrid w:val="0"/>
        <w:spacing w:before="120" w:beforeLines="50" w:after="50" w:line="360" w:lineRule="auto"/>
        <w:ind w:firstLine="64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w:t>
      </w:r>
      <w:r>
        <w:rPr>
          <w:rFonts w:hint="eastAsia" w:ascii="宋体" w:hAnsi="宋体" w:eastAsia="宋体" w:cs="宋体"/>
          <w:color w:val="auto"/>
          <w:sz w:val="32"/>
          <w:szCs w:val="32"/>
          <w:highlight w:val="none"/>
          <w:lang w:eastAsia="zh-CN"/>
        </w:rPr>
        <w:t>单一来源采购文件</w:t>
      </w:r>
      <w:r>
        <w:rPr>
          <w:rFonts w:hint="eastAsia" w:ascii="宋体" w:hAnsi="宋体" w:eastAsia="宋体" w:cs="宋体"/>
          <w:color w:val="auto"/>
          <w:sz w:val="32"/>
          <w:szCs w:val="32"/>
          <w:highlight w:val="none"/>
        </w:rPr>
        <w:t>规定及供应商提供的材料自行编写目录（部分格式后附）。</w:t>
      </w:r>
    </w:p>
    <w:p w14:paraId="01475227">
      <w:pPr>
        <w:snapToGrid w:val="0"/>
        <w:spacing w:before="120" w:beforeLines="50" w:after="50"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511775FD">
      <w:pPr>
        <w:spacing w:line="360" w:lineRule="auto"/>
        <w:rPr>
          <w:rFonts w:hint="eastAsia" w:ascii="宋体" w:hAnsi="宋体" w:eastAsia="宋体" w:cs="宋体"/>
          <w:color w:val="auto"/>
          <w:szCs w:val="21"/>
          <w:highlight w:val="none"/>
        </w:rPr>
      </w:pPr>
    </w:p>
    <w:p w14:paraId="138715B0">
      <w:pPr>
        <w:spacing w:line="360" w:lineRule="auto"/>
        <w:rPr>
          <w:rFonts w:hint="eastAsia" w:ascii="宋体" w:hAnsi="宋体" w:eastAsia="宋体" w:cs="宋体"/>
          <w:color w:val="auto"/>
          <w:szCs w:val="21"/>
          <w:highlight w:val="none"/>
        </w:rPr>
      </w:pPr>
    </w:p>
    <w:p w14:paraId="4DCF4751">
      <w:pPr>
        <w:spacing w:line="360" w:lineRule="auto"/>
        <w:rPr>
          <w:rFonts w:hint="eastAsia" w:ascii="宋体" w:hAnsi="宋体" w:eastAsia="宋体" w:cs="宋体"/>
          <w:color w:val="auto"/>
          <w:szCs w:val="21"/>
          <w:highlight w:val="none"/>
        </w:rPr>
      </w:pPr>
    </w:p>
    <w:p w14:paraId="10AC2D04">
      <w:pPr>
        <w:spacing w:line="360" w:lineRule="auto"/>
        <w:rPr>
          <w:rFonts w:hint="eastAsia" w:ascii="宋体" w:hAnsi="宋体" w:eastAsia="宋体" w:cs="宋体"/>
          <w:color w:val="auto"/>
          <w:szCs w:val="21"/>
          <w:highlight w:val="none"/>
        </w:rPr>
      </w:pPr>
    </w:p>
    <w:p w14:paraId="72843B1B">
      <w:pPr>
        <w:spacing w:line="300" w:lineRule="auto"/>
        <w:rPr>
          <w:rFonts w:hint="eastAsia" w:ascii="宋体" w:hAnsi="宋体" w:eastAsia="宋体" w:cs="宋体"/>
          <w:color w:val="auto"/>
          <w:szCs w:val="21"/>
          <w:highlight w:val="none"/>
        </w:rPr>
      </w:pPr>
    </w:p>
    <w:p w14:paraId="4A7A1AD4">
      <w:pPr>
        <w:spacing w:line="300" w:lineRule="auto"/>
        <w:rPr>
          <w:rFonts w:hint="eastAsia" w:ascii="宋体" w:hAnsi="宋体" w:eastAsia="宋体" w:cs="宋体"/>
          <w:color w:val="auto"/>
          <w:szCs w:val="21"/>
          <w:highlight w:val="none"/>
        </w:rPr>
      </w:pPr>
    </w:p>
    <w:p w14:paraId="10D2D13E">
      <w:pPr>
        <w:spacing w:line="300" w:lineRule="auto"/>
        <w:rPr>
          <w:rFonts w:hint="eastAsia" w:ascii="宋体" w:hAnsi="宋体" w:eastAsia="宋体" w:cs="宋体"/>
          <w:color w:val="auto"/>
          <w:szCs w:val="21"/>
          <w:highlight w:val="none"/>
        </w:rPr>
      </w:pPr>
    </w:p>
    <w:p w14:paraId="7DE4CB0C">
      <w:pPr>
        <w:spacing w:line="300" w:lineRule="auto"/>
        <w:rPr>
          <w:rFonts w:hint="eastAsia" w:ascii="宋体" w:hAnsi="宋体" w:eastAsia="宋体" w:cs="宋体"/>
          <w:color w:val="auto"/>
          <w:szCs w:val="21"/>
          <w:highlight w:val="none"/>
        </w:rPr>
      </w:pPr>
    </w:p>
    <w:p w14:paraId="1B8504D0">
      <w:pPr>
        <w:spacing w:line="300" w:lineRule="auto"/>
        <w:rPr>
          <w:rFonts w:hint="eastAsia" w:ascii="宋体" w:hAnsi="宋体" w:eastAsia="宋体" w:cs="宋体"/>
          <w:color w:val="auto"/>
          <w:szCs w:val="21"/>
          <w:highlight w:val="none"/>
        </w:rPr>
      </w:pPr>
    </w:p>
    <w:p w14:paraId="4C14CACF">
      <w:pPr>
        <w:spacing w:line="300" w:lineRule="auto"/>
        <w:rPr>
          <w:rFonts w:hint="eastAsia" w:ascii="宋体" w:hAnsi="宋体" w:eastAsia="宋体" w:cs="宋体"/>
          <w:color w:val="auto"/>
          <w:szCs w:val="21"/>
          <w:highlight w:val="none"/>
        </w:rPr>
      </w:pPr>
    </w:p>
    <w:p w14:paraId="1E624823">
      <w:pPr>
        <w:spacing w:line="300" w:lineRule="auto"/>
        <w:rPr>
          <w:rFonts w:hint="eastAsia" w:ascii="宋体" w:hAnsi="宋体" w:eastAsia="宋体" w:cs="宋体"/>
          <w:color w:val="auto"/>
          <w:szCs w:val="21"/>
          <w:highlight w:val="none"/>
        </w:rPr>
      </w:pPr>
    </w:p>
    <w:p w14:paraId="32272EC2">
      <w:pPr>
        <w:spacing w:line="300" w:lineRule="auto"/>
        <w:rPr>
          <w:rFonts w:hint="eastAsia" w:ascii="宋体" w:hAnsi="宋体" w:eastAsia="宋体" w:cs="宋体"/>
          <w:color w:val="auto"/>
          <w:szCs w:val="21"/>
          <w:highlight w:val="none"/>
        </w:rPr>
      </w:pPr>
    </w:p>
    <w:p w14:paraId="5733EDD9">
      <w:pPr>
        <w:spacing w:line="300" w:lineRule="auto"/>
        <w:rPr>
          <w:rFonts w:hint="eastAsia" w:ascii="宋体" w:hAnsi="宋体" w:eastAsia="宋体" w:cs="宋体"/>
          <w:color w:val="auto"/>
          <w:szCs w:val="21"/>
          <w:highlight w:val="none"/>
        </w:rPr>
      </w:pPr>
    </w:p>
    <w:p w14:paraId="4DB81AF2">
      <w:pPr>
        <w:spacing w:line="300" w:lineRule="auto"/>
        <w:rPr>
          <w:rFonts w:hint="eastAsia" w:ascii="宋体" w:hAnsi="宋体" w:eastAsia="宋体" w:cs="宋体"/>
          <w:color w:val="auto"/>
          <w:szCs w:val="21"/>
          <w:highlight w:val="none"/>
        </w:rPr>
      </w:pPr>
    </w:p>
    <w:p w14:paraId="492B72D1">
      <w:pPr>
        <w:spacing w:line="300" w:lineRule="auto"/>
        <w:rPr>
          <w:rFonts w:hint="eastAsia" w:ascii="宋体" w:hAnsi="宋体" w:eastAsia="宋体" w:cs="宋体"/>
          <w:color w:val="auto"/>
          <w:szCs w:val="21"/>
          <w:highlight w:val="none"/>
        </w:rPr>
      </w:pPr>
    </w:p>
    <w:p w14:paraId="40EE0F36">
      <w:pPr>
        <w:spacing w:line="320" w:lineRule="exact"/>
        <w:jc w:val="left"/>
        <w:rPr>
          <w:rFonts w:hint="eastAsia" w:ascii="宋体" w:hAnsi="宋体" w:eastAsia="宋体" w:cs="宋体"/>
          <w:color w:val="auto"/>
          <w:szCs w:val="21"/>
          <w:highlight w:val="none"/>
        </w:rPr>
      </w:pPr>
    </w:p>
    <w:p w14:paraId="1018A3B7">
      <w:pPr>
        <w:spacing w:line="300" w:lineRule="auto"/>
        <w:jc w:val="center"/>
        <w:rPr>
          <w:rFonts w:hint="eastAsia" w:ascii="宋体" w:hAnsi="宋体" w:cs="宋体"/>
          <w:b/>
          <w:bCs/>
          <w:color w:val="auto"/>
          <w:sz w:val="44"/>
          <w:szCs w:val="44"/>
          <w:highlight w:val="none"/>
        </w:rPr>
      </w:pPr>
      <w:r>
        <w:rPr>
          <w:rFonts w:hint="eastAsia" w:ascii="宋体" w:hAnsi="宋体" w:eastAsia="宋体" w:cs="宋体"/>
          <w:b/>
          <w:color w:val="auto"/>
          <w:sz w:val="32"/>
          <w:szCs w:val="32"/>
          <w:highlight w:val="none"/>
        </w:rPr>
        <w:br w:type="page"/>
      </w:r>
      <w:r>
        <w:rPr>
          <w:rFonts w:hint="eastAsia" w:ascii="宋体" w:hAnsi="宋体" w:cs="宋体"/>
          <w:color w:val="auto"/>
          <w:sz w:val="44"/>
          <w:szCs w:val="44"/>
          <w:highlight w:val="none"/>
        </w:rPr>
        <w:t xml:space="preserve"> </w:t>
      </w:r>
      <w:r>
        <w:rPr>
          <w:rFonts w:hint="eastAsia" w:ascii="宋体" w:hAnsi="宋体" w:cs="宋体"/>
          <w:b/>
          <w:bCs/>
          <w:color w:val="auto"/>
          <w:sz w:val="44"/>
          <w:szCs w:val="44"/>
          <w:highlight w:val="none"/>
        </w:rPr>
        <w:t>贵港市政府采购项目投标资格承诺函</w:t>
      </w:r>
    </w:p>
    <w:p w14:paraId="38EE8814">
      <w:pPr>
        <w:spacing w:line="300" w:lineRule="auto"/>
        <w:rPr>
          <w:rFonts w:hint="eastAsia" w:ascii="宋体" w:hAnsi="宋体" w:cs="宋体"/>
          <w:color w:val="auto"/>
          <w:sz w:val="24"/>
          <w:highlight w:val="none"/>
        </w:rPr>
      </w:pPr>
    </w:p>
    <w:p w14:paraId="43DB900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本公司郑重承诺，根据《中华人民共和国政府采购法》第二十二条的规定，本公司为参加政府采购活动的合格供应商。即本公司同时满足以下条件：</w:t>
      </w:r>
    </w:p>
    <w:p w14:paraId="247BB15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976952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105CC7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B89714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A97841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5.提交投标文件截止日期前三年内，在经营活动中没有重大违法记录。</w:t>
      </w:r>
    </w:p>
    <w:p w14:paraId="19096C9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77DE9C7B">
      <w:pPr>
        <w:spacing w:line="300" w:lineRule="auto"/>
        <w:ind w:firstLine="480" w:firstLineChars="200"/>
        <w:rPr>
          <w:rFonts w:hint="eastAsia" w:ascii="宋体" w:hAnsi="宋体" w:cs="宋体"/>
          <w:color w:val="auto"/>
          <w:sz w:val="24"/>
          <w:highlight w:val="none"/>
        </w:rPr>
      </w:pPr>
    </w:p>
    <w:p w14:paraId="0C2BFF91">
      <w:pPr>
        <w:spacing w:line="300" w:lineRule="auto"/>
        <w:rPr>
          <w:rFonts w:hint="eastAsia" w:ascii="宋体" w:hAnsi="宋体" w:cs="宋体"/>
          <w:color w:val="auto"/>
          <w:sz w:val="24"/>
          <w:highlight w:val="none"/>
        </w:rPr>
      </w:pPr>
    </w:p>
    <w:p w14:paraId="0E80AF33">
      <w:pPr>
        <w:spacing w:line="300" w:lineRule="auto"/>
        <w:rPr>
          <w:rFonts w:hint="eastAsia" w:ascii="宋体" w:hAnsi="宋体" w:cs="宋体"/>
          <w:color w:val="auto"/>
          <w:sz w:val="24"/>
          <w:highlight w:val="none"/>
        </w:rPr>
      </w:pPr>
    </w:p>
    <w:p w14:paraId="58870DCD">
      <w:pPr>
        <w:spacing w:line="300" w:lineRule="auto"/>
        <w:rPr>
          <w:rFonts w:hint="eastAsia" w:ascii="宋体" w:hAnsi="宋体" w:cs="宋体"/>
          <w:color w:val="auto"/>
          <w:sz w:val="24"/>
          <w:highlight w:val="none"/>
        </w:rPr>
      </w:pPr>
    </w:p>
    <w:p w14:paraId="3E753E62">
      <w:pPr>
        <w:snapToGrid w:val="0"/>
        <w:spacing w:before="120" w:beforeLines="50" w:line="360" w:lineRule="auto"/>
        <w:ind w:right="480"/>
        <w:rPr>
          <w:rFonts w:hint="eastAsia" w:ascii="宋体" w:hAnsi="宋体" w:cs="宋体"/>
          <w:color w:val="auto"/>
          <w:sz w:val="24"/>
          <w:highlight w:val="none"/>
          <w:u w:val="single"/>
        </w:rPr>
      </w:pPr>
      <w:r>
        <w:rPr>
          <w:rFonts w:hint="eastAsia" w:ascii="宋体" w:hAnsi="宋体" w:cs="宋体"/>
          <w:color w:val="auto"/>
          <w:sz w:val="24"/>
          <w:highlight w:val="none"/>
        </w:rPr>
        <w:t>法定代表人（负责人）或授权委托代理人（签字或签章或加盖印鉴或电子签名）：</w:t>
      </w:r>
      <w:r>
        <w:rPr>
          <w:rFonts w:hint="eastAsia" w:ascii="宋体" w:hAnsi="宋体" w:cs="宋体"/>
          <w:color w:val="auto"/>
          <w:sz w:val="24"/>
          <w:highlight w:val="none"/>
          <w:u w:val="single"/>
        </w:rPr>
        <w:t xml:space="preserve">                    </w:t>
      </w:r>
    </w:p>
    <w:p w14:paraId="3F188158">
      <w:pPr>
        <w:snapToGrid w:val="0"/>
        <w:spacing w:before="120" w:beforeLines="50" w:after="50" w:line="360" w:lineRule="auto"/>
        <w:ind w:right="480"/>
        <w:rPr>
          <w:rFonts w:hint="eastAsia" w:ascii="宋体" w:hAnsi="宋体" w:cs="宋体"/>
          <w:color w:val="auto"/>
          <w:sz w:val="24"/>
          <w:highlight w:val="none"/>
          <w:u w:val="single"/>
        </w:rPr>
      </w:pPr>
      <w:r>
        <w:rPr>
          <w:rFonts w:hint="eastAsia" w:ascii="宋体" w:hAnsi="宋体" w:cs="宋体"/>
          <w:color w:val="auto"/>
          <w:sz w:val="24"/>
          <w:highlight w:val="none"/>
        </w:rPr>
        <w:t>投标人名称（CA 电子签章）：</w:t>
      </w:r>
      <w:r>
        <w:rPr>
          <w:rFonts w:hint="eastAsia" w:ascii="宋体" w:hAnsi="宋体" w:cs="宋体"/>
          <w:color w:val="auto"/>
          <w:sz w:val="24"/>
          <w:highlight w:val="none"/>
          <w:u w:val="single"/>
        </w:rPr>
        <w:t xml:space="preserve">                           </w:t>
      </w:r>
    </w:p>
    <w:p w14:paraId="4C88DDE5">
      <w:pPr>
        <w:snapToGrid w:val="0"/>
        <w:spacing w:before="120" w:beforeLines="50" w:after="50" w:line="360" w:lineRule="auto"/>
        <w:ind w:right="480" w:firstLine="5280" w:firstLineChars="2200"/>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086F6A43">
      <w:pPr>
        <w:spacing w:line="360" w:lineRule="auto"/>
        <w:ind w:right="480" w:firstLine="6160" w:firstLineChars="2200"/>
        <w:contextualSpacing/>
        <w:rPr>
          <w:rFonts w:hint="eastAsia" w:ascii="宋体" w:hAnsi="宋体" w:cs="宋体"/>
          <w:color w:val="auto"/>
          <w:sz w:val="28"/>
          <w:szCs w:val="28"/>
          <w:highlight w:val="none"/>
        </w:rPr>
      </w:pPr>
    </w:p>
    <w:p w14:paraId="5BD8DFB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733A4B7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7D8BF60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636E43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20CFB7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63B4189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65F8E2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03DE64FA">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供应商直接控股、管理关系信息表</w:t>
      </w:r>
    </w:p>
    <w:p w14:paraId="48EDBA01">
      <w:pPr>
        <w:snapToGrid w:val="0"/>
        <w:spacing w:beforeLines="50" w:after="50" w:line="360" w:lineRule="auto"/>
        <w:jc w:val="center"/>
        <w:rPr>
          <w:rFonts w:hint="eastAsia" w:ascii="宋体" w:hAnsi="宋体" w:cs="宋体"/>
          <w:b/>
          <w:color w:val="auto"/>
          <w:sz w:val="24"/>
          <w:highlight w:val="none"/>
        </w:rPr>
      </w:pPr>
    </w:p>
    <w:p w14:paraId="496C0237">
      <w:pPr>
        <w:spacing w:line="360" w:lineRule="auto"/>
        <w:contextualSpacing/>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74FE0F60">
      <w:pPr>
        <w:spacing w:line="360" w:lineRule="auto"/>
        <w:contextualSpacing/>
        <w:jc w:val="center"/>
        <w:rPr>
          <w:rFonts w:hint="eastAsia" w:ascii="宋体" w:hAnsi="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9CF09E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00D1E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7767DC">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7CF38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969FE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6F8C7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B2F471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77D72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F8143C">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BC7E2C">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6A32AB">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F6A17F">
            <w:pPr>
              <w:widowControl/>
              <w:spacing w:line="360" w:lineRule="auto"/>
              <w:contextualSpacing/>
              <w:jc w:val="center"/>
              <w:rPr>
                <w:rFonts w:hint="eastAsia" w:ascii="宋体" w:hAnsi="宋体" w:cs="宋体"/>
                <w:color w:val="auto"/>
                <w:kern w:val="0"/>
                <w:sz w:val="24"/>
                <w:highlight w:val="none"/>
              </w:rPr>
            </w:pPr>
          </w:p>
        </w:tc>
      </w:tr>
      <w:tr w14:paraId="0552113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9769D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8CB8D2">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B603DC">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C87E9A">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2DB3C6">
            <w:pPr>
              <w:widowControl/>
              <w:spacing w:line="360" w:lineRule="auto"/>
              <w:contextualSpacing/>
              <w:jc w:val="center"/>
              <w:rPr>
                <w:rFonts w:hint="eastAsia" w:ascii="宋体" w:hAnsi="宋体" w:cs="宋体"/>
                <w:color w:val="auto"/>
                <w:kern w:val="0"/>
                <w:sz w:val="24"/>
                <w:highlight w:val="none"/>
              </w:rPr>
            </w:pPr>
          </w:p>
        </w:tc>
      </w:tr>
      <w:tr w14:paraId="185A7AF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60A951">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C442A5">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A55E20">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02F7F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26237D">
            <w:pPr>
              <w:widowControl/>
              <w:spacing w:line="360" w:lineRule="auto"/>
              <w:contextualSpacing/>
              <w:jc w:val="center"/>
              <w:rPr>
                <w:rFonts w:hint="eastAsia" w:ascii="宋体" w:hAnsi="宋体" w:cs="宋体"/>
                <w:color w:val="auto"/>
                <w:kern w:val="0"/>
                <w:sz w:val="24"/>
                <w:highlight w:val="none"/>
              </w:rPr>
            </w:pPr>
          </w:p>
        </w:tc>
      </w:tr>
      <w:tr w14:paraId="3C0DEAF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02BFA5">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DD089C">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1DA20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97458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067094">
            <w:pPr>
              <w:widowControl/>
              <w:spacing w:line="360" w:lineRule="auto"/>
              <w:contextualSpacing/>
              <w:jc w:val="center"/>
              <w:rPr>
                <w:rFonts w:hint="eastAsia" w:ascii="宋体" w:hAnsi="宋体" w:cs="宋体"/>
                <w:color w:val="auto"/>
                <w:kern w:val="0"/>
                <w:sz w:val="24"/>
                <w:highlight w:val="none"/>
              </w:rPr>
            </w:pPr>
          </w:p>
        </w:tc>
      </w:tr>
    </w:tbl>
    <w:p w14:paraId="38D20054">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8AC13BD">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8CBFCFD">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6D8359C0">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1133AABC">
      <w:pPr>
        <w:snapToGrid w:val="0"/>
        <w:spacing w:line="360" w:lineRule="auto"/>
        <w:jc w:val="left"/>
        <w:rPr>
          <w:rFonts w:hint="eastAsia" w:ascii="宋体" w:hAnsi="宋体" w:cs="宋体"/>
          <w:color w:val="auto"/>
          <w:sz w:val="24"/>
          <w:highlight w:val="none"/>
        </w:rPr>
      </w:pPr>
    </w:p>
    <w:p w14:paraId="5CFE4472">
      <w:pPr>
        <w:snapToGrid w:val="0"/>
        <w:spacing w:line="360" w:lineRule="auto"/>
        <w:jc w:val="left"/>
        <w:rPr>
          <w:rFonts w:hint="eastAsia" w:ascii="宋体" w:hAnsi="宋体" w:cs="宋体"/>
          <w:color w:val="auto"/>
          <w:sz w:val="24"/>
          <w:highlight w:val="none"/>
        </w:rPr>
      </w:pPr>
    </w:p>
    <w:p w14:paraId="336CCB8C">
      <w:pPr>
        <w:snapToGrid w:val="0"/>
        <w:spacing w:line="360" w:lineRule="auto"/>
        <w:jc w:val="left"/>
        <w:rPr>
          <w:rFonts w:hint="eastAsia" w:ascii="宋体" w:hAnsi="宋体" w:cs="宋体"/>
          <w:color w:val="auto"/>
          <w:sz w:val="24"/>
          <w:highlight w:val="none"/>
        </w:rPr>
      </w:pPr>
    </w:p>
    <w:p w14:paraId="7D5632F5">
      <w:pPr>
        <w:snapToGrid w:val="0"/>
        <w:spacing w:before="120" w:beforeLines="50" w:line="360" w:lineRule="auto"/>
        <w:ind w:right="480"/>
        <w:rPr>
          <w:rFonts w:hint="eastAsia" w:ascii="宋体" w:hAnsi="宋体" w:cs="宋体"/>
          <w:color w:val="auto"/>
          <w:sz w:val="24"/>
          <w:highlight w:val="none"/>
          <w:u w:val="single"/>
        </w:rPr>
      </w:pPr>
      <w:r>
        <w:rPr>
          <w:rFonts w:hint="eastAsia" w:ascii="宋体" w:hAnsi="宋体" w:cs="宋体"/>
          <w:color w:val="auto"/>
          <w:sz w:val="24"/>
          <w:highlight w:val="none"/>
        </w:rPr>
        <w:t>法定代表人（负责人）或授权委托代理人（签字或签章或加盖印鉴或电子签名）：</w:t>
      </w:r>
      <w:r>
        <w:rPr>
          <w:rFonts w:hint="eastAsia" w:ascii="宋体" w:hAnsi="宋体" w:cs="宋体"/>
          <w:color w:val="auto"/>
          <w:sz w:val="24"/>
          <w:highlight w:val="none"/>
          <w:u w:val="single"/>
        </w:rPr>
        <w:t xml:space="preserve">                    </w:t>
      </w:r>
    </w:p>
    <w:p w14:paraId="44EB7194">
      <w:pPr>
        <w:snapToGrid w:val="0"/>
        <w:spacing w:before="120" w:beforeLines="50" w:after="50" w:line="360" w:lineRule="auto"/>
        <w:ind w:right="480"/>
        <w:rPr>
          <w:rFonts w:hint="eastAsia" w:ascii="宋体" w:hAnsi="宋体" w:cs="宋体"/>
          <w:color w:val="auto"/>
          <w:sz w:val="24"/>
          <w:highlight w:val="none"/>
          <w:u w:val="single"/>
        </w:rPr>
      </w:pPr>
      <w:r>
        <w:rPr>
          <w:rFonts w:hint="eastAsia" w:ascii="宋体" w:hAnsi="宋体" w:cs="宋体"/>
          <w:color w:val="auto"/>
          <w:sz w:val="24"/>
          <w:highlight w:val="none"/>
        </w:rPr>
        <w:t>投标人名称（CA 电子签章）：</w:t>
      </w:r>
      <w:r>
        <w:rPr>
          <w:rFonts w:hint="eastAsia" w:ascii="宋体" w:hAnsi="宋体" w:cs="宋体"/>
          <w:color w:val="auto"/>
          <w:sz w:val="24"/>
          <w:highlight w:val="none"/>
          <w:u w:val="single"/>
        </w:rPr>
        <w:t xml:space="preserve">                           </w:t>
      </w:r>
    </w:p>
    <w:p w14:paraId="04C9386B">
      <w:pPr>
        <w:snapToGrid w:val="0"/>
        <w:spacing w:before="120" w:beforeLines="50" w:after="50" w:line="360" w:lineRule="auto"/>
        <w:ind w:right="480" w:firstLine="5280" w:firstLineChars="2200"/>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122D0B09">
      <w:pPr>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46D71312">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2FF72533">
      <w:pPr>
        <w:snapToGrid w:val="0"/>
        <w:spacing w:line="360" w:lineRule="auto"/>
        <w:jc w:val="center"/>
        <w:rPr>
          <w:rFonts w:hint="eastAsia" w:ascii="宋体" w:hAnsi="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36C2E3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13C36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350E8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2E4EC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AEB10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F7A655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13FE7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B975C1">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BFEA5D">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23495A">
            <w:pPr>
              <w:widowControl/>
              <w:spacing w:line="360" w:lineRule="auto"/>
              <w:contextualSpacing/>
              <w:jc w:val="center"/>
              <w:rPr>
                <w:rFonts w:hint="eastAsia" w:ascii="宋体" w:hAnsi="宋体" w:cs="宋体"/>
                <w:color w:val="auto"/>
                <w:kern w:val="0"/>
                <w:sz w:val="24"/>
                <w:highlight w:val="none"/>
              </w:rPr>
            </w:pPr>
          </w:p>
        </w:tc>
      </w:tr>
      <w:tr w14:paraId="783A267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341B5D">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8DC64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451F98">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A09738">
            <w:pPr>
              <w:widowControl/>
              <w:spacing w:line="360" w:lineRule="auto"/>
              <w:contextualSpacing/>
              <w:jc w:val="center"/>
              <w:rPr>
                <w:rFonts w:hint="eastAsia" w:ascii="宋体" w:hAnsi="宋体" w:cs="宋体"/>
                <w:color w:val="auto"/>
                <w:kern w:val="0"/>
                <w:sz w:val="24"/>
                <w:highlight w:val="none"/>
              </w:rPr>
            </w:pPr>
          </w:p>
        </w:tc>
      </w:tr>
      <w:tr w14:paraId="5D58E9B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93647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F2F801">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E2D2B8">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46D421">
            <w:pPr>
              <w:widowControl/>
              <w:spacing w:line="360" w:lineRule="auto"/>
              <w:contextualSpacing/>
              <w:jc w:val="center"/>
              <w:rPr>
                <w:rFonts w:hint="eastAsia" w:ascii="宋体" w:hAnsi="宋体" w:cs="宋体"/>
                <w:color w:val="auto"/>
                <w:kern w:val="0"/>
                <w:sz w:val="24"/>
                <w:highlight w:val="none"/>
              </w:rPr>
            </w:pPr>
          </w:p>
        </w:tc>
      </w:tr>
      <w:tr w14:paraId="5E8CC2C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08141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A19D23">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F5B8E4">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DD398B">
            <w:pPr>
              <w:widowControl/>
              <w:spacing w:line="360" w:lineRule="auto"/>
              <w:contextualSpacing/>
              <w:jc w:val="center"/>
              <w:rPr>
                <w:rFonts w:hint="eastAsia" w:ascii="宋体" w:hAnsi="宋体" w:cs="宋体"/>
                <w:color w:val="auto"/>
                <w:kern w:val="0"/>
                <w:sz w:val="24"/>
                <w:highlight w:val="none"/>
              </w:rPr>
            </w:pPr>
          </w:p>
        </w:tc>
      </w:tr>
    </w:tbl>
    <w:p w14:paraId="4FFBF202">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6A4C8B">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72B1BD31">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48238D41">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854BB5C">
      <w:pPr>
        <w:spacing w:line="360" w:lineRule="auto"/>
        <w:contextualSpacing/>
        <w:jc w:val="left"/>
        <w:rPr>
          <w:rFonts w:hint="eastAsia" w:ascii="宋体" w:hAnsi="宋体" w:cs="宋体"/>
          <w:color w:val="auto"/>
          <w:sz w:val="24"/>
          <w:highlight w:val="none"/>
        </w:rPr>
      </w:pPr>
    </w:p>
    <w:p w14:paraId="760970B5">
      <w:pPr>
        <w:spacing w:line="360" w:lineRule="auto"/>
        <w:contextualSpacing/>
        <w:jc w:val="left"/>
        <w:rPr>
          <w:rFonts w:hint="eastAsia" w:ascii="宋体" w:hAnsi="宋体" w:cs="宋体"/>
          <w:color w:val="auto"/>
          <w:sz w:val="24"/>
          <w:highlight w:val="none"/>
        </w:rPr>
      </w:pPr>
    </w:p>
    <w:p w14:paraId="2D6E2C83">
      <w:pPr>
        <w:spacing w:line="360" w:lineRule="auto"/>
        <w:contextualSpacing/>
        <w:jc w:val="left"/>
        <w:rPr>
          <w:rFonts w:hint="eastAsia" w:ascii="宋体" w:hAnsi="宋体" w:cs="宋体"/>
          <w:color w:val="auto"/>
          <w:sz w:val="24"/>
          <w:highlight w:val="none"/>
        </w:rPr>
      </w:pPr>
    </w:p>
    <w:p w14:paraId="7F2644C2">
      <w:pPr>
        <w:spacing w:line="360" w:lineRule="auto"/>
        <w:contextualSpacing/>
        <w:jc w:val="left"/>
        <w:rPr>
          <w:rFonts w:hint="eastAsia" w:ascii="宋体" w:hAnsi="宋体" w:cs="宋体"/>
          <w:color w:val="auto"/>
          <w:sz w:val="24"/>
          <w:highlight w:val="none"/>
        </w:rPr>
      </w:pPr>
    </w:p>
    <w:p w14:paraId="71927ACA">
      <w:pPr>
        <w:spacing w:line="360" w:lineRule="auto"/>
        <w:contextualSpacing/>
        <w:jc w:val="left"/>
        <w:rPr>
          <w:rFonts w:hint="eastAsia" w:ascii="宋体" w:hAnsi="宋体" w:cs="宋体"/>
          <w:color w:val="auto"/>
          <w:sz w:val="24"/>
          <w:highlight w:val="none"/>
        </w:rPr>
      </w:pPr>
    </w:p>
    <w:p w14:paraId="7CBAE836">
      <w:pPr>
        <w:spacing w:line="360" w:lineRule="auto"/>
        <w:contextualSpacing/>
        <w:jc w:val="left"/>
        <w:rPr>
          <w:rFonts w:hint="eastAsia" w:ascii="宋体" w:hAnsi="宋体" w:cs="宋体"/>
          <w:color w:val="auto"/>
          <w:sz w:val="24"/>
          <w:highlight w:val="none"/>
        </w:rPr>
      </w:pPr>
    </w:p>
    <w:p w14:paraId="6089A2BC">
      <w:pPr>
        <w:snapToGrid w:val="0"/>
        <w:spacing w:before="120" w:beforeLines="50" w:line="360" w:lineRule="auto"/>
        <w:ind w:right="480"/>
        <w:rPr>
          <w:rFonts w:hint="eastAsia" w:ascii="宋体" w:hAnsi="宋体" w:cs="宋体"/>
          <w:color w:val="auto"/>
          <w:sz w:val="24"/>
          <w:highlight w:val="none"/>
          <w:u w:val="single"/>
        </w:rPr>
      </w:pPr>
      <w:r>
        <w:rPr>
          <w:rFonts w:hint="eastAsia" w:ascii="宋体" w:hAnsi="宋体" w:cs="宋体"/>
          <w:color w:val="auto"/>
          <w:sz w:val="24"/>
          <w:highlight w:val="none"/>
        </w:rPr>
        <w:t>法定代表人（负责人）或授权委托代理人（签字或签章或加盖印鉴或电子签名）：</w:t>
      </w:r>
      <w:r>
        <w:rPr>
          <w:rFonts w:hint="eastAsia" w:ascii="宋体" w:hAnsi="宋体" w:cs="宋体"/>
          <w:color w:val="auto"/>
          <w:sz w:val="24"/>
          <w:highlight w:val="none"/>
          <w:u w:val="single"/>
        </w:rPr>
        <w:t xml:space="preserve">                    </w:t>
      </w:r>
    </w:p>
    <w:p w14:paraId="26A77675">
      <w:pPr>
        <w:snapToGrid w:val="0"/>
        <w:spacing w:before="120" w:beforeLines="50" w:after="50" w:line="360" w:lineRule="auto"/>
        <w:ind w:right="480"/>
        <w:rPr>
          <w:rFonts w:hint="eastAsia" w:ascii="宋体" w:hAnsi="宋体" w:cs="宋体"/>
          <w:color w:val="auto"/>
          <w:sz w:val="24"/>
          <w:highlight w:val="none"/>
          <w:u w:val="single"/>
        </w:rPr>
      </w:pPr>
      <w:r>
        <w:rPr>
          <w:rFonts w:hint="eastAsia" w:ascii="宋体" w:hAnsi="宋体" w:cs="宋体"/>
          <w:color w:val="auto"/>
          <w:sz w:val="24"/>
          <w:highlight w:val="none"/>
        </w:rPr>
        <w:t>投标人名称（CA 电子签章）：</w:t>
      </w:r>
      <w:r>
        <w:rPr>
          <w:rFonts w:hint="eastAsia" w:ascii="宋体" w:hAnsi="宋体" w:cs="宋体"/>
          <w:color w:val="auto"/>
          <w:sz w:val="24"/>
          <w:highlight w:val="none"/>
          <w:u w:val="single"/>
        </w:rPr>
        <w:t xml:space="preserve">                           </w:t>
      </w:r>
    </w:p>
    <w:p w14:paraId="34FCAF44">
      <w:pPr>
        <w:snapToGrid w:val="0"/>
        <w:spacing w:before="120" w:beforeLines="50" w:after="50" w:line="360" w:lineRule="auto"/>
        <w:ind w:right="480" w:firstLine="5280" w:firstLineChars="2200"/>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26C96D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1F15816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1D5B5BB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193CD8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1E36B4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auto"/>
          <w:sz w:val="44"/>
          <w:szCs w:val="44"/>
          <w:highlight w:val="none"/>
          <w:lang w:eastAsia="zh-CN"/>
        </w:rPr>
      </w:pPr>
    </w:p>
    <w:p w14:paraId="3DE364A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color w:val="auto"/>
          <w:sz w:val="32"/>
          <w:szCs w:val="32"/>
          <w:highlight w:val="none"/>
        </w:rPr>
      </w:pPr>
      <w:r>
        <w:rPr>
          <w:rFonts w:hint="eastAsia" w:ascii="宋体" w:hAnsi="宋体" w:cs="宋体"/>
          <w:b/>
          <w:bCs w:val="0"/>
          <w:color w:val="auto"/>
          <w:sz w:val="44"/>
          <w:szCs w:val="44"/>
          <w:highlight w:val="none"/>
          <w:lang w:eastAsia="zh-CN"/>
        </w:rPr>
        <w:t>协商声明</w:t>
      </w:r>
    </w:p>
    <w:p w14:paraId="06AA2F0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0"/>
          <w:highlight w:val="none"/>
        </w:rPr>
      </w:pPr>
    </w:p>
    <w:p w14:paraId="49CE55AE">
      <w:pPr>
        <w:keepNext w:val="0"/>
        <w:keepLines w:val="0"/>
        <w:pageBreakBefore w:val="0"/>
        <w:widowControl w:val="0"/>
        <w:kinsoku/>
        <w:wordWrap/>
        <w:overflowPunct/>
        <w:topLinePunct w:val="0"/>
        <w:autoSpaceDE/>
        <w:autoSpaceDN/>
        <w:bidi w:val="0"/>
        <w:adjustRightInd/>
        <w:snapToGrid/>
        <w:spacing w:line="480" w:lineRule="exact"/>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（采购人名称）       </w:t>
      </w:r>
      <w:r>
        <w:rPr>
          <w:rFonts w:hint="eastAsia" w:ascii="宋体" w:hAnsi="宋体" w:eastAsia="宋体" w:cs="宋体"/>
          <w:color w:val="auto"/>
          <w:sz w:val="24"/>
          <w:highlight w:val="none"/>
        </w:rPr>
        <w:t>：</w:t>
      </w:r>
    </w:p>
    <w:p w14:paraId="08A24B0C">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 xml:space="preserve">（供应商名称）       </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1DA29DB">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w:t>
      </w:r>
      <w:r>
        <w:rPr>
          <w:rFonts w:hint="eastAsia" w:ascii="宋体" w:hAnsi="宋体" w:cs="宋体"/>
          <w:color w:val="auto"/>
          <w:sz w:val="24"/>
          <w:highlight w:val="none"/>
          <w:u w:val="single"/>
          <w:lang w:val="en-US" w:eastAsia="zh-CN"/>
        </w:rPr>
        <w:t>编号</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，为便于贵方公正、择优地确定成交供应商及其</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产品和服务，我方就本次</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有关事项郑重声明如下：</w:t>
      </w:r>
    </w:p>
    <w:p w14:paraId="3F4A90F2">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67D36AB3">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14:paraId="06E015A4">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35C9496B">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单一来源采购文件</w:t>
      </w:r>
      <w:r>
        <w:rPr>
          <w:rFonts w:hint="eastAsia" w:ascii="宋体" w:hAnsi="宋体" w:eastAsia="宋体" w:cs="宋体"/>
          <w:color w:val="auto"/>
          <w:sz w:val="24"/>
          <w:highlight w:val="none"/>
        </w:rPr>
        <w:t>的约定履行合同责任和义务；</w:t>
      </w:r>
    </w:p>
    <w:p w14:paraId="79385CF2">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单一来源采购文件</w:t>
      </w:r>
      <w:r>
        <w:rPr>
          <w:rFonts w:hint="eastAsia" w:ascii="宋体" w:hAnsi="宋体" w:eastAsia="宋体" w:cs="宋体"/>
          <w:color w:val="auto"/>
          <w:sz w:val="24"/>
          <w:highlight w:val="none"/>
        </w:rPr>
        <w:t>，包括补遗文件（如有）；</w:t>
      </w:r>
    </w:p>
    <w:p w14:paraId="7A780AFB">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有关的一切数据或者资料；</w:t>
      </w:r>
    </w:p>
    <w:p w14:paraId="7ADE1D43">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单一来源采购文件</w:t>
      </w:r>
      <w:r>
        <w:rPr>
          <w:rFonts w:hint="eastAsia" w:ascii="宋体" w:hAnsi="宋体" w:eastAsia="宋体" w:cs="宋体"/>
          <w:color w:val="auto"/>
          <w:sz w:val="24"/>
          <w:highlight w:val="none"/>
        </w:rPr>
        <w:t>规定的</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有效期：</w:t>
      </w:r>
      <w:r>
        <w:rPr>
          <w:rFonts w:hint="eastAsia" w:ascii="宋体" w:hAnsi="宋体" w:eastAsia="宋体" w:cs="宋体"/>
          <w:color w:val="auto"/>
          <w:sz w:val="24"/>
          <w:highlight w:val="none"/>
          <w:u w:val="single"/>
        </w:rPr>
        <w:t>首次响应文件提交截止之日起60天内。</w:t>
      </w:r>
    </w:p>
    <w:p w14:paraId="3E52A5E9">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14:paraId="3BD2C6D8">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6FB1600">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4160AF3C">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5F356A1">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AE1E451">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7DE0C7F">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69567FF8">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2ECDB41">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2167EB3">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392D6348">
      <w:pPr>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83B2539">
      <w:pPr>
        <w:pStyle w:val="12"/>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206E1F8B">
      <w:pPr>
        <w:pStyle w:val="12"/>
        <w:keepNext w:val="0"/>
        <w:keepLines w:val="0"/>
        <w:pageBreakBefore w:val="0"/>
        <w:widowControl w:val="0"/>
        <w:kinsoku/>
        <w:wordWrap/>
        <w:overflowPunct/>
        <w:topLinePunct w:val="0"/>
        <w:autoSpaceDE/>
        <w:autoSpaceDN/>
        <w:bidi w:val="0"/>
        <w:adjustRightInd/>
        <w:snapToGrid/>
        <w:spacing w:line="48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848EC8">
      <w:pPr>
        <w:pStyle w:val="11"/>
        <w:keepNext w:val="0"/>
        <w:keepLines w:val="0"/>
        <w:pageBreakBefore w:val="0"/>
        <w:widowControl w:val="0"/>
        <w:tabs>
          <w:tab w:val="left" w:pos="939"/>
        </w:tabs>
        <w:kinsoku/>
        <w:wordWrap/>
        <w:overflowPunct/>
        <w:topLinePunct w:val="0"/>
        <w:autoSpaceDE/>
        <w:autoSpaceDN/>
        <w:bidi w:val="0"/>
        <w:adjustRightInd/>
        <w:snapToGrid/>
        <w:spacing w:line="480" w:lineRule="exact"/>
        <w:ind w:left="141" w:leftChars="67"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帐号/行号：</w:t>
      </w:r>
      <w:r>
        <w:rPr>
          <w:rFonts w:hint="eastAsia" w:ascii="宋体" w:hAnsi="宋体" w:eastAsia="宋体" w:cs="宋体"/>
          <w:color w:val="auto"/>
          <w:sz w:val="24"/>
          <w:highlight w:val="none"/>
          <w:u w:val="single"/>
        </w:rPr>
        <w:t xml:space="preserve">           </w:t>
      </w:r>
    </w:p>
    <w:p w14:paraId="3771C311">
      <w:pPr>
        <w:pStyle w:val="11"/>
        <w:keepNext w:val="0"/>
        <w:keepLines w:val="0"/>
        <w:pageBreakBefore w:val="0"/>
        <w:widowControl w:val="0"/>
        <w:tabs>
          <w:tab w:val="left" w:pos="939"/>
        </w:tabs>
        <w:kinsoku/>
        <w:wordWrap/>
        <w:overflowPunct/>
        <w:topLinePunct w:val="0"/>
        <w:autoSpaceDE/>
        <w:autoSpaceDN/>
        <w:bidi w:val="0"/>
        <w:adjustRightInd/>
        <w:snapToGrid/>
        <w:spacing w:line="480" w:lineRule="exact"/>
        <w:ind w:left="141" w:leftChars="67"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24E44E80">
      <w:pPr>
        <w:pStyle w:val="11"/>
        <w:keepNext w:val="0"/>
        <w:keepLines w:val="0"/>
        <w:pageBreakBefore w:val="0"/>
        <w:widowControl w:val="0"/>
        <w:tabs>
          <w:tab w:val="left" w:pos="939"/>
        </w:tabs>
        <w:kinsoku/>
        <w:wordWrap/>
        <w:overflowPunct/>
        <w:topLinePunct w:val="0"/>
        <w:autoSpaceDE/>
        <w:autoSpaceDN/>
        <w:bidi w:val="0"/>
        <w:adjustRightInd/>
        <w:snapToGrid/>
        <w:spacing w:line="480" w:lineRule="exact"/>
        <w:ind w:left="141" w:leftChars="67"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特此承诺。</w:t>
      </w:r>
    </w:p>
    <w:p w14:paraId="64172C9C">
      <w:pPr>
        <w:keepNext w:val="0"/>
        <w:keepLines w:val="0"/>
        <w:pageBreakBefore w:val="0"/>
        <w:widowControl w:val="0"/>
        <w:kinsoku/>
        <w:wordWrap/>
        <w:overflowPunct/>
        <w:topLinePunct w:val="0"/>
        <w:autoSpaceDE/>
        <w:autoSpaceDN/>
        <w:bidi w:val="0"/>
        <w:adjustRightInd/>
        <w:snapToGrid/>
        <w:spacing w:line="480" w:lineRule="exact"/>
        <w:contextualSpacing/>
        <w:jc w:val="left"/>
        <w:textAlignment w:val="auto"/>
        <w:rPr>
          <w:rFonts w:hint="eastAsia" w:ascii="宋体" w:hAnsi="宋体" w:eastAsia="宋体" w:cs="宋体"/>
          <w:color w:val="auto"/>
          <w:sz w:val="24"/>
          <w:szCs w:val="24"/>
          <w:highlight w:val="none"/>
        </w:rPr>
      </w:pPr>
    </w:p>
    <w:p w14:paraId="2C4F8E22">
      <w:pPr>
        <w:snapToGrid w:val="0"/>
        <w:spacing w:before="120" w:beforeLines="50" w:line="360" w:lineRule="auto"/>
        <w:ind w:right="480"/>
        <w:rPr>
          <w:rFonts w:hint="eastAsia" w:ascii="宋体" w:hAnsi="宋体" w:cs="宋体"/>
          <w:color w:val="auto"/>
          <w:sz w:val="24"/>
          <w:highlight w:val="none"/>
          <w:u w:val="single"/>
        </w:rPr>
      </w:pPr>
      <w:r>
        <w:rPr>
          <w:rFonts w:hint="eastAsia" w:ascii="宋体" w:hAnsi="宋体" w:cs="宋体"/>
          <w:color w:val="auto"/>
          <w:sz w:val="24"/>
          <w:highlight w:val="none"/>
        </w:rPr>
        <w:t>法定代表人（负责人）或授权委托代理人（签字或签章或加盖印鉴或电子签名）：</w:t>
      </w:r>
      <w:r>
        <w:rPr>
          <w:rFonts w:hint="eastAsia" w:ascii="宋体" w:hAnsi="宋体" w:cs="宋体"/>
          <w:color w:val="auto"/>
          <w:sz w:val="24"/>
          <w:highlight w:val="none"/>
          <w:u w:val="single"/>
        </w:rPr>
        <w:t xml:space="preserve">                    </w:t>
      </w:r>
    </w:p>
    <w:p w14:paraId="008D1E55">
      <w:pPr>
        <w:snapToGrid w:val="0"/>
        <w:spacing w:before="120" w:beforeLines="50" w:after="50" w:line="360" w:lineRule="auto"/>
        <w:ind w:right="480"/>
        <w:rPr>
          <w:rFonts w:hint="eastAsia" w:ascii="宋体" w:hAnsi="宋体" w:cs="宋体"/>
          <w:color w:val="auto"/>
          <w:sz w:val="24"/>
          <w:highlight w:val="none"/>
          <w:u w:val="single"/>
        </w:rPr>
      </w:pPr>
      <w:r>
        <w:rPr>
          <w:rFonts w:hint="eastAsia" w:ascii="宋体" w:hAnsi="宋体" w:cs="宋体"/>
          <w:color w:val="auto"/>
          <w:sz w:val="24"/>
          <w:highlight w:val="none"/>
        </w:rPr>
        <w:t>投标人名称（CA 电子签章）：</w:t>
      </w:r>
      <w:r>
        <w:rPr>
          <w:rFonts w:hint="eastAsia" w:ascii="宋体" w:hAnsi="宋体" w:cs="宋体"/>
          <w:color w:val="auto"/>
          <w:sz w:val="24"/>
          <w:highlight w:val="none"/>
          <w:u w:val="single"/>
        </w:rPr>
        <w:t xml:space="preserve">                           </w:t>
      </w:r>
    </w:p>
    <w:p w14:paraId="03AB0715">
      <w:pPr>
        <w:snapToGrid w:val="0"/>
        <w:spacing w:before="120" w:beforeLines="50" w:after="50" w:line="360" w:lineRule="auto"/>
        <w:ind w:right="480" w:firstLine="5280" w:firstLineChars="2200"/>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109E8727">
      <w:pPr>
        <w:keepNext w:val="0"/>
        <w:keepLines w:val="0"/>
        <w:pageBreakBefore w:val="0"/>
        <w:widowControl w:val="0"/>
        <w:kinsoku/>
        <w:wordWrap/>
        <w:overflowPunct/>
        <w:topLinePunct w:val="0"/>
        <w:autoSpaceDE/>
        <w:autoSpaceDN/>
        <w:bidi w:val="0"/>
        <w:adjustRightInd/>
        <w:snapToGrid/>
        <w:spacing w:line="480" w:lineRule="exact"/>
        <w:ind w:right="482" w:firstLine="240" w:firstLineChars="100"/>
        <w:contextualSpacing/>
        <w:jc w:val="right"/>
        <w:textAlignment w:val="auto"/>
        <w:rPr>
          <w:rFonts w:hint="eastAsia" w:ascii="宋体" w:hAnsi="宋体" w:eastAsia="宋体" w:cs="宋体"/>
          <w:color w:val="auto"/>
          <w:sz w:val="24"/>
          <w:szCs w:val="24"/>
          <w:highlight w:val="none"/>
        </w:rPr>
      </w:pPr>
    </w:p>
    <w:p w14:paraId="41B40FE6">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78385590">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6E18DA1A">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741BA0FA">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47226EE3">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286AF8F5">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5A927E05">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47690254">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74D07D5A">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7DAD62D7">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2581FEBD">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54A13D4A">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35F94253">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757F5DD7">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2EA2F514">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171195FB">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color w:val="auto"/>
          <w:sz w:val="24"/>
          <w:szCs w:val="24"/>
          <w:highlight w:val="none"/>
        </w:rPr>
      </w:pPr>
    </w:p>
    <w:p w14:paraId="099E457B">
      <w:pPr>
        <w:keepNext w:val="0"/>
        <w:keepLines w:val="0"/>
        <w:pageBreakBefore w:val="0"/>
        <w:widowControl w:val="0"/>
        <w:kinsoku/>
        <w:wordWrap/>
        <w:overflowPunct/>
        <w:topLinePunct w:val="0"/>
        <w:autoSpaceDE/>
        <w:autoSpaceDN/>
        <w:bidi w:val="0"/>
        <w:adjustRightInd/>
        <w:snapToGrid/>
        <w:spacing w:line="480" w:lineRule="exact"/>
        <w:ind w:right="482"/>
        <w:contextualSpacing/>
        <w:jc w:val="both"/>
        <w:textAlignment w:val="auto"/>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 xml:space="preserve">报价商务技术文件格式 </w:t>
      </w:r>
    </w:p>
    <w:p w14:paraId="4A06A239">
      <w:pPr>
        <w:keepNext w:val="0"/>
        <w:keepLines w:val="0"/>
        <w:pageBreakBefore w:val="0"/>
        <w:widowControl w:val="0"/>
        <w:kinsoku/>
        <w:wordWrap/>
        <w:overflowPunct/>
        <w:topLinePunct w:val="0"/>
        <w:autoSpaceDE/>
        <w:autoSpaceDN/>
        <w:bidi w:val="0"/>
        <w:adjustRightInd/>
        <w:snapToGrid w:val="0"/>
        <w:spacing w:before="120" w:beforeLines="50" w:after="50" w:line="480" w:lineRule="exact"/>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1.报价商务技术文件封面格式</w:t>
      </w:r>
    </w:p>
    <w:p w14:paraId="520A6081">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7AF6A87">
      <w:pPr>
        <w:snapToGrid w:val="0"/>
        <w:spacing w:before="120" w:beforeLines="50" w:after="50"/>
        <w:rPr>
          <w:rFonts w:hint="eastAsia" w:ascii="宋体" w:hAnsi="宋体" w:eastAsia="宋体" w:cs="宋体"/>
          <w:color w:val="auto"/>
          <w:sz w:val="24"/>
          <w:highlight w:val="none"/>
        </w:rPr>
      </w:pPr>
    </w:p>
    <w:p w14:paraId="530F423B">
      <w:pPr>
        <w:snapToGrid w:val="0"/>
        <w:spacing w:before="120" w:beforeLines="50" w:after="50"/>
        <w:rPr>
          <w:rFonts w:hint="eastAsia" w:ascii="宋体" w:hAnsi="宋体" w:eastAsia="宋体" w:cs="宋体"/>
          <w:color w:val="auto"/>
          <w:sz w:val="24"/>
          <w:szCs w:val="20"/>
          <w:highlight w:val="none"/>
        </w:rPr>
      </w:pPr>
    </w:p>
    <w:p w14:paraId="604996D6">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37F919F0">
      <w:pPr>
        <w:snapToGrid w:val="0"/>
        <w:spacing w:before="120" w:beforeLines="50" w:after="50"/>
        <w:rPr>
          <w:rFonts w:hint="eastAsia" w:ascii="宋体" w:hAnsi="宋体" w:eastAsia="宋体" w:cs="宋体"/>
          <w:color w:val="auto"/>
          <w:sz w:val="24"/>
          <w:szCs w:val="20"/>
          <w:highlight w:val="none"/>
        </w:rPr>
      </w:pPr>
    </w:p>
    <w:p w14:paraId="2FCA914E">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  价  商  务  技  术  文  件</w:t>
      </w:r>
    </w:p>
    <w:p w14:paraId="134AEF5B">
      <w:pPr>
        <w:snapToGrid w:val="0"/>
        <w:spacing w:before="120" w:beforeLines="50" w:after="50"/>
        <w:rPr>
          <w:rFonts w:hint="eastAsia" w:ascii="宋体" w:hAnsi="宋体" w:eastAsia="宋体" w:cs="宋体"/>
          <w:bCs/>
          <w:color w:val="auto"/>
          <w:sz w:val="24"/>
          <w:szCs w:val="20"/>
          <w:highlight w:val="none"/>
        </w:rPr>
      </w:pPr>
    </w:p>
    <w:p w14:paraId="73127956">
      <w:pPr>
        <w:snapToGrid w:val="0"/>
        <w:spacing w:before="120" w:beforeLines="50" w:after="50"/>
        <w:rPr>
          <w:rFonts w:hint="eastAsia" w:ascii="宋体" w:hAnsi="宋体" w:eastAsia="宋体" w:cs="宋体"/>
          <w:bCs/>
          <w:color w:val="auto"/>
          <w:sz w:val="24"/>
          <w:szCs w:val="20"/>
          <w:highlight w:val="none"/>
        </w:rPr>
      </w:pPr>
    </w:p>
    <w:p w14:paraId="5142C3AE">
      <w:pPr>
        <w:snapToGrid w:val="0"/>
        <w:spacing w:before="120" w:beforeLines="50" w:after="50"/>
        <w:rPr>
          <w:rFonts w:hint="eastAsia" w:ascii="宋体" w:hAnsi="宋体" w:eastAsia="宋体" w:cs="宋体"/>
          <w:bCs/>
          <w:color w:val="auto"/>
          <w:sz w:val="24"/>
          <w:szCs w:val="20"/>
          <w:highlight w:val="none"/>
        </w:rPr>
      </w:pPr>
    </w:p>
    <w:p w14:paraId="0C3BE49B">
      <w:pPr>
        <w:snapToGrid w:val="0"/>
        <w:spacing w:before="120" w:beforeLines="50" w:after="50"/>
        <w:rPr>
          <w:rFonts w:hint="eastAsia" w:ascii="宋体" w:hAnsi="宋体" w:eastAsia="宋体" w:cs="宋体"/>
          <w:bCs/>
          <w:color w:val="auto"/>
          <w:sz w:val="24"/>
          <w:szCs w:val="20"/>
          <w:highlight w:val="none"/>
        </w:rPr>
      </w:pPr>
    </w:p>
    <w:p w14:paraId="6C90719A">
      <w:pPr>
        <w:snapToGrid w:val="0"/>
        <w:spacing w:before="120" w:beforeLines="50" w:after="50"/>
        <w:rPr>
          <w:rFonts w:hint="eastAsia" w:ascii="宋体" w:hAnsi="宋体" w:eastAsia="宋体" w:cs="宋体"/>
          <w:bCs/>
          <w:color w:val="auto"/>
          <w:sz w:val="24"/>
          <w:szCs w:val="20"/>
          <w:highlight w:val="none"/>
        </w:rPr>
      </w:pPr>
    </w:p>
    <w:p w14:paraId="1C64894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17C0664D">
      <w:pPr>
        <w:snapToGrid w:val="0"/>
        <w:spacing w:before="120" w:beforeLines="50" w:after="50"/>
        <w:ind w:firstLine="720" w:firstLineChars="225"/>
        <w:rPr>
          <w:rFonts w:hint="eastAsia" w:ascii="宋体" w:hAnsi="宋体" w:eastAsia="宋体" w:cs="宋体"/>
          <w:bCs/>
          <w:color w:val="auto"/>
          <w:sz w:val="32"/>
          <w:szCs w:val="32"/>
          <w:highlight w:val="none"/>
        </w:rPr>
      </w:pPr>
    </w:p>
    <w:p w14:paraId="621DAAEF">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60319F6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D52E6E3">
      <w:pPr>
        <w:pStyle w:val="4"/>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1ABDDCC">
      <w:pPr>
        <w:pStyle w:val="4"/>
        <w:snapToGrid w:val="0"/>
        <w:spacing w:before="50" w:after="50"/>
        <w:ind w:firstLine="640" w:firstLineChars="200"/>
        <w:rPr>
          <w:rFonts w:hint="eastAsia" w:ascii="宋体" w:hAnsi="宋体" w:eastAsia="宋体" w:cs="宋体"/>
          <w:bCs/>
          <w:color w:val="auto"/>
          <w:sz w:val="32"/>
          <w:szCs w:val="32"/>
          <w:highlight w:val="none"/>
        </w:rPr>
      </w:pPr>
    </w:p>
    <w:p w14:paraId="25A34F81">
      <w:pPr>
        <w:pStyle w:val="4"/>
        <w:snapToGrid w:val="0"/>
        <w:spacing w:before="50" w:after="50"/>
        <w:ind w:firstLine="0"/>
        <w:rPr>
          <w:rFonts w:hint="eastAsia" w:ascii="宋体" w:hAnsi="宋体" w:eastAsia="宋体" w:cs="宋体"/>
          <w:bCs/>
          <w:color w:val="auto"/>
          <w:sz w:val="32"/>
          <w:szCs w:val="32"/>
          <w:highlight w:val="none"/>
        </w:rPr>
      </w:pPr>
    </w:p>
    <w:p w14:paraId="580670E5">
      <w:pPr>
        <w:pStyle w:val="4"/>
        <w:snapToGrid w:val="0"/>
        <w:spacing w:before="50" w:after="50"/>
        <w:ind w:firstLine="1280" w:firstLineChars="400"/>
        <w:rPr>
          <w:rFonts w:hint="eastAsia" w:ascii="宋体" w:hAnsi="宋体" w:eastAsia="宋体" w:cs="宋体"/>
          <w:bCs/>
          <w:color w:val="auto"/>
          <w:sz w:val="32"/>
          <w:szCs w:val="32"/>
          <w:highlight w:val="none"/>
        </w:rPr>
      </w:pPr>
    </w:p>
    <w:p w14:paraId="6AC16E8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C9AE120">
      <w:pPr>
        <w:snapToGrid w:val="0"/>
        <w:spacing w:before="120" w:beforeLines="50" w:after="50" w:line="360" w:lineRule="auto"/>
        <w:ind w:left="142"/>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2.报价商务技术文件目录</w:t>
      </w:r>
    </w:p>
    <w:p w14:paraId="4A8D963A">
      <w:pPr>
        <w:snapToGrid w:val="0"/>
        <w:spacing w:before="120" w:beforeLines="50" w:after="50"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w:t>
      </w:r>
      <w:r>
        <w:rPr>
          <w:rFonts w:hint="eastAsia" w:ascii="宋体" w:hAnsi="宋体" w:eastAsia="宋体" w:cs="宋体"/>
          <w:color w:val="auto"/>
          <w:sz w:val="32"/>
          <w:szCs w:val="32"/>
          <w:highlight w:val="none"/>
          <w:lang w:eastAsia="zh-CN"/>
        </w:rPr>
        <w:t>单一来源采购文件</w:t>
      </w:r>
      <w:r>
        <w:rPr>
          <w:rFonts w:hint="eastAsia" w:ascii="宋体" w:hAnsi="宋体" w:eastAsia="宋体" w:cs="宋体"/>
          <w:color w:val="auto"/>
          <w:sz w:val="32"/>
          <w:szCs w:val="32"/>
          <w:highlight w:val="none"/>
        </w:rPr>
        <w:t>规定及供应商提供的材料自行编写目录（部分格式后附）。</w:t>
      </w:r>
    </w:p>
    <w:p w14:paraId="047B3286">
      <w:pPr>
        <w:spacing w:line="400" w:lineRule="exact"/>
        <w:rPr>
          <w:rFonts w:hint="eastAsia" w:ascii="宋体" w:hAnsi="宋体" w:eastAsia="宋体" w:cs="宋体"/>
          <w:color w:val="auto"/>
          <w:sz w:val="32"/>
          <w:szCs w:val="32"/>
          <w:highlight w:val="none"/>
        </w:rPr>
      </w:pPr>
    </w:p>
    <w:p w14:paraId="592ED859">
      <w:pPr>
        <w:tabs>
          <w:tab w:val="left" w:pos="3479"/>
        </w:tabs>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cs="宋体"/>
          <w:b/>
          <w:bCs w:val="0"/>
          <w:color w:val="auto"/>
          <w:sz w:val="44"/>
          <w:szCs w:val="44"/>
          <w:highlight w:val="none"/>
          <w:lang w:eastAsia="zh-CN"/>
        </w:rPr>
        <w:t>协商</w:t>
      </w:r>
      <w:r>
        <w:rPr>
          <w:rFonts w:hint="eastAsia" w:ascii="宋体" w:hAnsi="宋体" w:eastAsia="宋体" w:cs="宋体"/>
          <w:b/>
          <w:bCs w:val="0"/>
          <w:color w:val="auto"/>
          <w:sz w:val="44"/>
          <w:szCs w:val="44"/>
          <w:highlight w:val="none"/>
        </w:rPr>
        <w:t>报价表</w:t>
      </w:r>
    </w:p>
    <w:p w14:paraId="666A5C01">
      <w:pPr>
        <w:spacing w:line="520" w:lineRule="exact"/>
        <w:jc w:val="center"/>
        <w:rPr>
          <w:rFonts w:hint="eastAsia" w:ascii="宋体" w:hAnsi="宋体" w:eastAsia="宋体" w:cs="宋体"/>
          <w:bCs/>
          <w:color w:val="auto"/>
          <w:sz w:val="32"/>
          <w:szCs w:val="32"/>
          <w:highlight w:val="none"/>
        </w:rPr>
      </w:pPr>
    </w:p>
    <w:p w14:paraId="1A479114">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258F772">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31BBF9C">
      <w:pPr>
        <w:snapToGrid w:val="0"/>
        <w:spacing w:before="50" w:after="50" w:line="360" w:lineRule="auto"/>
        <w:ind w:firstLine="5520" w:firstLineChars="23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单位：元</w:t>
      </w:r>
    </w:p>
    <w:tbl>
      <w:tblPr>
        <w:tblStyle w:val="20"/>
        <w:tblW w:w="1033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430"/>
        <w:gridCol w:w="875"/>
        <w:gridCol w:w="814"/>
        <w:gridCol w:w="2135"/>
        <w:gridCol w:w="792"/>
        <w:gridCol w:w="1244"/>
        <w:gridCol w:w="1244"/>
      </w:tblGrid>
      <w:tr w14:paraId="4215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right"/>
        </w:trPr>
        <w:tc>
          <w:tcPr>
            <w:tcW w:w="803" w:type="dxa"/>
            <w:tcBorders>
              <w:top w:val="single" w:color="auto" w:sz="4" w:space="0"/>
              <w:left w:val="single" w:color="auto" w:sz="4" w:space="0"/>
              <w:bottom w:val="single" w:color="auto" w:sz="4" w:space="0"/>
              <w:right w:val="single" w:color="auto" w:sz="4" w:space="0"/>
            </w:tcBorders>
            <w:noWrap w:val="0"/>
            <w:vAlign w:val="center"/>
          </w:tcPr>
          <w:p w14:paraId="516DCEF0">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30" w:type="dxa"/>
            <w:tcBorders>
              <w:top w:val="single" w:color="auto" w:sz="4" w:space="0"/>
              <w:left w:val="single" w:color="auto" w:sz="4" w:space="0"/>
              <w:bottom w:val="single" w:color="auto" w:sz="4" w:space="0"/>
              <w:right w:val="single" w:color="auto" w:sz="4" w:space="0"/>
            </w:tcBorders>
            <w:noWrap w:val="0"/>
            <w:vAlign w:val="center"/>
          </w:tcPr>
          <w:p w14:paraId="780DC7BF">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服务名称</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39B0CAD6">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3C456BA">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485A2993">
            <w:pPr>
              <w:spacing w:line="360" w:lineRule="auto"/>
              <w:contextualSpacing/>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技术及服务需求</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67A559A7">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69ACD386">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总价</w:t>
            </w: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E2D8185">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6506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right"/>
        </w:trPr>
        <w:tc>
          <w:tcPr>
            <w:tcW w:w="803" w:type="dxa"/>
            <w:tcBorders>
              <w:top w:val="single" w:color="auto" w:sz="4" w:space="0"/>
              <w:left w:val="single" w:color="auto" w:sz="4" w:space="0"/>
              <w:bottom w:val="single" w:color="auto" w:sz="4" w:space="0"/>
              <w:right w:val="single" w:color="auto" w:sz="4" w:space="0"/>
            </w:tcBorders>
            <w:noWrap w:val="0"/>
            <w:vAlign w:val="center"/>
          </w:tcPr>
          <w:p w14:paraId="14E344BC">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30" w:type="dxa"/>
            <w:tcBorders>
              <w:top w:val="single" w:color="auto" w:sz="4" w:space="0"/>
              <w:left w:val="single" w:color="auto" w:sz="4" w:space="0"/>
              <w:bottom w:val="single" w:color="auto" w:sz="4" w:space="0"/>
              <w:right w:val="single" w:color="auto" w:sz="4" w:space="0"/>
            </w:tcBorders>
            <w:noWrap w:val="0"/>
            <w:vAlign w:val="center"/>
          </w:tcPr>
          <w:p w14:paraId="0BB769A4">
            <w:pPr>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覃塘区人民医院信息系统换代升级建设项目</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126A6E3">
            <w:pPr>
              <w:spacing w:line="360" w:lineRule="auto"/>
              <w:contextualSpacing/>
              <w:jc w:val="center"/>
              <w:rPr>
                <w:rFonts w:hint="eastAsia" w:ascii="宋体" w:hAnsi="宋体" w:cs="宋体"/>
                <w:color w:val="auto"/>
                <w:sz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14:paraId="008AD725">
            <w:pPr>
              <w:spacing w:line="360" w:lineRule="auto"/>
              <w:contextualSpacing/>
              <w:jc w:val="center"/>
              <w:rPr>
                <w:rFonts w:hint="eastAsia" w:ascii="宋体" w:hAnsi="宋体" w:cs="宋体"/>
                <w:color w:val="auto"/>
                <w:sz w:val="24"/>
                <w:highlight w:val="none"/>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14:paraId="7EBFC606">
            <w:pPr>
              <w:spacing w:line="360" w:lineRule="auto"/>
              <w:contextualSpacing/>
              <w:jc w:val="center"/>
              <w:rPr>
                <w:rFonts w:hint="eastAsia" w:ascii="宋体" w:hAnsi="宋体" w:cs="宋体"/>
                <w:color w:val="auto"/>
                <w:sz w:val="24"/>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108632F">
            <w:pPr>
              <w:spacing w:line="360" w:lineRule="auto"/>
              <w:contextualSpacing/>
              <w:jc w:val="center"/>
              <w:rPr>
                <w:rFonts w:hint="eastAsia" w:ascii="宋体" w:hAnsi="宋体" w:cs="宋体"/>
                <w:color w:val="auto"/>
                <w:sz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C58133E">
            <w:pPr>
              <w:spacing w:line="360" w:lineRule="auto"/>
              <w:contextualSpacing/>
              <w:jc w:val="center"/>
              <w:rPr>
                <w:rFonts w:hint="eastAsia" w:ascii="宋体" w:hAnsi="宋体" w:cs="宋体"/>
                <w:color w:val="auto"/>
                <w:sz w:val="24"/>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445A1AC">
            <w:pPr>
              <w:spacing w:line="360" w:lineRule="auto"/>
              <w:contextualSpacing/>
              <w:jc w:val="center"/>
              <w:rPr>
                <w:rFonts w:hint="eastAsia" w:ascii="宋体" w:hAnsi="宋体" w:cs="宋体"/>
                <w:color w:val="auto"/>
                <w:sz w:val="24"/>
                <w:highlight w:val="none"/>
              </w:rPr>
            </w:pPr>
          </w:p>
        </w:tc>
      </w:tr>
      <w:tr w14:paraId="43E8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right"/>
        </w:trPr>
        <w:tc>
          <w:tcPr>
            <w:tcW w:w="10337" w:type="dxa"/>
            <w:gridSpan w:val="8"/>
            <w:tcBorders>
              <w:top w:val="single" w:color="auto" w:sz="4" w:space="0"/>
              <w:left w:val="single" w:color="auto" w:sz="4" w:space="0"/>
              <w:bottom w:val="single" w:color="auto" w:sz="4" w:space="0"/>
              <w:right w:val="single" w:color="auto" w:sz="4" w:space="0"/>
            </w:tcBorders>
            <w:noWrap w:val="0"/>
            <w:vAlign w:val="center"/>
          </w:tcPr>
          <w:p w14:paraId="65397D63">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256D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right"/>
        </w:trPr>
        <w:tc>
          <w:tcPr>
            <w:tcW w:w="10337" w:type="dxa"/>
            <w:gridSpan w:val="8"/>
            <w:tcBorders>
              <w:top w:val="single" w:color="auto" w:sz="4" w:space="0"/>
              <w:left w:val="single" w:color="auto" w:sz="4" w:space="0"/>
              <w:bottom w:val="single" w:color="auto" w:sz="4" w:space="0"/>
              <w:right w:val="single" w:color="auto" w:sz="4" w:space="0"/>
            </w:tcBorders>
            <w:noWrap w:val="0"/>
            <w:vAlign w:val="center"/>
          </w:tcPr>
          <w:p w14:paraId="76CDAF78">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合同履约期限：</w:t>
            </w:r>
            <w:r>
              <w:rPr>
                <w:rFonts w:hint="eastAsia" w:ascii="宋体" w:hAnsi="宋体" w:cs="宋体"/>
                <w:color w:val="auto"/>
                <w:sz w:val="24"/>
                <w:highlight w:val="none"/>
                <w:u w:val="single"/>
              </w:rPr>
              <w:t xml:space="preserve">                                       </w:t>
            </w:r>
          </w:p>
        </w:tc>
      </w:tr>
    </w:tbl>
    <w:p w14:paraId="23CA2487">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6C693296">
      <w:pPr>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.供应商的报价表必须加盖供应商公章并由法定代表人或者委托代理人</w:t>
      </w:r>
      <w:r>
        <w:rPr>
          <w:rFonts w:hint="eastAsia" w:ascii="宋体" w:hAnsi="宋体" w:cs="宋体"/>
          <w:color w:val="auto"/>
          <w:sz w:val="24"/>
          <w:highlight w:val="none"/>
        </w:rPr>
        <w:t>签字或签章或加盖印鉴或电子签名</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否则其响应文件按无效响应处理</w:t>
      </w:r>
      <w:r>
        <w:rPr>
          <w:rFonts w:hint="eastAsia" w:ascii="宋体" w:hAnsi="宋体" w:eastAsia="宋体" w:cs="宋体"/>
          <w:color w:val="auto"/>
          <w:sz w:val="24"/>
          <w:highlight w:val="none"/>
        </w:rPr>
        <w:t>。</w:t>
      </w:r>
    </w:p>
    <w:p w14:paraId="774397B9">
      <w:pPr>
        <w:spacing w:line="360" w:lineRule="auto"/>
        <w:ind w:firstLine="480" w:firstLineChars="200"/>
        <w:contextualSpacing/>
        <w:jc w:val="left"/>
        <w:rPr>
          <w:rFonts w:hint="eastAsia" w:ascii="宋体" w:hAnsi="宋体" w:eastAsia="宋体" w:cs="宋体"/>
          <w:b/>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报价一经涂改，应在涂改处加盖供应商公章或者由法定代表人或者授权委托人</w:t>
      </w:r>
      <w:r>
        <w:rPr>
          <w:rFonts w:hint="eastAsia" w:ascii="宋体" w:hAnsi="宋体" w:cs="宋体"/>
          <w:color w:val="auto"/>
          <w:sz w:val="24"/>
          <w:highlight w:val="none"/>
        </w:rPr>
        <w:t>签字或签章或加盖印鉴或电子签名</w:t>
      </w:r>
      <w:r>
        <w:rPr>
          <w:rFonts w:hint="eastAsia" w:ascii="宋体" w:hAnsi="宋体" w:eastAsia="宋体" w:cs="宋体"/>
          <w:color w:val="auto"/>
          <w:sz w:val="24"/>
          <w:highlight w:val="none"/>
        </w:rPr>
        <w:t>或者盖章</w:t>
      </w:r>
      <w:r>
        <w:rPr>
          <w:rFonts w:hint="eastAsia" w:ascii="宋体" w:hAnsi="宋体" w:eastAsia="宋体" w:cs="宋体"/>
          <w:b/>
          <w:color w:val="auto"/>
          <w:sz w:val="24"/>
          <w:highlight w:val="none"/>
        </w:rPr>
        <w:t>，否则其响应文件按无效响应处理。</w:t>
      </w:r>
    </w:p>
    <w:p w14:paraId="7384C813">
      <w:pPr>
        <w:spacing w:line="360" w:lineRule="auto"/>
        <w:ind w:right="-817" w:rightChars="-389" w:firstLine="2640" w:firstLineChars="1100"/>
        <w:contextualSpacing/>
        <w:rPr>
          <w:rFonts w:hint="eastAsia" w:ascii="宋体" w:hAnsi="宋体" w:eastAsia="宋体" w:cs="宋体"/>
          <w:color w:val="auto"/>
          <w:sz w:val="24"/>
          <w:highlight w:val="none"/>
        </w:rPr>
      </w:pPr>
    </w:p>
    <w:p w14:paraId="08FD0DD1">
      <w:pPr>
        <w:snapToGrid w:val="0"/>
        <w:spacing w:before="120" w:beforeLines="50" w:line="360" w:lineRule="auto"/>
        <w:ind w:right="480"/>
        <w:rPr>
          <w:rFonts w:hint="eastAsia" w:ascii="宋体" w:hAnsi="宋体" w:cs="宋体"/>
          <w:color w:val="auto"/>
          <w:sz w:val="24"/>
          <w:highlight w:val="none"/>
          <w:u w:val="single"/>
        </w:rPr>
      </w:pPr>
      <w:r>
        <w:rPr>
          <w:rFonts w:hint="eastAsia" w:ascii="宋体" w:hAnsi="宋体" w:cs="宋体"/>
          <w:color w:val="auto"/>
          <w:sz w:val="24"/>
          <w:highlight w:val="none"/>
        </w:rPr>
        <w:t>法定代表人（负责人）或授权委托代理人（签字或签章或加盖印鉴或电子签名）：</w:t>
      </w:r>
      <w:r>
        <w:rPr>
          <w:rFonts w:hint="eastAsia" w:ascii="宋体" w:hAnsi="宋体" w:cs="宋体"/>
          <w:color w:val="auto"/>
          <w:sz w:val="24"/>
          <w:highlight w:val="none"/>
          <w:u w:val="single"/>
        </w:rPr>
        <w:t xml:space="preserve">                    </w:t>
      </w:r>
    </w:p>
    <w:p w14:paraId="1EB369FB">
      <w:pPr>
        <w:snapToGrid w:val="0"/>
        <w:spacing w:before="120" w:beforeLines="50" w:after="50" w:line="360" w:lineRule="auto"/>
        <w:ind w:right="480"/>
        <w:rPr>
          <w:rFonts w:hint="eastAsia" w:ascii="宋体" w:hAnsi="宋体" w:cs="宋体"/>
          <w:color w:val="auto"/>
          <w:sz w:val="24"/>
          <w:highlight w:val="none"/>
          <w:u w:val="single"/>
        </w:rPr>
      </w:pPr>
      <w:r>
        <w:rPr>
          <w:rFonts w:hint="eastAsia" w:ascii="宋体" w:hAnsi="宋体" w:cs="宋体"/>
          <w:color w:val="auto"/>
          <w:sz w:val="24"/>
          <w:highlight w:val="none"/>
        </w:rPr>
        <w:t>投标人名称（CA 电子签章）：</w:t>
      </w:r>
      <w:r>
        <w:rPr>
          <w:rFonts w:hint="eastAsia" w:ascii="宋体" w:hAnsi="宋体" w:cs="宋体"/>
          <w:color w:val="auto"/>
          <w:sz w:val="24"/>
          <w:highlight w:val="none"/>
          <w:u w:val="single"/>
        </w:rPr>
        <w:t xml:space="preserve">                           </w:t>
      </w:r>
    </w:p>
    <w:p w14:paraId="724C2786">
      <w:pPr>
        <w:snapToGrid w:val="0"/>
        <w:spacing w:before="120" w:beforeLines="50" w:after="50" w:line="360" w:lineRule="auto"/>
        <w:ind w:right="480" w:firstLine="720" w:firstLineChars="300"/>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641E22CD">
      <w:pPr>
        <w:spacing w:before="240" w:beforeLines="100" w:after="120" w:afterLines="50" w:line="520" w:lineRule="exact"/>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val="0"/>
          <w:color w:val="auto"/>
          <w:sz w:val="44"/>
          <w:szCs w:val="44"/>
          <w:highlight w:val="none"/>
        </w:rPr>
        <w:t>法定代表人身份证明</w:t>
      </w:r>
    </w:p>
    <w:p w14:paraId="7FDD1EE8">
      <w:pPr>
        <w:spacing w:line="360" w:lineRule="auto"/>
        <w:ind w:left="540"/>
        <w:contextualSpacing/>
        <w:rPr>
          <w:rFonts w:hint="eastAsia" w:ascii="宋体" w:hAnsi="宋体" w:eastAsia="宋体" w:cs="宋体"/>
          <w:color w:val="auto"/>
          <w:sz w:val="32"/>
          <w:szCs w:val="32"/>
          <w:highlight w:val="none"/>
        </w:rPr>
      </w:pPr>
    </w:p>
    <w:p w14:paraId="265EBE4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1AC6968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C9817F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3A1736AF">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79BE858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1D11E78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的法定代表人。</w:t>
      </w:r>
    </w:p>
    <w:p w14:paraId="52455C9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7FBD2EB">
      <w:pPr>
        <w:spacing w:line="360" w:lineRule="auto"/>
        <w:ind w:left="540"/>
        <w:contextualSpacing/>
        <w:rPr>
          <w:rFonts w:hint="eastAsia" w:ascii="宋体" w:hAnsi="宋体" w:eastAsia="宋体" w:cs="宋体"/>
          <w:color w:val="auto"/>
          <w:sz w:val="24"/>
          <w:highlight w:val="none"/>
        </w:rPr>
      </w:pPr>
    </w:p>
    <w:p w14:paraId="4AF4FCBC">
      <w:pPr>
        <w:spacing w:line="360" w:lineRule="auto"/>
        <w:ind w:left="540"/>
        <w:contextualSpacing/>
        <w:rPr>
          <w:rFonts w:hint="eastAsia" w:ascii="宋体" w:hAnsi="宋体" w:eastAsia="宋体" w:cs="宋体"/>
          <w:color w:val="auto"/>
          <w:sz w:val="24"/>
          <w:highlight w:val="none"/>
        </w:rPr>
      </w:pPr>
    </w:p>
    <w:p w14:paraId="77AFFABC">
      <w:pPr>
        <w:spacing w:line="360" w:lineRule="auto"/>
        <w:ind w:left="540"/>
        <w:contextualSpacing/>
        <w:rPr>
          <w:rFonts w:hint="eastAsia" w:ascii="宋体" w:hAnsi="宋体" w:eastAsia="宋体" w:cs="宋体"/>
          <w:color w:val="auto"/>
          <w:sz w:val="24"/>
          <w:highlight w:val="none"/>
        </w:rPr>
      </w:pPr>
    </w:p>
    <w:p w14:paraId="0360699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609973C8">
      <w:pPr>
        <w:spacing w:line="360" w:lineRule="auto"/>
        <w:ind w:left="540"/>
        <w:contextualSpacing/>
        <w:rPr>
          <w:rFonts w:hint="eastAsia" w:ascii="宋体" w:hAnsi="宋体" w:eastAsia="宋体" w:cs="宋体"/>
          <w:color w:val="auto"/>
          <w:sz w:val="24"/>
          <w:highlight w:val="none"/>
        </w:rPr>
      </w:pPr>
    </w:p>
    <w:p w14:paraId="47EBA85C">
      <w:pPr>
        <w:spacing w:line="360" w:lineRule="auto"/>
        <w:ind w:left="540"/>
        <w:contextualSpacing/>
        <w:jc w:val="center"/>
        <w:rPr>
          <w:rFonts w:hint="eastAsia" w:ascii="宋体" w:hAnsi="宋体" w:eastAsia="宋体" w:cs="宋体"/>
          <w:color w:val="auto"/>
          <w:sz w:val="24"/>
          <w:highlight w:val="none"/>
        </w:rPr>
      </w:pPr>
      <w:r>
        <w:rPr>
          <w:rFonts w:hint="eastAsia" w:ascii="宋体" w:hAnsi="宋体" w:cs="宋体"/>
          <w:color w:val="auto"/>
          <w:sz w:val="24"/>
          <w:highlight w:val="none"/>
        </w:rPr>
        <w:t>投标人名称（CA 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62D1B381">
      <w:pPr>
        <w:spacing w:line="360" w:lineRule="auto"/>
        <w:ind w:firstLine="5520" w:firstLineChars="2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9E9E9A4">
      <w:pPr>
        <w:spacing w:line="360" w:lineRule="auto"/>
        <w:contextualSpacing/>
        <w:jc w:val="center"/>
        <w:rPr>
          <w:rFonts w:hint="eastAsia" w:ascii="宋体" w:hAnsi="宋体" w:eastAsia="宋体" w:cs="宋体"/>
          <w:b/>
          <w:color w:val="auto"/>
          <w:sz w:val="24"/>
          <w:highlight w:val="none"/>
        </w:rPr>
      </w:pPr>
    </w:p>
    <w:p w14:paraId="6F1AA60C">
      <w:pPr>
        <w:adjustRightInd w:val="0"/>
        <w:snapToGrid w:val="0"/>
        <w:spacing w:line="300" w:lineRule="auto"/>
        <w:jc w:val="left"/>
        <w:rPr>
          <w:rFonts w:hint="eastAsia" w:ascii="宋体" w:hAnsi="宋体" w:eastAsia="宋体" w:cs="宋体"/>
          <w:b/>
          <w:color w:val="auto"/>
          <w:szCs w:val="21"/>
          <w:highlight w:val="none"/>
        </w:rPr>
      </w:pPr>
    </w:p>
    <w:p w14:paraId="25CF657F">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bCs w:val="0"/>
          <w:color w:val="auto"/>
          <w:sz w:val="44"/>
          <w:szCs w:val="44"/>
          <w:highlight w:val="none"/>
        </w:rPr>
        <w:t>授权委托书</w:t>
      </w:r>
    </w:p>
    <w:p w14:paraId="0C3045F7">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（如有委托时）</w:t>
      </w:r>
    </w:p>
    <w:p w14:paraId="0BF86ED5">
      <w:pPr>
        <w:spacing w:line="360" w:lineRule="auto"/>
        <w:contextualSpacing/>
        <w:rPr>
          <w:rFonts w:hint="eastAsia" w:ascii="宋体" w:hAnsi="宋体" w:eastAsia="宋体" w:cs="宋体"/>
          <w:color w:val="auto"/>
          <w:sz w:val="32"/>
          <w:szCs w:val="32"/>
          <w:highlight w:val="none"/>
        </w:rPr>
      </w:pPr>
    </w:p>
    <w:p w14:paraId="4D9645A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84C3BC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none"/>
        </w:rPr>
        <w:t>法定代表人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w:t>
      </w:r>
      <w:r>
        <w:rPr>
          <w:rFonts w:hint="eastAsia" w:ascii="宋体" w:hAnsi="宋体" w:eastAsia="宋体" w:cs="宋体"/>
          <w:color w:val="auto"/>
          <w:sz w:val="24"/>
          <w:highlight w:val="none"/>
          <w:lang w:eastAsia="zh-CN"/>
        </w:rPr>
        <w:t>协商</w:t>
      </w:r>
      <w:r>
        <w:rPr>
          <w:rFonts w:hint="eastAsia" w:ascii="宋体" w:hAnsi="宋体" w:eastAsia="宋体" w:cs="宋体"/>
          <w:color w:val="auto"/>
          <w:sz w:val="24"/>
          <w:highlight w:val="none"/>
        </w:rPr>
        <w:t>活动，并代表我方全权办理针对上述项目的所有采购程序和环节的具体事务和签署相关文件。</w:t>
      </w:r>
    </w:p>
    <w:p w14:paraId="7A6029C5">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67E83B5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7046326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8E071E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14:paraId="0049B762">
      <w:pPr>
        <w:spacing w:line="360" w:lineRule="auto"/>
        <w:contextualSpacing/>
        <w:rPr>
          <w:rFonts w:hint="eastAsia" w:ascii="宋体" w:hAnsi="宋体" w:eastAsia="宋体" w:cs="宋体"/>
          <w:color w:val="auto"/>
          <w:sz w:val="24"/>
          <w:highlight w:val="none"/>
        </w:rPr>
      </w:pPr>
    </w:p>
    <w:p w14:paraId="11317CC5">
      <w:pPr>
        <w:spacing w:line="360" w:lineRule="auto"/>
        <w:contextualSpacing/>
        <w:rPr>
          <w:rFonts w:hint="eastAsia" w:ascii="宋体" w:hAnsi="宋体" w:cs="宋体"/>
          <w:color w:val="auto"/>
          <w:sz w:val="24"/>
          <w:highlight w:val="none"/>
          <w:u w:val="single"/>
          <w:lang w:val="en-US" w:eastAsia="zh-CN"/>
        </w:rPr>
      </w:pPr>
      <w:r>
        <w:rPr>
          <w:rFonts w:hint="eastAsia" w:ascii="宋体" w:hAnsi="宋体" w:eastAsia="宋体" w:cs="宋体"/>
          <w:color w:val="auto"/>
          <w:sz w:val="24"/>
          <w:highlight w:val="none"/>
        </w:rPr>
        <w:t>委托代理人（</w:t>
      </w:r>
      <w:r>
        <w:rPr>
          <w:rFonts w:hint="eastAsia" w:ascii="宋体" w:hAnsi="宋体" w:cs="宋体"/>
          <w:color w:val="auto"/>
          <w:sz w:val="24"/>
          <w:highlight w:val="none"/>
        </w:rPr>
        <w:t>签字或签章或加盖印鉴或电子签名</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 xml:space="preserve">           </w:t>
      </w:r>
    </w:p>
    <w:p w14:paraId="3EBA7EB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委托代理人身份证号码：</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059184D1">
      <w:pPr>
        <w:spacing w:line="360" w:lineRule="auto"/>
        <w:contextualSpacing/>
        <w:rPr>
          <w:rFonts w:hint="eastAsia" w:ascii="宋体" w:hAnsi="宋体" w:eastAsia="宋体" w:cs="宋体"/>
          <w:color w:val="auto"/>
          <w:sz w:val="24"/>
          <w:highlight w:val="none"/>
        </w:rPr>
      </w:pPr>
    </w:p>
    <w:p w14:paraId="53DEE946">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cs="宋体"/>
          <w:color w:val="auto"/>
          <w:sz w:val="24"/>
          <w:highlight w:val="none"/>
        </w:rPr>
        <w:t>签字或签章或加盖印鉴或电子签名</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37A374A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法定代表人身份证号码：</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14839D9B">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169D390">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投标人名称（CA 电子签章）</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12B5358F">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58F97FF">
      <w:pPr>
        <w:spacing w:line="360" w:lineRule="auto"/>
        <w:contextualSpacing/>
        <w:rPr>
          <w:rFonts w:hint="eastAsia" w:ascii="宋体" w:hAnsi="宋体" w:eastAsia="宋体" w:cs="宋体"/>
          <w:color w:val="auto"/>
          <w:sz w:val="24"/>
          <w:highlight w:val="none"/>
        </w:rPr>
      </w:pPr>
    </w:p>
    <w:p w14:paraId="052BC573">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val="0"/>
          <w:color w:val="auto"/>
          <w:sz w:val="44"/>
          <w:szCs w:val="44"/>
          <w:highlight w:val="none"/>
        </w:rPr>
        <w:t>商务要求偏离表</w:t>
      </w:r>
    </w:p>
    <w:p w14:paraId="2116BD33">
      <w:pPr>
        <w:snapToGrid w:val="0"/>
        <w:spacing w:before="50"/>
        <w:jc w:val="left"/>
        <w:rPr>
          <w:rFonts w:hint="eastAsia" w:ascii="宋体" w:hAnsi="宋体" w:eastAsia="宋体" w:cs="宋体"/>
          <w:color w:val="auto"/>
          <w:sz w:val="24"/>
          <w:highlight w:val="none"/>
        </w:rPr>
      </w:pPr>
    </w:p>
    <w:tbl>
      <w:tblPr>
        <w:tblStyle w:val="20"/>
        <w:tblpPr w:leftFromText="180" w:rightFromText="180" w:vertAnchor="text" w:horzAnchor="margin" w:tblpXSpec="center" w:tblpY="311"/>
        <w:tblOverlap w:val="never"/>
        <w:tblW w:w="103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3127"/>
        <w:gridCol w:w="3127"/>
        <w:gridCol w:w="1892"/>
      </w:tblGrid>
      <w:tr w14:paraId="24286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1A8D584A">
            <w:pPr>
              <w:snapToGrid w:val="0"/>
              <w:spacing w:before="120" w:beforeLines="5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673287DA">
            <w:pPr>
              <w:snapToGrid w:val="0"/>
              <w:spacing w:before="120" w:beforeLines="50"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单一来源采购文件</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商务要求</w:t>
            </w:r>
            <w:r>
              <w:rPr>
                <w:rFonts w:hint="eastAsia" w:ascii="宋体" w:hAnsi="宋体" w:cs="宋体"/>
                <w:b/>
                <w:bCs/>
                <w:color w:val="auto"/>
                <w:sz w:val="24"/>
                <w:highlight w:val="none"/>
                <w:lang w:eastAsia="zh-CN"/>
              </w:rPr>
              <w:t>”</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434D698D">
            <w:pPr>
              <w:snapToGrid w:val="0"/>
              <w:spacing w:before="120" w:beforeLines="50" w:line="360" w:lineRule="auto"/>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协商</w:t>
            </w:r>
            <w:r>
              <w:rPr>
                <w:rFonts w:hint="eastAsia" w:ascii="宋体" w:hAnsi="宋体" w:eastAsia="宋体" w:cs="宋体"/>
                <w:b/>
                <w:bCs/>
                <w:color w:val="auto"/>
                <w:sz w:val="24"/>
                <w:highlight w:val="none"/>
              </w:rPr>
              <w:t>供应商的</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商务要求</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响应</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69C57DA">
            <w:pPr>
              <w:snapToGrid w:val="0"/>
              <w:spacing w:before="120" w:beforeLines="50"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D154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63B644">
            <w:pPr>
              <w:snapToGrid w:val="0"/>
              <w:spacing w:before="120" w:beforeLines="50"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报价要求</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24BF48C4">
            <w:pPr>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5B8B7956">
            <w:pPr>
              <w:snapToGrid w:val="0"/>
              <w:spacing w:before="120" w:beforeLines="50" w:line="360" w:lineRule="auto"/>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42700DA8">
            <w:pPr>
              <w:snapToGrid w:val="0"/>
              <w:spacing w:before="120" w:beforeLines="50" w:line="360" w:lineRule="auto"/>
              <w:jc w:val="center"/>
              <w:rPr>
                <w:rFonts w:hint="eastAsia" w:ascii="宋体" w:hAnsi="宋体" w:eastAsia="宋体" w:cs="宋体"/>
                <w:color w:val="auto"/>
                <w:sz w:val="24"/>
                <w:highlight w:val="none"/>
              </w:rPr>
            </w:pPr>
          </w:p>
        </w:tc>
      </w:tr>
      <w:tr w14:paraId="25D36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E8E169">
            <w:pPr>
              <w:snapToGrid w:val="0"/>
              <w:spacing w:before="120" w:beforeLines="50"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合同签订日期</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38C6C4C6">
            <w:pPr>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228FC647">
            <w:pPr>
              <w:snapToGrid w:val="0"/>
              <w:spacing w:before="120" w:beforeLines="50" w:line="360" w:lineRule="auto"/>
              <w:ind w:left="43"/>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3E1047F">
            <w:pPr>
              <w:snapToGrid w:val="0"/>
              <w:spacing w:before="120" w:beforeLines="50" w:line="360" w:lineRule="auto"/>
              <w:ind w:left="43"/>
              <w:jc w:val="center"/>
              <w:rPr>
                <w:rFonts w:hint="eastAsia" w:ascii="宋体" w:hAnsi="宋体" w:eastAsia="宋体" w:cs="宋体"/>
                <w:color w:val="auto"/>
                <w:sz w:val="24"/>
                <w:highlight w:val="none"/>
              </w:rPr>
            </w:pPr>
          </w:p>
        </w:tc>
      </w:tr>
      <w:tr w14:paraId="01E88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2E62E8">
            <w:pPr>
              <w:snapToGrid w:val="0"/>
              <w:spacing w:before="120" w:beforeLines="50"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合同履约期限</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3ADC2148">
            <w:pPr>
              <w:snapToGrid w:val="0"/>
              <w:spacing w:before="120" w:beforeLines="50" w:line="360" w:lineRule="auto"/>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1E59322E">
            <w:pPr>
              <w:snapToGrid w:val="0"/>
              <w:spacing w:before="120" w:beforeLines="50" w:line="360" w:lineRule="auto"/>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E7DD62C">
            <w:pPr>
              <w:snapToGrid w:val="0"/>
              <w:spacing w:before="120" w:beforeLines="50" w:line="360" w:lineRule="auto"/>
              <w:jc w:val="center"/>
              <w:rPr>
                <w:rFonts w:hint="eastAsia" w:ascii="宋体" w:hAnsi="宋体" w:eastAsia="宋体" w:cs="宋体"/>
                <w:color w:val="auto"/>
                <w:sz w:val="24"/>
                <w:highlight w:val="none"/>
              </w:rPr>
            </w:pPr>
          </w:p>
        </w:tc>
      </w:tr>
      <w:tr w14:paraId="342C7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941E16">
            <w:pPr>
              <w:snapToGrid w:val="0"/>
              <w:spacing w:before="120" w:beforeLines="50"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项目服务地点</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6B77B136">
            <w:pPr>
              <w:snapToGrid w:val="0"/>
              <w:spacing w:before="120" w:beforeLines="50" w:line="360" w:lineRule="auto"/>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0E24D9B0">
            <w:pPr>
              <w:snapToGrid w:val="0"/>
              <w:spacing w:before="120" w:beforeLines="50" w:line="360" w:lineRule="auto"/>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73142B2">
            <w:pPr>
              <w:snapToGrid w:val="0"/>
              <w:spacing w:before="120" w:beforeLines="50" w:line="360" w:lineRule="auto"/>
              <w:jc w:val="center"/>
              <w:rPr>
                <w:rFonts w:hint="eastAsia" w:ascii="宋体" w:hAnsi="宋体" w:eastAsia="宋体" w:cs="宋体"/>
                <w:color w:val="auto"/>
                <w:sz w:val="24"/>
                <w:highlight w:val="none"/>
              </w:rPr>
            </w:pPr>
          </w:p>
        </w:tc>
      </w:tr>
      <w:tr w14:paraId="0CC11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3356D9">
            <w:pPr>
              <w:snapToGrid w:val="0"/>
              <w:spacing w:before="120" w:beforeLines="50"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付款方式、时间及条件</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57CE67AF">
            <w:pPr>
              <w:snapToGrid w:val="0"/>
              <w:spacing w:before="120" w:beforeLines="50" w:line="360" w:lineRule="auto"/>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39A6992E">
            <w:pPr>
              <w:snapToGrid w:val="0"/>
              <w:spacing w:before="120" w:beforeLines="50" w:line="360" w:lineRule="auto"/>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64876BD">
            <w:pPr>
              <w:snapToGrid w:val="0"/>
              <w:spacing w:before="120" w:beforeLines="50" w:line="360" w:lineRule="auto"/>
              <w:jc w:val="center"/>
              <w:rPr>
                <w:rFonts w:hint="eastAsia" w:ascii="宋体" w:hAnsi="宋体" w:eastAsia="宋体" w:cs="宋体"/>
                <w:color w:val="auto"/>
                <w:sz w:val="24"/>
                <w:highlight w:val="none"/>
              </w:rPr>
            </w:pPr>
          </w:p>
        </w:tc>
      </w:tr>
      <w:tr w14:paraId="2D613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0D95A9">
            <w:pPr>
              <w:snapToGrid w:val="0"/>
              <w:spacing w:before="120" w:beforeLines="50"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en-US" w:eastAsia="zh-CN"/>
              </w:rPr>
              <w:t>要求</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4CBAF5C4">
            <w:pPr>
              <w:snapToGrid w:val="0"/>
              <w:spacing w:before="120" w:beforeLines="50" w:line="360" w:lineRule="auto"/>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0B83B9D2">
            <w:pPr>
              <w:snapToGrid w:val="0"/>
              <w:spacing w:before="120" w:beforeLines="50" w:line="360" w:lineRule="auto"/>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611EAA5F">
            <w:pPr>
              <w:snapToGrid w:val="0"/>
              <w:spacing w:before="120" w:beforeLines="50" w:line="360" w:lineRule="auto"/>
              <w:jc w:val="center"/>
              <w:rPr>
                <w:rFonts w:hint="eastAsia" w:ascii="宋体" w:hAnsi="宋体" w:eastAsia="宋体" w:cs="宋体"/>
                <w:color w:val="auto"/>
                <w:sz w:val="24"/>
                <w:highlight w:val="none"/>
              </w:rPr>
            </w:pPr>
          </w:p>
        </w:tc>
      </w:tr>
      <w:tr w14:paraId="4D85E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48EBE1">
            <w:pPr>
              <w:snapToGrid w:val="0"/>
              <w:spacing w:before="120" w:beforeLines="50"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验收标准</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05425DC0">
            <w:pPr>
              <w:snapToGrid w:val="0"/>
              <w:spacing w:before="120" w:beforeLines="50" w:line="360" w:lineRule="auto"/>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19E70C80">
            <w:pPr>
              <w:snapToGrid w:val="0"/>
              <w:spacing w:before="120" w:beforeLines="50" w:line="360" w:lineRule="auto"/>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8E77F3">
            <w:pPr>
              <w:snapToGrid w:val="0"/>
              <w:spacing w:before="120" w:beforeLines="50" w:line="360" w:lineRule="auto"/>
              <w:jc w:val="center"/>
              <w:rPr>
                <w:rFonts w:hint="eastAsia" w:ascii="宋体" w:hAnsi="宋体" w:eastAsia="宋体" w:cs="宋体"/>
                <w:color w:val="auto"/>
                <w:sz w:val="24"/>
                <w:highlight w:val="none"/>
              </w:rPr>
            </w:pPr>
          </w:p>
        </w:tc>
      </w:tr>
      <w:tr w14:paraId="3FC73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38928">
            <w:pPr>
              <w:snapToGrid w:val="0"/>
              <w:spacing w:before="120" w:beforeLines="50"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其他要求</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7876061E">
            <w:pPr>
              <w:snapToGrid w:val="0"/>
              <w:spacing w:before="120" w:beforeLines="50" w:line="360" w:lineRule="auto"/>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4B8EA81D">
            <w:pPr>
              <w:snapToGrid w:val="0"/>
              <w:spacing w:before="120" w:beforeLines="50" w:line="360" w:lineRule="auto"/>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BA7D98C">
            <w:pPr>
              <w:snapToGrid w:val="0"/>
              <w:spacing w:before="120" w:beforeLines="50" w:line="360" w:lineRule="auto"/>
              <w:jc w:val="center"/>
              <w:rPr>
                <w:rFonts w:hint="eastAsia" w:ascii="宋体" w:hAnsi="宋体" w:eastAsia="宋体" w:cs="宋体"/>
                <w:color w:val="auto"/>
                <w:sz w:val="24"/>
                <w:highlight w:val="none"/>
              </w:rPr>
            </w:pPr>
          </w:p>
        </w:tc>
      </w:tr>
      <w:tr w14:paraId="27741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2178" w:type="dxa"/>
            <w:tcBorders>
              <w:top w:val="single" w:color="auto" w:sz="4" w:space="0"/>
              <w:left w:val="single" w:color="auto" w:sz="4" w:space="0"/>
              <w:bottom w:val="single" w:color="auto" w:sz="4" w:space="0"/>
              <w:right w:val="single" w:color="auto" w:sz="4" w:space="0"/>
            </w:tcBorders>
            <w:noWrap w:val="0"/>
            <w:vAlign w:val="center"/>
          </w:tcPr>
          <w:p w14:paraId="6F83ADBB">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3A889BFA">
            <w:pPr>
              <w:snapToGrid w:val="0"/>
              <w:spacing w:before="120" w:beforeLines="50" w:line="360" w:lineRule="auto"/>
              <w:jc w:val="center"/>
              <w:rPr>
                <w:rFonts w:hint="eastAsia" w:ascii="宋体" w:hAnsi="宋体" w:eastAsia="宋体" w:cs="宋体"/>
                <w:color w:val="auto"/>
                <w:sz w:val="24"/>
                <w:highlight w:val="none"/>
              </w:rPr>
            </w:pPr>
          </w:p>
        </w:tc>
        <w:tc>
          <w:tcPr>
            <w:tcW w:w="3127" w:type="dxa"/>
            <w:tcBorders>
              <w:top w:val="single" w:color="auto" w:sz="4" w:space="0"/>
              <w:left w:val="single" w:color="auto" w:sz="4" w:space="0"/>
              <w:bottom w:val="single" w:color="auto" w:sz="4" w:space="0"/>
              <w:right w:val="single" w:color="auto" w:sz="4" w:space="0"/>
            </w:tcBorders>
            <w:noWrap w:val="0"/>
            <w:vAlign w:val="center"/>
          </w:tcPr>
          <w:p w14:paraId="3BB53A85">
            <w:pPr>
              <w:snapToGrid w:val="0"/>
              <w:spacing w:before="120" w:beforeLines="50" w:line="360" w:lineRule="auto"/>
              <w:jc w:val="center"/>
              <w:rPr>
                <w:rFonts w:hint="eastAsia" w:ascii="宋体" w:hAnsi="宋体" w:eastAsia="宋体" w:cs="宋体"/>
                <w:color w:val="auto"/>
                <w:sz w:val="24"/>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44DEDBF9">
            <w:pPr>
              <w:snapToGrid w:val="0"/>
              <w:spacing w:before="120" w:beforeLines="50" w:line="360" w:lineRule="auto"/>
              <w:jc w:val="center"/>
              <w:rPr>
                <w:rFonts w:hint="eastAsia" w:ascii="宋体" w:hAnsi="宋体" w:eastAsia="宋体" w:cs="宋体"/>
                <w:color w:val="auto"/>
                <w:sz w:val="24"/>
                <w:highlight w:val="none"/>
              </w:rPr>
            </w:pPr>
          </w:p>
        </w:tc>
      </w:tr>
    </w:tbl>
    <w:p w14:paraId="22B5D24B">
      <w:pPr>
        <w:pStyle w:val="7"/>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32C80DBB">
      <w:pPr>
        <w:pStyle w:val="7"/>
        <w:spacing w:after="0"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1.说明：应对照</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“第三章 采购需求”中的商务要求条明确响应，并作出偏离说明。</w:t>
      </w:r>
    </w:p>
    <w:p w14:paraId="7BAD3765">
      <w:pPr>
        <w:pStyle w:val="7"/>
        <w:spacing w:after="0" w:line="36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2.供应商应根据自身的承诺，对照</w:t>
      </w:r>
      <w:r>
        <w:rPr>
          <w:rFonts w:hint="eastAsia" w:ascii="宋体" w:hAnsi="宋体" w:eastAsia="宋体" w:cs="宋体"/>
          <w:color w:val="auto"/>
          <w:kern w:val="0"/>
          <w:sz w:val="24"/>
          <w:szCs w:val="24"/>
          <w:highlight w:val="none"/>
          <w:lang w:eastAsia="zh-CN"/>
        </w:rPr>
        <w:t>单一来源采购文件</w:t>
      </w:r>
      <w:r>
        <w:rPr>
          <w:rFonts w:hint="eastAsia" w:ascii="宋体" w:hAnsi="宋体" w:eastAsia="宋体" w:cs="宋体"/>
          <w:color w:val="auto"/>
          <w:kern w:val="0"/>
          <w:sz w:val="24"/>
          <w:szCs w:val="24"/>
          <w:highlight w:val="none"/>
        </w:rPr>
        <w:t>要求在“偏离说明”中注明“正偏离”、“负偏离”或者“无偏离”。既不属于“正偏离”也不属于“负偏离”即为“无偏离”。</w:t>
      </w:r>
    </w:p>
    <w:p w14:paraId="1BC7B115">
      <w:pPr>
        <w:spacing w:line="360" w:lineRule="auto"/>
        <w:contextualSpacing/>
        <w:jc w:val="left"/>
        <w:rPr>
          <w:rFonts w:hint="eastAsia" w:ascii="宋体" w:hAnsi="宋体" w:eastAsia="宋体" w:cs="宋体"/>
          <w:color w:val="auto"/>
          <w:sz w:val="24"/>
          <w:highlight w:val="none"/>
          <w:u w:val="single"/>
        </w:rPr>
      </w:pPr>
    </w:p>
    <w:p w14:paraId="7850E148">
      <w:pPr>
        <w:spacing w:line="360" w:lineRule="auto"/>
        <w:contextualSpacing/>
        <w:jc w:val="left"/>
        <w:rPr>
          <w:rFonts w:hint="eastAsia" w:ascii="宋体" w:hAnsi="宋体" w:eastAsia="宋体" w:cs="宋体"/>
          <w:color w:val="auto"/>
          <w:sz w:val="24"/>
          <w:highlight w:val="none"/>
          <w:u w:val="single"/>
        </w:rPr>
      </w:pPr>
    </w:p>
    <w:p w14:paraId="242B35B3">
      <w:pPr>
        <w:spacing w:line="360" w:lineRule="auto"/>
        <w:ind w:right="-817" w:rightChars="-389"/>
        <w:contextualSpacing/>
        <w:rPr>
          <w:rFonts w:hint="eastAsia" w:ascii="宋体" w:hAnsi="宋体" w:eastAsia="宋体" w:cs="宋体"/>
          <w:color w:val="auto"/>
          <w:sz w:val="24"/>
          <w:highlight w:val="none"/>
        </w:rPr>
      </w:pPr>
    </w:p>
    <w:p w14:paraId="4281843D">
      <w:pPr>
        <w:spacing w:line="360" w:lineRule="auto"/>
        <w:ind w:right="-817" w:rightChars="-389"/>
        <w:contextualSpacing/>
        <w:jc w:val="both"/>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法定代表人（负责人）或授权委托代理人（签字或签章或加盖印鉴或电子签名）</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 xml:space="preserve">       </w:t>
      </w:r>
    </w:p>
    <w:p w14:paraId="7A1DD601">
      <w:pPr>
        <w:spacing w:line="360" w:lineRule="auto"/>
        <w:ind w:right="-817" w:rightChars="-389"/>
        <w:contextualSpacing/>
        <w:rPr>
          <w:rFonts w:hint="eastAsia" w:ascii="宋体" w:hAnsi="宋体" w:eastAsia="宋体" w:cs="宋体"/>
          <w:color w:val="auto"/>
          <w:sz w:val="24"/>
          <w:highlight w:val="none"/>
        </w:rPr>
      </w:pPr>
      <w:r>
        <w:rPr>
          <w:rFonts w:hint="eastAsia" w:ascii="宋体" w:hAnsi="宋体" w:cs="宋体"/>
          <w:color w:val="auto"/>
          <w:sz w:val="24"/>
          <w:highlight w:val="none"/>
        </w:rPr>
        <w:t>投标人名称（CA 电子签章）</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 xml:space="preserve">       </w:t>
      </w:r>
    </w:p>
    <w:p w14:paraId="1C6CBE79">
      <w:pPr>
        <w:spacing w:line="360" w:lineRule="auto"/>
        <w:ind w:right="-817" w:rightChars="-3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11ECCDE">
      <w:pPr>
        <w:adjustRightInd w:val="0"/>
        <w:snapToGrid w:val="0"/>
        <w:spacing w:line="520" w:lineRule="exact"/>
        <w:ind w:firstLine="7040" w:firstLineChars="1600"/>
        <w:jc w:val="center"/>
        <w:rPr>
          <w:rFonts w:hint="eastAsia" w:ascii="宋体" w:hAnsi="宋体" w:eastAsia="宋体" w:cs="宋体"/>
          <w:bCs/>
          <w:color w:val="auto"/>
          <w:sz w:val="44"/>
          <w:szCs w:val="44"/>
          <w:highlight w:val="none"/>
        </w:rPr>
      </w:pPr>
    </w:p>
    <w:p w14:paraId="0E03C028">
      <w:pPr>
        <w:adjustRightInd w:val="0"/>
        <w:snapToGrid w:val="0"/>
        <w:spacing w:line="30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
          <w:bCs w:val="0"/>
          <w:color w:val="auto"/>
          <w:sz w:val="44"/>
          <w:szCs w:val="44"/>
          <w:highlight w:val="none"/>
        </w:rPr>
        <w:t>技术要求偏离表</w:t>
      </w:r>
    </w:p>
    <w:p w14:paraId="7AA9BD2C">
      <w:pPr>
        <w:spacing w:line="520" w:lineRule="exact"/>
        <w:rPr>
          <w:rFonts w:hint="eastAsia" w:ascii="宋体" w:hAnsi="宋体" w:eastAsia="宋体" w:cs="宋体"/>
          <w:color w:val="auto"/>
          <w:sz w:val="32"/>
          <w:szCs w:val="32"/>
          <w:highlight w:val="none"/>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1"/>
        <w:gridCol w:w="1013"/>
        <w:gridCol w:w="3363"/>
        <w:gridCol w:w="3026"/>
        <w:gridCol w:w="1651"/>
      </w:tblGrid>
      <w:tr w14:paraId="337BE5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noWrap w:val="0"/>
            <w:vAlign w:val="center"/>
          </w:tcPr>
          <w:p w14:paraId="179498AF">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503" w:type="pct"/>
            <w:tcBorders>
              <w:right w:val="single" w:color="auto" w:sz="4" w:space="0"/>
            </w:tcBorders>
            <w:noWrap w:val="0"/>
            <w:vAlign w:val="center"/>
          </w:tcPr>
          <w:p w14:paraId="55950B7F">
            <w:pPr>
              <w:snapToGrid w:val="0"/>
              <w:spacing w:before="120" w:beforeLines="50"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服务内容</w:t>
            </w:r>
          </w:p>
        </w:tc>
        <w:tc>
          <w:tcPr>
            <w:tcW w:w="1670" w:type="pct"/>
            <w:tcBorders>
              <w:left w:val="single" w:color="auto" w:sz="4" w:space="0"/>
            </w:tcBorders>
            <w:noWrap w:val="0"/>
            <w:vAlign w:val="center"/>
          </w:tcPr>
          <w:p w14:paraId="28CB7297">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单一来源采购文件</w:t>
            </w:r>
            <w:r>
              <w:rPr>
                <w:rFonts w:hint="eastAsia" w:ascii="宋体" w:hAnsi="宋体" w:cs="宋体"/>
                <w:color w:val="auto"/>
                <w:sz w:val="24"/>
                <w:highlight w:val="none"/>
                <w:lang w:val="en-US" w:eastAsia="zh-CN"/>
              </w:rPr>
              <w:t>的“技术及服务需求”</w:t>
            </w:r>
          </w:p>
        </w:tc>
        <w:tc>
          <w:tcPr>
            <w:tcW w:w="1503" w:type="pct"/>
            <w:noWrap w:val="0"/>
            <w:vAlign w:val="center"/>
          </w:tcPr>
          <w:p w14:paraId="7418F397">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协商</w:t>
            </w:r>
            <w:r>
              <w:rPr>
                <w:rFonts w:hint="eastAsia" w:ascii="宋体" w:hAnsi="宋体" w:cs="宋体"/>
                <w:color w:val="auto"/>
                <w:sz w:val="24"/>
                <w:highlight w:val="none"/>
                <w:lang w:val="en-US" w:eastAsia="zh-CN"/>
              </w:rPr>
              <w:t>供应商的“技术及服务需求”</w:t>
            </w:r>
            <w:r>
              <w:rPr>
                <w:rFonts w:hint="eastAsia" w:ascii="宋体" w:hAnsi="宋体" w:eastAsia="宋体" w:cs="宋体"/>
                <w:color w:val="auto"/>
                <w:sz w:val="24"/>
                <w:highlight w:val="none"/>
                <w:lang w:val="en-US" w:eastAsia="zh-CN"/>
              </w:rPr>
              <w:t>响应</w:t>
            </w:r>
          </w:p>
        </w:tc>
        <w:tc>
          <w:tcPr>
            <w:tcW w:w="820" w:type="pct"/>
            <w:noWrap w:val="0"/>
            <w:vAlign w:val="center"/>
          </w:tcPr>
          <w:p w14:paraId="2160D4BA">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偏离说明</w:t>
            </w:r>
          </w:p>
        </w:tc>
      </w:tr>
      <w:tr w14:paraId="7EF53F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2" w:hRule="atLeast"/>
          <w:jc w:val="center"/>
        </w:trPr>
        <w:tc>
          <w:tcPr>
            <w:tcW w:w="502" w:type="pct"/>
            <w:noWrap w:val="0"/>
            <w:vAlign w:val="center"/>
          </w:tcPr>
          <w:p w14:paraId="22BD7BE3">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503" w:type="pct"/>
            <w:tcBorders>
              <w:right w:val="single" w:color="auto" w:sz="4" w:space="0"/>
            </w:tcBorders>
            <w:noWrap w:val="0"/>
            <w:vAlign w:val="center"/>
          </w:tcPr>
          <w:p w14:paraId="6C9252A7">
            <w:pPr>
              <w:snapToGrid w:val="0"/>
              <w:spacing w:before="120" w:beforeLines="50" w:line="360" w:lineRule="auto"/>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覃塘区人民医院信息系统换代升级建设项目</w:t>
            </w:r>
          </w:p>
        </w:tc>
        <w:tc>
          <w:tcPr>
            <w:tcW w:w="1670" w:type="pct"/>
            <w:tcBorders>
              <w:left w:val="single" w:color="auto" w:sz="4" w:space="0"/>
            </w:tcBorders>
            <w:noWrap w:val="0"/>
            <w:vAlign w:val="center"/>
          </w:tcPr>
          <w:p w14:paraId="3308CCDE">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503" w:type="pct"/>
            <w:noWrap w:val="0"/>
            <w:vAlign w:val="center"/>
          </w:tcPr>
          <w:p w14:paraId="2FF8202D">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820" w:type="pct"/>
            <w:noWrap w:val="0"/>
            <w:vAlign w:val="center"/>
          </w:tcPr>
          <w:p w14:paraId="218B878B">
            <w:pPr>
              <w:snapToGrid w:val="0"/>
              <w:spacing w:before="120" w:beforeLines="50" w:line="360" w:lineRule="auto"/>
              <w:jc w:val="center"/>
              <w:rPr>
                <w:rFonts w:hint="eastAsia" w:ascii="宋体" w:hAnsi="宋体" w:eastAsia="宋体" w:cs="宋体"/>
                <w:color w:val="auto"/>
                <w:sz w:val="24"/>
                <w:highlight w:val="none"/>
                <w:lang w:val="en-US" w:eastAsia="zh-CN"/>
              </w:rPr>
            </w:pPr>
          </w:p>
        </w:tc>
      </w:tr>
      <w:tr w14:paraId="01F49F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2" w:type="pct"/>
            <w:noWrap w:val="0"/>
            <w:vAlign w:val="center"/>
          </w:tcPr>
          <w:p w14:paraId="0657A98C">
            <w:pPr>
              <w:snapToGrid w:val="0"/>
              <w:spacing w:before="120" w:beforeLines="50"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503" w:type="pct"/>
            <w:tcBorders>
              <w:right w:val="single" w:color="auto" w:sz="4" w:space="0"/>
            </w:tcBorders>
            <w:noWrap w:val="0"/>
            <w:vAlign w:val="center"/>
          </w:tcPr>
          <w:p w14:paraId="2338FBD0">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670" w:type="pct"/>
            <w:tcBorders>
              <w:left w:val="single" w:color="auto" w:sz="4" w:space="0"/>
            </w:tcBorders>
            <w:noWrap w:val="0"/>
            <w:vAlign w:val="center"/>
          </w:tcPr>
          <w:p w14:paraId="0BB8EA46">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1503" w:type="pct"/>
            <w:noWrap w:val="0"/>
            <w:vAlign w:val="center"/>
          </w:tcPr>
          <w:p w14:paraId="254A49AA">
            <w:pPr>
              <w:snapToGrid w:val="0"/>
              <w:spacing w:before="120" w:beforeLines="50" w:line="360" w:lineRule="auto"/>
              <w:jc w:val="center"/>
              <w:rPr>
                <w:rFonts w:hint="eastAsia" w:ascii="宋体" w:hAnsi="宋体" w:eastAsia="宋体" w:cs="宋体"/>
                <w:color w:val="auto"/>
                <w:sz w:val="24"/>
                <w:highlight w:val="none"/>
                <w:lang w:val="en-US" w:eastAsia="zh-CN"/>
              </w:rPr>
            </w:pPr>
          </w:p>
        </w:tc>
        <w:tc>
          <w:tcPr>
            <w:tcW w:w="820" w:type="pct"/>
            <w:tcBorders>
              <w:right w:val="single" w:color="auto" w:sz="4" w:space="0"/>
            </w:tcBorders>
            <w:noWrap w:val="0"/>
            <w:vAlign w:val="center"/>
          </w:tcPr>
          <w:p w14:paraId="15B188D0">
            <w:pPr>
              <w:snapToGrid w:val="0"/>
              <w:spacing w:before="120" w:beforeLines="50" w:line="360" w:lineRule="auto"/>
              <w:jc w:val="center"/>
              <w:rPr>
                <w:rFonts w:hint="eastAsia" w:ascii="宋体" w:hAnsi="宋体" w:eastAsia="宋体" w:cs="宋体"/>
                <w:color w:val="auto"/>
                <w:sz w:val="24"/>
                <w:highlight w:val="none"/>
                <w:lang w:val="en-US" w:eastAsia="zh-CN"/>
              </w:rPr>
            </w:pPr>
          </w:p>
        </w:tc>
      </w:tr>
    </w:tbl>
    <w:p w14:paraId="32E45EA0">
      <w:pPr>
        <w:pStyle w:val="10"/>
        <w:spacing w:line="360" w:lineRule="auto"/>
        <w:ind w:firstLine="0" w:firstLineChars="0"/>
        <w:contextualSpacing/>
        <w:rPr>
          <w:rFonts w:hint="eastAsia" w:ascii="宋体" w:hAnsi="宋体" w:eastAsia="宋体" w:cs="宋体"/>
          <w:color w:val="auto"/>
          <w:sz w:val="24"/>
          <w:szCs w:val="24"/>
          <w:highlight w:val="none"/>
        </w:rPr>
      </w:pPr>
    </w:p>
    <w:p w14:paraId="5C876C12">
      <w:pPr>
        <w:pStyle w:val="10"/>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3812A02">
      <w:pPr>
        <w:pStyle w:val="1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“第三章 采购需求”中的技术要求逐条实质性响应，并作出偏离说明。</w:t>
      </w:r>
    </w:p>
    <w:p w14:paraId="328C6F15">
      <w:pPr>
        <w:pStyle w:val="1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w:t>
      </w:r>
      <w:r>
        <w:rPr>
          <w:rFonts w:hint="eastAsia" w:ascii="宋体"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设备的性能指标，对照</w:t>
      </w:r>
      <w:r>
        <w:rPr>
          <w:rFonts w:hint="eastAsia" w:ascii="宋体" w:hAnsi="宋体" w:eastAsia="宋体" w:cs="宋体"/>
          <w:color w:val="auto"/>
          <w:sz w:val="24"/>
          <w:szCs w:val="24"/>
          <w:highlight w:val="none"/>
          <w:lang w:eastAsia="zh-CN"/>
        </w:rPr>
        <w:t>单一来源采购文件</w:t>
      </w:r>
      <w:r>
        <w:rPr>
          <w:rFonts w:hint="eastAsia" w:ascii="宋体" w:hAnsi="宋体" w:eastAsia="宋体" w:cs="宋体"/>
          <w:color w:val="auto"/>
          <w:sz w:val="24"/>
          <w:szCs w:val="24"/>
          <w:highlight w:val="none"/>
        </w:rPr>
        <w:t>要求，在“偏离说明”中注明“正偏离”、“负偏离”或者“无偏离”。既不属于“正偏离”也不属于“负偏离”即为“无偏离”。</w:t>
      </w:r>
    </w:p>
    <w:p w14:paraId="4F8BC3AE">
      <w:pPr>
        <w:pStyle w:val="1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3.供应商认为其</w:t>
      </w:r>
      <w:r>
        <w:rPr>
          <w:rFonts w:hint="eastAsia" w:ascii="宋体"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响应有正偏离的，请在</w:t>
      </w:r>
      <w:r>
        <w:rPr>
          <w:rFonts w:hint="eastAsia" w:ascii="宋体" w:hAnsi="宋体" w:eastAsia="宋体" w:cs="宋体"/>
          <w:color w:val="auto"/>
          <w:sz w:val="24"/>
          <w:szCs w:val="24"/>
          <w:highlight w:val="none"/>
          <w:lang w:eastAsia="zh-CN"/>
        </w:rPr>
        <w:t>技术要求偏离表</w:t>
      </w:r>
      <w:r>
        <w:rPr>
          <w:rFonts w:hint="eastAsia" w:ascii="宋体" w:hAnsi="宋体" w:eastAsia="宋体" w:cs="宋体"/>
          <w:color w:val="auto"/>
          <w:sz w:val="24"/>
          <w:szCs w:val="24"/>
          <w:highlight w:val="none"/>
        </w:rPr>
        <w:t>中列明，且在响应文件中提供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eastAsia="zh-CN"/>
        </w:rPr>
        <w:t>材料</w:t>
      </w:r>
      <w:r>
        <w:rPr>
          <w:rFonts w:hint="eastAsia" w:ascii="宋体" w:hAnsi="宋体" w:eastAsia="宋体" w:cs="宋体"/>
          <w:color w:val="auto"/>
          <w:sz w:val="24"/>
          <w:szCs w:val="24"/>
          <w:highlight w:val="none"/>
        </w:rPr>
        <w:t>作为佐证，佐证材料均需加盖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4A72D18F">
      <w:pPr>
        <w:pStyle w:val="1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w:t>
      </w:r>
      <w:r>
        <w:rPr>
          <w:rFonts w:hint="eastAsia" w:ascii="宋体" w:hAnsi="宋体" w:eastAsia="宋体" w:cs="宋体"/>
          <w:color w:val="auto"/>
          <w:sz w:val="24"/>
          <w:szCs w:val="24"/>
          <w:highlight w:val="none"/>
          <w:lang w:eastAsia="zh-CN"/>
        </w:rPr>
        <w:t>技术要求偏离表</w:t>
      </w:r>
      <w:r>
        <w:rPr>
          <w:rFonts w:hint="eastAsia" w:ascii="宋体" w:hAnsi="宋体" w:eastAsia="宋体" w:cs="宋体"/>
          <w:color w:val="auto"/>
          <w:sz w:val="24"/>
          <w:szCs w:val="24"/>
          <w:highlight w:val="none"/>
        </w:rPr>
        <w:t>中的</w:t>
      </w:r>
      <w:r>
        <w:rPr>
          <w:rFonts w:hint="eastAsia" w:ascii="宋体"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响应与佐证材料不一致的，以佐证材料为准。</w:t>
      </w:r>
    </w:p>
    <w:p w14:paraId="5BADABC7">
      <w:pPr>
        <w:pStyle w:val="10"/>
        <w:spacing w:line="360" w:lineRule="auto"/>
        <w:ind w:firstLine="0" w:firstLineChars="0"/>
        <w:contextualSpacing/>
        <w:rPr>
          <w:rFonts w:hint="eastAsia" w:ascii="宋体" w:hAnsi="宋体" w:eastAsia="宋体" w:cs="宋体"/>
          <w:color w:val="auto"/>
          <w:sz w:val="24"/>
          <w:szCs w:val="24"/>
          <w:highlight w:val="none"/>
        </w:rPr>
      </w:pPr>
    </w:p>
    <w:p w14:paraId="71CF2301">
      <w:pPr>
        <w:spacing w:line="360" w:lineRule="auto"/>
        <w:ind w:right="-817" w:rightChars="-389"/>
        <w:contextualSpacing/>
        <w:rPr>
          <w:rFonts w:hint="eastAsia" w:ascii="宋体" w:hAnsi="宋体" w:eastAsia="宋体" w:cs="宋体"/>
          <w:color w:val="auto"/>
          <w:sz w:val="24"/>
          <w:highlight w:val="none"/>
        </w:rPr>
      </w:pPr>
    </w:p>
    <w:p w14:paraId="57055C3B">
      <w:pPr>
        <w:spacing w:line="360" w:lineRule="auto"/>
        <w:ind w:right="-817" w:rightChars="-389"/>
        <w:contextualSpacing/>
        <w:jc w:val="both"/>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法定代表人（负责人）或授权委托代理人（签字或签章或加盖印鉴或电子签名）</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 xml:space="preserve">       </w:t>
      </w:r>
    </w:p>
    <w:p w14:paraId="427DFCD0">
      <w:pPr>
        <w:spacing w:line="360" w:lineRule="auto"/>
        <w:ind w:right="-817" w:rightChars="-389"/>
        <w:contextualSpacing/>
        <w:rPr>
          <w:rFonts w:hint="eastAsia" w:ascii="宋体" w:hAnsi="宋体" w:eastAsia="宋体" w:cs="宋体"/>
          <w:color w:val="auto"/>
          <w:sz w:val="24"/>
          <w:highlight w:val="none"/>
        </w:rPr>
      </w:pPr>
      <w:r>
        <w:rPr>
          <w:rFonts w:hint="eastAsia" w:ascii="宋体" w:hAnsi="宋体" w:cs="宋体"/>
          <w:color w:val="auto"/>
          <w:sz w:val="24"/>
          <w:highlight w:val="none"/>
        </w:rPr>
        <w:t>投标人名称（CA 电子签章）</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 xml:space="preserve">       </w:t>
      </w:r>
    </w:p>
    <w:p w14:paraId="3AF4AA24">
      <w:pPr>
        <w:spacing w:line="360" w:lineRule="auto"/>
        <w:ind w:right="-817" w:rightChars="-3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EFA0E51">
      <w:pPr>
        <w:spacing w:line="300" w:lineRule="auto"/>
        <w:rPr>
          <w:rFonts w:hint="eastAsia" w:ascii="宋体" w:hAnsi="宋体"/>
          <w:color w:val="auto"/>
          <w:szCs w:val="21"/>
          <w:highlight w:val="none"/>
        </w:rPr>
      </w:pPr>
      <w:r>
        <w:rPr>
          <w:rFonts w:hint="eastAsia" w:ascii="宋体" w:hAnsi="宋体" w:eastAsia="宋体" w:cs="宋体"/>
          <w:b/>
          <w:bCs/>
          <w:color w:val="auto"/>
          <w:sz w:val="24"/>
          <w:highlight w:val="none"/>
        </w:rPr>
        <w:br w:type="page"/>
      </w:r>
      <w:bookmarkStart w:id="31" w:name="_Toc16152"/>
      <w:bookmarkStart w:id="32" w:name="_Toc74322013"/>
      <w:r>
        <w:rPr>
          <w:rFonts w:hint="eastAsia" w:ascii="宋体" w:hAnsi="宋体"/>
          <w:b/>
          <w:bCs/>
          <w:color w:val="auto"/>
          <w:sz w:val="24"/>
          <w:highlight w:val="none"/>
        </w:rPr>
        <w:t>其他文书、文件格式</w:t>
      </w:r>
    </w:p>
    <w:p w14:paraId="060DBA3B">
      <w:pPr>
        <w:jc w:val="center"/>
        <w:rPr>
          <w:rFonts w:hint="eastAsia" w:ascii="宋体" w:hAnsi="宋体" w:eastAsia="宋体" w:cs="宋体"/>
          <w:color w:val="auto"/>
          <w:sz w:val="44"/>
          <w:szCs w:val="44"/>
          <w:highlight w:val="none"/>
          <w:shd w:val="clear" w:color="auto" w:fill="auto"/>
        </w:rPr>
      </w:pPr>
      <w:bookmarkStart w:id="33" w:name="_Hlk60649458"/>
      <w:bookmarkStart w:id="34" w:name="_Hlk60653683"/>
      <w:r>
        <w:rPr>
          <w:rFonts w:hint="eastAsia" w:ascii="宋体" w:hAnsi="宋体" w:eastAsia="宋体" w:cs="宋体"/>
          <w:color w:val="auto"/>
          <w:sz w:val="44"/>
          <w:szCs w:val="44"/>
          <w:highlight w:val="none"/>
          <w:shd w:val="clear" w:color="auto" w:fill="auto"/>
        </w:rPr>
        <w:t>中小企业声明函（服务）</w:t>
      </w:r>
    </w:p>
    <w:p w14:paraId="1E8155A5">
      <w:pPr>
        <w:spacing w:line="500" w:lineRule="exact"/>
        <w:ind w:right="142" w:firstLine="420" w:firstLineChars="200"/>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本公司（联合体）</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highlight w:val="none"/>
          <w:shd w:val="clear" w:color="auto" w:fill="auto"/>
        </w:rPr>
        <w:t>郑重声明，根据《政府采购促进中小企业发展管理办法》（财库﹝2020﹞46号）的规定，本公司（联合体）参加</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highlight w:val="none"/>
          <w:u w:val="single"/>
          <w:shd w:val="clear" w:color="auto" w:fill="auto"/>
        </w:rPr>
        <w:t>（单位名称）</w:t>
      </w:r>
      <w:r>
        <w:rPr>
          <w:rFonts w:hint="eastAsia" w:ascii="宋体" w:hAnsi="宋体" w:eastAsia="宋体" w:cs="宋体"/>
          <w:color w:val="auto"/>
          <w:kern w:val="0"/>
          <w:highlight w:val="none"/>
          <w:shd w:val="clear" w:color="auto" w:fill="auto"/>
        </w:rPr>
        <w:t>的</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highlight w:val="none"/>
          <w:u w:val="single"/>
          <w:shd w:val="clear" w:color="auto" w:fill="auto"/>
        </w:rPr>
        <w:t>（项目名称）</w:t>
      </w:r>
      <w:r>
        <w:rPr>
          <w:rFonts w:hint="eastAsia" w:ascii="宋体" w:hAnsi="宋体" w:eastAsia="宋体" w:cs="宋体"/>
          <w:color w:val="auto"/>
          <w:kern w:val="0"/>
          <w:highlight w:val="none"/>
          <w:shd w:val="clear" w:color="auto" w:fill="auto"/>
        </w:rPr>
        <w:t>采购活动，服务全部由符合政策要求的中小企业承接。相关企业（含联合体中的中小企业、签订分包意向协议的中小企业）的具体情况如下：</w:t>
      </w:r>
    </w:p>
    <w:p w14:paraId="263AA588">
      <w:pPr>
        <w:tabs>
          <w:tab w:val="left" w:pos="1384"/>
          <w:tab w:val="left" w:pos="4562"/>
          <w:tab w:val="left" w:pos="6803"/>
        </w:tabs>
        <w:spacing w:before="13" w:line="500" w:lineRule="exact"/>
        <w:ind w:right="142" w:firstLine="600" w:firstLineChars="286"/>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w:t>
      </w:r>
      <w:r>
        <w:rPr>
          <w:rFonts w:hint="eastAsia" w:ascii="宋体" w:hAnsi="宋体" w:eastAsia="宋体" w:cs="宋体"/>
          <w:color w:val="auto"/>
          <w:highlight w:val="none"/>
          <w:u w:val="single"/>
          <w:shd w:val="clear" w:color="auto" w:fill="auto"/>
        </w:rPr>
        <w:t xml:space="preserve">（标的名称）    </w:t>
      </w:r>
      <w:r>
        <w:rPr>
          <w:rFonts w:hint="eastAsia" w:ascii="宋体" w:hAnsi="宋体" w:eastAsia="宋体" w:cs="宋体"/>
          <w:color w:val="auto"/>
          <w:highlight w:val="none"/>
          <w:shd w:val="clear" w:color="auto" w:fill="auto"/>
        </w:rPr>
        <w:t>，属于</w:t>
      </w:r>
      <w:r>
        <w:rPr>
          <w:rFonts w:hint="eastAsia" w:ascii="宋体" w:hAnsi="宋体" w:eastAsia="宋体" w:cs="宋体"/>
          <w:i/>
          <w:iCs/>
          <w:color w:val="auto"/>
          <w:highlight w:val="none"/>
          <w:u w:val="single"/>
          <w:shd w:val="clear" w:color="auto" w:fill="auto"/>
        </w:rPr>
        <w:t xml:space="preserve">    </w:t>
      </w:r>
      <w:r>
        <w:rPr>
          <w:rFonts w:hint="eastAsia" w:ascii="宋体" w:hAnsi="宋体" w:eastAsia="宋体" w:cs="宋体"/>
          <w:color w:val="auto"/>
          <w:highlight w:val="none"/>
          <w:u w:val="single"/>
          <w:shd w:val="clear" w:color="auto" w:fill="auto"/>
        </w:rPr>
        <w:t>（</w:t>
      </w:r>
      <w:r>
        <w:rPr>
          <w:rFonts w:hint="eastAsia" w:ascii="宋体" w:hAnsi="宋体" w:eastAsia="宋体" w:cs="宋体"/>
          <w:color w:val="auto"/>
          <w:highlight w:val="none"/>
          <w:u w:val="single"/>
          <w:shd w:val="clear" w:color="auto" w:fill="auto"/>
          <w:lang w:eastAsia="zh-CN"/>
        </w:rPr>
        <w:t>招标文件</w:t>
      </w:r>
      <w:r>
        <w:rPr>
          <w:rFonts w:hint="eastAsia" w:ascii="宋体" w:hAnsi="宋体" w:eastAsia="宋体" w:cs="宋体"/>
          <w:color w:val="auto"/>
          <w:highlight w:val="none"/>
          <w:u w:val="single"/>
          <w:shd w:val="clear" w:color="auto" w:fill="auto"/>
        </w:rPr>
        <w:t>中明确的所属行业）</w:t>
      </w:r>
      <w:r>
        <w:rPr>
          <w:rFonts w:hint="eastAsia" w:ascii="宋体" w:hAnsi="宋体" w:eastAsia="宋体" w:cs="宋体"/>
          <w:color w:val="auto"/>
          <w:highlight w:val="none"/>
          <w:shd w:val="clear" w:color="auto" w:fill="auto"/>
        </w:rPr>
        <w:t>；承接企业为</w:t>
      </w:r>
      <w:r>
        <w:rPr>
          <w:rFonts w:hint="eastAsia" w:ascii="宋体" w:hAnsi="宋体" w:eastAsia="宋体" w:cs="宋体"/>
          <w:color w:val="auto"/>
          <w:highlight w:val="none"/>
          <w:u w:val="single"/>
          <w:shd w:val="clear" w:color="auto" w:fill="auto"/>
        </w:rPr>
        <w:t>（企业名称）</w:t>
      </w:r>
      <w:r>
        <w:rPr>
          <w:rFonts w:hint="eastAsia" w:ascii="宋体" w:hAnsi="宋体" w:eastAsia="宋体"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，从业人员</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人，营业收入为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万元，资产总额为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万元，属于</w:t>
      </w:r>
      <w:r>
        <w:rPr>
          <w:rFonts w:hint="eastAsia" w:ascii="宋体" w:hAnsi="宋体" w:eastAsia="宋体" w:cs="宋体"/>
          <w:color w:val="auto"/>
          <w:highlight w:val="none"/>
          <w:u w:val="single"/>
          <w:shd w:val="clear" w:color="auto" w:fill="auto"/>
        </w:rPr>
        <w:t xml:space="preserve">      （中型企业、小型企业、微型企业）</w:t>
      </w:r>
      <w:r>
        <w:rPr>
          <w:rFonts w:hint="eastAsia" w:ascii="宋体" w:hAnsi="宋体" w:eastAsia="宋体" w:cs="宋体"/>
          <w:color w:val="auto"/>
          <w:highlight w:val="none"/>
          <w:shd w:val="clear" w:color="auto" w:fill="auto"/>
        </w:rPr>
        <w:t>；</w:t>
      </w:r>
    </w:p>
    <w:p w14:paraId="20C896D8">
      <w:pPr>
        <w:tabs>
          <w:tab w:val="left" w:pos="1065"/>
          <w:tab w:val="left" w:pos="4262"/>
          <w:tab w:val="left" w:pos="6477"/>
        </w:tabs>
        <w:spacing w:before="20" w:line="500" w:lineRule="exact"/>
        <w:ind w:right="84" w:firstLine="600" w:firstLineChars="286"/>
        <w:rPr>
          <w:rFonts w:hint="eastAsia" w:ascii="宋体" w:hAnsi="宋体" w:eastAsia="宋体" w:cs="宋体"/>
          <w:color w:val="auto"/>
          <w:highlight w:val="none"/>
          <w:u w:val="single"/>
          <w:shd w:val="clear" w:color="auto" w:fill="auto"/>
        </w:rPr>
      </w:pPr>
      <w:r>
        <w:rPr>
          <w:rFonts w:hint="eastAsia" w:ascii="宋体" w:hAnsi="宋体" w:eastAsia="宋体" w:cs="宋体"/>
          <w:color w:val="auto"/>
          <w:highlight w:val="none"/>
          <w:shd w:val="clear" w:color="auto" w:fill="auto"/>
        </w:rPr>
        <w:t>2.</w:t>
      </w:r>
      <w:r>
        <w:rPr>
          <w:rFonts w:hint="eastAsia" w:ascii="宋体" w:hAnsi="宋体" w:eastAsia="宋体" w:cs="宋体"/>
          <w:color w:val="auto"/>
          <w:highlight w:val="none"/>
          <w:u w:val="single"/>
          <w:shd w:val="clear" w:color="auto" w:fill="auto"/>
        </w:rPr>
        <w:t xml:space="preserve">（标的名称）      </w:t>
      </w:r>
      <w:r>
        <w:rPr>
          <w:rFonts w:hint="eastAsia" w:ascii="宋体" w:hAnsi="宋体" w:eastAsia="宋体" w:cs="宋体"/>
          <w:color w:val="auto"/>
          <w:highlight w:val="none"/>
          <w:shd w:val="clear" w:color="auto" w:fill="auto"/>
        </w:rPr>
        <w:t>，属于</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u w:val="single"/>
          <w:shd w:val="clear" w:color="auto" w:fill="auto"/>
          <w:lang w:eastAsia="zh-CN"/>
        </w:rPr>
        <w:t>招标文件</w:t>
      </w:r>
      <w:r>
        <w:rPr>
          <w:rFonts w:hint="eastAsia" w:ascii="宋体" w:hAnsi="宋体" w:eastAsia="宋体" w:cs="宋体"/>
          <w:color w:val="auto"/>
          <w:highlight w:val="none"/>
          <w:u w:val="single"/>
          <w:shd w:val="clear" w:color="auto" w:fill="auto"/>
        </w:rPr>
        <w:t>中明确的所属行业）</w:t>
      </w:r>
      <w:r>
        <w:rPr>
          <w:rFonts w:hint="eastAsia" w:ascii="宋体" w:hAnsi="宋体" w:eastAsia="宋体" w:cs="宋体"/>
          <w:color w:val="auto"/>
          <w:highlight w:val="none"/>
          <w:shd w:val="clear" w:color="auto" w:fill="auto"/>
        </w:rPr>
        <w:t>；承接企业为</w:t>
      </w:r>
      <w:r>
        <w:rPr>
          <w:rFonts w:hint="eastAsia" w:ascii="宋体" w:hAnsi="宋体" w:eastAsia="宋体" w:cs="宋体"/>
          <w:color w:val="auto"/>
          <w:highlight w:val="none"/>
          <w:u w:val="single"/>
          <w:shd w:val="clear" w:color="auto" w:fill="auto"/>
        </w:rPr>
        <w:t xml:space="preserve">        </w:t>
      </w:r>
    </w:p>
    <w:p w14:paraId="61E6ECD6">
      <w:pPr>
        <w:tabs>
          <w:tab w:val="left" w:pos="1065"/>
          <w:tab w:val="left" w:pos="4262"/>
          <w:tab w:val="left" w:pos="6477"/>
        </w:tabs>
        <w:spacing w:before="20" w:line="500" w:lineRule="exact"/>
        <w:ind w:right="84"/>
        <w:rPr>
          <w:rFonts w:hint="eastAsia" w:ascii="宋体" w:hAnsi="宋体" w:eastAsia="宋体" w:cs="宋体"/>
          <w:color w:val="auto"/>
          <w:highlight w:val="none"/>
          <w:u w:val="single"/>
          <w:shd w:val="clear" w:color="auto" w:fill="auto"/>
        </w:rPr>
      </w:pPr>
      <w:r>
        <w:rPr>
          <w:rFonts w:hint="eastAsia" w:ascii="宋体" w:hAnsi="宋体" w:eastAsia="宋体" w:cs="宋体"/>
          <w:color w:val="auto"/>
          <w:highlight w:val="none"/>
          <w:u w:val="single"/>
          <w:shd w:val="clear" w:color="auto" w:fill="auto"/>
        </w:rPr>
        <w:t>（企业名称）</w:t>
      </w:r>
      <w:r>
        <w:rPr>
          <w:rFonts w:hint="eastAsia" w:ascii="宋体" w:hAnsi="宋体" w:eastAsia="宋体" w:cs="宋体"/>
          <w:color w:val="auto"/>
          <w:highlight w:val="none"/>
          <w:u w:val="single"/>
          <w:shd w:val="clear" w:color="auto" w:fill="auto"/>
          <w:lang w:val="en-US" w:eastAsia="zh-CN"/>
        </w:rPr>
        <w:t xml:space="preserve">       </w:t>
      </w:r>
      <w:r>
        <w:rPr>
          <w:rFonts w:hint="eastAsia" w:ascii="宋体" w:hAnsi="宋体" w:eastAsia="宋体" w:cs="宋体"/>
          <w:color w:val="auto"/>
          <w:highlight w:val="none"/>
          <w:shd w:val="clear" w:color="auto" w:fill="auto"/>
        </w:rPr>
        <w:t>，从业人员</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人，营业收入为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万元，资产总额为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万元，属于</w:t>
      </w:r>
      <w:r>
        <w:rPr>
          <w:rFonts w:hint="eastAsia" w:ascii="宋体" w:hAnsi="宋体" w:eastAsia="宋体" w:cs="宋体"/>
          <w:color w:val="auto"/>
          <w:highlight w:val="none"/>
          <w:u w:val="single"/>
          <w:shd w:val="clear" w:color="auto" w:fill="auto"/>
        </w:rPr>
        <w:t xml:space="preserve">      （中型企业、小型企业、微型企业）</w:t>
      </w:r>
      <w:r>
        <w:rPr>
          <w:rFonts w:hint="eastAsia" w:ascii="宋体" w:hAnsi="宋体" w:eastAsia="宋体" w:cs="宋体"/>
          <w:color w:val="auto"/>
          <w:highlight w:val="none"/>
          <w:shd w:val="clear" w:color="auto" w:fill="auto"/>
        </w:rPr>
        <w:t>；</w:t>
      </w:r>
    </w:p>
    <w:p w14:paraId="298F2C70">
      <w:pPr>
        <w:spacing w:before="34" w:line="500" w:lineRule="exact"/>
        <w:ind w:left="765" w:right="142" w:hanging="5"/>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 xml:space="preserve">…… </w:t>
      </w:r>
    </w:p>
    <w:p w14:paraId="3F77FD8E">
      <w:pPr>
        <w:spacing w:before="34" w:line="500" w:lineRule="exact"/>
        <w:ind w:right="142" w:firstLine="420" w:firstLineChars="200"/>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以上企业，不属于大企业的分支机构，不存在控股股东为大企业的情形，也不存在与大企业的负责人为同一人的情形。</w:t>
      </w:r>
    </w:p>
    <w:p w14:paraId="29074F13">
      <w:pPr>
        <w:spacing w:before="34" w:line="500" w:lineRule="exact"/>
        <w:ind w:right="142" w:firstLine="420" w:firstLineChars="200"/>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本企业对上述声明内容的真实性负责。如有虚假，将依法承担相应责任。</w:t>
      </w:r>
    </w:p>
    <w:p w14:paraId="61F1C4F2">
      <w:pPr>
        <w:spacing w:before="56" w:line="500" w:lineRule="exact"/>
        <w:ind w:left="3960" w:right="1808"/>
        <w:rPr>
          <w:rFonts w:hint="default" w:ascii="宋体" w:hAnsi="宋体" w:eastAsia="宋体" w:cs="宋体"/>
          <w:color w:val="auto"/>
          <w:kern w:val="0"/>
          <w:highlight w:val="none"/>
          <w:u w:val="single"/>
          <w:shd w:val="clear" w:color="auto" w:fill="auto"/>
          <w:lang w:val="en-US" w:eastAsia="zh-CN"/>
        </w:rPr>
      </w:pPr>
      <w:r>
        <w:rPr>
          <w:rFonts w:hint="eastAsia" w:ascii="宋体" w:hAnsi="宋体" w:eastAsia="宋体" w:cs="宋体"/>
          <w:color w:val="auto"/>
          <w:kern w:val="24"/>
          <w:highlight w:val="none"/>
          <w:shd w:val="clear" w:color="auto" w:fill="auto"/>
        </w:rPr>
        <w:t>企业名称（盖电子公章）：</w:t>
      </w:r>
      <w:r>
        <w:rPr>
          <w:rFonts w:hint="eastAsia" w:ascii="宋体" w:hAnsi="宋体" w:eastAsia="宋体" w:cs="宋体"/>
          <w:color w:val="auto"/>
          <w:kern w:val="24"/>
          <w:highlight w:val="none"/>
          <w:shd w:val="clear" w:color="auto" w:fill="auto"/>
          <w:lang w:val="en-US" w:eastAsia="zh-CN"/>
        </w:rPr>
        <w:t xml:space="preserve">      </w:t>
      </w:r>
    </w:p>
    <w:p w14:paraId="3EBA27A2">
      <w:pPr>
        <w:spacing w:before="56" w:line="500" w:lineRule="exact"/>
        <w:ind w:left="3960" w:right="1808"/>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日 期：</w:t>
      </w:r>
    </w:p>
    <w:p w14:paraId="2D66FEBB">
      <w:pPr>
        <w:spacing w:line="360" w:lineRule="auto"/>
        <w:ind w:firstLine="3600" w:firstLineChars="1500"/>
        <w:rPr>
          <w:rFonts w:hint="eastAsia" w:ascii="宋体" w:hAnsi="宋体" w:eastAsia="宋体" w:cs="宋体"/>
          <w:bCs/>
          <w:color w:val="auto"/>
          <w:sz w:val="24"/>
          <w:szCs w:val="24"/>
          <w:highlight w:val="none"/>
        </w:rPr>
      </w:pPr>
    </w:p>
    <w:bookmarkEnd w:id="33"/>
    <w:bookmarkEnd w:id="34"/>
    <w:p w14:paraId="7DBAEB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享受《政府采购促进中小企业发展管理办法》（财库〔2020〕46号）规定的中小企业扶持政策的，招标人、采购代理机构应当随中标结果公开中标人的《中小企业声明函》。从业人员、营业收入、资产总额填报上一年度数据，无上一年度数据的新成立企业可不填报。</w:t>
      </w:r>
    </w:p>
    <w:p w14:paraId="59C77764">
      <w:pPr>
        <w:pStyle w:val="29"/>
        <w:rPr>
          <w:rFonts w:hint="eastAsia" w:ascii="宋体" w:hAnsi="宋体" w:eastAsia="宋体" w:cs="宋体"/>
          <w:color w:val="auto"/>
          <w:sz w:val="21"/>
          <w:szCs w:val="21"/>
          <w:highlight w:val="none"/>
        </w:rPr>
      </w:pPr>
    </w:p>
    <w:p w14:paraId="3CC19B8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注：根据《政府采购促进中小企业发展管理办法》第四条“在政府采购活动中，供应商提供的货物、工程或者服务符合下列情形的，享受本办法规定的中小企业扶持 政策：（一）在货物采购项目中，货物由中小企业制造，即货 物由中小企业生产且使用该中小企业商号或者注册商标；（二）在工程采购项目中，工程由中小企业承建，即工 程施工单位为中小企业；（三）在服务采购项目中，服务由中小企业承接，即提供服务的人员为中小企业依照《中华人民共和国劳动合同法》订立劳动合同的从业人员。</w:t>
      </w:r>
    </w:p>
    <w:p w14:paraId="759B57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在货物采购项目中，供应商提供的货物既有中小企业制造货物，也有大型企业制造货物的，不享受本办法规定的中小企业扶持政策。以联合体形式参加政府采购活动，联合体各方均为中小 企业的，联合体视同中小企业。其中，联合体各方均为小微企业的，联合体视同小微企业。</w:t>
      </w:r>
    </w:p>
    <w:p w14:paraId="06453070">
      <w:pPr>
        <w:rPr>
          <w:rFonts w:hint="eastAsia" w:ascii="宋体" w:hAnsi="宋体" w:cs="宋体"/>
          <w:b/>
          <w:bCs/>
          <w:color w:val="auto"/>
          <w:sz w:val="24"/>
          <w:szCs w:val="32"/>
          <w:highlight w:val="none"/>
        </w:rPr>
      </w:pPr>
    </w:p>
    <w:p w14:paraId="2D5358B9">
      <w:pPr>
        <w:rPr>
          <w:rFonts w:hint="eastAsia" w:ascii="宋体" w:hAnsi="宋体" w:cs="宋体"/>
          <w:b/>
          <w:bCs/>
          <w:color w:val="auto"/>
          <w:sz w:val="24"/>
          <w:szCs w:val="32"/>
          <w:highlight w:val="none"/>
        </w:rPr>
      </w:pPr>
    </w:p>
    <w:p w14:paraId="2D5C5D1D">
      <w:pP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3EEC5A9B">
      <w:pPr>
        <w:pStyle w:val="12"/>
        <w:jc w:val="left"/>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w:t>
      </w:r>
    </w:p>
    <w:p w14:paraId="216B7965">
      <w:pPr>
        <w:jc w:val="center"/>
        <w:rPr>
          <w:rFonts w:hint="eastAsia"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60284963">
      <w:pPr>
        <w:ind w:left="1871"/>
        <w:rPr>
          <w:rFonts w:hint="eastAsia" w:ascii="宋体" w:hAnsi="宋体" w:cs="Arial Unicode MS"/>
          <w:color w:val="auto"/>
          <w:szCs w:val="21"/>
          <w:highlight w:val="none"/>
        </w:rPr>
      </w:pPr>
    </w:p>
    <w:tbl>
      <w:tblPr>
        <w:tblStyle w:val="20"/>
        <w:tblW w:w="8496" w:type="dxa"/>
        <w:jc w:val="center"/>
        <w:tblLayout w:type="fixed"/>
        <w:tblCellMar>
          <w:top w:w="0" w:type="dxa"/>
          <w:left w:w="108" w:type="dxa"/>
          <w:bottom w:w="0" w:type="dxa"/>
          <w:right w:w="108" w:type="dxa"/>
        </w:tblCellMar>
      </w:tblPr>
      <w:tblGrid>
        <w:gridCol w:w="1811"/>
        <w:gridCol w:w="1473"/>
        <w:gridCol w:w="972"/>
        <w:gridCol w:w="1725"/>
        <w:gridCol w:w="1532"/>
        <w:gridCol w:w="983"/>
      </w:tblGrid>
      <w:tr w14:paraId="0D8E1587">
        <w:tblPrEx>
          <w:tblCellMar>
            <w:top w:w="0" w:type="dxa"/>
            <w:left w:w="108" w:type="dxa"/>
            <w:bottom w:w="0" w:type="dxa"/>
            <w:right w:w="108" w:type="dxa"/>
          </w:tblCellMar>
        </w:tblPrEx>
        <w:trPr>
          <w:trHeight w:val="884" w:hRule="atLeast"/>
          <w:jc w:val="center"/>
        </w:trPr>
        <w:tc>
          <w:tcPr>
            <w:tcW w:w="1811" w:type="dxa"/>
            <w:tcBorders>
              <w:top w:val="single" w:color="auto" w:sz="4" w:space="0"/>
              <w:left w:val="single" w:color="auto" w:sz="4" w:space="0"/>
              <w:bottom w:val="single" w:color="auto" w:sz="4" w:space="0"/>
              <w:right w:val="single" w:color="auto" w:sz="4" w:space="0"/>
            </w:tcBorders>
            <w:noWrap w:val="0"/>
            <w:vAlign w:val="center"/>
          </w:tcPr>
          <w:p w14:paraId="66CE826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473" w:type="dxa"/>
            <w:tcBorders>
              <w:top w:val="single" w:color="auto" w:sz="4" w:space="0"/>
              <w:left w:val="nil"/>
              <w:bottom w:val="single" w:color="auto" w:sz="4" w:space="0"/>
              <w:right w:val="single" w:color="auto" w:sz="4" w:space="0"/>
            </w:tcBorders>
            <w:noWrap w:val="0"/>
            <w:vAlign w:val="center"/>
          </w:tcPr>
          <w:p w14:paraId="4B7D484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72" w:type="dxa"/>
            <w:tcBorders>
              <w:top w:val="single" w:color="auto" w:sz="4" w:space="0"/>
              <w:left w:val="nil"/>
              <w:bottom w:val="single" w:color="auto" w:sz="4" w:space="0"/>
              <w:right w:val="single" w:color="auto" w:sz="4" w:space="0"/>
            </w:tcBorders>
            <w:noWrap w:val="0"/>
            <w:vAlign w:val="center"/>
          </w:tcPr>
          <w:p w14:paraId="74E41CC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725" w:type="dxa"/>
            <w:tcBorders>
              <w:top w:val="single" w:color="auto" w:sz="4" w:space="0"/>
              <w:left w:val="nil"/>
              <w:bottom w:val="single" w:color="auto" w:sz="4" w:space="0"/>
              <w:right w:val="single" w:color="auto" w:sz="4" w:space="0"/>
            </w:tcBorders>
            <w:noWrap w:val="0"/>
            <w:vAlign w:val="center"/>
          </w:tcPr>
          <w:p w14:paraId="67A9803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532" w:type="dxa"/>
            <w:tcBorders>
              <w:top w:val="single" w:color="auto" w:sz="4" w:space="0"/>
              <w:left w:val="nil"/>
              <w:bottom w:val="single" w:color="auto" w:sz="4" w:space="0"/>
              <w:right w:val="single" w:color="auto" w:sz="4" w:space="0"/>
            </w:tcBorders>
            <w:noWrap w:val="0"/>
            <w:vAlign w:val="center"/>
          </w:tcPr>
          <w:p w14:paraId="4CE4C39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83" w:type="dxa"/>
            <w:tcBorders>
              <w:top w:val="single" w:color="auto" w:sz="4" w:space="0"/>
              <w:left w:val="nil"/>
              <w:bottom w:val="single" w:color="auto" w:sz="4" w:space="0"/>
              <w:right w:val="single" w:color="auto" w:sz="4" w:space="0"/>
            </w:tcBorders>
            <w:noWrap w:val="0"/>
            <w:vAlign w:val="center"/>
          </w:tcPr>
          <w:p w14:paraId="3290B86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44634ABC">
        <w:tblPrEx>
          <w:tblCellMar>
            <w:top w:w="0" w:type="dxa"/>
            <w:left w:w="108" w:type="dxa"/>
            <w:bottom w:w="0" w:type="dxa"/>
            <w:right w:w="108" w:type="dxa"/>
          </w:tblCellMar>
        </w:tblPrEx>
        <w:trPr>
          <w:trHeight w:val="352" w:hRule="atLeast"/>
          <w:jc w:val="center"/>
        </w:trPr>
        <w:tc>
          <w:tcPr>
            <w:tcW w:w="1811" w:type="dxa"/>
            <w:tcBorders>
              <w:top w:val="nil"/>
              <w:left w:val="single" w:color="auto" w:sz="4" w:space="0"/>
              <w:bottom w:val="single" w:color="auto" w:sz="4" w:space="0"/>
              <w:right w:val="single" w:color="auto" w:sz="4" w:space="0"/>
            </w:tcBorders>
            <w:noWrap w:val="0"/>
            <w:vAlign w:val="bottom"/>
          </w:tcPr>
          <w:p w14:paraId="3F0F2DC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473" w:type="dxa"/>
            <w:tcBorders>
              <w:top w:val="nil"/>
              <w:left w:val="nil"/>
              <w:bottom w:val="single" w:color="auto" w:sz="4" w:space="0"/>
              <w:right w:val="single" w:color="auto" w:sz="4" w:space="0"/>
            </w:tcBorders>
            <w:noWrap w:val="0"/>
            <w:vAlign w:val="center"/>
          </w:tcPr>
          <w:p w14:paraId="6C73CF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3DB2C1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53BE18F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32" w:type="dxa"/>
            <w:tcBorders>
              <w:top w:val="nil"/>
              <w:left w:val="nil"/>
              <w:bottom w:val="single" w:color="auto" w:sz="4" w:space="0"/>
              <w:right w:val="single" w:color="auto" w:sz="4" w:space="0"/>
            </w:tcBorders>
            <w:noWrap w:val="0"/>
            <w:vAlign w:val="center"/>
          </w:tcPr>
          <w:p w14:paraId="5C0F56B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83" w:type="dxa"/>
            <w:tcBorders>
              <w:top w:val="nil"/>
              <w:left w:val="nil"/>
              <w:bottom w:val="single" w:color="auto" w:sz="4" w:space="0"/>
              <w:right w:val="single" w:color="auto" w:sz="4" w:space="0"/>
            </w:tcBorders>
            <w:noWrap w:val="0"/>
            <w:vAlign w:val="center"/>
          </w:tcPr>
          <w:p w14:paraId="1B0ACF8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14E778FF">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15D1B55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473" w:type="dxa"/>
            <w:tcBorders>
              <w:top w:val="nil"/>
              <w:left w:val="nil"/>
              <w:bottom w:val="single" w:color="auto" w:sz="4" w:space="0"/>
              <w:right w:val="single" w:color="auto" w:sz="4" w:space="0"/>
            </w:tcBorders>
            <w:noWrap w:val="0"/>
            <w:vAlign w:val="center"/>
          </w:tcPr>
          <w:p w14:paraId="0CA6EF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648C51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13FEB3E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2" w:type="dxa"/>
            <w:tcBorders>
              <w:top w:val="nil"/>
              <w:left w:val="nil"/>
              <w:bottom w:val="single" w:color="auto" w:sz="4" w:space="0"/>
              <w:right w:val="single" w:color="auto" w:sz="4" w:space="0"/>
            </w:tcBorders>
            <w:noWrap w:val="0"/>
            <w:vAlign w:val="center"/>
          </w:tcPr>
          <w:p w14:paraId="00E94F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83" w:type="dxa"/>
            <w:tcBorders>
              <w:top w:val="nil"/>
              <w:left w:val="nil"/>
              <w:bottom w:val="single" w:color="auto" w:sz="4" w:space="0"/>
              <w:right w:val="single" w:color="auto" w:sz="4" w:space="0"/>
            </w:tcBorders>
            <w:noWrap w:val="0"/>
            <w:vAlign w:val="center"/>
          </w:tcPr>
          <w:p w14:paraId="1C96EC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C9FE5D6">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2E006FB8">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377374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7F6295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54D3F7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532" w:type="dxa"/>
            <w:tcBorders>
              <w:top w:val="nil"/>
              <w:left w:val="nil"/>
              <w:bottom w:val="single" w:color="auto" w:sz="4" w:space="0"/>
              <w:right w:val="single" w:color="auto" w:sz="4" w:space="0"/>
            </w:tcBorders>
            <w:noWrap w:val="0"/>
            <w:vAlign w:val="center"/>
          </w:tcPr>
          <w:p w14:paraId="3F152A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83" w:type="dxa"/>
            <w:tcBorders>
              <w:top w:val="nil"/>
              <w:left w:val="nil"/>
              <w:bottom w:val="single" w:color="auto" w:sz="4" w:space="0"/>
              <w:right w:val="single" w:color="auto" w:sz="4" w:space="0"/>
            </w:tcBorders>
            <w:noWrap w:val="0"/>
            <w:vAlign w:val="center"/>
          </w:tcPr>
          <w:p w14:paraId="46A6F3C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E221E60">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647ED9A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473" w:type="dxa"/>
            <w:tcBorders>
              <w:top w:val="nil"/>
              <w:left w:val="nil"/>
              <w:bottom w:val="single" w:color="auto" w:sz="4" w:space="0"/>
              <w:right w:val="single" w:color="auto" w:sz="4" w:space="0"/>
            </w:tcBorders>
            <w:noWrap w:val="0"/>
            <w:vAlign w:val="center"/>
          </w:tcPr>
          <w:p w14:paraId="372C725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1181F6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38222D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532" w:type="dxa"/>
            <w:tcBorders>
              <w:top w:val="nil"/>
              <w:left w:val="nil"/>
              <w:bottom w:val="single" w:color="auto" w:sz="4" w:space="0"/>
              <w:right w:val="single" w:color="auto" w:sz="4" w:space="0"/>
            </w:tcBorders>
            <w:noWrap w:val="0"/>
            <w:vAlign w:val="center"/>
          </w:tcPr>
          <w:p w14:paraId="52B371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83" w:type="dxa"/>
            <w:tcBorders>
              <w:top w:val="nil"/>
              <w:left w:val="nil"/>
              <w:bottom w:val="single" w:color="auto" w:sz="4" w:space="0"/>
              <w:right w:val="single" w:color="auto" w:sz="4" w:space="0"/>
            </w:tcBorders>
            <w:noWrap w:val="0"/>
            <w:vAlign w:val="center"/>
          </w:tcPr>
          <w:p w14:paraId="23F322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D20A3E8">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036A35B6">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5C2112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72" w:type="dxa"/>
            <w:tcBorders>
              <w:top w:val="nil"/>
              <w:left w:val="nil"/>
              <w:bottom w:val="single" w:color="auto" w:sz="4" w:space="0"/>
              <w:right w:val="single" w:color="auto" w:sz="4" w:space="0"/>
            </w:tcBorders>
            <w:noWrap w:val="0"/>
            <w:vAlign w:val="center"/>
          </w:tcPr>
          <w:p w14:paraId="7E09FD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095793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532" w:type="dxa"/>
            <w:tcBorders>
              <w:top w:val="nil"/>
              <w:left w:val="nil"/>
              <w:bottom w:val="single" w:color="auto" w:sz="4" w:space="0"/>
              <w:right w:val="single" w:color="auto" w:sz="4" w:space="0"/>
            </w:tcBorders>
            <w:noWrap w:val="0"/>
            <w:vAlign w:val="center"/>
          </w:tcPr>
          <w:p w14:paraId="6105F7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83" w:type="dxa"/>
            <w:tcBorders>
              <w:top w:val="nil"/>
              <w:left w:val="nil"/>
              <w:bottom w:val="single" w:color="auto" w:sz="4" w:space="0"/>
              <w:right w:val="single" w:color="auto" w:sz="4" w:space="0"/>
            </w:tcBorders>
            <w:noWrap w:val="0"/>
            <w:vAlign w:val="center"/>
          </w:tcPr>
          <w:p w14:paraId="4A1499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4FD660B7">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1FB0F2A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473" w:type="dxa"/>
            <w:tcBorders>
              <w:top w:val="nil"/>
              <w:left w:val="nil"/>
              <w:bottom w:val="single" w:color="auto" w:sz="4" w:space="0"/>
              <w:right w:val="single" w:color="auto" w:sz="4" w:space="0"/>
            </w:tcBorders>
            <w:noWrap w:val="0"/>
            <w:vAlign w:val="center"/>
          </w:tcPr>
          <w:p w14:paraId="41D4F1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38806B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16260E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532" w:type="dxa"/>
            <w:tcBorders>
              <w:top w:val="nil"/>
              <w:left w:val="nil"/>
              <w:bottom w:val="single" w:color="auto" w:sz="4" w:space="0"/>
              <w:right w:val="single" w:color="auto" w:sz="4" w:space="0"/>
            </w:tcBorders>
            <w:noWrap w:val="0"/>
            <w:vAlign w:val="center"/>
          </w:tcPr>
          <w:p w14:paraId="67B2E17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83" w:type="dxa"/>
            <w:tcBorders>
              <w:top w:val="nil"/>
              <w:left w:val="nil"/>
              <w:bottom w:val="single" w:color="auto" w:sz="4" w:space="0"/>
              <w:right w:val="single" w:color="auto" w:sz="4" w:space="0"/>
            </w:tcBorders>
            <w:noWrap w:val="0"/>
            <w:vAlign w:val="center"/>
          </w:tcPr>
          <w:p w14:paraId="3E1466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42226B61">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481E8664">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465756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3FADBE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3DB712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532" w:type="dxa"/>
            <w:tcBorders>
              <w:top w:val="nil"/>
              <w:left w:val="nil"/>
              <w:bottom w:val="single" w:color="auto" w:sz="4" w:space="0"/>
              <w:right w:val="single" w:color="auto" w:sz="4" w:space="0"/>
            </w:tcBorders>
            <w:noWrap w:val="0"/>
            <w:vAlign w:val="center"/>
          </w:tcPr>
          <w:p w14:paraId="6A3D93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83" w:type="dxa"/>
            <w:tcBorders>
              <w:top w:val="nil"/>
              <w:left w:val="nil"/>
              <w:bottom w:val="single" w:color="auto" w:sz="4" w:space="0"/>
              <w:right w:val="single" w:color="auto" w:sz="4" w:space="0"/>
            </w:tcBorders>
            <w:noWrap w:val="0"/>
            <w:vAlign w:val="center"/>
          </w:tcPr>
          <w:p w14:paraId="0265827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AB39248">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1DF775B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473" w:type="dxa"/>
            <w:tcBorders>
              <w:top w:val="nil"/>
              <w:left w:val="nil"/>
              <w:bottom w:val="single" w:color="auto" w:sz="4" w:space="0"/>
              <w:right w:val="single" w:color="auto" w:sz="4" w:space="0"/>
            </w:tcBorders>
            <w:noWrap w:val="0"/>
            <w:vAlign w:val="center"/>
          </w:tcPr>
          <w:p w14:paraId="7F56AD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47E9A65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4444E2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532" w:type="dxa"/>
            <w:tcBorders>
              <w:top w:val="nil"/>
              <w:left w:val="nil"/>
              <w:bottom w:val="single" w:color="auto" w:sz="4" w:space="0"/>
              <w:right w:val="single" w:color="auto" w:sz="4" w:space="0"/>
            </w:tcBorders>
            <w:noWrap w:val="0"/>
            <w:vAlign w:val="center"/>
          </w:tcPr>
          <w:p w14:paraId="24006F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83" w:type="dxa"/>
            <w:tcBorders>
              <w:top w:val="nil"/>
              <w:left w:val="nil"/>
              <w:bottom w:val="single" w:color="auto" w:sz="4" w:space="0"/>
              <w:right w:val="single" w:color="auto" w:sz="4" w:space="0"/>
            </w:tcBorders>
            <w:noWrap w:val="0"/>
            <w:vAlign w:val="center"/>
          </w:tcPr>
          <w:p w14:paraId="0847A5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443CD0E">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43D19B6D">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386DB4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071B6C4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38E5C7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532" w:type="dxa"/>
            <w:tcBorders>
              <w:top w:val="nil"/>
              <w:left w:val="nil"/>
              <w:bottom w:val="single" w:color="auto" w:sz="4" w:space="0"/>
              <w:right w:val="single" w:color="auto" w:sz="4" w:space="0"/>
            </w:tcBorders>
            <w:noWrap w:val="0"/>
            <w:vAlign w:val="center"/>
          </w:tcPr>
          <w:p w14:paraId="347676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83" w:type="dxa"/>
            <w:tcBorders>
              <w:top w:val="nil"/>
              <w:left w:val="nil"/>
              <w:bottom w:val="single" w:color="auto" w:sz="4" w:space="0"/>
              <w:right w:val="single" w:color="auto" w:sz="4" w:space="0"/>
            </w:tcBorders>
            <w:noWrap w:val="0"/>
            <w:vAlign w:val="center"/>
          </w:tcPr>
          <w:p w14:paraId="0E3607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EC26D22">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7A60B8A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473" w:type="dxa"/>
            <w:tcBorders>
              <w:top w:val="nil"/>
              <w:left w:val="nil"/>
              <w:bottom w:val="single" w:color="auto" w:sz="4" w:space="0"/>
              <w:right w:val="single" w:color="auto" w:sz="4" w:space="0"/>
            </w:tcBorders>
            <w:noWrap w:val="0"/>
            <w:vAlign w:val="center"/>
          </w:tcPr>
          <w:p w14:paraId="5D4C013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5A5C91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4922B0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2" w:type="dxa"/>
            <w:tcBorders>
              <w:top w:val="nil"/>
              <w:left w:val="nil"/>
              <w:bottom w:val="single" w:color="auto" w:sz="4" w:space="0"/>
              <w:right w:val="single" w:color="auto" w:sz="4" w:space="0"/>
            </w:tcBorders>
            <w:noWrap w:val="0"/>
            <w:vAlign w:val="center"/>
          </w:tcPr>
          <w:p w14:paraId="6B70D7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83" w:type="dxa"/>
            <w:tcBorders>
              <w:top w:val="nil"/>
              <w:left w:val="nil"/>
              <w:bottom w:val="single" w:color="auto" w:sz="4" w:space="0"/>
              <w:right w:val="single" w:color="auto" w:sz="4" w:space="0"/>
            </w:tcBorders>
            <w:noWrap w:val="0"/>
            <w:vAlign w:val="center"/>
          </w:tcPr>
          <w:p w14:paraId="44EFCF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0396167">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60EB43C8">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378BE7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0B062E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26261D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532" w:type="dxa"/>
            <w:tcBorders>
              <w:top w:val="nil"/>
              <w:left w:val="nil"/>
              <w:bottom w:val="single" w:color="auto" w:sz="4" w:space="0"/>
              <w:right w:val="single" w:color="auto" w:sz="4" w:space="0"/>
            </w:tcBorders>
            <w:noWrap w:val="0"/>
            <w:vAlign w:val="center"/>
          </w:tcPr>
          <w:p w14:paraId="7D3D81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83" w:type="dxa"/>
            <w:tcBorders>
              <w:top w:val="nil"/>
              <w:left w:val="nil"/>
              <w:bottom w:val="single" w:color="auto" w:sz="4" w:space="0"/>
              <w:right w:val="single" w:color="auto" w:sz="4" w:space="0"/>
            </w:tcBorders>
            <w:noWrap w:val="0"/>
            <w:vAlign w:val="center"/>
          </w:tcPr>
          <w:p w14:paraId="48710E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20D97503">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0A37C3C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473" w:type="dxa"/>
            <w:tcBorders>
              <w:top w:val="nil"/>
              <w:left w:val="nil"/>
              <w:bottom w:val="single" w:color="auto" w:sz="4" w:space="0"/>
              <w:right w:val="single" w:color="auto" w:sz="4" w:space="0"/>
            </w:tcBorders>
            <w:noWrap w:val="0"/>
            <w:vAlign w:val="center"/>
          </w:tcPr>
          <w:p w14:paraId="3AED03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0E8F5E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3B9DAF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532" w:type="dxa"/>
            <w:tcBorders>
              <w:top w:val="nil"/>
              <w:left w:val="nil"/>
              <w:bottom w:val="single" w:color="auto" w:sz="4" w:space="0"/>
              <w:right w:val="single" w:color="auto" w:sz="4" w:space="0"/>
            </w:tcBorders>
            <w:noWrap w:val="0"/>
            <w:vAlign w:val="center"/>
          </w:tcPr>
          <w:p w14:paraId="46B2C4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83" w:type="dxa"/>
            <w:tcBorders>
              <w:top w:val="nil"/>
              <w:left w:val="nil"/>
              <w:bottom w:val="single" w:color="auto" w:sz="4" w:space="0"/>
              <w:right w:val="single" w:color="auto" w:sz="4" w:space="0"/>
            </w:tcBorders>
            <w:noWrap w:val="0"/>
            <w:vAlign w:val="center"/>
          </w:tcPr>
          <w:p w14:paraId="472C53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3922E8B">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2C7ADEB9">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0761F0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6025EB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277EE9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532" w:type="dxa"/>
            <w:tcBorders>
              <w:top w:val="nil"/>
              <w:left w:val="nil"/>
              <w:bottom w:val="single" w:color="auto" w:sz="4" w:space="0"/>
              <w:right w:val="single" w:color="auto" w:sz="4" w:space="0"/>
            </w:tcBorders>
            <w:noWrap w:val="0"/>
            <w:vAlign w:val="center"/>
          </w:tcPr>
          <w:p w14:paraId="17A1E64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83" w:type="dxa"/>
            <w:tcBorders>
              <w:top w:val="nil"/>
              <w:left w:val="nil"/>
              <w:bottom w:val="single" w:color="auto" w:sz="4" w:space="0"/>
              <w:right w:val="single" w:color="auto" w:sz="4" w:space="0"/>
            </w:tcBorders>
            <w:noWrap w:val="0"/>
            <w:vAlign w:val="center"/>
          </w:tcPr>
          <w:p w14:paraId="601AA1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EDC17A1">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0411900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473" w:type="dxa"/>
            <w:tcBorders>
              <w:top w:val="nil"/>
              <w:left w:val="nil"/>
              <w:bottom w:val="single" w:color="auto" w:sz="4" w:space="0"/>
              <w:right w:val="single" w:color="auto" w:sz="4" w:space="0"/>
            </w:tcBorders>
            <w:noWrap w:val="0"/>
            <w:vAlign w:val="center"/>
          </w:tcPr>
          <w:p w14:paraId="535C95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786159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15788D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2" w:type="dxa"/>
            <w:tcBorders>
              <w:top w:val="nil"/>
              <w:left w:val="nil"/>
              <w:bottom w:val="single" w:color="auto" w:sz="4" w:space="0"/>
              <w:right w:val="single" w:color="auto" w:sz="4" w:space="0"/>
            </w:tcBorders>
            <w:noWrap w:val="0"/>
            <w:vAlign w:val="center"/>
          </w:tcPr>
          <w:p w14:paraId="382610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83" w:type="dxa"/>
            <w:tcBorders>
              <w:top w:val="nil"/>
              <w:left w:val="nil"/>
              <w:bottom w:val="single" w:color="auto" w:sz="4" w:space="0"/>
              <w:right w:val="single" w:color="auto" w:sz="4" w:space="0"/>
            </w:tcBorders>
            <w:noWrap w:val="0"/>
            <w:vAlign w:val="center"/>
          </w:tcPr>
          <w:p w14:paraId="65B404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863D4F7">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62E63F51">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585507E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522C93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715DE7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532" w:type="dxa"/>
            <w:tcBorders>
              <w:top w:val="nil"/>
              <w:left w:val="nil"/>
              <w:bottom w:val="single" w:color="auto" w:sz="4" w:space="0"/>
              <w:right w:val="single" w:color="auto" w:sz="4" w:space="0"/>
            </w:tcBorders>
            <w:noWrap w:val="0"/>
            <w:vAlign w:val="center"/>
          </w:tcPr>
          <w:p w14:paraId="03709AD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83" w:type="dxa"/>
            <w:tcBorders>
              <w:top w:val="nil"/>
              <w:left w:val="nil"/>
              <w:bottom w:val="single" w:color="auto" w:sz="4" w:space="0"/>
              <w:right w:val="single" w:color="auto" w:sz="4" w:space="0"/>
            </w:tcBorders>
            <w:noWrap w:val="0"/>
            <w:vAlign w:val="center"/>
          </w:tcPr>
          <w:p w14:paraId="28C365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AEAC12B">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03F9E14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473" w:type="dxa"/>
            <w:tcBorders>
              <w:top w:val="nil"/>
              <w:left w:val="nil"/>
              <w:bottom w:val="single" w:color="auto" w:sz="4" w:space="0"/>
              <w:right w:val="single" w:color="auto" w:sz="4" w:space="0"/>
            </w:tcBorders>
            <w:noWrap w:val="0"/>
            <w:vAlign w:val="center"/>
          </w:tcPr>
          <w:p w14:paraId="117268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58014DD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46003A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2" w:type="dxa"/>
            <w:tcBorders>
              <w:top w:val="nil"/>
              <w:left w:val="nil"/>
              <w:bottom w:val="single" w:color="auto" w:sz="4" w:space="0"/>
              <w:right w:val="single" w:color="auto" w:sz="4" w:space="0"/>
            </w:tcBorders>
            <w:noWrap w:val="0"/>
            <w:vAlign w:val="center"/>
          </w:tcPr>
          <w:p w14:paraId="5DADD9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5637B2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9D970C4">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53D5BAF3">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1E3C594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0C2451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2292D0D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32" w:type="dxa"/>
            <w:tcBorders>
              <w:top w:val="nil"/>
              <w:left w:val="nil"/>
              <w:bottom w:val="single" w:color="auto" w:sz="4" w:space="0"/>
              <w:right w:val="single" w:color="auto" w:sz="4" w:space="0"/>
            </w:tcBorders>
            <w:noWrap w:val="0"/>
            <w:vAlign w:val="center"/>
          </w:tcPr>
          <w:p w14:paraId="0D8523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83" w:type="dxa"/>
            <w:tcBorders>
              <w:top w:val="nil"/>
              <w:left w:val="nil"/>
              <w:bottom w:val="single" w:color="auto" w:sz="4" w:space="0"/>
              <w:right w:val="single" w:color="auto" w:sz="4" w:space="0"/>
            </w:tcBorders>
            <w:noWrap w:val="0"/>
            <w:vAlign w:val="center"/>
          </w:tcPr>
          <w:p w14:paraId="267E415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A4AFEBF">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43E7B41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473" w:type="dxa"/>
            <w:tcBorders>
              <w:top w:val="nil"/>
              <w:left w:val="nil"/>
              <w:bottom w:val="single" w:color="auto" w:sz="4" w:space="0"/>
              <w:right w:val="single" w:color="auto" w:sz="4" w:space="0"/>
            </w:tcBorders>
            <w:noWrap w:val="0"/>
            <w:vAlign w:val="center"/>
          </w:tcPr>
          <w:p w14:paraId="366DE0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34003BE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1658B5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2" w:type="dxa"/>
            <w:tcBorders>
              <w:top w:val="nil"/>
              <w:left w:val="nil"/>
              <w:bottom w:val="single" w:color="auto" w:sz="4" w:space="0"/>
              <w:right w:val="single" w:color="auto" w:sz="4" w:space="0"/>
            </w:tcBorders>
            <w:noWrap w:val="0"/>
            <w:vAlign w:val="center"/>
          </w:tcPr>
          <w:p w14:paraId="0FEA10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381A2A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03BC6F1">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3C2A7C6E">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3346A7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32C6982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313006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532" w:type="dxa"/>
            <w:tcBorders>
              <w:top w:val="nil"/>
              <w:left w:val="nil"/>
              <w:bottom w:val="single" w:color="auto" w:sz="4" w:space="0"/>
              <w:right w:val="single" w:color="auto" w:sz="4" w:space="0"/>
            </w:tcBorders>
            <w:noWrap w:val="0"/>
            <w:vAlign w:val="center"/>
          </w:tcPr>
          <w:p w14:paraId="575D215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83" w:type="dxa"/>
            <w:tcBorders>
              <w:top w:val="nil"/>
              <w:left w:val="nil"/>
              <w:bottom w:val="single" w:color="auto" w:sz="4" w:space="0"/>
              <w:right w:val="single" w:color="auto" w:sz="4" w:space="0"/>
            </w:tcBorders>
            <w:noWrap w:val="0"/>
            <w:vAlign w:val="center"/>
          </w:tcPr>
          <w:p w14:paraId="1ADAEE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4743AF3">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71EB7A3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473" w:type="dxa"/>
            <w:tcBorders>
              <w:top w:val="nil"/>
              <w:left w:val="nil"/>
              <w:bottom w:val="single" w:color="auto" w:sz="4" w:space="0"/>
              <w:right w:val="single" w:color="auto" w:sz="4" w:space="0"/>
            </w:tcBorders>
            <w:noWrap w:val="0"/>
            <w:vAlign w:val="center"/>
          </w:tcPr>
          <w:p w14:paraId="1AD332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70BFA1F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3A9AC7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532" w:type="dxa"/>
            <w:tcBorders>
              <w:top w:val="nil"/>
              <w:left w:val="nil"/>
              <w:bottom w:val="single" w:color="auto" w:sz="4" w:space="0"/>
              <w:right w:val="single" w:color="auto" w:sz="4" w:space="0"/>
            </w:tcBorders>
            <w:noWrap w:val="0"/>
            <w:vAlign w:val="center"/>
          </w:tcPr>
          <w:p w14:paraId="71BE7FF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28E3B9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AF80279">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4B41BD15">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5117FD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2C764B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307C3F5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532" w:type="dxa"/>
            <w:tcBorders>
              <w:top w:val="nil"/>
              <w:left w:val="nil"/>
              <w:bottom w:val="single" w:color="auto" w:sz="4" w:space="0"/>
              <w:right w:val="single" w:color="auto" w:sz="4" w:space="0"/>
            </w:tcBorders>
            <w:noWrap w:val="0"/>
            <w:vAlign w:val="center"/>
          </w:tcPr>
          <w:p w14:paraId="5AE687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83" w:type="dxa"/>
            <w:tcBorders>
              <w:top w:val="nil"/>
              <w:left w:val="nil"/>
              <w:bottom w:val="single" w:color="auto" w:sz="4" w:space="0"/>
              <w:right w:val="single" w:color="auto" w:sz="4" w:space="0"/>
            </w:tcBorders>
            <w:noWrap w:val="0"/>
            <w:vAlign w:val="center"/>
          </w:tcPr>
          <w:p w14:paraId="7523F5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5705F09">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36722E4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473" w:type="dxa"/>
            <w:tcBorders>
              <w:top w:val="nil"/>
              <w:left w:val="nil"/>
              <w:bottom w:val="single" w:color="auto" w:sz="4" w:space="0"/>
              <w:right w:val="single" w:color="auto" w:sz="4" w:space="0"/>
            </w:tcBorders>
            <w:noWrap w:val="0"/>
            <w:vAlign w:val="center"/>
          </w:tcPr>
          <w:p w14:paraId="454E48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65147B5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376E7C6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2" w:type="dxa"/>
            <w:tcBorders>
              <w:top w:val="nil"/>
              <w:left w:val="nil"/>
              <w:bottom w:val="single" w:color="auto" w:sz="4" w:space="0"/>
              <w:right w:val="single" w:color="auto" w:sz="4" w:space="0"/>
            </w:tcBorders>
            <w:noWrap w:val="0"/>
            <w:vAlign w:val="center"/>
          </w:tcPr>
          <w:p w14:paraId="59B57D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172A5E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CB3312F">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5DE9B498">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7C95624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1F8CD6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599433B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532" w:type="dxa"/>
            <w:tcBorders>
              <w:top w:val="nil"/>
              <w:left w:val="nil"/>
              <w:bottom w:val="single" w:color="auto" w:sz="4" w:space="0"/>
              <w:right w:val="single" w:color="auto" w:sz="4" w:space="0"/>
            </w:tcBorders>
            <w:noWrap w:val="0"/>
            <w:vAlign w:val="center"/>
          </w:tcPr>
          <w:p w14:paraId="58FC17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83" w:type="dxa"/>
            <w:tcBorders>
              <w:top w:val="nil"/>
              <w:left w:val="nil"/>
              <w:bottom w:val="single" w:color="auto" w:sz="4" w:space="0"/>
              <w:right w:val="single" w:color="auto" w:sz="4" w:space="0"/>
            </w:tcBorders>
            <w:noWrap w:val="0"/>
            <w:vAlign w:val="center"/>
          </w:tcPr>
          <w:p w14:paraId="6FB5007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266EFAE">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7E1E0C4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473" w:type="dxa"/>
            <w:tcBorders>
              <w:top w:val="nil"/>
              <w:left w:val="nil"/>
              <w:bottom w:val="single" w:color="auto" w:sz="4" w:space="0"/>
              <w:right w:val="single" w:color="auto" w:sz="4" w:space="0"/>
            </w:tcBorders>
            <w:noWrap w:val="0"/>
            <w:vAlign w:val="center"/>
          </w:tcPr>
          <w:p w14:paraId="1AC307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465648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50775C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532" w:type="dxa"/>
            <w:tcBorders>
              <w:top w:val="nil"/>
              <w:left w:val="nil"/>
              <w:bottom w:val="single" w:color="auto" w:sz="4" w:space="0"/>
              <w:right w:val="single" w:color="auto" w:sz="4" w:space="0"/>
            </w:tcBorders>
            <w:noWrap w:val="0"/>
            <w:vAlign w:val="center"/>
          </w:tcPr>
          <w:p w14:paraId="65BCB8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83" w:type="dxa"/>
            <w:tcBorders>
              <w:top w:val="nil"/>
              <w:left w:val="nil"/>
              <w:bottom w:val="single" w:color="auto" w:sz="4" w:space="0"/>
              <w:right w:val="single" w:color="auto" w:sz="4" w:space="0"/>
            </w:tcBorders>
            <w:noWrap w:val="0"/>
            <w:vAlign w:val="center"/>
          </w:tcPr>
          <w:p w14:paraId="0099E2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2C0BF83">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6033D750">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0A8CA14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72" w:type="dxa"/>
            <w:tcBorders>
              <w:top w:val="nil"/>
              <w:left w:val="nil"/>
              <w:bottom w:val="single" w:color="auto" w:sz="4" w:space="0"/>
              <w:right w:val="single" w:color="auto" w:sz="4" w:space="0"/>
            </w:tcBorders>
            <w:noWrap w:val="0"/>
            <w:vAlign w:val="center"/>
          </w:tcPr>
          <w:p w14:paraId="76DA33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064866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532" w:type="dxa"/>
            <w:tcBorders>
              <w:top w:val="nil"/>
              <w:left w:val="nil"/>
              <w:bottom w:val="single" w:color="auto" w:sz="4" w:space="0"/>
              <w:right w:val="single" w:color="auto" w:sz="4" w:space="0"/>
            </w:tcBorders>
            <w:noWrap w:val="0"/>
            <w:vAlign w:val="center"/>
          </w:tcPr>
          <w:p w14:paraId="3E5BF4D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83" w:type="dxa"/>
            <w:tcBorders>
              <w:top w:val="nil"/>
              <w:left w:val="nil"/>
              <w:bottom w:val="single" w:color="auto" w:sz="4" w:space="0"/>
              <w:right w:val="single" w:color="auto" w:sz="4" w:space="0"/>
            </w:tcBorders>
            <w:noWrap w:val="0"/>
            <w:vAlign w:val="center"/>
          </w:tcPr>
          <w:p w14:paraId="640B2F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004F758B">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4B7D1A9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473" w:type="dxa"/>
            <w:tcBorders>
              <w:top w:val="nil"/>
              <w:left w:val="nil"/>
              <w:bottom w:val="single" w:color="auto" w:sz="4" w:space="0"/>
              <w:right w:val="single" w:color="auto" w:sz="4" w:space="0"/>
            </w:tcBorders>
            <w:noWrap w:val="0"/>
            <w:vAlign w:val="center"/>
          </w:tcPr>
          <w:p w14:paraId="7A82A1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238A164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5A43E7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532" w:type="dxa"/>
            <w:tcBorders>
              <w:top w:val="nil"/>
              <w:left w:val="nil"/>
              <w:bottom w:val="single" w:color="auto" w:sz="4" w:space="0"/>
              <w:right w:val="single" w:color="auto" w:sz="4" w:space="0"/>
            </w:tcBorders>
            <w:noWrap w:val="0"/>
            <w:vAlign w:val="center"/>
          </w:tcPr>
          <w:p w14:paraId="787598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83" w:type="dxa"/>
            <w:tcBorders>
              <w:top w:val="nil"/>
              <w:left w:val="nil"/>
              <w:bottom w:val="single" w:color="auto" w:sz="4" w:space="0"/>
              <w:right w:val="single" w:color="auto" w:sz="4" w:space="0"/>
            </w:tcBorders>
            <w:noWrap w:val="0"/>
            <w:vAlign w:val="center"/>
          </w:tcPr>
          <w:p w14:paraId="37D6019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87F7939">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50C21A62">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4823695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72" w:type="dxa"/>
            <w:tcBorders>
              <w:top w:val="nil"/>
              <w:left w:val="nil"/>
              <w:bottom w:val="single" w:color="auto" w:sz="4" w:space="0"/>
              <w:right w:val="single" w:color="auto" w:sz="4" w:space="0"/>
            </w:tcBorders>
            <w:noWrap w:val="0"/>
            <w:vAlign w:val="center"/>
          </w:tcPr>
          <w:p w14:paraId="3649E7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10B356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532" w:type="dxa"/>
            <w:tcBorders>
              <w:top w:val="nil"/>
              <w:left w:val="nil"/>
              <w:bottom w:val="single" w:color="auto" w:sz="4" w:space="0"/>
              <w:right w:val="single" w:color="auto" w:sz="4" w:space="0"/>
            </w:tcBorders>
            <w:noWrap w:val="0"/>
            <w:vAlign w:val="center"/>
          </w:tcPr>
          <w:p w14:paraId="0285BB5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83" w:type="dxa"/>
            <w:tcBorders>
              <w:top w:val="nil"/>
              <w:left w:val="nil"/>
              <w:bottom w:val="single" w:color="auto" w:sz="4" w:space="0"/>
              <w:right w:val="single" w:color="auto" w:sz="4" w:space="0"/>
            </w:tcBorders>
            <w:noWrap w:val="0"/>
            <w:vAlign w:val="center"/>
          </w:tcPr>
          <w:p w14:paraId="339735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6D680AD5">
        <w:tblPrEx>
          <w:tblCellMar>
            <w:top w:w="0" w:type="dxa"/>
            <w:left w:w="108" w:type="dxa"/>
            <w:bottom w:w="0" w:type="dxa"/>
            <w:right w:w="108" w:type="dxa"/>
          </w:tblCellMar>
        </w:tblPrEx>
        <w:trPr>
          <w:trHeight w:val="352" w:hRule="atLeast"/>
          <w:jc w:val="center"/>
        </w:trPr>
        <w:tc>
          <w:tcPr>
            <w:tcW w:w="1811" w:type="dxa"/>
            <w:vMerge w:val="restart"/>
            <w:tcBorders>
              <w:top w:val="nil"/>
              <w:left w:val="single" w:color="auto" w:sz="4" w:space="0"/>
              <w:bottom w:val="single" w:color="auto" w:sz="4" w:space="0"/>
              <w:right w:val="single" w:color="auto" w:sz="4" w:space="0"/>
            </w:tcBorders>
            <w:noWrap w:val="0"/>
            <w:vAlign w:val="bottom"/>
          </w:tcPr>
          <w:p w14:paraId="470F7FC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473" w:type="dxa"/>
            <w:tcBorders>
              <w:top w:val="nil"/>
              <w:left w:val="nil"/>
              <w:bottom w:val="single" w:color="auto" w:sz="4" w:space="0"/>
              <w:right w:val="single" w:color="auto" w:sz="4" w:space="0"/>
            </w:tcBorders>
            <w:noWrap w:val="0"/>
            <w:vAlign w:val="center"/>
          </w:tcPr>
          <w:p w14:paraId="73CDB1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1AC45E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4BAA6CB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2" w:type="dxa"/>
            <w:tcBorders>
              <w:top w:val="nil"/>
              <w:left w:val="nil"/>
              <w:bottom w:val="single" w:color="auto" w:sz="4" w:space="0"/>
              <w:right w:val="single" w:color="auto" w:sz="4" w:space="0"/>
            </w:tcBorders>
            <w:noWrap w:val="0"/>
            <w:vAlign w:val="center"/>
          </w:tcPr>
          <w:p w14:paraId="5C630F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18E2E7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D31013D">
        <w:tblPrEx>
          <w:tblCellMar>
            <w:top w:w="0" w:type="dxa"/>
            <w:left w:w="108" w:type="dxa"/>
            <w:bottom w:w="0" w:type="dxa"/>
            <w:right w:w="108" w:type="dxa"/>
          </w:tblCellMar>
        </w:tblPrEx>
        <w:trPr>
          <w:trHeight w:val="352" w:hRule="atLeast"/>
          <w:jc w:val="center"/>
        </w:trPr>
        <w:tc>
          <w:tcPr>
            <w:tcW w:w="1811" w:type="dxa"/>
            <w:vMerge w:val="continue"/>
            <w:tcBorders>
              <w:top w:val="nil"/>
              <w:left w:val="single" w:color="auto" w:sz="4" w:space="0"/>
              <w:bottom w:val="single" w:color="auto" w:sz="4" w:space="0"/>
              <w:right w:val="single" w:color="auto" w:sz="4" w:space="0"/>
            </w:tcBorders>
            <w:noWrap w:val="0"/>
            <w:vAlign w:val="center"/>
          </w:tcPr>
          <w:p w14:paraId="3A77C5F0">
            <w:pPr>
              <w:widowControl/>
              <w:jc w:val="left"/>
              <w:rPr>
                <w:rFonts w:ascii="仿宋_GB2312" w:hAnsi="仿宋" w:eastAsia="仿宋_GB2312" w:cs="宋体"/>
                <w:b/>
                <w:bCs/>
                <w:color w:val="auto"/>
                <w:kern w:val="0"/>
                <w:sz w:val="18"/>
                <w:szCs w:val="18"/>
                <w:highlight w:val="none"/>
              </w:rPr>
            </w:pPr>
          </w:p>
        </w:tc>
        <w:tc>
          <w:tcPr>
            <w:tcW w:w="1473" w:type="dxa"/>
            <w:tcBorders>
              <w:top w:val="nil"/>
              <w:left w:val="nil"/>
              <w:bottom w:val="single" w:color="auto" w:sz="4" w:space="0"/>
              <w:right w:val="single" w:color="auto" w:sz="4" w:space="0"/>
            </w:tcBorders>
            <w:noWrap w:val="0"/>
            <w:vAlign w:val="center"/>
          </w:tcPr>
          <w:p w14:paraId="01320B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72" w:type="dxa"/>
            <w:tcBorders>
              <w:top w:val="nil"/>
              <w:left w:val="nil"/>
              <w:bottom w:val="single" w:color="auto" w:sz="4" w:space="0"/>
              <w:right w:val="single" w:color="auto" w:sz="4" w:space="0"/>
            </w:tcBorders>
            <w:noWrap w:val="0"/>
            <w:vAlign w:val="center"/>
          </w:tcPr>
          <w:p w14:paraId="4A63E2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725" w:type="dxa"/>
            <w:tcBorders>
              <w:top w:val="nil"/>
              <w:left w:val="nil"/>
              <w:bottom w:val="single" w:color="auto" w:sz="4" w:space="0"/>
              <w:right w:val="single" w:color="auto" w:sz="4" w:space="0"/>
            </w:tcBorders>
            <w:noWrap w:val="0"/>
            <w:vAlign w:val="center"/>
          </w:tcPr>
          <w:p w14:paraId="16DB46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532" w:type="dxa"/>
            <w:tcBorders>
              <w:top w:val="nil"/>
              <w:left w:val="nil"/>
              <w:bottom w:val="single" w:color="auto" w:sz="4" w:space="0"/>
              <w:right w:val="single" w:color="auto" w:sz="4" w:space="0"/>
            </w:tcBorders>
            <w:noWrap w:val="0"/>
            <w:vAlign w:val="center"/>
          </w:tcPr>
          <w:p w14:paraId="6A64B5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83" w:type="dxa"/>
            <w:tcBorders>
              <w:top w:val="nil"/>
              <w:left w:val="nil"/>
              <w:bottom w:val="single" w:color="auto" w:sz="4" w:space="0"/>
              <w:right w:val="single" w:color="auto" w:sz="4" w:space="0"/>
            </w:tcBorders>
            <w:noWrap w:val="0"/>
            <w:vAlign w:val="center"/>
          </w:tcPr>
          <w:p w14:paraId="05D6A87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E0C50FA">
        <w:tblPrEx>
          <w:tblCellMar>
            <w:top w:w="0" w:type="dxa"/>
            <w:left w:w="108" w:type="dxa"/>
            <w:bottom w:w="0" w:type="dxa"/>
            <w:right w:w="108" w:type="dxa"/>
          </w:tblCellMar>
        </w:tblPrEx>
        <w:trPr>
          <w:trHeight w:val="386" w:hRule="atLeast"/>
          <w:jc w:val="center"/>
        </w:trPr>
        <w:tc>
          <w:tcPr>
            <w:tcW w:w="1811" w:type="dxa"/>
            <w:tcBorders>
              <w:top w:val="nil"/>
              <w:left w:val="single" w:color="auto" w:sz="4" w:space="0"/>
              <w:bottom w:val="single" w:color="auto" w:sz="4" w:space="0"/>
              <w:right w:val="single" w:color="auto" w:sz="4" w:space="0"/>
            </w:tcBorders>
            <w:noWrap w:val="0"/>
            <w:vAlign w:val="bottom"/>
          </w:tcPr>
          <w:p w14:paraId="7A214A4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473" w:type="dxa"/>
            <w:tcBorders>
              <w:top w:val="nil"/>
              <w:left w:val="nil"/>
              <w:bottom w:val="single" w:color="auto" w:sz="4" w:space="0"/>
              <w:right w:val="single" w:color="auto" w:sz="4" w:space="0"/>
            </w:tcBorders>
            <w:noWrap w:val="0"/>
            <w:vAlign w:val="center"/>
          </w:tcPr>
          <w:p w14:paraId="16134F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72" w:type="dxa"/>
            <w:tcBorders>
              <w:top w:val="nil"/>
              <w:left w:val="nil"/>
              <w:bottom w:val="single" w:color="auto" w:sz="4" w:space="0"/>
              <w:right w:val="single" w:color="auto" w:sz="4" w:space="0"/>
            </w:tcBorders>
            <w:noWrap w:val="0"/>
            <w:vAlign w:val="center"/>
          </w:tcPr>
          <w:p w14:paraId="482B32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725" w:type="dxa"/>
            <w:tcBorders>
              <w:top w:val="nil"/>
              <w:left w:val="nil"/>
              <w:bottom w:val="single" w:color="auto" w:sz="4" w:space="0"/>
              <w:right w:val="single" w:color="auto" w:sz="4" w:space="0"/>
            </w:tcBorders>
            <w:noWrap w:val="0"/>
            <w:vAlign w:val="center"/>
          </w:tcPr>
          <w:p w14:paraId="34BB60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532" w:type="dxa"/>
            <w:tcBorders>
              <w:top w:val="nil"/>
              <w:left w:val="nil"/>
              <w:bottom w:val="single" w:color="auto" w:sz="4" w:space="0"/>
              <w:right w:val="single" w:color="auto" w:sz="4" w:space="0"/>
            </w:tcBorders>
            <w:noWrap w:val="0"/>
            <w:vAlign w:val="center"/>
          </w:tcPr>
          <w:p w14:paraId="2405D9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83" w:type="dxa"/>
            <w:tcBorders>
              <w:top w:val="nil"/>
              <w:left w:val="nil"/>
              <w:bottom w:val="single" w:color="auto" w:sz="4" w:space="0"/>
              <w:right w:val="single" w:color="auto" w:sz="4" w:space="0"/>
            </w:tcBorders>
            <w:noWrap w:val="0"/>
            <w:vAlign w:val="center"/>
          </w:tcPr>
          <w:p w14:paraId="7F50B3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5CE82D73">
      <w:pPr>
        <w:spacing w:line="360" w:lineRule="auto"/>
        <w:ind w:firstLine="525" w:firstLineChars="250"/>
        <w:rPr>
          <w:rFonts w:hint="eastAsia" w:ascii="仿宋_GB2312" w:hAnsi="仿宋" w:eastAsia="仿宋_GB2312"/>
          <w:color w:val="auto"/>
          <w:szCs w:val="21"/>
          <w:highlight w:val="none"/>
        </w:rPr>
      </w:pPr>
    </w:p>
    <w:p w14:paraId="67743C8A">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24E1203">
      <w:pPr>
        <w:spacing w:line="360" w:lineRule="auto"/>
        <w:contextualSpacing/>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5532C1A1">
      <w:pPr>
        <w:spacing w:line="520" w:lineRule="exact"/>
        <w:rPr>
          <w:rFonts w:hint="eastAsia" w:ascii="仿宋_GB2312" w:hAnsi="仿宋_GB2312" w:eastAsia="仿宋_GB2312" w:cs="仿宋_GB2312"/>
          <w:color w:val="auto"/>
          <w:sz w:val="32"/>
          <w:szCs w:val="32"/>
          <w:highlight w:val="none"/>
        </w:rPr>
      </w:pPr>
    </w:p>
    <w:p w14:paraId="443B35A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6D0C1C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7977379D">
      <w:pPr>
        <w:spacing w:line="360" w:lineRule="auto"/>
        <w:contextualSpacing/>
        <w:rPr>
          <w:rFonts w:hint="eastAsia" w:ascii="宋体" w:hAnsi="宋体" w:cs="仿宋_GB2312"/>
          <w:color w:val="auto"/>
          <w:sz w:val="24"/>
          <w:highlight w:val="none"/>
        </w:rPr>
      </w:pPr>
    </w:p>
    <w:p w14:paraId="274FC553">
      <w:pPr>
        <w:spacing w:line="360" w:lineRule="auto"/>
        <w:contextualSpacing/>
        <w:rPr>
          <w:rFonts w:hint="eastAsia" w:ascii="宋体" w:hAnsi="宋体" w:cs="仿宋_GB2312"/>
          <w:color w:val="auto"/>
          <w:sz w:val="24"/>
          <w:highlight w:val="none"/>
        </w:rPr>
      </w:pPr>
    </w:p>
    <w:p w14:paraId="0D258BE9">
      <w:pPr>
        <w:spacing w:line="360" w:lineRule="auto"/>
        <w:contextualSpacing/>
        <w:rPr>
          <w:rFonts w:hint="eastAsia" w:ascii="宋体" w:hAnsi="宋体" w:cs="仿宋_GB2312"/>
          <w:color w:val="auto"/>
          <w:sz w:val="24"/>
          <w:highlight w:val="none"/>
        </w:rPr>
      </w:pPr>
    </w:p>
    <w:p w14:paraId="127835FB">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239E8073">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690A6435">
      <w:pPr>
        <w:spacing w:line="360" w:lineRule="auto"/>
        <w:contextualSpacing/>
        <w:rPr>
          <w:rFonts w:hint="eastAsia" w:ascii="宋体" w:hAnsi="宋体" w:cs="仿宋_GB2312"/>
          <w:color w:val="auto"/>
          <w:sz w:val="24"/>
          <w:highlight w:val="none"/>
        </w:rPr>
      </w:pPr>
    </w:p>
    <w:p w14:paraId="2BACC064">
      <w:pPr>
        <w:spacing w:line="360" w:lineRule="auto"/>
        <w:contextualSpacing/>
        <w:rPr>
          <w:rFonts w:hint="eastAsia" w:ascii="宋体" w:hAnsi="宋体" w:cs="仿宋_GB2312"/>
          <w:color w:val="auto"/>
          <w:sz w:val="24"/>
          <w:highlight w:val="none"/>
        </w:rPr>
      </w:pPr>
    </w:p>
    <w:p w14:paraId="0344A93B">
      <w:pPr>
        <w:spacing w:line="360" w:lineRule="auto"/>
        <w:contextualSpacing/>
        <w:rPr>
          <w:rFonts w:hint="eastAsia" w:ascii="宋体" w:hAnsi="宋体" w:cs="仿宋_GB2312"/>
          <w:color w:val="auto"/>
          <w:sz w:val="24"/>
          <w:highlight w:val="none"/>
        </w:rPr>
      </w:pPr>
    </w:p>
    <w:p w14:paraId="4EC8568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19A20F7">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2C143E98">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33937EE5">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38BF039C">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4617784D">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5A6957EE">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676E412D">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4474C4FD">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p>
    <w:p w14:paraId="0E9F9E0B">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w:t>
      </w:r>
      <w:r>
        <w:rPr>
          <w:rFonts w:hint="eastAsia" w:hAnsi="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合同文本</w:t>
      </w:r>
      <w:bookmarkEnd w:id="31"/>
      <w:bookmarkEnd w:id="32"/>
    </w:p>
    <w:p w14:paraId="1D84459A">
      <w:pPr>
        <w:rPr>
          <w:rFonts w:hint="eastAsia" w:ascii="宋体" w:hAnsi="宋体" w:cs="宋体"/>
          <w:bCs/>
          <w:color w:val="auto"/>
          <w:sz w:val="21"/>
          <w:szCs w:val="21"/>
          <w:highlight w:val="none"/>
        </w:rPr>
      </w:pPr>
      <w:r>
        <w:rPr>
          <w:rFonts w:hint="eastAsia" w:ascii="宋体" w:hAnsi="宋体" w:cs="宋体"/>
          <w:bCs/>
          <w:color w:val="auto"/>
          <w:sz w:val="21"/>
          <w:szCs w:val="21"/>
          <w:highlight w:val="none"/>
        </w:rPr>
        <w:br w:type="page"/>
      </w:r>
    </w:p>
    <w:p w14:paraId="6D3D9D68">
      <w:pPr>
        <w:spacing w:before="120" w:line="320" w:lineRule="atLeast"/>
        <w:ind w:firstLine="562" w:firstLineChars="200"/>
        <w:jc w:val="center"/>
        <w:outlineLvl w:val="1"/>
        <w:rPr>
          <w:b/>
          <w:bCs/>
          <w:color w:val="auto"/>
          <w:kern w:val="0"/>
          <w:sz w:val="28"/>
          <w:highlight w:val="none"/>
        </w:rPr>
      </w:pPr>
      <w:r>
        <w:rPr>
          <w:rFonts w:ascii="宋体" w:hAnsi="宋体"/>
          <w:b/>
          <w:bCs/>
          <w:color w:val="auto"/>
          <w:kern w:val="0"/>
          <w:sz w:val="28"/>
          <w:highlight w:val="none"/>
        </w:rPr>
        <w:t>广西壮族自治区政府采购合同</w:t>
      </w:r>
    </w:p>
    <w:p w14:paraId="734DE404">
      <w:pPr>
        <w:snapToGrid w:val="0"/>
        <w:spacing w:line="360" w:lineRule="exact"/>
        <w:ind w:right="480" w:firstLine="5985" w:firstLineChars="2850"/>
        <w:rPr>
          <w:rFonts w:ascii="宋体" w:hAnsi="宋体"/>
          <w:bCs/>
          <w:color w:val="auto"/>
          <w:highlight w:val="none"/>
        </w:rPr>
      </w:pPr>
      <w:r>
        <w:rPr>
          <w:rFonts w:ascii="宋体" w:hAnsi="宋体"/>
          <w:bCs/>
          <w:color w:val="auto"/>
          <w:highlight w:val="none"/>
        </w:rPr>
        <w:t>合同编号：</w:t>
      </w:r>
    </w:p>
    <w:p w14:paraId="5B78F5D0">
      <w:pPr>
        <w:snapToGrid w:val="0"/>
        <w:spacing w:line="360" w:lineRule="exact"/>
        <w:ind w:right="480" w:firstLine="5985" w:firstLineChars="2850"/>
        <w:rPr>
          <w:bCs/>
          <w:color w:val="auto"/>
          <w:highlight w:val="none"/>
          <w:u w:val="single"/>
        </w:rPr>
      </w:pPr>
    </w:p>
    <w:p w14:paraId="6659D6E1">
      <w:pPr>
        <w:snapToGrid w:val="0"/>
        <w:spacing w:line="360" w:lineRule="exact"/>
        <w:rPr>
          <w:color w:val="auto"/>
          <w:highlight w:val="none"/>
          <w:u w:val="single"/>
        </w:rPr>
      </w:pPr>
      <w:r>
        <w:rPr>
          <w:rFonts w:hint="eastAsia" w:ascii="宋体" w:hAnsi="宋体"/>
          <w:color w:val="auto"/>
          <w:highlight w:val="none"/>
        </w:rPr>
        <w:t>招标人</w:t>
      </w:r>
      <w:r>
        <w:rPr>
          <w:rFonts w:ascii="宋体" w:hAnsi="宋体"/>
          <w:color w:val="auto"/>
          <w:highlight w:val="none"/>
        </w:rPr>
        <w:t>（甲方）</w:t>
      </w:r>
      <w:r>
        <w:rPr>
          <w:color w:val="auto"/>
          <w:highlight w:val="none"/>
          <w:u w:val="single"/>
        </w:rPr>
        <w:t xml:space="preserve">   </w:t>
      </w:r>
      <w:r>
        <w:rPr>
          <w:rFonts w:hint="eastAsia"/>
          <w:color w:val="auto"/>
          <w:highlight w:val="none"/>
          <w:u w:val="single"/>
        </w:rPr>
        <w:t>贵港市</w:t>
      </w:r>
      <w:r>
        <w:rPr>
          <w:rFonts w:hint="eastAsia"/>
          <w:color w:val="auto"/>
          <w:highlight w:val="none"/>
          <w:u w:val="single"/>
          <w:lang w:val="en-US" w:eastAsia="zh-CN"/>
        </w:rPr>
        <w:t>覃塘区</w:t>
      </w:r>
      <w:r>
        <w:rPr>
          <w:rFonts w:hint="eastAsia"/>
          <w:color w:val="auto"/>
          <w:highlight w:val="none"/>
          <w:u w:val="single"/>
        </w:rPr>
        <w:t xml:space="preserve">人民医院 </w:t>
      </w:r>
      <w:r>
        <w:rPr>
          <w:color w:val="auto"/>
          <w:highlight w:val="none"/>
          <w:u w:val="single"/>
        </w:rPr>
        <w:t xml:space="preserve">          </w:t>
      </w:r>
      <w:r>
        <w:rPr>
          <w:color w:val="auto"/>
          <w:highlight w:val="none"/>
        </w:rPr>
        <w:t xml:space="preserve">  </w:t>
      </w:r>
      <w:r>
        <w:rPr>
          <w:rFonts w:ascii="宋体" w:hAnsi="宋体"/>
          <w:color w:val="auto"/>
          <w:spacing w:val="-20"/>
          <w:highlight w:val="none"/>
        </w:rPr>
        <w:t>采</w:t>
      </w:r>
      <w:r>
        <w:rPr>
          <w:color w:val="auto"/>
          <w:spacing w:val="-20"/>
          <w:highlight w:val="none"/>
        </w:rPr>
        <w:t xml:space="preserve"> 购 计 划</w:t>
      </w:r>
      <w:r>
        <w:rPr>
          <w:rFonts w:ascii="宋体" w:hAnsi="宋体"/>
          <w:color w:val="auto"/>
          <w:highlight w:val="none"/>
        </w:rPr>
        <w:t xml:space="preserve">号 </w:t>
      </w:r>
      <w:r>
        <w:rPr>
          <w:color w:val="auto"/>
          <w:highlight w:val="none"/>
          <w:u w:val="single"/>
        </w:rPr>
        <w:t xml:space="preserve">                       </w:t>
      </w:r>
    </w:p>
    <w:p w14:paraId="0DAE08B1">
      <w:pPr>
        <w:snapToGrid w:val="0"/>
        <w:spacing w:line="360" w:lineRule="exact"/>
        <w:rPr>
          <w:color w:val="auto"/>
          <w:highlight w:val="none"/>
          <w:u w:val="single"/>
        </w:rPr>
      </w:pPr>
      <w:r>
        <w:rPr>
          <w:rFonts w:ascii="宋体" w:hAnsi="宋体"/>
          <w:color w:val="auto"/>
          <w:highlight w:val="none"/>
        </w:rPr>
        <w:t>供</w:t>
      </w:r>
      <w:r>
        <w:rPr>
          <w:color w:val="auto"/>
          <w:highlight w:val="none"/>
        </w:rPr>
        <w:t xml:space="preserve"> 应 商（乙方）</w:t>
      </w:r>
      <w:r>
        <w:rPr>
          <w:color w:val="auto"/>
          <w:highlight w:val="none"/>
          <w:u w:val="single"/>
        </w:rPr>
        <w:t xml:space="preserve">                          </w:t>
      </w:r>
      <w:r>
        <w:rPr>
          <w:color w:val="auto"/>
          <w:highlight w:val="none"/>
        </w:rPr>
        <w:t xml:space="preserve">  </w:t>
      </w:r>
      <w:r>
        <w:rPr>
          <w:rFonts w:ascii="宋体" w:hAnsi="宋体"/>
          <w:color w:val="auto"/>
          <w:highlight w:val="none"/>
        </w:rPr>
        <w:t xml:space="preserve">项目名称 </w:t>
      </w:r>
      <w:r>
        <w:rPr>
          <w:color w:val="auto"/>
          <w:highlight w:val="none"/>
          <w:u w:val="single"/>
        </w:rPr>
        <w:t xml:space="preserve">                       </w:t>
      </w:r>
    </w:p>
    <w:p w14:paraId="6FB9CC4B">
      <w:pPr>
        <w:snapToGrid w:val="0"/>
        <w:spacing w:line="360" w:lineRule="exact"/>
        <w:ind w:firstLine="4620" w:firstLineChars="2200"/>
        <w:rPr>
          <w:color w:val="auto"/>
          <w:highlight w:val="none"/>
          <w:u w:val="single"/>
        </w:rPr>
      </w:pPr>
      <w:r>
        <w:rPr>
          <w:rFonts w:ascii="宋体" w:hAnsi="宋体"/>
          <w:color w:val="auto"/>
          <w:highlight w:val="none"/>
        </w:rPr>
        <w:t>项目</w:t>
      </w:r>
      <w:r>
        <w:rPr>
          <w:rFonts w:ascii="宋体" w:hAnsi="宋体"/>
          <w:color w:val="auto"/>
          <w:spacing w:val="-20"/>
          <w:highlight w:val="none"/>
        </w:rPr>
        <w:t>编</w:t>
      </w:r>
      <w:r>
        <w:rPr>
          <w:rFonts w:hint="eastAsia" w:ascii="宋体" w:hAnsi="宋体"/>
          <w:color w:val="auto"/>
          <w:spacing w:val="-20"/>
          <w:highlight w:val="none"/>
        </w:rPr>
        <w:t xml:space="preserve"> </w:t>
      </w:r>
      <w:r>
        <w:rPr>
          <w:rFonts w:ascii="宋体" w:hAnsi="宋体"/>
          <w:color w:val="auto"/>
          <w:highlight w:val="none"/>
        </w:rPr>
        <w:t xml:space="preserve">号 </w:t>
      </w:r>
      <w:r>
        <w:rPr>
          <w:color w:val="auto"/>
          <w:highlight w:val="none"/>
          <w:u w:val="single"/>
        </w:rPr>
        <w:t xml:space="preserve">                       </w:t>
      </w:r>
    </w:p>
    <w:p w14:paraId="3AFE4F7E">
      <w:pPr>
        <w:snapToGrid w:val="0"/>
        <w:spacing w:line="360" w:lineRule="exact"/>
        <w:rPr>
          <w:color w:val="auto"/>
          <w:highlight w:val="none"/>
          <w:u w:val="single"/>
        </w:rPr>
      </w:pPr>
      <w:r>
        <w:rPr>
          <w:rFonts w:ascii="宋体" w:hAnsi="宋体"/>
          <w:color w:val="auto"/>
          <w:highlight w:val="none"/>
        </w:rPr>
        <w:t>签</w:t>
      </w:r>
      <w:r>
        <w:rPr>
          <w:color w:val="auto"/>
          <w:highlight w:val="none"/>
        </w:rPr>
        <w:t xml:space="preserve">  订  地  点  </w:t>
      </w:r>
      <w:r>
        <w:rPr>
          <w:color w:val="auto"/>
          <w:highlight w:val="none"/>
          <w:u w:val="single"/>
        </w:rPr>
        <w:t xml:space="preserve">                          </w:t>
      </w:r>
      <w:r>
        <w:rPr>
          <w:color w:val="auto"/>
          <w:highlight w:val="none"/>
        </w:rPr>
        <w:t xml:space="preserve">  </w:t>
      </w:r>
      <w:r>
        <w:rPr>
          <w:rFonts w:ascii="宋体" w:hAnsi="宋体"/>
          <w:color w:val="auto"/>
          <w:highlight w:val="none"/>
        </w:rPr>
        <w:t>签</w:t>
      </w:r>
      <w:r>
        <w:rPr>
          <w:color w:val="auto"/>
          <w:highlight w:val="none"/>
        </w:rPr>
        <w:t xml:space="preserve"> 订 时 间</w:t>
      </w:r>
      <w:r>
        <w:rPr>
          <w:color w:val="auto"/>
          <w:highlight w:val="none"/>
          <w:u w:val="single"/>
        </w:rPr>
        <w:t xml:space="preserve">                        </w:t>
      </w:r>
    </w:p>
    <w:p w14:paraId="31D59D35">
      <w:pPr>
        <w:spacing w:line="360" w:lineRule="exact"/>
        <w:ind w:firstLine="420" w:firstLineChars="200"/>
        <w:rPr>
          <w:rFonts w:ascii="宋体" w:hAnsi="宋体" w:cs="Arial"/>
          <w:color w:val="auto"/>
          <w:highlight w:val="none"/>
        </w:rPr>
      </w:pPr>
      <w:r>
        <w:rPr>
          <w:rFonts w:ascii="宋体" w:hAnsi="宋体" w:cs="Arial"/>
          <w:color w:val="auto"/>
          <w:highlight w:val="none"/>
        </w:rPr>
        <w:t>根据《中华人民共和国政府采购法》</w:t>
      </w:r>
      <w:r>
        <w:rPr>
          <w:rFonts w:ascii="宋体" w:hAnsi="宋体" w:cs="Arial"/>
          <w:color w:val="auto"/>
          <w:kern w:val="0"/>
          <w:highlight w:val="none"/>
        </w:rPr>
        <w:t>、</w:t>
      </w:r>
      <w:r>
        <w:rPr>
          <w:rFonts w:hint="eastAsia" w:ascii="宋体" w:hAnsi="宋体" w:cs="Arial"/>
          <w:color w:val="auto"/>
          <w:kern w:val="0"/>
          <w:highlight w:val="none"/>
        </w:rPr>
        <w:t>《中华人民共和国政府采购法实施条例》、</w:t>
      </w:r>
      <w:r>
        <w:rPr>
          <w:rFonts w:ascii="宋体" w:hAnsi="宋体" w:cs="Arial"/>
          <w:color w:val="auto"/>
          <w:kern w:val="0"/>
          <w:highlight w:val="none"/>
        </w:rPr>
        <w:t>《政府采购货物和服务招标投标管理办法》、</w:t>
      </w:r>
      <w:r>
        <w:rPr>
          <w:rFonts w:ascii="宋体" w:hAnsi="宋体" w:cs="Arial"/>
          <w:color w:val="auto"/>
          <w:highlight w:val="none"/>
        </w:rPr>
        <w:t>《中华人民共和国民法典》等法律、法规规定，按照招标文件规定条款和乙方投标文件及其承诺，甲乙双方签订本合同。</w:t>
      </w:r>
    </w:p>
    <w:p w14:paraId="035FFA9C">
      <w:pPr>
        <w:snapToGrid w:val="0"/>
        <w:spacing w:line="360" w:lineRule="exact"/>
        <w:ind w:firstLine="422" w:firstLineChars="200"/>
        <w:rPr>
          <w:rFonts w:ascii="Arial" w:hAnsi="Arial" w:cs="Arial"/>
          <w:b/>
          <w:color w:val="auto"/>
          <w:highlight w:val="none"/>
        </w:rPr>
      </w:pPr>
      <w:r>
        <w:rPr>
          <w:rFonts w:ascii="宋体" w:hAnsi="宋体" w:cs="Arial"/>
          <w:b/>
          <w:color w:val="auto"/>
          <w:highlight w:val="none"/>
        </w:rPr>
        <w:t>第一条</w:t>
      </w:r>
      <w:r>
        <w:rPr>
          <w:rFonts w:hint="eastAsia" w:ascii="宋体" w:hAnsi="宋体" w:cs="Arial"/>
          <w:b/>
          <w:color w:val="auto"/>
          <w:highlight w:val="none"/>
          <w:lang w:val="en-US" w:eastAsia="zh-CN"/>
        </w:rPr>
        <w:t xml:space="preserve">  </w:t>
      </w:r>
      <w:r>
        <w:rPr>
          <w:rFonts w:ascii="宋体" w:hAnsi="宋体" w:cs="Arial"/>
          <w:b/>
          <w:color w:val="auto"/>
          <w:highlight w:val="none"/>
        </w:rPr>
        <w:t>合同标的</w:t>
      </w:r>
    </w:p>
    <w:p w14:paraId="013F403E">
      <w:pPr>
        <w:snapToGrid w:val="0"/>
        <w:spacing w:line="300" w:lineRule="exact"/>
        <w:ind w:firstLine="420" w:firstLineChars="200"/>
        <w:rPr>
          <w:rFonts w:ascii="Arial" w:hAnsi="Arial" w:cs="Arial"/>
          <w:color w:val="auto"/>
          <w:highlight w:val="none"/>
        </w:rPr>
      </w:pPr>
      <w:r>
        <w:rPr>
          <w:rFonts w:ascii="Arial" w:hAnsi="Arial" w:cs="Arial"/>
          <w:color w:val="auto"/>
          <w:highlight w:val="none"/>
        </w:rPr>
        <w:t>1</w:t>
      </w:r>
      <w:r>
        <w:rPr>
          <w:rFonts w:hint="eastAsia" w:ascii="Arial" w:hAnsi="Arial" w:cs="Arial"/>
          <w:color w:val="auto"/>
          <w:highlight w:val="none"/>
        </w:rPr>
        <w:t>、</w:t>
      </w:r>
      <w:r>
        <w:rPr>
          <w:rFonts w:ascii="宋体" w:hAnsi="宋体" w:cs="Arial"/>
          <w:color w:val="auto"/>
          <w:highlight w:val="none"/>
        </w:rPr>
        <w:t>供货一览表</w:t>
      </w:r>
    </w:p>
    <w:tbl>
      <w:tblPr>
        <w:tblStyle w:val="20"/>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88"/>
        <w:gridCol w:w="1340"/>
        <w:gridCol w:w="2719"/>
        <w:gridCol w:w="868"/>
        <w:gridCol w:w="887"/>
        <w:gridCol w:w="722"/>
        <w:gridCol w:w="1450"/>
        <w:gridCol w:w="1431"/>
      </w:tblGrid>
      <w:tr w14:paraId="2606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6" w:hRule="atLeast"/>
          <w:jc w:val="center"/>
        </w:trPr>
        <w:tc>
          <w:tcPr>
            <w:tcW w:w="388" w:type="dxa"/>
            <w:tcBorders>
              <w:top w:val="single" w:color="auto" w:sz="4" w:space="0"/>
              <w:left w:val="single" w:color="auto" w:sz="4" w:space="0"/>
              <w:bottom w:val="single" w:color="auto" w:sz="4" w:space="0"/>
              <w:right w:val="single" w:color="auto" w:sz="4" w:space="0"/>
            </w:tcBorders>
            <w:noWrap w:val="0"/>
            <w:vAlign w:val="center"/>
          </w:tcPr>
          <w:p w14:paraId="1C51E8BA">
            <w:pPr>
              <w:jc w:val="center"/>
              <w:rPr>
                <w:rFonts w:ascii="Arial" w:hAnsi="Arial" w:cs="Arial"/>
                <w:color w:val="auto"/>
                <w:highlight w:val="none"/>
              </w:rPr>
            </w:pPr>
            <w:r>
              <w:rPr>
                <w:rFonts w:ascii="宋体" w:hAnsi="宋体" w:cs="Arial"/>
                <w:color w:val="auto"/>
                <w:highlight w:val="none"/>
              </w:rPr>
              <w:t>序号</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8548618">
            <w:pPr>
              <w:jc w:val="center"/>
              <w:rPr>
                <w:rFonts w:hint="eastAsia" w:ascii="Arial" w:hAnsi="Arial" w:eastAsia="宋体" w:cs="Arial"/>
                <w:color w:val="auto"/>
                <w:highlight w:val="none"/>
              </w:rPr>
            </w:pPr>
            <w:r>
              <w:rPr>
                <w:rFonts w:ascii="Arial" w:hAnsi="Arial" w:cs="Arial"/>
                <w:color w:val="auto"/>
                <w:highlight w:val="none"/>
              </w:rPr>
              <w:t>服务</w:t>
            </w:r>
            <w:r>
              <w:rPr>
                <w:rFonts w:hint="eastAsia" w:ascii="Arial" w:hAnsi="Arial" w:cs="Arial"/>
                <w:color w:val="auto"/>
                <w:highlight w:val="none"/>
              </w:rPr>
              <w:t>名称</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661055">
            <w:pPr>
              <w:jc w:val="center"/>
              <w:rPr>
                <w:rFonts w:hint="eastAsia" w:ascii="Arial" w:hAnsi="Arial" w:eastAsia="宋体" w:cs="Arial"/>
                <w:color w:val="auto"/>
                <w:highlight w:val="none"/>
              </w:rPr>
            </w:pPr>
            <w:r>
              <w:rPr>
                <w:rFonts w:hint="eastAsia" w:ascii="Arial" w:hAnsi="Arial" w:cs="Arial"/>
                <w:color w:val="auto"/>
                <w:highlight w:val="none"/>
              </w:rPr>
              <w:t>技术及服务需求</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4E0E9DC2">
            <w:pPr>
              <w:jc w:val="center"/>
              <w:rPr>
                <w:rFonts w:ascii="Arial" w:hAnsi="Arial" w:cs="Arial"/>
                <w:color w:val="auto"/>
                <w:highlight w:val="none"/>
              </w:rPr>
            </w:pPr>
            <w:r>
              <w:rPr>
                <w:rFonts w:ascii="Arial" w:hAnsi="Arial" w:cs="Arial"/>
                <w:color w:val="auto"/>
                <w:highlight w:val="none"/>
              </w:rPr>
              <w:t>数量</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3F12B34">
            <w:pPr>
              <w:jc w:val="center"/>
              <w:rPr>
                <w:rFonts w:ascii="Arial" w:hAnsi="Arial" w:cs="Arial"/>
                <w:color w:val="auto"/>
                <w:highlight w:val="none"/>
              </w:rPr>
            </w:pPr>
            <w:r>
              <w:rPr>
                <w:rFonts w:ascii="Arial" w:hAnsi="Arial" w:cs="Arial"/>
                <w:color w:val="auto"/>
                <w:highlight w:val="none"/>
              </w:rPr>
              <w:t>单位</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5AD21A48">
            <w:pPr>
              <w:jc w:val="center"/>
              <w:rPr>
                <w:rFonts w:ascii="Arial" w:hAnsi="Arial" w:cs="Arial"/>
                <w:color w:val="auto"/>
                <w:highlight w:val="none"/>
              </w:rPr>
            </w:pPr>
            <w:r>
              <w:rPr>
                <w:rFonts w:ascii="Arial" w:hAnsi="Arial" w:cs="Arial"/>
                <w:color w:val="auto"/>
                <w:highlight w:val="none"/>
              </w:rPr>
              <w:t>单价（元）</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7508CA6">
            <w:pPr>
              <w:jc w:val="center"/>
              <w:rPr>
                <w:rFonts w:ascii="Arial" w:hAnsi="Arial" w:cs="Arial"/>
                <w:color w:val="auto"/>
                <w:highlight w:val="none"/>
              </w:rPr>
            </w:pPr>
            <w:r>
              <w:rPr>
                <w:rFonts w:ascii="Arial" w:hAnsi="Arial" w:cs="Arial"/>
                <w:color w:val="auto"/>
                <w:highlight w:val="none"/>
              </w:rPr>
              <w:t>金额（元）</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8C1CAD2">
            <w:pPr>
              <w:jc w:val="center"/>
              <w:rPr>
                <w:rFonts w:ascii="Arial" w:hAnsi="Arial" w:cs="Arial"/>
                <w:color w:val="auto"/>
                <w:highlight w:val="none"/>
              </w:rPr>
            </w:pPr>
            <w:r>
              <w:rPr>
                <w:rFonts w:hint="eastAsia" w:ascii="Arial" w:hAnsi="Arial" w:cs="Arial"/>
                <w:color w:val="auto"/>
                <w:highlight w:val="none"/>
              </w:rPr>
              <w:t>备注</w:t>
            </w:r>
          </w:p>
        </w:tc>
      </w:tr>
      <w:tr w14:paraId="4B63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2" w:hRule="atLeast"/>
          <w:jc w:val="center"/>
        </w:trPr>
        <w:tc>
          <w:tcPr>
            <w:tcW w:w="388" w:type="dxa"/>
            <w:tcBorders>
              <w:top w:val="single" w:color="auto" w:sz="4" w:space="0"/>
              <w:left w:val="single" w:color="auto" w:sz="4" w:space="0"/>
              <w:bottom w:val="single" w:color="auto" w:sz="4" w:space="0"/>
              <w:right w:val="single" w:color="auto" w:sz="4" w:space="0"/>
            </w:tcBorders>
            <w:noWrap w:val="0"/>
            <w:vAlign w:val="center"/>
          </w:tcPr>
          <w:p w14:paraId="3B0E13AD">
            <w:pPr>
              <w:widowControl/>
              <w:jc w:val="center"/>
              <w:textAlignment w:val="center"/>
              <w:rPr>
                <w:rFonts w:ascii="Arial" w:hAnsi="Arial" w:cs="Arial"/>
                <w:color w:val="auto"/>
                <w:kern w:val="0"/>
                <w:highlight w:val="none"/>
              </w:rPr>
            </w:pPr>
            <w:r>
              <w:rPr>
                <w:rFonts w:ascii="Arial" w:hAnsi="Arial" w:cs="Arial"/>
                <w:color w:val="auto"/>
                <w:kern w:val="0"/>
                <w:highlight w:val="none"/>
              </w:rPr>
              <w:t>1</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0DB98B9F">
            <w:pPr>
              <w:widowControl/>
              <w:jc w:val="center"/>
              <w:textAlignment w:val="center"/>
              <w:rPr>
                <w:rFonts w:ascii="Arial" w:hAnsi="Arial" w:cs="Arial"/>
                <w:color w:val="auto"/>
                <w:kern w:val="0"/>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2C8E1764">
            <w:pPr>
              <w:snapToGrid w:val="0"/>
              <w:spacing w:line="400" w:lineRule="exact"/>
              <w:jc w:val="center"/>
              <w:textAlignment w:val="center"/>
              <w:rPr>
                <w:rFonts w:ascii="Arial" w:hAnsi="Arial" w:cs="Arial"/>
                <w:color w:val="auto"/>
                <w:kern w:val="0"/>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03F773F7">
            <w:pPr>
              <w:widowControl/>
              <w:jc w:val="center"/>
              <w:textAlignment w:val="center"/>
              <w:rPr>
                <w:rFonts w:ascii="Arial" w:hAnsi="Arial" w:cs="Arial"/>
                <w:color w:val="auto"/>
                <w:kern w:val="0"/>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436CE08">
            <w:pPr>
              <w:widowControl/>
              <w:jc w:val="center"/>
              <w:textAlignment w:val="center"/>
              <w:rPr>
                <w:rFonts w:ascii="Arial" w:hAnsi="Arial" w:cs="Arial"/>
                <w:color w:val="auto"/>
                <w:kern w:val="0"/>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1CC1E6C5">
            <w:pPr>
              <w:widowControl/>
              <w:jc w:val="center"/>
              <w:textAlignment w:val="center"/>
              <w:rPr>
                <w:rFonts w:ascii="Arial" w:hAnsi="Arial" w:cs="Arial"/>
                <w:color w:val="auto"/>
                <w:kern w:val="0"/>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B948C27">
            <w:pPr>
              <w:widowControl/>
              <w:jc w:val="center"/>
              <w:textAlignment w:val="center"/>
              <w:rPr>
                <w:rFonts w:ascii="Arial" w:hAnsi="Arial" w:cs="Arial"/>
                <w:color w:val="auto"/>
                <w:kern w:val="0"/>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94D0BD9">
            <w:pPr>
              <w:widowControl/>
              <w:jc w:val="center"/>
              <w:textAlignment w:val="center"/>
              <w:rPr>
                <w:rFonts w:ascii="Arial" w:hAnsi="Arial" w:cs="Arial"/>
                <w:color w:val="auto"/>
                <w:kern w:val="0"/>
                <w:highlight w:val="none"/>
              </w:rPr>
            </w:pPr>
          </w:p>
        </w:tc>
      </w:tr>
      <w:tr w14:paraId="46E1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5" w:hRule="atLeast"/>
          <w:jc w:val="center"/>
        </w:trPr>
        <w:tc>
          <w:tcPr>
            <w:tcW w:w="388" w:type="dxa"/>
            <w:tcBorders>
              <w:top w:val="single" w:color="auto" w:sz="4" w:space="0"/>
              <w:left w:val="single" w:color="auto" w:sz="4" w:space="0"/>
              <w:bottom w:val="single" w:color="auto" w:sz="4" w:space="0"/>
              <w:right w:val="single" w:color="auto" w:sz="4" w:space="0"/>
            </w:tcBorders>
            <w:noWrap w:val="0"/>
            <w:vAlign w:val="center"/>
          </w:tcPr>
          <w:p w14:paraId="4FD4DF56">
            <w:pPr>
              <w:widowControl/>
              <w:jc w:val="center"/>
              <w:textAlignment w:val="center"/>
              <w:rPr>
                <w:rFonts w:ascii="Arial" w:hAnsi="Arial" w:cs="Arial"/>
                <w:color w:val="auto"/>
                <w:kern w:val="0"/>
                <w:highlight w:val="none"/>
              </w:rPr>
            </w:pPr>
            <w:r>
              <w:rPr>
                <w:rFonts w:ascii="Arial" w:hAnsi="Arial" w:cs="Arial"/>
                <w:color w:val="auto"/>
                <w:kern w:val="0"/>
                <w:highlight w:val="none"/>
              </w:rPr>
              <w:t>2</w:t>
            </w:r>
          </w:p>
        </w:tc>
        <w:tc>
          <w:tcPr>
            <w:tcW w:w="1340" w:type="dxa"/>
            <w:tcBorders>
              <w:top w:val="single" w:color="auto" w:sz="4" w:space="0"/>
              <w:left w:val="single" w:color="auto" w:sz="4" w:space="0"/>
              <w:bottom w:val="single" w:color="auto" w:sz="4" w:space="0"/>
              <w:right w:val="single" w:color="auto" w:sz="4" w:space="0"/>
            </w:tcBorders>
            <w:noWrap w:val="0"/>
            <w:vAlign w:val="center"/>
          </w:tcPr>
          <w:p w14:paraId="5920599B">
            <w:pPr>
              <w:widowControl/>
              <w:jc w:val="center"/>
              <w:textAlignment w:val="center"/>
              <w:rPr>
                <w:rFonts w:ascii="Arial" w:hAnsi="Arial" w:cs="Arial"/>
                <w:color w:val="auto"/>
                <w:kern w:val="0"/>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B2B97FA">
            <w:pPr>
              <w:snapToGrid w:val="0"/>
              <w:spacing w:line="400" w:lineRule="exact"/>
              <w:jc w:val="center"/>
              <w:textAlignment w:val="center"/>
              <w:rPr>
                <w:rFonts w:ascii="Arial" w:hAnsi="Arial" w:cs="Arial"/>
                <w:color w:val="auto"/>
                <w:kern w:val="0"/>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376112FF">
            <w:pPr>
              <w:widowControl/>
              <w:jc w:val="center"/>
              <w:textAlignment w:val="center"/>
              <w:rPr>
                <w:rFonts w:ascii="Arial" w:hAnsi="Arial" w:cs="Arial"/>
                <w:color w:val="auto"/>
                <w:kern w:val="0"/>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488FFF0">
            <w:pPr>
              <w:widowControl/>
              <w:jc w:val="center"/>
              <w:textAlignment w:val="center"/>
              <w:rPr>
                <w:rFonts w:ascii="Arial" w:hAnsi="Arial" w:cs="Arial"/>
                <w:color w:val="auto"/>
                <w:kern w:val="0"/>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0A9F8FD1">
            <w:pPr>
              <w:widowControl/>
              <w:jc w:val="center"/>
              <w:textAlignment w:val="center"/>
              <w:rPr>
                <w:rFonts w:ascii="Arial" w:hAnsi="Arial" w:cs="Arial"/>
                <w:color w:val="auto"/>
                <w:kern w:val="0"/>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3F058F0">
            <w:pPr>
              <w:widowControl/>
              <w:jc w:val="center"/>
              <w:textAlignment w:val="center"/>
              <w:rPr>
                <w:rFonts w:ascii="Arial" w:hAnsi="Arial" w:cs="Arial"/>
                <w:color w:val="auto"/>
                <w:kern w:val="0"/>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67437B0">
            <w:pPr>
              <w:widowControl/>
              <w:jc w:val="center"/>
              <w:textAlignment w:val="center"/>
              <w:rPr>
                <w:rFonts w:ascii="Arial" w:hAnsi="Arial" w:cs="Arial"/>
                <w:color w:val="auto"/>
                <w:kern w:val="0"/>
                <w:highlight w:val="none"/>
              </w:rPr>
            </w:pPr>
          </w:p>
        </w:tc>
      </w:tr>
      <w:tr w14:paraId="7E1D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5" w:hRule="atLeast"/>
          <w:jc w:val="center"/>
        </w:trPr>
        <w:tc>
          <w:tcPr>
            <w:tcW w:w="388" w:type="dxa"/>
            <w:tcBorders>
              <w:top w:val="single" w:color="auto" w:sz="4" w:space="0"/>
              <w:left w:val="single" w:color="auto" w:sz="4" w:space="0"/>
              <w:bottom w:val="single" w:color="auto" w:sz="4" w:space="0"/>
              <w:right w:val="single" w:color="auto" w:sz="4" w:space="0"/>
            </w:tcBorders>
            <w:noWrap w:val="0"/>
            <w:vAlign w:val="center"/>
          </w:tcPr>
          <w:p w14:paraId="1825AACA">
            <w:pPr>
              <w:widowControl/>
              <w:jc w:val="center"/>
              <w:textAlignment w:val="center"/>
              <w:rPr>
                <w:rFonts w:ascii="Arial" w:hAnsi="Arial" w:cs="Arial"/>
                <w:color w:val="auto"/>
                <w:kern w:val="0"/>
                <w:highlight w:val="none"/>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14:paraId="6615A20A">
            <w:pPr>
              <w:widowControl/>
              <w:jc w:val="center"/>
              <w:textAlignment w:val="center"/>
              <w:rPr>
                <w:rFonts w:ascii="Arial" w:hAnsi="Arial" w:cs="Arial"/>
                <w:color w:val="auto"/>
                <w:kern w:val="0"/>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4012504">
            <w:pPr>
              <w:snapToGrid w:val="0"/>
              <w:spacing w:line="400" w:lineRule="exact"/>
              <w:jc w:val="center"/>
              <w:textAlignment w:val="center"/>
              <w:rPr>
                <w:rFonts w:ascii="Arial" w:hAnsi="Arial" w:cs="Arial"/>
                <w:color w:val="auto"/>
                <w:kern w:val="0"/>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4D36E246">
            <w:pPr>
              <w:widowControl/>
              <w:jc w:val="center"/>
              <w:textAlignment w:val="center"/>
              <w:rPr>
                <w:rFonts w:ascii="Arial" w:hAnsi="Arial" w:cs="Arial"/>
                <w:color w:val="auto"/>
                <w:kern w:val="0"/>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3036861">
            <w:pPr>
              <w:widowControl/>
              <w:jc w:val="center"/>
              <w:textAlignment w:val="center"/>
              <w:rPr>
                <w:rFonts w:ascii="Arial" w:hAnsi="Arial" w:cs="Arial"/>
                <w:color w:val="auto"/>
                <w:kern w:val="0"/>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06A1BA46">
            <w:pPr>
              <w:widowControl/>
              <w:jc w:val="center"/>
              <w:textAlignment w:val="center"/>
              <w:rPr>
                <w:rFonts w:ascii="Arial" w:hAnsi="Arial" w:cs="Arial"/>
                <w:color w:val="auto"/>
                <w:kern w:val="0"/>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7522E9F">
            <w:pPr>
              <w:widowControl/>
              <w:jc w:val="center"/>
              <w:textAlignment w:val="center"/>
              <w:rPr>
                <w:rFonts w:ascii="Arial" w:hAnsi="Arial" w:cs="Arial"/>
                <w:color w:val="auto"/>
                <w:kern w:val="0"/>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C08FFC0">
            <w:pPr>
              <w:widowControl/>
              <w:jc w:val="center"/>
              <w:textAlignment w:val="center"/>
              <w:rPr>
                <w:rFonts w:ascii="Arial" w:hAnsi="Arial" w:cs="Arial"/>
                <w:color w:val="auto"/>
                <w:kern w:val="0"/>
                <w:highlight w:val="none"/>
              </w:rPr>
            </w:pPr>
          </w:p>
        </w:tc>
      </w:tr>
      <w:tr w14:paraId="5BEC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9805" w:type="dxa"/>
            <w:gridSpan w:val="8"/>
            <w:tcBorders>
              <w:top w:val="single" w:color="auto" w:sz="4" w:space="0"/>
              <w:left w:val="single" w:color="auto" w:sz="4" w:space="0"/>
              <w:bottom w:val="single" w:color="auto" w:sz="4" w:space="0"/>
              <w:right w:val="single" w:color="auto" w:sz="4" w:space="0"/>
            </w:tcBorders>
            <w:noWrap w:val="0"/>
            <w:vAlign w:val="center"/>
          </w:tcPr>
          <w:p w14:paraId="28B57EB6">
            <w:pPr>
              <w:widowControl/>
              <w:textAlignment w:val="center"/>
              <w:rPr>
                <w:rFonts w:ascii="Arial" w:hAnsi="Arial" w:cs="Arial"/>
                <w:color w:val="auto"/>
                <w:kern w:val="0"/>
                <w:highlight w:val="none"/>
              </w:rPr>
            </w:pPr>
            <w:r>
              <w:rPr>
                <w:rFonts w:ascii="宋体" w:hAnsi="宋体" w:cs="Arial"/>
                <w:color w:val="auto"/>
                <w:highlight w:val="none"/>
              </w:rPr>
              <w:t>总价：</w:t>
            </w:r>
            <w:r>
              <w:rPr>
                <w:rFonts w:ascii="Arial" w:hAnsi="Arial" w:cs="Arial"/>
                <w:color w:val="auto"/>
                <w:highlight w:val="none"/>
              </w:rPr>
              <w:t>(</w:t>
            </w:r>
            <w:r>
              <w:rPr>
                <w:rFonts w:ascii="宋体" w:hAnsi="宋体" w:cs="Arial"/>
                <w:color w:val="auto"/>
                <w:highlight w:val="none"/>
              </w:rPr>
              <w:t>大写</w:t>
            </w:r>
            <w:r>
              <w:rPr>
                <w:rFonts w:ascii="Arial" w:hAnsi="Arial" w:cs="Arial"/>
                <w:color w:val="auto"/>
                <w:highlight w:val="none"/>
              </w:rPr>
              <w:t>)</w:t>
            </w:r>
            <w:r>
              <w:rPr>
                <w:rFonts w:ascii="Arial" w:hAnsi="Arial" w:cs="Arial"/>
                <w:color w:val="auto"/>
                <w:highlight w:val="none"/>
                <w:u w:val="single"/>
              </w:rPr>
              <w:t xml:space="preserve">                      </w:t>
            </w:r>
            <w:r>
              <w:rPr>
                <w:rFonts w:ascii="宋体" w:hAnsi="宋体" w:cs="Arial"/>
                <w:color w:val="auto"/>
                <w:highlight w:val="none"/>
              </w:rPr>
              <w:t>（￥</w:t>
            </w:r>
            <w:r>
              <w:rPr>
                <w:rFonts w:ascii="Arial" w:hAnsi="Arial" w:cs="Arial"/>
                <w:color w:val="auto"/>
                <w:highlight w:val="none"/>
                <w:u w:val="single"/>
              </w:rPr>
              <w:t xml:space="preserve">                      </w:t>
            </w:r>
            <w:r>
              <w:rPr>
                <w:rFonts w:ascii="Arial" w:hAnsi="Arial" w:cs="Arial"/>
                <w:color w:val="auto"/>
                <w:highlight w:val="none"/>
              </w:rPr>
              <w:t>）</w:t>
            </w:r>
          </w:p>
        </w:tc>
      </w:tr>
    </w:tbl>
    <w:p w14:paraId="06256BF1">
      <w:pPr>
        <w:widowControl/>
        <w:ind w:firstLine="420" w:firstLineChars="200"/>
        <w:jc w:val="left"/>
        <w:textAlignment w:val="center"/>
        <w:rPr>
          <w:rFonts w:ascii="宋体" w:hAnsi="宋体" w:cs="宋体"/>
          <w:color w:val="auto"/>
          <w:kern w:val="0"/>
          <w:szCs w:val="21"/>
          <w:highlight w:val="none"/>
          <w:lang w:bidi="ar"/>
        </w:rPr>
      </w:pPr>
      <w:r>
        <w:rPr>
          <w:rFonts w:ascii="Arial" w:hAnsi="Arial" w:cs="Arial"/>
          <w:color w:val="auto"/>
          <w:highlight w:val="none"/>
        </w:rPr>
        <w:t>2</w:t>
      </w:r>
      <w:r>
        <w:rPr>
          <w:rFonts w:hint="eastAsia" w:ascii="Arial" w:hAnsi="Arial" w:cs="Arial"/>
          <w:color w:val="auto"/>
          <w:highlight w:val="none"/>
        </w:rPr>
        <w:t>、合同合计金额包括</w:t>
      </w:r>
      <w:r>
        <w:rPr>
          <w:rFonts w:hint="eastAsia" w:ascii="宋体" w:hAnsi="宋体" w:cs="宋体"/>
          <w:color w:val="auto"/>
          <w:kern w:val="0"/>
          <w:szCs w:val="21"/>
          <w:highlight w:val="none"/>
          <w:lang w:bidi="ar"/>
        </w:rPr>
        <w:t>报完成本项目中全部内容的含税、费的人民币价格，含以下部分，包括：</w:t>
      </w:r>
    </w:p>
    <w:p w14:paraId="29374A1C">
      <w:pPr>
        <w:widowControl/>
        <w:ind w:firstLine="420" w:firstLineChars="2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软件及服务、货物（如涉及）的价格</w:t>
      </w:r>
      <w:r>
        <w:rPr>
          <w:rFonts w:hint="eastAsia" w:ascii="宋体" w:hAnsi="宋体" w:cs="宋体"/>
          <w:color w:val="auto"/>
          <w:kern w:val="0"/>
          <w:szCs w:val="21"/>
          <w:highlight w:val="none"/>
          <w:lang w:bidi="ar"/>
        </w:rPr>
        <w:t>；</w:t>
      </w:r>
    </w:p>
    <w:p w14:paraId="25287390">
      <w:pPr>
        <w:widowControl/>
        <w:ind w:firstLine="420" w:firstLineChars="2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（2）必要的保险费用和各项税金；</w:t>
      </w:r>
    </w:p>
    <w:p w14:paraId="63BB94B7">
      <w:pPr>
        <w:ind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（3）其他：如运输服务、二次运输服务、安装服务、调试服务、培训服务、技术支持服务、更新升级服务等费用。</w:t>
      </w:r>
    </w:p>
    <w:p w14:paraId="4F4148F5">
      <w:pPr>
        <w:snapToGrid w:val="0"/>
        <w:spacing w:line="360" w:lineRule="exact"/>
        <w:ind w:firstLine="422" w:firstLineChars="200"/>
        <w:rPr>
          <w:rFonts w:ascii="Arial" w:hAnsi="Arial" w:cs="Arial"/>
          <w:color w:val="auto"/>
          <w:highlight w:val="none"/>
        </w:rPr>
      </w:pPr>
      <w:r>
        <w:rPr>
          <w:rFonts w:ascii="宋体" w:hAnsi="宋体" w:cs="Arial"/>
          <w:b/>
          <w:color w:val="auto"/>
          <w:highlight w:val="none"/>
        </w:rPr>
        <w:t>第二条 质量保证</w:t>
      </w:r>
    </w:p>
    <w:p w14:paraId="6F773820">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乙方所提供的服务内容必须与招投标文件和承诺相一致。</w:t>
      </w:r>
    </w:p>
    <w:p w14:paraId="22407903">
      <w:pPr>
        <w:snapToGrid w:val="0"/>
        <w:spacing w:line="360" w:lineRule="exact"/>
        <w:ind w:firstLine="422" w:firstLineChars="200"/>
        <w:rPr>
          <w:rFonts w:ascii="Arial" w:hAnsi="Arial" w:cs="Arial"/>
          <w:color w:val="auto"/>
          <w:highlight w:val="none"/>
        </w:rPr>
      </w:pPr>
      <w:r>
        <w:rPr>
          <w:rFonts w:ascii="宋体" w:hAnsi="宋体" w:cs="Arial"/>
          <w:b/>
          <w:color w:val="auto"/>
          <w:highlight w:val="none"/>
        </w:rPr>
        <w:t>第三条</w:t>
      </w:r>
      <w:r>
        <w:rPr>
          <w:rFonts w:ascii="Arial" w:hAnsi="Arial" w:cs="Arial"/>
          <w:b/>
          <w:color w:val="auto"/>
          <w:highlight w:val="none"/>
        </w:rPr>
        <w:t xml:space="preserve">  权利保证</w:t>
      </w:r>
    </w:p>
    <w:p w14:paraId="50185769">
      <w:pPr>
        <w:spacing w:after="96" w:afterLines="40" w:line="360" w:lineRule="exact"/>
        <w:ind w:firstLine="420" w:firstLineChars="200"/>
        <w:rPr>
          <w:rFonts w:ascii="Arial" w:hAnsi="Arial" w:cs="Arial"/>
          <w:color w:val="auto"/>
          <w:highlight w:val="none"/>
        </w:rPr>
      </w:pPr>
      <w:r>
        <w:rPr>
          <w:rFonts w:ascii="宋体" w:hAnsi="宋体" w:cs="Arial"/>
          <w:color w:val="auto"/>
          <w:highlight w:val="none"/>
        </w:rPr>
        <w:t>乙方应保证所提供</w:t>
      </w:r>
      <w:r>
        <w:rPr>
          <w:rFonts w:hint="eastAsia" w:ascii="宋体" w:hAnsi="宋体" w:cs="Arial"/>
          <w:color w:val="auto"/>
          <w:highlight w:val="none"/>
        </w:rPr>
        <w:t>服务及相关货物</w:t>
      </w:r>
      <w:r>
        <w:rPr>
          <w:rFonts w:ascii="宋体" w:hAnsi="宋体" w:cs="Arial"/>
          <w:color w:val="auto"/>
          <w:highlight w:val="none"/>
        </w:rPr>
        <w:t>在使用时不会侵犯任何第三方的专利权、商标权、工业设计权或其他权利。</w:t>
      </w:r>
    </w:p>
    <w:p w14:paraId="49B7D15B">
      <w:pPr>
        <w:spacing w:after="96" w:afterLines="40" w:line="360" w:lineRule="exact"/>
        <w:ind w:firstLine="420" w:firstLineChars="200"/>
        <w:rPr>
          <w:rFonts w:ascii="Arial" w:hAnsi="Arial" w:cs="Arial"/>
          <w:color w:val="auto"/>
          <w:highlight w:val="none"/>
        </w:rPr>
      </w:pPr>
      <w:r>
        <w:rPr>
          <w:rFonts w:ascii="宋体" w:hAnsi="宋体" w:cs="Arial"/>
          <w:color w:val="auto"/>
          <w:highlight w:val="none"/>
        </w:rPr>
        <w:t>乙方应按招标文件规定</w:t>
      </w:r>
      <w:r>
        <w:rPr>
          <w:rFonts w:hint="eastAsia" w:ascii="宋体" w:hAnsi="宋体" w:cs="Arial"/>
          <w:color w:val="auto"/>
          <w:highlight w:val="none"/>
        </w:rPr>
        <w:t>、本合同约定</w:t>
      </w:r>
      <w:r>
        <w:rPr>
          <w:rFonts w:ascii="宋体" w:hAnsi="宋体" w:cs="Arial"/>
          <w:color w:val="auto"/>
          <w:highlight w:val="none"/>
        </w:rPr>
        <w:t>的时间向甲方提供使用</w:t>
      </w:r>
      <w:r>
        <w:rPr>
          <w:rFonts w:hint="eastAsia" w:ascii="宋体" w:hAnsi="宋体" w:cs="Arial"/>
          <w:color w:val="auto"/>
          <w:highlight w:val="none"/>
        </w:rPr>
        <w:t>服务及相关货物</w:t>
      </w:r>
      <w:r>
        <w:rPr>
          <w:rFonts w:ascii="宋体" w:hAnsi="宋体" w:cs="Arial"/>
          <w:color w:val="auto"/>
          <w:highlight w:val="none"/>
        </w:rPr>
        <w:t>的有关技术资料。</w:t>
      </w:r>
    </w:p>
    <w:p w14:paraId="053A525B">
      <w:pPr>
        <w:spacing w:after="96" w:afterLines="40" w:line="360" w:lineRule="exact"/>
        <w:ind w:firstLine="420" w:firstLineChars="200"/>
        <w:rPr>
          <w:rFonts w:ascii="Arial" w:hAnsi="Arial" w:cs="Arial"/>
          <w:color w:val="auto"/>
          <w:highlight w:val="none"/>
        </w:rPr>
      </w:pPr>
      <w:r>
        <w:rPr>
          <w:rFonts w:ascii="宋体" w:hAnsi="宋体" w:cs="Arial"/>
          <w:color w:val="auto"/>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B22C4C">
      <w:pPr>
        <w:spacing w:after="96" w:afterLines="40" w:line="360" w:lineRule="exact"/>
        <w:ind w:firstLine="420" w:firstLineChars="200"/>
        <w:rPr>
          <w:rFonts w:ascii="Arial" w:hAnsi="Arial" w:cs="Arial"/>
          <w:color w:val="auto"/>
          <w:highlight w:val="none"/>
        </w:rPr>
      </w:pPr>
      <w:r>
        <w:rPr>
          <w:rFonts w:ascii="宋体" w:hAnsi="宋体" w:cs="Arial"/>
          <w:color w:val="auto"/>
          <w:highlight w:val="none"/>
        </w:rPr>
        <w:t>乙方保证所交付的</w:t>
      </w:r>
      <w:r>
        <w:rPr>
          <w:rFonts w:hint="eastAsia" w:ascii="宋体" w:hAnsi="宋体" w:cs="Arial"/>
          <w:color w:val="auto"/>
          <w:highlight w:val="none"/>
        </w:rPr>
        <w:t>服务及相关货物</w:t>
      </w:r>
      <w:r>
        <w:rPr>
          <w:rFonts w:ascii="宋体" w:hAnsi="宋体" w:cs="Arial"/>
          <w:color w:val="auto"/>
          <w:highlight w:val="none"/>
        </w:rPr>
        <w:t>的所有权完全属于乙方且无任何抵押、质押、查封等产权瑕疵。</w:t>
      </w:r>
    </w:p>
    <w:p w14:paraId="68A741EF">
      <w:pPr>
        <w:snapToGrid w:val="0"/>
        <w:spacing w:line="360" w:lineRule="exact"/>
        <w:ind w:firstLine="422" w:firstLineChars="200"/>
        <w:rPr>
          <w:rFonts w:ascii="Arial" w:hAnsi="Arial" w:cs="Arial"/>
          <w:b/>
          <w:color w:val="auto"/>
          <w:highlight w:val="none"/>
        </w:rPr>
      </w:pPr>
      <w:r>
        <w:rPr>
          <w:rFonts w:ascii="宋体" w:hAnsi="宋体" w:cs="Arial"/>
          <w:b/>
          <w:color w:val="auto"/>
          <w:highlight w:val="none"/>
        </w:rPr>
        <w:t>第四条</w:t>
      </w:r>
      <w:r>
        <w:rPr>
          <w:rFonts w:ascii="Arial" w:hAnsi="Arial" w:cs="Arial"/>
          <w:b/>
          <w:color w:val="auto"/>
          <w:highlight w:val="none"/>
        </w:rPr>
        <w:t xml:space="preserve">  </w:t>
      </w:r>
      <w:r>
        <w:rPr>
          <w:rFonts w:hint="eastAsia" w:ascii="Arial" w:hAnsi="Arial" w:cs="Arial"/>
          <w:b/>
          <w:color w:val="auto"/>
          <w:highlight w:val="none"/>
        </w:rPr>
        <w:t>保修服务期限</w:t>
      </w:r>
    </w:p>
    <w:p w14:paraId="6386B9A0">
      <w:pPr>
        <w:spacing w:after="96" w:afterLines="40" w:line="360" w:lineRule="exact"/>
        <w:ind w:firstLine="420" w:firstLineChars="200"/>
        <w:rPr>
          <w:rFonts w:ascii="宋体" w:hAnsi="宋体" w:cs="Arial"/>
          <w:color w:val="auto"/>
          <w:highlight w:val="none"/>
        </w:rPr>
      </w:pPr>
      <w:r>
        <w:rPr>
          <w:rFonts w:hint="eastAsia" w:ascii="宋体" w:hAnsi="宋体" w:eastAsia="宋体" w:cs="宋体"/>
          <w:bCs/>
          <w:color w:val="auto"/>
          <w:sz w:val="21"/>
          <w:szCs w:val="21"/>
          <w:highlight w:val="none"/>
          <w:lang w:val="en-US" w:eastAsia="zh-CN" w:bidi="ar"/>
        </w:rPr>
        <w:t>服务期限：</w:t>
      </w:r>
      <w:r>
        <w:rPr>
          <w:rFonts w:hint="eastAsia" w:ascii="宋体" w:hAnsi="宋体" w:eastAsia="宋体" w:cs="宋体"/>
          <w:bCs/>
          <w:color w:val="auto"/>
          <w:sz w:val="21"/>
          <w:szCs w:val="21"/>
          <w:highlight w:val="none"/>
          <w:u w:val="single"/>
          <w:lang w:val="en-US" w:eastAsia="zh-CN" w:bidi="ar"/>
        </w:rPr>
        <w:t xml:space="preserve">                         </w:t>
      </w:r>
      <w:r>
        <w:rPr>
          <w:rFonts w:hint="eastAsia" w:ascii="宋体" w:hAnsi="宋体" w:eastAsia="宋体" w:cs="宋体"/>
          <w:bCs/>
          <w:color w:val="auto"/>
          <w:sz w:val="21"/>
          <w:szCs w:val="21"/>
          <w:highlight w:val="none"/>
          <w:lang w:val="en-US" w:eastAsia="zh-CN" w:bidi="ar"/>
        </w:rPr>
        <w:t>。</w:t>
      </w:r>
    </w:p>
    <w:p w14:paraId="75A04F82">
      <w:pPr>
        <w:snapToGrid w:val="0"/>
        <w:spacing w:line="360" w:lineRule="exact"/>
        <w:ind w:firstLine="422" w:firstLineChars="200"/>
        <w:rPr>
          <w:rFonts w:ascii="Arial" w:hAnsi="Arial" w:cs="Arial"/>
          <w:color w:val="auto"/>
          <w:highlight w:val="none"/>
        </w:rPr>
      </w:pPr>
      <w:r>
        <w:rPr>
          <w:rFonts w:ascii="宋体" w:hAnsi="宋体" w:cs="Arial"/>
          <w:b/>
          <w:color w:val="auto"/>
          <w:highlight w:val="none"/>
        </w:rPr>
        <w:t>第</w:t>
      </w:r>
      <w:r>
        <w:rPr>
          <w:rFonts w:hint="eastAsia" w:ascii="宋体" w:hAnsi="宋体" w:cs="Arial"/>
          <w:b/>
          <w:color w:val="auto"/>
          <w:highlight w:val="none"/>
        </w:rPr>
        <w:t>五</w:t>
      </w:r>
      <w:r>
        <w:rPr>
          <w:rFonts w:ascii="宋体" w:hAnsi="宋体" w:cs="Arial"/>
          <w:b/>
          <w:color w:val="auto"/>
          <w:highlight w:val="none"/>
        </w:rPr>
        <w:t>条 付款方式</w:t>
      </w:r>
    </w:p>
    <w:p w14:paraId="0F0D8F6F">
      <w:pPr>
        <w:snapToGrid w:val="0"/>
        <w:spacing w:line="360" w:lineRule="exact"/>
        <w:ind w:firstLine="420" w:firstLineChars="200"/>
        <w:rPr>
          <w:rFonts w:ascii="Arial" w:hAnsi="Arial" w:cs="Arial"/>
          <w:color w:val="auto"/>
          <w:highlight w:val="none"/>
        </w:rPr>
      </w:pPr>
      <w:r>
        <w:rPr>
          <w:rFonts w:ascii="Arial" w:hAnsi="Arial" w:cs="Arial"/>
          <w:color w:val="auto"/>
          <w:highlight w:val="none"/>
        </w:rPr>
        <w:t>1</w:t>
      </w:r>
      <w:r>
        <w:rPr>
          <w:rFonts w:hint="eastAsia" w:ascii="Arial" w:hAnsi="Arial" w:cs="Arial"/>
          <w:color w:val="auto"/>
          <w:highlight w:val="none"/>
        </w:rPr>
        <w:t>、</w:t>
      </w:r>
      <w:r>
        <w:rPr>
          <w:rFonts w:ascii="宋体" w:hAnsi="宋体" w:cs="Arial"/>
          <w:color w:val="auto"/>
          <w:highlight w:val="none"/>
        </w:rPr>
        <w:t>资金性质：</w:t>
      </w:r>
      <w:r>
        <w:rPr>
          <w:rFonts w:hint="eastAsia" w:ascii="宋体" w:hAnsi="宋体" w:cs="Arial"/>
          <w:color w:val="auto"/>
          <w:highlight w:val="none"/>
          <w:u w:val="single"/>
          <w:lang w:val="en-US" w:eastAsia="zh-CN"/>
        </w:rPr>
        <w:t xml:space="preserve">                 </w:t>
      </w:r>
      <w:r>
        <w:rPr>
          <w:rFonts w:ascii="宋体" w:hAnsi="宋体" w:cs="Arial"/>
          <w:color w:val="auto"/>
          <w:highlight w:val="none"/>
        </w:rPr>
        <w:t>。</w:t>
      </w:r>
    </w:p>
    <w:p w14:paraId="563FF97D">
      <w:pPr>
        <w:widowControl/>
        <w:ind w:firstLine="420" w:firstLineChars="200"/>
        <w:jc w:val="left"/>
        <w:textAlignment w:val="center"/>
        <w:rPr>
          <w:rFonts w:hint="default" w:ascii="宋体" w:hAnsi="宋体" w:eastAsia="宋体" w:cs="宋体"/>
          <w:color w:val="auto"/>
          <w:szCs w:val="21"/>
          <w:highlight w:val="none"/>
          <w:u w:val="single"/>
          <w:lang w:val="en-US" w:eastAsia="zh-CN"/>
        </w:rPr>
      </w:pPr>
      <w:r>
        <w:rPr>
          <w:rFonts w:ascii="Arial" w:hAnsi="Arial" w:cs="Arial"/>
          <w:color w:val="auto"/>
          <w:highlight w:val="none"/>
        </w:rPr>
        <w:t>2</w:t>
      </w:r>
      <w:r>
        <w:rPr>
          <w:rFonts w:hint="eastAsia" w:ascii="Arial" w:hAnsi="Arial" w:cs="Arial"/>
          <w:color w:val="auto"/>
          <w:highlight w:val="none"/>
        </w:rPr>
        <w:t>、</w:t>
      </w:r>
      <w:r>
        <w:rPr>
          <w:rFonts w:ascii="宋体" w:hAnsi="宋体" w:cs="Arial"/>
          <w:color w:val="auto"/>
          <w:highlight w:val="none"/>
        </w:rPr>
        <w:t>付款方式：</w:t>
      </w:r>
      <w:r>
        <w:rPr>
          <w:rFonts w:hint="eastAsia" w:ascii="宋体" w:hAnsi="宋体" w:eastAsia="宋体" w:cs="宋体"/>
          <w:color w:val="auto"/>
          <w:szCs w:val="21"/>
          <w:highlight w:val="none"/>
          <w:u w:val="single"/>
          <w:lang w:val="en-US" w:eastAsia="zh-CN"/>
        </w:rPr>
        <w:t xml:space="preserve">                       。</w:t>
      </w:r>
    </w:p>
    <w:p w14:paraId="3D456A25">
      <w:pPr>
        <w:snapToGrid w:val="0"/>
        <w:spacing w:line="360" w:lineRule="exact"/>
        <w:ind w:firstLine="422" w:firstLineChars="200"/>
        <w:rPr>
          <w:rFonts w:ascii="Arial" w:hAnsi="Arial" w:cs="Arial"/>
          <w:b/>
          <w:color w:val="auto"/>
          <w:highlight w:val="none"/>
        </w:rPr>
      </w:pPr>
      <w:r>
        <w:rPr>
          <w:rFonts w:ascii="宋体" w:hAnsi="宋体" w:cs="Arial"/>
          <w:b/>
          <w:color w:val="auto"/>
          <w:highlight w:val="none"/>
        </w:rPr>
        <w:t>第</w:t>
      </w:r>
      <w:r>
        <w:rPr>
          <w:rFonts w:hint="eastAsia" w:ascii="宋体" w:hAnsi="宋体" w:cs="Arial"/>
          <w:b/>
          <w:color w:val="auto"/>
          <w:highlight w:val="none"/>
        </w:rPr>
        <w:t>六</w:t>
      </w:r>
      <w:r>
        <w:rPr>
          <w:rFonts w:ascii="宋体" w:hAnsi="宋体" w:cs="Arial"/>
          <w:b/>
          <w:color w:val="auto"/>
          <w:highlight w:val="none"/>
        </w:rPr>
        <w:t>条</w:t>
      </w:r>
      <w:r>
        <w:rPr>
          <w:rFonts w:ascii="Arial" w:hAnsi="Arial" w:cs="Arial"/>
          <w:b/>
          <w:color w:val="auto"/>
          <w:highlight w:val="none"/>
        </w:rPr>
        <w:t xml:space="preserve"> </w:t>
      </w:r>
      <w:r>
        <w:rPr>
          <w:rFonts w:hint="eastAsia" w:ascii="宋体" w:hAnsi="宋体" w:cs="宋体"/>
          <w:b/>
          <w:color w:val="auto"/>
          <w:highlight w:val="none"/>
        </w:rPr>
        <w:t>本合同执行中相关的一切税费均由乙方负担。</w:t>
      </w:r>
      <w:r>
        <w:rPr>
          <w:rFonts w:ascii="Arial" w:hAnsi="Arial" w:cs="Arial"/>
          <w:b/>
          <w:color w:val="auto"/>
          <w:highlight w:val="none"/>
        </w:rPr>
        <w:t xml:space="preserve">  </w:t>
      </w:r>
    </w:p>
    <w:p w14:paraId="5FDC8412">
      <w:pPr>
        <w:snapToGrid w:val="0"/>
        <w:spacing w:line="360" w:lineRule="exact"/>
        <w:ind w:firstLine="422" w:firstLineChars="200"/>
        <w:rPr>
          <w:rFonts w:ascii="Arial" w:hAnsi="Arial" w:cs="Arial"/>
          <w:b/>
          <w:color w:val="auto"/>
          <w:highlight w:val="none"/>
        </w:rPr>
      </w:pPr>
      <w:r>
        <w:rPr>
          <w:rFonts w:ascii="宋体" w:hAnsi="宋体" w:cs="Arial"/>
          <w:b/>
          <w:color w:val="auto"/>
          <w:highlight w:val="none"/>
        </w:rPr>
        <w:t>第</w:t>
      </w:r>
      <w:r>
        <w:rPr>
          <w:rFonts w:hint="eastAsia" w:ascii="宋体" w:hAnsi="宋体" w:cs="Arial"/>
          <w:b/>
          <w:color w:val="auto"/>
          <w:highlight w:val="none"/>
        </w:rPr>
        <w:t>七</w:t>
      </w:r>
      <w:r>
        <w:rPr>
          <w:rFonts w:ascii="宋体" w:hAnsi="宋体" w:cs="Arial"/>
          <w:b/>
          <w:color w:val="auto"/>
          <w:highlight w:val="none"/>
        </w:rPr>
        <w:t>条</w:t>
      </w:r>
      <w:r>
        <w:rPr>
          <w:rFonts w:ascii="Arial" w:hAnsi="Arial" w:cs="Arial"/>
          <w:b/>
          <w:color w:val="auto"/>
          <w:highlight w:val="none"/>
        </w:rPr>
        <w:t xml:space="preserve"> </w:t>
      </w:r>
      <w:r>
        <w:rPr>
          <w:rFonts w:ascii="宋体" w:hAnsi="宋体" w:cs="Arial"/>
          <w:b/>
          <w:color w:val="auto"/>
          <w:highlight w:val="none"/>
        </w:rPr>
        <w:t>违约责任</w:t>
      </w:r>
    </w:p>
    <w:p w14:paraId="2B0A20BF">
      <w:pPr>
        <w:spacing w:after="96" w:afterLines="40" w:line="360" w:lineRule="exact"/>
        <w:ind w:firstLine="420" w:firstLineChars="200"/>
        <w:rPr>
          <w:rFonts w:hint="eastAsia" w:ascii="Arial" w:hAnsi="Arial" w:cs="Arial"/>
          <w:color w:val="auto"/>
          <w:highlight w:val="none"/>
        </w:rPr>
      </w:pPr>
      <w:r>
        <w:rPr>
          <w:rFonts w:hint="eastAsia" w:ascii="Arial" w:hAnsi="Arial" w:cs="Arial"/>
          <w:color w:val="auto"/>
          <w:highlight w:val="none"/>
        </w:rPr>
        <w:t>7.1 甲乙双方任何一方不履行合同义务或者履行合同义务不符合合同约定的，均视为违约。违约方应当承担继续履行、采取补救措施或者赔偿损失（间接损失除外）等违约责任。违约方应承担守约方因追讨违约方的违约责任所支出的各项费用（包括但不限于律师费、诉讼费、保全费、财产保全担保费等）。</w:t>
      </w:r>
    </w:p>
    <w:p w14:paraId="048E4F5D">
      <w:pPr>
        <w:spacing w:after="96" w:afterLines="40" w:line="360" w:lineRule="exact"/>
        <w:ind w:firstLine="420" w:firstLineChars="200"/>
        <w:rPr>
          <w:rFonts w:hint="eastAsia" w:ascii="Arial" w:hAnsi="Arial" w:cs="Arial"/>
          <w:color w:val="auto"/>
          <w:highlight w:val="none"/>
        </w:rPr>
      </w:pPr>
      <w:r>
        <w:rPr>
          <w:rFonts w:hint="eastAsia" w:ascii="Arial" w:hAnsi="Arial" w:cs="Arial"/>
          <w:color w:val="auto"/>
          <w:highlight w:val="none"/>
        </w:rPr>
        <w:t>7.2 甲乙双方在完成双方签署的书面确认事项后，任何一方提出变更要求，导致项目进度延迟的，不视为对方违约；因此而给对方造成损失的，由提出变更一方承担相应的责任。</w:t>
      </w:r>
    </w:p>
    <w:p w14:paraId="4A357FD0">
      <w:pPr>
        <w:spacing w:after="96" w:afterLines="40" w:line="360" w:lineRule="exact"/>
        <w:ind w:firstLine="420" w:firstLineChars="200"/>
        <w:rPr>
          <w:rFonts w:hint="eastAsia" w:ascii="Arial" w:hAnsi="Arial" w:cs="Arial"/>
          <w:color w:val="auto"/>
          <w:highlight w:val="none"/>
        </w:rPr>
      </w:pPr>
      <w:r>
        <w:rPr>
          <w:rFonts w:hint="eastAsia" w:ascii="Arial" w:hAnsi="Arial" w:cs="Arial"/>
          <w:color w:val="auto"/>
          <w:highlight w:val="none"/>
        </w:rPr>
        <w:t>7.3 甲方未按约定时间履行付款义务的，甲方应承担违约责任，每逾期一日，按服务总金额的0.1%向乙方支付违约金，升级服务违约金总额不得超过合同服务总价款的10%，由此导致项目进度延迟的，双方应重新协商项目进度安排并予以书面确认。</w:t>
      </w:r>
    </w:p>
    <w:p w14:paraId="4CAA7246">
      <w:pPr>
        <w:spacing w:after="96" w:afterLines="40" w:line="360" w:lineRule="exact"/>
        <w:ind w:firstLine="420" w:firstLineChars="200"/>
        <w:rPr>
          <w:rFonts w:hint="eastAsia" w:ascii="Arial" w:hAnsi="Arial" w:cs="Arial"/>
          <w:color w:val="auto"/>
          <w:highlight w:val="none"/>
        </w:rPr>
      </w:pPr>
      <w:r>
        <w:rPr>
          <w:rFonts w:hint="eastAsia" w:ascii="Arial" w:hAnsi="Arial" w:cs="Arial"/>
          <w:color w:val="auto"/>
          <w:highlight w:val="none"/>
        </w:rPr>
        <w:t>7.4 因甲方的原因或与甲方具有协作关系的第三方的原因导致项目进度延迟的，乙方不承担违约责任，甲方应弥补乙方因项目进度迟延导致的损失。</w:t>
      </w:r>
    </w:p>
    <w:p w14:paraId="3A54F24D">
      <w:pPr>
        <w:spacing w:after="96" w:afterLines="40" w:line="360" w:lineRule="exact"/>
        <w:ind w:firstLine="420" w:firstLineChars="200"/>
        <w:rPr>
          <w:rFonts w:ascii="Arial" w:hAnsi="Arial" w:cs="Arial"/>
          <w:color w:val="auto"/>
          <w:highlight w:val="none"/>
        </w:rPr>
      </w:pPr>
      <w:r>
        <w:rPr>
          <w:rFonts w:hint="eastAsia" w:ascii="Arial" w:hAnsi="Arial" w:cs="Arial"/>
          <w:color w:val="auto"/>
          <w:highlight w:val="none"/>
        </w:rPr>
        <w:t>7.</w:t>
      </w:r>
      <w:r>
        <w:rPr>
          <w:rFonts w:hint="eastAsia" w:ascii="Arial" w:hAnsi="Arial" w:cs="Arial"/>
          <w:color w:val="auto"/>
          <w:highlight w:val="none"/>
          <w:lang w:val="en-US" w:eastAsia="zh-CN"/>
        </w:rPr>
        <w:t>5</w:t>
      </w:r>
      <w:r>
        <w:rPr>
          <w:rFonts w:hint="eastAsia" w:ascii="Arial" w:hAnsi="Arial" w:cs="Arial"/>
          <w:color w:val="auto"/>
          <w:highlight w:val="none"/>
        </w:rPr>
        <w:t xml:space="preserve"> 因乙方原因造成不能按约定时间进行本合同服务履约的，乙方应承担违约责任，每逾期一日，按合同服务总价款的0.1%向甲方支付违约金，升级服务违约金总额不得超过合同服务总价款的10%。</w:t>
      </w:r>
    </w:p>
    <w:p w14:paraId="09A69EFC">
      <w:pPr>
        <w:snapToGrid w:val="0"/>
        <w:spacing w:before="120" w:after="120" w:line="360" w:lineRule="exact"/>
        <w:ind w:firstLine="413" w:firstLineChars="196"/>
        <w:rPr>
          <w:rFonts w:ascii="Arial" w:hAnsi="Arial" w:cs="Arial"/>
          <w:b/>
          <w:color w:val="auto"/>
          <w:highlight w:val="none"/>
        </w:rPr>
      </w:pPr>
      <w:r>
        <w:rPr>
          <w:rFonts w:ascii="宋体" w:hAnsi="宋体" w:cs="Arial"/>
          <w:b/>
          <w:color w:val="auto"/>
          <w:highlight w:val="none"/>
        </w:rPr>
        <w:t>第</w:t>
      </w:r>
      <w:r>
        <w:rPr>
          <w:rFonts w:hint="eastAsia" w:ascii="宋体" w:hAnsi="宋体" w:cs="Arial"/>
          <w:b/>
          <w:color w:val="auto"/>
          <w:highlight w:val="none"/>
        </w:rPr>
        <w:t>八</w:t>
      </w:r>
      <w:r>
        <w:rPr>
          <w:rFonts w:ascii="宋体" w:hAnsi="宋体" w:cs="Arial"/>
          <w:b/>
          <w:color w:val="auto"/>
          <w:highlight w:val="none"/>
        </w:rPr>
        <w:t>条</w:t>
      </w:r>
      <w:r>
        <w:rPr>
          <w:rFonts w:ascii="Arial" w:hAnsi="Arial" w:cs="Arial"/>
          <w:b/>
          <w:color w:val="auto"/>
          <w:highlight w:val="none"/>
        </w:rPr>
        <w:t xml:space="preserve"> 不可抗力事件处理</w:t>
      </w:r>
    </w:p>
    <w:p w14:paraId="27D2BC84">
      <w:pPr>
        <w:snapToGrid w:val="0"/>
        <w:spacing w:line="360" w:lineRule="exact"/>
        <w:ind w:firstLine="420" w:firstLineChars="200"/>
        <w:rPr>
          <w:rFonts w:ascii="Arial" w:hAnsi="Arial" w:cs="Arial"/>
          <w:color w:val="auto"/>
          <w:highlight w:val="none"/>
        </w:rPr>
      </w:pPr>
      <w:r>
        <w:rPr>
          <w:rFonts w:ascii="Arial" w:hAnsi="Arial" w:cs="Arial"/>
          <w:color w:val="auto"/>
          <w:highlight w:val="none"/>
        </w:rPr>
        <w:t>1</w:t>
      </w:r>
      <w:r>
        <w:rPr>
          <w:rFonts w:hint="eastAsia" w:ascii="Arial" w:hAnsi="Arial" w:cs="Arial"/>
          <w:color w:val="auto"/>
          <w:highlight w:val="none"/>
        </w:rPr>
        <w:t>、</w:t>
      </w:r>
      <w:r>
        <w:rPr>
          <w:rFonts w:ascii="宋体" w:hAnsi="宋体" w:cs="Arial"/>
          <w:color w:val="auto"/>
          <w:highlight w:val="none"/>
        </w:rPr>
        <w:t>在合同有效期内，任何一方因不可抗力事件导致不能履行合同，则合同履行期可延长，其延长期与不可抗力影响期相同。</w:t>
      </w:r>
    </w:p>
    <w:p w14:paraId="02192061">
      <w:pPr>
        <w:snapToGrid w:val="0"/>
        <w:spacing w:line="360" w:lineRule="exact"/>
        <w:ind w:firstLine="420" w:firstLineChars="200"/>
        <w:rPr>
          <w:rFonts w:ascii="Arial" w:hAnsi="Arial" w:cs="Arial"/>
          <w:color w:val="auto"/>
          <w:highlight w:val="none"/>
        </w:rPr>
      </w:pPr>
      <w:r>
        <w:rPr>
          <w:rFonts w:ascii="Arial" w:hAnsi="Arial" w:cs="Arial"/>
          <w:color w:val="auto"/>
          <w:highlight w:val="none"/>
        </w:rPr>
        <w:t>2</w:t>
      </w:r>
      <w:r>
        <w:rPr>
          <w:rFonts w:hint="eastAsia" w:ascii="Arial" w:hAnsi="Arial" w:cs="Arial"/>
          <w:color w:val="auto"/>
          <w:highlight w:val="none"/>
        </w:rPr>
        <w:t>、</w:t>
      </w:r>
      <w:r>
        <w:rPr>
          <w:rFonts w:ascii="宋体" w:hAnsi="宋体" w:cs="Arial"/>
          <w:color w:val="auto"/>
          <w:highlight w:val="none"/>
        </w:rPr>
        <w:t>不可抗力事件发生后，应立即通知对方，并寄送有关权威机构出具的证明。</w:t>
      </w:r>
    </w:p>
    <w:p w14:paraId="35DDB04C">
      <w:pPr>
        <w:snapToGrid w:val="0"/>
        <w:spacing w:line="360" w:lineRule="exact"/>
        <w:ind w:firstLine="420" w:firstLineChars="200"/>
        <w:rPr>
          <w:rFonts w:ascii="宋体" w:hAnsi="宋体" w:cs="Arial"/>
          <w:color w:val="auto"/>
          <w:highlight w:val="none"/>
        </w:rPr>
      </w:pPr>
      <w:r>
        <w:rPr>
          <w:rFonts w:ascii="Arial" w:hAnsi="Arial" w:cs="Arial"/>
          <w:color w:val="auto"/>
          <w:highlight w:val="none"/>
        </w:rPr>
        <w:t>3</w:t>
      </w:r>
      <w:r>
        <w:rPr>
          <w:rFonts w:hint="eastAsia" w:ascii="Arial" w:hAnsi="Arial" w:cs="Arial"/>
          <w:color w:val="auto"/>
          <w:highlight w:val="none"/>
        </w:rPr>
        <w:t>、</w:t>
      </w:r>
      <w:r>
        <w:rPr>
          <w:rFonts w:ascii="宋体" w:hAnsi="宋体" w:cs="Arial"/>
          <w:color w:val="auto"/>
          <w:highlight w:val="none"/>
        </w:rPr>
        <w:t>不可抗力事件延续一百二十天以上，双方应通过友好协商，确定是否继续履行合同。</w:t>
      </w:r>
    </w:p>
    <w:p w14:paraId="0E8429B2">
      <w:pPr>
        <w:snapToGrid w:val="0"/>
        <w:spacing w:line="360" w:lineRule="exact"/>
        <w:ind w:firstLine="422" w:firstLineChars="200"/>
        <w:rPr>
          <w:rFonts w:ascii="Arial" w:hAnsi="Arial" w:cs="Arial"/>
          <w:color w:val="auto"/>
          <w:highlight w:val="none"/>
        </w:rPr>
      </w:pPr>
      <w:r>
        <w:rPr>
          <w:rFonts w:ascii="宋体" w:hAnsi="宋体" w:cs="Arial"/>
          <w:b/>
          <w:color w:val="auto"/>
          <w:highlight w:val="none"/>
        </w:rPr>
        <w:t>第</w:t>
      </w:r>
      <w:r>
        <w:rPr>
          <w:rFonts w:hint="eastAsia" w:ascii="宋体" w:hAnsi="宋体" w:cs="Arial"/>
          <w:b/>
          <w:color w:val="auto"/>
          <w:highlight w:val="none"/>
        </w:rPr>
        <w:t>九</w:t>
      </w:r>
      <w:r>
        <w:rPr>
          <w:rFonts w:ascii="宋体" w:hAnsi="宋体" w:cs="Arial"/>
          <w:b/>
          <w:color w:val="auto"/>
          <w:highlight w:val="none"/>
        </w:rPr>
        <w:t>条</w:t>
      </w:r>
      <w:r>
        <w:rPr>
          <w:rFonts w:ascii="Arial" w:hAnsi="Arial" w:cs="Arial"/>
          <w:b/>
          <w:color w:val="auto"/>
          <w:highlight w:val="none"/>
        </w:rPr>
        <w:t xml:space="preserve">  合同争议解决</w:t>
      </w:r>
    </w:p>
    <w:p w14:paraId="325F86EB">
      <w:pPr>
        <w:snapToGrid w:val="0"/>
        <w:spacing w:line="360" w:lineRule="exact"/>
        <w:ind w:firstLine="420" w:firstLineChars="200"/>
        <w:rPr>
          <w:rFonts w:ascii="Arial" w:hAnsi="Arial" w:cs="Arial"/>
          <w:color w:val="auto"/>
          <w:highlight w:val="none"/>
        </w:rPr>
      </w:pPr>
      <w:r>
        <w:rPr>
          <w:rFonts w:ascii="Arial" w:hAnsi="Arial" w:cs="Arial"/>
          <w:color w:val="auto"/>
          <w:highlight w:val="none"/>
        </w:rPr>
        <w:t>1</w:t>
      </w:r>
      <w:r>
        <w:rPr>
          <w:rFonts w:hint="eastAsia" w:ascii="Arial" w:hAnsi="Arial" w:cs="Arial"/>
          <w:color w:val="auto"/>
          <w:highlight w:val="none"/>
        </w:rPr>
        <w:t>、</w:t>
      </w:r>
      <w:r>
        <w:rPr>
          <w:rFonts w:ascii="宋体" w:hAnsi="宋体" w:cs="Arial"/>
          <w:color w:val="auto"/>
          <w:highlight w:val="none"/>
        </w:rPr>
        <w:t>因履行本合同引起的或与本合同有关的争议，甲乙双方应首先通过友好协商解决，如果协商不能解决，可向甲方所在地人民法院提起诉讼。</w:t>
      </w:r>
    </w:p>
    <w:p w14:paraId="6E149682">
      <w:pPr>
        <w:snapToGrid w:val="0"/>
        <w:spacing w:line="360" w:lineRule="exact"/>
        <w:ind w:firstLine="420" w:firstLineChars="200"/>
        <w:rPr>
          <w:rFonts w:ascii="宋体" w:hAnsi="宋体" w:cs="Arial"/>
          <w:color w:val="auto"/>
          <w:highlight w:val="none"/>
        </w:rPr>
      </w:pPr>
      <w:r>
        <w:rPr>
          <w:rFonts w:ascii="Arial" w:hAnsi="Arial" w:cs="Arial"/>
          <w:color w:val="auto"/>
          <w:highlight w:val="none"/>
        </w:rPr>
        <w:t>2</w:t>
      </w:r>
      <w:r>
        <w:rPr>
          <w:rFonts w:hint="eastAsia" w:ascii="Arial" w:hAnsi="Arial" w:cs="Arial"/>
          <w:color w:val="auto"/>
          <w:highlight w:val="none"/>
        </w:rPr>
        <w:t>、</w:t>
      </w:r>
      <w:r>
        <w:rPr>
          <w:rFonts w:ascii="宋体" w:hAnsi="宋体" w:cs="Arial"/>
          <w:color w:val="auto"/>
          <w:highlight w:val="none"/>
        </w:rPr>
        <w:t>诉讼期间，本合同继续履行。</w:t>
      </w:r>
    </w:p>
    <w:p w14:paraId="366D0847">
      <w:pPr>
        <w:snapToGrid w:val="0"/>
        <w:spacing w:before="120" w:after="120" w:line="360" w:lineRule="exact"/>
        <w:ind w:firstLine="422" w:firstLineChars="200"/>
        <w:rPr>
          <w:rFonts w:ascii="Arial" w:hAnsi="Arial" w:cs="Arial"/>
          <w:b/>
          <w:color w:val="auto"/>
          <w:highlight w:val="none"/>
        </w:rPr>
      </w:pPr>
      <w:r>
        <w:rPr>
          <w:rFonts w:ascii="宋体" w:hAnsi="宋体" w:cs="Arial"/>
          <w:b/>
          <w:color w:val="auto"/>
          <w:highlight w:val="none"/>
        </w:rPr>
        <w:t>第十条</w:t>
      </w:r>
      <w:r>
        <w:rPr>
          <w:rFonts w:ascii="Arial" w:hAnsi="Arial" w:cs="Arial"/>
          <w:b/>
          <w:color w:val="auto"/>
          <w:highlight w:val="none"/>
        </w:rPr>
        <w:t xml:space="preserve"> 合同生效及其它</w:t>
      </w:r>
    </w:p>
    <w:p w14:paraId="49E1DBBA">
      <w:pPr>
        <w:snapToGrid w:val="0"/>
        <w:spacing w:line="360" w:lineRule="exact"/>
        <w:ind w:firstLine="420" w:firstLineChars="200"/>
        <w:rPr>
          <w:rFonts w:ascii="Arial" w:hAnsi="Arial" w:cs="Arial"/>
          <w:color w:val="auto"/>
          <w:highlight w:val="none"/>
        </w:rPr>
      </w:pPr>
      <w:r>
        <w:rPr>
          <w:rFonts w:ascii="Arial" w:hAnsi="Arial" w:cs="Arial"/>
          <w:color w:val="auto"/>
          <w:highlight w:val="none"/>
        </w:rPr>
        <w:t>1</w:t>
      </w:r>
      <w:r>
        <w:rPr>
          <w:rFonts w:hint="eastAsia" w:ascii="宋体" w:hAnsi="宋体" w:cs="Arial"/>
          <w:color w:val="auto"/>
          <w:highlight w:val="none"/>
        </w:rPr>
        <w:t>、</w:t>
      </w:r>
      <w:r>
        <w:rPr>
          <w:rFonts w:ascii="宋体" w:hAnsi="宋体" w:cs="Arial"/>
          <w:color w:val="auto"/>
          <w:highlight w:val="none"/>
        </w:rPr>
        <w:t>合同履行地点为：</w:t>
      </w:r>
      <w:r>
        <w:rPr>
          <w:rFonts w:ascii="宋体" w:hAnsi="宋体" w:cs="Arial"/>
          <w:color w:val="auto"/>
          <w:highlight w:val="none"/>
          <w:u w:val="single"/>
        </w:rPr>
        <w:t>甲方指定地点</w:t>
      </w:r>
      <w:r>
        <w:rPr>
          <w:rFonts w:ascii="Arial" w:hAnsi="Arial" w:cs="Arial"/>
          <w:color w:val="auto"/>
          <w:highlight w:val="none"/>
          <w:u w:val="single"/>
        </w:rPr>
        <w:t xml:space="preserve"> </w:t>
      </w:r>
      <w:r>
        <w:rPr>
          <w:rFonts w:ascii="宋体" w:hAnsi="宋体" w:cs="Arial"/>
          <w:color w:val="auto"/>
          <w:highlight w:val="none"/>
        </w:rPr>
        <w:t>；合同履行的方式：</w:t>
      </w:r>
      <w:r>
        <w:rPr>
          <w:rFonts w:ascii="Arial" w:hAnsi="Arial" w:cs="Arial"/>
          <w:color w:val="auto"/>
          <w:highlight w:val="none"/>
          <w:u w:val="single"/>
        </w:rPr>
        <w:t xml:space="preserve"> </w:t>
      </w:r>
      <w:r>
        <w:rPr>
          <w:rFonts w:ascii="宋体" w:hAnsi="宋体" w:cs="Arial"/>
          <w:color w:val="auto"/>
          <w:highlight w:val="none"/>
          <w:u w:val="single"/>
        </w:rPr>
        <w:t>按照本合同约定</w:t>
      </w:r>
      <w:r>
        <w:rPr>
          <w:rFonts w:ascii="Arial" w:hAnsi="Arial" w:cs="Arial"/>
          <w:color w:val="auto"/>
          <w:highlight w:val="none"/>
          <w:u w:val="single"/>
        </w:rPr>
        <w:t xml:space="preserve">  </w:t>
      </w:r>
      <w:r>
        <w:rPr>
          <w:rFonts w:ascii="宋体" w:hAnsi="宋体" w:cs="Arial"/>
          <w:color w:val="auto"/>
          <w:highlight w:val="none"/>
        </w:rPr>
        <w:t>。</w:t>
      </w:r>
    </w:p>
    <w:p w14:paraId="1388DB99">
      <w:pPr>
        <w:snapToGrid w:val="0"/>
        <w:spacing w:line="360" w:lineRule="exact"/>
        <w:ind w:firstLine="420" w:firstLineChars="200"/>
        <w:rPr>
          <w:rFonts w:ascii="Arial" w:hAnsi="Arial" w:cs="Arial"/>
          <w:color w:val="auto"/>
          <w:highlight w:val="none"/>
        </w:rPr>
      </w:pPr>
      <w:r>
        <w:rPr>
          <w:rFonts w:ascii="Arial" w:hAnsi="Arial" w:cs="Arial"/>
          <w:color w:val="auto"/>
          <w:highlight w:val="none"/>
        </w:rPr>
        <w:t>2</w:t>
      </w:r>
      <w:r>
        <w:rPr>
          <w:rFonts w:hint="eastAsia" w:ascii="宋体" w:hAnsi="宋体" w:cs="Arial"/>
          <w:color w:val="auto"/>
          <w:highlight w:val="none"/>
        </w:rPr>
        <w:t>、</w:t>
      </w:r>
      <w:r>
        <w:rPr>
          <w:rFonts w:ascii="宋体" w:hAnsi="宋体" w:cs="Arial"/>
          <w:color w:val="auto"/>
          <w:highlight w:val="none"/>
        </w:rPr>
        <w:t>合同经双方法定代表人或授权代表签字并加盖单位公章后生效。</w:t>
      </w:r>
    </w:p>
    <w:p w14:paraId="427295F3">
      <w:pPr>
        <w:snapToGrid w:val="0"/>
        <w:spacing w:line="360" w:lineRule="exact"/>
        <w:ind w:firstLine="420" w:firstLineChars="200"/>
        <w:rPr>
          <w:rFonts w:ascii="宋体" w:hAnsi="宋体" w:cs="Arial"/>
          <w:color w:val="auto"/>
          <w:highlight w:val="none"/>
        </w:rPr>
      </w:pPr>
      <w:r>
        <w:rPr>
          <w:rFonts w:ascii="Arial" w:hAnsi="Arial" w:cs="Arial"/>
          <w:color w:val="auto"/>
          <w:highlight w:val="none"/>
        </w:rPr>
        <w:t>3</w:t>
      </w:r>
      <w:bookmarkStart w:id="35" w:name="_Hlk113287290"/>
      <w:r>
        <w:rPr>
          <w:rFonts w:hint="eastAsia" w:ascii="宋体" w:hAnsi="宋体" w:cs="Arial"/>
          <w:color w:val="auto"/>
          <w:highlight w:val="none"/>
        </w:rPr>
        <w:t>、</w:t>
      </w:r>
      <w:r>
        <w:rPr>
          <w:rFonts w:ascii="宋体" w:hAnsi="宋体" w:cs="Arial"/>
          <w:color w:val="auto"/>
          <w:highlight w:val="none"/>
        </w:rPr>
        <w:t>本合同未尽事宜，遵照《</w:t>
      </w:r>
      <w:r>
        <w:rPr>
          <w:rFonts w:hint="eastAsia" w:ascii="宋体" w:hAnsi="宋体" w:cs="Arial"/>
          <w:color w:val="auto"/>
          <w:highlight w:val="none"/>
        </w:rPr>
        <w:t>中华人民共和国</w:t>
      </w:r>
      <w:r>
        <w:rPr>
          <w:rFonts w:ascii="宋体" w:hAnsi="宋体" w:cs="Arial"/>
          <w:color w:val="auto"/>
          <w:highlight w:val="none"/>
        </w:rPr>
        <w:t>民法典》有关条文执行。</w:t>
      </w:r>
      <w:bookmarkEnd w:id="35"/>
    </w:p>
    <w:p w14:paraId="17928E97">
      <w:pPr>
        <w:snapToGrid w:val="0"/>
        <w:spacing w:line="360" w:lineRule="exact"/>
        <w:ind w:firstLine="422" w:firstLineChars="200"/>
        <w:rPr>
          <w:rFonts w:ascii="Arial" w:hAnsi="Arial" w:cs="Arial"/>
          <w:color w:val="auto"/>
          <w:highlight w:val="none"/>
        </w:rPr>
      </w:pPr>
      <w:r>
        <w:rPr>
          <w:rFonts w:ascii="宋体" w:hAnsi="宋体" w:cs="Arial"/>
          <w:b/>
          <w:color w:val="auto"/>
          <w:highlight w:val="none"/>
        </w:rPr>
        <w:t>第十</w:t>
      </w:r>
      <w:r>
        <w:rPr>
          <w:rFonts w:hint="eastAsia" w:ascii="宋体" w:hAnsi="宋体" w:cs="Arial"/>
          <w:b/>
          <w:color w:val="auto"/>
          <w:highlight w:val="none"/>
        </w:rPr>
        <w:t>一</w:t>
      </w:r>
      <w:r>
        <w:rPr>
          <w:rFonts w:ascii="宋体" w:hAnsi="宋体" w:cs="Arial"/>
          <w:b/>
          <w:color w:val="auto"/>
          <w:highlight w:val="none"/>
        </w:rPr>
        <w:t>条 合同的</w:t>
      </w:r>
      <w:r>
        <w:rPr>
          <w:rFonts w:hint="eastAsia" w:ascii="宋体" w:hAnsi="宋体" w:cs="Arial"/>
          <w:b/>
          <w:color w:val="auto"/>
          <w:highlight w:val="none"/>
        </w:rPr>
        <w:t>廉洁条款</w:t>
      </w:r>
    </w:p>
    <w:p w14:paraId="46A34B36">
      <w:pPr>
        <w:snapToGrid w:val="0"/>
        <w:spacing w:line="360" w:lineRule="exact"/>
        <w:ind w:firstLine="420"/>
        <w:rPr>
          <w:rFonts w:ascii="Arial" w:hAnsi="Arial" w:cs="Arial"/>
          <w:color w:val="auto"/>
          <w:highlight w:val="none"/>
        </w:rPr>
      </w:pPr>
      <w:r>
        <w:rPr>
          <w:rFonts w:hint="eastAsia" w:ascii="Arial" w:hAnsi="Arial" w:cs="Arial"/>
          <w:color w:val="auto"/>
          <w:highlight w:val="none"/>
        </w:rPr>
        <w:t>1、</w:t>
      </w:r>
      <w:r>
        <w:rPr>
          <w:rFonts w:ascii="宋体" w:hAnsi="宋体" w:cs="Arial"/>
          <w:color w:val="auto"/>
          <w:highlight w:val="none"/>
        </w:rPr>
        <w:t>甲方购进</w:t>
      </w:r>
      <w:r>
        <w:rPr>
          <w:rFonts w:hint="eastAsia" w:ascii="宋体" w:hAnsi="宋体" w:cs="Arial"/>
          <w:color w:val="auto"/>
          <w:highlight w:val="none"/>
        </w:rPr>
        <w:t>设备、器械等</w:t>
      </w:r>
      <w:r>
        <w:rPr>
          <w:rFonts w:ascii="宋体" w:hAnsi="宋体" w:cs="Arial"/>
          <w:color w:val="auto"/>
          <w:highlight w:val="none"/>
        </w:rPr>
        <w:t>，不得以任何方式向乙方索取回扣，不得要求乙方代支任何费用开支。</w:t>
      </w:r>
    </w:p>
    <w:p w14:paraId="59281DFD">
      <w:pPr>
        <w:snapToGrid w:val="0"/>
        <w:spacing w:line="360" w:lineRule="exact"/>
        <w:ind w:firstLine="420"/>
        <w:rPr>
          <w:rFonts w:ascii="Arial" w:hAnsi="Arial" w:cs="Arial"/>
          <w:color w:val="auto"/>
          <w:highlight w:val="none"/>
        </w:rPr>
      </w:pPr>
      <w:r>
        <w:rPr>
          <w:rFonts w:ascii="Arial" w:hAnsi="Arial" w:cs="Arial"/>
          <w:color w:val="auto"/>
          <w:highlight w:val="none"/>
        </w:rPr>
        <w:t>2</w:t>
      </w:r>
      <w:r>
        <w:rPr>
          <w:rFonts w:hint="eastAsia" w:ascii="Arial" w:hAnsi="Arial" w:cs="Arial"/>
          <w:color w:val="auto"/>
          <w:highlight w:val="none"/>
        </w:rPr>
        <w:t>、</w:t>
      </w:r>
      <w:r>
        <w:rPr>
          <w:rFonts w:ascii="宋体" w:hAnsi="宋体" w:cs="Arial"/>
          <w:color w:val="auto"/>
          <w:highlight w:val="none"/>
        </w:rPr>
        <w:t>甲方工作人员不得以暗示或任何形式索要回扣、提成、有价证券、现金、信用卡、购物卡等，乙方应予拒绝，并有责任如实向甲方纪检监察部门反映情况。</w:t>
      </w:r>
    </w:p>
    <w:p w14:paraId="467C12B2">
      <w:pPr>
        <w:snapToGrid w:val="0"/>
        <w:spacing w:line="360" w:lineRule="exact"/>
        <w:ind w:firstLine="420"/>
        <w:rPr>
          <w:rFonts w:ascii="Arial" w:hAnsi="Arial" w:cs="Arial"/>
          <w:color w:val="auto"/>
          <w:highlight w:val="none"/>
        </w:rPr>
      </w:pPr>
      <w:r>
        <w:rPr>
          <w:rFonts w:ascii="Arial" w:hAnsi="Arial" w:cs="Arial"/>
          <w:color w:val="auto"/>
          <w:highlight w:val="none"/>
        </w:rPr>
        <w:t>3</w:t>
      </w:r>
      <w:r>
        <w:rPr>
          <w:rFonts w:hint="eastAsia" w:ascii="Arial" w:hAnsi="Arial" w:cs="Arial"/>
          <w:color w:val="auto"/>
          <w:highlight w:val="none"/>
        </w:rPr>
        <w:t>、</w:t>
      </w:r>
      <w:r>
        <w:rPr>
          <w:rFonts w:ascii="宋体" w:hAnsi="宋体" w:cs="Arial"/>
          <w:color w:val="auto"/>
          <w:highlight w:val="none"/>
        </w:rPr>
        <w:t>乙方不得暗中给予甲方回扣，不得以提成和赠送有价证券、现金、信誉卡、购物卡、宴请、娱乐及提供国内或境外学术活动等手段影响甲方购进</w:t>
      </w:r>
      <w:r>
        <w:rPr>
          <w:rFonts w:hint="eastAsia" w:ascii="宋体" w:hAnsi="宋体" w:cs="Arial"/>
          <w:color w:val="auto"/>
          <w:highlight w:val="none"/>
        </w:rPr>
        <w:t>设备、器械等</w:t>
      </w:r>
      <w:r>
        <w:rPr>
          <w:rFonts w:ascii="宋体" w:hAnsi="宋体" w:cs="Arial"/>
          <w:color w:val="auto"/>
          <w:highlight w:val="none"/>
        </w:rPr>
        <w:t>。</w:t>
      </w:r>
    </w:p>
    <w:p w14:paraId="5684F12E">
      <w:pPr>
        <w:snapToGrid w:val="0"/>
        <w:spacing w:line="360" w:lineRule="exact"/>
        <w:ind w:firstLine="420"/>
        <w:rPr>
          <w:rFonts w:ascii="Arial" w:hAnsi="Arial" w:cs="Arial"/>
          <w:color w:val="auto"/>
          <w:highlight w:val="none"/>
        </w:rPr>
      </w:pPr>
      <w:r>
        <w:rPr>
          <w:rFonts w:hint="eastAsia" w:ascii="Arial" w:hAnsi="Arial" w:cs="Arial"/>
          <w:color w:val="auto"/>
          <w:highlight w:val="none"/>
        </w:rPr>
        <w:t>4、</w:t>
      </w:r>
      <w:r>
        <w:rPr>
          <w:rFonts w:ascii="宋体" w:hAnsi="宋体" w:cs="Arial"/>
          <w:color w:val="auto"/>
          <w:highlight w:val="none"/>
        </w:rPr>
        <w:t>乙方洽谈业务，必须在工作时间到甲方指定科室或者办公室联系商洽，不得借故到甲方主管领导、部门负责人及相关工作人员家中访谈或向介绍人提供任何好处费。</w:t>
      </w:r>
    </w:p>
    <w:p w14:paraId="6305CF86">
      <w:pPr>
        <w:snapToGrid w:val="0"/>
        <w:spacing w:line="360" w:lineRule="exact"/>
        <w:ind w:firstLine="420"/>
        <w:rPr>
          <w:rFonts w:ascii="Arial" w:hAnsi="Arial" w:cs="Arial"/>
          <w:color w:val="auto"/>
          <w:highlight w:val="none"/>
        </w:rPr>
      </w:pPr>
      <w:r>
        <w:rPr>
          <w:rFonts w:ascii="宋体" w:hAnsi="宋体" w:cs="Arial"/>
          <w:color w:val="auto"/>
          <w:highlight w:val="none"/>
        </w:rPr>
        <w:t>乙方如违反以上条款，经核实后，甲方有权终止购销合同，并将乙方列入</w:t>
      </w:r>
      <w:r>
        <w:rPr>
          <w:rFonts w:ascii="Arial" w:hAnsi="Arial" w:cs="Arial"/>
          <w:color w:val="auto"/>
          <w:highlight w:val="none"/>
        </w:rPr>
        <w:t>“</w:t>
      </w:r>
      <w:r>
        <w:rPr>
          <w:rFonts w:ascii="宋体" w:hAnsi="宋体" w:cs="Arial"/>
          <w:color w:val="auto"/>
          <w:highlight w:val="none"/>
        </w:rPr>
        <w:t>非诚信交易黑名单</w:t>
      </w:r>
      <w:r>
        <w:rPr>
          <w:rFonts w:ascii="Arial" w:hAnsi="Arial" w:cs="Arial"/>
          <w:color w:val="auto"/>
          <w:highlight w:val="none"/>
        </w:rPr>
        <w:t>”</w:t>
      </w:r>
      <w:r>
        <w:rPr>
          <w:rFonts w:ascii="宋体" w:hAnsi="宋体" w:cs="Arial"/>
          <w:color w:val="auto"/>
          <w:highlight w:val="none"/>
        </w:rPr>
        <w:t>，在单位内进行通报。情节严重的，涉嫌违法的，由执法部门予以处理。</w:t>
      </w:r>
    </w:p>
    <w:p w14:paraId="6D08F6B2">
      <w:pPr>
        <w:snapToGrid w:val="0"/>
        <w:spacing w:line="360" w:lineRule="exact"/>
        <w:ind w:firstLine="420"/>
        <w:rPr>
          <w:rFonts w:ascii="宋体" w:hAnsi="宋体" w:cs="Arial"/>
          <w:color w:val="auto"/>
          <w:highlight w:val="none"/>
        </w:rPr>
      </w:pPr>
      <w:r>
        <w:rPr>
          <w:rFonts w:ascii="宋体" w:hAnsi="宋体" w:cs="Arial"/>
          <w:color w:val="auto"/>
          <w:highlight w:val="none"/>
        </w:rPr>
        <w:t>甲方工作人员如违反以上条款的，甲方将按国家有关法律、法规规定和有关廉政制度规定给予处理，涉嫌违法的，由执法部门予以处理。</w:t>
      </w:r>
    </w:p>
    <w:p w14:paraId="4E1ED984">
      <w:pPr>
        <w:snapToGrid w:val="0"/>
        <w:spacing w:line="360" w:lineRule="exact"/>
        <w:ind w:firstLine="422" w:firstLineChars="200"/>
        <w:rPr>
          <w:rFonts w:ascii="Arial" w:hAnsi="Arial" w:cs="Arial"/>
          <w:b/>
          <w:color w:val="auto"/>
          <w:highlight w:val="none"/>
        </w:rPr>
      </w:pPr>
      <w:r>
        <w:rPr>
          <w:rFonts w:ascii="宋体" w:hAnsi="宋体" w:cs="Arial"/>
          <w:b/>
          <w:color w:val="auto"/>
          <w:highlight w:val="none"/>
        </w:rPr>
        <w:t>第十</w:t>
      </w:r>
      <w:r>
        <w:rPr>
          <w:rFonts w:hint="eastAsia" w:ascii="宋体" w:hAnsi="宋体" w:cs="Arial"/>
          <w:b/>
          <w:color w:val="auto"/>
          <w:highlight w:val="none"/>
        </w:rPr>
        <w:t>二</w:t>
      </w:r>
      <w:r>
        <w:rPr>
          <w:rFonts w:ascii="宋体" w:hAnsi="宋体" w:cs="Arial"/>
          <w:b/>
          <w:color w:val="auto"/>
          <w:highlight w:val="none"/>
        </w:rPr>
        <w:t>条 合同的变更、终止</w:t>
      </w:r>
    </w:p>
    <w:p w14:paraId="3A81A8F0">
      <w:pPr>
        <w:snapToGrid w:val="0"/>
        <w:spacing w:line="360" w:lineRule="exact"/>
        <w:ind w:firstLine="420"/>
        <w:rPr>
          <w:rFonts w:ascii="宋体" w:hAnsi="宋体" w:cs="Arial"/>
          <w:color w:val="auto"/>
          <w:highlight w:val="none"/>
        </w:rPr>
      </w:pPr>
      <w:r>
        <w:rPr>
          <w:rFonts w:hint="eastAsia" w:ascii="宋体" w:hAnsi="宋体" w:cs="Arial"/>
          <w:color w:val="auto"/>
          <w:highlight w:val="none"/>
        </w:rPr>
        <w:t>（一）发生以下情形之一，双方有权终止本协议：</w:t>
      </w:r>
    </w:p>
    <w:p w14:paraId="5CDEE6EA">
      <w:pPr>
        <w:snapToGrid w:val="0"/>
        <w:spacing w:line="360" w:lineRule="exact"/>
        <w:ind w:firstLine="420"/>
        <w:rPr>
          <w:rFonts w:ascii="宋体" w:hAnsi="宋体" w:cs="Arial"/>
          <w:color w:val="auto"/>
          <w:highlight w:val="none"/>
        </w:rPr>
      </w:pPr>
      <w:r>
        <w:rPr>
          <w:rFonts w:hint="eastAsia" w:ascii="宋体" w:hAnsi="宋体" w:cs="Arial"/>
          <w:color w:val="auto"/>
          <w:highlight w:val="none"/>
        </w:rPr>
        <w:t>1、甲乙双方违反</w:t>
      </w:r>
      <w:r>
        <w:rPr>
          <w:rFonts w:ascii="宋体" w:hAnsi="宋体" w:cs="Arial"/>
          <w:color w:val="auto"/>
          <w:highlight w:val="none"/>
        </w:rPr>
        <w:t>《中华人民共和国政府采购法》第五十条规定的情形</w:t>
      </w:r>
      <w:r>
        <w:rPr>
          <w:rFonts w:hint="eastAsia" w:ascii="宋体" w:hAnsi="宋体" w:cs="Arial"/>
          <w:color w:val="auto"/>
          <w:highlight w:val="none"/>
        </w:rPr>
        <w:t>；</w:t>
      </w:r>
    </w:p>
    <w:p w14:paraId="68A73B83">
      <w:pPr>
        <w:snapToGrid w:val="0"/>
        <w:spacing w:line="360" w:lineRule="exact"/>
        <w:ind w:firstLine="420"/>
        <w:rPr>
          <w:rFonts w:ascii="宋体" w:hAnsi="宋体" w:cs="Arial"/>
          <w:color w:val="auto"/>
          <w:highlight w:val="none"/>
        </w:rPr>
      </w:pPr>
      <w:r>
        <w:rPr>
          <w:rFonts w:hint="eastAsia" w:ascii="宋体" w:hAnsi="宋体" w:cs="Arial"/>
          <w:color w:val="auto"/>
          <w:highlight w:val="none"/>
        </w:rPr>
        <w:t>2、违反本协议廉洁条款约定。</w:t>
      </w:r>
    </w:p>
    <w:p w14:paraId="51A71F14">
      <w:pPr>
        <w:snapToGrid w:val="0"/>
        <w:spacing w:line="360" w:lineRule="exact"/>
        <w:ind w:firstLine="420"/>
        <w:rPr>
          <w:rFonts w:ascii="宋体" w:hAnsi="宋体" w:cs="Arial"/>
          <w:color w:val="auto"/>
          <w:highlight w:val="none"/>
        </w:rPr>
      </w:pPr>
      <w:r>
        <w:rPr>
          <w:rFonts w:hint="eastAsia" w:ascii="宋体" w:hAnsi="宋体" w:cs="Arial"/>
          <w:color w:val="auto"/>
          <w:highlight w:val="none"/>
        </w:rPr>
        <w:t>3、乙方因国家政策或其他原因不能提供相应的服务。</w:t>
      </w:r>
    </w:p>
    <w:p w14:paraId="011733E7">
      <w:pPr>
        <w:snapToGrid w:val="0"/>
        <w:spacing w:line="360" w:lineRule="exact"/>
        <w:ind w:firstLine="420"/>
        <w:rPr>
          <w:rFonts w:ascii="宋体" w:hAnsi="宋体" w:cs="Arial"/>
          <w:color w:val="auto"/>
          <w:highlight w:val="none"/>
        </w:rPr>
      </w:pPr>
      <w:r>
        <w:rPr>
          <w:rFonts w:hint="eastAsia" w:ascii="宋体" w:hAnsi="宋体" w:cs="Arial"/>
          <w:color w:val="auto"/>
          <w:highlight w:val="none"/>
        </w:rPr>
        <w:t>因上述原因造成协议终止的，守约方有权要求违约方按合同总额的1‰支付违约金，并赔偿一切损失，包括但不限于经济损失及因维权支出的合理的诉讼费（仲裁费）、律师费、保全费、担保费、鉴定费、差旅费、调查取证费等费用。</w:t>
      </w:r>
    </w:p>
    <w:p w14:paraId="0AD85022">
      <w:pPr>
        <w:snapToGrid w:val="0"/>
        <w:spacing w:line="360" w:lineRule="exact"/>
        <w:ind w:firstLine="420"/>
        <w:rPr>
          <w:rFonts w:ascii="宋体" w:hAnsi="宋体" w:cs="Arial"/>
          <w:color w:val="auto"/>
          <w:highlight w:val="none"/>
        </w:rPr>
      </w:pPr>
      <w:r>
        <w:rPr>
          <w:rFonts w:hint="eastAsia" w:ascii="宋体" w:hAnsi="宋体" w:cs="Arial"/>
          <w:color w:val="auto"/>
          <w:highlight w:val="none"/>
        </w:rPr>
        <w:t>（二）乙方不得擅自转让其应履行的合同义务。</w:t>
      </w:r>
    </w:p>
    <w:p w14:paraId="2649C2D0">
      <w:pPr>
        <w:snapToGrid w:val="0"/>
        <w:spacing w:line="360" w:lineRule="exact"/>
        <w:ind w:firstLine="420"/>
        <w:rPr>
          <w:rFonts w:ascii="宋体" w:hAnsi="宋体" w:cs="Arial"/>
          <w:color w:val="auto"/>
          <w:highlight w:val="none"/>
        </w:rPr>
      </w:pPr>
      <w:r>
        <w:rPr>
          <w:rFonts w:hint="eastAsia" w:ascii="宋体" w:hAnsi="宋体" w:cs="Arial"/>
          <w:color w:val="auto"/>
          <w:highlight w:val="none"/>
        </w:rPr>
        <w:t>（三）本合同未尽事宜，遵照《中华人民共和国民法典》有关条文执行。</w:t>
      </w:r>
    </w:p>
    <w:p w14:paraId="2F7E15EA">
      <w:pPr>
        <w:snapToGrid w:val="0"/>
        <w:spacing w:line="360" w:lineRule="exact"/>
        <w:ind w:firstLine="422" w:firstLineChars="200"/>
        <w:rPr>
          <w:rFonts w:ascii="Arial" w:hAnsi="Arial" w:cs="Arial"/>
          <w:b/>
          <w:color w:val="auto"/>
          <w:highlight w:val="none"/>
        </w:rPr>
      </w:pPr>
      <w:r>
        <w:rPr>
          <w:rFonts w:ascii="宋体" w:hAnsi="宋体" w:cs="Arial"/>
          <w:b/>
          <w:color w:val="auto"/>
          <w:highlight w:val="none"/>
        </w:rPr>
        <w:t>第十</w:t>
      </w:r>
      <w:r>
        <w:rPr>
          <w:rFonts w:hint="eastAsia" w:ascii="宋体" w:hAnsi="宋体" w:cs="Arial"/>
          <w:b/>
          <w:color w:val="auto"/>
          <w:highlight w:val="none"/>
        </w:rPr>
        <w:t>三</w:t>
      </w:r>
      <w:r>
        <w:rPr>
          <w:rFonts w:ascii="宋体" w:hAnsi="宋体" w:cs="Arial"/>
          <w:b/>
          <w:color w:val="auto"/>
          <w:highlight w:val="none"/>
        </w:rPr>
        <w:t>条 签订本合同依据</w:t>
      </w:r>
    </w:p>
    <w:p w14:paraId="5551D558">
      <w:pPr>
        <w:snapToGrid w:val="0"/>
        <w:spacing w:line="360" w:lineRule="exact"/>
        <w:ind w:firstLine="420" w:firstLineChars="200"/>
        <w:rPr>
          <w:rFonts w:ascii="Arial" w:hAnsi="Arial" w:cs="Arial"/>
          <w:color w:val="auto"/>
          <w:highlight w:val="none"/>
        </w:rPr>
      </w:pPr>
      <w:r>
        <w:rPr>
          <w:rFonts w:hint="eastAsia" w:ascii="Arial" w:hAnsi="Arial" w:cs="Arial"/>
          <w:color w:val="auto"/>
          <w:highlight w:val="none"/>
        </w:rPr>
        <w:t>1、项目</w:t>
      </w:r>
      <w:r>
        <w:rPr>
          <w:rFonts w:hint="eastAsia" w:ascii="Arial" w:hAnsi="Arial" w:cs="Arial"/>
          <w:color w:val="auto"/>
          <w:highlight w:val="none"/>
          <w:lang w:eastAsia="zh-CN"/>
        </w:rPr>
        <w:t>招标文件</w:t>
      </w:r>
      <w:r>
        <w:rPr>
          <w:rFonts w:hint="eastAsia" w:ascii="Arial" w:hAnsi="Arial" w:cs="Arial"/>
          <w:color w:val="auto"/>
          <w:highlight w:val="none"/>
        </w:rPr>
        <w:t>；</w:t>
      </w:r>
    </w:p>
    <w:p w14:paraId="0B7ACE98">
      <w:pPr>
        <w:snapToGrid w:val="0"/>
        <w:spacing w:line="360" w:lineRule="exact"/>
        <w:ind w:firstLine="420" w:firstLineChars="200"/>
        <w:rPr>
          <w:rFonts w:ascii="Arial" w:hAnsi="Arial" w:cs="Arial"/>
          <w:color w:val="auto"/>
          <w:highlight w:val="none"/>
        </w:rPr>
      </w:pPr>
      <w:r>
        <w:rPr>
          <w:rFonts w:hint="eastAsia" w:ascii="Arial" w:hAnsi="Arial" w:cs="Arial"/>
          <w:color w:val="auto"/>
          <w:highlight w:val="none"/>
        </w:rPr>
        <w:t>2、乙方提供的采购投标(或应答)文件；</w:t>
      </w:r>
    </w:p>
    <w:p w14:paraId="43913E3A">
      <w:pPr>
        <w:snapToGrid w:val="0"/>
        <w:spacing w:line="360" w:lineRule="exact"/>
        <w:ind w:firstLine="420" w:firstLineChars="200"/>
        <w:rPr>
          <w:rFonts w:ascii="Arial" w:hAnsi="Arial" w:cs="Arial"/>
          <w:color w:val="auto"/>
          <w:highlight w:val="none"/>
          <w:u w:val="single"/>
        </w:rPr>
      </w:pPr>
      <w:r>
        <w:rPr>
          <w:rFonts w:hint="eastAsia" w:ascii="Arial" w:hAnsi="Arial" w:cs="Arial"/>
          <w:color w:val="auto"/>
          <w:highlight w:val="none"/>
        </w:rPr>
        <w:t>3、成交通知书。</w:t>
      </w:r>
    </w:p>
    <w:p w14:paraId="2F88778C">
      <w:pPr>
        <w:snapToGrid w:val="0"/>
        <w:spacing w:line="360" w:lineRule="exact"/>
        <w:ind w:firstLine="422" w:firstLineChars="200"/>
        <w:rPr>
          <w:rFonts w:ascii="Arial" w:hAnsi="Arial" w:cs="Arial"/>
          <w:color w:val="auto"/>
          <w:highlight w:val="none"/>
        </w:rPr>
      </w:pPr>
      <w:r>
        <w:rPr>
          <w:rFonts w:ascii="宋体" w:hAnsi="宋体" w:cs="Arial"/>
          <w:b/>
          <w:color w:val="auto"/>
          <w:highlight w:val="none"/>
        </w:rPr>
        <w:t>第十</w:t>
      </w:r>
      <w:r>
        <w:rPr>
          <w:rFonts w:hint="eastAsia" w:ascii="宋体" w:hAnsi="宋体" w:cs="Arial"/>
          <w:b/>
          <w:color w:val="auto"/>
          <w:highlight w:val="none"/>
        </w:rPr>
        <w:t>四</w:t>
      </w:r>
      <w:r>
        <w:rPr>
          <w:rFonts w:ascii="宋体" w:hAnsi="宋体" w:cs="Arial"/>
          <w:b/>
          <w:color w:val="auto"/>
          <w:highlight w:val="none"/>
        </w:rPr>
        <w:t xml:space="preserve">条 </w:t>
      </w:r>
      <w:r>
        <w:rPr>
          <w:rFonts w:ascii="宋体" w:hAnsi="宋体" w:cs="Arial"/>
          <w:color w:val="auto"/>
          <w:highlight w:val="none"/>
        </w:rPr>
        <w:t>本合同一式</w:t>
      </w:r>
      <w:r>
        <w:rPr>
          <w:rFonts w:hint="eastAsia" w:ascii="宋体" w:hAnsi="宋体" w:cs="Arial"/>
          <w:color w:val="auto"/>
          <w:highlight w:val="none"/>
          <w:lang w:val="en-US" w:eastAsia="zh-CN"/>
        </w:rPr>
        <w:t>伍</w:t>
      </w:r>
      <w:r>
        <w:rPr>
          <w:rFonts w:ascii="宋体" w:hAnsi="宋体" w:cs="Arial"/>
          <w:color w:val="auto"/>
          <w:highlight w:val="none"/>
        </w:rPr>
        <w:t>份，具有同等法律效力。甲方</w:t>
      </w:r>
      <w:r>
        <w:rPr>
          <w:rFonts w:hint="eastAsia" w:ascii="宋体" w:hAnsi="宋体" w:cs="Arial"/>
          <w:color w:val="auto"/>
          <w:highlight w:val="none"/>
          <w:lang w:val="en-US" w:eastAsia="zh-CN"/>
        </w:rPr>
        <w:t>两</w:t>
      </w:r>
      <w:r>
        <w:rPr>
          <w:rFonts w:ascii="宋体" w:hAnsi="宋体" w:cs="Arial"/>
          <w:color w:val="auto"/>
          <w:highlight w:val="none"/>
        </w:rPr>
        <w:t>份，乙方两份，</w:t>
      </w:r>
      <w:r>
        <w:rPr>
          <w:rFonts w:ascii="宋体" w:hAnsi="宋体" w:cs="Arial"/>
          <w:color w:val="auto"/>
          <w:spacing w:val="4"/>
          <w:highlight w:val="none"/>
        </w:rPr>
        <w:t>采购代理机构</w:t>
      </w:r>
      <w:r>
        <w:rPr>
          <w:rFonts w:ascii="宋体" w:hAnsi="宋体" w:cs="Arial"/>
          <w:color w:val="auto"/>
          <w:highlight w:val="none"/>
        </w:rPr>
        <w:t>一份。</w:t>
      </w:r>
    </w:p>
    <w:p w14:paraId="22F0CFBB">
      <w:pPr>
        <w:snapToGrid w:val="0"/>
        <w:spacing w:line="360" w:lineRule="exact"/>
        <w:ind w:firstLine="420" w:firstLineChars="200"/>
        <w:rPr>
          <w:rFonts w:ascii="宋体" w:hAnsi="宋体" w:cs="Arial"/>
          <w:color w:val="auto"/>
          <w:highlight w:val="none"/>
        </w:rPr>
      </w:pPr>
      <w:r>
        <w:rPr>
          <w:rFonts w:ascii="宋体" w:hAnsi="宋体" w:cs="Arial"/>
          <w:color w:val="auto"/>
          <w:highlight w:val="none"/>
        </w:rPr>
        <w:t>本合同经甲乙双方法定代表人或授权代表签字并加盖单位公章后生效</w:t>
      </w:r>
      <w:r>
        <w:rPr>
          <w:rFonts w:hint="eastAsia" w:ascii="宋体" w:hAnsi="宋体" w:cs="Arial"/>
          <w:color w:val="auto"/>
          <w:highlight w:val="none"/>
        </w:rPr>
        <w:t>。</w:t>
      </w:r>
    </w:p>
    <w:p w14:paraId="4F7A7013">
      <w:pPr>
        <w:snapToGrid w:val="0"/>
        <w:spacing w:line="360" w:lineRule="exact"/>
        <w:ind w:firstLine="420" w:firstLineChars="200"/>
        <w:jc w:val="center"/>
        <w:rPr>
          <w:color w:val="auto"/>
          <w:highlight w:val="none"/>
        </w:rPr>
      </w:pPr>
      <w:r>
        <w:rPr>
          <w:rFonts w:hint="eastAsia"/>
          <w:color w:val="auto"/>
          <w:highlight w:val="none"/>
        </w:rPr>
        <w:t>本页为合同签章页</w:t>
      </w:r>
    </w:p>
    <w:tbl>
      <w:tblPr>
        <w:tblStyle w:val="20"/>
        <w:tblW w:w="973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6"/>
        <w:gridCol w:w="5003"/>
      </w:tblGrid>
      <w:tr w14:paraId="09A1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4736" w:type="dxa"/>
            <w:tcBorders>
              <w:top w:val="single" w:color="auto" w:sz="4" w:space="0"/>
              <w:left w:val="single" w:color="auto" w:sz="4" w:space="0"/>
              <w:bottom w:val="single" w:color="auto" w:sz="4" w:space="0"/>
              <w:right w:val="single" w:color="auto" w:sz="4" w:space="0"/>
            </w:tcBorders>
            <w:noWrap w:val="0"/>
            <w:vAlign w:val="center"/>
          </w:tcPr>
          <w:p w14:paraId="6781D34A">
            <w:pPr>
              <w:snapToGrid w:val="0"/>
              <w:spacing w:line="360" w:lineRule="exact"/>
              <w:rPr>
                <w:color w:val="auto"/>
                <w:highlight w:val="none"/>
              </w:rPr>
            </w:pPr>
            <w:r>
              <w:rPr>
                <w:rFonts w:ascii="宋体" w:hAnsi="宋体"/>
                <w:color w:val="auto"/>
                <w:highlight w:val="none"/>
              </w:rPr>
              <w:t>甲方（章）</w:t>
            </w:r>
            <w:r>
              <w:rPr>
                <w:color w:val="auto"/>
                <w:highlight w:val="none"/>
              </w:rPr>
              <w:t xml:space="preserve">           </w:t>
            </w:r>
          </w:p>
          <w:p w14:paraId="6BA94789">
            <w:pPr>
              <w:snapToGrid w:val="0"/>
              <w:spacing w:line="360" w:lineRule="exact"/>
              <w:rPr>
                <w:color w:val="auto"/>
                <w:highlight w:val="none"/>
              </w:rPr>
            </w:pPr>
          </w:p>
          <w:p w14:paraId="1693338A">
            <w:pPr>
              <w:snapToGrid w:val="0"/>
              <w:spacing w:line="360" w:lineRule="exact"/>
              <w:ind w:firstLine="945" w:firstLineChars="450"/>
              <w:jc w:val="right"/>
              <w:rPr>
                <w:color w:val="auto"/>
                <w:highlight w:val="none"/>
              </w:rPr>
            </w:pPr>
          </w:p>
        </w:tc>
        <w:tc>
          <w:tcPr>
            <w:tcW w:w="5003" w:type="dxa"/>
            <w:tcBorders>
              <w:top w:val="single" w:color="auto" w:sz="4" w:space="0"/>
              <w:left w:val="single" w:color="auto" w:sz="4" w:space="0"/>
              <w:bottom w:val="single" w:color="auto" w:sz="4" w:space="0"/>
              <w:right w:val="single" w:color="auto" w:sz="4" w:space="0"/>
            </w:tcBorders>
            <w:noWrap w:val="0"/>
            <w:vAlign w:val="center"/>
          </w:tcPr>
          <w:p w14:paraId="07DEFE7C">
            <w:pPr>
              <w:snapToGrid w:val="0"/>
              <w:spacing w:line="360" w:lineRule="exact"/>
              <w:rPr>
                <w:color w:val="auto"/>
                <w:highlight w:val="none"/>
              </w:rPr>
            </w:pPr>
            <w:r>
              <w:rPr>
                <w:rFonts w:ascii="宋体" w:hAnsi="宋体"/>
                <w:color w:val="auto"/>
                <w:highlight w:val="none"/>
              </w:rPr>
              <w:t>乙方（章）</w:t>
            </w:r>
            <w:r>
              <w:rPr>
                <w:color w:val="auto"/>
                <w:highlight w:val="none"/>
              </w:rPr>
              <w:t xml:space="preserve">              </w:t>
            </w:r>
          </w:p>
          <w:p w14:paraId="42CBC477">
            <w:pPr>
              <w:snapToGrid w:val="0"/>
              <w:spacing w:line="360" w:lineRule="exact"/>
              <w:rPr>
                <w:color w:val="auto"/>
                <w:highlight w:val="none"/>
              </w:rPr>
            </w:pPr>
          </w:p>
          <w:p w14:paraId="742ABF06">
            <w:pPr>
              <w:snapToGrid w:val="0"/>
              <w:spacing w:line="360" w:lineRule="exact"/>
              <w:jc w:val="right"/>
              <w:rPr>
                <w:color w:val="auto"/>
                <w:highlight w:val="none"/>
              </w:rPr>
            </w:pPr>
          </w:p>
        </w:tc>
      </w:tr>
      <w:tr w14:paraId="28E8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4736" w:type="dxa"/>
            <w:tcBorders>
              <w:top w:val="single" w:color="auto" w:sz="4" w:space="0"/>
              <w:left w:val="single" w:color="auto" w:sz="4" w:space="0"/>
              <w:bottom w:val="single" w:color="auto" w:sz="4" w:space="0"/>
              <w:right w:val="single" w:color="auto" w:sz="4" w:space="0"/>
            </w:tcBorders>
            <w:noWrap w:val="0"/>
            <w:vAlign w:val="center"/>
          </w:tcPr>
          <w:p w14:paraId="4FF3E57E">
            <w:pPr>
              <w:snapToGrid w:val="0"/>
              <w:spacing w:line="360" w:lineRule="exact"/>
              <w:rPr>
                <w:color w:val="auto"/>
                <w:highlight w:val="none"/>
              </w:rPr>
            </w:pPr>
            <w:r>
              <w:rPr>
                <w:rFonts w:ascii="宋体" w:hAnsi="宋体"/>
                <w:color w:val="auto"/>
                <w:highlight w:val="none"/>
              </w:rPr>
              <w:t>单位地址：</w:t>
            </w:r>
            <w:r>
              <w:rPr>
                <w:rFonts w:hint="eastAsia" w:ascii="宋体" w:hAnsi="宋体"/>
                <w:color w:val="auto"/>
                <w:highlight w:val="none"/>
                <w:lang w:val="en-US" w:eastAsia="zh-CN"/>
              </w:rPr>
              <w:t xml:space="preserve"> </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5F00C4B2">
            <w:pPr>
              <w:snapToGrid w:val="0"/>
              <w:spacing w:line="360" w:lineRule="exact"/>
              <w:rPr>
                <w:color w:val="auto"/>
                <w:highlight w:val="none"/>
              </w:rPr>
            </w:pPr>
            <w:r>
              <w:rPr>
                <w:rFonts w:ascii="宋体" w:hAnsi="宋体"/>
                <w:color w:val="auto"/>
                <w:highlight w:val="none"/>
              </w:rPr>
              <w:t>单位地址：</w:t>
            </w:r>
          </w:p>
        </w:tc>
      </w:tr>
      <w:tr w14:paraId="3FCA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4736" w:type="dxa"/>
            <w:tcBorders>
              <w:top w:val="single" w:color="auto" w:sz="4" w:space="0"/>
              <w:left w:val="single" w:color="auto" w:sz="4" w:space="0"/>
              <w:bottom w:val="single" w:color="auto" w:sz="4" w:space="0"/>
              <w:right w:val="single" w:color="auto" w:sz="4" w:space="0"/>
            </w:tcBorders>
            <w:noWrap w:val="0"/>
            <w:vAlign w:val="center"/>
          </w:tcPr>
          <w:p w14:paraId="6A92631D">
            <w:pPr>
              <w:snapToGrid w:val="0"/>
              <w:spacing w:line="360" w:lineRule="exact"/>
              <w:rPr>
                <w:rFonts w:hint="eastAsia" w:ascii="宋体" w:hAnsi="宋体"/>
                <w:color w:val="auto"/>
                <w:highlight w:val="none"/>
              </w:rPr>
            </w:pPr>
            <w:r>
              <w:rPr>
                <w:rFonts w:hint="eastAsia" w:ascii="宋体" w:hAnsi="宋体"/>
                <w:color w:val="auto"/>
                <w:highlight w:val="none"/>
              </w:rPr>
              <w:t>法定代表人</w:t>
            </w:r>
          </w:p>
          <w:p w14:paraId="245307E8">
            <w:pPr>
              <w:snapToGrid w:val="0"/>
              <w:spacing w:line="360" w:lineRule="exact"/>
              <w:rPr>
                <w:color w:val="auto"/>
                <w:highlight w:val="none"/>
              </w:rPr>
            </w:pPr>
            <w:r>
              <w:rPr>
                <w:rFonts w:hint="eastAsia" w:ascii="宋体" w:hAnsi="宋体"/>
                <w:color w:val="auto"/>
                <w:highlight w:val="none"/>
              </w:rPr>
              <w:t>或</w:t>
            </w:r>
            <w:r>
              <w:rPr>
                <w:rFonts w:ascii="宋体" w:hAnsi="宋体"/>
                <w:color w:val="auto"/>
                <w:highlight w:val="none"/>
              </w:rPr>
              <w:t>委托代理人：</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6AF41F78">
            <w:pPr>
              <w:snapToGrid w:val="0"/>
              <w:spacing w:line="360" w:lineRule="exact"/>
              <w:rPr>
                <w:rFonts w:hint="eastAsia" w:ascii="宋体" w:hAnsi="宋体"/>
                <w:color w:val="auto"/>
                <w:highlight w:val="none"/>
              </w:rPr>
            </w:pPr>
            <w:r>
              <w:rPr>
                <w:rFonts w:hint="eastAsia" w:ascii="宋体" w:hAnsi="宋体"/>
                <w:color w:val="auto"/>
                <w:highlight w:val="none"/>
              </w:rPr>
              <w:t>法定代表人</w:t>
            </w:r>
          </w:p>
          <w:p w14:paraId="029F4A18">
            <w:pPr>
              <w:snapToGrid w:val="0"/>
              <w:spacing w:line="360" w:lineRule="exact"/>
              <w:rPr>
                <w:color w:val="auto"/>
                <w:highlight w:val="none"/>
              </w:rPr>
            </w:pPr>
            <w:r>
              <w:rPr>
                <w:rFonts w:hint="eastAsia" w:ascii="宋体" w:hAnsi="宋体"/>
                <w:color w:val="auto"/>
                <w:highlight w:val="none"/>
              </w:rPr>
              <w:t>或</w:t>
            </w:r>
            <w:r>
              <w:rPr>
                <w:rFonts w:ascii="宋体" w:hAnsi="宋体"/>
                <w:color w:val="auto"/>
                <w:highlight w:val="none"/>
              </w:rPr>
              <w:t>委托代理人：</w:t>
            </w:r>
            <w:r>
              <w:rPr>
                <w:color w:val="auto"/>
                <w:highlight w:val="none"/>
              </w:rPr>
              <w:t xml:space="preserve"> </w:t>
            </w:r>
          </w:p>
        </w:tc>
      </w:tr>
      <w:tr w14:paraId="044E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4736" w:type="dxa"/>
            <w:tcBorders>
              <w:top w:val="single" w:color="auto" w:sz="4" w:space="0"/>
              <w:left w:val="single" w:color="auto" w:sz="4" w:space="0"/>
              <w:bottom w:val="single" w:color="auto" w:sz="4" w:space="0"/>
              <w:right w:val="single" w:color="auto" w:sz="4" w:space="0"/>
            </w:tcBorders>
            <w:noWrap w:val="0"/>
            <w:vAlign w:val="center"/>
          </w:tcPr>
          <w:p w14:paraId="62B84776">
            <w:pPr>
              <w:snapToGrid w:val="0"/>
              <w:spacing w:line="360" w:lineRule="exact"/>
              <w:rPr>
                <w:rFonts w:hint="eastAsia" w:eastAsia="宋体"/>
                <w:color w:val="auto"/>
                <w:highlight w:val="none"/>
                <w:lang w:eastAsia="zh-CN"/>
              </w:rPr>
            </w:pPr>
            <w:r>
              <w:rPr>
                <w:rFonts w:ascii="宋体" w:hAnsi="宋体"/>
                <w:color w:val="auto"/>
                <w:highlight w:val="none"/>
              </w:rPr>
              <w:t>电话：</w:t>
            </w:r>
            <w:r>
              <w:rPr>
                <w:rFonts w:hint="eastAsia" w:ascii="宋体" w:hAnsi="宋体"/>
                <w:color w:val="auto"/>
                <w:highlight w:val="none"/>
                <w:lang w:val="en-US" w:eastAsia="zh-CN"/>
              </w:rPr>
              <w:t xml:space="preserve"> </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74F71419">
            <w:pPr>
              <w:snapToGrid w:val="0"/>
              <w:spacing w:line="360" w:lineRule="exact"/>
              <w:rPr>
                <w:color w:val="auto"/>
                <w:highlight w:val="none"/>
              </w:rPr>
            </w:pPr>
            <w:r>
              <w:rPr>
                <w:rFonts w:ascii="宋体" w:hAnsi="宋体"/>
                <w:color w:val="auto"/>
                <w:highlight w:val="none"/>
              </w:rPr>
              <w:t>电话：</w:t>
            </w:r>
          </w:p>
        </w:tc>
      </w:tr>
      <w:tr w14:paraId="3D94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736" w:type="dxa"/>
            <w:tcBorders>
              <w:top w:val="single" w:color="auto" w:sz="4" w:space="0"/>
              <w:left w:val="single" w:color="auto" w:sz="4" w:space="0"/>
              <w:bottom w:val="single" w:color="auto" w:sz="4" w:space="0"/>
              <w:right w:val="single" w:color="auto" w:sz="4" w:space="0"/>
            </w:tcBorders>
            <w:noWrap w:val="0"/>
            <w:vAlign w:val="center"/>
          </w:tcPr>
          <w:p w14:paraId="03CD80E7">
            <w:pPr>
              <w:snapToGrid w:val="0"/>
              <w:spacing w:line="360" w:lineRule="exact"/>
              <w:rPr>
                <w:rFonts w:hint="eastAsia" w:eastAsia="宋体"/>
                <w:color w:val="auto"/>
                <w:highlight w:val="none"/>
                <w:lang w:eastAsia="zh-CN"/>
              </w:rPr>
            </w:pPr>
            <w:r>
              <w:rPr>
                <w:rFonts w:ascii="宋体" w:hAnsi="宋体"/>
                <w:color w:val="auto"/>
                <w:highlight w:val="none"/>
              </w:rPr>
              <w:t>电子邮箱：</w:t>
            </w:r>
            <w:r>
              <w:rPr>
                <w:rFonts w:hint="eastAsia" w:ascii="宋体" w:hAnsi="宋体"/>
                <w:color w:val="auto"/>
                <w:highlight w:val="none"/>
                <w:lang w:val="en-US" w:eastAsia="zh-CN"/>
              </w:rPr>
              <w:t xml:space="preserve"> </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6CAF4766">
            <w:pPr>
              <w:snapToGrid w:val="0"/>
              <w:spacing w:line="360" w:lineRule="exact"/>
              <w:rPr>
                <w:color w:val="auto"/>
                <w:highlight w:val="none"/>
              </w:rPr>
            </w:pPr>
            <w:r>
              <w:rPr>
                <w:rFonts w:ascii="宋体" w:hAnsi="宋体"/>
                <w:color w:val="auto"/>
                <w:highlight w:val="none"/>
              </w:rPr>
              <w:t>电子邮箱：</w:t>
            </w:r>
          </w:p>
        </w:tc>
      </w:tr>
      <w:tr w14:paraId="26C0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4736" w:type="dxa"/>
            <w:tcBorders>
              <w:top w:val="single" w:color="auto" w:sz="4" w:space="0"/>
              <w:left w:val="single" w:color="auto" w:sz="4" w:space="0"/>
              <w:bottom w:val="single" w:color="auto" w:sz="4" w:space="0"/>
              <w:right w:val="single" w:color="auto" w:sz="4" w:space="0"/>
            </w:tcBorders>
            <w:noWrap w:val="0"/>
            <w:vAlign w:val="center"/>
          </w:tcPr>
          <w:p w14:paraId="553AAC24">
            <w:pPr>
              <w:snapToGrid w:val="0"/>
              <w:spacing w:line="360" w:lineRule="exact"/>
              <w:rPr>
                <w:rFonts w:hint="eastAsia" w:eastAsia="宋体"/>
                <w:color w:val="auto"/>
                <w:highlight w:val="none"/>
                <w:lang w:eastAsia="zh-CN"/>
              </w:rPr>
            </w:pPr>
            <w:r>
              <w:rPr>
                <w:rFonts w:ascii="宋体" w:hAnsi="宋体"/>
                <w:color w:val="auto"/>
                <w:highlight w:val="none"/>
              </w:rPr>
              <w:t>开户银行：</w:t>
            </w:r>
            <w:r>
              <w:rPr>
                <w:rFonts w:hint="eastAsia" w:ascii="宋体" w:hAnsi="宋体"/>
                <w:color w:val="auto"/>
                <w:highlight w:val="none"/>
                <w:lang w:val="en-US" w:eastAsia="zh-CN"/>
              </w:rPr>
              <w:t xml:space="preserve"> </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6C87D2A3">
            <w:pPr>
              <w:snapToGrid w:val="0"/>
              <w:spacing w:line="360" w:lineRule="exact"/>
              <w:rPr>
                <w:color w:val="auto"/>
                <w:highlight w:val="none"/>
              </w:rPr>
            </w:pPr>
            <w:r>
              <w:rPr>
                <w:rFonts w:ascii="宋体" w:hAnsi="宋体"/>
                <w:color w:val="auto"/>
                <w:highlight w:val="none"/>
              </w:rPr>
              <w:t>开户银行：</w:t>
            </w:r>
          </w:p>
        </w:tc>
      </w:tr>
      <w:tr w14:paraId="18F0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736" w:type="dxa"/>
            <w:tcBorders>
              <w:top w:val="single" w:color="auto" w:sz="4" w:space="0"/>
              <w:left w:val="single" w:color="auto" w:sz="4" w:space="0"/>
              <w:bottom w:val="single" w:color="auto" w:sz="4" w:space="0"/>
              <w:right w:val="single" w:color="auto" w:sz="4" w:space="0"/>
            </w:tcBorders>
            <w:noWrap w:val="0"/>
            <w:vAlign w:val="center"/>
          </w:tcPr>
          <w:p w14:paraId="6674191B">
            <w:pPr>
              <w:snapToGrid w:val="0"/>
              <w:spacing w:line="360" w:lineRule="exact"/>
              <w:rPr>
                <w:rFonts w:hint="eastAsia" w:eastAsia="宋体"/>
                <w:color w:val="auto"/>
                <w:highlight w:val="none"/>
                <w:lang w:eastAsia="zh-CN"/>
              </w:rPr>
            </w:pPr>
            <w:r>
              <w:rPr>
                <w:rFonts w:ascii="宋体" w:hAnsi="宋体"/>
                <w:color w:val="auto"/>
                <w:highlight w:val="none"/>
              </w:rPr>
              <w:t>账号：</w:t>
            </w:r>
            <w:r>
              <w:rPr>
                <w:rFonts w:hint="eastAsia" w:ascii="宋体" w:hAnsi="宋体"/>
                <w:color w:val="auto"/>
                <w:highlight w:val="none"/>
                <w:lang w:val="en-US" w:eastAsia="zh-CN"/>
              </w:rPr>
              <w:t xml:space="preserve"> </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648A4E30">
            <w:pPr>
              <w:snapToGrid w:val="0"/>
              <w:spacing w:line="360" w:lineRule="exact"/>
              <w:rPr>
                <w:color w:val="auto"/>
                <w:highlight w:val="none"/>
              </w:rPr>
            </w:pPr>
            <w:r>
              <w:rPr>
                <w:rFonts w:ascii="宋体" w:hAnsi="宋体"/>
                <w:color w:val="auto"/>
                <w:highlight w:val="none"/>
              </w:rPr>
              <w:t>账号：</w:t>
            </w:r>
          </w:p>
        </w:tc>
      </w:tr>
      <w:tr w14:paraId="3ABF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736" w:type="dxa"/>
            <w:tcBorders>
              <w:top w:val="single" w:color="auto" w:sz="4" w:space="0"/>
              <w:left w:val="single" w:color="auto" w:sz="4" w:space="0"/>
              <w:bottom w:val="single" w:color="auto" w:sz="4" w:space="0"/>
              <w:right w:val="single" w:color="auto" w:sz="4" w:space="0"/>
            </w:tcBorders>
            <w:noWrap w:val="0"/>
            <w:vAlign w:val="center"/>
          </w:tcPr>
          <w:p w14:paraId="706FE1BB">
            <w:pPr>
              <w:snapToGrid w:val="0"/>
              <w:spacing w:line="360" w:lineRule="exact"/>
              <w:rPr>
                <w:rFonts w:hint="eastAsia" w:eastAsia="宋体"/>
                <w:color w:val="auto"/>
                <w:highlight w:val="none"/>
                <w:lang w:eastAsia="zh-CN"/>
              </w:rPr>
            </w:pPr>
            <w:r>
              <w:rPr>
                <w:rFonts w:ascii="宋体" w:hAnsi="宋体"/>
                <w:color w:val="auto"/>
                <w:highlight w:val="none"/>
              </w:rPr>
              <w:t>邮政编码：</w:t>
            </w:r>
            <w:r>
              <w:rPr>
                <w:rFonts w:hint="eastAsia" w:ascii="宋体" w:hAnsi="宋体"/>
                <w:color w:val="auto"/>
                <w:highlight w:val="none"/>
                <w:lang w:val="en-US" w:eastAsia="zh-CN"/>
              </w:rPr>
              <w:t xml:space="preserve"> </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0647EDD6">
            <w:pPr>
              <w:snapToGrid w:val="0"/>
              <w:spacing w:line="360" w:lineRule="exact"/>
              <w:rPr>
                <w:color w:val="auto"/>
                <w:highlight w:val="none"/>
              </w:rPr>
            </w:pPr>
            <w:r>
              <w:rPr>
                <w:rFonts w:ascii="宋体" w:hAnsi="宋体"/>
                <w:color w:val="auto"/>
                <w:highlight w:val="none"/>
              </w:rPr>
              <w:t>邮政编码：</w:t>
            </w:r>
          </w:p>
        </w:tc>
      </w:tr>
    </w:tbl>
    <w:p w14:paraId="15BFF46E">
      <w:pPr>
        <w:rPr>
          <w:color w:val="auto"/>
          <w:highlight w:val="none"/>
        </w:rPr>
      </w:pPr>
      <w:r>
        <w:rPr>
          <w:color w:val="auto"/>
          <w:highlight w:val="none"/>
        </w:rPr>
        <w:t xml:space="preserve"> </w:t>
      </w:r>
    </w:p>
    <w:p w14:paraId="03F3342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position w:val="-2"/>
          <w:sz w:val="24"/>
          <w:highlight w:val="none"/>
        </w:rPr>
        <w:br w:type="page"/>
      </w:r>
      <w:r>
        <w:rPr>
          <w:rFonts w:hint="eastAsia" w:ascii="宋体" w:hAnsi="宋体" w:cs="宋体"/>
          <w:b/>
          <w:color w:val="auto"/>
          <w:position w:val="-2"/>
          <w:sz w:val="24"/>
          <w:highlight w:val="none"/>
        </w:rPr>
        <w:t>合同附件</w:t>
      </w:r>
    </w:p>
    <w:p w14:paraId="7615A69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9"/>
        <w:gridCol w:w="4813"/>
      </w:tblGrid>
      <w:tr w14:paraId="3EF4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9642" w:type="dxa"/>
            <w:gridSpan w:val="2"/>
            <w:tcBorders>
              <w:top w:val="single" w:color="auto" w:sz="4" w:space="0"/>
              <w:left w:val="single" w:color="auto" w:sz="4" w:space="0"/>
              <w:bottom w:val="single" w:color="auto" w:sz="4" w:space="0"/>
              <w:right w:val="single" w:color="auto" w:sz="4" w:space="0"/>
            </w:tcBorders>
            <w:noWrap w:val="0"/>
            <w:vAlign w:val="top"/>
          </w:tcPr>
          <w:p w14:paraId="7018B1F4">
            <w:pPr>
              <w:snapToGrid w:val="0"/>
              <w:spacing w:line="360" w:lineRule="auto"/>
              <w:rPr>
                <w:rFonts w:hint="eastAsia" w:ascii="宋体" w:hAnsi="宋体" w:cs="宋体"/>
                <w:color w:val="auto"/>
                <w:position w:val="-2"/>
                <w:sz w:val="24"/>
                <w:highlight w:val="none"/>
              </w:rPr>
            </w:pPr>
            <w:r>
              <w:rPr>
                <w:rFonts w:hint="eastAsia" w:ascii="宋体" w:hAnsi="宋体" w:cs="宋体"/>
                <w:color w:val="auto"/>
                <w:position w:val="-2"/>
                <w:sz w:val="24"/>
                <w:highlight w:val="none"/>
              </w:rPr>
              <w:t>1、</w:t>
            </w:r>
            <w:r>
              <w:rPr>
                <w:rFonts w:hint="eastAsia" w:ascii="宋体" w:hAnsi="宋体" w:cs="宋体"/>
                <w:color w:val="auto"/>
                <w:spacing w:val="-2"/>
                <w:position w:val="-2"/>
                <w:sz w:val="24"/>
                <w:highlight w:val="none"/>
              </w:rPr>
              <w:t>供</w:t>
            </w:r>
            <w:r>
              <w:rPr>
                <w:rFonts w:hint="eastAsia" w:ascii="宋体" w:hAnsi="宋体" w:cs="宋体"/>
                <w:color w:val="auto"/>
                <w:position w:val="-2"/>
                <w:sz w:val="24"/>
                <w:highlight w:val="none"/>
              </w:rPr>
              <w:t>应</w:t>
            </w:r>
            <w:r>
              <w:rPr>
                <w:rFonts w:hint="eastAsia" w:ascii="宋体" w:hAnsi="宋体" w:cs="宋体"/>
                <w:color w:val="auto"/>
                <w:spacing w:val="-2"/>
                <w:position w:val="-2"/>
                <w:sz w:val="24"/>
                <w:highlight w:val="none"/>
              </w:rPr>
              <w:t>商</w:t>
            </w:r>
            <w:r>
              <w:rPr>
                <w:rFonts w:hint="eastAsia" w:ascii="宋体" w:hAnsi="宋体" w:cs="宋体"/>
                <w:color w:val="auto"/>
                <w:position w:val="-2"/>
                <w:sz w:val="24"/>
                <w:highlight w:val="none"/>
              </w:rPr>
              <w:t>承</w:t>
            </w:r>
            <w:r>
              <w:rPr>
                <w:rFonts w:hint="eastAsia" w:ascii="宋体" w:hAnsi="宋体" w:cs="宋体"/>
                <w:color w:val="auto"/>
                <w:spacing w:val="-2"/>
                <w:position w:val="-2"/>
                <w:sz w:val="24"/>
                <w:highlight w:val="none"/>
              </w:rPr>
              <w:t>诺</w:t>
            </w:r>
            <w:r>
              <w:rPr>
                <w:rFonts w:hint="eastAsia" w:ascii="宋体" w:hAnsi="宋体" w:cs="宋体"/>
                <w:color w:val="auto"/>
                <w:position w:val="-2"/>
                <w:sz w:val="24"/>
                <w:highlight w:val="none"/>
              </w:rPr>
              <w:t>具</w:t>
            </w:r>
            <w:r>
              <w:rPr>
                <w:rFonts w:hint="eastAsia" w:ascii="宋体" w:hAnsi="宋体" w:cs="宋体"/>
                <w:color w:val="auto"/>
                <w:spacing w:val="-2"/>
                <w:position w:val="-2"/>
                <w:sz w:val="24"/>
                <w:highlight w:val="none"/>
              </w:rPr>
              <w:t>体</w:t>
            </w:r>
            <w:r>
              <w:rPr>
                <w:rFonts w:hint="eastAsia" w:ascii="宋体" w:hAnsi="宋体" w:cs="宋体"/>
                <w:color w:val="auto"/>
                <w:position w:val="-2"/>
                <w:sz w:val="24"/>
                <w:highlight w:val="none"/>
              </w:rPr>
              <w:t>事</w:t>
            </w:r>
            <w:r>
              <w:rPr>
                <w:rFonts w:hint="eastAsia" w:ascii="宋体" w:hAnsi="宋体" w:cs="宋体"/>
                <w:color w:val="auto"/>
                <w:spacing w:val="-2"/>
                <w:position w:val="-2"/>
                <w:sz w:val="24"/>
                <w:highlight w:val="none"/>
              </w:rPr>
              <w:t>项</w:t>
            </w:r>
            <w:r>
              <w:rPr>
                <w:rFonts w:hint="eastAsia" w:ascii="宋体" w:hAnsi="宋体" w:cs="宋体"/>
                <w:color w:val="auto"/>
                <w:position w:val="-2"/>
                <w:sz w:val="24"/>
                <w:highlight w:val="none"/>
              </w:rPr>
              <w:t>：</w:t>
            </w:r>
          </w:p>
          <w:p w14:paraId="07AD4B68">
            <w:pPr>
              <w:snapToGrid w:val="0"/>
              <w:spacing w:line="360" w:lineRule="auto"/>
              <w:jc w:val="center"/>
              <w:rPr>
                <w:rFonts w:hint="eastAsia" w:ascii="宋体" w:hAnsi="宋体" w:cs="宋体"/>
                <w:color w:val="auto"/>
                <w:sz w:val="24"/>
                <w:highlight w:val="none"/>
              </w:rPr>
            </w:pPr>
            <w:r>
              <w:rPr>
                <w:rFonts w:hint="eastAsia" w:ascii="宋体" w:hAnsi="宋体" w:cs="宋体"/>
                <w:color w:val="auto"/>
                <w:position w:val="-2"/>
                <w:sz w:val="24"/>
                <w:highlight w:val="none"/>
              </w:rPr>
              <w:t>按投标文件承诺的服务执行，详见附件。</w:t>
            </w:r>
          </w:p>
        </w:tc>
      </w:tr>
      <w:tr w14:paraId="1B57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9642" w:type="dxa"/>
            <w:gridSpan w:val="2"/>
            <w:tcBorders>
              <w:top w:val="single" w:color="auto" w:sz="4" w:space="0"/>
              <w:left w:val="single" w:color="auto" w:sz="4" w:space="0"/>
              <w:bottom w:val="single" w:color="auto" w:sz="4" w:space="0"/>
              <w:right w:val="single" w:color="auto" w:sz="4" w:space="0"/>
            </w:tcBorders>
            <w:noWrap w:val="0"/>
            <w:vAlign w:val="top"/>
          </w:tcPr>
          <w:p w14:paraId="448B3DD9">
            <w:pPr>
              <w:snapToGrid w:val="0"/>
              <w:spacing w:line="360" w:lineRule="auto"/>
              <w:rPr>
                <w:rFonts w:hint="eastAsia" w:ascii="宋体" w:hAnsi="宋体" w:cs="宋体"/>
                <w:color w:val="auto"/>
                <w:position w:val="-2"/>
                <w:sz w:val="24"/>
                <w:highlight w:val="none"/>
              </w:rPr>
            </w:pPr>
            <w:r>
              <w:rPr>
                <w:rFonts w:hint="eastAsia" w:ascii="宋体" w:hAnsi="宋体" w:cs="宋体"/>
                <w:color w:val="auto"/>
                <w:position w:val="-2"/>
                <w:sz w:val="24"/>
                <w:highlight w:val="none"/>
              </w:rPr>
              <w:t>2、</w:t>
            </w:r>
            <w:r>
              <w:rPr>
                <w:rFonts w:hint="eastAsia" w:ascii="宋体" w:hAnsi="宋体" w:cs="宋体"/>
                <w:color w:val="auto"/>
                <w:spacing w:val="-2"/>
                <w:position w:val="-2"/>
                <w:sz w:val="24"/>
                <w:highlight w:val="none"/>
              </w:rPr>
              <w:t>后续具</w:t>
            </w:r>
            <w:r>
              <w:rPr>
                <w:rFonts w:hint="eastAsia" w:ascii="宋体" w:hAnsi="宋体" w:cs="宋体"/>
                <w:color w:val="auto"/>
                <w:position w:val="-2"/>
                <w:sz w:val="24"/>
                <w:highlight w:val="none"/>
              </w:rPr>
              <w:t>体</w:t>
            </w:r>
            <w:r>
              <w:rPr>
                <w:rFonts w:hint="eastAsia" w:ascii="宋体" w:hAnsi="宋体" w:cs="宋体"/>
                <w:color w:val="auto"/>
                <w:spacing w:val="-2"/>
                <w:position w:val="-2"/>
                <w:sz w:val="24"/>
                <w:highlight w:val="none"/>
              </w:rPr>
              <w:t>事</w:t>
            </w:r>
            <w:r>
              <w:rPr>
                <w:rFonts w:hint="eastAsia" w:ascii="宋体" w:hAnsi="宋体" w:cs="宋体"/>
                <w:color w:val="auto"/>
                <w:position w:val="-2"/>
                <w:sz w:val="24"/>
                <w:highlight w:val="none"/>
              </w:rPr>
              <w:t>项：</w:t>
            </w:r>
          </w:p>
          <w:p w14:paraId="195DAE52">
            <w:pPr>
              <w:pStyle w:val="13"/>
              <w:jc w:val="center"/>
              <w:rPr>
                <w:rFonts w:hint="eastAsia" w:hAnsi="宋体" w:cs="宋体"/>
                <w:color w:val="auto"/>
                <w:highlight w:val="none"/>
              </w:rPr>
            </w:pPr>
            <w:r>
              <w:rPr>
                <w:rFonts w:hint="eastAsia" w:hAnsi="宋体" w:cs="宋体"/>
                <w:color w:val="auto"/>
                <w:position w:val="-2"/>
                <w:sz w:val="24"/>
                <w:szCs w:val="24"/>
                <w:highlight w:val="none"/>
              </w:rPr>
              <w:t>按投标文件承诺的服务执行，详见附件。</w:t>
            </w:r>
          </w:p>
        </w:tc>
      </w:tr>
      <w:tr w14:paraId="0865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9642" w:type="dxa"/>
            <w:gridSpan w:val="2"/>
            <w:tcBorders>
              <w:top w:val="single" w:color="auto" w:sz="4" w:space="0"/>
              <w:left w:val="single" w:color="auto" w:sz="4" w:space="0"/>
              <w:bottom w:val="single" w:color="auto" w:sz="4" w:space="0"/>
              <w:right w:val="single" w:color="auto" w:sz="4" w:space="0"/>
            </w:tcBorders>
            <w:noWrap w:val="0"/>
            <w:vAlign w:val="top"/>
          </w:tcPr>
          <w:p w14:paraId="33CAF9CB">
            <w:pPr>
              <w:snapToGrid w:val="0"/>
              <w:spacing w:line="360" w:lineRule="auto"/>
              <w:rPr>
                <w:rFonts w:hint="eastAsia" w:ascii="宋体" w:hAnsi="宋体" w:cs="宋体"/>
                <w:color w:val="auto"/>
                <w:position w:val="-2"/>
                <w:sz w:val="24"/>
                <w:highlight w:val="none"/>
              </w:rPr>
            </w:pPr>
            <w:r>
              <w:rPr>
                <w:rFonts w:hint="eastAsia" w:ascii="宋体" w:hAnsi="宋体" w:cs="宋体"/>
                <w:color w:val="auto"/>
                <w:position w:val="-2"/>
                <w:sz w:val="24"/>
                <w:highlight w:val="none"/>
              </w:rPr>
              <w:t>3、</w:t>
            </w:r>
            <w:r>
              <w:rPr>
                <w:rFonts w:hint="eastAsia" w:ascii="宋体" w:hAnsi="宋体" w:cs="宋体"/>
                <w:color w:val="auto"/>
                <w:spacing w:val="-2"/>
                <w:position w:val="-2"/>
                <w:sz w:val="24"/>
                <w:highlight w:val="none"/>
              </w:rPr>
              <w:t>其</w:t>
            </w:r>
            <w:r>
              <w:rPr>
                <w:rFonts w:hint="eastAsia" w:ascii="宋体" w:hAnsi="宋体" w:cs="宋体"/>
                <w:color w:val="auto"/>
                <w:position w:val="-2"/>
                <w:sz w:val="24"/>
                <w:highlight w:val="none"/>
              </w:rPr>
              <w:t>他</w:t>
            </w:r>
            <w:r>
              <w:rPr>
                <w:rFonts w:hint="eastAsia" w:ascii="宋体" w:hAnsi="宋体" w:cs="宋体"/>
                <w:color w:val="auto"/>
                <w:spacing w:val="-2"/>
                <w:position w:val="-2"/>
                <w:sz w:val="24"/>
                <w:highlight w:val="none"/>
              </w:rPr>
              <w:t>具</w:t>
            </w:r>
            <w:r>
              <w:rPr>
                <w:rFonts w:hint="eastAsia" w:ascii="宋体" w:hAnsi="宋体" w:cs="宋体"/>
                <w:color w:val="auto"/>
                <w:position w:val="-2"/>
                <w:sz w:val="24"/>
                <w:highlight w:val="none"/>
              </w:rPr>
              <w:t>体</w:t>
            </w:r>
            <w:r>
              <w:rPr>
                <w:rFonts w:hint="eastAsia" w:ascii="宋体" w:hAnsi="宋体" w:cs="宋体"/>
                <w:color w:val="auto"/>
                <w:spacing w:val="-2"/>
                <w:position w:val="-2"/>
                <w:sz w:val="24"/>
                <w:highlight w:val="none"/>
              </w:rPr>
              <w:t>事</w:t>
            </w:r>
            <w:r>
              <w:rPr>
                <w:rFonts w:hint="eastAsia" w:ascii="宋体" w:hAnsi="宋体" w:cs="宋体"/>
                <w:color w:val="auto"/>
                <w:position w:val="-2"/>
                <w:sz w:val="24"/>
                <w:highlight w:val="none"/>
              </w:rPr>
              <w:t>项：</w:t>
            </w:r>
          </w:p>
          <w:p w14:paraId="387C4EE2">
            <w:pPr>
              <w:pStyle w:val="13"/>
              <w:jc w:val="center"/>
              <w:rPr>
                <w:rFonts w:hint="eastAsia" w:hAnsi="宋体" w:cs="宋体"/>
                <w:color w:val="auto"/>
                <w:highlight w:val="none"/>
              </w:rPr>
            </w:pPr>
            <w:r>
              <w:rPr>
                <w:rFonts w:hint="eastAsia" w:hAnsi="宋体" w:cs="宋体"/>
                <w:color w:val="auto"/>
                <w:position w:val="-2"/>
                <w:sz w:val="24"/>
                <w:szCs w:val="24"/>
                <w:highlight w:val="none"/>
              </w:rPr>
              <w:t>按投标文件承诺的服务执行。</w:t>
            </w:r>
          </w:p>
        </w:tc>
      </w:tr>
      <w:tr w14:paraId="1403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4829" w:type="dxa"/>
            <w:tcBorders>
              <w:top w:val="single" w:color="auto" w:sz="4" w:space="0"/>
              <w:left w:val="single" w:color="auto" w:sz="4" w:space="0"/>
              <w:bottom w:val="single" w:color="auto" w:sz="4" w:space="0"/>
              <w:right w:val="single" w:color="auto" w:sz="4" w:space="0"/>
            </w:tcBorders>
            <w:noWrap w:val="0"/>
            <w:vAlign w:val="top"/>
          </w:tcPr>
          <w:p w14:paraId="04875180">
            <w:pPr>
              <w:snapToGrid w:val="0"/>
              <w:spacing w:line="360" w:lineRule="auto"/>
              <w:rPr>
                <w:rFonts w:hint="eastAsia" w:ascii="宋体" w:hAnsi="宋体" w:cs="宋体"/>
                <w:color w:val="auto"/>
                <w:sz w:val="24"/>
                <w:highlight w:val="none"/>
              </w:rPr>
            </w:pPr>
          </w:p>
          <w:p w14:paraId="2B33A6AC">
            <w:pPr>
              <w:snapToGrid w:val="0"/>
              <w:spacing w:line="360" w:lineRule="auto"/>
              <w:ind w:left="525"/>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pacing w:val="-2"/>
                <w:sz w:val="24"/>
                <w:highlight w:val="none"/>
              </w:rPr>
              <w:t>（</w:t>
            </w:r>
            <w:r>
              <w:rPr>
                <w:rFonts w:hint="eastAsia" w:ascii="宋体" w:hAnsi="宋体" w:cs="宋体"/>
                <w:color w:val="auto"/>
                <w:sz w:val="24"/>
                <w:highlight w:val="none"/>
              </w:rPr>
              <w:t>章）</w:t>
            </w:r>
          </w:p>
          <w:p w14:paraId="51D9655B">
            <w:pPr>
              <w:snapToGrid w:val="0"/>
              <w:spacing w:line="360" w:lineRule="auto"/>
              <w:rPr>
                <w:rFonts w:hint="eastAsia" w:ascii="宋体" w:hAnsi="宋体" w:cs="宋体"/>
                <w:color w:val="auto"/>
                <w:sz w:val="24"/>
                <w:highlight w:val="none"/>
              </w:rPr>
            </w:pPr>
          </w:p>
          <w:p w14:paraId="20E1965A">
            <w:pPr>
              <w:snapToGrid w:val="0"/>
              <w:spacing w:line="360" w:lineRule="auto"/>
              <w:jc w:val="center"/>
              <w:rPr>
                <w:rFonts w:hint="eastAsia" w:ascii="宋体" w:hAnsi="宋体" w:cs="宋体"/>
                <w:color w:val="auto"/>
                <w:sz w:val="24"/>
                <w:highlight w:val="none"/>
              </w:rPr>
            </w:pPr>
          </w:p>
          <w:p w14:paraId="1731EA81">
            <w:pPr>
              <w:snapToGrid w:val="0"/>
              <w:spacing w:line="360" w:lineRule="auto"/>
              <w:jc w:val="center"/>
              <w:rPr>
                <w:rFonts w:hint="eastAsia" w:ascii="宋体" w:hAnsi="宋体" w:cs="宋体"/>
                <w:color w:val="auto"/>
                <w:sz w:val="24"/>
                <w:highlight w:val="none"/>
              </w:rPr>
            </w:pPr>
          </w:p>
          <w:p w14:paraId="0C1D6641">
            <w:pPr>
              <w:snapToGrid w:val="0"/>
              <w:spacing w:line="360" w:lineRule="auto"/>
              <w:rPr>
                <w:rFonts w:hint="eastAsia" w:ascii="宋体" w:hAnsi="宋体" w:cs="宋体"/>
                <w:color w:val="auto"/>
                <w:sz w:val="24"/>
                <w:highlight w:val="none"/>
              </w:rPr>
            </w:pPr>
          </w:p>
          <w:p w14:paraId="703FB9E0">
            <w:pPr>
              <w:snapToGrid w:val="0"/>
              <w:spacing w:line="360" w:lineRule="auto"/>
              <w:rPr>
                <w:rFonts w:hint="eastAsia" w:ascii="宋体" w:hAnsi="宋体" w:cs="宋体"/>
                <w:color w:val="auto"/>
                <w:sz w:val="24"/>
                <w:highlight w:val="none"/>
              </w:rPr>
            </w:pPr>
          </w:p>
          <w:p w14:paraId="2EE4ACAD">
            <w:pPr>
              <w:snapToGrid w:val="0"/>
              <w:spacing w:line="360" w:lineRule="auto"/>
              <w:rPr>
                <w:rFonts w:hint="eastAsia" w:ascii="宋体" w:hAnsi="宋体" w:cs="宋体"/>
                <w:color w:val="auto"/>
                <w:sz w:val="24"/>
                <w:highlight w:val="none"/>
              </w:rPr>
            </w:pPr>
          </w:p>
          <w:p w14:paraId="3C24A290">
            <w:pPr>
              <w:snapToGrid w:val="0"/>
              <w:spacing w:line="360" w:lineRule="auto"/>
              <w:ind w:left="2311"/>
              <w:rPr>
                <w:rFonts w:hint="eastAsia" w:ascii="宋体" w:hAnsi="宋体" w:cs="宋体"/>
                <w:color w:val="auto"/>
                <w:sz w:val="24"/>
                <w:highlight w:val="none"/>
              </w:rPr>
            </w:pPr>
            <w:r>
              <w:rPr>
                <w:rFonts w:hint="eastAsia" w:ascii="宋体" w:hAnsi="宋体" w:cs="宋体"/>
                <w:color w:val="auto"/>
                <w:sz w:val="24"/>
                <w:highlight w:val="none"/>
              </w:rPr>
              <w:t>年    月    日</w:t>
            </w:r>
          </w:p>
        </w:tc>
        <w:tc>
          <w:tcPr>
            <w:tcW w:w="4813" w:type="dxa"/>
            <w:tcBorders>
              <w:top w:val="single" w:color="auto" w:sz="4" w:space="0"/>
              <w:left w:val="single" w:color="auto" w:sz="4" w:space="0"/>
              <w:bottom w:val="single" w:color="auto" w:sz="4" w:space="0"/>
              <w:right w:val="single" w:color="auto" w:sz="4" w:space="0"/>
            </w:tcBorders>
            <w:noWrap w:val="0"/>
            <w:vAlign w:val="top"/>
          </w:tcPr>
          <w:p w14:paraId="2A623A50">
            <w:pPr>
              <w:snapToGrid w:val="0"/>
              <w:spacing w:line="360" w:lineRule="auto"/>
              <w:rPr>
                <w:rFonts w:hint="eastAsia" w:ascii="宋体" w:hAnsi="宋体" w:cs="宋体"/>
                <w:color w:val="auto"/>
                <w:sz w:val="24"/>
                <w:highlight w:val="none"/>
              </w:rPr>
            </w:pPr>
          </w:p>
          <w:p w14:paraId="0E5A146F">
            <w:pPr>
              <w:snapToGrid w:val="0"/>
              <w:spacing w:line="360" w:lineRule="auto"/>
              <w:ind w:left="525"/>
              <w:rPr>
                <w:rFonts w:hint="eastAsia"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pacing w:val="-2"/>
                <w:sz w:val="24"/>
                <w:highlight w:val="none"/>
              </w:rPr>
              <w:t>（</w:t>
            </w:r>
            <w:r>
              <w:rPr>
                <w:rFonts w:hint="eastAsia" w:ascii="宋体" w:hAnsi="宋体" w:cs="宋体"/>
                <w:color w:val="auto"/>
                <w:sz w:val="24"/>
                <w:highlight w:val="none"/>
              </w:rPr>
              <w:t>章）</w:t>
            </w:r>
          </w:p>
          <w:p w14:paraId="5F4872C0">
            <w:pPr>
              <w:snapToGrid w:val="0"/>
              <w:spacing w:line="360" w:lineRule="auto"/>
              <w:rPr>
                <w:rFonts w:hint="eastAsia" w:ascii="宋体" w:hAnsi="宋体" w:cs="宋体"/>
                <w:color w:val="auto"/>
                <w:sz w:val="24"/>
                <w:highlight w:val="none"/>
              </w:rPr>
            </w:pPr>
          </w:p>
          <w:p w14:paraId="3472E27D">
            <w:pPr>
              <w:snapToGrid w:val="0"/>
              <w:spacing w:line="360" w:lineRule="auto"/>
              <w:rPr>
                <w:rFonts w:hint="eastAsia" w:ascii="宋体" w:hAnsi="宋体" w:cs="宋体"/>
                <w:color w:val="auto"/>
                <w:sz w:val="24"/>
                <w:highlight w:val="none"/>
              </w:rPr>
            </w:pPr>
          </w:p>
          <w:p w14:paraId="0B3FF7EB">
            <w:pPr>
              <w:pStyle w:val="29"/>
              <w:rPr>
                <w:rFonts w:hint="eastAsia" w:ascii="宋体" w:hAnsi="宋体" w:eastAsia="宋体" w:cs="宋体"/>
                <w:color w:val="auto"/>
                <w:highlight w:val="none"/>
                <w:lang w:eastAsia="zh-CN"/>
              </w:rPr>
            </w:pPr>
            <w:r>
              <w:rPr>
                <w:rFonts w:hint="eastAsia" w:hAnsi="宋体" w:cs="宋体"/>
                <w:color w:val="auto"/>
                <w:sz w:val="24"/>
                <w:szCs w:val="24"/>
                <w:highlight w:val="none"/>
                <w:lang w:val="en-US" w:eastAsia="zh-CN"/>
              </w:rPr>
              <w:t xml:space="preserve"> </w:t>
            </w:r>
          </w:p>
          <w:p w14:paraId="1C2E2C0D">
            <w:pPr>
              <w:snapToGrid w:val="0"/>
              <w:spacing w:line="360" w:lineRule="auto"/>
              <w:rPr>
                <w:rFonts w:hint="eastAsia" w:ascii="宋体" w:hAnsi="宋体" w:cs="宋体"/>
                <w:color w:val="auto"/>
                <w:sz w:val="24"/>
                <w:highlight w:val="none"/>
              </w:rPr>
            </w:pPr>
          </w:p>
          <w:p w14:paraId="481CA59B">
            <w:pPr>
              <w:snapToGrid w:val="0"/>
              <w:spacing w:line="360" w:lineRule="auto"/>
              <w:ind w:left="2207"/>
              <w:rPr>
                <w:rFonts w:hint="eastAsia" w:ascii="宋体" w:hAnsi="宋体" w:cs="宋体"/>
                <w:color w:val="auto"/>
                <w:sz w:val="24"/>
                <w:highlight w:val="none"/>
              </w:rPr>
            </w:pPr>
            <w:r>
              <w:rPr>
                <w:rFonts w:hint="eastAsia" w:ascii="宋体" w:hAnsi="宋体" w:cs="宋体"/>
                <w:color w:val="auto"/>
                <w:sz w:val="24"/>
                <w:highlight w:val="none"/>
              </w:rPr>
              <w:t>年    月    日</w:t>
            </w:r>
          </w:p>
        </w:tc>
      </w:tr>
    </w:tbl>
    <w:p w14:paraId="4E53537A">
      <w:pPr>
        <w:keepNext w:val="0"/>
        <w:keepLines w:val="0"/>
        <w:widowControl w:val="0"/>
        <w:suppressLineNumbers w:val="0"/>
        <w:autoSpaceDE w:val="0"/>
        <w:autoSpaceDN/>
        <w:snapToGrid w:val="0"/>
        <w:spacing w:before="0" w:beforeAutospacing="0" w:after="0" w:afterAutospacing="0"/>
        <w:ind w:left="215" w:right="0"/>
        <w:jc w:val="both"/>
        <w:rPr>
          <w:rFonts w:hint="eastAsia" w:ascii="宋体" w:hAnsi="宋体" w:eastAsia="宋体" w:cs="宋体"/>
          <w:b/>
          <w:bCs w:val="0"/>
          <w:color w:val="auto"/>
          <w:sz w:val="24"/>
          <w:szCs w:val="21"/>
          <w:highlight w:val="none"/>
          <w:lang w:val="en-US"/>
        </w:rPr>
      </w:pPr>
      <w:r>
        <w:rPr>
          <w:rFonts w:hint="eastAsia" w:ascii="宋体" w:hAnsi="宋体" w:cs="宋体"/>
          <w:b/>
          <w:color w:val="auto"/>
          <w:sz w:val="24"/>
          <w:highlight w:val="none"/>
        </w:rPr>
        <w:t>附：</w:t>
      </w:r>
      <w:r>
        <w:rPr>
          <w:rFonts w:hint="eastAsia" w:ascii="宋体" w:hAnsi="宋体" w:cs="宋体"/>
          <w:b/>
          <w:color w:val="auto"/>
          <w:spacing w:val="-2"/>
          <w:sz w:val="24"/>
          <w:highlight w:val="none"/>
        </w:rPr>
        <w:t>1、</w:t>
      </w:r>
      <w:r>
        <w:rPr>
          <w:rFonts w:hint="eastAsia" w:ascii="宋体" w:hAnsi="宋体" w:eastAsia="宋体" w:cs="宋体"/>
          <w:b/>
          <w:bCs w:val="0"/>
          <w:color w:val="auto"/>
          <w:spacing w:val="-2"/>
          <w:kern w:val="2"/>
          <w:sz w:val="24"/>
          <w:szCs w:val="21"/>
          <w:highlight w:val="none"/>
          <w:lang w:val="en-US" w:eastAsia="zh-CN" w:bidi="ar"/>
        </w:rPr>
        <w:t>响应函</w:t>
      </w:r>
    </w:p>
    <w:p w14:paraId="08C805CF">
      <w:pPr>
        <w:pStyle w:val="18"/>
        <w:keepNext w:val="0"/>
        <w:keepLines w:val="0"/>
        <w:widowControl w:val="0"/>
        <w:numPr>
          <w:ilvl w:val="0"/>
          <w:numId w:val="4"/>
        </w:numPr>
        <w:suppressLineNumbers w:val="0"/>
        <w:tabs>
          <w:tab w:val="left" w:pos="420"/>
        </w:tabs>
        <w:snapToGrid w:val="0"/>
        <w:spacing w:before="0" w:beforeAutospacing="0" w:after="0" w:afterAutospacing="0"/>
        <w:ind w:left="1101" w:right="0" w:hanging="390"/>
        <w:jc w:val="left"/>
        <w:rPr>
          <w:b/>
          <w:bCs w:val="0"/>
          <w:color w:val="auto"/>
          <w:spacing w:val="-2"/>
          <w:sz w:val="24"/>
          <w:szCs w:val="24"/>
          <w:highlight w:val="none"/>
          <w:lang w:val="en-US"/>
        </w:rPr>
      </w:pPr>
      <w:r>
        <w:rPr>
          <w:rFonts w:hint="eastAsia" w:ascii="宋体" w:hAnsi="宋体" w:eastAsia="宋体" w:cs="宋体"/>
          <w:b/>
          <w:bCs w:val="0"/>
          <w:color w:val="auto"/>
          <w:spacing w:val="-2"/>
          <w:kern w:val="2"/>
          <w:sz w:val="24"/>
          <w:szCs w:val="24"/>
          <w:highlight w:val="none"/>
          <w:lang w:val="en-US" w:eastAsia="zh-CN" w:bidi="ar"/>
        </w:rPr>
        <w:t>技术偏离表、商务偏离表</w:t>
      </w:r>
    </w:p>
    <w:p w14:paraId="45CD4797">
      <w:pPr>
        <w:pStyle w:val="18"/>
        <w:keepNext w:val="0"/>
        <w:keepLines w:val="0"/>
        <w:widowControl w:val="0"/>
        <w:numPr>
          <w:ilvl w:val="0"/>
          <w:numId w:val="4"/>
        </w:numPr>
        <w:suppressLineNumbers w:val="0"/>
        <w:tabs>
          <w:tab w:val="left" w:pos="420"/>
        </w:tabs>
        <w:snapToGrid w:val="0"/>
        <w:spacing w:before="0" w:beforeAutospacing="0" w:after="0" w:afterAutospacing="0"/>
        <w:ind w:left="1101" w:right="0" w:hanging="390"/>
        <w:jc w:val="left"/>
        <w:rPr>
          <w:b/>
          <w:bCs w:val="0"/>
          <w:color w:val="auto"/>
          <w:spacing w:val="-2"/>
          <w:sz w:val="24"/>
          <w:szCs w:val="24"/>
          <w:highlight w:val="none"/>
          <w:lang w:val="en-US"/>
        </w:rPr>
      </w:pPr>
      <w:r>
        <w:rPr>
          <w:rFonts w:hint="eastAsia" w:ascii="宋体" w:hAnsi="宋体" w:eastAsia="宋体" w:cs="宋体"/>
          <w:b/>
          <w:bCs w:val="0"/>
          <w:color w:val="auto"/>
          <w:spacing w:val="-2"/>
          <w:kern w:val="2"/>
          <w:sz w:val="24"/>
          <w:szCs w:val="18"/>
          <w:highlight w:val="none"/>
          <w:lang w:val="en-US" w:eastAsia="zh-CN" w:bidi="ar"/>
        </w:rPr>
        <w:t>服务承诺书</w:t>
      </w:r>
    </w:p>
    <w:p w14:paraId="265517FC">
      <w:pPr>
        <w:pStyle w:val="18"/>
        <w:keepNext w:val="0"/>
        <w:keepLines w:val="0"/>
        <w:widowControl w:val="0"/>
        <w:numPr>
          <w:ilvl w:val="0"/>
          <w:numId w:val="4"/>
        </w:numPr>
        <w:suppressLineNumbers w:val="0"/>
        <w:tabs>
          <w:tab w:val="left" w:pos="420"/>
        </w:tabs>
        <w:snapToGrid w:val="0"/>
        <w:spacing w:before="0" w:beforeAutospacing="0" w:after="0" w:afterAutospacing="0"/>
        <w:ind w:left="1101" w:right="0" w:hanging="390"/>
        <w:jc w:val="left"/>
        <w:rPr>
          <w:b/>
          <w:bCs w:val="0"/>
          <w:color w:val="auto"/>
          <w:spacing w:val="-2"/>
          <w:sz w:val="24"/>
          <w:szCs w:val="24"/>
          <w:highlight w:val="none"/>
          <w:lang w:val="en-US"/>
        </w:rPr>
      </w:pPr>
      <w:r>
        <w:rPr>
          <w:rFonts w:hint="eastAsia" w:ascii="Times New Roman" w:hAnsi="Times New Roman" w:eastAsia="宋体" w:cs="宋体"/>
          <w:b/>
          <w:bCs w:val="0"/>
          <w:color w:val="auto"/>
          <w:spacing w:val="-2"/>
          <w:kern w:val="2"/>
          <w:sz w:val="24"/>
          <w:szCs w:val="24"/>
          <w:highlight w:val="none"/>
          <w:lang w:val="en-US" w:eastAsia="zh-CN" w:bidi="ar"/>
        </w:rPr>
        <w:t>成交通知书</w:t>
      </w:r>
    </w:p>
    <w:p w14:paraId="3B6FD10F">
      <w:pPr>
        <w:rPr>
          <w:rFonts w:hint="eastAsia" w:ascii="宋体" w:hAnsi="宋体" w:cs="宋体"/>
          <w:color w:val="auto"/>
          <w:highlight w:val="none"/>
        </w:rPr>
      </w:pPr>
    </w:p>
    <w:p w14:paraId="5197D2D8">
      <w:pPr>
        <w:rPr>
          <w:rFonts w:hint="eastAsia" w:ascii="宋体" w:hAnsi="宋体" w:eastAsia="宋体" w:cs="宋体"/>
          <w:color w:val="auto"/>
          <w:highlight w:val="none"/>
        </w:rPr>
      </w:pPr>
    </w:p>
    <w:p w14:paraId="3A390D46">
      <w:pPr>
        <w:rPr>
          <w:rFonts w:hint="eastAsia" w:ascii="宋体" w:hAnsi="宋体" w:eastAsia="宋体" w:cs="宋体"/>
          <w:color w:val="auto"/>
          <w:highlight w:val="none"/>
        </w:rPr>
      </w:pPr>
    </w:p>
    <w:sectPr>
      <w:footerReference r:id="rId7" w:type="default"/>
      <w:footerReference r:id="rId8" w:type="even"/>
      <w:pgSz w:w="11906" w:h="16838"/>
      <w:pgMar w:top="1134" w:right="924" w:bottom="1134" w:left="1134" w:header="720" w:footer="72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E4360F-BED4-4599-8B5F-7B75CF806954}"/>
  </w:font>
  <w:font w:name="黑体">
    <w:panose1 w:val="02010609060101010101"/>
    <w:charset w:val="86"/>
    <w:family w:val="auto"/>
    <w:pitch w:val="default"/>
    <w:sig w:usb0="800002BF" w:usb1="38CF7CFA" w:usb2="00000016" w:usb3="00000000" w:csb0="00040001" w:csb1="00000000"/>
    <w:embedRegular r:id="rId2" w:fontKey="{08CD6AA5-15DB-4F6A-AA01-72189B77E6F6}"/>
  </w:font>
  <w:font w:name="Courier New">
    <w:panose1 w:val="02070309020205020404"/>
    <w:charset w:val="01"/>
    <w:family w:val="modern"/>
    <w:pitch w:val="default"/>
    <w:sig w:usb0="E0002EFF" w:usb1="C0007843" w:usb2="00000009" w:usb3="00000000" w:csb0="400001FF" w:csb1="FFFF0000"/>
    <w:embedRegular r:id="rId3" w:fontKey="{2724FB8E-62E4-4291-BDC7-9C43DC62151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67205138-CA56-4CCA-8285-F0057CD7AE9D}"/>
  </w:font>
  <w:font w:name="仿宋">
    <w:panose1 w:val="02010609060101010101"/>
    <w:charset w:val="86"/>
    <w:family w:val="modern"/>
    <w:pitch w:val="default"/>
    <w:sig w:usb0="800002BF" w:usb1="38CF7CFA" w:usb2="00000016" w:usb3="00000000" w:csb0="00040001" w:csb1="00000000"/>
    <w:embedRegular r:id="rId5" w:fontKey="{E77DA368-7773-4774-9A28-643B0EA2630A}"/>
  </w:font>
  <w:font w:name="华文楷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6" w:fontKey="{ADA8C24F-CF3B-450A-AFA8-D6A531D8628C}"/>
  </w:font>
  <w:font w:name="方正小标宋简体">
    <w:panose1 w:val="02000000000000000000"/>
    <w:charset w:val="86"/>
    <w:family w:val="auto"/>
    <w:pitch w:val="default"/>
    <w:sig w:usb0="00000001" w:usb1="08000000" w:usb2="00000000" w:usb3="00000000" w:csb0="00040000" w:csb1="00000000"/>
    <w:embedRegular r:id="rId7" w:fontKey="{B91B3D13-D724-4BFA-B521-C7A4D25FF5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00A0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B98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ln>
                    </wps:spPr>
                    <wps:txbx>
                      <w:txbxContent>
                        <w:p w14:paraId="0EA4945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QoyM1AAAAAMBAAAPAAAAAAAAAAEAIAAAACIA&#10;AABkcnMvZG93bnJldi54bWxQSwECFAAUAAAACACHTuJAKtct5dQBAACgAwAADgAAAAAAAAABACAA&#10;AAAjAQAAZHJzL2Uyb0RvYy54bWxQSwUGAAAAAAYABgBZAQAAaQUAAAAA&#10;">
              <v:fill on="f" focussize="0,0"/>
              <v:stroke on="f" weight="1.25pt"/>
              <v:imagedata o:title=""/>
              <o:lock v:ext="edit" aspectratio="f"/>
              <v:textbox inset="0mm,0mm,0mm,0mm" style="mso-fit-shape-to-text:t;">
                <w:txbxContent>
                  <w:p w14:paraId="0EA4945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FC619">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15875">
                        <a:noFill/>
                      </a:ln>
                    </wps:spPr>
                    <wps:txbx>
                      <w:txbxContent>
                        <w:p w14:paraId="41CB12E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QoyM1AAAAAMBAAAPAAAAAAAAAAEAIAAAACIA&#10;AABkcnMvZG93bnJldi54bWxQSwECFAAUAAAACACHTuJAqBXlkNQBAACgAwAADgAAAAAAAAABACAA&#10;AAAjAQAAZHJzL2Uyb0RvYy54bWxQSwUGAAAAAAYABgBZAQAAaQUAAAAA&#10;">
              <v:fill on="f" focussize="0,0"/>
              <v:stroke on="f" weight="1.25pt"/>
              <v:imagedata o:title=""/>
              <o:lock v:ext="edit" aspectratio="f"/>
              <v:textbox inset="0mm,0mm,0mm,0mm" style="mso-fit-shape-to-text:t;">
                <w:txbxContent>
                  <w:p w14:paraId="41CB12E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E0D8">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D8007">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E2EC">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0595B"/>
    <w:multiLevelType w:val="singleLevel"/>
    <w:tmpl w:val="BD10595B"/>
    <w:lvl w:ilvl="0" w:tentative="0">
      <w:start w:val="1"/>
      <w:numFmt w:val="decimal"/>
      <w:pStyle w:val="5"/>
      <w:lvlText w:val="%1."/>
      <w:lvlJc w:val="left"/>
      <w:pPr>
        <w:tabs>
          <w:tab w:val="left" w:pos="360"/>
        </w:tabs>
        <w:ind w:left="360" w:hanging="360"/>
      </w:pPr>
    </w:lvl>
  </w:abstractNum>
  <w:abstractNum w:abstractNumId="1">
    <w:nsid w:val="00C249A1"/>
    <w:multiLevelType w:val="singleLevel"/>
    <w:tmpl w:val="00C249A1"/>
    <w:lvl w:ilvl="0" w:tentative="0">
      <w:start w:val="1"/>
      <w:numFmt w:val="decimal"/>
      <w:suff w:val="nothing"/>
      <w:lvlText w:val="%1、"/>
      <w:lvlJc w:val="left"/>
    </w:lvl>
  </w:abstractNum>
  <w:abstractNum w:abstractNumId="2">
    <w:nsid w:val="26759C35"/>
    <w:multiLevelType w:val="multilevel"/>
    <w:tmpl w:val="26759C35"/>
    <w:lvl w:ilvl="0" w:tentative="0">
      <w:start w:val="2"/>
      <w:numFmt w:val="decimal"/>
      <w:lvlText w:val="%1、"/>
      <w:lvlJc w:val="left"/>
      <w:pPr>
        <w:ind w:left="1101" w:hanging="390"/>
      </w:pPr>
      <w:rPr>
        <w:rFonts w:hint="eastAsia" w:ascii="宋体" w:hAnsi="宋体" w:eastAsia="Times New Roman" w:cs="宋体"/>
      </w:rPr>
    </w:lvl>
    <w:lvl w:ilvl="1" w:tentative="0">
      <w:start w:val="1"/>
      <w:numFmt w:val="lowerLetter"/>
      <w:lvlText w:val="%2)"/>
      <w:lvlJc w:val="left"/>
      <w:pPr>
        <w:ind w:left="1551" w:hanging="420"/>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3">
    <w:nsid w:val="60B2E7BB"/>
    <w:multiLevelType w:val="singleLevel"/>
    <w:tmpl w:val="60B2E7BB"/>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DQxZjMzZmM4ZTNlMzY1MjFlOTJkNDA3ZTFmN2EifQ=="/>
  </w:docVars>
  <w:rsids>
    <w:rsidRoot w:val="66A6039B"/>
    <w:rsid w:val="000F17CC"/>
    <w:rsid w:val="00632F95"/>
    <w:rsid w:val="00BA5299"/>
    <w:rsid w:val="00FA762E"/>
    <w:rsid w:val="02445F83"/>
    <w:rsid w:val="025F4662"/>
    <w:rsid w:val="02836333"/>
    <w:rsid w:val="028C2065"/>
    <w:rsid w:val="030A0E5C"/>
    <w:rsid w:val="031C102B"/>
    <w:rsid w:val="0328714A"/>
    <w:rsid w:val="0399281C"/>
    <w:rsid w:val="03C50E3C"/>
    <w:rsid w:val="043A1F42"/>
    <w:rsid w:val="049B3774"/>
    <w:rsid w:val="04A0368E"/>
    <w:rsid w:val="04CE5ACF"/>
    <w:rsid w:val="051E02DA"/>
    <w:rsid w:val="05EA0EFD"/>
    <w:rsid w:val="0791135E"/>
    <w:rsid w:val="08B576D2"/>
    <w:rsid w:val="08C232D1"/>
    <w:rsid w:val="090501C8"/>
    <w:rsid w:val="094A5252"/>
    <w:rsid w:val="095F763D"/>
    <w:rsid w:val="0992251A"/>
    <w:rsid w:val="09C83B96"/>
    <w:rsid w:val="0A2D54AE"/>
    <w:rsid w:val="0A4342C7"/>
    <w:rsid w:val="0B8C5C89"/>
    <w:rsid w:val="0B8E6908"/>
    <w:rsid w:val="0BFC2F22"/>
    <w:rsid w:val="0C1B5C6F"/>
    <w:rsid w:val="0C7C1CB9"/>
    <w:rsid w:val="0D542CEA"/>
    <w:rsid w:val="0F880FEA"/>
    <w:rsid w:val="0FB3423F"/>
    <w:rsid w:val="10841A4A"/>
    <w:rsid w:val="10FB7185"/>
    <w:rsid w:val="11240AD7"/>
    <w:rsid w:val="11765FEA"/>
    <w:rsid w:val="1181633F"/>
    <w:rsid w:val="12BE76D1"/>
    <w:rsid w:val="12F511A7"/>
    <w:rsid w:val="13314495"/>
    <w:rsid w:val="13B9222A"/>
    <w:rsid w:val="140B63F8"/>
    <w:rsid w:val="14C333C2"/>
    <w:rsid w:val="14E87AD6"/>
    <w:rsid w:val="1503389A"/>
    <w:rsid w:val="167F0F82"/>
    <w:rsid w:val="16C44F84"/>
    <w:rsid w:val="16E71CED"/>
    <w:rsid w:val="1715739A"/>
    <w:rsid w:val="17C25FFF"/>
    <w:rsid w:val="19D667DA"/>
    <w:rsid w:val="1A367BB6"/>
    <w:rsid w:val="1A4E6568"/>
    <w:rsid w:val="1ABD27ED"/>
    <w:rsid w:val="1B3F1EAC"/>
    <w:rsid w:val="1CA8559E"/>
    <w:rsid w:val="1CE22B37"/>
    <w:rsid w:val="1DDC0E05"/>
    <w:rsid w:val="1E0E60C8"/>
    <w:rsid w:val="1EC61EA9"/>
    <w:rsid w:val="1FD25634"/>
    <w:rsid w:val="20A30FF2"/>
    <w:rsid w:val="21020436"/>
    <w:rsid w:val="21410277"/>
    <w:rsid w:val="22723DE8"/>
    <w:rsid w:val="22904FEA"/>
    <w:rsid w:val="22DC0A1F"/>
    <w:rsid w:val="23F2094A"/>
    <w:rsid w:val="23F549CE"/>
    <w:rsid w:val="25783AA2"/>
    <w:rsid w:val="25960E0A"/>
    <w:rsid w:val="27291A06"/>
    <w:rsid w:val="27DF73D0"/>
    <w:rsid w:val="293E0BC6"/>
    <w:rsid w:val="298C67CA"/>
    <w:rsid w:val="2ACC0950"/>
    <w:rsid w:val="2B0D3E82"/>
    <w:rsid w:val="2CA14A1C"/>
    <w:rsid w:val="2CF950D6"/>
    <w:rsid w:val="2D982C35"/>
    <w:rsid w:val="2DD53C24"/>
    <w:rsid w:val="2E8B77F8"/>
    <w:rsid w:val="2EB47CCA"/>
    <w:rsid w:val="2EC35571"/>
    <w:rsid w:val="2EFF12A0"/>
    <w:rsid w:val="2F5F1F54"/>
    <w:rsid w:val="30C8258C"/>
    <w:rsid w:val="31BF1674"/>
    <w:rsid w:val="35831E78"/>
    <w:rsid w:val="359E4FD6"/>
    <w:rsid w:val="365051CD"/>
    <w:rsid w:val="370A7D4B"/>
    <w:rsid w:val="374B4BD9"/>
    <w:rsid w:val="38A00F55"/>
    <w:rsid w:val="38A6179C"/>
    <w:rsid w:val="38F30F7F"/>
    <w:rsid w:val="39010EFA"/>
    <w:rsid w:val="3BB21EA5"/>
    <w:rsid w:val="3BF51538"/>
    <w:rsid w:val="3CB30D14"/>
    <w:rsid w:val="3D6A22A2"/>
    <w:rsid w:val="3F412AD4"/>
    <w:rsid w:val="3F9D456A"/>
    <w:rsid w:val="40DB33A1"/>
    <w:rsid w:val="425E2DCE"/>
    <w:rsid w:val="42CE578A"/>
    <w:rsid w:val="434F5A51"/>
    <w:rsid w:val="43CA545D"/>
    <w:rsid w:val="45561886"/>
    <w:rsid w:val="45B82E65"/>
    <w:rsid w:val="45E508CF"/>
    <w:rsid w:val="466B0126"/>
    <w:rsid w:val="474B6557"/>
    <w:rsid w:val="477B0EA2"/>
    <w:rsid w:val="482F7BFF"/>
    <w:rsid w:val="487979B8"/>
    <w:rsid w:val="4A842484"/>
    <w:rsid w:val="4B8D38F0"/>
    <w:rsid w:val="4C661230"/>
    <w:rsid w:val="4D98028C"/>
    <w:rsid w:val="4DB94955"/>
    <w:rsid w:val="4DCD168A"/>
    <w:rsid w:val="4E950E53"/>
    <w:rsid w:val="4EE71EA3"/>
    <w:rsid w:val="4F5A374D"/>
    <w:rsid w:val="50621237"/>
    <w:rsid w:val="50D70E34"/>
    <w:rsid w:val="522E3B7B"/>
    <w:rsid w:val="52F97788"/>
    <w:rsid w:val="53A960F5"/>
    <w:rsid w:val="54016AA9"/>
    <w:rsid w:val="5455279C"/>
    <w:rsid w:val="55142657"/>
    <w:rsid w:val="569C2C74"/>
    <w:rsid w:val="56B6339E"/>
    <w:rsid w:val="58111688"/>
    <w:rsid w:val="5870229A"/>
    <w:rsid w:val="5949095E"/>
    <w:rsid w:val="59B368E2"/>
    <w:rsid w:val="59D811AC"/>
    <w:rsid w:val="5A850AC5"/>
    <w:rsid w:val="5A8D7133"/>
    <w:rsid w:val="5AC97CB7"/>
    <w:rsid w:val="5D3A2E77"/>
    <w:rsid w:val="5D9067A9"/>
    <w:rsid w:val="60C21D5E"/>
    <w:rsid w:val="62150714"/>
    <w:rsid w:val="630D5296"/>
    <w:rsid w:val="634E31D8"/>
    <w:rsid w:val="63A147E3"/>
    <w:rsid w:val="6425372B"/>
    <w:rsid w:val="64A744DA"/>
    <w:rsid w:val="65CD0625"/>
    <w:rsid w:val="65D13934"/>
    <w:rsid w:val="666A0DC8"/>
    <w:rsid w:val="66801701"/>
    <w:rsid w:val="669E5263"/>
    <w:rsid w:val="66A6039B"/>
    <w:rsid w:val="66DC57F7"/>
    <w:rsid w:val="68810ABC"/>
    <w:rsid w:val="690D5FA9"/>
    <w:rsid w:val="6A292C20"/>
    <w:rsid w:val="6AF61974"/>
    <w:rsid w:val="6B00585A"/>
    <w:rsid w:val="6B026C91"/>
    <w:rsid w:val="6BD96B5C"/>
    <w:rsid w:val="6CF34C5A"/>
    <w:rsid w:val="6D4C1FCA"/>
    <w:rsid w:val="6EBC1C2F"/>
    <w:rsid w:val="6ED34F4F"/>
    <w:rsid w:val="6EF72978"/>
    <w:rsid w:val="6F2337BF"/>
    <w:rsid w:val="6F5A4806"/>
    <w:rsid w:val="6F9B7998"/>
    <w:rsid w:val="6FE67789"/>
    <w:rsid w:val="70C42176"/>
    <w:rsid w:val="71867FE1"/>
    <w:rsid w:val="724755D0"/>
    <w:rsid w:val="734343DB"/>
    <w:rsid w:val="7351772F"/>
    <w:rsid w:val="73734595"/>
    <w:rsid w:val="73912694"/>
    <w:rsid w:val="745720C8"/>
    <w:rsid w:val="75AF3742"/>
    <w:rsid w:val="783455B1"/>
    <w:rsid w:val="786F3C2C"/>
    <w:rsid w:val="78A26007"/>
    <w:rsid w:val="7C025299"/>
    <w:rsid w:val="7C812849"/>
    <w:rsid w:val="7DB02351"/>
    <w:rsid w:val="7DF92753"/>
    <w:rsid w:val="7E2A0950"/>
    <w:rsid w:val="7E8602F5"/>
    <w:rsid w:val="7F3F6048"/>
    <w:rsid w:val="7FBE7A03"/>
    <w:rsid w:val="7FED6E80"/>
    <w:rsid w:val="7FF50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5"/>
    <w:basedOn w:val="1"/>
    <w:next w:val="4"/>
    <w:qFormat/>
    <w:uiPriority w:val="9"/>
    <w:pPr>
      <w:keepNext/>
      <w:keepLines/>
      <w:spacing w:before="280" w:after="290" w:line="376" w:lineRule="auto"/>
      <w:outlineLvl w:val="4"/>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List Number"/>
    <w:basedOn w:val="1"/>
    <w:qFormat/>
    <w:uiPriority w:val="0"/>
    <w:pPr>
      <w:numPr>
        <w:ilvl w:val="0"/>
        <w:numId w:val="1"/>
      </w:numPr>
    </w:pPr>
  </w:style>
  <w:style w:type="paragraph" w:styleId="6">
    <w:name w:val="annotation text"/>
    <w:basedOn w:val="1"/>
    <w:qFormat/>
    <w:uiPriority w:val="0"/>
    <w:pPr>
      <w:jc w:val="left"/>
    </w:pPr>
  </w:style>
  <w:style w:type="paragraph" w:styleId="7">
    <w:name w:val="Body Text 3"/>
    <w:basedOn w:val="1"/>
    <w:unhideWhenUsed/>
    <w:qFormat/>
    <w:uiPriority w:val="99"/>
    <w:pPr>
      <w:spacing w:after="120"/>
    </w:pPr>
    <w:rPr>
      <w:sz w:val="16"/>
      <w:szCs w:val="16"/>
    </w:rPr>
  </w:style>
  <w:style w:type="paragraph" w:styleId="8">
    <w:name w:val="Body Text"/>
    <w:basedOn w:val="1"/>
    <w:next w:val="9"/>
    <w:qFormat/>
    <w:uiPriority w:val="0"/>
    <w:pPr>
      <w:jc w:val="center"/>
    </w:pPr>
  </w:style>
  <w:style w:type="paragraph" w:styleId="9">
    <w:name w:val="Body Text First Indent"/>
    <w:basedOn w:val="8"/>
    <w:qFormat/>
    <w:uiPriority w:val="0"/>
    <w:pPr>
      <w:ind w:firstLine="420" w:firstLineChars="100"/>
    </w:pPr>
    <w:rPr>
      <w:rFonts w:ascii="Times New Roman" w:hAnsi="Times New Roman" w:eastAsia="宋体"/>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qFormat/>
    <w:uiPriority w:val="0"/>
    <w:rPr>
      <w:rFonts w:ascii="宋体" w:hAnsi="Courier New"/>
      <w:szCs w:val="20"/>
    </w:rPr>
  </w:style>
  <w:style w:type="paragraph" w:styleId="13">
    <w:name w:val="footer"/>
    <w:basedOn w:val="1"/>
    <w:next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5">
    <w:name w:val="toc 1"/>
    <w:basedOn w:val="1"/>
    <w:next w:val="1"/>
    <w:unhideWhenUsed/>
    <w:qFormat/>
    <w:uiPriority w:val="39"/>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next w:val="1"/>
    <w:unhideWhenUsed/>
    <w:qFormat/>
    <w:uiPriority w:val="99"/>
    <w:pPr>
      <w:tabs>
        <w:tab w:val="left" w:pos="0"/>
      </w:tabs>
      <w:spacing w:after="120"/>
      <w:ind w:left="420" w:leftChars="200" w:firstLine="420" w:firstLineChars="200"/>
    </w:pPr>
    <w:rPr>
      <w:spacing w:val="-4"/>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styleId="25">
    <w:name w:val="List Paragraph"/>
    <w:basedOn w:val="1"/>
    <w:qFormat/>
    <w:uiPriority w:val="34"/>
    <w:pPr>
      <w:ind w:firstLine="420" w:firstLineChars="200"/>
    </w:p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列出段落1"/>
    <w:basedOn w:val="1"/>
    <w:qFormat/>
    <w:uiPriority w:val="34"/>
    <w:pPr>
      <w:ind w:firstLine="420" w:firstLineChars="200"/>
    </w:p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表格文字"/>
    <w:basedOn w:val="1"/>
    <w:qFormat/>
    <w:uiPriority w:val="99"/>
    <w:pPr>
      <w:spacing w:before="25" w:after="25"/>
      <w:ind w:firstLine="315" w:firstLineChars="150"/>
      <w:jc w:val="left"/>
    </w:pPr>
    <w:rPr>
      <w:bCs/>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14533</Words>
  <Characters>15790</Characters>
  <Lines>0</Lines>
  <Paragraphs>0</Paragraphs>
  <TotalTime>8</TotalTime>
  <ScaleCrop>false</ScaleCrop>
  <LinksUpToDate>false</LinksUpToDate>
  <CharactersWithSpaces>15941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2021-06-23T08:58:00Z</dcterms:created>
  <dc:creator>NTKO</dc:creator>
  <cp:lastModifiedBy>谁说妙不可言</cp:lastModifiedBy>
  <cp:lastPrinted>2025-01-14T08:27:00Z</cp:lastPrinted>
  <dcterms:modified xsi:type="dcterms:W3CDTF">2025-01-15T09:51:40Z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FD88C45F42AC42F4A2ECF9F87837D32E</vt:lpwstr>
  </property>
  <property fmtid="{D5CDD505-2E9C-101B-9397-08002B2CF9AE}" pid="4" name="KSOTemplateDocerSaveRecord">
    <vt:lpwstr>eyJoZGlkIjoiOTM2ZTEyYjA2MGI4NGZiYzNlZWY3NzgyYjM2NTM0NDUiLCJ1c2VySWQiOiIyMzQ1NTc2ODYifQ==</vt:lpwstr>
  </property>
</Properties>
</file>