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42921">
      <w:pPr>
        <w:spacing w:line="276" w:lineRule="auto"/>
        <w:jc w:val="distribute"/>
        <w:rPr>
          <w:b/>
          <w:bCs/>
          <w:color w:val="auto"/>
          <w:sz w:val="52"/>
          <w:highlight w:val="none"/>
        </w:rPr>
      </w:pPr>
    </w:p>
    <w:p w14:paraId="0851F033">
      <w:pPr>
        <w:jc w:val="center"/>
        <w:rPr>
          <w:b/>
          <w:bCs/>
          <w:color w:val="auto"/>
          <w:sz w:val="72"/>
          <w:szCs w:val="72"/>
          <w:highlight w:val="none"/>
          <w14:shadow w14:blurRad="50800" w14:dist="38100" w14:dir="2700000" w14:sx="100000" w14:sy="100000" w14:kx="0" w14:ky="0" w14:algn="tl">
            <w14:srgbClr w14:val="000000">
              <w14:alpha w14:val="60000"/>
            </w14:srgbClr>
          </w14:shadow>
        </w:rPr>
      </w:pPr>
      <w:r>
        <w:rPr>
          <w:rFonts w:hint="eastAsia"/>
          <w:b/>
          <w:bCs/>
          <w:color w:val="auto"/>
          <w:sz w:val="72"/>
          <w:szCs w:val="72"/>
          <w:highlight w:val="none"/>
          <w:lang w:eastAsia="zh-CN"/>
          <w14:shadow w14:blurRad="50800" w14:dist="38100" w14:dir="2700000" w14:sx="100000" w14:sy="100000" w14:kx="0" w14:ky="0" w14:algn="tl">
            <w14:srgbClr w14:val="000000">
              <w14:alpha w14:val="60000"/>
            </w14:srgbClr>
          </w14:shadow>
        </w:rPr>
        <w:t>广西创佳项目管理有限公司</w:t>
      </w:r>
    </w:p>
    <w:p w14:paraId="78BB8FE1">
      <w:pPr>
        <w:pStyle w:val="12"/>
        <w:rPr>
          <w:rFonts w:ascii="Times New Roman"/>
          <w:color w:val="auto"/>
          <w:sz w:val="20"/>
          <w:highlight w:val="none"/>
          <w:u w:val="single"/>
        </w:rPr>
      </w:pPr>
    </w:p>
    <w:p w14:paraId="79D88E67">
      <w:pPr>
        <w:pStyle w:val="12"/>
        <w:rPr>
          <w:rFonts w:ascii="Times New Roman"/>
          <w:color w:val="auto"/>
          <w:sz w:val="20"/>
          <w:highlight w:val="none"/>
          <w:u w:val="single"/>
        </w:rPr>
      </w:pPr>
    </w:p>
    <w:p w14:paraId="611885D1">
      <w:pPr>
        <w:pStyle w:val="12"/>
        <w:rPr>
          <w:rFonts w:ascii="Times New Roman"/>
          <w:color w:val="auto"/>
          <w:sz w:val="20"/>
          <w:highlight w:val="none"/>
          <w:u w:val="single"/>
        </w:rPr>
      </w:pPr>
    </w:p>
    <w:p w14:paraId="6E2CD0AF">
      <w:pPr>
        <w:pStyle w:val="12"/>
        <w:rPr>
          <w:rFonts w:ascii="Times New Roman"/>
          <w:color w:val="auto"/>
          <w:sz w:val="20"/>
          <w:highlight w:val="none"/>
          <w:u w:val="single"/>
        </w:rPr>
      </w:pPr>
    </w:p>
    <w:p w14:paraId="75DF5131">
      <w:pPr>
        <w:pStyle w:val="12"/>
        <w:spacing w:line="240" w:lineRule="exact"/>
        <w:jc w:val="center"/>
        <w:rPr>
          <w:rFonts w:ascii="Times New Roman"/>
          <w:color w:val="auto"/>
          <w:sz w:val="100"/>
          <w:szCs w:val="100"/>
          <w:highlight w:val="none"/>
        </w:rPr>
      </w:pPr>
    </w:p>
    <w:p w14:paraId="6CC352DF">
      <w:pPr>
        <w:pStyle w:val="12"/>
        <w:jc w:val="center"/>
        <w:rPr>
          <w:rFonts w:ascii="Times New Roman"/>
          <w:b/>
          <w:bCs/>
          <w:color w:val="auto"/>
          <w:sz w:val="80"/>
          <w:szCs w:val="80"/>
          <w:highlight w:val="none"/>
        </w:rPr>
      </w:pPr>
      <w:r>
        <w:rPr>
          <w:rFonts w:ascii="Times New Roman"/>
          <w:b/>
          <w:bCs/>
          <w:color w:val="auto"/>
          <w:sz w:val="80"/>
          <w:szCs w:val="80"/>
          <w:highlight w:val="none"/>
        </w:rPr>
        <w:t>竞争性磋商文件</w:t>
      </w:r>
    </w:p>
    <w:p w14:paraId="68B1643A">
      <w:pPr>
        <w:jc w:val="center"/>
        <w:rPr>
          <w:color w:val="auto"/>
          <w:sz w:val="24"/>
          <w:szCs w:val="32"/>
          <w:highlight w:val="none"/>
        </w:rPr>
      </w:pPr>
      <w:r>
        <w:rPr>
          <w:rFonts w:hint="eastAsia"/>
          <w:color w:val="auto"/>
          <w:sz w:val="24"/>
          <w:szCs w:val="32"/>
          <w:highlight w:val="none"/>
        </w:rPr>
        <w:t>（全流程电子化评标）</w:t>
      </w:r>
    </w:p>
    <w:p w14:paraId="726E6DB8">
      <w:pPr>
        <w:rPr>
          <w:color w:val="auto"/>
          <w:sz w:val="32"/>
          <w:highlight w:val="none"/>
        </w:rPr>
      </w:pPr>
    </w:p>
    <w:p w14:paraId="599DAEC6">
      <w:pPr>
        <w:spacing w:line="360" w:lineRule="auto"/>
        <w:ind w:left="2239" w:leftChars="760" w:hanging="643" w:hangingChars="200"/>
        <w:rPr>
          <w:b/>
          <w:bCs/>
          <w:color w:val="auto"/>
          <w:sz w:val="32"/>
          <w:highlight w:val="none"/>
        </w:rPr>
      </w:pPr>
    </w:p>
    <w:p w14:paraId="4D063831">
      <w:pPr>
        <w:pStyle w:val="12"/>
        <w:spacing w:line="600" w:lineRule="exact"/>
        <w:ind w:right="-260" w:rightChars="-124" w:firstLine="964" w:firstLineChars="300"/>
        <w:rPr>
          <w:rFonts w:hint="eastAsia"/>
          <w:b/>
          <w:bCs/>
          <w:color w:val="auto"/>
          <w:sz w:val="32"/>
          <w:highlight w:val="none"/>
        </w:rPr>
      </w:pPr>
      <w:r>
        <w:rPr>
          <w:b/>
          <w:bCs/>
          <w:color w:val="auto"/>
          <w:sz w:val="32"/>
          <w:highlight w:val="none"/>
        </w:rPr>
        <w:t>项目名称：</w:t>
      </w:r>
      <w:r>
        <w:rPr>
          <w:rFonts w:hint="eastAsia"/>
          <w:b/>
          <w:bCs/>
          <w:color w:val="auto"/>
          <w:sz w:val="32"/>
          <w:highlight w:val="none"/>
        </w:rPr>
        <w:t>桂平市太平天国金田起义地址景区物业管理服务</w:t>
      </w:r>
    </w:p>
    <w:p w14:paraId="3684292B">
      <w:pPr>
        <w:pStyle w:val="12"/>
        <w:spacing w:line="600" w:lineRule="exact"/>
        <w:ind w:right="-260" w:rightChars="-124" w:firstLine="964" w:firstLineChars="300"/>
        <w:rPr>
          <w:rFonts w:ascii="Times New Roman"/>
          <w:color w:val="auto"/>
          <w:sz w:val="32"/>
          <w:szCs w:val="32"/>
          <w:highlight w:val="none"/>
        </w:rPr>
      </w:pPr>
      <w:r>
        <w:rPr>
          <w:b/>
          <w:bCs/>
          <w:color w:val="auto"/>
          <w:sz w:val="32"/>
          <w:szCs w:val="32"/>
          <w:highlight w:val="none"/>
        </w:rPr>
        <w:t>项目编号：</w:t>
      </w:r>
      <w:r>
        <w:rPr>
          <w:rFonts w:hint="eastAsia"/>
          <w:b/>
          <w:bCs/>
          <w:color w:val="auto"/>
          <w:sz w:val="32"/>
          <w:highlight w:val="none"/>
          <w:lang w:eastAsia="zh-CN"/>
        </w:rPr>
        <w:t>GGZC2025-C3-810067-GXCJ</w:t>
      </w:r>
    </w:p>
    <w:p w14:paraId="145F632B">
      <w:pPr>
        <w:pStyle w:val="12"/>
        <w:spacing w:line="600" w:lineRule="exact"/>
        <w:ind w:right="-260" w:rightChars="-124" w:firstLine="640" w:firstLineChars="200"/>
        <w:rPr>
          <w:rFonts w:ascii="Times New Roman"/>
          <w:color w:val="auto"/>
          <w:sz w:val="32"/>
          <w:szCs w:val="32"/>
          <w:highlight w:val="none"/>
        </w:rPr>
      </w:pPr>
      <w:r>
        <w:rPr>
          <w:rFonts w:ascii="Times New Roman"/>
          <w:color w:val="auto"/>
          <w:sz w:val="32"/>
          <w:szCs w:val="32"/>
          <w:highlight w:val="none"/>
          <w:u w:val="single"/>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32385</wp:posOffset>
                </wp:positionV>
                <wp:extent cx="622935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7.9pt;margin-top:2.55pt;height:0.5pt;width:490.5pt;z-index:251660288;mso-width-relative:page;mso-height-relative:page;" filled="f" stroked="t" coordsize="21600,21600" o:gfxdata="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ywnA30wAAAAYBAAAPAAAAAAAAAAEAIAAAACIAAABkcnMvZG93bnJldi54bWxQSwEC&#10;FAAUAAAACACHTuJA0dar/PkBAAD0AwAADgAAAAAAAAABACAAAAAiAQAAZHJzL2Uyb0RvYy54bWxQ&#10;SwUGAAAAAAYABgBZAQAAjQUAAAAA&#10;">
                <v:fill on="f" focussize="0,0"/>
                <v:stroke weight="2.25pt" color="#000000" joinstyle="round"/>
                <v:imagedata o:title=""/>
                <o:lock v:ext="edit" aspectratio="f"/>
              </v:line>
            </w:pict>
          </mc:Fallback>
        </mc:AlternateContent>
      </w:r>
    </w:p>
    <w:p w14:paraId="275086FD">
      <w:pPr>
        <w:ind w:firstLine="1606" w:firstLineChars="500"/>
        <w:rPr>
          <w:b/>
          <w:bCs/>
          <w:color w:val="auto"/>
          <w:sz w:val="32"/>
          <w:szCs w:val="32"/>
          <w:highlight w:val="none"/>
        </w:rPr>
      </w:pPr>
      <w:r>
        <w:rPr>
          <w:b/>
          <w:bCs/>
          <w:color w:val="auto"/>
          <w:sz w:val="32"/>
          <w:szCs w:val="32"/>
          <w:highlight w:val="none"/>
        </w:rPr>
        <w:t>采 购 单 位：</w:t>
      </w:r>
      <w:r>
        <w:rPr>
          <w:rFonts w:hint="eastAsia"/>
          <w:b/>
          <w:bCs/>
          <w:color w:val="auto"/>
          <w:sz w:val="32"/>
          <w:szCs w:val="32"/>
          <w:highlight w:val="none"/>
          <w:lang w:eastAsia="zh-CN"/>
        </w:rPr>
        <w:t>桂平市文化广电体育和旅游局</w:t>
      </w:r>
      <w:r>
        <w:rPr>
          <w:b/>
          <w:bCs/>
          <w:color w:val="auto"/>
          <w:sz w:val="32"/>
          <w:szCs w:val="32"/>
          <w:highlight w:val="none"/>
        </w:rPr>
        <w:t xml:space="preserve"> </w:t>
      </w:r>
    </w:p>
    <w:p w14:paraId="2D1F93C1">
      <w:pPr>
        <w:ind w:firstLine="1606" w:firstLineChars="500"/>
        <w:rPr>
          <w:b/>
          <w:bCs/>
          <w:color w:val="auto"/>
          <w:sz w:val="32"/>
          <w:szCs w:val="32"/>
          <w:highlight w:val="none"/>
        </w:rPr>
      </w:pPr>
      <w:r>
        <w:rPr>
          <w:b/>
          <w:bCs/>
          <w:color w:val="auto"/>
          <w:sz w:val="32"/>
          <w:szCs w:val="32"/>
          <w:highlight w:val="none"/>
        </w:rPr>
        <w:t>采购代理机构：</w:t>
      </w:r>
      <w:r>
        <w:rPr>
          <w:rFonts w:hint="eastAsia"/>
          <w:b/>
          <w:bCs/>
          <w:color w:val="auto"/>
          <w:sz w:val="32"/>
          <w:szCs w:val="32"/>
          <w:highlight w:val="none"/>
          <w:lang w:eastAsia="zh-CN"/>
        </w:rPr>
        <w:t>广西创佳项目管理有限公司</w:t>
      </w:r>
    </w:p>
    <w:p w14:paraId="1D140831">
      <w:pPr>
        <w:pStyle w:val="35"/>
        <w:rPr>
          <w:b/>
          <w:color w:val="auto"/>
          <w:highlight w:val="none"/>
        </w:rPr>
      </w:pPr>
    </w:p>
    <w:p w14:paraId="4466A235">
      <w:pPr>
        <w:pStyle w:val="16"/>
        <w:snapToGrid w:val="0"/>
        <w:spacing w:line="360" w:lineRule="auto"/>
        <w:jc w:val="center"/>
        <w:rPr>
          <w:rFonts w:ascii="Times New Roman" w:hAnsi="Times New Roman"/>
          <w:b/>
          <w:bCs/>
          <w:color w:val="auto"/>
          <w:sz w:val="32"/>
          <w:szCs w:val="32"/>
          <w:highlight w:val="none"/>
        </w:rPr>
      </w:pPr>
      <w:r>
        <w:rPr>
          <w:rFonts w:hint="eastAsia" w:ascii="Times New Roman" w:hAnsi="Times New Roman"/>
          <w:b/>
          <w:bCs/>
          <w:color w:val="auto"/>
          <w:sz w:val="32"/>
          <w:szCs w:val="32"/>
          <w:highlight w:val="none"/>
          <w:lang w:eastAsia="zh-CN"/>
        </w:rPr>
        <w:t>2025</w:t>
      </w:r>
      <w:r>
        <w:rPr>
          <w:rFonts w:ascii="Times New Roman" w:hAnsi="Times New Roman"/>
          <w:b/>
          <w:bCs/>
          <w:color w:val="auto"/>
          <w:sz w:val="32"/>
          <w:szCs w:val="32"/>
          <w:highlight w:val="none"/>
        </w:rPr>
        <w:t>年</w:t>
      </w:r>
      <w:r>
        <w:rPr>
          <w:rFonts w:hint="eastAsia" w:ascii="Times New Roman" w:hAnsi="Times New Roman"/>
          <w:b/>
          <w:bCs/>
          <w:color w:val="auto"/>
          <w:sz w:val="32"/>
          <w:szCs w:val="32"/>
          <w:highlight w:val="none"/>
          <w:lang w:val="en-US" w:eastAsia="zh-CN"/>
        </w:rPr>
        <w:t xml:space="preserve"> 4 </w:t>
      </w:r>
      <w:r>
        <w:rPr>
          <w:rFonts w:ascii="Times New Roman" w:hAnsi="Times New Roman"/>
          <w:b/>
          <w:bCs/>
          <w:color w:val="auto"/>
          <w:sz w:val="32"/>
          <w:szCs w:val="32"/>
          <w:highlight w:val="none"/>
        </w:rPr>
        <w:t>月</w:t>
      </w:r>
    </w:p>
    <w:p w14:paraId="3C15AA52">
      <w:pPr>
        <w:pStyle w:val="16"/>
        <w:snapToGrid w:val="0"/>
        <w:spacing w:line="360" w:lineRule="auto"/>
        <w:rPr>
          <w:rFonts w:ascii="Times New Roman" w:hAnsi="Times New Roman"/>
          <w:color w:val="auto"/>
          <w:sz w:val="44"/>
          <w:highlight w:val="none"/>
        </w:rPr>
      </w:pPr>
    </w:p>
    <w:p w14:paraId="6C15221B">
      <w:pPr>
        <w:pStyle w:val="16"/>
        <w:snapToGrid w:val="0"/>
        <w:spacing w:line="360" w:lineRule="auto"/>
        <w:ind w:firstLine="3960" w:firstLineChars="900"/>
        <w:rPr>
          <w:rFonts w:ascii="Times New Roman" w:hAnsi="Times New Roman"/>
          <w:color w:val="auto"/>
          <w:sz w:val="44"/>
          <w:highlight w:val="none"/>
        </w:rPr>
        <w:sectPr>
          <w:headerReference r:id="rId4" w:type="first"/>
          <w:headerReference r:id="rId3" w:type="default"/>
          <w:pgSz w:w="11906" w:h="16838"/>
          <w:pgMar w:top="1134" w:right="851" w:bottom="1134" w:left="1134" w:header="851" w:footer="992" w:gutter="0"/>
          <w:pgNumType w:fmt="decimal"/>
          <w:cols w:space="720" w:num="1"/>
          <w:titlePg/>
          <w:docGrid w:type="lines" w:linePitch="312" w:charSpace="0"/>
        </w:sectPr>
      </w:pPr>
    </w:p>
    <w:p w14:paraId="5648BF47">
      <w:pPr>
        <w:pStyle w:val="16"/>
        <w:snapToGrid w:val="0"/>
        <w:spacing w:line="360" w:lineRule="auto"/>
        <w:ind w:firstLine="3960" w:firstLineChars="900"/>
        <w:rPr>
          <w:rFonts w:ascii="Times New Roman" w:hAnsi="Times New Roman"/>
          <w:color w:val="auto"/>
          <w:sz w:val="44"/>
          <w:highlight w:val="none"/>
        </w:rPr>
      </w:pPr>
    </w:p>
    <w:p w14:paraId="3860A8DD">
      <w:pPr>
        <w:pStyle w:val="16"/>
        <w:snapToGrid w:val="0"/>
        <w:spacing w:line="360" w:lineRule="auto"/>
        <w:ind w:firstLine="3960" w:firstLineChars="900"/>
        <w:rPr>
          <w:rFonts w:ascii="Times New Roman" w:hAnsi="Times New Roman"/>
          <w:color w:val="auto"/>
          <w:sz w:val="44"/>
          <w:highlight w:val="none"/>
        </w:rPr>
      </w:pPr>
      <w:r>
        <w:rPr>
          <w:rFonts w:ascii="Times New Roman" w:hAnsi="Times New Roman"/>
          <w:color w:val="auto"/>
          <w:sz w:val="44"/>
          <w:highlight w:val="none"/>
        </w:rPr>
        <w:t>目  录</w:t>
      </w:r>
    </w:p>
    <w:p w14:paraId="02ECAC0C">
      <w:pPr>
        <w:pStyle w:val="2"/>
        <w:tabs>
          <w:tab w:val="right" w:leader="dot" w:pos="9355"/>
        </w:tabs>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_Toc5254 </w:instrText>
      </w:r>
      <w:r>
        <w:rPr>
          <w:rFonts w:hint="eastAsia" w:ascii="宋体" w:hAnsi="宋体" w:cs="宋体"/>
          <w:szCs w:val="28"/>
          <w:highlight w:val="none"/>
        </w:rPr>
        <w:fldChar w:fldCharType="separate"/>
      </w:r>
      <w:r>
        <w:rPr>
          <w:highlight w:val="none"/>
        </w:rPr>
        <w:t>第一章 竞争性磋商公告</w:t>
      </w:r>
      <w:r>
        <w:tab/>
      </w:r>
      <w:r>
        <w:fldChar w:fldCharType="begin"/>
      </w:r>
      <w:r>
        <w:instrText xml:space="preserve"> PAGEREF _Toc5254 \h </w:instrText>
      </w:r>
      <w:r>
        <w:fldChar w:fldCharType="separate"/>
      </w:r>
      <w:r>
        <w:t>2</w:t>
      </w:r>
      <w:r>
        <w:fldChar w:fldCharType="end"/>
      </w:r>
      <w:r>
        <w:rPr>
          <w:rFonts w:hint="eastAsia" w:ascii="宋体" w:hAnsi="宋体" w:cs="宋体"/>
          <w:color w:val="auto"/>
          <w:szCs w:val="28"/>
          <w:highlight w:val="none"/>
        </w:rPr>
        <w:fldChar w:fldCharType="end"/>
      </w:r>
    </w:p>
    <w:p w14:paraId="750A45BB">
      <w:pPr>
        <w:pStyle w:val="2"/>
        <w:tabs>
          <w:tab w:val="right" w:leader="dot" w:pos="9355"/>
        </w:tabs>
      </w:pP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_Toc24751 </w:instrText>
      </w:r>
      <w:r>
        <w:rPr>
          <w:rFonts w:hint="eastAsia" w:ascii="宋体" w:hAnsi="宋体" w:cs="宋体"/>
          <w:szCs w:val="28"/>
          <w:highlight w:val="none"/>
        </w:rPr>
        <w:fldChar w:fldCharType="separate"/>
      </w:r>
      <w:r>
        <w:rPr>
          <w:rFonts w:hint="eastAsia"/>
        </w:rPr>
        <w:t xml:space="preserve">第三章 </w:t>
      </w:r>
      <w:r>
        <w:rPr>
          <w:highlight w:val="none"/>
        </w:rPr>
        <w:t>项目采购需求</w:t>
      </w:r>
      <w:r>
        <w:tab/>
      </w:r>
      <w:r>
        <w:fldChar w:fldCharType="begin"/>
      </w:r>
      <w:r>
        <w:instrText xml:space="preserve"> PAGEREF _Toc24751 \h </w:instrText>
      </w:r>
      <w:r>
        <w:fldChar w:fldCharType="separate"/>
      </w:r>
      <w:r>
        <w:t>25</w:t>
      </w:r>
      <w:r>
        <w:fldChar w:fldCharType="end"/>
      </w:r>
      <w:r>
        <w:rPr>
          <w:rFonts w:hint="eastAsia" w:ascii="宋体" w:hAnsi="宋体" w:cs="宋体"/>
          <w:color w:val="auto"/>
          <w:szCs w:val="28"/>
          <w:highlight w:val="none"/>
        </w:rPr>
        <w:fldChar w:fldCharType="end"/>
      </w:r>
    </w:p>
    <w:p w14:paraId="325CB417">
      <w:pPr>
        <w:pStyle w:val="2"/>
        <w:tabs>
          <w:tab w:val="right" w:leader="dot" w:pos="9355"/>
        </w:tabs>
      </w:pP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_Toc32073 </w:instrText>
      </w:r>
      <w:r>
        <w:rPr>
          <w:rFonts w:hint="eastAsia" w:ascii="宋体" w:hAnsi="宋体" w:cs="宋体"/>
          <w:szCs w:val="28"/>
          <w:highlight w:val="none"/>
        </w:rPr>
        <w:fldChar w:fldCharType="separate"/>
      </w:r>
      <w:r>
        <w:rPr>
          <w:highlight w:val="none"/>
        </w:rPr>
        <w:t>第四章  竞争性磋商响应文件格式</w:t>
      </w:r>
      <w:r>
        <w:tab/>
      </w:r>
      <w:r>
        <w:fldChar w:fldCharType="begin"/>
      </w:r>
      <w:r>
        <w:instrText xml:space="preserve"> PAGEREF _Toc32073 \h </w:instrText>
      </w:r>
      <w:r>
        <w:fldChar w:fldCharType="separate"/>
      </w:r>
      <w:r>
        <w:t>38</w:t>
      </w:r>
      <w:r>
        <w:fldChar w:fldCharType="end"/>
      </w:r>
      <w:r>
        <w:rPr>
          <w:rFonts w:hint="eastAsia" w:ascii="宋体" w:hAnsi="宋体" w:cs="宋体"/>
          <w:color w:val="auto"/>
          <w:szCs w:val="28"/>
          <w:highlight w:val="none"/>
        </w:rPr>
        <w:fldChar w:fldCharType="end"/>
      </w:r>
    </w:p>
    <w:p w14:paraId="52286990">
      <w:pPr>
        <w:pStyle w:val="2"/>
        <w:tabs>
          <w:tab w:val="right" w:leader="dot" w:pos="9355"/>
        </w:tabs>
      </w:pP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_Toc25126 </w:instrText>
      </w:r>
      <w:r>
        <w:rPr>
          <w:rFonts w:hint="eastAsia" w:ascii="宋体" w:hAnsi="宋体" w:cs="宋体"/>
          <w:szCs w:val="28"/>
          <w:highlight w:val="none"/>
        </w:rPr>
        <w:fldChar w:fldCharType="separate"/>
      </w:r>
      <w:r>
        <w:rPr>
          <w:highlight w:val="none"/>
        </w:rPr>
        <w:t>第五章  合同主要条款（格式）</w:t>
      </w:r>
      <w:r>
        <w:tab/>
      </w:r>
      <w:r>
        <w:fldChar w:fldCharType="begin"/>
      </w:r>
      <w:r>
        <w:instrText xml:space="preserve"> PAGEREF _Toc25126 \h </w:instrText>
      </w:r>
      <w:r>
        <w:fldChar w:fldCharType="separate"/>
      </w:r>
      <w:r>
        <w:t>50</w:t>
      </w:r>
      <w:r>
        <w:fldChar w:fldCharType="end"/>
      </w:r>
      <w:r>
        <w:rPr>
          <w:rFonts w:hint="eastAsia" w:ascii="宋体" w:hAnsi="宋体" w:cs="宋体"/>
          <w:color w:val="auto"/>
          <w:szCs w:val="28"/>
          <w:highlight w:val="none"/>
        </w:rPr>
        <w:fldChar w:fldCharType="end"/>
      </w:r>
    </w:p>
    <w:p w14:paraId="0952AEFE">
      <w:pPr>
        <w:pStyle w:val="2"/>
        <w:tabs>
          <w:tab w:val="right" w:leader="dot" w:pos="9355"/>
        </w:tabs>
      </w:pP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_Toc2492 </w:instrText>
      </w:r>
      <w:r>
        <w:rPr>
          <w:rFonts w:hint="eastAsia" w:ascii="宋体" w:hAnsi="宋体" w:cs="宋体"/>
          <w:szCs w:val="28"/>
          <w:highlight w:val="none"/>
        </w:rPr>
        <w:fldChar w:fldCharType="separate"/>
      </w:r>
      <w:r>
        <w:rPr>
          <w:highlight w:val="none"/>
        </w:rPr>
        <w:t>第六章 评标方法</w:t>
      </w:r>
      <w:r>
        <w:tab/>
      </w:r>
      <w:r>
        <w:fldChar w:fldCharType="begin"/>
      </w:r>
      <w:r>
        <w:instrText xml:space="preserve"> PAGEREF _Toc2492 \h </w:instrText>
      </w:r>
      <w:r>
        <w:fldChar w:fldCharType="separate"/>
      </w:r>
      <w:r>
        <w:t>55</w:t>
      </w:r>
      <w:r>
        <w:fldChar w:fldCharType="end"/>
      </w:r>
      <w:r>
        <w:rPr>
          <w:rFonts w:hint="eastAsia" w:ascii="宋体" w:hAnsi="宋体" w:cs="宋体"/>
          <w:color w:val="auto"/>
          <w:szCs w:val="28"/>
          <w:highlight w:val="none"/>
        </w:rPr>
        <w:fldChar w:fldCharType="end"/>
      </w:r>
    </w:p>
    <w:p w14:paraId="3275D87B">
      <w:pPr>
        <w:pStyle w:val="2"/>
        <w:tabs>
          <w:tab w:val="right" w:leader="dot" w:pos="9355"/>
        </w:tabs>
      </w:pPr>
      <w:r>
        <w:rPr>
          <w:rFonts w:hint="eastAsia" w:ascii="宋体" w:hAnsi="宋体" w:cs="宋体"/>
          <w:color w:val="auto"/>
          <w:szCs w:val="28"/>
          <w:highlight w:val="none"/>
        </w:rPr>
        <w:fldChar w:fldCharType="begin"/>
      </w:r>
      <w:r>
        <w:rPr>
          <w:rFonts w:hint="eastAsia" w:ascii="宋体" w:hAnsi="宋体" w:cs="宋体"/>
          <w:szCs w:val="28"/>
          <w:highlight w:val="none"/>
        </w:rPr>
        <w:instrText xml:space="preserve"> HYPERLINK \l _Toc15846 </w:instrText>
      </w:r>
      <w:r>
        <w:rPr>
          <w:rFonts w:hint="eastAsia" w:ascii="宋体" w:hAnsi="宋体" w:cs="宋体"/>
          <w:szCs w:val="28"/>
          <w:highlight w:val="none"/>
        </w:rPr>
        <w:fldChar w:fldCharType="separate"/>
      </w:r>
      <w:r>
        <w:rPr>
          <w:highlight w:val="none"/>
        </w:rPr>
        <w:t>第七章  质疑书及投诉书（格式）</w:t>
      </w:r>
      <w:r>
        <w:tab/>
      </w:r>
      <w:r>
        <w:fldChar w:fldCharType="begin"/>
      </w:r>
      <w:r>
        <w:instrText xml:space="preserve"> PAGEREF _Toc15846 \h </w:instrText>
      </w:r>
      <w:r>
        <w:fldChar w:fldCharType="separate"/>
      </w:r>
      <w:r>
        <w:t>59</w:t>
      </w:r>
      <w:r>
        <w:fldChar w:fldCharType="end"/>
      </w:r>
      <w:r>
        <w:rPr>
          <w:rFonts w:hint="eastAsia" w:ascii="宋体" w:hAnsi="宋体" w:cs="宋体"/>
          <w:color w:val="auto"/>
          <w:szCs w:val="28"/>
          <w:highlight w:val="none"/>
        </w:rPr>
        <w:fldChar w:fldCharType="end"/>
      </w:r>
    </w:p>
    <w:p w14:paraId="02428B91">
      <w:pPr>
        <w:pStyle w:val="2"/>
        <w:tabs>
          <w:tab w:val="right" w:leader="dot" w:pos="9921"/>
        </w:tabs>
        <w:rPr>
          <w:rFonts w:ascii="宋体" w:hAnsi="宋体" w:cs="宋体"/>
          <w:color w:val="auto"/>
          <w:sz w:val="28"/>
          <w:szCs w:val="28"/>
          <w:highlight w:val="none"/>
        </w:rPr>
      </w:pPr>
      <w:r>
        <w:rPr>
          <w:rFonts w:hint="eastAsia" w:ascii="宋体" w:hAnsi="宋体" w:cs="宋体"/>
          <w:color w:val="auto"/>
          <w:szCs w:val="28"/>
          <w:highlight w:val="none"/>
        </w:rPr>
        <w:fldChar w:fldCharType="end"/>
      </w:r>
    </w:p>
    <w:p w14:paraId="21D8E420">
      <w:pPr>
        <w:pStyle w:val="16"/>
        <w:ind w:left="412" w:leftChars="196"/>
        <w:rPr>
          <w:rFonts w:ascii="Times New Roman" w:hAnsi="Times New Roman"/>
          <w:color w:val="auto"/>
          <w:sz w:val="32"/>
          <w:highlight w:val="none"/>
        </w:rPr>
      </w:pPr>
    </w:p>
    <w:p w14:paraId="1722E914">
      <w:pPr>
        <w:pStyle w:val="16"/>
        <w:ind w:left="412" w:leftChars="196"/>
        <w:rPr>
          <w:rFonts w:ascii="Times New Roman" w:hAnsi="Times New Roman"/>
          <w:color w:val="auto"/>
          <w:sz w:val="32"/>
          <w:highlight w:val="none"/>
        </w:rPr>
      </w:pPr>
    </w:p>
    <w:p w14:paraId="5263AAE4">
      <w:pPr>
        <w:tabs>
          <w:tab w:val="center" w:pos="4535"/>
          <w:tab w:val="left" w:pos="6945"/>
        </w:tabs>
        <w:spacing w:line="400" w:lineRule="exact"/>
        <w:jc w:val="left"/>
        <w:rPr>
          <w:color w:val="auto"/>
          <w:sz w:val="36"/>
          <w:szCs w:val="36"/>
          <w:highlight w:val="none"/>
        </w:rPr>
      </w:pPr>
      <w:r>
        <w:rPr>
          <w:color w:val="auto"/>
          <w:sz w:val="36"/>
          <w:szCs w:val="36"/>
          <w:highlight w:val="none"/>
        </w:rPr>
        <w:tab/>
      </w:r>
    </w:p>
    <w:p w14:paraId="11DFE9DC">
      <w:pPr>
        <w:spacing w:before="120" w:beforeLines="50" w:line="360" w:lineRule="auto"/>
        <w:jc w:val="center"/>
        <w:rPr>
          <w:color w:val="auto"/>
          <w:sz w:val="36"/>
          <w:szCs w:val="36"/>
          <w:highlight w:val="none"/>
        </w:rPr>
      </w:pPr>
      <w:r>
        <w:rPr>
          <w:color w:val="auto"/>
          <w:sz w:val="36"/>
          <w:szCs w:val="36"/>
          <w:highlight w:val="none"/>
        </w:rPr>
        <w:br w:type="page"/>
      </w:r>
    </w:p>
    <w:p w14:paraId="7E249868">
      <w:pPr>
        <w:spacing w:before="120" w:beforeLines="50" w:line="360" w:lineRule="auto"/>
        <w:jc w:val="center"/>
        <w:rPr>
          <w:color w:val="auto"/>
          <w:sz w:val="36"/>
          <w:szCs w:val="36"/>
          <w:highlight w:val="none"/>
        </w:rPr>
      </w:pPr>
    </w:p>
    <w:p w14:paraId="2688F0DD">
      <w:pPr>
        <w:spacing w:before="120" w:beforeLines="50" w:line="360" w:lineRule="auto"/>
        <w:jc w:val="center"/>
        <w:rPr>
          <w:color w:val="auto"/>
          <w:sz w:val="36"/>
          <w:szCs w:val="36"/>
          <w:highlight w:val="none"/>
        </w:rPr>
      </w:pPr>
    </w:p>
    <w:p w14:paraId="09606559">
      <w:pPr>
        <w:spacing w:before="120" w:beforeLines="50" w:line="360" w:lineRule="auto"/>
        <w:jc w:val="center"/>
        <w:rPr>
          <w:color w:val="auto"/>
          <w:sz w:val="36"/>
          <w:szCs w:val="36"/>
          <w:highlight w:val="none"/>
        </w:rPr>
      </w:pPr>
    </w:p>
    <w:p w14:paraId="7D191C48">
      <w:pPr>
        <w:spacing w:before="120" w:beforeLines="50" w:line="360" w:lineRule="auto"/>
        <w:jc w:val="center"/>
        <w:rPr>
          <w:color w:val="auto"/>
          <w:sz w:val="36"/>
          <w:szCs w:val="36"/>
          <w:highlight w:val="none"/>
        </w:rPr>
      </w:pPr>
    </w:p>
    <w:p w14:paraId="0E99263E">
      <w:pPr>
        <w:spacing w:before="120" w:beforeLines="50" w:line="360" w:lineRule="auto"/>
        <w:jc w:val="center"/>
        <w:rPr>
          <w:b/>
          <w:bCs/>
          <w:color w:val="auto"/>
          <w:sz w:val="32"/>
          <w:highlight w:val="none"/>
        </w:rPr>
      </w:pPr>
      <w:bookmarkStart w:id="0" w:name="_Toc5254"/>
      <w:r>
        <w:rPr>
          <w:rStyle w:val="36"/>
          <w:color w:val="auto"/>
          <w:highlight w:val="none"/>
        </w:rPr>
        <w:t>第一章 竞争性磋商公告</w:t>
      </w:r>
      <w:bookmarkEnd w:id="0"/>
    </w:p>
    <w:p w14:paraId="46A55FEA">
      <w:pPr>
        <w:spacing w:before="120" w:beforeLines="50" w:line="360" w:lineRule="auto"/>
        <w:jc w:val="center"/>
        <w:rPr>
          <w:rStyle w:val="37"/>
          <w:color w:val="auto"/>
          <w:sz w:val="32"/>
          <w:szCs w:val="32"/>
          <w:highlight w:val="none"/>
        </w:rPr>
      </w:pPr>
    </w:p>
    <w:p w14:paraId="211442BD">
      <w:pPr>
        <w:spacing w:before="120" w:beforeLines="50" w:line="360" w:lineRule="auto"/>
        <w:jc w:val="center"/>
        <w:rPr>
          <w:rStyle w:val="37"/>
          <w:color w:val="auto"/>
          <w:sz w:val="32"/>
          <w:szCs w:val="32"/>
          <w:highlight w:val="none"/>
        </w:rPr>
      </w:pPr>
    </w:p>
    <w:p w14:paraId="53910C9F">
      <w:pPr>
        <w:spacing w:before="120" w:beforeLines="50" w:line="360" w:lineRule="auto"/>
        <w:jc w:val="center"/>
        <w:rPr>
          <w:rStyle w:val="37"/>
          <w:color w:val="auto"/>
          <w:sz w:val="32"/>
          <w:szCs w:val="32"/>
          <w:highlight w:val="none"/>
        </w:rPr>
      </w:pPr>
    </w:p>
    <w:p w14:paraId="34D15906">
      <w:pPr>
        <w:spacing w:before="120" w:beforeLines="50" w:line="360" w:lineRule="auto"/>
        <w:jc w:val="center"/>
        <w:rPr>
          <w:rStyle w:val="37"/>
          <w:color w:val="auto"/>
          <w:sz w:val="32"/>
          <w:szCs w:val="32"/>
          <w:highlight w:val="none"/>
        </w:rPr>
      </w:pPr>
    </w:p>
    <w:p w14:paraId="7F23CD32">
      <w:pPr>
        <w:spacing w:before="120" w:beforeLines="50" w:line="360" w:lineRule="auto"/>
        <w:jc w:val="center"/>
        <w:rPr>
          <w:rStyle w:val="37"/>
          <w:color w:val="auto"/>
          <w:sz w:val="32"/>
          <w:szCs w:val="32"/>
          <w:highlight w:val="none"/>
        </w:rPr>
      </w:pPr>
    </w:p>
    <w:p w14:paraId="1BDA3964">
      <w:pPr>
        <w:spacing w:before="120" w:beforeLines="50" w:line="360" w:lineRule="auto"/>
        <w:jc w:val="center"/>
        <w:rPr>
          <w:rStyle w:val="37"/>
          <w:color w:val="auto"/>
          <w:sz w:val="32"/>
          <w:szCs w:val="32"/>
          <w:highlight w:val="none"/>
        </w:rPr>
      </w:pPr>
    </w:p>
    <w:p w14:paraId="4393FAF3">
      <w:pPr>
        <w:spacing w:before="120" w:beforeLines="50" w:line="360" w:lineRule="auto"/>
        <w:jc w:val="center"/>
        <w:rPr>
          <w:rStyle w:val="37"/>
          <w:color w:val="auto"/>
          <w:sz w:val="32"/>
          <w:szCs w:val="32"/>
          <w:highlight w:val="none"/>
        </w:rPr>
      </w:pPr>
    </w:p>
    <w:p w14:paraId="3D1CAA0E">
      <w:pPr>
        <w:spacing w:before="120" w:beforeLines="50" w:line="360" w:lineRule="auto"/>
        <w:jc w:val="center"/>
        <w:rPr>
          <w:rStyle w:val="37"/>
          <w:color w:val="auto"/>
          <w:sz w:val="32"/>
          <w:szCs w:val="32"/>
          <w:highlight w:val="none"/>
        </w:rPr>
      </w:pPr>
    </w:p>
    <w:p w14:paraId="6A174CD0">
      <w:pPr>
        <w:spacing w:before="120" w:beforeLines="50" w:line="360" w:lineRule="auto"/>
        <w:jc w:val="center"/>
        <w:rPr>
          <w:rStyle w:val="37"/>
          <w:color w:val="auto"/>
          <w:sz w:val="32"/>
          <w:szCs w:val="32"/>
          <w:highlight w:val="none"/>
        </w:rPr>
      </w:pPr>
    </w:p>
    <w:p w14:paraId="4F7C8623">
      <w:pPr>
        <w:spacing w:before="120" w:beforeLines="50" w:line="360" w:lineRule="auto"/>
        <w:jc w:val="center"/>
        <w:rPr>
          <w:rStyle w:val="37"/>
          <w:color w:val="auto"/>
          <w:sz w:val="32"/>
          <w:szCs w:val="32"/>
          <w:highlight w:val="none"/>
        </w:rPr>
      </w:pPr>
    </w:p>
    <w:p w14:paraId="272E30E6">
      <w:pPr>
        <w:spacing w:before="120" w:beforeLines="50" w:line="360" w:lineRule="auto"/>
        <w:jc w:val="center"/>
        <w:rPr>
          <w:rStyle w:val="37"/>
          <w:color w:val="auto"/>
          <w:sz w:val="32"/>
          <w:szCs w:val="32"/>
          <w:highlight w:val="none"/>
        </w:rPr>
      </w:pPr>
    </w:p>
    <w:p w14:paraId="6415BEB5">
      <w:pPr>
        <w:spacing w:before="120" w:beforeLines="50" w:line="360" w:lineRule="auto"/>
        <w:rPr>
          <w:rStyle w:val="37"/>
          <w:color w:val="auto"/>
          <w:sz w:val="32"/>
          <w:szCs w:val="32"/>
          <w:highlight w:val="none"/>
        </w:rPr>
      </w:pPr>
    </w:p>
    <w:p w14:paraId="1EA18C25">
      <w:pPr>
        <w:rPr>
          <w:rStyle w:val="37"/>
          <w:color w:val="auto"/>
          <w:sz w:val="32"/>
          <w:szCs w:val="32"/>
          <w:highlight w:val="none"/>
        </w:rPr>
      </w:pPr>
      <w:r>
        <w:rPr>
          <w:rStyle w:val="37"/>
          <w:rFonts w:hint="eastAsia"/>
          <w:color w:val="auto"/>
          <w:sz w:val="32"/>
          <w:szCs w:val="32"/>
          <w:highlight w:val="none"/>
        </w:rPr>
        <w:br w:type="page"/>
      </w:r>
    </w:p>
    <w:p w14:paraId="17980C18">
      <w:pPr>
        <w:spacing w:before="120" w:beforeLines="50" w:line="360" w:lineRule="auto"/>
        <w:jc w:val="center"/>
        <w:rPr>
          <w:color w:val="auto"/>
          <w:sz w:val="40"/>
          <w:szCs w:val="40"/>
          <w:highlight w:val="none"/>
        </w:rPr>
      </w:pPr>
      <w:r>
        <w:rPr>
          <w:rStyle w:val="37"/>
          <w:rFonts w:hint="eastAsia"/>
          <w:color w:val="auto"/>
          <w:sz w:val="32"/>
          <w:szCs w:val="32"/>
          <w:highlight w:val="none"/>
          <w:lang w:eastAsia="zh-CN"/>
        </w:rPr>
        <w:t>广西创佳项目管理有限公司</w:t>
      </w:r>
      <w:r>
        <w:rPr>
          <w:rStyle w:val="37"/>
          <w:rFonts w:hint="eastAsia"/>
          <w:color w:val="auto"/>
          <w:sz w:val="32"/>
          <w:szCs w:val="32"/>
          <w:highlight w:val="none"/>
        </w:rPr>
        <w:t>关于</w:t>
      </w:r>
    </w:p>
    <w:p w14:paraId="2B02C997">
      <w:pPr>
        <w:spacing w:line="360" w:lineRule="auto"/>
        <w:jc w:val="center"/>
        <w:rPr>
          <w:b/>
          <w:bCs/>
          <w:color w:val="auto"/>
          <w:sz w:val="32"/>
          <w:highlight w:val="none"/>
        </w:rPr>
      </w:pPr>
      <w:bookmarkStart w:id="1" w:name="_Toc23282"/>
      <w:r>
        <w:rPr>
          <w:rFonts w:hint="eastAsia"/>
          <w:b/>
          <w:bCs/>
          <w:color w:val="auto"/>
          <w:sz w:val="32"/>
          <w:highlight w:val="none"/>
          <w:lang w:eastAsia="zh-CN"/>
        </w:rPr>
        <w:t>桂平市太平天国金田起义地址景区物业管理服务</w:t>
      </w:r>
      <w:r>
        <w:rPr>
          <w:b/>
          <w:bCs/>
          <w:color w:val="auto"/>
          <w:sz w:val="32"/>
          <w:highlight w:val="none"/>
        </w:rPr>
        <w:t>（</w:t>
      </w:r>
      <w:r>
        <w:rPr>
          <w:rFonts w:hint="eastAsia"/>
          <w:b/>
          <w:bCs/>
          <w:color w:val="auto"/>
          <w:sz w:val="32"/>
          <w:highlight w:val="none"/>
          <w:lang w:eastAsia="zh-CN"/>
        </w:rPr>
        <w:t>GGZC2025-C3-810067-GXCJ</w:t>
      </w:r>
      <w:r>
        <w:rPr>
          <w:b/>
          <w:bCs/>
          <w:color w:val="auto"/>
          <w:sz w:val="32"/>
          <w:highlight w:val="none"/>
        </w:rPr>
        <w:t>）竞争性磋商公告</w:t>
      </w:r>
      <w:bookmarkEnd w:id="1"/>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4629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tcPr>
          <w:p w14:paraId="146608E3">
            <w:pPr>
              <w:spacing w:line="360" w:lineRule="auto"/>
              <w:rPr>
                <w:color w:val="auto"/>
                <w:sz w:val="24"/>
                <w:highlight w:val="none"/>
              </w:rPr>
            </w:pPr>
            <w:r>
              <w:rPr>
                <w:color w:val="auto"/>
                <w:sz w:val="24"/>
                <w:highlight w:val="none"/>
              </w:rPr>
              <w:t>项目概况</w:t>
            </w:r>
          </w:p>
          <w:p w14:paraId="0D55649F">
            <w:pPr>
              <w:spacing w:line="360" w:lineRule="auto"/>
              <w:ind w:firstLine="480" w:firstLineChars="200"/>
              <w:rPr>
                <w:color w:val="auto"/>
                <w:highlight w:val="none"/>
              </w:rPr>
            </w:pPr>
            <w:r>
              <w:rPr>
                <w:rFonts w:hint="eastAsia"/>
                <w:color w:val="auto"/>
                <w:sz w:val="24"/>
                <w:highlight w:val="none"/>
                <w:u w:val="single"/>
                <w:lang w:eastAsia="zh-CN"/>
              </w:rPr>
              <w:t>桂平市太平天国金田起义地址景区物业管理服务</w:t>
            </w:r>
            <w:r>
              <w:rPr>
                <w:rFonts w:hint="eastAsia"/>
                <w:color w:val="auto"/>
                <w:sz w:val="24"/>
                <w:highlight w:val="none"/>
                <w:u w:val="single"/>
                <w:lang w:val="en-US" w:eastAsia="zh-CN"/>
              </w:rPr>
              <w:t xml:space="preserve"> </w:t>
            </w:r>
            <w:r>
              <w:rPr>
                <w:rFonts w:hint="eastAsia"/>
                <w:color w:val="auto"/>
                <w:sz w:val="24"/>
                <w:highlight w:val="none"/>
              </w:rPr>
              <w:t>采购项目的</w:t>
            </w:r>
            <w:r>
              <w:rPr>
                <w:color w:val="auto"/>
                <w:sz w:val="24"/>
                <w:highlight w:val="none"/>
              </w:rPr>
              <w:t>潜在供应商应在</w:t>
            </w:r>
            <w:r>
              <w:rPr>
                <w:rFonts w:hint="eastAsia"/>
                <w:color w:val="auto"/>
                <w:sz w:val="24"/>
                <w:highlight w:val="none"/>
                <w:u w:val="single"/>
                <w:lang w:val="en-US" w:eastAsia="zh-CN"/>
              </w:rPr>
              <w:t>广西政府采购云平台</w:t>
            </w:r>
            <w:r>
              <w:rPr>
                <w:color w:val="auto"/>
                <w:sz w:val="24"/>
                <w:highlight w:val="none"/>
                <w:u w:val="single"/>
              </w:rPr>
              <w:t>（</w:t>
            </w:r>
            <w:r>
              <w:rPr>
                <w:rFonts w:hint="eastAsia"/>
                <w:color w:val="auto"/>
                <w:sz w:val="24"/>
                <w:highlight w:val="none"/>
                <w:u w:val="single"/>
                <w:lang w:eastAsia="zh-CN"/>
              </w:rPr>
              <w:t>https://www.gcy.zfcg.gxzf.gov.cn/</w:t>
            </w:r>
            <w:r>
              <w:rPr>
                <w:color w:val="auto"/>
                <w:sz w:val="24"/>
                <w:highlight w:val="none"/>
                <w:u w:val="single"/>
              </w:rPr>
              <w:t>）</w:t>
            </w:r>
            <w:r>
              <w:rPr>
                <w:color w:val="auto"/>
                <w:sz w:val="24"/>
                <w:highlight w:val="none"/>
              </w:rPr>
              <w:t>获取采购文件，并于</w:t>
            </w:r>
            <w:bookmarkStart w:id="2" w:name="OLE_LINK1"/>
            <w:r>
              <w:rPr>
                <w:rFonts w:hint="eastAsia"/>
                <w:color w:val="auto"/>
                <w:sz w:val="24"/>
                <w:highlight w:val="none"/>
                <w:lang w:eastAsia="zh-CN"/>
              </w:rPr>
              <w:t>2025</w:t>
            </w:r>
            <w:r>
              <w:rPr>
                <w:rFonts w:hint="eastAsia"/>
                <w:color w:val="auto"/>
                <w:sz w:val="24"/>
                <w:highlight w:val="none"/>
              </w:rPr>
              <w:t>年</w:t>
            </w:r>
            <w:bookmarkEnd w:id="2"/>
            <w:r>
              <w:rPr>
                <w:rFonts w:hint="eastAsia"/>
                <w:color w:val="auto"/>
                <w:sz w:val="24"/>
                <w:highlight w:val="none"/>
                <w:lang w:val="en-US" w:eastAsia="zh-CN"/>
              </w:rPr>
              <w:t>5</w:t>
            </w:r>
            <w:r>
              <w:rPr>
                <w:rFonts w:hint="eastAsia"/>
                <w:color w:val="auto"/>
                <w:sz w:val="24"/>
                <w:highlight w:val="none"/>
              </w:rPr>
              <w:t>月</w:t>
            </w:r>
            <w:r>
              <w:rPr>
                <w:rFonts w:hint="eastAsia"/>
                <w:color w:val="auto"/>
                <w:sz w:val="24"/>
                <w:highlight w:val="none"/>
                <w:lang w:val="en-US" w:eastAsia="zh-CN"/>
              </w:rPr>
              <w:t>7</w:t>
            </w:r>
            <w:r>
              <w:rPr>
                <w:rFonts w:hint="eastAsia"/>
                <w:color w:val="auto"/>
                <w:sz w:val="24"/>
                <w:highlight w:val="none"/>
              </w:rPr>
              <w:t>日</w:t>
            </w:r>
            <w:r>
              <w:rPr>
                <w:rFonts w:hint="eastAsia"/>
                <w:color w:val="auto"/>
                <w:sz w:val="24"/>
                <w:highlight w:val="none"/>
                <w:lang w:val="en-US" w:eastAsia="zh-CN"/>
              </w:rPr>
              <w:t>9</w:t>
            </w:r>
            <w:r>
              <w:rPr>
                <w:rFonts w:hint="eastAsia"/>
                <w:color w:val="auto"/>
                <w:sz w:val="24"/>
                <w:highlight w:val="none"/>
              </w:rPr>
              <w:t>：</w:t>
            </w:r>
            <w:r>
              <w:rPr>
                <w:rFonts w:hint="eastAsia"/>
                <w:color w:val="auto"/>
                <w:sz w:val="24"/>
                <w:highlight w:val="none"/>
                <w:lang w:val="en-US" w:eastAsia="zh-CN"/>
              </w:rPr>
              <w:t>0</w:t>
            </w:r>
            <w:r>
              <w:rPr>
                <w:rFonts w:hint="eastAsia"/>
                <w:color w:val="auto"/>
                <w:sz w:val="24"/>
                <w:highlight w:val="none"/>
              </w:rPr>
              <w:t>0</w:t>
            </w:r>
            <w:r>
              <w:rPr>
                <w:color w:val="auto"/>
                <w:sz w:val="24"/>
                <w:highlight w:val="none"/>
              </w:rPr>
              <w:t>（北京时间）前提交响应文件。</w:t>
            </w:r>
          </w:p>
        </w:tc>
      </w:tr>
    </w:tbl>
    <w:p w14:paraId="12AB6157">
      <w:pPr>
        <w:spacing w:line="360" w:lineRule="auto"/>
        <w:rPr>
          <w:b/>
          <w:bCs/>
          <w:color w:val="auto"/>
          <w:sz w:val="24"/>
          <w:highlight w:val="none"/>
        </w:rPr>
      </w:pPr>
      <w:r>
        <w:rPr>
          <w:b/>
          <w:bCs/>
          <w:color w:val="auto"/>
          <w:sz w:val="24"/>
          <w:highlight w:val="none"/>
        </w:rPr>
        <w:t>一、项目基本情况：</w:t>
      </w:r>
    </w:p>
    <w:p w14:paraId="5E39B2A7">
      <w:pPr>
        <w:spacing w:line="360" w:lineRule="auto"/>
        <w:ind w:firstLine="480" w:firstLineChars="200"/>
        <w:rPr>
          <w:rFonts w:hint="eastAsia"/>
          <w:color w:val="auto"/>
          <w:sz w:val="24"/>
          <w:highlight w:val="none"/>
          <w:lang w:eastAsia="zh-CN"/>
        </w:rPr>
      </w:pPr>
      <w:r>
        <w:rPr>
          <w:color w:val="auto"/>
          <w:sz w:val="24"/>
          <w:highlight w:val="none"/>
        </w:rPr>
        <w:t>项目编号：</w:t>
      </w:r>
      <w:r>
        <w:rPr>
          <w:rFonts w:hint="eastAsia"/>
          <w:color w:val="auto"/>
          <w:sz w:val="24"/>
          <w:highlight w:val="none"/>
          <w:lang w:eastAsia="zh-CN"/>
        </w:rPr>
        <w:t>GGZC2025-C3-810067-GXCJ</w:t>
      </w:r>
    </w:p>
    <w:p w14:paraId="7F459709">
      <w:pPr>
        <w:spacing w:line="360" w:lineRule="auto"/>
        <w:ind w:firstLine="480" w:firstLineChars="200"/>
        <w:rPr>
          <w:rFonts w:hint="eastAsia"/>
          <w:color w:val="auto"/>
          <w:sz w:val="24"/>
          <w:highlight w:val="none"/>
          <w:lang w:eastAsia="zh-CN"/>
        </w:rPr>
      </w:pPr>
      <w:r>
        <w:rPr>
          <w:color w:val="auto"/>
          <w:sz w:val="24"/>
          <w:highlight w:val="none"/>
        </w:rPr>
        <w:t>项目名称：</w:t>
      </w:r>
      <w:r>
        <w:rPr>
          <w:rFonts w:hint="eastAsia"/>
          <w:color w:val="auto"/>
          <w:sz w:val="24"/>
          <w:highlight w:val="none"/>
          <w:lang w:eastAsia="zh-CN"/>
        </w:rPr>
        <w:t>桂平市太平天国金田起义地址景区物业管理服务</w:t>
      </w:r>
    </w:p>
    <w:p w14:paraId="4C90B1DD">
      <w:pPr>
        <w:spacing w:line="360" w:lineRule="auto"/>
        <w:ind w:firstLine="480" w:firstLineChars="200"/>
        <w:rPr>
          <w:color w:val="auto"/>
          <w:sz w:val="24"/>
          <w:highlight w:val="none"/>
        </w:rPr>
      </w:pPr>
      <w:r>
        <w:rPr>
          <w:color w:val="auto"/>
          <w:sz w:val="24"/>
          <w:highlight w:val="none"/>
        </w:rPr>
        <w:t>采购方式：竞争性磋商</w:t>
      </w:r>
    </w:p>
    <w:p w14:paraId="490373B2">
      <w:pPr>
        <w:spacing w:line="360" w:lineRule="auto"/>
        <w:ind w:left="959" w:leftChars="228" w:hanging="480" w:hangingChars="200"/>
        <w:rPr>
          <w:rFonts w:hint="eastAsia" w:eastAsia="宋体"/>
          <w:color w:val="auto"/>
          <w:sz w:val="24"/>
          <w:highlight w:val="none"/>
          <w:lang w:eastAsia="zh-CN"/>
        </w:rPr>
      </w:pPr>
      <w:r>
        <w:rPr>
          <w:color w:val="auto"/>
          <w:sz w:val="24"/>
          <w:highlight w:val="none"/>
        </w:rPr>
        <w:t>预算总金额（元）：</w:t>
      </w:r>
      <w:r>
        <w:rPr>
          <w:rFonts w:hint="eastAsia"/>
          <w:color w:val="auto"/>
          <w:sz w:val="24"/>
          <w:highlight w:val="none"/>
          <w:lang w:eastAsia="zh-CN"/>
        </w:rPr>
        <w:t>2000000</w:t>
      </w:r>
    </w:p>
    <w:p w14:paraId="10D27B81">
      <w:pPr>
        <w:spacing w:line="360" w:lineRule="auto"/>
        <w:ind w:left="959" w:leftChars="228" w:hanging="480" w:hangingChars="200"/>
        <w:rPr>
          <w:color w:val="auto"/>
          <w:sz w:val="24"/>
          <w:highlight w:val="none"/>
        </w:rPr>
      </w:pPr>
      <w:r>
        <w:rPr>
          <w:color w:val="auto"/>
          <w:sz w:val="24"/>
          <w:highlight w:val="none"/>
        </w:rPr>
        <w:t>采购需求：</w:t>
      </w:r>
    </w:p>
    <w:p w14:paraId="4A6E054A">
      <w:pPr>
        <w:spacing w:line="360" w:lineRule="auto"/>
        <w:ind w:firstLine="482" w:firstLineChars="200"/>
        <w:rPr>
          <w:color w:val="auto"/>
          <w:highlight w:val="none"/>
        </w:rPr>
      </w:pPr>
      <w:r>
        <w:rPr>
          <w:rFonts w:ascii="Arial" w:hAnsi="Arial" w:cs="Arial"/>
          <w:b/>
          <w:bCs/>
          <w:color w:val="auto"/>
          <w:sz w:val="24"/>
          <w:highlight w:val="none"/>
        </w:rPr>
        <w:t>标项一：</w:t>
      </w:r>
    </w:p>
    <w:p w14:paraId="39FD20DD">
      <w:pPr>
        <w:spacing w:line="360" w:lineRule="auto"/>
        <w:ind w:firstLine="480" w:firstLineChars="200"/>
        <w:rPr>
          <w:rFonts w:hint="eastAsia"/>
          <w:color w:val="auto"/>
          <w:sz w:val="24"/>
          <w:highlight w:val="none"/>
          <w:lang w:eastAsia="zh-CN"/>
        </w:rPr>
      </w:pPr>
      <w:r>
        <w:rPr>
          <w:color w:val="auto"/>
          <w:sz w:val="24"/>
          <w:highlight w:val="none"/>
        </w:rPr>
        <w:t>标项名称：</w:t>
      </w:r>
      <w:r>
        <w:rPr>
          <w:rFonts w:hint="eastAsia"/>
          <w:color w:val="auto"/>
          <w:sz w:val="24"/>
          <w:highlight w:val="none"/>
          <w:lang w:eastAsia="zh-CN"/>
        </w:rPr>
        <w:t>桂平市太平天国金田起义地址景区物业管理服务</w:t>
      </w:r>
    </w:p>
    <w:p w14:paraId="63AD1348">
      <w:pPr>
        <w:spacing w:line="360" w:lineRule="auto"/>
        <w:ind w:firstLine="480" w:firstLineChars="200"/>
        <w:rPr>
          <w:color w:val="auto"/>
          <w:sz w:val="24"/>
          <w:highlight w:val="none"/>
        </w:rPr>
      </w:pPr>
      <w:r>
        <w:rPr>
          <w:color w:val="auto"/>
          <w:sz w:val="24"/>
          <w:highlight w:val="none"/>
        </w:rPr>
        <w:t>数量：1</w:t>
      </w:r>
    </w:p>
    <w:p w14:paraId="43F4B9E8">
      <w:pPr>
        <w:spacing w:line="360" w:lineRule="auto"/>
        <w:ind w:firstLine="480" w:firstLineChars="200"/>
        <w:rPr>
          <w:rFonts w:hint="eastAsia" w:eastAsia="宋体"/>
          <w:color w:val="auto"/>
          <w:sz w:val="24"/>
          <w:highlight w:val="none"/>
          <w:lang w:eastAsia="zh-CN"/>
        </w:rPr>
      </w:pPr>
      <w:r>
        <w:rPr>
          <w:color w:val="auto"/>
          <w:sz w:val="24"/>
          <w:highlight w:val="none"/>
        </w:rPr>
        <w:t>预算金额（元）：</w:t>
      </w:r>
      <w:r>
        <w:rPr>
          <w:rFonts w:hint="eastAsia"/>
          <w:color w:val="auto"/>
          <w:sz w:val="24"/>
          <w:highlight w:val="none"/>
          <w:lang w:eastAsia="zh-CN"/>
        </w:rPr>
        <w:t>2000000</w:t>
      </w:r>
    </w:p>
    <w:p w14:paraId="1A4CB157">
      <w:pPr>
        <w:spacing w:line="360" w:lineRule="auto"/>
        <w:ind w:left="479" w:leftChars="228"/>
        <w:rPr>
          <w:color w:val="auto"/>
          <w:sz w:val="24"/>
          <w:highlight w:val="none"/>
        </w:rPr>
      </w:pPr>
      <w:r>
        <w:rPr>
          <w:color w:val="auto"/>
          <w:sz w:val="24"/>
          <w:highlight w:val="none"/>
        </w:rPr>
        <w:t>简要规格描述或项目基本概况介绍、用途：主要工作内容：</w:t>
      </w:r>
      <w:r>
        <w:rPr>
          <w:rFonts w:hint="eastAsia"/>
          <w:color w:val="auto"/>
          <w:sz w:val="24"/>
          <w:highlight w:val="none"/>
          <w:lang w:val="en-US" w:eastAsia="zh-CN"/>
        </w:rPr>
        <w:t>负责桂平市太平天国金田起义地址景区范围内清扫保洁养护工作、绿化养护工作、安全秩序工作、水电维护等工作</w:t>
      </w:r>
      <w:r>
        <w:rPr>
          <w:rFonts w:hint="eastAsia"/>
          <w:color w:val="auto"/>
          <w:sz w:val="24"/>
          <w:highlight w:val="none"/>
        </w:rPr>
        <w:t>。</w:t>
      </w:r>
      <w:r>
        <w:rPr>
          <w:color w:val="auto"/>
          <w:sz w:val="24"/>
          <w:highlight w:val="none"/>
        </w:rPr>
        <w:t>如需进一步了解，详见竞争性磋商文件。</w:t>
      </w:r>
    </w:p>
    <w:p w14:paraId="29C1BED9">
      <w:pPr>
        <w:spacing w:line="360" w:lineRule="auto"/>
        <w:ind w:firstLine="480" w:firstLineChars="200"/>
        <w:rPr>
          <w:color w:val="auto"/>
          <w:sz w:val="24"/>
          <w:highlight w:val="none"/>
        </w:rPr>
      </w:pPr>
      <w:r>
        <w:rPr>
          <w:color w:val="auto"/>
          <w:sz w:val="24"/>
          <w:highlight w:val="none"/>
        </w:rPr>
        <w:t xml:space="preserve">最高限价（如有）：/  </w:t>
      </w:r>
    </w:p>
    <w:p w14:paraId="63CF1584">
      <w:pPr>
        <w:spacing w:line="360" w:lineRule="auto"/>
        <w:ind w:firstLine="480" w:firstLineChars="200"/>
        <w:rPr>
          <w:rFonts w:hint="eastAsia" w:eastAsia="宋体"/>
          <w:color w:val="auto"/>
          <w:sz w:val="24"/>
          <w:highlight w:val="none"/>
          <w:lang w:val="en-US" w:eastAsia="zh-CN"/>
        </w:rPr>
      </w:pPr>
      <w:r>
        <w:rPr>
          <w:color w:val="auto"/>
          <w:kern w:val="0"/>
          <w:sz w:val="24"/>
          <w:highlight w:val="none"/>
        </w:rPr>
        <w:t>服务期限</w:t>
      </w:r>
      <w:r>
        <w:rPr>
          <w:color w:val="auto"/>
          <w:sz w:val="24"/>
          <w:highlight w:val="none"/>
        </w:rPr>
        <w:t>：</w:t>
      </w:r>
      <w:r>
        <w:rPr>
          <w:rFonts w:hint="eastAsia"/>
          <w:color w:val="auto"/>
          <w:sz w:val="24"/>
          <w:highlight w:val="none"/>
          <w:lang w:eastAsia="zh-CN"/>
        </w:rPr>
        <w:t>自合同签订之日起12个月（1年）。</w:t>
      </w:r>
    </w:p>
    <w:p w14:paraId="24A27D20">
      <w:pPr>
        <w:spacing w:line="360" w:lineRule="auto"/>
        <w:ind w:left="479" w:leftChars="228"/>
        <w:rPr>
          <w:rFonts w:hint="eastAsia"/>
          <w:color w:val="auto"/>
          <w:sz w:val="24"/>
          <w:highlight w:val="none"/>
          <w:lang w:eastAsia="zh-CN"/>
        </w:rPr>
      </w:pPr>
      <w:r>
        <w:rPr>
          <w:color w:val="auto"/>
          <w:sz w:val="24"/>
          <w:highlight w:val="none"/>
        </w:rPr>
        <w:t>本项目</w:t>
      </w:r>
      <w:r>
        <w:rPr>
          <w:rFonts w:hint="eastAsia"/>
          <w:color w:val="auto"/>
          <w:sz w:val="24"/>
          <w:highlight w:val="none"/>
          <w:lang w:val="en-US" w:eastAsia="zh-CN"/>
        </w:rPr>
        <w:t>不</w:t>
      </w:r>
      <w:r>
        <w:rPr>
          <w:color w:val="auto"/>
          <w:sz w:val="24"/>
          <w:highlight w:val="none"/>
        </w:rPr>
        <w:t>接受联合体投标</w:t>
      </w:r>
    </w:p>
    <w:p w14:paraId="4B2E03A5">
      <w:pPr>
        <w:spacing w:line="360" w:lineRule="auto"/>
        <w:ind w:firstLine="480" w:firstLineChars="200"/>
        <w:rPr>
          <w:color w:val="auto"/>
          <w:sz w:val="24"/>
          <w:highlight w:val="none"/>
        </w:rPr>
      </w:pPr>
      <w:r>
        <w:rPr>
          <w:color w:val="auto"/>
          <w:sz w:val="24"/>
          <w:highlight w:val="none"/>
        </w:rPr>
        <w:t>备注</w:t>
      </w:r>
      <w:r>
        <w:rPr>
          <w:rFonts w:hint="eastAsia"/>
          <w:color w:val="auto"/>
          <w:sz w:val="24"/>
          <w:highlight w:val="none"/>
        </w:rPr>
        <w:t>：</w:t>
      </w:r>
    </w:p>
    <w:p w14:paraId="6E4493E6">
      <w:pPr>
        <w:spacing w:line="360" w:lineRule="auto"/>
        <w:rPr>
          <w:b/>
          <w:bCs/>
          <w:color w:val="auto"/>
          <w:highlight w:val="none"/>
        </w:rPr>
      </w:pPr>
    </w:p>
    <w:p w14:paraId="64716A07">
      <w:pPr>
        <w:spacing w:line="360" w:lineRule="auto"/>
        <w:rPr>
          <w:b/>
          <w:bCs/>
          <w:color w:val="auto"/>
          <w:sz w:val="24"/>
          <w:highlight w:val="none"/>
        </w:rPr>
      </w:pPr>
      <w:r>
        <w:rPr>
          <w:b/>
          <w:bCs/>
          <w:color w:val="auto"/>
          <w:sz w:val="24"/>
          <w:highlight w:val="none"/>
        </w:rPr>
        <w:t>二、申请人的资格要求：</w:t>
      </w:r>
    </w:p>
    <w:p w14:paraId="06050E43">
      <w:pPr>
        <w:spacing w:line="360" w:lineRule="auto"/>
        <w:ind w:firstLine="480" w:firstLineChars="200"/>
        <w:rPr>
          <w:color w:val="auto"/>
          <w:sz w:val="24"/>
          <w:highlight w:val="none"/>
        </w:rPr>
      </w:pPr>
      <w:r>
        <w:rPr>
          <w:color w:val="auto"/>
          <w:sz w:val="24"/>
          <w:highlight w:val="none"/>
        </w:rPr>
        <w:t>1.满足《中华人民共和国政府采购法》第二十二条规定；</w:t>
      </w:r>
    </w:p>
    <w:p w14:paraId="3B98DE05">
      <w:pPr>
        <w:spacing w:line="360" w:lineRule="auto"/>
        <w:ind w:firstLine="480" w:firstLineChars="200"/>
        <w:rPr>
          <w:rFonts w:hint="eastAsia" w:eastAsia="宋体"/>
          <w:b/>
          <w:bCs/>
          <w:color w:val="auto"/>
          <w:sz w:val="24"/>
          <w:highlight w:val="none"/>
          <w:lang w:eastAsia="zh-CN"/>
        </w:rPr>
      </w:pPr>
      <w:r>
        <w:rPr>
          <w:color w:val="auto"/>
          <w:sz w:val="24"/>
          <w:highlight w:val="none"/>
        </w:rPr>
        <w:t>2.落实政府采购政策需满足的资格要求：</w:t>
      </w:r>
      <w:r>
        <w:rPr>
          <w:rFonts w:hint="eastAsia"/>
          <w:b w:val="0"/>
          <w:bCs w:val="0"/>
          <w:color w:val="auto"/>
          <w:sz w:val="24"/>
          <w:highlight w:val="none"/>
          <w:lang w:eastAsia="zh-CN"/>
        </w:rPr>
        <w:t>本项目属于专门面向中小企业采购的项目（供应商应为中小微企业或监狱企业或残疾人福利性单位)。</w:t>
      </w:r>
    </w:p>
    <w:p w14:paraId="1A8EC5AC">
      <w:pPr>
        <w:spacing w:line="288" w:lineRule="auto"/>
        <w:ind w:firstLine="480" w:firstLineChars="200"/>
        <w:rPr>
          <w:rFonts w:hint="eastAsia" w:eastAsia="宋体"/>
          <w:color w:val="auto"/>
          <w:sz w:val="24"/>
          <w:highlight w:val="none"/>
          <w:lang w:val="en-US" w:eastAsia="zh-CN"/>
        </w:rPr>
      </w:pPr>
      <w:r>
        <w:rPr>
          <w:color w:val="auto"/>
          <w:sz w:val="24"/>
          <w:highlight w:val="none"/>
        </w:rPr>
        <w:t>3.本项目的特定资格要求：</w:t>
      </w:r>
      <w:r>
        <w:rPr>
          <w:rFonts w:hint="eastAsia" w:ascii="Arial" w:hAnsi="Arial" w:cs="Arial"/>
          <w:bCs/>
          <w:color w:val="auto"/>
          <w:sz w:val="24"/>
          <w:highlight w:val="none"/>
          <w:lang w:val="en-US" w:eastAsia="zh-CN"/>
        </w:rPr>
        <w:t>无</w:t>
      </w:r>
    </w:p>
    <w:p w14:paraId="3C495AD9">
      <w:pPr>
        <w:spacing w:line="360" w:lineRule="auto"/>
        <w:rPr>
          <w:b/>
          <w:bCs/>
          <w:color w:val="auto"/>
          <w:sz w:val="24"/>
          <w:highlight w:val="none"/>
        </w:rPr>
      </w:pPr>
      <w:bookmarkStart w:id="3" w:name="_Toc35393800"/>
      <w:bookmarkStart w:id="4" w:name="_Toc35393631"/>
    </w:p>
    <w:p w14:paraId="4801AFE6">
      <w:pPr>
        <w:spacing w:line="360" w:lineRule="auto"/>
        <w:rPr>
          <w:b/>
          <w:bCs/>
          <w:color w:val="auto"/>
          <w:sz w:val="24"/>
          <w:highlight w:val="none"/>
        </w:rPr>
      </w:pPr>
      <w:r>
        <w:rPr>
          <w:b/>
          <w:bCs/>
          <w:color w:val="auto"/>
          <w:sz w:val="24"/>
          <w:highlight w:val="none"/>
        </w:rPr>
        <w:t>三、获取采购文件</w:t>
      </w:r>
      <w:bookmarkEnd w:id="3"/>
      <w:bookmarkEnd w:id="4"/>
    </w:p>
    <w:p w14:paraId="72C69384">
      <w:pPr>
        <w:spacing w:line="360" w:lineRule="auto"/>
        <w:ind w:firstLine="480" w:firstLineChars="200"/>
        <w:rPr>
          <w:color w:val="auto"/>
          <w:sz w:val="24"/>
          <w:highlight w:val="none"/>
        </w:rPr>
      </w:pPr>
      <w:r>
        <w:rPr>
          <w:color w:val="auto"/>
          <w:sz w:val="24"/>
          <w:highlight w:val="none"/>
        </w:rPr>
        <w:t>时间：</w:t>
      </w:r>
      <w:r>
        <w:rPr>
          <w:rFonts w:hint="eastAsia"/>
          <w:color w:val="auto"/>
          <w:sz w:val="24"/>
          <w:highlight w:val="none"/>
          <w:lang w:eastAsia="zh-CN"/>
        </w:rPr>
        <w:t>2025</w:t>
      </w:r>
      <w:r>
        <w:rPr>
          <w:color w:val="auto"/>
          <w:sz w:val="24"/>
          <w:highlight w:val="none"/>
        </w:rPr>
        <w:t>年</w:t>
      </w:r>
      <w:r>
        <w:rPr>
          <w:rFonts w:hint="eastAsia"/>
          <w:color w:val="auto"/>
          <w:sz w:val="24"/>
          <w:highlight w:val="none"/>
          <w:lang w:val="en-US" w:eastAsia="zh-CN"/>
        </w:rPr>
        <w:t>4</w:t>
      </w:r>
      <w:r>
        <w:rPr>
          <w:rFonts w:hint="eastAsia"/>
          <w:color w:val="auto"/>
          <w:sz w:val="24"/>
          <w:highlight w:val="none"/>
        </w:rPr>
        <w:t>月</w:t>
      </w:r>
      <w:r>
        <w:rPr>
          <w:rFonts w:hint="eastAsia"/>
          <w:color w:val="auto"/>
          <w:sz w:val="24"/>
          <w:highlight w:val="none"/>
          <w:lang w:val="en-US" w:eastAsia="zh-CN"/>
        </w:rPr>
        <w:t xml:space="preserve">25 </w:t>
      </w:r>
      <w:r>
        <w:rPr>
          <w:rFonts w:hint="eastAsia"/>
          <w:color w:val="auto"/>
          <w:sz w:val="24"/>
          <w:highlight w:val="none"/>
        </w:rPr>
        <w:t>日</w:t>
      </w:r>
      <w:r>
        <w:rPr>
          <w:color w:val="auto"/>
          <w:sz w:val="24"/>
          <w:highlight w:val="none"/>
        </w:rPr>
        <w:t>至响应文件</w:t>
      </w:r>
      <w:r>
        <w:rPr>
          <w:rFonts w:hint="eastAsia"/>
          <w:color w:val="auto"/>
          <w:sz w:val="24"/>
          <w:highlight w:val="none"/>
        </w:rPr>
        <w:t>提交</w:t>
      </w:r>
      <w:r>
        <w:rPr>
          <w:color w:val="auto"/>
          <w:sz w:val="24"/>
          <w:highlight w:val="none"/>
        </w:rPr>
        <w:t>的截止时间止</w:t>
      </w:r>
      <w:r>
        <w:rPr>
          <w:rFonts w:hint="eastAsia"/>
          <w:color w:val="auto"/>
          <w:sz w:val="24"/>
          <w:highlight w:val="none"/>
        </w:rPr>
        <w:t>。</w:t>
      </w:r>
    </w:p>
    <w:p w14:paraId="056878CE">
      <w:pPr>
        <w:spacing w:line="360" w:lineRule="auto"/>
        <w:ind w:firstLine="480" w:firstLineChars="200"/>
        <w:rPr>
          <w:color w:val="auto"/>
          <w:sz w:val="24"/>
          <w:highlight w:val="none"/>
        </w:rPr>
      </w:pPr>
      <w:r>
        <w:rPr>
          <w:color w:val="auto"/>
          <w:sz w:val="24"/>
          <w:highlight w:val="none"/>
        </w:rPr>
        <w:t>地点（网址）：</w:t>
      </w:r>
      <w:r>
        <w:rPr>
          <w:rFonts w:hint="eastAsia"/>
          <w:bCs/>
          <w:color w:val="auto"/>
          <w:sz w:val="24"/>
          <w:highlight w:val="none"/>
          <w:lang w:eastAsia="zh-CN"/>
        </w:rPr>
        <w:t>广西政府采购云平台</w:t>
      </w:r>
      <w:r>
        <w:rPr>
          <w:bCs/>
          <w:color w:val="auto"/>
          <w:sz w:val="24"/>
          <w:highlight w:val="none"/>
        </w:rPr>
        <w:t>（</w:t>
      </w:r>
      <w:r>
        <w:rPr>
          <w:rFonts w:hint="eastAsia"/>
          <w:bCs/>
          <w:color w:val="auto"/>
          <w:sz w:val="24"/>
          <w:highlight w:val="none"/>
          <w:lang w:eastAsia="zh-CN"/>
        </w:rPr>
        <w:t>https://www.gcy.zfcg.gxzf.gov.cn/</w:t>
      </w:r>
      <w:r>
        <w:rPr>
          <w:bCs/>
          <w:color w:val="auto"/>
          <w:sz w:val="24"/>
          <w:highlight w:val="none"/>
        </w:rPr>
        <w:t>）</w:t>
      </w:r>
    </w:p>
    <w:p w14:paraId="31789973">
      <w:pPr>
        <w:spacing w:line="360" w:lineRule="auto"/>
        <w:ind w:firstLine="480" w:firstLineChars="200"/>
        <w:rPr>
          <w:color w:val="auto"/>
          <w:sz w:val="24"/>
          <w:highlight w:val="none"/>
        </w:rPr>
      </w:pPr>
      <w:r>
        <w:rPr>
          <w:color w:val="auto"/>
          <w:sz w:val="24"/>
          <w:highlight w:val="none"/>
        </w:rPr>
        <w:t>方式：</w:t>
      </w:r>
      <w:bookmarkStart w:id="5" w:name="_Toc28359015"/>
      <w:bookmarkStart w:id="6" w:name="_Toc35393632"/>
      <w:bookmarkStart w:id="7" w:name="_Toc35393801"/>
      <w:bookmarkStart w:id="8" w:name="_Toc28359092"/>
      <w:r>
        <w:rPr>
          <w:bCs/>
          <w:color w:val="auto"/>
          <w:sz w:val="24"/>
          <w:highlight w:val="none"/>
        </w:rPr>
        <w:t>由潜在供应商自行在"</w:t>
      </w:r>
      <w:r>
        <w:rPr>
          <w:rFonts w:hint="eastAsia"/>
          <w:bCs/>
          <w:color w:val="auto"/>
          <w:sz w:val="24"/>
          <w:highlight w:val="none"/>
          <w:lang w:eastAsia="zh-CN"/>
        </w:rPr>
        <w:t>广西政府采购云平台</w:t>
      </w:r>
      <w:r>
        <w:rPr>
          <w:bCs/>
          <w:color w:val="auto"/>
          <w:sz w:val="24"/>
          <w:highlight w:val="none"/>
        </w:rPr>
        <w:t>"（</w:t>
      </w:r>
      <w:r>
        <w:rPr>
          <w:rFonts w:hint="eastAsia"/>
          <w:bCs/>
          <w:color w:val="auto"/>
          <w:sz w:val="24"/>
          <w:highlight w:val="none"/>
          <w:lang w:eastAsia="zh-CN"/>
        </w:rPr>
        <w:t>https://www.gcy.zfcg.gxzf.gov.cn/</w:t>
      </w:r>
      <w:r>
        <w:rPr>
          <w:bCs/>
          <w:color w:val="auto"/>
          <w:sz w:val="24"/>
          <w:highlight w:val="none"/>
        </w:rPr>
        <w:t>）下载采购文件（操作路径：登录"</w:t>
      </w:r>
      <w:r>
        <w:rPr>
          <w:rFonts w:hint="eastAsia"/>
          <w:bCs/>
          <w:color w:val="auto"/>
          <w:sz w:val="24"/>
          <w:highlight w:val="none"/>
          <w:lang w:eastAsia="zh-CN"/>
        </w:rPr>
        <w:t>广西政府采购云平台</w:t>
      </w:r>
      <w:r>
        <w:rPr>
          <w:bCs/>
          <w:color w:val="auto"/>
          <w:sz w:val="24"/>
          <w:highlight w:val="none"/>
        </w:rPr>
        <w:t>"平台-项目采购-获取采购文件-找到本项目-点击"申请获取采购文件"），电子响应文件制作需要基于"</w:t>
      </w:r>
      <w:r>
        <w:rPr>
          <w:rFonts w:hint="eastAsia"/>
          <w:bCs/>
          <w:color w:val="auto"/>
          <w:sz w:val="24"/>
          <w:highlight w:val="none"/>
          <w:lang w:eastAsia="zh-CN"/>
        </w:rPr>
        <w:t>广西政府采购云平台</w:t>
      </w:r>
      <w:r>
        <w:rPr>
          <w:bCs/>
          <w:color w:val="auto"/>
          <w:sz w:val="24"/>
          <w:highlight w:val="none"/>
        </w:rPr>
        <w:t>"（</w:t>
      </w:r>
      <w:r>
        <w:rPr>
          <w:rFonts w:hint="eastAsia"/>
          <w:bCs/>
          <w:color w:val="auto"/>
          <w:sz w:val="24"/>
          <w:highlight w:val="none"/>
          <w:lang w:eastAsia="zh-CN"/>
        </w:rPr>
        <w:t>https://www.gcy.zfcg.gxzf.gov.cn/</w:t>
      </w:r>
      <w:r>
        <w:rPr>
          <w:bCs/>
          <w:color w:val="auto"/>
          <w:sz w:val="24"/>
          <w:highlight w:val="none"/>
        </w:rPr>
        <w:t>）获取的采购文件编制。未在</w:t>
      </w:r>
      <w:r>
        <w:rPr>
          <w:rFonts w:hint="eastAsia"/>
          <w:bCs/>
          <w:color w:val="auto"/>
          <w:sz w:val="24"/>
          <w:highlight w:val="none"/>
          <w:lang w:eastAsia="zh-CN"/>
        </w:rPr>
        <w:t>广西政府采购云平台</w:t>
      </w:r>
      <w:r>
        <w:rPr>
          <w:bCs/>
          <w:color w:val="auto"/>
          <w:sz w:val="24"/>
          <w:highlight w:val="none"/>
        </w:rPr>
        <w:t>注册的供应商可在获取竞争性磋商文件前登录</w:t>
      </w:r>
      <w:r>
        <w:rPr>
          <w:rFonts w:hint="eastAsia"/>
          <w:bCs/>
          <w:color w:val="auto"/>
          <w:sz w:val="24"/>
          <w:highlight w:val="none"/>
          <w:lang w:eastAsia="zh-CN"/>
        </w:rPr>
        <w:t>广西政府采购云平台</w:t>
      </w:r>
      <w:r>
        <w:rPr>
          <w:bCs/>
          <w:color w:val="auto"/>
          <w:sz w:val="24"/>
          <w:highlight w:val="none"/>
        </w:rPr>
        <w:t>（</w:t>
      </w:r>
      <w:r>
        <w:rPr>
          <w:rFonts w:hint="eastAsia"/>
          <w:bCs/>
          <w:color w:val="auto"/>
          <w:sz w:val="24"/>
          <w:highlight w:val="none"/>
          <w:lang w:eastAsia="zh-CN"/>
        </w:rPr>
        <w:t>https://www.gcy.zfcg.gxzf.gov.cn/</w:t>
      </w:r>
      <w:r>
        <w:rPr>
          <w:bCs/>
          <w:color w:val="auto"/>
          <w:sz w:val="24"/>
          <w:highlight w:val="none"/>
        </w:rPr>
        <w:t>）进行注册。如在操作过程中遇到问题或需技术支持，请致电</w:t>
      </w:r>
      <w:r>
        <w:rPr>
          <w:rFonts w:hint="eastAsia"/>
          <w:bCs/>
          <w:color w:val="auto"/>
          <w:sz w:val="24"/>
          <w:highlight w:val="none"/>
          <w:lang w:eastAsia="zh-CN"/>
        </w:rPr>
        <w:t>广西政府采购云平台</w:t>
      </w:r>
      <w:r>
        <w:rPr>
          <w:bCs/>
          <w:color w:val="auto"/>
          <w:sz w:val="24"/>
          <w:highlight w:val="none"/>
        </w:rPr>
        <w:t>客服热线：</w:t>
      </w:r>
      <w:r>
        <w:rPr>
          <w:rFonts w:hint="eastAsia"/>
          <w:bCs/>
          <w:color w:val="auto"/>
          <w:sz w:val="24"/>
          <w:highlight w:val="none"/>
        </w:rPr>
        <w:t>95763</w:t>
      </w:r>
      <w:r>
        <w:rPr>
          <w:color w:val="auto"/>
          <w:sz w:val="24"/>
          <w:highlight w:val="none"/>
        </w:rPr>
        <w:t>。 </w:t>
      </w:r>
    </w:p>
    <w:p w14:paraId="1BF1A2B2">
      <w:pPr>
        <w:spacing w:line="360" w:lineRule="auto"/>
        <w:ind w:firstLine="480" w:firstLineChars="200"/>
        <w:rPr>
          <w:color w:val="auto"/>
          <w:sz w:val="24"/>
          <w:highlight w:val="none"/>
        </w:rPr>
      </w:pPr>
      <w:r>
        <w:rPr>
          <w:color w:val="auto"/>
          <w:sz w:val="24"/>
          <w:highlight w:val="none"/>
        </w:rPr>
        <w:t>售价（元）：0</w:t>
      </w:r>
    </w:p>
    <w:p w14:paraId="5CD70709">
      <w:pPr>
        <w:spacing w:line="360" w:lineRule="auto"/>
        <w:rPr>
          <w:b/>
          <w:bCs/>
          <w:color w:val="auto"/>
          <w:sz w:val="24"/>
          <w:highlight w:val="none"/>
        </w:rPr>
      </w:pPr>
      <w:r>
        <w:rPr>
          <w:b/>
          <w:bCs/>
          <w:color w:val="auto"/>
          <w:sz w:val="24"/>
          <w:highlight w:val="none"/>
        </w:rPr>
        <w:t>四、响应文件提交</w:t>
      </w:r>
      <w:bookmarkEnd w:id="5"/>
      <w:bookmarkEnd w:id="6"/>
      <w:bookmarkEnd w:id="7"/>
      <w:bookmarkEnd w:id="8"/>
    </w:p>
    <w:p w14:paraId="1B0F12C8">
      <w:pPr>
        <w:spacing w:line="360" w:lineRule="auto"/>
        <w:ind w:firstLine="480" w:firstLineChars="200"/>
        <w:rPr>
          <w:color w:val="auto"/>
          <w:sz w:val="24"/>
          <w:highlight w:val="none"/>
        </w:rPr>
      </w:pPr>
      <w:r>
        <w:rPr>
          <w:color w:val="auto"/>
          <w:sz w:val="24"/>
          <w:highlight w:val="none"/>
        </w:rPr>
        <w:t>截止时间：</w:t>
      </w:r>
      <w:r>
        <w:rPr>
          <w:rFonts w:hint="eastAsia"/>
          <w:color w:val="auto"/>
          <w:sz w:val="24"/>
          <w:highlight w:val="none"/>
          <w:lang w:eastAsia="zh-CN"/>
        </w:rPr>
        <w:t>2025</w:t>
      </w:r>
      <w:r>
        <w:rPr>
          <w:rFonts w:hint="eastAsia"/>
          <w:color w:val="auto"/>
          <w:sz w:val="24"/>
          <w:highlight w:val="none"/>
        </w:rPr>
        <w:t>年</w:t>
      </w:r>
      <w:r>
        <w:rPr>
          <w:rFonts w:hint="eastAsia"/>
          <w:color w:val="auto"/>
          <w:sz w:val="24"/>
          <w:highlight w:val="none"/>
          <w:lang w:val="en-US" w:eastAsia="zh-CN"/>
        </w:rPr>
        <w:t xml:space="preserve">5 </w:t>
      </w:r>
      <w:r>
        <w:rPr>
          <w:rFonts w:hint="eastAsia"/>
          <w:color w:val="auto"/>
          <w:sz w:val="24"/>
          <w:highlight w:val="none"/>
        </w:rPr>
        <w:t>月</w:t>
      </w:r>
      <w:r>
        <w:rPr>
          <w:rFonts w:hint="eastAsia"/>
          <w:color w:val="auto"/>
          <w:sz w:val="24"/>
          <w:highlight w:val="none"/>
          <w:lang w:val="en-US" w:eastAsia="zh-CN"/>
        </w:rPr>
        <w:t xml:space="preserve">7 </w:t>
      </w:r>
      <w:r>
        <w:rPr>
          <w:rFonts w:hint="eastAsia"/>
          <w:color w:val="auto"/>
          <w:sz w:val="24"/>
          <w:highlight w:val="none"/>
        </w:rPr>
        <w:t>日</w:t>
      </w:r>
      <w:r>
        <w:rPr>
          <w:rFonts w:hint="eastAsia"/>
          <w:color w:val="auto"/>
          <w:sz w:val="24"/>
          <w:highlight w:val="none"/>
          <w:lang w:val="en-US" w:eastAsia="zh-CN"/>
        </w:rPr>
        <w:t>9:00</w:t>
      </w:r>
      <w:r>
        <w:rPr>
          <w:color w:val="auto"/>
          <w:sz w:val="24"/>
          <w:highlight w:val="none"/>
        </w:rPr>
        <w:t>（北京时间）</w:t>
      </w:r>
    </w:p>
    <w:p w14:paraId="16958EFB">
      <w:pPr>
        <w:spacing w:line="360" w:lineRule="auto"/>
        <w:ind w:firstLine="480" w:firstLineChars="200"/>
        <w:rPr>
          <w:color w:val="auto"/>
          <w:sz w:val="24"/>
          <w:highlight w:val="none"/>
        </w:rPr>
      </w:pPr>
      <w:r>
        <w:rPr>
          <w:color w:val="auto"/>
          <w:sz w:val="24"/>
          <w:highlight w:val="none"/>
        </w:rPr>
        <w:t>地点（网址）：通过</w:t>
      </w:r>
      <w:r>
        <w:rPr>
          <w:rFonts w:hint="eastAsia"/>
          <w:color w:val="auto"/>
          <w:sz w:val="24"/>
          <w:highlight w:val="none"/>
          <w:lang w:eastAsia="zh-CN"/>
        </w:rPr>
        <w:t>广西政府采购云平台</w:t>
      </w:r>
      <w:r>
        <w:rPr>
          <w:color w:val="auto"/>
          <w:sz w:val="24"/>
          <w:highlight w:val="none"/>
        </w:rPr>
        <w:t xml:space="preserve">实行在线投标响应（本项目不要求投标供应商到达开标现场，但供应商应派法定代表人或委托代理人准时在线出席电子开评标会议，随时关注开评标进度，如在开评标过程中有电子询标，应在规定的时间内对电子询标函进行澄清回复）。 </w:t>
      </w:r>
    </w:p>
    <w:p w14:paraId="45593DFF">
      <w:pPr>
        <w:spacing w:line="360" w:lineRule="auto"/>
        <w:rPr>
          <w:b/>
          <w:bCs/>
          <w:color w:val="auto"/>
          <w:sz w:val="24"/>
          <w:highlight w:val="none"/>
        </w:rPr>
      </w:pPr>
      <w:bookmarkStart w:id="9" w:name="_Toc35393802"/>
      <w:bookmarkStart w:id="10" w:name="_Toc28359016"/>
      <w:bookmarkStart w:id="11" w:name="_Toc35393633"/>
      <w:bookmarkStart w:id="12" w:name="_Toc28359093"/>
      <w:r>
        <w:rPr>
          <w:b/>
          <w:bCs/>
          <w:color w:val="auto"/>
          <w:sz w:val="24"/>
          <w:highlight w:val="none"/>
        </w:rPr>
        <w:t>五、响应文件开启</w:t>
      </w:r>
      <w:bookmarkEnd w:id="9"/>
      <w:bookmarkEnd w:id="10"/>
      <w:bookmarkEnd w:id="11"/>
      <w:bookmarkEnd w:id="12"/>
    </w:p>
    <w:p w14:paraId="0074C9C1">
      <w:pPr>
        <w:spacing w:line="360" w:lineRule="auto"/>
        <w:ind w:firstLine="480" w:firstLineChars="200"/>
        <w:rPr>
          <w:color w:val="auto"/>
          <w:sz w:val="24"/>
          <w:highlight w:val="none"/>
        </w:rPr>
      </w:pPr>
      <w:r>
        <w:rPr>
          <w:color w:val="auto"/>
          <w:sz w:val="24"/>
          <w:highlight w:val="none"/>
        </w:rPr>
        <w:t>开启时间：</w:t>
      </w:r>
      <w:r>
        <w:rPr>
          <w:rFonts w:hint="eastAsia"/>
          <w:color w:val="auto"/>
          <w:sz w:val="24"/>
          <w:highlight w:val="none"/>
          <w:lang w:eastAsia="zh-CN"/>
        </w:rPr>
        <w:t>2025</w:t>
      </w:r>
      <w:r>
        <w:rPr>
          <w:rFonts w:hint="eastAsia"/>
          <w:color w:val="auto"/>
          <w:sz w:val="24"/>
          <w:highlight w:val="none"/>
        </w:rPr>
        <w:t>年</w:t>
      </w:r>
      <w:r>
        <w:rPr>
          <w:rFonts w:hint="eastAsia"/>
          <w:color w:val="auto"/>
          <w:sz w:val="24"/>
          <w:highlight w:val="none"/>
          <w:lang w:val="en-US" w:eastAsia="zh-CN"/>
        </w:rPr>
        <w:t xml:space="preserve">5 </w:t>
      </w:r>
      <w:r>
        <w:rPr>
          <w:rFonts w:hint="eastAsia"/>
          <w:color w:val="auto"/>
          <w:sz w:val="24"/>
          <w:highlight w:val="none"/>
        </w:rPr>
        <w:t>月</w:t>
      </w:r>
      <w:r>
        <w:rPr>
          <w:rFonts w:hint="eastAsia"/>
          <w:color w:val="auto"/>
          <w:sz w:val="24"/>
          <w:highlight w:val="none"/>
          <w:lang w:val="en-US" w:eastAsia="zh-CN"/>
        </w:rPr>
        <w:t xml:space="preserve">7 </w:t>
      </w:r>
      <w:r>
        <w:rPr>
          <w:rFonts w:hint="eastAsia"/>
          <w:color w:val="auto"/>
          <w:sz w:val="24"/>
          <w:highlight w:val="none"/>
        </w:rPr>
        <w:t>日</w:t>
      </w:r>
      <w:r>
        <w:rPr>
          <w:rFonts w:hint="eastAsia"/>
          <w:color w:val="auto"/>
          <w:sz w:val="24"/>
          <w:highlight w:val="none"/>
          <w:lang w:val="en-US" w:eastAsia="zh-CN"/>
        </w:rPr>
        <w:t>9:00</w:t>
      </w:r>
      <w:r>
        <w:rPr>
          <w:color w:val="auto"/>
          <w:sz w:val="24"/>
          <w:highlight w:val="none"/>
        </w:rPr>
        <w:t>（北京时间）</w:t>
      </w:r>
    </w:p>
    <w:p w14:paraId="10677C8D">
      <w:pPr>
        <w:spacing w:line="360" w:lineRule="auto"/>
        <w:ind w:firstLine="480" w:firstLineChars="200"/>
        <w:rPr>
          <w:color w:val="auto"/>
          <w:sz w:val="24"/>
          <w:highlight w:val="none"/>
        </w:rPr>
      </w:pPr>
      <w:r>
        <w:rPr>
          <w:color w:val="auto"/>
          <w:sz w:val="24"/>
          <w:highlight w:val="none"/>
        </w:rPr>
        <w:t>地点：通过</w:t>
      </w:r>
      <w:r>
        <w:rPr>
          <w:rFonts w:hint="eastAsia"/>
          <w:color w:val="auto"/>
          <w:sz w:val="24"/>
          <w:highlight w:val="none"/>
          <w:lang w:eastAsia="zh-CN"/>
        </w:rPr>
        <w:t>广西政府采购云平台</w:t>
      </w:r>
      <w:r>
        <w:rPr>
          <w:color w:val="auto"/>
          <w:sz w:val="24"/>
          <w:highlight w:val="none"/>
        </w:rPr>
        <w:t>实行在线解密开启。</w:t>
      </w:r>
    </w:p>
    <w:p w14:paraId="1ACAD0CA">
      <w:pPr>
        <w:spacing w:line="360" w:lineRule="auto"/>
        <w:rPr>
          <w:b/>
          <w:bCs/>
          <w:color w:val="auto"/>
          <w:sz w:val="24"/>
          <w:highlight w:val="none"/>
        </w:rPr>
      </w:pPr>
      <w:bookmarkStart w:id="13" w:name="_Toc35393803"/>
      <w:bookmarkStart w:id="14" w:name="_Toc28359094"/>
      <w:bookmarkStart w:id="15" w:name="_Toc28359017"/>
      <w:bookmarkStart w:id="16" w:name="_Toc35393634"/>
      <w:r>
        <w:rPr>
          <w:b/>
          <w:bCs/>
          <w:color w:val="auto"/>
          <w:sz w:val="24"/>
          <w:highlight w:val="none"/>
        </w:rPr>
        <w:t>六、公告期限</w:t>
      </w:r>
      <w:bookmarkEnd w:id="13"/>
      <w:bookmarkEnd w:id="14"/>
      <w:bookmarkEnd w:id="15"/>
      <w:bookmarkEnd w:id="16"/>
    </w:p>
    <w:p w14:paraId="29BB5371">
      <w:pPr>
        <w:spacing w:line="360" w:lineRule="auto"/>
        <w:ind w:firstLine="480" w:firstLineChars="200"/>
        <w:rPr>
          <w:color w:val="auto"/>
          <w:sz w:val="24"/>
          <w:highlight w:val="none"/>
        </w:rPr>
      </w:pPr>
      <w:bookmarkStart w:id="17" w:name="_Toc35393804"/>
      <w:bookmarkStart w:id="18" w:name="_Toc35393635"/>
      <w:r>
        <w:rPr>
          <w:color w:val="auto"/>
          <w:sz w:val="24"/>
          <w:highlight w:val="none"/>
        </w:rPr>
        <w:t>自本公告发布之日起</w:t>
      </w:r>
      <w:r>
        <w:rPr>
          <w:rFonts w:hint="eastAsia"/>
          <w:color w:val="auto"/>
          <w:sz w:val="24"/>
          <w:highlight w:val="none"/>
        </w:rPr>
        <w:t>5个工作日</w:t>
      </w:r>
      <w:r>
        <w:rPr>
          <w:color w:val="auto"/>
          <w:sz w:val="24"/>
          <w:highlight w:val="none"/>
        </w:rPr>
        <w:t>。</w:t>
      </w:r>
    </w:p>
    <w:p w14:paraId="5DA64749">
      <w:pPr>
        <w:numPr>
          <w:ilvl w:val="0"/>
          <w:numId w:val="1"/>
        </w:numPr>
        <w:spacing w:line="360" w:lineRule="auto"/>
        <w:rPr>
          <w:b/>
          <w:bCs/>
          <w:color w:val="auto"/>
          <w:sz w:val="24"/>
          <w:highlight w:val="none"/>
        </w:rPr>
      </w:pPr>
      <w:r>
        <w:rPr>
          <w:b/>
          <w:bCs/>
          <w:color w:val="auto"/>
          <w:sz w:val="24"/>
          <w:highlight w:val="none"/>
        </w:rPr>
        <w:t>其他补充事宜</w:t>
      </w:r>
      <w:bookmarkEnd w:id="17"/>
      <w:bookmarkEnd w:id="18"/>
    </w:p>
    <w:p w14:paraId="707BAD1D">
      <w:pPr>
        <w:spacing w:line="360" w:lineRule="auto"/>
        <w:ind w:firstLine="480" w:firstLineChars="200"/>
        <w:textAlignment w:val="baseline"/>
        <w:rPr>
          <w:color w:val="auto"/>
          <w:highlight w:val="none"/>
        </w:rPr>
      </w:pPr>
      <w:r>
        <w:rPr>
          <w:color w:val="auto"/>
          <w:sz w:val="24"/>
          <w:highlight w:val="none"/>
        </w:rPr>
        <w:t>（一）</w:t>
      </w:r>
      <w:r>
        <w:rPr>
          <w:color w:val="auto"/>
          <w:kern w:val="0"/>
          <w:sz w:val="24"/>
          <w:highlight w:val="none"/>
        </w:rPr>
        <w:t>本项目不收取</w:t>
      </w:r>
      <w:r>
        <w:rPr>
          <w:rFonts w:hint="eastAsia"/>
          <w:color w:val="auto"/>
          <w:kern w:val="0"/>
          <w:sz w:val="24"/>
          <w:highlight w:val="none"/>
        </w:rPr>
        <w:t>磋商保证金</w:t>
      </w:r>
      <w:r>
        <w:rPr>
          <w:color w:val="auto"/>
          <w:kern w:val="0"/>
          <w:sz w:val="24"/>
          <w:highlight w:val="none"/>
        </w:rPr>
        <w:t>；</w:t>
      </w:r>
    </w:p>
    <w:p w14:paraId="4DA44047">
      <w:pPr>
        <w:spacing w:line="360" w:lineRule="auto"/>
        <w:ind w:firstLine="480" w:firstLineChars="200"/>
        <w:rPr>
          <w:color w:val="auto"/>
          <w:sz w:val="24"/>
          <w:highlight w:val="none"/>
        </w:rPr>
      </w:pPr>
      <w:r>
        <w:rPr>
          <w:color w:val="auto"/>
          <w:sz w:val="24"/>
          <w:highlight w:val="none"/>
        </w:rPr>
        <w:t>（二）本项目需要落实的政府采购政策：</w:t>
      </w:r>
    </w:p>
    <w:p w14:paraId="7031C273">
      <w:pPr>
        <w:spacing w:line="360" w:lineRule="auto"/>
        <w:ind w:firstLine="720" w:firstLineChars="300"/>
        <w:rPr>
          <w:color w:val="auto"/>
          <w:sz w:val="24"/>
          <w:highlight w:val="none"/>
        </w:rPr>
      </w:pPr>
      <w:r>
        <w:rPr>
          <w:color w:val="auto"/>
          <w:sz w:val="24"/>
          <w:highlight w:val="none"/>
        </w:rPr>
        <w:t>1.政府采购促进中小企业发展：</w:t>
      </w:r>
    </w:p>
    <w:p w14:paraId="3E7BA5A6">
      <w:pPr>
        <w:spacing w:line="360" w:lineRule="auto"/>
        <w:ind w:firstLine="720" w:firstLineChars="300"/>
        <w:rPr>
          <w:color w:val="auto"/>
          <w:sz w:val="24"/>
          <w:highlight w:val="none"/>
        </w:rPr>
      </w:pPr>
      <w:r>
        <w:rPr>
          <w:color w:val="auto"/>
          <w:sz w:val="24"/>
          <w:highlight w:val="none"/>
        </w:rPr>
        <w:t>2.政府采购支持采用本国产品的政策。</w:t>
      </w:r>
    </w:p>
    <w:p w14:paraId="465EF822">
      <w:pPr>
        <w:spacing w:line="360" w:lineRule="auto"/>
        <w:ind w:firstLine="720" w:firstLineChars="300"/>
        <w:rPr>
          <w:color w:val="auto"/>
          <w:sz w:val="24"/>
          <w:highlight w:val="none"/>
        </w:rPr>
      </w:pPr>
      <w:r>
        <w:rPr>
          <w:color w:val="auto"/>
          <w:sz w:val="24"/>
          <w:highlight w:val="none"/>
        </w:rPr>
        <w:t>3.强制采购、优先采购环境标志产品、节能产品。</w:t>
      </w:r>
    </w:p>
    <w:p w14:paraId="3A65E63A">
      <w:pPr>
        <w:spacing w:line="360" w:lineRule="auto"/>
        <w:ind w:firstLine="720" w:firstLineChars="300"/>
        <w:rPr>
          <w:color w:val="auto"/>
          <w:sz w:val="24"/>
          <w:highlight w:val="none"/>
        </w:rPr>
      </w:pPr>
      <w:r>
        <w:rPr>
          <w:color w:val="auto"/>
          <w:sz w:val="24"/>
          <w:highlight w:val="none"/>
        </w:rPr>
        <w:t>4.政府采购促进残疾人就业政策。</w:t>
      </w:r>
    </w:p>
    <w:p w14:paraId="0B624A99">
      <w:pPr>
        <w:spacing w:line="360" w:lineRule="auto"/>
        <w:ind w:firstLine="720" w:firstLineChars="300"/>
        <w:rPr>
          <w:color w:val="auto"/>
          <w:sz w:val="24"/>
          <w:highlight w:val="none"/>
        </w:rPr>
      </w:pPr>
      <w:r>
        <w:rPr>
          <w:color w:val="auto"/>
          <w:sz w:val="24"/>
          <w:highlight w:val="none"/>
        </w:rPr>
        <w:t>5.政府采购支持监狱企业发展。</w:t>
      </w:r>
    </w:p>
    <w:p w14:paraId="38AE59B6">
      <w:pPr>
        <w:spacing w:line="360" w:lineRule="auto"/>
        <w:ind w:firstLine="720" w:firstLineChars="300"/>
        <w:rPr>
          <w:color w:val="auto"/>
          <w:sz w:val="24"/>
          <w:highlight w:val="none"/>
        </w:rPr>
      </w:pPr>
      <w:r>
        <w:rPr>
          <w:color w:val="auto"/>
          <w:sz w:val="24"/>
          <w:highlight w:val="none"/>
        </w:rPr>
        <w:t>6.扶持不发达地区和少数民族地区政策等政府采购相关政策。</w:t>
      </w:r>
    </w:p>
    <w:p w14:paraId="2FD02BC2">
      <w:pPr>
        <w:pStyle w:val="18"/>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（三）其他要求</w:t>
      </w:r>
    </w:p>
    <w:p w14:paraId="40202CA5">
      <w:pPr>
        <w:spacing w:line="360" w:lineRule="auto"/>
        <w:ind w:firstLine="480" w:firstLineChars="200"/>
        <w:textAlignment w:val="baseline"/>
        <w:rPr>
          <w:rFonts w:hint="default"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.国内注册（指按国家有关规定要求注册的）服务或经营达到本次</w:t>
      </w:r>
      <w:r>
        <w:rPr>
          <w:rFonts w:hint="eastAsia" w:ascii="Times New Roman" w:hAnsi="Times New Roman" w:eastAsia="宋体" w:cs="Times New Roman"/>
          <w:color w:val="auto"/>
          <w:sz w:val="24"/>
          <w:highlight w:val="none"/>
          <w:lang w:eastAsia="zh-CN"/>
        </w:rPr>
        <w:t>采购</w:t>
      </w:r>
      <w:r>
        <w:rPr>
          <w:rFonts w:hint="default" w:ascii="Times New Roman" w:hAnsi="Times New Roman" w:eastAsia="宋体" w:cs="Times New Roman"/>
          <w:color w:val="auto"/>
          <w:sz w:val="24"/>
          <w:highlight w:val="none"/>
          <w:lang w:eastAsia="zh-CN"/>
        </w:rPr>
        <w:t>服务要求，在人员、设备、资金等方面具有相应的能力，并具备法人资格的供应商；</w:t>
      </w:r>
    </w:p>
    <w:p w14:paraId="478FD8D5">
      <w:pPr>
        <w:spacing w:line="360" w:lineRule="auto"/>
        <w:ind w:firstLine="480" w:firstLineChars="200"/>
        <w:textAlignment w:val="baseline"/>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2</w:t>
      </w:r>
      <w:r>
        <w:rPr>
          <w:rFonts w:ascii="Times New Roman" w:hAnsi="Times New Roman" w:eastAsia="宋体" w:cs="Times New Roman"/>
          <w:color w:val="auto"/>
          <w:sz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0213430">
      <w:pPr>
        <w:spacing w:line="360" w:lineRule="auto"/>
        <w:ind w:firstLine="480" w:firstLineChars="200"/>
        <w:textAlignment w:val="baseline"/>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3</w:t>
      </w:r>
      <w:r>
        <w:rPr>
          <w:rFonts w:ascii="Times New Roman" w:hAnsi="Times New Roman" w:eastAsia="宋体" w:cs="Times New Roman"/>
          <w:color w:val="auto"/>
          <w:sz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54795656">
      <w:pPr>
        <w:spacing w:line="360" w:lineRule="auto"/>
        <w:ind w:firstLine="480" w:firstLineChars="200"/>
        <w:textAlignment w:val="baseline"/>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4</w:t>
      </w:r>
      <w:r>
        <w:rPr>
          <w:rFonts w:ascii="Times New Roman" w:hAnsi="Times New Roman" w:eastAsia="宋体" w:cs="Times New Roman"/>
          <w:color w:val="auto"/>
          <w:sz w:val="24"/>
          <w:highlight w:val="none"/>
        </w:rPr>
        <w:t>.本项目不接受未完成网上下载采购文件的供应商</w:t>
      </w:r>
      <w:r>
        <w:rPr>
          <w:rFonts w:hint="eastAsia" w:ascii="Times New Roman" w:hAnsi="Times New Roman" w:eastAsia="宋体" w:cs="Times New Roman"/>
          <w:color w:val="auto"/>
          <w:sz w:val="24"/>
          <w:highlight w:val="none"/>
        </w:rPr>
        <w:t>参加</w:t>
      </w:r>
      <w:r>
        <w:rPr>
          <w:rFonts w:ascii="Times New Roman" w:hAnsi="Times New Roman" w:eastAsia="宋体" w:cs="Times New Roman"/>
          <w:color w:val="auto"/>
          <w:sz w:val="24"/>
          <w:highlight w:val="none"/>
        </w:rPr>
        <w:t>磋商。</w:t>
      </w:r>
    </w:p>
    <w:p w14:paraId="175DC41B">
      <w:pPr>
        <w:spacing w:line="360" w:lineRule="auto"/>
        <w:ind w:firstLine="480" w:firstLineChars="200"/>
        <w:textAlignment w:val="baseline"/>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四）、公告网址：http://www.ccgp.gov.cn（中国政府采购网）、http://zfcg.gxzf.gov.cn/（广西壮族自治区政府采购网）、http://ggzy.jgswj.gxzf.gov.cn/ggggzy/全国公共资源交易平台（广西·贵港）、http://zfcg.czj.gxgg.gov.cn（贵港市政府采购网）</w:t>
      </w:r>
    </w:p>
    <w:p w14:paraId="12749163">
      <w:pPr>
        <w:spacing w:line="360" w:lineRule="auto"/>
        <w:ind w:firstLine="480" w:firstLineChars="200"/>
        <w:textAlignment w:val="baseline"/>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（五）、在线投标响应（电子投标）说明</w:t>
      </w:r>
    </w:p>
    <w:p w14:paraId="3B6CD5FE">
      <w:pPr>
        <w:spacing w:line="360" w:lineRule="auto"/>
        <w:ind w:firstLine="480" w:firstLineChars="200"/>
        <w:textAlignment w:val="baseline"/>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 xml:space="preserve">1.响应文件提交方式：本项目为全流程电子化项目，通过“广西政府采购云平台”（https://www.gcy.zfcg.gxzf.gov.cn/）实行在线电子响应，各供应商通过新平台参与政府采购项目磋商需下载使用新版客户端，新版客户端下载路径： （广西政府采购云平台新版客户端下载地址： https://sitecdn.zcycdn.com/zcy-client/bidding-client-new/official/guangxi/GuangXiSetup.exe） —办事服务—下载专区。原在政采云平台注册的临时供应商需在新平台启用后重新注册登记，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 </w:t>
      </w:r>
    </w:p>
    <w:p w14:paraId="66476B0D">
      <w:pPr>
        <w:spacing w:line="360" w:lineRule="auto"/>
        <w:ind w:firstLine="480" w:firstLineChars="200"/>
        <w:textAlignment w:val="baseline"/>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 xml:space="preserve">2.未进行网上注册并办理数字证书（CA 认证）的供应商将无法参与本项目政府采购活动，潜在供应商应当在首次响应文件提交截止时间前，完成电子交易平台上的 CA 数字证书办理及响应文件的提交。 </w:t>
      </w:r>
    </w:p>
    <w:p w14:paraId="55EBC2BF">
      <w:pPr>
        <w:spacing w:line="360" w:lineRule="auto"/>
        <w:ind w:firstLine="480" w:firstLineChars="200"/>
        <w:textAlignment w:val="baseline"/>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 xml:space="preserve">3.为确保网上操作合法、有效和安全，请供应商确保在电子响应过程中能够对相关数据电文进行加密和使用电子签章，妥善保管 CA 数字证书并使用有效的 CA 数字证书参与整个采购活动。 </w:t>
      </w:r>
    </w:p>
    <w:p w14:paraId="65FA1CBB">
      <w:pPr>
        <w:spacing w:line="360" w:lineRule="auto"/>
        <w:ind w:firstLine="480" w:firstLineChars="200"/>
        <w:textAlignment w:val="baseline"/>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 xml:space="preserve">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 </w:t>
      </w:r>
    </w:p>
    <w:p w14:paraId="7D53C6FA">
      <w:pPr>
        <w:spacing w:line="360" w:lineRule="auto"/>
        <w:ind w:firstLine="480" w:firstLineChars="200"/>
        <w:textAlignment w:val="baseline"/>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 xml:space="preserve">4.CA 证书在线解密：首次响应文件开启时，需要供应商携带制作响应文件时用来加密的有效数字证书（CA 认证）登录“广西政府采购云平台”电子开标大厅现场按规定时间对加密的响应文件进行解密。 </w:t>
      </w:r>
    </w:p>
    <w:p w14:paraId="5A6D3188">
      <w:pPr>
        <w:spacing w:line="360" w:lineRule="auto"/>
        <w:ind w:firstLine="480" w:firstLineChars="200"/>
        <w:textAlignment w:val="baseline"/>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 xml:space="preserve">5.供应商需要在具备有摄像头及语音功能且互联网网络状况良好的电脑登录“广西政府采购云平台”远程开标大厅参与本次磋商，否则后果自负。 </w:t>
      </w:r>
    </w:p>
    <w:p w14:paraId="7F0637C5">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6..若 对 项 目 采 购 电 子 交 易 系 统 操 作 有 疑 问 ， 可 登 录 “ 广 西 政 府 采 购 云 平 台 ” （https://www.gcy.zfcg.gxzf.gov.cn/），点击右侧咨询小采，获取采小蜜智能服务管家帮助，或拨打政采云服务热线95763获取热线服务帮助 。</w:t>
      </w:r>
    </w:p>
    <w:p w14:paraId="4738997B">
      <w:pPr>
        <w:spacing w:line="360" w:lineRule="auto"/>
        <w:ind w:firstLine="480" w:firstLineChars="200"/>
        <w:rPr>
          <w:b w:val="0"/>
          <w:bCs w:val="0"/>
          <w:color w:val="auto"/>
          <w:sz w:val="24"/>
          <w:highlight w:val="none"/>
        </w:rPr>
      </w:pPr>
      <w:r>
        <w:rPr>
          <w:rFonts w:hint="eastAsia"/>
          <w:b w:val="0"/>
          <w:bCs w:val="0"/>
          <w:color w:val="auto"/>
          <w:sz w:val="24"/>
          <w:highlight w:val="none"/>
          <w:lang w:eastAsia="zh-CN"/>
        </w:rPr>
        <w:t>（</w:t>
      </w:r>
      <w:r>
        <w:rPr>
          <w:rFonts w:hint="eastAsia"/>
          <w:b w:val="0"/>
          <w:bCs w:val="0"/>
          <w:color w:val="auto"/>
          <w:sz w:val="24"/>
          <w:highlight w:val="none"/>
          <w:lang w:val="en-US" w:eastAsia="zh-CN"/>
        </w:rPr>
        <w:t>六</w:t>
      </w:r>
      <w:r>
        <w:rPr>
          <w:rFonts w:hint="eastAsia"/>
          <w:b w:val="0"/>
          <w:bCs w:val="0"/>
          <w:color w:val="auto"/>
          <w:sz w:val="24"/>
          <w:highlight w:val="none"/>
          <w:lang w:eastAsia="zh-CN"/>
        </w:rPr>
        <w:t>）</w:t>
      </w:r>
      <w:r>
        <w:rPr>
          <w:b w:val="0"/>
          <w:bCs w:val="0"/>
          <w:color w:val="auto"/>
          <w:sz w:val="24"/>
          <w:highlight w:val="none"/>
        </w:rPr>
        <w:t>政府采购监督部门：</w:t>
      </w:r>
    </w:p>
    <w:p w14:paraId="2FA72F86">
      <w:pPr>
        <w:spacing w:line="360" w:lineRule="auto"/>
        <w:ind w:firstLine="480" w:firstLineChars="200"/>
        <w:rPr>
          <w:rFonts w:hint="eastAsia" w:eastAsia="宋体"/>
          <w:color w:val="auto"/>
          <w:sz w:val="24"/>
          <w:highlight w:val="none"/>
          <w:lang w:eastAsia="zh-CN"/>
        </w:rPr>
      </w:pPr>
      <w:r>
        <w:rPr>
          <w:rFonts w:hint="eastAsia"/>
          <w:color w:val="auto"/>
          <w:sz w:val="24"/>
          <w:highlight w:val="none"/>
          <w:lang w:eastAsia="zh-CN"/>
        </w:rPr>
        <w:t>桂平市财政局政府采购监督管理股 0775-3380263</w:t>
      </w:r>
    </w:p>
    <w:p w14:paraId="16D89610">
      <w:pPr>
        <w:spacing w:line="360" w:lineRule="auto"/>
        <w:rPr>
          <w:color w:val="auto"/>
          <w:sz w:val="24"/>
          <w:highlight w:val="none"/>
        </w:rPr>
      </w:pPr>
      <w:r>
        <w:rPr>
          <w:b/>
          <w:bCs/>
          <w:color w:val="auto"/>
          <w:sz w:val="24"/>
          <w:highlight w:val="none"/>
        </w:rPr>
        <w:t>八、凡对本次采购提出询问，请按以下方式联系：</w:t>
      </w:r>
    </w:p>
    <w:p w14:paraId="16B4C161">
      <w:pPr>
        <w:spacing w:line="360" w:lineRule="auto"/>
        <w:ind w:firstLine="480" w:firstLineChars="200"/>
        <w:rPr>
          <w:color w:val="auto"/>
          <w:sz w:val="24"/>
          <w:highlight w:val="none"/>
        </w:rPr>
      </w:pPr>
      <w:bookmarkStart w:id="19" w:name="_Toc28359096"/>
      <w:bookmarkStart w:id="20" w:name="_Toc35393806"/>
      <w:bookmarkStart w:id="21" w:name="_Toc28359019"/>
      <w:bookmarkStart w:id="22" w:name="_Toc35393637"/>
      <w:bookmarkStart w:id="23" w:name="_Toc28359020"/>
      <w:bookmarkStart w:id="24" w:name="_Toc35393807"/>
      <w:bookmarkStart w:id="25" w:name="_Toc35393638"/>
      <w:bookmarkStart w:id="26" w:name="_Toc28359097"/>
      <w:r>
        <w:rPr>
          <w:color w:val="auto"/>
          <w:sz w:val="24"/>
          <w:highlight w:val="none"/>
        </w:rPr>
        <w:t>1.采购人信息</w:t>
      </w:r>
      <w:bookmarkEnd w:id="19"/>
      <w:bookmarkEnd w:id="20"/>
      <w:bookmarkEnd w:id="21"/>
      <w:bookmarkEnd w:id="22"/>
      <w:bookmarkStart w:id="58" w:name="_GoBack"/>
      <w:bookmarkEnd w:id="58"/>
    </w:p>
    <w:p w14:paraId="1EB6300C">
      <w:pPr>
        <w:spacing w:line="360" w:lineRule="auto"/>
        <w:ind w:firstLine="480" w:firstLineChars="200"/>
        <w:rPr>
          <w:color w:val="auto"/>
          <w:sz w:val="24"/>
          <w:highlight w:val="none"/>
        </w:rPr>
      </w:pPr>
      <w:r>
        <w:rPr>
          <w:color w:val="auto"/>
          <w:sz w:val="24"/>
          <w:highlight w:val="none"/>
        </w:rPr>
        <w:t>名    称：</w:t>
      </w:r>
      <w:r>
        <w:rPr>
          <w:rFonts w:hint="eastAsia"/>
          <w:color w:val="auto"/>
          <w:sz w:val="24"/>
          <w:highlight w:val="none"/>
          <w:lang w:eastAsia="zh-CN"/>
        </w:rPr>
        <w:t>桂平市文化广电体育和旅游局</w:t>
      </w:r>
      <w:r>
        <w:rPr>
          <w:color w:val="auto"/>
          <w:sz w:val="24"/>
          <w:highlight w:val="none"/>
        </w:rPr>
        <w:t xml:space="preserve"> 　</w:t>
      </w:r>
    </w:p>
    <w:p w14:paraId="202DEB19">
      <w:pPr>
        <w:spacing w:line="360" w:lineRule="auto"/>
        <w:ind w:firstLine="480" w:firstLineChars="200"/>
        <w:rPr>
          <w:rFonts w:hint="eastAsia" w:eastAsia="宋体"/>
          <w:color w:val="auto"/>
          <w:sz w:val="24"/>
          <w:highlight w:val="none"/>
          <w:lang w:eastAsia="zh-CN"/>
        </w:rPr>
      </w:pPr>
      <w:r>
        <w:rPr>
          <w:color w:val="auto"/>
          <w:sz w:val="24"/>
          <w:highlight w:val="none"/>
        </w:rPr>
        <w:t>地    址：</w:t>
      </w:r>
      <w:r>
        <w:rPr>
          <w:rFonts w:hint="eastAsia"/>
          <w:color w:val="auto"/>
          <w:sz w:val="24"/>
          <w:highlight w:val="none"/>
        </w:rPr>
        <w:t>桂平市桂贵中路110号</w:t>
      </w:r>
    </w:p>
    <w:p w14:paraId="7A97823D">
      <w:pPr>
        <w:spacing w:line="360" w:lineRule="auto"/>
        <w:ind w:firstLine="480" w:firstLineChars="200"/>
        <w:rPr>
          <w:rFonts w:hint="default" w:eastAsia="宋体"/>
          <w:color w:val="auto"/>
          <w:sz w:val="24"/>
          <w:highlight w:val="none"/>
          <w:lang w:val="en-US" w:eastAsia="zh-CN"/>
        </w:rPr>
      </w:pPr>
      <w:r>
        <w:rPr>
          <w:color w:val="auto"/>
          <w:sz w:val="24"/>
          <w:highlight w:val="none"/>
        </w:rPr>
        <w:t>项目联系人：</w:t>
      </w:r>
      <w:r>
        <w:rPr>
          <w:rFonts w:hint="eastAsia"/>
          <w:color w:val="auto"/>
          <w:sz w:val="24"/>
          <w:highlight w:val="none"/>
          <w:lang w:val="en-US" w:eastAsia="zh-CN"/>
        </w:rPr>
        <w:t>甘益铭</w:t>
      </w:r>
    </w:p>
    <w:p w14:paraId="0584655D">
      <w:pPr>
        <w:spacing w:line="360" w:lineRule="auto"/>
        <w:ind w:firstLine="480" w:firstLineChars="200"/>
        <w:rPr>
          <w:rFonts w:hint="default" w:eastAsia="宋体"/>
          <w:color w:val="auto"/>
          <w:sz w:val="24"/>
          <w:highlight w:val="none"/>
          <w:lang w:val="en-US" w:eastAsia="zh-CN"/>
        </w:rPr>
      </w:pPr>
      <w:r>
        <w:rPr>
          <w:color w:val="auto"/>
          <w:sz w:val="24"/>
          <w:highlight w:val="none"/>
        </w:rPr>
        <w:t>项目联系方式：</w:t>
      </w:r>
      <w:r>
        <w:rPr>
          <w:rFonts w:hint="eastAsia"/>
          <w:color w:val="auto"/>
          <w:sz w:val="24"/>
          <w:highlight w:val="none"/>
          <w:lang w:val="en-US" w:eastAsia="zh-CN"/>
        </w:rPr>
        <w:t>0775-3390129</w:t>
      </w:r>
    </w:p>
    <w:p w14:paraId="5C5FED70">
      <w:pPr>
        <w:spacing w:line="360" w:lineRule="auto"/>
        <w:ind w:firstLine="480" w:firstLineChars="200"/>
        <w:rPr>
          <w:color w:val="auto"/>
          <w:sz w:val="24"/>
          <w:highlight w:val="none"/>
        </w:rPr>
      </w:pPr>
      <w:r>
        <w:rPr>
          <w:color w:val="auto"/>
          <w:sz w:val="24"/>
          <w:highlight w:val="none"/>
        </w:rPr>
        <w:t>2.采购代理机构信息</w:t>
      </w:r>
      <w:bookmarkEnd w:id="23"/>
      <w:bookmarkEnd w:id="24"/>
      <w:bookmarkEnd w:id="25"/>
      <w:bookmarkEnd w:id="26"/>
    </w:p>
    <w:p w14:paraId="50729B8D">
      <w:pPr>
        <w:spacing w:line="360" w:lineRule="auto"/>
        <w:ind w:firstLine="480" w:firstLineChars="200"/>
        <w:rPr>
          <w:rFonts w:hint="default" w:ascii="Times New Roman" w:hAnsi="Times New Roman" w:eastAsia="宋体" w:cs="Times New Roman"/>
          <w:color w:val="auto"/>
          <w:sz w:val="24"/>
          <w:highlight w:val="none"/>
        </w:rPr>
      </w:pPr>
      <w:bookmarkStart w:id="27" w:name="_Toc517172622"/>
      <w:bookmarkStart w:id="28" w:name="_Toc517173113"/>
      <w:bookmarkStart w:id="29" w:name="_Toc14007"/>
      <w:r>
        <w:rPr>
          <w:rFonts w:hint="default" w:ascii="Times New Roman" w:hAnsi="Times New Roman" w:eastAsia="宋体" w:cs="Times New Roman"/>
          <w:color w:val="auto"/>
          <w:sz w:val="24"/>
          <w:highlight w:val="none"/>
        </w:rPr>
        <w:t>名    称：</w:t>
      </w:r>
      <w:r>
        <w:rPr>
          <w:rFonts w:hint="eastAsia" w:cs="Times New Roman"/>
          <w:color w:val="auto"/>
          <w:sz w:val="24"/>
          <w:highlight w:val="none"/>
          <w:lang w:eastAsia="zh-CN"/>
        </w:rPr>
        <w:t>广西创佳项目管理有限公司</w:t>
      </w:r>
      <w:r>
        <w:rPr>
          <w:rFonts w:hint="default" w:ascii="Times New Roman" w:hAnsi="Times New Roman" w:eastAsia="宋体" w:cs="Times New Roman"/>
          <w:color w:val="auto"/>
          <w:sz w:val="24"/>
          <w:highlight w:val="none"/>
        </w:rPr>
        <w:t>　</w:t>
      </w:r>
    </w:p>
    <w:p w14:paraId="29F51F73">
      <w:pPr>
        <w:spacing w:line="360" w:lineRule="auto"/>
        <w:ind w:firstLine="480" w:firstLineChars="200"/>
        <w:rPr>
          <w:rFonts w:hint="eastAsia" w:eastAsia="宋体"/>
          <w:color w:val="auto"/>
          <w:sz w:val="24"/>
          <w:highlight w:val="none"/>
          <w:lang w:eastAsia="zh-CN"/>
        </w:rPr>
      </w:pPr>
      <w:r>
        <w:rPr>
          <w:rFonts w:hint="default" w:ascii="Times New Roman" w:hAnsi="Times New Roman" w:eastAsia="宋体" w:cs="Times New Roman"/>
          <w:color w:val="auto"/>
          <w:sz w:val="24"/>
          <w:highlight w:val="none"/>
        </w:rPr>
        <w:t>地　　址：</w:t>
      </w:r>
      <w:r>
        <w:rPr>
          <w:rFonts w:hint="eastAsia" w:ascii="Times New Roman" w:hAnsi="Times New Roman" w:eastAsia="宋体" w:cs="Times New Roman"/>
          <w:color w:val="auto"/>
          <w:sz w:val="24"/>
          <w:highlight w:val="none"/>
          <w:lang w:val="en-US" w:eastAsia="zh-CN"/>
        </w:rPr>
        <w:t>桂平市政务服务中心后面</w:t>
      </w:r>
    </w:p>
    <w:p w14:paraId="54BC7CC9">
      <w:pPr>
        <w:spacing w:line="360" w:lineRule="auto"/>
        <w:ind w:firstLine="480" w:firstLineChars="200"/>
        <w:rPr>
          <w:color w:val="auto"/>
          <w:highlight w:val="none"/>
        </w:rPr>
      </w:pPr>
      <w:r>
        <w:rPr>
          <w:color w:val="auto"/>
          <w:sz w:val="24"/>
          <w:highlight w:val="none"/>
        </w:rPr>
        <w:t>项目联系人：</w:t>
      </w:r>
      <w:r>
        <w:rPr>
          <w:rFonts w:hint="eastAsia"/>
          <w:color w:val="auto"/>
          <w:sz w:val="24"/>
          <w:highlight w:val="none"/>
          <w:lang w:val="en-US" w:eastAsia="zh-CN"/>
        </w:rPr>
        <w:t>唐维平、覃骞稼</w:t>
      </w:r>
      <w:r>
        <w:rPr>
          <w:color w:val="auto"/>
          <w:sz w:val="24"/>
          <w:highlight w:val="none"/>
        </w:rPr>
        <w:t>　　</w:t>
      </w:r>
      <w:r>
        <w:rPr>
          <w:rFonts w:hint="eastAsia"/>
          <w:color w:val="auto"/>
          <w:sz w:val="24"/>
          <w:highlight w:val="none"/>
          <w:lang w:val="en-US" w:eastAsia="zh-CN"/>
        </w:rPr>
        <w:t xml:space="preserve"> </w:t>
      </w:r>
      <w:r>
        <w:rPr>
          <w:color w:val="auto"/>
          <w:sz w:val="24"/>
          <w:highlight w:val="none"/>
        </w:rPr>
        <w:t>项目联系方式：</w:t>
      </w:r>
      <w:r>
        <w:rPr>
          <w:rFonts w:hint="eastAsia"/>
          <w:color w:val="auto"/>
          <w:sz w:val="24"/>
          <w:highlight w:val="none"/>
          <w:lang w:val="en-US" w:eastAsia="zh-CN"/>
        </w:rPr>
        <w:t>0775-3360111</w:t>
      </w:r>
      <w:r>
        <w:rPr>
          <w:color w:val="auto"/>
          <w:highlight w:val="none"/>
        </w:rPr>
        <w:br w:type="page"/>
      </w:r>
      <w:r>
        <w:rPr>
          <w:rFonts w:hint="eastAsia"/>
          <w:color w:val="auto"/>
          <w:highlight w:val="none"/>
          <w:lang w:val="en-US" w:eastAsia="zh-CN"/>
        </w:rPr>
        <w:t xml:space="preserve">                                    </w:t>
      </w:r>
      <w:r>
        <w:rPr>
          <w:color w:val="auto"/>
          <w:highlight w:val="none"/>
        </w:rPr>
        <w:t>第二章  磋商须知及前附表</w:t>
      </w:r>
      <w:bookmarkEnd w:id="27"/>
      <w:bookmarkEnd w:id="28"/>
      <w:bookmarkEnd w:id="29"/>
    </w:p>
    <w:p w14:paraId="6DFDA472">
      <w:pPr>
        <w:jc w:val="center"/>
        <w:rPr>
          <w:color w:val="auto"/>
          <w:szCs w:val="21"/>
          <w:highlight w:val="none"/>
        </w:rPr>
      </w:pPr>
      <w:bookmarkStart w:id="30" w:name="_Toc398217949"/>
      <w:r>
        <w:rPr>
          <w:b/>
          <w:color w:val="auto"/>
          <w:sz w:val="28"/>
          <w:szCs w:val="28"/>
          <w:highlight w:val="none"/>
        </w:rPr>
        <w:t xml:space="preserve">      前附表</w:t>
      </w:r>
      <w:bookmarkEnd w:id="30"/>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45"/>
        <w:gridCol w:w="7862"/>
      </w:tblGrid>
      <w:tr w14:paraId="795F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6" w:type="dxa"/>
            <w:vAlign w:val="center"/>
          </w:tcPr>
          <w:p w14:paraId="709F0036">
            <w:pPr>
              <w:spacing w:line="440" w:lineRule="exact"/>
              <w:jc w:val="center"/>
              <w:rPr>
                <w:b/>
                <w:color w:val="auto"/>
                <w:sz w:val="24"/>
                <w:highlight w:val="none"/>
              </w:rPr>
            </w:pPr>
            <w:r>
              <w:rPr>
                <w:b/>
                <w:color w:val="auto"/>
                <w:sz w:val="24"/>
                <w:highlight w:val="none"/>
              </w:rPr>
              <w:t>序号</w:t>
            </w:r>
          </w:p>
        </w:tc>
        <w:tc>
          <w:tcPr>
            <w:tcW w:w="945" w:type="dxa"/>
            <w:vAlign w:val="center"/>
          </w:tcPr>
          <w:p w14:paraId="6FB351FF">
            <w:pPr>
              <w:spacing w:line="440" w:lineRule="exact"/>
              <w:jc w:val="center"/>
              <w:rPr>
                <w:b/>
                <w:color w:val="auto"/>
                <w:sz w:val="24"/>
                <w:highlight w:val="none"/>
              </w:rPr>
            </w:pPr>
            <w:r>
              <w:rPr>
                <w:b/>
                <w:color w:val="auto"/>
                <w:sz w:val="24"/>
                <w:highlight w:val="none"/>
              </w:rPr>
              <w:t>条款号</w:t>
            </w:r>
          </w:p>
        </w:tc>
        <w:tc>
          <w:tcPr>
            <w:tcW w:w="7862" w:type="dxa"/>
            <w:vAlign w:val="center"/>
          </w:tcPr>
          <w:p w14:paraId="514FD687">
            <w:pPr>
              <w:spacing w:line="440" w:lineRule="exact"/>
              <w:jc w:val="center"/>
              <w:rPr>
                <w:b/>
                <w:color w:val="auto"/>
                <w:sz w:val="24"/>
                <w:highlight w:val="none"/>
              </w:rPr>
            </w:pPr>
            <w:r>
              <w:rPr>
                <w:b/>
                <w:color w:val="auto"/>
                <w:sz w:val="24"/>
                <w:highlight w:val="none"/>
              </w:rPr>
              <w:t>内    容</w:t>
            </w:r>
          </w:p>
        </w:tc>
      </w:tr>
      <w:tr w14:paraId="6589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14:paraId="26ED1039">
            <w:pPr>
              <w:spacing w:line="440" w:lineRule="exact"/>
              <w:jc w:val="center"/>
              <w:rPr>
                <w:color w:val="auto"/>
                <w:sz w:val="24"/>
                <w:highlight w:val="none"/>
              </w:rPr>
            </w:pPr>
            <w:r>
              <w:rPr>
                <w:color w:val="auto"/>
                <w:sz w:val="24"/>
                <w:highlight w:val="none"/>
              </w:rPr>
              <w:t>1</w:t>
            </w:r>
          </w:p>
        </w:tc>
        <w:tc>
          <w:tcPr>
            <w:tcW w:w="945" w:type="dxa"/>
            <w:vAlign w:val="center"/>
          </w:tcPr>
          <w:p w14:paraId="110CB631">
            <w:pPr>
              <w:spacing w:line="440" w:lineRule="exact"/>
              <w:jc w:val="center"/>
              <w:rPr>
                <w:b/>
                <w:color w:val="auto"/>
                <w:sz w:val="24"/>
                <w:highlight w:val="none"/>
              </w:rPr>
            </w:pPr>
          </w:p>
        </w:tc>
        <w:tc>
          <w:tcPr>
            <w:tcW w:w="7862" w:type="dxa"/>
            <w:vAlign w:val="center"/>
          </w:tcPr>
          <w:p w14:paraId="2F7B797D">
            <w:pPr>
              <w:spacing w:line="440" w:lineRule="exact"/>
              <w:rPr>
                <w:rFonts w:hint="eastAsia"/>
                <w:bCs/>
                <w:color w:val="auto"/>
                <w:sz w:val="24"/>
                <w:highlight w:val="none"/>
                <w:lang w:eastAsia="zh-CN"/>
              </w:rPr>
            </w:pPr>
            <w:r>
              <w:rPr>
                <w:b/>
                <w:color w:val="auto"/>
                <w:sz w:val="24"/>
                <w:highlight w:val="none"/>
              </w:rPr>
              <w:t>项目名称：</w:t>
            </w:r>
            <w:r>
              <w:rPr>
                <w:rFonts w:hint="eastAsia"/>
                <w:bCs/>
                <w:color w:val="auto"/>
                <w:sz w:val="24"/>
                <w:highlight w:val="none"/>
                <w:lang w:eastAsia="zh-CN"/>
              </w:rPr>
              <w:t>桂平市太平天国金田起义地址景区物业管理服务</w:t>
            </w:r>
          </w:p>
          <w:p w14:paraId="3DB05BAA">
            <w:pPr>
              <w:spacing w:line="440" w:lineRule="exact"/>
              <w:rPr>
                <w:rFonts w:hint="eastAsia" w:eastAsia="宋体"/>
                <w:b/>
                <w:color w:val="auto"/>
                <w:sz w:val="24"/>
                <w:highlight w:val="none"/>
                <w:u w:val="single"/>
                <w:lang w:eastAsia="zh-CN"/>
              </w:rPr>
            </w:pPr>
            <w:r>
              <w:rPr>
                <w:b/>
                <w:color w:val="auto"/>
                <w:sz w:val="24"/>
                <w:highlight w:val="none"/>
              </w:rPr>
              <w:t>项目编号：</w:t>
            </w:r>
            <w:r>
              <w:rPr>
                <w:rFonts w:hint="eastAsia"/>
                <w:bCs/>
                <w:color w:val="auto"/>
                <w:sz w:val="24"/>
                <w:highlight w:val="none"/>
                <w:lang w:eastAsia="zh-CN"/>
              </w:rPr>
              <w:t>GGZC2025-C3-810067-GXCJ</w:t>
            </w:r>
          </w:p>
        </w:tc>
      </w:tr>
      <w:tr w14:paraId="0FAE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4" w:hRule="atLeast"/>
          <w:jc w:val="center"/>
        </w:trPr>
        <w:tc>
          <w:tcPr>
            <w:tcW w:w="726" w:type="dxa"/>
            <w:vAlign w:val="center"/>
          </w:tcPr>
          <w:p w14:paraId="3D78AE77">
            <w:pPr>
              <w:spacing w:line="440" w:lineRule="exact"/>
              <w:jc w:val="center"/>
              <w:rPr>
                <w:color w:val="auto"/>
                <w:sz w:val="24"/>
                <w:highlight w:val="none"/>
              </w:rPr>
            </w:pPr>
            <w:r>
              <w:rPr>
                <w:color w:val="auto"/>
                <w:sz w:val="24"/>
                <w:highlight w:val="none"/>
              </w:rPr>
              <w:t>2</w:t>
            </w:r>
          </w:p>
        </w:tc>
        <w:tc>
          <w:tcPr>
            <w:tcW w:w="945" w:type="dxa"/>
            <w:vAlign w:val="center"/>
          </w:tcPr>
          <w:p w14:paraId="35DE876C">
            <w:pPr>
              <w:spacing w:line="440" w:lineRule="exact"/>
              <w:jc w:val="center"/>
              <w:rPr>
                <w:color w:val="auto"/>
                <w:sz w:val="24"/>
                <w:highlight w:val="none"/>
              </w:rPr>
            </w:pPr>
            <w:r>
              <w:rPr>
                <w:color w:val="auto"/>
                <w:sz w:val="24"/>
                <w:highlight w:val="none"/>
              </w:rPr>
              <w:t>3.1</w:t>
            </w:r>
          </w:p>
        </w:tc>
        <w:tc>
          <w:tcPr>
            <w:tcW w:w="7862" w:type="dxa"/>
            <w:vAlign w:val="center"/>
          </w:tcPr>
          <w:p w14:paraId="0A431B2A">
            <w:pPr>
              <w:spacing w:line="440" w:lineRule="exact"/>
              <w:rPr>
                <w:b/>
                <w:color w:val="auto"/>
                <w:sz w:val="24"/>
                <w:highlight w:val="none"/>
              </w:rPr>
            </w:pPr>
            <w:r>
              <w:rPr>
                <w:b/>
                <w:color w:val="auto"/>
                <w:sz w:val="24"/>
                <w:highlight w:val="none"/>
              </w:rPr>
              <w:t>供应商资格：</w:t>
            </w:r>
          </w:p>
          <w:p w14:paraId="2BAA6FB0">
            <w:pPr>
              <w:spacing w:line="440" w:lineRule="exact"/>
              <w:ind w:firstLine="480" w:firstLineChars="200"/>
              <w:rPr>
                <w:color w:val="auto"/>
                <w:sz w:val="24"/>
                <w:highlight w:val="none"/>
              </w:rPr>
            </w:pPr>
            <w:r>
              <w:rPr>
                <w:color w:val="auto"/>
                <w:sz w:val="24"/>
                <w:highlight w:val="none"/>
              </w:rPr>
              <w:t>1.满足《中华人民共和国政府采购法》第二十二条规定；</w:t>
            </w:r>
          </w:p>
          <w:p w14:paraId="3F77E8F6">
            <w:pPr>
              <w:spacing w:line="360" w:lineRule="auto"/>
              <w:ind w:firstLine="480" w:firstLineChars="200"/>
              <w:rPr>
                <w:rFonts w:hint="eastAsia" w:eastAsia="宋体"/>
                <w:b/>
                <w:bCs/>
                <w:color w:val="auto"/>
                <w:sz w:val="24"/>
                <w:highlight w:val="none"/>
                <w:lang w:eastAsia="zh-CN"/>
              </w:rPr>
            </w:pPr>
            <w:r>
              <w:rPr>
                <w:color w:val="auto"/>
                <w:sz w:val="24"/>
                <w:highlight w:val="none"/>
              </w:rPr>
              <w:t>2.落实政府采购政策需满足的资格要求：</w:t>
            </w:r>
            <w:r>
              <w:rPr>
                <w:rFonts w:hint="eastAsia"/>
                <w:b w:val="0"/>
                <w:bCs w:val="0"/>
                <w:color w:val="auto"/>
                <w:sz w:val="24"/>
                <w:highlight w:val="none"/>
                <w:lang w:eastAsia="zh-CN"/>
              </w:rPr>
              <w:t>本项目属于专门面向中小企业采购的项目（供应商应为中小微企业或监狱企业或残疾人福利性单位)。</w:t>
            </w:r>
          </w:p>
          <w:p w14:paraId="7CFD7B1F">
            <w:pPr>
              <w:spacing w:line="440" w:lineRule="exact"/>
              <w:ind w:left="479" w:leftChars="228"/>
              <w:rPr>
                <w:rFonts w:hint="eastAsia" w:eastAsia="宋体"/>
                <w:color w:val="auto"/>
                <w:sz w:val="24"/>
                <w:highlight w:val="none"/>
                <w:lang w:val="en-US" w:eastAsia="zh-CN"/>
              </w:rPr>
            </w:pPr>
            <w:r>
              <w:rPr>
                <w:color w:val="auto"/>
                <w:sz w:val="24"/>
                <w:highlight w:val="none"/>
              </w:rPr>
              <w:t>3.本项目的特定资格要求：</w:t>
            </w:r>
            <w:r>
              <w:rPr>
                <w:rFonts w:hint="eastAsia" w:ascii="Arial" w:hAnsi="Arial" w:cs="Arial"/>
                <w:bCs/>
                <w:color w:val="auto"/>
                <w:sz w:val="24"/>
                <w:highlight w:val="none"/>
                <w:lang w:val="en-US" w:eastAsia="zh-CN"/>
              </w:rPr>
              <w:t>无</w:t>
            </w:r>
          </w:p>
          <w:p w14:paraId="3310394E">
            <w:pPr>
              <w:spacing w:line="440" w:lineRule="exact"/>
              <w:ind w:firstLine="480" w:firstLineChars="200"/>
              <w:rPr>
                <w:color w:val="auto"/>
                <w:sz w:val="24"/>
                <w:highlight w:val="none"/>
              </w:rPr>
            </w:pPr>
            <w:r>
              <w:rPr>
                <w:color w:val="auto"/>
                <w:sz w:val="24"/>
                <w:highlight w:val="none"/>
              </w:rPr>
              <w:t>4.其他要求：</w:t>
            </w:r>
          </w:p>
          <w:p w14:paraId="7C16DEE3">
            <w:pPr>
              <w:spacing w:line="440" w:lineRule="exact"/>
              <w:ind w:firstLine="720" w:firstLineChars="300"/>
              <w:rPr>
                <w:color w:val="auto"/>
                <w:sz w:val="24"/>
                <w:highlight w:val="none"/>
              </w:rPr>
            </w:pPr>
            <w:r>
              <w:rPr>
                <w:rFonts w:hint="eastAsia"/>
                <w:color w:val="auto"/>
                <w:sz w:val="24"/>
                <w:highlight w:val="none"/>
              </w:rPr>
              <w:t>1）</w:t>
            </w:r>
            <w:r>
              <w:rPr>
                <w:color w:val="auto"/>
                <w:sz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E9D4249">
            <w:pPr>
              <w:spacing w:line="440" w:lineRule="exact"/>
              <w:ind w:firstLine="720" w:firstLineChars="300"/>
              <w:rPr>
                <w:color w:val="auto"/>
                <w:sz w:val="24"/>
                <w:highlight w:val="none"/>
              </w:rPr>
            </w:pPr>
            <w:r>
              <w:rPr>
                <w:rFonts w:hint="eastAsia"/>
                <w:bCs/>
                <w:color w:val="auto"/>
                <w:sz w:val="24"/>
                <w:highlight w:val="none"/>
              </w:rPr>
              <w:t>2）</w:t>
            </w:r>
            <w:r>
              <w:rPr>
                <w:color w:val="auto"/>
                <w:sz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66313D4F">
            <w:pPr>
              <w:spacing w:line="440" w:lineRule="exact"/>
              <w:ind w:firstLine="720" w:firstLineChars="300"/>
              <w:rPr>
                <w:color w:val="auto"/>
                <w:sz w:val="24"/>
                <w:highlight w:val="none"/>
              </w:rPr>
            </w:pPr>
            <w:r>
              <w:rPr>
                <w:rFonts w:hint="eastAsia"/>
                <w:color w:val="auto"/>
                <w:sz w:val="24"/>
                <w:highlight w:val="none"/>
              </w:rPr>
              <w:t>3）</w:t>
            </w:r>
            <w:r>
              <w:rPr>
                <w:color w:val="auto"/>
                <w:sz w:val="24"/>
                <w:highlight w:val="none"/>
              </w:rPr>
              <w:t>本项目不接受未完成网上下载采购文件的供应商</w:t>
            </w:r>
            <w:r>
              <w:rPr>
                <w:rFonts w:hint="eastAsia"/>
                <w:color w:val="auto"/>
                <w:sz w:val="24"/>
                <w:highlight w:val="none"/>
              </w:rPr>
              <w:t>参加</w:t>
            </w:r>
            <w:r>
              <w:rPr>
                <w:color w:val="auto"/>
                <w:sz w:val="24"/>
                <w:highlight w:val="none"/>
              </w:rPr>
              <w:t>磋商。</w:t>
            </w:r>
          </w:p>
        </w:tc>
      </w:tr>
      <w:tr w14:paraId="2B60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6" w:type="dxa"/>
            <w:vAlign w:val="center"/>
          </w:tcPr>
          <w:p w14:paraId="1B8FECBF">
            <w:pPr>
              <w:spacing w:line="440" w:lineRule="exact"/>
              <w:jc w:val="center"/>
              <w:rPr>
                <w:color w:val="auto"/>
                <w:sz w:val="24"/>
                <w:highlight w:val="none"/>
              </w:rPr>
            </w:pPr>
            <w:r>
              <w:rPr>
                <w:color w:val="auto"/>
                <w:sz w:val="24"/>
                <w:highlight w:val="none"/>
              </w:rPr>
              <w:t>3</w:t>
            </w:r>
          </w:p>
        </w:tc>
        <w:tc>
          <w:tcPr>
            <w:tcW w:w="945" w:type="dxa"/>
            <w:vAlign w:val="center"/>
          </w:tcPr>
          <w:p w14:paraId="7DA22CA4">
            <w:pPr>
              <w:spacing w:line="440" w:lineRule="exact"/>
              <w:jc w:val="center"/>
              <w:rPr>
                <w:color w:val="auto"/>
                <w:sz w:val="24"/>
                <w:highlight w:val="none"/>
              </w:rPr>
            </w:pPr>
          </w:p>
        </w:tc>
        <w:tc>
          <w:tcPr>
            <w:tcW w:w="7862" w:type="dxa"/>
            <w:vAlign w:val="center"/>
          </w:tcPr>
          <w:p w14:paraId="5747794C">
            <w:pPr>
              <w:pStyle w:val="16"/>
              <w:spacing w:line="440" w:lineRule="exact"/>
              <w:rPr>
                <w:rFonts w:ascii="Times New Roman" w:hAnsi="Times New Roman"/>
                <w:color w:val="auto"/>
                <w:sz w:val="24"/>
                <w:szCs w:val="24"/>
                <w:highlight w:val="none"/>
              </w:rPr>
            </w:pPr>
            <w:r>
              <w:rPr>
                <w:rFonts w:ascii="Times New Roman" w:hAnsi="Times New Roman"/>
                <w:b/>
                <w:color w:val="auto"/>
                <w:sz w:val="24"/>
                <w:szCs w:val="24"/>
                <w:highlight w:val="none"/>
              </w:rPr>
              <w:t>磋商报价：</w:t>
            </w:r>
            <w:r>
              <w:rPr>
                <w:rFonts w:ascii="Times New Roman" w:hAnsi="Times New Roman"/>
                <w:color w:val="auto"/>
                <w:sz w:val="24"/>
                <w:szCs w:val="24"/>
                <w:highlight w:val="none"/>
              </w:rPr>
              <w:t>供应商须就</w:t>
            </w:r>
            <w:r>
              <w:rPr>
                <w:rFonts w:ascii="Times New Roman" w:hAnsi="Times New Roman"/>
                <w:bCs/>
                <w:color w:val="auto"/>
                <w:sz w:val="24"/>
                <w:szCs w:val="24"/>
                <w:highlight w:val="none"/>
              </w:rPr>
              <w:t>《项目采购需求》</w:t>
            </w:r>
            <w:r>
              <w:rPr>
                <w:rFonts w:ascii="Times New Roman" w:hAnsi="Times New Roman"/>
                <w:color w:val="auto"/>
                <w:sz w:val="24"/>
                <w:szCs w:val="24"/>
                <w:highlight w:val="none"/>
              </w:rPr>
              <w:t>中的全部</w:t>
            </w:r>
            <w:r>
              <w:rPr>
                <w:rFonts w:ascii="Times New Roman" w:hAnsi="Times New Roman"/>
                <w:bCs/>
                <w:color w:val="auto"/>
                <w:sz w:val="24"/>
                <w:szCs w:val="24"/>
                <w:highlight w:val="none"/>
              </w:rPr>
              <w:t>服务内容作完整唯一报价。</w:t>
            </w:r>
          </w:p>
        </w:tc>
      </w:tr>
      <w:tr w14:paraId="402B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6" w:type="dxa"/>
            <w:vAlign w:val="center"/>
          </w:tcPr>
          <w:p w14:paraId="71905733">
            <w:pPr>
              <w:spacing w:line="440" w:lineRule="exact"/>
              <w:jc w:val="center"/>
              <w:rPr>
                <w:color w:val="auto"/>
                <w:sz w:val="24"/>
                <w:highlight w:val="none"/>
              </w:rPr>
            </w:pPr>
            <w:r>
              <w:rPr>
                <w:color w:val="auto"/>
                <w:sz w:val="24"/>
                <w:highlight w:val="none"/>
              </w:rPr>
              <w:t>4</w:t>
            </w:r>
          </w:p>
        </w:tc>
        <w:tc>
          <w:tcPr>
            <w:tcW w:w="945" w:type="dxa"/>
            <w:vAlign w:val="center"/>
          </w:tcPr>
          <w:p w14:paraId="6EF43F70">
            <w:pPr>
              <w:spacing w:line="440" w:lineRule="exact"/>
              <w:jc w:val="center"/>
              <w:rPr>
                <w:color w:val="auto"/>
                <w:sz w:val="24"/>
                <w:highlight w:val="none"/>
              </w:rPr>
            </w:pPr>
          </w:p>
        </w:tc>
        <w:tc>
          <w:tcPr>
            <w:tcW w:w="7862" w:type="dxa"/>
            <w:vAlign w:val="center"/>
          </w:tcPr>
          <w:p w14:paraId="522150BF">
            <w:pPr>
              <w:pStyle w:val="16"/>
              <w:spacing w:line="440" w:lineRule="exact"/>
              <w:rPr>
                <w:rFonts w:ascii="Times New Roman" w:hAnsi="Times New Roman"/>
                <w:b/>
                <w:color w:val="auto"/>
                <w:sz w:val="24"/>
                <w:szCs w:val="24"/>
                <w:highlight w:val="none"/>
              </w:rPr>
            </w:pPr>
            <w:r>
              <w:rPr>
                <w:rFonts w:ascii="Times New Roman" w:hAnsi="Times New Roman"/>
                <w:b/>
                <w:color w:val="auto"/>
                <w:sz w:val="24"/>
                <w:szCs w:val="24"/>
                <w:highlight w:val="none"/>
              </w:rPr>
              <w:t>采购预算金额（人民币）：</w:t>
            </w:r>
            <w:r>
              <w:rPr>
                <w:rFonts w:ascii="Times New Roman" w:hAnsi="Times New Roman"/>
                <w:color w:val="auto"/>
                <w:sz w:val="24"/>
                <w:highlight w:val="none"/>
              </w:rPr>
              <w:t>本项目政府采购预算总金额（人民币）：</w:t>
            </w:r>
            <w:r>
              <w:rPr>
                <w:rFonts w:hint="eastAsia" w:ascii="Times New Roman" w:hAnsi="Times New Roman"/>
                <w:bCs/>
                <w:color w:val="auto"/>
                <w:sz w:val="24"/>
                <w:szCs w:val="24"/>
                <w:highlight w:val="none"/>
                <w:lang w:val="en-US" w:eastAsia="zh-CN"/>
              </w:rPr>
              <w:t>贰佰万</w:t>
            </w:r>
            <w:r>
              <w:rPr>
                <w:rFonts w:hint="eastAsia" w:ascii="Times New Roman" w:hAnsi="Times New Roman"/>
                <w:color w:val="auto"/>
                <w:sz w:val="24"/>
                <w:szCs w:val="24"/>
                <w:highlight w:val="none"/>
              </w:rPr>
              <w:t>元整</w:t>
            </w:r>
            <w:r>
              <w:rPr>
                <w:rFonts w:ascii="Times New Roman" w:hAnsi="Times New Roman"/>
                <w:bCs/>
                <w:color w:val="auto"/>
                <w:sz w:val="24"/>
                <w:szCs w:val="24"/>
                <w:highlight w:val="none"/>
              </w:rPr>
              <w:t>（</w:t>
            </w:r>
            <w:r>
              <w:rPr>
                <w:rFonts w:ascii="Arial" w:hAnsi="Arial" w:cs="Arial"/>
                <w:bCs/>
                <w:color w:val="auto"/>
                <w:sz w:val="24"/>
                <w:szCs w:val="24"/>
                <w:highlight w:val="none"/>
              </w:rPr>
              <w:t>¥</w:t>
            </w:r>
            <w:r>
              <w:rPr>
                <w:rFonts w:hint="eastAsia" w:ascii="Times New Roman" w:hAnsi="Times New Roman"/>
                <w:bCs/>
                <w:color w:val="auto"/>
                <w:sz w:val="24"/>
                <w:szCs w:val="24"/>
                <w:highlight w:val="none"/>
                <w:lang w:val="en-US" w:eastAsia="zh-CN"/>
              </w:rPr>
              <w:t>2000000.00</w:t>
            </w:r>
            <w:r>
              <w:rPr>
                <w:rFonts w:ascii="Times New Roman" w:hAnsi="Times New Roman"/>
                <w:bCs/>
                <w:color w:val="auto"/>
                <w:sz w:val="24"/>
                <w:szCs w:val="24"/>
                <w:highlight w:val="none"/>
              </w:rPr>
              <w:t>）</w:t>
            </w:r>
            <w:r>
              <w:rPr>
                <w:rFonts w:ascii="Times New Roman" w:hAnsi="Times New Roman"/>
                <w:color w:val="auto"/>
                <w:sz w:val="24"/>
                <w:highlight w:val="none"/>
              </w:rPr>
              <w:t>，超出政府采购预算总金额的将被视为无效投标</w:t>
            </w:r>
            <w:r>
              <w:rPr>
                <w:rFonts w:ascii="Times New Roman" w:hAnsi="Times New Roman"/>
                <w:bCs/>
                <w:color w:val="auto"/>
                <w:sz w:val="24"/>
                <w:szCs w:val="24"/>
                <w:highlight w:val="none"/>
              </w:rPr>
              <w:t>。</w:t>
            </w:r>
          </w:p>
        </w:tc>
      </w:tr>
      <w:tr w14:paraId="066F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26" w:type="dxa"/>
            <w:vAlign w:val="center"/>
          </w:tcPr>
          <w:p w14:paraId="1182ED97">
            <w:pPr>
              <w:spacing w:line="440" w:lineRule="exact"/>
              <w:jc w:val="center"/>
              <w:rPr>
                <w:color w:val="auto"/>
                <w:sz w:val="24"/>
                <w:highlight w:val="none"/>
              </w:rPr>
            </w:pPr>
            <w:r>
              <w:rPr>
                <w:color w:val="auto"/>
                <w:sz w:val="24"/>
                <w:highlight w:val="none"/>
              </w:rPr>
              <w:t>5</w:t>
            </w:r>
          </w:p>
        </w:tc>
        <w:tc>
          <w:tcPr>
            <w:tcW w:w="945" w:type="dxa"/>
            <w:vAlign w:val="center"/>
          </w:tcPr>
          <w:p w14:paraId="458B164D">
            <w:pPr>
              <w:spacing w:line="440" w:lineRule="exact"/>
              <w:jc w:val="center"/>
              <w:rPr>
                <w:color w:val="auto"/>
                <w:sz w:val="24"/>
                <w:highlight w:val="none"/>
              </w:rPr>
            </w:pPr>
          </w:p>
        </w:tc>
        <w:tc>
          <w:tcPr>
            <w:tcW w:w="7862" w:type="dxa"/>
            <w:vAlign w:val="center"/>
          </w:tcPr>
          <w:p w14:paraId="6D4A0E17">
            <w:pPr>
              <w:pStyle w:val="16"/>
              <w:spacing w:line="440" w:lineRule="exact"/>
              <w:rPr>
                <w:rFonts w:hint="default" w:ascii="Times New Roman" w:hAnsi="Times New Roman" w:eastAsia="宋体"/>
                <w:b/>
                <w:color w:val="auto"/>
                <w:sz w:val="24"/>
                <w:szCs w:val="24"/>
                <w:highlight w:val="none"/>
                <w:lang w:val="en-US" w:eastAsia="zh-CN"/>
              </w:rPr>
            </w:pPr>
            <w:r>
              <w:rPr>
                <w:rFonts w:ascii="Times New Roman" w:hAnsi="Times New Roman"/>
                <w:b/>
                <w:color w:val="auto"/>
                <w:sz w:val="24"/>
                <w:szCs w:val="24"/>
                <w:highlight w:val="none"/>
              </w:rPr>
              <w:t>资金来源：</w:t>
            </w:r>
            <w:r>
              <w:rPr>
                <w:rFonts w:hint="eastAsia" w:ascii="Times New Roman" w:hAnsi="Times New Roman"/>
                <w:b/>
                <w:color w:val="auto"/>
                <w:sz w:val="24"/>
                <w:szCs w:val="24"/>
                <w:highlight w:val="none"/>
                <w:lang w:val="en-US" w:eastAsia="zh-CN"/>
              </w:rPr>
              <w:t>预算经费拨款</w:t>
            </w:r>
          </w:p>
        </w:tc>
      </w:tr>
      <w:tr w14:paraId="318F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6" w:type="dxa"/>
            <w:vAlign w:val="center"/>
          </w:tcPr>
          <w:p w14:paraId="676DDDB4">
            <w:pPr>
              <w:spacing w:line="440" w:lineRule="exact"/>
              <w:jc w:val="center"/>
              <w:rPr>
                <w:color w:val="auto"/>
                <w:sz w:val="24"/>
                <w:highlight w:val="none"/>
              </w:rPr>
            </w:pPr>
            <w:r>
              <w:rPr>
                <w:color w:val="auto"/>
                <w:sz w:val="24"/>
                <w:highlight w:val="none"/>
              </w:rPr>
              <w:t>6</w:t>
            </w:r>
          </w:p>
        </w:tc>
        <w:tc>
          <w:tcPr>
            <w:tcW w:w="945" w:type="dxa"/>
            <w:vAlign w:val="center"/>
          </w:tcPr>
          <w:p w14:paraId="0448F67B">
            <w:pPr>
              <w:spacing w:line="440" w:lineRule="exact"/>
              <w:jc w:val="center"/>
              <w:rPr>
                <w:color w:val="auto"/>
                <w:sz w:val="24"/>
                <w:highlight w:val="none"/>
              </w:rPr>
            </w:pPr>
          </w:p>
        </w:tc>
        <w:tc>
          <w:tcPr>
            <w:tcW w:w="7862" w:type="dxa"/>
            <w:vAlign w:val="center"/>
          </w:tcPr>
          <w:p w14:paraId="625452AE">
            <w:pPr>
              <w:spacing w:line="440" w:lineRule="exact"/>
              <w:rPr>
                <w:color w:val="auto"/>
                <w:sz w:val="24"/>
                <w:highlight w:val="none"/>
              </w:rPr>
            </w:pPr>
            <w:r>
              <w:rPr>
                <w:b/>
                <w:color w:val="auto"/>
                <w:sz w:val="24"/>
                <w:highlight w:val="none"/>
              </w:rPr>
              <w:t>磋商有效期：</w:t>
            </w:r>
            <w:r>
              <w:rPr>
                <w:color w:val="auto"/>
                <w:sz w:val="24"/>
                <w:highlight w:val="none"/>
              </w:rPr>
              <w:t>磋商截止之日起</w:t>
            </w:r>
            <w:r>
              <w:rPr>
                <w:rFonts w:hint="eastAsia"/>
                <w:color w:val="auto"/>
                <w:sz w:val="24"/>
                <w:highlight w:val="none"/>
                <w:u w:val="single"/>
              </w:rPr>
              <w:t>60</w:t>
            </w:r>
            <w:r>
              <w:rPr>
                <w:color w:val="auto"/>
                <w:sz w:val="24"/>
                <w:highlight w:val="none"/>
              </w:rPr>
              <w:t>天内。</w:t>
            </w:r>
          </w:p>
        </w:tc>
      </w:tr>
      <w:tr w14:paraId="4F98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14:paraId="1C36502F">
            <w:pPr>
              <w:spacing w:line="440" w:lineRule="exact"/>
              <w:jc w:val="center"/>
              <w:rPr>
                <w:color w:val="auto"/>
                <w:sz w:val="24"/>
                <w:highlight w:val="none"/>
              </w:rPr>
            </w:pPr>
            <w:r>
              <w:rPr>
                <w:color w:val="auto"/>
                <w:sz w:val="24"/>
                <w:highlight w:val="none"/>
              </w:rPr>
              <w:t>7</w:t>
            </w:r>
          </w:p>
        </w:tc>
        <w:tc>
          <w:tcPr>
            <w:tcW w:w="945" w:type="dxa"/>
            <w:vAlign w:val="center"/>
          </w:tcPr>
          <w:p w14:paraId="1B42EC64">
            <w:pPr>
              <w:spacing w:line="440" w:lineRule="exact"/>
              <w:jc w:val="center"/>
              <w:rPr>
                <w:color w:val="auto"/>
                <w:sz w:val="24"/>
                <w:highlight w:val="none"/>
              </w:rPr>
            </w:pPr>
            <w:r>
              <w:rPr>
                <w:color w:val="auto"/>
                <w:sz w:val="24"/>
                <w:highlight w:val="none"/>
              </w:rPr>
              <w:t>12.2.2</w:t>
            </w:r>
          </w:p>
        </w:tc>
        <w:tc>
          <w:tcPr>
            <w:tcW w:w="7862" w:type="dxa"/>
            <w:vAlign w:val="center"/>
          </w:tcPr>
          <w:p w14:paraId="63458A41">
            <w:pPr>
              <w:pStyle w:val="16"/>
              <w:spacing w:line="440" w:lineRule="exact"/>
              <w:rPr>
                <w:rFonts w:ascii="Times New Roman" w:hAnsi="Times New Roman"/>
                <w:b/>
                <w:bCs/>
                <w:color w:val="auto"/>
                <w:sz w:val="24"/>
                <w:szCs w:val="24"/>
                <w:highlight w:val="none"/>
              </w:rPr>
            </w:pPr>
            <w:r>
              <w:rPr>
                <w:rFonts w:ascii="Times New Roman" w:hAnsi="Times New Roman"/>
                <w:b/>
                <w:bCs/>
                <w:color w:val="auto"/>
                <w:sz w:val="24"/>
                <w:szCs w:val="24"/>
                <w:highlight w:val="none"/>
              </w:rPr>
              <w:t>信用查询：</w:t>
            </w:r>
          </w:p>
          <w:p w14:paraId="5E2CF678">
            <w:pPr>
              <w:pStyle w:val="16"/>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采购人或代理机构对供应商资格审查时进行信用查询）；</w:t>
            </w:r>
          </w:p>
          <w:p w14:paraId="7BC8262C">
            <w:pPr>
              <w:pStyle w:val="16"/>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(1)查询渠道：“信用中国”网站(www.creditchina.gov.cn)、中国政府采购网(www.ccgp.gov.cn)等；</w:t>
            </w:r>
          </w:p>
          <w:p w14:paraId="73BA5381">
            <w:pPr>
              <w:pStyle w:val="16"/>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(2)查询起止时间：投标截止时间前三年内。</w:t>
            </w:r>
          </w:p>
          <w:p w14:paraId="56DA007F">
            <w:pPr>
              <w:pStyle w:val="16"/>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(3)查询记录和证据留存方式：由代理公司开标后在查询网站中直接打印查询记录，打印材料作为评审资料保存。</w:t>
            </w:r>
          </w:p>
          <w:p w14:paraId="6FDD7924">
            <w:pPr>
              <w:pStyle w:val="16"/>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r w14:paraId="7C20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26" w:type="dxa"/>
            <w:vAlign w:val="center"/>
          </w:tcPr>
          <w:p w14:paraId="5E78031A">
            <w:pPr>
              <w:spacing w:line="440" w:lineRule="exact"/>
              <w:jc w:val="center"/>
              <w:rPr>
                <w:color w:val="auto"/>
                <w:sz w:val="24"/>
                <w:highlight w:val="none"/>
              </w:rPr>
            </w:pPr>
            <w:r>
              <w:rPr>
                <w:color w:val="auto"/>
                <w:sz w:val="24"/>
                <w:highlight w:val="none"/>
              </w:rPr>
              <w:t>8</w:t>
            </w:r>
          </w:p>
        </w:tc>
        <w:tc>
          <w:tcPr>
            <w:tcW w:w="945" w:type="dxa"/>
            <w:vAlign w:val="center"/>
          </w:tcPr>
          <w:p w14:paraId="31AC4B5F">
            <w:pPr>
              <w:spacing w:line="440" w:lineRule="exact"/>
              <w:jc w:val="center"/>
              <w:rPr>
                <w:color w:val="auto"/>
                <w:sz w:val="24"/>
                <w:highlight w:val="none"/>
              </w:rPr>
            </w:pPr>
            <w:r>
              <w:rPr>
                <w:color w:val="auto"/>
                <w:sz w:val="24"/>
                <w:highlight w:val="none"/>
              </w:rPr>
              <w:t>14.1</w:t>
            </w:r>
          </w:p>
        </w:tc>
        <w:tc>
          <w:tcPr>
            <w:tcW w:w="7862" w:type="dxa"/>
            <w:vAlign w:val="center"/>
          </w:tcPr>
          <w:p w14:paraId="448DC9CE">
            <w:pPr>
              <w:spacing w:line="440" w:lineRule="exact"/>
              <w:rPr>
                <w:color w:val="auto"/>
                <w:sz w:val="24"/>
                <w:highlight w:val="none"/>
              </w:rPr>
            </w:pPr>
            <w:r>
              <w:rPr>
                <w:color w:val="auto"/>
                <w:sz w:val="24"/>
                <w:highlight w:val="none"/>
              </w:rPr>
              <w:t>磋商文件份数为：电子版一份。</w:t>
            </w:r>
          </w:p>
        </w:tc>
      </w:tr>
      <w:tr w14:paraId="5BDB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Align w:val="center"/>
          </w:tcPr>
          <w:p w14:paraId="60178E48">
            <w:pPr>
              <w:spacing w:line="440" w:lineRule="exact"/>
              <w:jc w:val="center"/>
              <w:rPr>
                <w:color w:val="auto"/>
                <w:sz w:val="24"/>
                <w:highlight w:val="none"/>
              </w:rPr>
            </w:pPr>
            <w:r>
              <w:rPr>
                <w:color w:val="auto"/>
                <w:sz w:val="24"/>
                <w:highlight w:val="none"/>
              </w:rPr>
              <w:t>9</w:t>
            </w:r>
          </w:p>
        </w:tc>
        <w:tc>
          <w:tcPr>
            <w:tcW w:w="945" w:type="dxa"/>
            <w:vAlign w:val="center"/>
          </w:tcPr>
          <w:p w14:paraId="6B2B24D0">
            <w:pPr>
              <w:spacing w:line="440" w:lineRule="exact"/>
              <w:jc w:val="center"/>
              <w:rPr>
                <w:color w:val="auto"/>
                <w:sz w:val="24"/>
                <w:highlight w:val="none"/>
              </w:rPr>
            </w:pPr>
          </w:p>
        </w:tc>
        <w:tc>
          <w:tcPr>
            <w:tcW w:w="7862" w:type="dxa"/>
            <w:vAlign w:val="center"/>
          </w:tcPr>
          <w:p w14:paraId="53CC0B9E">
            <w:pPr>
              <w:adjustRightInd w:val="0"/>
              <w:spacing w:line="440" w:lineRule="exact"/>
              <w:textAlignment w:val="baseline"/>
              <w:rPr>
                <w:color w:val="auto"/>
                <w:sz w:val="24"/>
                <w:highlight w:val="none"/>
              </w:rPr>
            </w:pPr>
            <w:r>
              <w:rPr>
                <w:color w:val="auto"/>
                <w:kern w:val="0"/>
                <w:sz w:val="24"/>
                <w:highlight w:val="none"/>
              </w:rPr>
              <w:t>磋商响应文件递交截止时间：</w:t>
            </w:r>
            <w:r>
              <w:rPr>
                <w:rFonts w:hint="eastAsia"/>
                <w:color w:val="auto"/>
                <w:sz w:val="24"/>
                <w:highlight w:val="none"/>
                <w:lang w:eastAsia="zh-CN"/>
              </w:rPr>
              <w:t>2025</w:t>
            </w:r>
            <w:r>
              <w:rPr>
                <w:rFonts w:hint="eastAsia"/>
                <w:color w:val="auto"/>
                <w:sz w:val="24"/>
                <w:highlight w:val="none"/>
              </w:rPr>
              <w:t>年</w:t>
            </w:r>
            <w:r>
              <w:rPr>
                <w:rFonts w:hint="eastAsia"/>
                <w:color w:val="auto"/>
                <w:sz w:val="24"/>
                <w:highlight w:val="none"/>
                <w:lang w:val="en-US" w:eastAsia="zh-CN"/>
              </w:rPr>
              <w:t>5</w:t>
            </w:r>
            <w:r>
              <w:rPr>
                <w:rFonts w:hint="eastAsia"/>
                <w:color w:val="auto"/>
                <w:sz w:val="24"/>
                <w:highlight w:val="none"/>
              </w:rPr>
              <w:t>月</w:t>
            </w:r>
            <w:r>
              <w:rPr>
                <w:rFonts w:hint="eastAsia"/>
                <w:color w:val="auto"/>
                <w:sz w:val="24"/>
                <w:highlight w:val="none"/>
                <w:lang w:val="en-US" w:eastAsia="zh-CN"/>
              </w:rPr>
              <w:t xml:space="preserve">7 </w:t>
            </w:r>
            <w:r>
              <w:rPr>
                <w:rFonts w:hint="eastAsia"/>
                <w:color w:val="auto"/>
                <w:sz w:val="24"/>
                <w:highlight w:val="none"/>
              </w:rPr>
              <w:t>日</w:t>
            </w:r>
            <w:r>
              <w:rPr>
                <w:rFonts w:hint="eastAsia"/>
                <w:color w:val="auto"/>
                <w:sz w:val="24"/>
                <w:highlight w:val="none"/>
                <w:lang w:val="en-US" w:eastAsia="zh-CN"/>
              </w:rPr>
              <w:t>9:00</w:t>
            </w:r>
            <w:r>
              <w:rPr>
                <w:rFonts w:hint="eastAsia"/>
                <w:color w:val="auto"/>
                <w:sz w:val="24"/>
                <w:highlight w:val="none"/>
              </w:rPr>
              <w:t xml:space="preserve"> </w:t>
            </w:r>
            <w:r>
              <w:rPr>
                <w:color w:val="auto"/>
                <w:kern w:val="0"/>
                <w:sz w:val="24"/>
                <w:highlight w:val="none"/>
              </w:rPr>
              <w:t>前将电子磋商响应文件上传到</w:t>
            </w:r>
            <w:r>
              <w:rPr>
                <w:rFonts w:hint="eastAsia"/>
                <w:color w:val="auto"/>
                <w:kern w:val="0"/>
                <w:sz w:val="24"/>
                <w:highlight w:val="none"/>
                <w:lang w:eastAsia="zh-CN"/>
              </w:rPr>
              <w:t>广西政府采购云平台</w:t>
            </w:r>
            <w:r>
              <w:rPr>
                <w:color w:val="auto"/>
                <w:kern w:val="0"/>
                <w:sz w:val="24"/>
                <w:highlight w:val="none"/>
              </w:rPr>
              <w:t>。应按照本项目竞争性磋商采购文件和</w:t>
            </w:r>
            <w:r>
              <w:rPr>
                <w:rFonts w:hint="eastAsia"/>
                <w:color w:val="auto"/>
                <w:kern w:val="0"/>
                <w:sz w:val="24"/>
                <w:highlight w:val="none"/>
                <w:lang w:eastAsia="zh-CN"/>
              </w:rPr>
              <w:t>广西政府采购云平台</w:t>
            </w:r>
            <w:r>
              <w:rPr>
                <w:color w:val="auto"/>
                <w:kern w:val="0"/>
                <w:sz w:val="24"/>
                <w:highlight w:val="none"/>
              </w:rPr>
              <w:t>的要求编制、加密传输磋商响应文件。供应商在使用系统进行投标的过程中遇到涉及平台使用的任何问题，可致电</w:t>
            </w:r>
            <w:r>
              <w:rPr>
                <w:rFonts w:hint="eastAsia"/>
                <w:color w:val="auto"/>
                <w:kern w:val="0"/>
                <w:sz w:val="24"/>
                <w:highlight w:val="none"/>
                <w:lang w:eastAsia="zh-CN"/>
              </w:rPr>
              <w:t>广西政府采购云平台</w:t>
            </w:r>
            <w:r>
              <w:rPr>
                <w:color w:val="auto"/>
                <w:kern w:val="0"/>
                <w:sz w:val="24"/>
                <w:highlight w:val="none"/>
              </w:rPr>
              <w:t>技术支持热线咨询，联系方式：</w:t>
            </w:r>
            <w:r>
              <w:rPr>
                <w:rFonts w:hint="eastAsia"/>
                <w:color w:val="auto"/>
                <w:kern w:val="0"/>
                <w:sz w:val="24"/>
                <w:highlight w:val="none"/>
              </w:rPr>
              <w:t>95763</w:t>
            </w:r>
            <w:r>
              <w:rPr>
                <w:color w:val="auto"/>
                <w:kern w:val="0"/>
                <w:sz w:val="24"/>
                <w:highlight w:val="none"/>
              </w:rPr>
              <w:t>。</w:t>
            </w:r>
          </w:p>
          <w:p w14:paraId="007349D2">
            <w:pPr>
              <w:adjustRightInd w:val="0"/>
              <w:spacing w:line="440" w:lineRule="exact"/>
              <w:textAlignment w:val="baseline"/>
              <w:rPr>
                <w:color w:val="auto"/>
                <w:kern w:val="0"/>
                <w:sz w:val="24"/>
                <w:highlight w:val="none"/>
              </w:rPr>
            </w:pPr>
            <w:r>
              <w:rPr>
                <w:color w:val="auto"/>
                <w:kern w:val="0"/>
                <w:sz w:val="24"/>
                <w:highlight w:val="none"/>
              </w:rPr>
              <w:t>磋商响应文件递交地点：通过</w:t>
            </w:r>
            <w:r>
              <w:rPr>
                <w:rFonts w:hint="eastAsia"/>
                <w:color w:val="auto"/>
                <w:kern w:val="0"/>
                <w:sz w:val="24"/>
                <w:highlight w:val="none"/>
                <w:lang w:eastAsia="zh-CN"/>
              </w:rPr>
              <w:t>广西政府采购云平台</w:t>
            </w:r>
            <w:r>
              <w:rPr>
                <w:color w:val="auto"/>
                <w:kern w:val="0"/>
                <w:sz w:val="24"/>
                <w:highlight w:val="none"/>
              </w:rPr>
              <w:t>实行在线投标响应（本项目不要求投标供应商到达开标现场，但供应商应派法定代表人或委托代理人准时在线出席电子开评标会议，随时关注开评标进度，如在开评标过程中有电子询标，应在规定的时间内对电子询标函进行澄清回复）。</w:t>
            </w:r>
          </w:p>
          <w:p w14:paraId="744C4E59">
            <w:pPr>
              <w:adjustRightInd w:val="0"/>
              <w:spacing w:line="440" w:lineRule="exact"/>
              <w:textAlignment w:val="baseline"/>
              <w:rPr>
                <w:color w:val="auto"/>
                <w:kern w:val="0"/>
                <w:sz w:val="24"/>
                <w:highlight w:val="none"/>
              </w:rPr>
            </w:pPr>
          </w:p>
        </w:tc>
      </w:tr>
      <w:tr w14:paraId="4B91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26" w:type="dxa"/>
            <w:vAlign w:val="center"/>
          </w:tcPr>
          <w:p w14:paraId="5DD46344">
            <w:pPr>
              <w:spacing w:line="440" w:lineRule="exact"/>
              <w:jc w:val="center"/>
              <w:rPr>
                <w:color w:val="auto"/>
                <w:sz w:val="24"/>
                <w:highlight w:val="none"/>
              </w:rPr>
            </w:pPr>
            <w:r>
              <w:rPr>
                <w:color w:val="auto"/>
                <w:sz w:val="24"/>
                <w:highlight w:val="none"/>
              </w:rPr>
              <w:t>10</w:t>
            </w:r>
          </w:p>
        </w:tc>
        <w:tc>
          <w:tcPr>
            <w:tcW w:w="945" w:type="dxa"/>
            <w:vAlign w:val="center"/>
          </w:tcPr>
          <w:p w14:paraId="206461BB">
            <w:pPr>
              <w:spacing w:line="440" w:lineRule="exact"/>
              <w:jc w:val="center"/>
              <w:rPr>
                <w:color w:val="auto"/>
                <w:sz w:val="24"/>
                <w:highlight w:val="none"/>
              </w:rPr>
            </w:pPr>
          </w:p>
        </w:tc>
        <w:tc>
          <w:tcPr>
            <w:tcW w:w="7862" w:type="dxa"/>
            <w:vAlign w:val="center"/>
          </w:tcPr>
          <w:p w14:paraId="3F82C9AA">
            <w:pPr>
              <w:pStyle w:val="16"/>
              <w:spacing w:line="440" w:lineRule="exact"/>
              <w:rPr>
                <w:rFonts w:ascii="Times New Roman" w:hAnsi="Times New Roman"/>
                <w:bCs/>
                <w:color w:val="auto"/>
                <w:sz w:val="24"/>
                <w:szCs w:val="24"/>
                <w:highlight w:val="none"/>
              </w:rPr>
            </w:pPr>
            <w:r>
              <w:rPr>
                <w:rFonts w:ascii="Times New Roman" w:hAnsi="Times New Roman"/>
                <w:bCs/>
                <w:color w:val="auto"/>
                <w:sz w:val="24"/>
                <w:szCs w:val="24"/>
                <w:highlight w:val="none"/>
              </w:rPr>
              <w:t>磋商时间：</w:t>
            </w:r>
            <w:r>
              <w:rPr>
                <w:rFonts w:hint="eastAsia"/>
                <w:color w:val="auto"/>
                <w:sz w:val="24"/>
                <w:szCs w:val="24"/>
                <w:highlight w:val="none"/>
                <w:lang w:eastAsia="zh-CN"/>
              </w:rPr>
              <w:t>2025</w:t>
            </w:r>
            <w:r>
              <w:rPr>
                <w:rFonts w:hint="eastAsia"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5</w:t>
            </w:r>
            <w:r>
              <w:rPr>
                <w:rFonts w:hint="eastAsia"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7</w:t>
            </w:r>
            <w:r>
              <w:rPr>
                <w:rFonts w:hint="eastAsia" w:ascii="Times New Roman" w:hAnsi="Times New Roman"/>
                <w:color w:val="auto"/>
                <w:sz w:val="24"/>
                <w:szCs w:val="24"/>
                <w:highlight w:val="none"/>
              </w:rPr>
              <w:t xml:space="preserve"> 日</w:t>
            </w:r>
            <w:r>
              <w:rPr>
                <w:rFonts w:hint="eastAsia" w:ascii="Times New Roman" w:hAnsi="Times New Roman"/>
                <w:color w:val="auto"/>
                <w:sz w:val="24"/>
                <w:szCs w:val="24"/>
                <w:highlight w:val="none"/>
                <w:lang w:val="en-US" w:eastAsia="zh-CN"/>
              </w:rPr>
              <w:t>9:00</w:t>
            </w:r>
            <w:r>
              <w:rPr>
                <w:rFonts w:ascii="Times New Roman" w:hAnsi="Times New Roman"/>
                <w:bCs/>
                <w:color w:val="auto"/>
                <w:sz w:val="24"/>
                <w:szCs w:val="24"/>
                <w:highlight w:val="none"/>
              </w:rPr>
              <w:t>；</w:t>
            </w:r>
          </w:p>
          <w:p w14:paraId="146B7542">
            <w:pPr>
              <w:pStyle w:val="16"/>
              <w:spacing w:line="440" w:lineRule="exact"/>
              <w:rPr>
                <w:rFonts w:ascii="Times New Roman" w:hAnsi="Times New Roman"/>
                <w:bCs/>
                <w:color w:val="auto"/>
                <w:sz w:val="24"/>
                <w:szCs w:val="24"/>
                <w:highlight w:val="none"/>
              </w:rPr>
            </w:pPr>
            <w:r>
              <w:rPr>
                <w:rFonts w:ascii="Times New Roman" w:hAnsi="Times New Roman"/>
                <w:bCs/>
                <w:color w:val="auto"/>
                <w:sz w:val="24"/>
                <w:szCs w:val="24"/>
                <w:highlight w:val="none"/>
              </w:rPr>
              <w:t>磋商地点：通过</w:t>
            </w:r>
            <w:r>
              <w:rPr>
                <w:rFonts w:hint="eastAsia" w:ascii="Times New Roman" w:hAnsi="Times New Roman"/>
                <w:bCs/>
                <w:color w:val="auto"/>
                <w:sz w:val="24"/>
                <w:szCs w:val="24"/>
                <w:highlight w:val="none"/>
                <w:lang w:eastAsia="zh-CN"/>
              </w:rPr>
              <w:t>广西政府采购云平台</w:t>
            </w:r>
            <w:r>
              <w:rPr>
                <w:rFonts w:ascii="Times New Roman" w:hAnsi="Times New Roman"/>
                <w:bCs/>
                <w:color w:val="auto"/>
                <w:sz w:val="24"/>
                <w:szCs w:val="24"/>
                <w:highlight w:val="none"/>
              </w:rPr>
              <w:t>实行在线解密开启。</w:t>
            </w:r>
          </w:p>
        </w:tc>
      </w:tr>
      <w:tr w14:paraId="4ACA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26" w:type="dxa"/>
            <w:vAlign w:val="center"/>
          </w:tcPr>
          <w:p w14:paraId="55642078">
            <w:pPr>
              <w:spacing w:line="440" w:lineRule="exact"/>
              <w:jc w:val="center"/>
              <w:rPr>
                <w:color w:val="auto"/>
                <w:sz w:val="24"/>
                <w:highlight w:val="none"/>
              </w:rPr>
            </w:pPr>
            <w:r>
              <w:rPr>
                <w:rFonts w:hint="eastAsia"/>
                <w:color w:val="auto"/>
                <w:sz w:val="24"/>
                <w:highlight w:val="none"/>
              </w:rPr>
              <w:t>11</w:t>
            </w:r>
          </w:p>
        </w:tc>
        <w:tc>
          <w:tcPr>
            <w:tcW w:w="945" w:type="dxa"/>
            <w:vAlign w:val="center"/>
          </w:tcPr>
          <w:p w14:paraId="34F988A4">
            <w:pPr>
              <w:spacing w:line="440" w:lineRule="exact"/>
              <w:jc w:val="center"/>
              <w:rPr>
                <w:color w:val="auto"/>
                <w:sz w:val="24"/>
                <w:highlight w:val="none"/>
              </w:rPr>
            </w:pPr>
            <w:r>
              <w:rPr>
                <w:color w:val="auto"/>
                <w:sz w:val="24"/>
                <w:highlight w:val="none"/>
              </w:rPr>
              <w:t>33.1</w:t>
            </w:r>
          </w:p>
        </w:tc>
        <w:tc>
          <w:tcPr>
            <w:tcW w:w="7862" w:type="dxa"/>
            <w:vAlign w:val="center"/>
          </w:tcPr>
          <w:p w14:paraId="55620D41">
            <w:pPr>
              <w:adjustRightInd w:val="0"/>
              <w:spacing w:line="440" w:lineRule="exact"/>
              <w:textAlignment w:val="baseline"/>
              <w:rPr>
                <w:color w:val="auto"/>
                <w:kern w:val="0"/>
                <w:sz w:val="24"/>
                <w:highlight w:val="none"/>
              </w:rPr>
            </w:pPr>
            <w:r>
              <w:rPr>
                <w:rFonts w:hint="eastAsia"/>
                <w:b/>
                <w:bCs/>
                <w:color w:val="auto"/>
                <w:kern w:val="0"/>
                <w:sz w:val="24"/>
                <w:highlight w:val="none"/>
              </w:rPr>
              <w:t>招标代理服务费</w:t>
            </w:r>
            <w:r>
              <w:rPr>
                <w:b/>
                <w:bCs/>
                <w:color w:val="auto"/>
                <w:kern w:val="0"/>
                <w:sz w:val="24"/>
                <w:highlight w:val="none"/>
              </w:rPr>
              <w:t>：</w:t>
            </w:r>
          </w:p>
          <w:p w14:paraId="02D14137">
            <w:pPr>
              <w:spacing w:line="360" w:lineRule="auto"/>
              <w:rPr>
                <w:rFonts w:ascii="Arial" w:hAnsi="Arial" w:cs="Arial"/>
                <w:color w:val="auto"/>
                <w:sz w:val="24"/>
                <w:highlight w:val="none"/>
              </w:rPr>
            </w:pPr>
            <w:r>
              <w:rPr>
                <w:color w:val="auto"/>
                <w:kern w:val="0"/>
                <w:sz w:val="24"/>
                <w:highlight w:val="none"/>
              </w:rPr>
              <w:t>将由招标代理机构按国家发展改革委《关于进一步放开建设项目专业服务价格的通知》发改价格〔2015〕299 号文（服务类）执行。领取成交通知书前，成交人应向采购代理机构一次性付清</w:t>
            </w:r>
            <w:r>
              <w:rPr>
                <w:rFonts w:hint="eastAsia"/>
                <w:color w:val="auto"/>
                <w:kern w:val="0"/>
                <w:sz w:val="24"/>
                <w:highlight w:val="none"/>
              </w:rPr>
              <w:t>招标代理服务费</w:t>
            </w:r>
            <w:r>
              <w:rPr>
                <w:color w:val="auto"/>
                <w:kern w:val="0"/>
                <w:sz w:val="24"/>
                <w:highlight w:val="none"/>
              </w:rPr>
              <w:t>：</w:t>
            </w:r>
            <w:r>
              <w:rPr>
                <w:rFonts w:hint="eastAsia" w:ascii="Arial" w:hAnsi="Arial" w:cs="Arial"/>
                <w:color w:val="auto"/>
                <w:sz w:val="24"/>
                <w:highlight w:val="none"/>
                <w:lang w:eastAsia="zh-CN"/>
              </w:rPr>
              <w:t>人民币贰万</w:t>
            </w:r>
            <w:r>
              <w:rPr>
                <w:rFonts w:hint="eastAsia" w:ascii="Arial" w:hAnsi="Arial" w:cs="Arial"/>
                <w:color w:val="auto"/>
                <w:sz w:val="24"/>
                <w:highlight w:val="none"/>
                <w:lang w:val="en-US" w:eastAsia="zh-CN"/>
              </w:rPr>
              <w:t>叁</w:t>
            </w:r>
            <w:r>
              <w:rPr>
                <w:rFonts w:hint="eastAsia" w:ascii="Arial" w:hAnsi="Arial" w:cs="Arial"/>
                <w:color w:val="auto"/>
                <w:sz w:val="24"/>
                <w:highlight w:val="none"/>
                <w:lang w:eastAsia="zh-CN"/>
              </w:rPr>
              <w:t>仟元整（￥2</w:t>
            </w:r>
            <w:r>
              <w:rPr>
                <w:rFonts w:hint="eastAsia" w:ascii="Arial" w:hAnsi="Arial" w:cs="Arial"/>
                <w:color w:val="auto"/>
                <w:sz w:val="24"/>
                <w:highlight w:val="none"/>
                <w:lang w:val="en-US" w:eastAsia="zh-CN"/>
              </w:rPr>
              <w:t>3</w:t>
            </w:r>
            <w:r>
              <w:rPr>
                <w:rFonts w:hint="eastAsia" w:ascii="Arial" w:hAnsi="Arial" w:cs="Arial"/>
                <w:color w:val="auto"/>
                <w:sz w:val="24"/>
                <w:highlight w:val="none"/>
                <w:lang w:eastAsia="zh-CN"/>
              </w:rPr>
              <w:t>000.00）</w:t>
            </w:r>
            <w:r>
              <w:rPr>
                <w:rFonts w:hint="eastAsia" w:ascii="Arial" w:hAnsi="Arial" w:cs="Arial"/>
                <w:color w:val="auto"/>
                <w:sz w:val="24"/>
                <w:highlight w:val="none"/>
              </w:rPr>
              <w:t>,</w:t>
            </w:r>
          </w:p>
          <w:p w14:paraId="18D75C86">
            <w:pPr>
              <w:adjustRightInd w:val="0"/>
              <w:spacing w:line="440" w:lineRule="exact"/>
              <w:textAlignment w:val="baseline"/>
              <w:rPr>
                <w:color w:val="auto"/>
                <w:kern w:val="0"/>
                <w:sz w:val="24"/>
                <w:highlight w:val="none"/>
              </w:rPr>
            </w:pPr>
            <w:r>
              <w:rPr>
                <w:color w:val="auto"/>
                <w:kern w:val="0"/>
                <w:sz w:val="24"/>
                <w:highlight w:val="none"/>
              </w:rPr>
              <w:t>招标代理服务费专用帐户：</w:t>
            </w:r>
          </w:p>
          <w:p w14:paraId="0BEFF062">
            <w:pPr>
              <w:pStyle w:val="38"/>
              <w:keepNext w:val="0"/>
              <w:keepLines w:val="0"/>
              <w:suppressLineNumbers w:val="0"/>
              <w:spacing w:before="90" w:beforeAutospacing="0" w:after="0" w:afterAutospacing="0" w:line="321" w:lineRule="auto"/>
              <w:ind w:left="0" w:right="89"/>
              <w:rPr>
                <w:rFonts w:ascii="Times New Roman" w:hAnsi="Times New Roman" w:cs="Times New Roman"/>
                <w:bCs/>
                <w:color w:val="auto"/>
                <w:sz w:val="24"/>
                <w:highlight w:val="none"/>
                <w:lang w:val="en-US" w:bidi="ar-SA"/>
              </w:rPr>
            </w:pPr>
            <w:r>
              <w:rPr>
                <w:color w:val="auto"/>
                <w:kern w:val="0"/>
                <w:sz w:val="24"/>
                <w:highlight w:val="none"/>
              </w:rPr>
              <w:t>开户名称：</w:t>
            </w:r>
            <w:r>
              <w:rPr>
                <w:rFonts w:hint="eastAsia"/>
                <w:color w:val="auto"/>
                <w:sz w:val="24"/>
                <w:highlight w:val="none"/>
              </w:rPr>
              <w:t>中国工商银行股份有限公司桂平市新区支行</w:t>
            </w:r>
          </w:p>
          <w:p w14:paraId="0E4C5780">
            <w:pPr>
              <w:pStyle w:val="38"/>
              <w:keepNext w:val="0"/>
              <w:keepLines w:val="0"/>
              <w:suppressLineNumbers w:val="0"/>
              <w:spacing w:before="90" w:beforeAutospacing="0" w:after="0" w:afterAutospacing="0" w:line="321" w:lineRule="auto"/>
              <w:ind w:left="0" w:right="89"/>
              <w:rPr>
                <w:rFonts w:ascii="Times New Roman" w:hAnsi="Times New Roman" w:cs="Times New Roman"/>
                <w:bCs/>
                <w:color w:val="auto"/>
                <w:sz w:val="24"/>
                <w:highlight w:val="none"/>
                <w:lang w:val="en-US" w:bidi="ar-SA"/>
              </w:rPr>
            </w:pPr>
            <w:r>
              <w:rPr>
                <w:rFonts w:ascii="Times New Roman" w:hAnsi="Times New Roman" w:cs="Times New Roman"/>
                <w:bCs/>
                <w:color w:val="auto"/>
                <w:sz w:val="24"/>
                <w:highlight w:val="none"/>
                <w:lang w:val="en-US" w:bidi="ar-SA"/>
              </w:rPr>
              <w:t>账户名称：</w:t>
            </w:r>
            <w:r>
              <w:rPr>
                <w:rFonts w:hint="eastAsia" w:ascii="Times New Roman" w:hAnsi="Times New Roman" w:cs="Times New Roman"/>
                <w:bCs/>
                <w:color w:val="auto"/>
                <w:sz w:val="24"/>
                <w:highlight w:val="none"/>
                <w:lang w:val="en-US" w:eastAsia="zh-CN" w:bidi="ar-SA"/>
              </w:rPr>
              <w:t>广西创佳项目管理有限公司</w:t>
            </w:r>
          </w:p>
          <w:p w14:paraId="32AB3561">
            <w:pPr>
              <w:adjustRightInd w:val="0"/>
              <w:spacing w:line="440" w:lineRule="exact"/>
              <w:textAlignment w:val="baseline"/>
              <w:rPr>
                <w:color w:val="auto"/>
                <w:kern w:val="0"/>
                <w:sz w:val="24"/>
                <w:highlight w:val="none"/>
              </w:rPr>
            </w:pPr>
            <w:r>
              <w:rPr>
                <w:rFonts w:ascii="Times New Roman" w:hAnsi="Times New Roman"/>
                <w:bCs/>
                <w:color w:val="auto"/>
                <w:sz w:val="24"/>
                <w:highlight w:val="none"/>
              </w:rPr>
              <w:t>开户帐号：</w:t>
            </w:r>
            <w:r>
              <w:rPr>
                <w:rFonts w:hint="eastAsia"/>
                <w:color w:val="auto"/>
                <w:sz w:val="24"/>
                <w:highlight w:val="none"/>
              </w:rPr>
              <w:t>2116006809100057549</w:t>
            </w:r>
          </w:p>
        </w:tc>
      </w:tr>
      <w:tr w14:paraId="3E5E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26" w:type="dxa"/>
            <w:vAlign w:val="center"/>
          </w:tcPr>
          <w:p w14:paraId="34D06CA7">
            <w:pPr>
              <w:spacing w:line="440" w:lineRule="exact"/>
              <w:jc w:val="center"/>
              <w:rPr>
                <w:color w:val="auto"/>
                <w:sz w:val="24"/>
                <w:highlight w:val="none"/>
              </w:rPr>
            </w:pPr>
            <w:r>
              <w:rPr>
                <w:rFonts w:hint="eastAsia"/>
                <w:color w:val="auto"/>
                <w:sz w:val="24"/>
                <w:highlight w:val="none"/>
              </w:rPr>
              <w:t>12</w:t>
            </w:r>
          </w:p>
        </w:tc>
        <w:tc>
          <w:tcPr>
            <w:tcW w:w="945" w:type="dxa"/>
            <w:vAlign w:val="center"/>
          </w:tcPr>
          <w:p w14:paraId="3E8E9418">
            <w:pPr>
              <w:spacing w:line="440" w:lineRule="exact"/>
              <w:jc w:val="center"/>
              <w:rPr>
                <w:color w:val="auto"/>
                <w:sz w:val="24"/>
                <w:highlight w:val="none"/>
              </w:rPr>
            </w:pPr>
          </w:p>
        </w:tc>
        <w:tc>
          <w:tcPr>
            <w:tcW w:w="7862" w:type="dxa"/>
            <w:vAlign w:val="center"/>
          </w:tcPr>
          <w:p w14:paraId="5DE5EC1B">
            <w:pPr>
              <w:spacing w:line="440" w:lineRule="exact"/>
              <w:rPr>
                <w:color w:val="auto"/>
                <w:sz w:val="24"/>
                <w:highlight w:val="none"/>
              </w:rPr>
            </w:pPr>
            <w:r>
              <w:rPr>
                <w:color w:val="auto"/>
                <w:sz w:val="24"/>
                <w:highlight w:val="none"/>
              </w:rPr>
              <w:t>履约保证金的收取：无</w:t>
            </w:r>
          </w:p>
        </w:tc>
      </w:tr>
      <w:tr w14:paraId="7386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14:paraId="704F27ED">
            <w:pPr>
              <w:spacing w:line="440" w:lineRule="exact"/>
              <w:jc w:val="center"/>
              <w:rPr>
                <w:color w:val="auto"/>
                <w:sz w:val="24"/>
                <w:highlight w:val="none"/>
              </w:rPr>
            </w:pPr>
            <w:r>
              <w:rPr>
                <w:color w:val="auto"/>
                <w:sz w:val="24"/>
                <w:highlight w:val="none"/>
              </w:rPr>
              <w:t>1</w:t>
            </w:r>
            <w:r>
              <w:rPr>
                <w:rFonts w:hint="eastAsia"/>
                <w:color w:val="auto"/>
                <w:sz w:val="24"/>
                <w:highlight w:val="none"/>
              </w:rPr>
              <w:t>3</w:t>
            </w:r>
          </w:p>
        </w:tc>
        <w:tc>
          <w:tcPr>
            <w:tcW w:w="945" w:type="dxa"/>
            <w:vAlign w:val="center"/>
          </w:tcPr>
          <w:p w14:paraId="2A5BA87E">
            <w:pPr>
              <w:spacing w:line="440" w:lineRule="exact"/>
              <w:jc w:val="center"/>
              <w:rPr>
                <w:color w:val="auto"/>
                <w:sz w:val="24"/>
                <w:highlight w:val="none"/>
              </w:rPr>
            </w:pPr>
          </w:p>
        </w:tc>
        <w:tc>
          <w:tcPr>
            <w:tcW w:w="7862" w:type="dxa"/>
            <w:vAlign w:val="center"/>
          </w:tcPr>
          <w:p w14:paraId="5739DCE5">
            <w:pPr>
              <w:spacing w:line="440" w:lineRule="exact"/>
              <w:rPr>
                <w:color w:val="auto"/>
                <w:sz w:val="24"/>
                <w:highlight w:val="none"/>
              </w:rPr>
            </w:pPr>
            <w:r>
              <w:rPr>
                <w:color w:val="auto"/>
                <w:sz w:val="24"/>
                <w:highlight w:val="none"/>
              </w:rPr>
              <w:t>评标结果公示：http://www.ccgp.gov.cn（中国政府采购网）、http://zfcg.gxzf.gov.cn/（广西壮族自治区政府采购网）、http://ggzy.jgswj.gxzf.gov.cn/ggggzy/全国公共资源交易平台（广西·贵港）、http://zfcg.czj.gxgg.gov.cn（贵港市政府采购网）</w:t>
            </w:r>
          </w:p>
        </w:tc>
      </w:tr>
      <w:tr w14:paraId="6042B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14:paraId="28C63F0B">
            <w:pPr>
              <w:spacing w:line="440" w:lineRule="exact"/>
              <w:jc w:val="center"/>
              <w:rPr>
                <w:color w:val="auto"/>
                <w:sz w:val="24"/>
                <w:highlight w:val="none"/>
              </w:rPr>
            </w:pPr>
            <w:r>
              <w:rPr>
                <w:color w:val="auto"/>
                <w:sz w:val="24"/>
                <w:highlight w:val="none"/>
              </w:rPr>
              <w:t>1</w:t>
            </w:r>
            <w:r>
              <w:rPr>
                <w:rFonts w:hint="eastAsia"/>
                <w:color w:val="auto"/>
                <w:sz w:val="24"/>
                <w:highlight w:val="none"/>
              </w:rPr>
              <w:t>4</w:t>
            </w:r>
          </w:p>
        </w:tc>
        <w:tc>
          <w:tcPr>
            <w:tcW w:w="945" w:type="dxa"/>
            <w:vAlign w:val="center"/>
          </w:tcPr>
          <w:p w14:paraId="7B726145">
            <w:pPr>
              <w:spacing w:line="440" w:lineRule="exact"/>
              <w:jc w:val="center"/>
              <w:rPr>
                <w:color w:val="auto"/>
                <w:sz w:val="24"/>
                <w:highlight w:val="none"/>
              </w:rPr>
            </w:pPr>
            <w:r>
              <w:rPr>
                <w:color w:val="auto"/>
                <w:sz w:val="24"/>
                <w:highlight w:val="none"/>
              </w:rPr>
              <w:t>29</w:t>
            </w:r>
          </w:p>
        </w:tc>
        <w:tc>
          <w:tcPr>
            <w:tcW w:w="7862" w:type="dxa"/>
            <w:vAlign w:val="center"/>
          </w:tcPr>
          <w:p w14:paraId="10406DFF">
            <w:pPr>
              <w:spacing w:line="440" w:lineRule="exact"/>
              <w:rPr>
                <w:color w:val="auto"/>
                <w:sz w:val="24"/>
                <w:highlight w:val="none"/>
              </w:rPr>
            </w:pPr>
            <w:r>
              <w:rPr>
                <w:color w:val="auto"/>
                <w:kern w:val="0"/>
                <w:sz w:val="24"/>
                <w:highlight w:val="none"/>
              </w:rPr>
              <w:t>签订合同时间：发出成交通知书后</w:t>
            </w:r>
            <w:r>
              <w:rPr>
                <w:rFonts w:hint="eastAsia"/>
                <w:color w:val="auto"/>
                <w:kern w:val="0"/>
                <w:sz w:val="24"/>
                <w:highlight w:val="none"/>
              </w:rPr>
              <w:t>20</w:t>
            </w:r>
            <w:r>
              <w:rPr>
                <w:color w:val="auto"/>
                <w:kern w:val="0"/>
                <w:sz w:val="24"/>
                <w:highlight w:val="none"/>
              </w:rPr>
              <w:t>日内签订合同。</w:t>
            </w:r>
          </w:p>
        </w:tc>
      </w:tr>
      <w:tr w14:paraId="55D8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14:paraId="386CFE5F">
            <w:pPr>
              <w:spacing w:line="440" w:lineRule="exact"/>
              <w:jc w:val="center"/>
              <w:rPr>
                <w:color w:val="auto"/>
                <w:sz w:val="24"/>
                <w:highlight w:val="none"/>
              </w:rPr>
            </w:pPr>
            <w:r>
              <w:rPr>
                <w:rFonts w:hint="eastAsia"/>
                <w:color w:val="auto"/>
                <w:sz w:val="24"/>
                <w:highlight w:val="none"/>
              </w:rPr>
              <w:t>15</w:t>
            </w:r>
          </w:p>
        </w:tc>
        <w:tc>
          <w:tcPr>
            <w:tcW w:w="945" w:type="dxa"/>
            <w:vAlign w:val="center"/>
          </w:tcPr>
          <w:p w14:paraId="5FBAA3AA">
            <w:pPr>
              <w:spacing w:line="440" w:lineRule="exact"/>
              <w:rPr>
                <w:color w:val="auto"/>
                <w:kern w:val="0"/>
                <w:sz w:val="24"/>
                <w:highlight w:val="none"/>
              </w:rPr>
            </w:pPr>
          </w:p>
        </w:tc>
        <w:tc>
          <w:tcPr>
            <w:tcW w:w="7862" w:type="dxa"/>
          </w:tcPr>
          <w:p w14:paraId="220B36AC">
            <w:pPr>
              <w:spacing w:line="440" w:lineRule="exact"/>
              <w:rPr>
                <w:rFonts w:hint="eastAsia" w:eastAsia="宋体"/>
                <w:color w:val="auto"/>
                <w:kern w:val="0"/>
                <w:sz w:val="24"/>
                <w:highlight w:val="none"/>
                <w:lang w:val="en-US" w:eastAsia="zh-CN"/>
              </w:rPr>
            </w:pPr>
            <w:r>
              <w:rPr>
                <w:rFonts w:hint="eastAsia"/>
                <w:color w:val="auto"/>
                <w:kern w:val="0"/>
                <w:sz w:val="24"/>
                <w:highlight w:val="none"/>
                <w:lang w:val="en-US" w:eastAsia="zh-CN"/>
              </w:rPr>
              <w:t>采购标的</w:t>
            </w:r>
            <w:r>
              <w:rPr>
                <w:rFonts w:hint="eastAsia"/>
                <w:color w:val="auto"/>
                <w:kern w:val="0"/>
                <w:sz w:val="24"/>
                <w:highlight w:val="none"/>
              </w:rPr>
              <w:t>所属行业划分：</w:t>
            </w:r>
            <w:r>
              <w:rPr>
                <w:rFonts w:hint="eastAsia" w:ascii="Times New Roman" w:hAnsi="Times New Roman" w:eastAsia="宋体" w:cs="Times New Roman"/>
                <w:color w:val="auto"/>
                <w:kern w:val="0"/>
                <w:sz w:val="24"/>
                <w:highlight w:val="none"/>
              </w:rPr>
              <w:t>物业管理</w:t>
            </w:r>
          </w:p>
        </w:tc>
      </w:tr>
      <w:tr w14:paraId="1605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14:paraId="403A95D7">
            <w:pPr>
              <w:spacing w:line="440" w:lineRule="exact"/>
              <w:jc w:val="center"/>
              <w:rPr>
                <w:rFonts w:hint="default" w:eastAsia="宋体"/>
                <w:color w:val="auto"/>
                <w:sz w:val="24"/>
                <w:highlight w:val="none"/>
                <w:lang w:val="en-US" w:eastAsia="zh-CN"/>
              </w:rPr>
            </w:pPr>
            <w:r>
              <w:rPr>
                <w:rFonts w:hint="eastAsia"/>
                <w:color w:val="auto"/>
                <w:sz w:val="24"/>
                <w:highlight w:val="none"/>
                <w:lang w:val="en-US" w:eastAsia="zh-CN"/>
              </w:rPr>
              <w:t>16</w:t>
            </w:r>
          </w:p>
        </w:tc>
        <w:tc>
          <w:tcPr>
            <w:tcW w:w="945" w:type="dxa"/>
            <w:vAlign w:val="center"/>
          </w:tcPr>
          <w:p w14:paraId="033D7909">
            <w:pPr>
              <w:spacing w:line="440" w:lineRule="exact"/>
              <w:jc w:val="center"/>
              <w:rPr>
                <w:color w:val="auto"/>
                <w:sz w:val="24"/>
                <w:highlight w:val="none"/>
              </w:rPr>
            </w:pPr>
          </w:p>
        </w:tc>
        <w:tc>
          <w:tcPr>
            <w:tcW w:w="7862" w:type="dxa"/>
            <w:vAlign w:val="center"/>
          </w:tcPr>
          <w:p w14:paraId="718C83E9">
            <w:pPr>
              <w:pStyle w:val="38"/>
              <w:spacing w:before="78" w:line="440" w:lineRule="exact"/>
              <w:rPr>
                <w:rFonts w:ascii="Times New Roman" w:hAnsi="Times New Roman" w:cs="Times New Roman"/>
                <w:bCs/>
                <w:color w:val="auto"/>
                <w:sz w:val="24"/>
                <w:highlight w:val="none"/>
                <w:lang w:val="en-US" w:bidi="ar-SA"/>
              </w:rPr>
            </w:pPr>
            <w:r>
              <w:rPr>
                <w:rFonts w:ascii="Times New Roman" w:hAnsi="Times New Roman" w:cs="Times New Roman"/>
                <w:bCs/>
                <w:color w:val="auto"/>
                <w:sz w:val="24"/>
                <w:highlight w:val="none"/>
                <w:lang w:val="en-US" w:bidi="ar-SA"/>
              </w:rPr>
              <w:t>其他说明：</w:t>
            </w:r>
          </w:p>
          <w:p w14:paraId="2CADD14B">
            <w:pPr>
              <w:pStyle w:val="38"/>
              <w:spacing w:before="78" w:line="440" w:lineRule="exact"/>
              <w:rPr>
                <w:rFonts w:ascii="Times New Roman" w:hAnsi="Times New Roman" w:cs="Times New Roman"/>
                <w:bCs/>
                <w:color w:val="auto"/>
                <w:sz w:val="24"/>
                <w:highlight w:val="none"/>
                <w:lang w:val="en-US" w:bidi="ar-SA"/>
              </w:rPr>
            </w:pPr>
            <w:r>
              <w:rPr>
                <w:rFonts w:hint="eastAsia" w:ascii="Times New Roman" w:hAnsi="Times New Roman" w:cs="Times New Roman"/>
                <w:bCs/>
                <w:color w:val="auto"/>
                <w:sz w:val="24"/>
                <w:highlight w:val="none"/>
                <w:lang w:val="en-US" w:bidi="ar-SA"/>
              </w:rPr>
              <w:t>1、</w:t>
            </w:r>
            <w:r>
              <w:rPr>
                <w:rFonts w:ascii="Times New Roman" w:hAnsi="Times New Roman" w:cs="Times New Roman"/>
                <w:bCs/>
                <w:color w:val="auto"/>
                <w:sz w:val="24"/>
                <w:highlight w:val="none"/>
                <w:lang w:val="en-US" w:bidi="ar-SA"/>
              </w:rPr>
              <w:t>本文件中描述磋商供应商的“公章”是指根据我国对公章的管理规定，用磋商供应商法定主体行为名称制作的印章，除本文件有特殊规定外，磋商供应商的财务章、部门章、分公司章、工会章、合同章、投标专用章、业务专用章及银行的转账章、现金收讫章、现金付讫章等其它形式印章均不能代替公章。</w:t>
            </w:r>
          </w:p>
          <w:p w14:paraId="474E02EC">
            <w:pPr>
              <w:pStyle w:val="38"/>
              <w:spacing w:before="90" w:line="440" w:lineRule="exact"/>
              <w:ind w:right="89"/>
              <w:rPr>
                <w:rFonts w:ascii="Times New Roman" w:hAnsi="Times New Roman" w:cs="Times New Roman"/>
                <w:bCs/>
                <w:color w:val="auto"/>
                <w:sz w:val="24"/>
                <w:highlight w:val="none"/>
                <w:lang w:val="en-US" w:bidi="ar-SA"/>
              </w:rPr>
            </w:pPr>
            <w:r>
              <w:rPr>
                <w:rFonts w:hint="eastAsia" w:ascii="Times New Roman" w:hAnsi="Times New Roman" w:cs="Times New Roman"/>
                <w:bCs/>
                <w:color w:val="auto"/>
                <w:sz w:val="24"/>
                <w:highlight w:val="none"/>
                <w:lang w:val="en-US" w:bidi="ar-SA"/>
              </w:rPr>
              <w:t>2、本磋商文件所称的“电子签章”、“电子签名”，是指经“</w:t>
            </w:r>
            <w:r>
              <w:rPr>
                <w:rFonts w:hint="eastAsia" w:ascii="Times New Roman" w:hAnsi="Times New Roman" w:cs="Times New Roman"/>
                <w:bCs/>
                <w:color w:val="auto"/>
                <w:sz w:val="24"/>
                <w:highlight w:val="none"/>
                <w:lang w:val="en-US" w:eastAsia="zh-CN" w:bidi="ar-SA"/>
              </w:rPr>
              <w:t>广西政府采购云平台</w:t>
            </w:r>
            <w:r>
              <w:rPr>
                <w:rFonts w:hint="eastAsia" w:ascii="Times New Roman" w:hAnsi="Times New Roman" w:cs="Times New Roman"/>
                <w:bCs/>
                <w:color w:val="auto"/>
                <w:sz w:val="24"/>
                <w:highlight w:val="none"/>
                <w:lang w:val="en-US" w:bidi="ar-SA"/>
              </w:rPr>
              <w:t>”平台认可的 CA 认证的电子签名数据为表现形式的印章，可用于签署电子响应文件，电子印章与实物印章具有同等法律效力，不因其采用电子化表现形式而否定其法律效力。</w:t>
            </w:r>
          </w:p>
        </w:tc>
      </w:tr>
      <w:tr w14:paraId="00ED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14:paraId="1B7CFAE3">
            <w:pPr>
              <w:spacing w:line="440" w:lineRule="exact"/>
              <w:jc w:val="center"/>
              <w:rPr>
                <w:rFonts w:hint="default" w:eastAsia="宋体"/>
                <w:color w:val="auto"/>
                <w:sz w:val="24"/>
                <w:highlight w:val="none"/>
                <w:lang w:val="en-US" w:eastAsia="zh-CN"/>
              </w:rPr>
            </w:pPr>
            <w:r>
              <w:rPr>
                <w:rFonts w:hint="eastAsia"/>
                <w:color w:val="auto"/>
                <w:sz w:val="24"/>
                <w:highlight w:val="none"/>
                <w:lang w:val="en-US" w:eastAsia="zh-CN"/>
              </w:rPr>
              <w:t>17</w:t>
            </w:r>
          </w:p>
        </w:tc>
        <w:tc>
          <w:tcPr>
            <w:tcW w:w="945" w:type="dxa"/>
            <w:vAlign w:val="center"/>
          </w:tcPr>
          <w:p w14:paraId="424A9409">
            <w:pPr>
              <w:spacing w:line="440" w:lineRule="exact"/>
              <w:jc w:val="center"/>
              <w:rPr>
                <w:color w:val="auto"/>
                <w:sz w:val="24"/>
                <w:highlight w:val="none"/>
              </w:rPr>
            </w:pPr>
          </w:p>
        </w:tc>
        <w:tc>
          <w:tcPr>
            <w:tcW w:w="7862" w:type="dxa"/>
            <w:vAlign w:val="center"/>
          </w:tcPr>
          <w:p w14:paraId="23266D53">
            <w:pPr>
              <w:pStyle w:val="39"/>
              <w:spacing w:line="440" w:lineRule="exact"/>
              <w:rPr>
                <w:rFonts w:ascii="Times New Roman" w:hAnsi="Times New Roman"/>
                <w:b/>
                <w:bCs/>
                <w:color w:val="auto"/>
                <w:sz w:val="24"/>
                <w:szCs w:val="24"/>
                <w:highlight w:val="none"/>
              </w:rPr>
            </w:pPr>
            <w:r>
              <w:rPr>
                <w:rFonts w:ascii="Times New Roman" w:hAnsi="Times New Roman"/>
                <w:b/>
                <w:color w:val="auto"/>
                <w:sz w:val="24"/>
                <w:szCs w:val="24"/>
                <w:highlight w:val="none"/>
              </w:rPr>
              <w:t>磋商</w:t>
            </w:r>
            <w:r>
              <w:rPr>
                <w:rFonts w:ascii="Times New Roman" w:hAnsi="Times New Roman"/>
                <w:b/>
                <w:bCs/>
                <w:color w:val="auto"/>
                <w:sz w:val="24"/>
                <w:szCs w:val="24"/>
                <w:highlight w:val="none"/>
              </w:rPr>
              <w:t>前准备：</w:t>
            </w:r>
          </w:p>
          <w:p w14:paraId="39683C29">
            <w:pPr>
              <w:spacing w:line="440" w:lineRule="exact"/>
              <w:rPr>
                <w:bCs/>
                <w:color w:val="auto"/>
                <w:sz w:val="24"/>
                <w:highlight w:val="none"/>
              </w:rPr>
            </w:pPr>
            <w:r>
              <w:rPr>
                <w:color w:val="auto"/>
                <w:sz w:val="24"/>
                <w:highlight w:val="none"/>
              </w:rPr>
              <w:t>1</w:t>
            </w:r>
            <w:r>
              <w:rPr>
                <w:bCs/>
                <w:color w:val="auto"/>
                <w:sz w:val="24"/>
                <w:highlight w:val="none"/>
              </w:rPr>
              <w:t>、本项目实行网上磋商，采用电子磋商响应文件。若供应商参与磋商，自行承担磋商一切费用。</w:t>
            </w:r>
          </w:p>
          <w:p w14:paraId="0B98B651">
            <w:pPr>
              <w:spacing w:line="440" w:lineRule="exact"/>
              <w:rPr>
                <w:bCs/>
                <w:color w:val="auto"/>
                <w:sz w:val="24"/>
                <w:highlight w:val="none"/>
              </w:rPr>
            </w:pPr>
            <w:r>
              <w:rPr>
                <w:bCs/>
                <w:color w:val="auto"/>
                <w:sz w:val="24"/>
                <w:highlight w:val="none"/>
              </w:rPr>
              <w:t>2、各供应商应在截标前应确保成为</w:t>
            </w:r>
            <w:r>
              <w:rPr>
                <w:rFonts w:hint="eastAsia"/>
                <w:bCs/>
                <w:color w:val="auto"/>
                <w:sz w:val="24"/>
                <w:highlight w:val="none"/>
                <w:lang w:eastAsia="zh-CN"/>
              </w:rPr>
              <w:t>广西政府采购云平台</w:t>
            </w:r>
            <w:r>
              <w:rPr>
                <w:bCs/>
                <w:color w:val="auto"/>
                <w:sz w:val="24"/>
                <w:highlight w:val="none"/>
              </w:rPr>
              <w:t>正式注册入库供应商，并完成CA数字证书申领。因未注册入库、未办理CA数字证书等原因造成无法磋商或磋商失败等后果由供应商自行承担。</w:t>
            </w:r>
          </w:p>
          <w:p w14:paraId="2ECA405E">
            <w:pPr>
              <w:spacing w:line="440" w:lineRule="exact"/>
              <w:rPr>
                <w:bCs/>
                <w:color w:val="auto"/>
                <w:sz w:val="24"/>
                <w:highlight w:val="none"/>
              </w:rPr>
            </w:pPr>
            <w:r>
              <w:rPr>
                <w:bCs/>
                <w:color w:val="auto"/>
                <w:sz w:val="24"/>
                <w:highlight w:val="none"/>
              </w:rPr>
              <w:t>3、供应商将</w:t>
            </w:r>
            <w:r>
              <w:rPr>
                <w:rFonts w:hint="eastAsia"/>
                <w:bCs/>
                <w:color w:val="auto"/>
                <w:sz w:val="24"/>
                <w:highlight w:val="none"/>
                <w:lang w:eastAsia="zh-CN"/>
              </w:rPr>
              <w:t>广西政府采购云平台</w:t>
            </w:r>
            <w:r>
              <w:rPr>
                <w:bCs/>
                <w:color w:val="auto"/>
                <w:sz w:val="24"/>
                <w:highlight w:val="none"/>
              </w:rPr>
              <w:t>电子交易客户端下载、安装完成后，可通过账号密码或CA登录客户端进行响应文件制作。客户端请至网站下载专区查看，如有问题可拨打</w:t>
            </w:r>
            <w:r>
              <w:rPr>
                <w:rFonts w:hint="eastAsia"/>
                <w:bCs/>
                <w:color w:val="auto"/>
                <w:sz w:val="24"/>
                <w:highlight w:val="none"/>
                <w:lang w:eastAsia="zh-CN"/>
              </w:rPr>
              <w:t>广西政府采购云平台</w:t>
            </w:r>
            <w:r>
              <w:rPr>
                <w:bCs/>
                <w:color w:val="auto"/>
                <w:sz w:val="24"/>
                <w:highlight w:val="none"/>
              </w:rPr>
              <w:t>客户服务热线</w:t>
            </w:r>
            <w:r>
              <w:rPr>
                <w:rFonts w:hint="eastAsia"/>
                <w:bCs/>
                <w:color w:val="auto"/>
                <w:sz w:val="24"/>
                <w:highlight w:val="none"/>
              </w:rPr>
              <w:t>95763</w:t>
            </w:r>
            <w:r>
              <w:rPr>
                <w:bCs/>
                <w:color w:val="auto"/>
                <w:sz w:val="24"/>
                <w:highlight w:val="none"/>
              </w:rPr>
              <w:t>进行咨询。</w:t>
            </w:r>
          </w:p>
          <w:p w14:paraId="34D40222">
            <w:pPr>
              <w:spacing w:line="440" w:lineRule="exact"/>
              <w:rPr>
                <w:b/>
                <w:color w:val="auto"/>
                <w:sz w:val="24"/>
                <w:highlight w:val="none"/>
              </w:rPr>
            </w:pPr>
            <w:r>
              <w:rPr>
                <w:b/>
                <w:color w:val="auto"/>
                <w:sz w:val="24"/>
                <w:highlight w:val="none"/>
              </w:rPr>
              <w:t>磋商响应文件解密时间：</w:t>
            </w:r>
          </w:p>
          <w:p w14:paraId="5F0C67A0">
            <w:pPr>
              <w:spacing w:line="440" w:lineRule="exact"/>
              <w:rPr>
                <w:bCs/>
                <w:color w:val="auto"/>
                <w:sz w:val="24"/>
                <w:highlight w:val="none"/>
              </w:rPr>
            </w:pPr>
            <w:r>
              <w:rPr>
                <w:bCs/>
                <w:color w:val="auto"/>
                <w:sz w:val="24"/>
                <w:highlight w:val="none"/>
              </w:rPr>
              <w:t>截标时间后30分钟内磋商供应商可以登录</w:t>
            </w:r>
            <w:r>
              <w:rPr>
                <w:rFonts w:hint="eastAsia"/>
                <w:bCs/>
                <w:color w:val="auto"/>
                <w:sz w:val="24"/>
                <w:highlight w:val="none"/>
                <w:lang w:eastAsia="zh-CN"/>
              </w:rPr>
              <w:t>广西政府采购云平台</w:t>
            </w:r>
            <w:r>
              <w:rPr>
                <w:bCs/>
                <w:color w:val="auto"/>
                <w:sz w:val="24"/>
                <w:highlight w:val="none"/>
              </w:rPr>
              <w:t>，用“项目采购-开标评标”功能进行解密磋商响应文件。</w:t>
            </w:r>
          </w:p>
        </w:tc>
      </w:tr>
      <w:tr w14:paraId="34F3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26" w:type="dxa"/>
            <w:vAlign w:val="center"/>
          </w:tcPr>
          <w:p w14:paraId="646852F4">
            <w:pPr>
              <w:spacing w:line="440" w:lineRule="exact"/>
              <w:jc w:val="center"/>
              <w:rPr>
                <w:rFonts w:hint="default" w:eastAsia="宋体"/>
                <w:color w:val="auto"/>
                <w:sz w:val="24"/>
                <w:highlight w:val="none"/>
                <w:lang w:val="en-US" w:eastAsia="zh-CN"/>
              </w:rPr>
            </w:pPr>
            <w:r>
              <w:rPr>
                <w:rFonts w:hint="eastAsia"/>
                <w:color w:val="auto"/>
                <w:sz w:val="24"/>
                <w:highlight w:val="none"/>
                <w:lang w:val="en-US" w:eastAsia="zh-CN"/>
              </w:rPr>
              <w:t>18</w:t>
            </w:r>
          </w:p>
        </w:tc>
        <w:tc>
          <w:tcPr>
            <w:tcW w:w="945" w:type="dxa"/>
            <w:vAlign w:val="center"/>
          </w:tcPr>
          <w:p w14:paraId="16F1589B">
            <w:pPr>
              <w:spacing w:line="440" w:lineRule="exact"/>
              <w:jc w:val="center"/>
              <w:rPr>
                <w:color w:val="auto"/>
                <w:sz w:val="24"/>
                <w:highlight w:val="none"/>
              </w:rPr>
            </w:pPr>
          </w:p>
        </w:tc>
        <w:tc>
          <w:tcPr>
            <w:tcW w:w="7862" w:type="dxa"/>
            <w:vAlign w:val="center"/>
          </w:tcPr>
          <w:p w14:paraId="1DDB5428">
            <w:pPr>
              <w:spacing w:line="440" w:lineRule="exact"/>
              <w:rPr>
                <w:bCs/>
                <w:color w:val="auto"/>
                <w:sz w:val="24"/>
                <w:highlight w:val="none"/>
              </w:rPr>
            </w:pPr>
            <w:r>
              <w:rPr>
                <w:bCs/>
                <w:color w:val="auto"/>
                <w:sz w:val="24"/>
                <w:highlight w:val="none"/>
              </w:rPr>
              <w:t>监督部门：</w:t>
            </w:r>
          </w:p>
          <w:p w14:paraId="4C3085F6">
            <w:pPr>
              <w:spacing w:line="440" w:lineRule="exact"/>
              <w:rPr>
                <w:rFonts w:hint="eastAsia" w:eastAsia="宋体"/>
                <w:bCs/>
                <w:color w:val="auto"/>
                <w:sz w:val="24"/>
                <w:highlight w:val="none"/>
                <w:lang w:eastAsia="zh-CN"/>
              </w:rPr>
            </w:pPr>
            <w:r>
              <w:rPr>
                <w:rFonts w:hint="eastAsia"/>
                <w:bCs/>
                <w:color w:val="auto"/>
                <w:sz w:val="24"/>
                <w:highlight w:val="none"/>
                <w:lang w:eastAsia="zh-CN"/>
              </w:rPr>
              <w:t>桂平市财政局政府采购监督管理股 0775-3380263</w:t>
            </w:r>
          </w:p>
        </w:tc>
      </w:tr>
    </w:tbl>
    <w:p w14:paraId="597961F1">
      <w:pPr>
        <w:spacing w:line="360" w:lineRule="auto"/>
        <w:jc w:val="center"/>
        <w:rPr>
          <w:b/>
          <w:color w:val="auto"/>
          <w:sz w:val="32"/>
          <w:highlight w:val="none"/>
        </w:rPr>
      </w:pPr>
    </w:p>
    <w:p w14:paraId="04F971FA">
      <w:pPr>
        <w:spacing w:line="360" w:lineRule="auto"/>
        <w:jc w:val="center"/>
        <w:rPr>
          <w:b/>
          <w:color w:val="auto"/>
          <w:sz w:val="32"/>
          <w:highlight w:val="none"/>
        </w:rPr>
      </w:pPr>
    </w:p>
    <w:p w14:paraId="78E5C4EC">
      <w:pPr>
        <w:spacing w:line="360" w:lineRule="auto"/>
        <w:jc w:val="center"/>
        <w:rPr>
          <w:b/>
          <w:color w:val="auto"/>
          <w:sz w:val="32"/>
          <w:highlight w:val="none"/>
        </w:rPr>
      </w:pPr>
    </w:p>
    <w:p w14:paraId="4E5E1213">
      <w:pPr>
        <w:rPr>
          <w:color w:val="auto"/>
          <w:highlight w:val="none"/>
        </w:rPr>
      </w:pPr>
    </w:p>
    <w:p w14:paraId="1833BBB5">
      <w:pPr>
        <w:spacing w:line="360" w:lineRule="auto"/>
        <w:rPr>
          <w:b/>
          <w:color w:val="auto"/>
          <w:sz w:val="32"/>
          <w:highlight w:val="none"/>
        </w:rPr>
      </w:pPr>
    </w:p>
    <w:p w14:paraId="42FCE619">
      <w:pPr>
        <w:rPr>
          <w:color w:val="auto"/>
          <w:highlight w:val="none"/>
        </w:rPr>
      </w:pPr>
    </w:p>
    <w:p w14:paraId="7B8C665A">
      <w:pPr>
        <w:rPr>
          <w:color w:val="auto"/>
          <w:highlight w:val="none"/>
        </w:rPr>
      </w:pPr>
    </w:p>
    <w:p w14:paraId="5ECD8B7B">
      <w:pPr>
        <w:rPr>
          <w:color w:val="auto"/>
          <w:highlight w:val="none"/>
        </w:rPr>
      </w:pPr>
    </w:p>
    <w:p w14:paraId="11D3DF3C">
      <w:pPr>
        <w:rPr>
          <w:color w:val="auto"/>
          <w:highlight w:val="none"/>
        </w:rPr>
      </w:pPr>
    </w:p>
    <w:p w14:paraId="62BEEEC8">
      <w:pPr>
        <w:rPr>
          <w:color w:val="auto"/>
          <w:highlight w:val="none"/>
        </w:rPr>
      </w:pPr>
    </w:p>
    <w:p w14:paraId="43B477F5">
      <w:pPr>
        <w:rPr>
          <w:color w:val="auto"/>
          <w:highlight w:val="none"/>
        </w:rPr>
      </w:pPr>
    </w:p>
    <w:p w14:paraId="281C66BF">
      <w:pPr>
        <w:spacing w:line="440" w:lineRule="exact"/>
        <w:jc w:val="center"/>
        <w:rPr>
          <w:b/>
          <w:color w:val="auto"/>
          <w:sz w:val="32"/>
          <w:highlight w:val="none"/>
        </w:rPr>
      </w:pPr>
      <w:r>
        <w:rPr>
          <w:b/>
          <w:color w:val="auto"/>
          <w:sz w:val="32"/>
          <w:highlight w:val="none"/>
        </w:rPr>
        <w:br w:type="page"/>
      </w:r>
    </w:p>
    <w:p w14:paraId="5AF41D5E">
      <w:pPr>
        <w:spacing w:line="440" w:lineRule="exact"/>
        <w:jc w:val="center"/>
        <w:rPr>
          <w:b/>
          <w:color w:val="auto"/>
          <w:sz w:val="32"/>
          <w:highlight w:val="none"/>
        </w:rPr>
      </w:pPr>
      <w:r>
        <w:rPr>
          <w:b/>
          <w:color w:val="auto"/>
          <w:sz w:val="32"/>
          <w:highlight w:val="none"/>
        </w:rPr>
        <w:t>磋商须知</w:t>
      </w:r>
    </w:p>
    <w:p w14:paraId="53ACB30A">
      <w:pPr>
        <w:spacing w:line="440" w:lineRule="exact"/>
        <w:ind w:firstLine="484" w:firstLineChars="201"/>
        <w:rPr>
          <w:b/>
          <w:color w:val="auto"/>
          <w:sz w:val="24"/>
          <w:highlight w:val="none"/>
        </w:rPr>
      </w:pPr>
    </w:p>
    <w:p w14:paraId="5430542B">
      <w:pPr>
        <w:spacing w:line="440" w:lineRule="exact"/>
        <w:ind w:firstLine="484" w:firstLineChars="201"/>
        <w:rPr>
          <w:b/>
          <w:color w:val="auto"/>
          <w:sz w:val="24"/>
          <w:highlight w:val="none"/>
        </w:rPr>
      </w:pPr>
      <w:r>
        <w:rPr>
          <w:b/>
          <w:color w:val="auto"/>
          <w:sz w:val="24"/>
          <w:highlight w:val="none"/>
        </w:rPr>
        <w:t>一、总　则</w:t>
      </w:r>
    </w:p>
    <w:p w14:paraId="6E0F46D5">
      <w:pPr>
        <w:spacing w:line="440" w:lineRule="exact"/>
        <w:ind w:firstLine="484" w:firstLineChars="201"/>
        <w:rPr>
          <w:b/>
          <w:color w:val="auto"/>
          <w:sz w:val="24"/>
          <w:highlight w:val="none"/>
        </w:rPr>
      </w:pPr>
      <w:r>
        <w:rPr>
          <w:b/>
          <w:color w:val="auto"/>
          <w:sz w:val="24"/>
          <w:highlight w:val="none"/>
        </w:rPr>
        <w:t>1. 适用范围</w:t>
      </w:r>
    </w:p>
    <w:p w14:paraId="091E7580">
      <w:pPr>
        <w:spacing w:line="440" w:lineRule="exact"/>
        <w:ind w:firstLine="482" w:firstLineChars="201"/>
        <w:rPr>
          <w:color w:val="auto"/>
          <w:sz w:val="24"/>
          <w:highlight w:val="none"/>
        </w:rPr>
      </w:pPr>
      <w:r>
        <w:rPr>
          <w:color w:val="auto"/>
          <w:sz w:val="24"/>
          <w:highlight w:val="none"/>
        </w:rPr>
        <w:t>1.1 本文件仅适用于本文件中所叙述的工程、货物和服务类采购项目。</w:t>
      </w:r>
    </w:p>
    <w:p w14:paraId="35B2A20C">
      <w:pPr>
        <w:spacing w:line="440" w:lineRule="exact"/>
        <w:ind w:firstLine="484" w:firstLineChars="201"/>
        <w:rPr>
          <w:b/>
          <w:color w:val="auto"/>
          <w:sz w:val="24"/>
          <w:highlight w:val="none"/>
        </w:rPr>
      </w:pPr>
      <w:r>
        <w:rPr>
          <w:b/>
          <w:color w:val="auto"/>
          <w:sz w:val="24"/>
          <w:highlight w:val="none"/>
        </w:rPr>
        <w:t>2. 定义</w:t>
      </w:r>
    </w:p>
    <w:p w14:paraId="06DF9307">
      <w:pPr>
        <w:spacing w:line="440" w:lineRule="exact"/>
        <w:ind w:firstLine="482" w:firstLineChars="201"/>
        <w:rPr>
          <w:color w:val="auto"/>
          <w:sz w:val="24"/>
          <w:highlight w:val="none"/>
        </w:rPr>
      </w:pPr>
      <w:r>
        <w:rPr>
          <w:color w:val="auto"/>
          <w:sz w:val="24"/>
          <w:highlight w:val="none"/>
        </w:rPr>
        <w:t>2.1“采购人”是指：</w:t>
      </w:r>
      <w:r>
        <w:rPr>
          <w:rFonts w:hint="eastAsia"/>
          <w:color w:val="auto"/>
          <w:sz w:val="24"/>
          <w:highlight w:val="none"/>
          <w:lang w:eastAsia="zh-CN"/>
        </w:rPr>
        <w:t>桂平市文化广电体育和旅游局</w:t>
      </w:r>
      <w:r>
        <w:rPr>
          <w:color w:val="auto"/>
          <w:sz w:val="24"/>
          <w:highlight w:val="none"/>
        </w:rPr>
        <w:t>。</w:t>
      </w:r>
    </w:p>
    <w:p w14:paraId="5DB0DCA3">
      <w:pPr>
        <w:spacing w:line="440" w:lineRule="exact"/>
        <w:ind w:firstLine="482" w:firstLineChars="201"/>
        <w:rPr>
          <w:color w:val="auto"/>
          <w:sz w:val="24"/>
          <w:highlight w:val="none"/>
          <w:u w:val="single"/>
        </w:rPr>
      </w:pPr>
      <w:r>
        <w:rPr>
          <w:color w:val="auto"/>
          <w:sz w:val="24"/>
          <w:highlight w:val="none"/>
        </w:rPr>
        <w:t>2.2“采购代理机构”是指：</w:t>
      </w:r>
      <w:r>
        <w:rPr>
          <w:rFonts w:hint="eastAsia"/>
          <w:color w:val="auto"/>
          <w:sz w:val="24"/>
          <w:highlight w:val="none"/>
          <w:lang w:eastAsia="zh-CN"/>
        </w:rPr>
        <w:t>广西创佳项目管理有限公司</w:t>
      </w:r>
      <w:r>
        <w:rPr>
          <w:color w:val="auto"/>
          <w:sz w:val="24"/>
          <w:highlight w:val="none"/>
        </w:rPr>
        <w:t>。</w:t>
      </w:r>
    </w:p>
    <w:p w14:paraId="6589D2C4">
      <w:pPr>
        <w:spacing w:line="440" w:lineRule="exact"/>
        <w:ind w:firstLine="482" w:firstLineChars="201"/>
        <w:rPr>
          <w:color w:val="auto"/>
          <w:sz w:val="24"/>
          <w:highlight w:val="none"/>
        </w:rPr>
      </w:pPr>
      <w:r>
        <w:rPr>
          <w:color w:val="auto"/>
          <w:sz w:val="24"/>
          <w:highlight w:val="none"/>
        </w:rPr>
        <w:t>2.3“供应商”是指响应本文件要求，参加磋商的法人或者其他组织。如果该供应商在本次磋商中成交，即成为“成交供应商”。</w:t>
      </w:r>
    </w:p>
    <w:p w14:paraId="38B133B0">
      <w:pPr>
        <w:spacing w:line="440" w:lineRule="exact"/>
        <w:ind w:firstLine="482" w:firstLineChars="201"/>
        <w:rPr>
          <w:color w:val="auto"/>
          <w:sz w:val="24"/>
          <w:highlight w:val="none"/>
        </w:rPr>
      </w:pPr>
      <w:r>
        <w:rPr>
          <w:color w:val="auto"/>
          <w:sz w:val="24"/>
          <w:highlight w:val="none"/>
        </w:rPr>
        <w:t>2.4“货物”是指各种形态和种类的物品，包括原材料、燃料、设备、产品等。</w:t>
      </w:r>
    </w:p>
    <w:p w14:paraId="031E638F">
      <w:pPr>
        <w:spacing w:line="440" w:lineRule="exact"/>
        <w:ind w:firstLine="482" w:firstLineChars="201"/>
        <w:rPr>
          <w:color w:val="auto"/>
          <w:sz w:val="24"/>
          <w:highlight w:val="none"/>
        </w:rPr>
      </w:pPr>
      <w:r>
        <w:rPr>
          <w:color w:val="auto"/>
          <w:sz w:val="24"/>
          <w:highlight w:val="none"/>
        </w:rPr>
        <w:t>2.5“服务”是指除货物和工程以外的其他采购对象。</w:t>
      </w:r>
    </w:p>
    <w:p w14:paraId="3BC370AD">
      <w:pPr>
        <w:spacing w:line="440" w:lineRule="exact"/>
        <w:ind w:firstLine="482" w:firstLineChars="201"/>
        <w:rPr>
          <w:color w:val="auto"/>
          <w:sz w:val="24"/>
          <w:highlight w:val="none"/>
        </w:rPr>
      </w:pPr>
      <w:r>
        <w:rPr>
          <w:color w:val="auto"/>
          <w:sz w:val="24"/>
          <w:highlight w:val="none"/>
        </w:rPr>
        <w:t>2.6“响应文件”是指：供应商根据本文件要求，编制包含报价、技术和服务等所有内容的响应文件。</w:t>
      </w:r>
    </w:p>
    <w:p w14:paraId="10DFECF7">
      <w:pPr>
        <w:spacing w:line="440" w:lineRule="exact"/>
        <w:ind w:firstLine="484" w:firstLineChars="201"/>
        <w:rPr>
          <w:b/>
          <w:color w:val="auto"/>
          <w:sz w:val="24"/>
          <w:highlight w:val="none"/>
        </w:rPr>
      </w:pPr>
      <w:r>
        <w:rPr>
          <w:b/>
          <w:color w:val="auto"/>
          <w:sz w:val="24"/>
          <w:highlight w:val="none"/>
        </w:rPr>
        <w:t>3. 供应商的基本条件</w:t>
      </w:r>
    </w:p>
    <w:p w14:paraId="253F4FBC">
      <w:pPr>
        <w:spacing w:line="440" w:lineRule="exact"/>
        <w:ind w:firstLine="482" w:firstLineChars="201"/>
        <w:rPr>
          <w:color w:val="auto"/>
          <w:sz w:val="24"/>
          <w:highlight w:val="none"/>
        </w:rPr>
      </w:pPr>
      <w:r>
        <w:rPr>
          <w:color w:val="auto"/>
          <w:sz w:val="24"/>
          <w:highlight w:val="none"/>
        </w:rPr>
        <w:t>3.1 供应商资格：详见前附表第2项要求。</w:t>
      </w:r>
    </w:p>
    <w:p w14:paraId="752BF95F">
      <w:pPr>
        <w:spacing w:line="440" w:lineRule="exact"/>
        <w:ind w:firstLine="482" w:firstLineChars="201"/>
        <w:rPr>
          <w:color w:val="auto"/>
          <w:sz w:val="24"/>
          <w:highlight w:val="none"/>
        </w:rPr>
      </w:pPr>
      <w:r>
        <w:rPr>
          <w:color w:val="auto"/>
          <w:sz w:val="24"/>
          <w:highlight w:val="none"/>
        </w:rPr>
        <w:t>3.2 联合体</w:t>
      </w:r>
      <w:r>
        <w:rPr>
          <w:rFonts w:hint="eastAsia"/>
          <w:color w:val="auto"/>
          <w:sz w:val="24"/>
          <w:highlight w:val="none"/>
        </w:rPr>
        <w:t>磋商</w:t>
      </w:r>
      <w:r>
        <w:rPr>
          <w:color w:val="auto"/>
          <w:sz w:val="24"/>
          <w:highlight w:val="none"/>
        </w:rPr>
        <w:t>：本项目不接受联合体参加。</w:t>
      </w:r>
    </w:p>
    <w:p w14:paraId="6F66092A">
      <w:pPr>
        <w:spacing w:line="440" w:lineRule="exact"/>
        <w:ind w:firstLine="484" w:firstLineChars="201"/>
        <w:rPr>
          <w:b/>
          <w:color w:val="auto"/>
          <w:sz w:val="24"/>
          <w:highlight w:val="none"/>
        </w:rPr>
      </w:pPr>
      <w:r>
        <w:rPr>
          <w:b/>
          <w:color w:val="auto"/>
          <w:sz w:val="24"/>
          <w:highlight w:val="none"/>
        </w:rPr>
        <w:t>4. 磋商费用</w:t>
      </w:r>
    </w:p>
    <w:p w14:paraId="42D36C27">
      <w:pPr>
        <w:spacing w:line="440" w:lineRule="exact"/>
        <w:ind w:firstLine="482" w:firstLineChars="201"/>
        <w:rPr>
          <w:color w:val="auto"/>
          <w:sz w:val="24"/>
          <w:highlight w:val="none"/>
        </w:rPr>
      </w:pPr>
      <w:r>
        <w:rPr>
          <w:color w:val="auto"/>
          <w:sz w:val="24"/>
          <w:highlight w:val="none"/>
        </w:rPr>
        <w:t>4.1不论磋商结果如何，供应商应自行承担所有与编写和提交响应文件有关的费用，采购人和采购代理机构在任何情况下无义务和责任承担此类费用。</w:t>
      </w:r>
    </w:p>
    <w:p w14:paraId="5751ACFE">
      <w:pPr>
        <w:spacing w:line="440" w:lineRule="exact"/>
        <w:ind w:firstLine="482" w:firstLineChars="201"/>
        <w:rPr>
          <w:color w:val="auto"/>
          <w:sz w:val="24"/>
          <w:highlight w:val="none"/>
        </w:rPr>
      </w:pPr>
      <w:r>
        <w:rPr>
          <w:color w:val="auto"/>
          <w:sz w:val="24"/>
          <w:highlight w:val="none"/>
        </w:rPr>
        <w:t>4.2本项目代理服务费：见本须知前附表。</w:t>
      </w:r>
    </w:p>
    <w:p w14:paraId="2DF93F73">
      <w:pPr>
        <w:spacing w:line="440" w:lineRule="exact"/>
        <w:ind w:firstLine="484" w:firstLineChars="201"/>
        <w:rPr>
          <w:b/>
          <w:color w:val="auto"/>
          <w:sz w:val="24"/>
          <w:highlight w:val="none"/>
        </w:rPr>
      </w:pPr>
      <w:r>
        <w:rPr>
          <w:b/>
          <w:color w:val="auto"/>
          <w:sz w:val="24"/>
          <w:highlight w:val="none"/>
        </w:rPr>
        <w:t>二、磋商文件</w:t>
      </w:r>
    </w:p>
    <w:p w14:paraId="2BD6C7DE">
      <w:pPr>
        <w:spacing w:line="440" w:lineRule="exact"/>
        <w:ind w:firstLine="484" w:firstLineChars="201"/>
        <w:rPr>
          <w:b/>
          <w:color w:val="auto"/>
          <w:sz w:val="24"/>
          <w:highlight w:val="none"/>
        </w:rPr>
      </w:pPr>
      <w:r>
        <w:rPr>
          <w:b/>
          <w:color w:val="auto"/>
          <w:sz w:val="24"/>
          <w:highlight w:val="none"/>
        </w:rPr>
        <w:t>5.磋商文件的组成</w:t>
      </w:r>
    </w:p>
    <w:p w14:paraId="2B8F0F21">
      <w:pPr>
        <w:spacing w:line="440" w:lineRule="exact"/>
        <w:ind w:firstLine="482" w:firstLineChars="201"/>
        <w:rPr>
          <w:color w:val="auto"/>
          <w:sz w:val="24"/>
          <w:highlight w:val="none"/>
        </w:rPr>
      </w:pPr>
      <w:r>
        <w:rPr>
          <w:color w:val="auto"/>
          <w:sz w:val="24"/>
          <w:highlight w:val="none"/>
        </w:rPr>
        <w:t>（1）竞争性磋商公告；</w:t>
      </w:r>
    </w:p>
    <w:p w14:paraId="04DA4A0F">
      <w:pPr>
        <w:spacing w:line="440" w:lineRule="exact"/>
        <w:ind w:firstLine="482" w:firstLineChars="201"/>
        <w:rPr>
          <w:color w:val="auto"/>
          <w:sz w:val="24"/>
          <w:highlight w:val="none"/>
        </w:rPr>
      </w:pPr>
      <w:r>
        <w:rPr>
          <w:color w:val="auto"/>
          <w:sz w:val="24"/>
          <w:highlight w:val="none"/>
        </w:rPr>
        <w:t>（2）磋商须知及前附表；</w:t>
      </w:r>
    </w:p>
    <w:p w14:paraId="2616147B">
      <w:pPr>
        <w:spacing w:line="440" w:lineRule="exact"/>
        <w:ind w:firstLine="482" w:firstLineChars="201"/>
        <w:rPr>
          <w:color w:val="auto"/>
          <w:sz w:val="24"/>
          <w:highlight w:val="none"/>
        </w:rPr>
      </w:pPr>
      <w:r>
        <w:rPr>
          <w:color w:val="auto"/>
          <w:sz w:val="24"/>
          <w:highlight w:val="none"/>
        </w:rPr>
        <w:t>（3）项目采购需求；</w:t>
      </w:r>
    </w:p>
    <w:p w14:paraId="4AD297BF">
      <w:pPr>
        <w:spacing w:line="440" w:lineRule="exact"/>
        <w:ind w:firstLine="482" w:firstLineChars="201"/>
        <w:rPr>
          <w:color w:val="auto"/>
          <w:sz w:val="24"/>
          <w:highlight w:val="none"/>
        </w:rPr>
      </w:pPr>
      <w:r>
        <w:rPr>
          <w:color w:val="auto"/>
          <w:sz w:val="24"/>
          <w:highlight w:val="none"/>
        </w:rPr>
        <w:t>（4）竞争性磋商响应文件格式；</w:t>
      </w:r>
    </w:p>
    <w:p w14:paraId="280B933C">
      <w:pPr>
        <w:spacing w:line="440" w:lineRule="exact"/>
        <w:ind w:firstLine="482" w:firstLineChars="201"/>
        <w:rPr>
          <w:color w:val="auto"/>
          <w:sz w:val="24"/>
          <w:highlight w:val="none"/>
        </w:rPr>
      </w:pPr>
      <w:r>
        <w:rPr>
          <w:color w:val="auto"/>
          <w:sz w:val="24"/>
          <w:highlight w:val="none"/>
        </w:rPr>
        <w:t>（5）合同主要条款（格式）；</w:t>
      </w:r>
    </w:p>
    <w:p w14:paraId="297AA65D">
      <w:pPr>
        <w:spacing w:line="440" w:lineRule="exact"/>
        <w:ind w:firstLine="482" w:firstLineChars="201"/>
        <w:rPr>
          <w:color w:val="auto"/>
          <w:sz w:val="24"/>
          <w:highlight w:val="none"/>
        </w:rPr>
      </w:pPr>
      <w:r>
        <w:rPr>
          <w:color w:val="auto"/>
          <w:sz w:val="24"/>
          <w:highlight w:val="none"/>
        </w:rPr>
        <w:t>（6）评标</w:t>
      </w:r>
      <w:r>
        <w:rPr>
          <w:rFonts w:hint="eastAsia"/>
          <w:color w:val="auto"/>
          <w:sz w:val="24"/>
          <w:highlight w:val="none"/>
        </w:rPr>
        <w:t>方法</w:t>
      </w:r>
      <w:r>
        <w:rPr>
          <w:color w:val="auto"/>
          <w:sz w:val="24"/>
          <w:highlight w:val="none"/>
        </w:rPr>
        <w:t>；</w:t>
      </w:r>
    </w:p>
    <w:p w14:paraId="0CB865C9">
      <w:pPr>
        <w:spacing w:line="440" w:lineRule="exact"/>
        <w:ind w:firstLine="482" w:firstLineChars="201"/>
        <w:rPr>
          <w:color w:val="auto"/>
          <w:highlight w:val="none"/>
        </w:rPr>
      </w:pPr>
      <w:r>
        <w:rPr>
          <w:color w:val="auto"/>
          <w:sz w:val="24"/>
          <w:highlight w:val="none"/>
        </w:rPr>
        <w:t>（7）质疑书及投诉书格式；</w:t>
      </w:r>
    </w:p>
    <w:p w14:paraId="7ED366E8">
      <w:pPr>
        <w:spacing w:line="440" w:lineRule="exact"/>
        <w:ind w:firstLine="484" w:firstLineChars="201"/>
        <w:rPr>
          <w:b/>
          <w:color w:val="auto"/>
          <w:sz w:val="24"/>
          <w:highlight w:val="none"/>
        </w:rPr>
      </w:pPr>
      <w:r>
        <w:rPr>
          <w:b/>
          <w:color w:val="auto"/>
          <w:sz w:val="24"/>
          <w:highlight w:val="none"/>
        </w:rPr>
        <w:t>6.磋商文件的澄清或修改</w:t>
      </w:r>
    </w:p>
    <w:p w14:paraId="7726ACBF">
      <w:pPr>
        <w:spacing w:line="440" w:lineRule="exact"/>
        <w:ind w:firstLine="482" w:firstLineChars="201"/>
        <w:rPr>
          <w:bCs/>
          <w:color w:val="auto"/>
          <w:sz w:val="24"/>
          <w:highlight w:val="none"/>
        </w:rPr>
      </w:pPr>
      <w:r>
        <w:rPr>
          <w:color w:val="auto"/>
          <w:sz w:val="24"/>
          <w:highlight w:val="none"/>
        </w:rPr>
        <w:t>在提交首次响应文件截止之日前，采购人、采购代理机构或者磋商小组可以对已发出的磋商文件进行必要的澄清或者修改，澄清或者修改的内容作为磋商文件的组成部分。澄清或者修改的内容可能影响响应文件编制的，采购人、</w:t>
      </w:r>
      <w:r>
        <w:rPr>
          <w:bCs/>
          <w:color w:val="auto"/>
          <w:sz w:val="24"/>
          <w:highlight w:val="none"/>
        </w:rPr>
        <w:t>采购代理机构应当在提交首次响应文件递交截止时间5日前在本项目竞争性磋商公告发布的同一媒体上发布更正公告，供应商自行登录竞争性磋商公告发布的相关网站查询，不足5日的，应当顺延首次响应文件递交截止时间。</w:t>
      </w:r>
    </w:p>
    <w:p w14:paraId="0DF4C82C">
      <w:pPr>
        <w:spacing w:line="440" w:lineRule="exact"/>
        <w:ind w:firstLine="482" w:firstLineChars="200"/>
        <w:rPr>
          <w:b/>
          <w:color w:val="auto"/>
          <w:sz w:val="24"/>
          <w:highlight w:val="none"/>
        </w:rPr>
      </w:pPr>
      <w:r>
        <w:rPr>
          <w:b/>
          <w:color w:val="auto"/>
          <w:sz w:val="24"/>
          <w:highlight w:val="none"/>
        </w:rPr>
        <w:t>7.现场考察或答疑会</w:t>
      </w:r>
    </w:p>
    <w:p w14:paraId="72348949">
      <w:pPr>
        <w:spacing w:line="440" w:lineRule="exact"/>
        <w:ind w:firstLine="480" w:firstLineChars="200"/>
        <w:rPr>
          <w:bCs/>
          <w:color w:val="auto"/>
          <w:sz w:val="24"/>
          <w:highlight w:val="none"/>
        </w:rPr>
      </w:pPr>
      <w:r>
        <w:rPr>
          <w:bCs/>
          <w:color w:val="auto"/>
          <w:sz w:val="24"/>
          <w:highlight w:val="none"/>
        </w:rPr>
        <w:t>不组织。</w:t>
      </w:r>
    </w:p>
    <w:p w14:paraId="2DF338F0">
      <w:pPr>
        <w:spacing w:line="440" w:lineRule="exact"/>
        <w:ind w:firstLine="484" w:firstLineChars="201"/>
        <w:rPr>
          <w:b/>
          <w:color w:val="auto"/>
          <w:sz w:val="24"/>
          <w:highlight w:val="none"/>
        </w:rPr>
      </w:pPr>
      <w:r>
        <w:rPr>
          <w:b/>
          <w:color w:val="auto"/>
          <w:sz w:val="24"/>
          <w:highlight w:val="none"/>
        </w:rPr>
        <w:t>三、响应文件</w:t>
      </w:r>
    </w:p>
    <w:p w14:paraId="3E90226B">
      <w:pPr>
        <w:spacing w:line="440" w:lineRule="exact"/>
        <w:ind w:firstLine="484" w:firstLineChars="201"/>
        <w:rPr>
          <w:b/>
          <w:color w:val="auto"/>
          <w:sz w:val="24"/>
          <w:highlight w:val="none"/>
        </w:rPr>
      </w:pPr>
      <w:r>
        <w:rPr>
          <w:b/>
          <w:color w:val="auto"/>
          <w:sz w:val="24"/>
          <w:highlight w:val="none"/>
        </w:rPr>
        <w:t>8.响应文件的组成</w:t>
      </w:r>
    </w:p>
    <w:p w14:paraId="530FE527">
      <w:pPr>
        <w:spacing w:line="440" w:lineRule="exact"/>
        <w:ind w:firstLine="480" w:firstLineChars="200"/>
        <w:rPr>
          <w:b/>
          <w:color w:val="auto"/>
          <w:sz w:val="24"/>
          <w:highlight w:val="none"/>
        </w:rPr>
      </w:pPr>
      <w:r>
        <w:rPr>
          <w:color w:val="auto"/>
          <w:sz w:val="24"/>
          <w:highlight w:val="none"/>
        </w:rPr>
        <w:t>响应文件应分为资格审查文件、报价文件和商务技术文件三个部分组成。</w:t>
      </w:r>
      <w:r>
        <w:rPr>
          <w:b/>
          <w:color w:val="auto"/>
          <w:sz w:val="24"/>
          <w:highlight w:val="none"/>
        </w:rPr>
        <w:t>（下列文件均须加盖</w:t>
      </w:r>
      <w:r>
        <w:rPr>
          <w:rFonts w:hint="eastAsia"/>
          <w:b/>
          <w:color w:val="auto"/>
          <w:sz w:val="24"/>
          <w:highlight w:val="none"/>
        </w:rPr>
        <w:t>磋商供应商</w:t>
      </w:r>
      <w:r>
        <w:rPr>
          <w:b/>
          <w:color w:val="auto"/>
          <w:sz w:val="24"/>
          <w:highlight w:val="none"/>
        </w:rPr>
        <w:t>单位公章；应该有的必须提供，如未提供，磋商小组有权拒绝其响应文件）</w:t>
      </w:r>
    </w:p>
    <w:p w14:paraId="39122431">
      <w:pPr>
        <w:spacing w:line="440" w:lineRule="exact"/>
        <w:ind w:firstLine="482" w:firstLineChars="200"/>
        <w:rPr>
          <w:b/>
          <w:bCs/>
          <w:color w:val="auto"/>
          <w:sz w:val="24"/>
          <w:highlight w:val="none"/>
        </w:rPr>
      </w:pPr>
      <w:r>
        <w:rPr>
          <w:b/>
          <w:bCs/>
          <w:color w:val="auto"/>
          <w:sz w:val="24"/>
          <w:highlight w:val="none"/>
        </w:rPr>
        <w:t>8.1 资格审查文件：</w:t>
      </w:r>
    </w:p>
    <w:p w14:paraId="272E48AA">
      <w:pPr>
        <w:spacing w:line="440" w:lineRule="exact"/>
        <w:ind w:firstLine="480" w:firstLineChars="200"/>
        <w:rPr>
          <w:color w:val="auto"/>
          <w:sz w:val="24"/>
          <w:highlight w:val="none"/>
        </w:rPr>
      </w:pPr>
      <w:r>
        <w:rPr>
          <w:color w:val="auto"/>
          <w:sz w:val="24"/>
          <w:highlight w:val="none"/>
        </w:rPr>
        <w:t>1、有效的营业执照正本或副本复印件</w:t>
      </w:r>
      <w:r>
        <w:rPr>
          <w:color w:val="auto"/>
          <w:kern w:val="0"/>
          <w:sz w:val="24"/>
          <w:highlight w:val="none"/>
        </w:rPr>
        <w:t>（</w:t>
      </w:r>
      <w:r>
        <w:rPr>
          <w:b/>
          <w:bCs/>
          <w:color w:val="auto"/>
          <w:kern w:val="0"/>
          <w:sz w:val="24"/>
          <w:highlight w:val="none"/>
        </w:rPr>
        <w:t>必须提供，否则磋商响应无效</w:t>
      </w:r>
      <w:r>
        <w:rPr>
          <w:color w:val="auto"/>
          <w:kern w:val="0"/>
          <w:sz w:val="24"/>
          <w:highlight w:val="none"/>
        </w:rPr>
        <w:t>）</w:t>
      </w:r>
      <w:r>
        <w:rPr>
          <w:color w:val="auto"/>
          <w:sz w:val="24"/>
          <w:highlight w:val="none"/>
        </w:rPr>
        <w:t>；</w:t>
      </w:r>
    </w:p>
    <w:p w14:paraId="6290A9EB">
      <w:pPr>
        <w:spacing w:line="440" w:lineRule="exact"/>
        <w:ind w:firstLine="480" w:firstLineChars="200"/>
        <w:rPr>
          <w:color w:val="auto"/>
          <w:sz w:val="24"/>
          <w:highlight w:val="none"/>
        </w:rPr>
      </w:pPr>
      <w:r>
        <w:rPr>
          <w:color w:val="auto"/>
          <w:sz w:val="24"/>
          <w:highlight w:val="none"/>
        </w:rPr>
        <w:t>2、供应商相应的法定代表人身份证明书及身份证正反面复印件（</w:t>
      </w:r>
      <w:r>
        <w:rPr>
          <w:b/>
          <w:bCs/>
          <w:color w:val="auto"/>
          <w:sz w:val="24"/>
          <w:highlight w:val="none"/>
        </w:rPr>
        <w:t>必须提供，否则磋商响应无效</w:t>
      </w:r>
      <w:r>
        <w:rPr>
          <w:color w:val="auto"/>
          <w:sz w:val="24"/>
          <w:highlight w:val="none"/>
        </w:rPr>
        <w:t>）；</w:t>
      </w:r>
    </w:p>
    <w:p w14:paraId="4620468D">
      <w:pPr>
        <w:spacing w:line="440" w:lineRule="exact"/>
        <w:ind w:firstLine="480" w:firstLineChars="200"/>
        <w:rPr>
          <w:color w:val="auto"/>
          <w:sz w:val="24"/>
          <w:highlight w:val="none"/>
        </w:rPr>
      </w:pPr>
      <w:r>
        <w:rPr>
          <w:color w:val="auto"/>
          <w:sz w:val="24"/>
          <w:highlight w:val="none"/>
        </w:rPr>
        <w:t>3、委托代理时须提供法定代表人授权委托书原件及被授权人身份证复印件（</w:t>
      </w:r>
      <w:r>
        <w:rPr>
          <w:b/>
          <w:bCs/>
          <w:color w:val="auto"/>
          <w:sz w:val="24"/>
          <w:highlight w:val="none"/>
        </w:rPr>
        <w:t>委托代理时必须提供，否则磋商响应无效</w:t>
      </w:r>
      <w:r>
        <w:rPr>
          <w:color w:val="auto"/>
          <w:sz w:val="24"/>
          <w:highlight w:val="none"/>
        </w:rPr>
        <w:t>）</w:t>
      </w:r>
      <w:r>
        <w:rPr>
          <w:rFonts w:hint="eastAsia"/>
          <w:color w:val="auto"/>
          <w:sz w:val="24"/>
          <w:highlight w:val="none"/>
        </w:rPr>
        <w:t>；</w:t>
      </w:r>
    </w:p>
    <w:p w14:paraId="7082645C">
      <w:pPr>
        <w:spacing w:line="440" w:lineRule="exact"/>
        <w:ind w:firstLine="480" w:firstLineChars="200"/>
        <w:rPr>
          <w:bCs/>
          <w:color w:val="auto"/>
          <w:sz w:val="24"/>
          <w:szCs w:val="20"/>
          <w:highlight w:val="none"/>
        </w:rPr>
      </w:pPr>
      <w:r>
        <w:rPr>
          <w:rFonts w:hint="eastAsia"/>
          <w:color w:val="auto"/>
          <w:sz w:val="24"/>
          <w:highlight w:val="none"/>
          <w:lang w:val="en-US" w:eastAsia="zh-CN"/>
        </w:rPr>
        <w:t>4</w:t>
      </w:r>
      <w:r>
        <w:rPr>
          <w:rFonts w:hint="eastAsia"/>
          <w:color w:val="auto"/>
          <w:sz w:val="24"/>
          <w:highlight w:val="none"/>
        </w:rPr>
        <w:t>、</w:t>
      </w:r>
      <w:r>
        <w:rPr>
          <w:rFonts w:hint="eastAsia"/>
          <w:bCs/>
          <w:color w:val="auto"/>
          <w:sz w:val="24"/>
          <w:szCs w:val="20"/>
          <w:highlight w:val="none"/>
          <w:lang w:val="en-US" w:eastAsia="zh-CN"/>
        </w:rPr>
        <w:t>桂平市</w:t>
      </w:r>
      <w:r>
        <w:rPr>
          <w:rFonts w:hint="eastAsia"/>
          <w:bCs/>
          <w:color w:val="auto"/>
          <w:sz w:val="24"/>
          <w:szCs w:val="20"/>
          <w:highlight w:val="none"/>
        </w:rPr>
        <w:t>政府采购项目投标资格承诺函</w:t>
      </w:r>
      <w:r>
        <w:rPr>
          <w:bCs/>
          <w:color w:val="auto"/>
          <w:sz w:val="24"/>
          <w:szCs w:val="20"/>
          <w:highlight w:val="none"/>
        </w:rPr>
        <w:t>（</w:t>
      </w:r>
      <w:r>
        <w:rPr>
          <w:b/>
          <w:color w:val="auto"/>
          <w:sz w:val="24"/>
          <w:szCs w:val="20"/>
          <w:highlight w:val="none"/>
        </w:rPr>
        <w:t>必须提供，加盖供应商单位公章</w:t>
      </w:r>
      <w:r>
        <w:rPr>
          <w:bCs/>
          <w:color w:val="auto"/>
          <w:sz w:val="24"/>
          <w:szCs w:val="20"/>
          <w:highlight w:val="none"/>
        </w:rPr>
        <w:t>）；</w:t>
      </w:r>
    </w:p>
    <w:p w14:paraId="6155C3C8">
      <w:pPr>
        <w:spacing w:line="440" w:lineRule="exact"/>
        <w:ind w:firstLine="480" w:firstLineChars="200"/>
        <w:rPr>
          <w:bCs/>
          <w:color w:val="auto"/>
          <w:sz w:val="24"/>
          <w:szCs w:val="20"/>
          <w:highlight w:val="none"/>
        </w:rPr>
      </w:pPr>
      <w:r>
        <w:rPr>
          <w:rFonts w:hint="eastAsia"/>
          <w:bCs/>
          <w:color w:val="auto"/>
          <w:sz w:val="24"/>
          <w:szCs w:val="20"/>
          <w:highlight w:val="none"/>
          <w:lang w:val="en-US" w:eastAsia="zh-CN"/>
        </w:rPr>
        <w:t>5</w:t>
      </w:r>
      <w:r>
        <w:rPr>
          <w:bCs/>
          <w:color w:val="auto"/>
          <w:sz w:val="24"/>
          <w:szCs w:val="20"/>
          <w:highlight w:val="none"/>
        </w:rPr>
        <w:t>、供应商参加政府采购活动前3年内在经营活动中没有重大违法记录及有关信用信息的书面声明</w:t>
      </w:r>
      <w:r>
        <w:rPr>
          <w:color w:val="auto"/>
          <w:kern w:val="0"/>
          <w:sz w:val="24"/>
          <w:highlight w:val="none"/>
        </w:rPr>
        <w:t>（</w:t>
      </w:r>
      <w:r>
        <w:rPr>
          <w:b/>
          <w:bCs/>
          <w:color w:val="auto"/>
          <w:kern w:val="0"/>
          <w:sz w:val="24"/>
          <w:highlight w:val="none"/>
        </w:rPr>
        <w:t>必须提供，否则磋商响应无效</w:t>
      </w:r>
      <w:r>
        <w:rPr>
          <w:color w:val="auto"/>
          <w:kern w:val="0"/>
          <w:sz w:val="24"/>
          <w:highlight w:val="none"/>
        </w:rPr>
        <w:t>）</w:t>
      </w:r>
      <w:r>
        <w:rPr>
          <w:bCs/>
          <w:color w:val="auto"/>
          <w:sz w:val="24"/>
          <w:szCs w:val="20"/>
          <w:highlight w:val="none"/>
        </w:rPr>
        <w:t>；</w:t>
      </w:r>
    </w:p>
    <w:p w14:paraId="5E6B5C33">
      <w:pPr>
        <w:spacing w:line="360" w:lineRule="auto"/>
        <w:ind w:firstLine="480" w:firstLineChars="200"/>
        <w:rPr>
          <w:color w:val="auto"/>
          <w:sz w:val="24"/>
          <w:highlight w:val="none"/>
        </w:rPr>
      </w:pPr>
      <w:r>
        <w:rPr>
          <w:rFonts w:hint="eastAsia" w:ascii="Arial" w:hAnsi="Arial" w:cs="Arial"/>
          <w:bCs/>
          <w:color w:val="auto"/>
          <w:sz w:val="24"/>
          <w:highlight w:val="none"/>
          <w:lang w:val="en-US" w:eastAsia="zh-CN"/>
        </w:rPr>
        <w:t>6</w:t>
      </w:r>
      <w:r>
        <w:rPr>
          <w:rFonts w:hint="eastAsia" w:ascii="Arial" w:hAnsi="Arial" w:cs="Arial"/>
          <w:bCs/>
          <w:color w:val="auto"/>
          <w:sz w:val="24"/>
          <w:highlight w:val="none"/>
        </w:rPr>
        <w:t>、中小企业声明函或者残疾人福利性单位声明函或者供应商属于监狱企业的需提供由省级以上监狱管理局、戒毒管理局（含新疆生产建设兵团）出具的属于监狱企业的证明文件</w:t>
      </w:r>
      <w:r>
        <w:rPr>
          <w:rFonts w:ascii="Arial" w:hAnsi="Arial" w:cs="Arial"/>
          <w:b/>
          <w:bCs/>
          <w:color w:val="auto"/>
          <w:sz w:val="24"/>
          <w:highlight w:val="none"/>
        </w:rPr>
        <w:t>（必须提供，否则磋商响应无效）</w:t>
      </w:r>
      <w:r>
        <w:rPr>
          <w:color w:val="auto"/>
          <w:sz w:val="24"/>
          <w:highlight w:val="none"/>
        </w:rPr>
        <w:t>；</w:t>
      </w:r>
    </w:p>
    <w:p w14:paraId="39BFE268">
      <w:pPr>
        <w:spacing w:line="440" w:lineRule="exact"/>
        <w:ind w:firstLine="480" w:firstLineChars="200"/>
        <w:rPr>
          <w:color w:val="auto"/>
          <w:highlight w:val="none"/>
        </w:rPr>
      </w:pPr>
      <w:r>
        <w:rPr>
          <w:rFonts w:hint="eastAsia"/>
          <w:bCs/>
          <w:color w:val="auto"/>
          <w:sz w:val="24"/>
          <w:szCs w:val="20"/>
          <w:highlight w:val="none"/>
          <w:lang w:val="en-US" w:eastAsia="zh-CN"/>
        </w:rPr>
        <w:t>7</w:t>
      </w:r>
      <w:r>
        <w:rPr>
          <w:bCs/>
          <w:color w:val="auto"/>
          <w:sz w:val="24"/>
          <w:szCs w:val="20"/>
          <w:highlight w:val="none"/>
        </w:rPr>
        <w:t>、供应商认为需要提供的其他证明材料</w:t>
      </w:r>
      <w:r>
        <w:rPr>
          <w:bCs/>
          <w:color w:val="auto"/>
          <w:sz w:val="24"/>
          <w:highlight w:val="none"/>
        </w:rPr>
        <w:t>（如有请提供）</w:t>
      </w:r>
      <w:r>
        <w:rPr>
          <w:bCs/>
          <w:color w:val="auto"/>
          <w:sz w:val="24"/>
          <w:szCs w:val="20"/>
          <w:highlight w:val="none"/>
        </w:rPr>
        <w:t>。</w:t>
      </w:r>
    </w:p>
    <w:p w14:paraId="074F92B2">
      <w:pPr>
        <w:spacing w:line="440" w:lineRule="exact"/>
        <w:ind w:firstLine="484" w:firstLineChars="201"/>
        <w:rPr>
          <w:color w:val="auto"/>
          <w:sz w:val="24"/>
          <w:highlight w:val="none"/>
        </w:rPr>
      </w:pPr>
      <w:r>
        <w:rPr>
          <w:b/>
          <w:bCs/>
          <w:color w:val="auto"/>
          <w:sz w:val="24"/>
          <w:highlight w:val="none"/>
        </w:rPr>
        <w:t>8.2报价文件</w:t>
      </w:r>
      <w:r>
        <w:rPr>
          <w:color w:val="auto"/>
          <w:sz w:val="24"/>
          <w:highlight w:val="none"/>
        </w:rPr>
        <w:t>：</w:t>
      </w:r>
    </w:p>
    <w:p w14:paraId="683DE391">
      <w:pPr>
        <w:spacing w:line="440" w:lineRule="exact"/>
        <w:ind w:firstLine="482" w:firstLineChars="201"/>
        <w:rPr>
          <w:color w:val="auto"/>
          <w:sz w:val="24"/>
          <w:highlight w:val="none"/>
        </w:rPr>
      </w:pPr>
      <w:r>
        <w:rPr>
          <w:color w:val="auto"/>
          <w:sz w:val="24"/>
          <w:highlight w:val="none"/>
        </w:rPr>
        <w:t>1、磋商书（</w:t>
      </w:r>
      <w:r>
        <w:rPr>
          <w:b/>
          <w:bCs/>
          <w:color w:val="auto"/>
          <w:sz w:val="24"/>
          <w:highlight w:val="none"/>
        </w:rPr>
        <w:t>必须提供，否则磋商响应无效</w:t>
      </w:r>
      <w:r>
        <w:rPr>
          <w:color w:val="auto"/>
          <w:sz w:val="24"/>
          <w:highlight w:val="none"/>
        </w:rPr>
        <w:t>）；</w:t>
      </w:r>
    </w:p>
    <w:p w14:paraId="60614A65">
      <w:pPr>
        <w:spacing w:line="440" w:lineRule="exact"/>
        <w:ind w:firstLine="482" w:firstLineChars="201"/>
        <w:rPr>
          <w:color w:val="auto"/>
          <w:sz w:val="24"/>
          <w:highlight w:val="none"/>
        </w:rPr>
      </w:pPr>
      <w:r>
        <w:rPr>
          <w:color w:val="auto"/>
          <w:sz w:val="24"/>
          <w:highlight w:val="none"/>
        </w:rPr>
        <w:t>2、磋商报价表（</w:t>
      </w:r>
      <w:r>
        <w:rPr>
          <w:b/>
          <w:bCs/>
          <w:color w:val="auto"/>
          <w:sz w:val="24"/>
          <w:highlight w:val="none"/>
        </w:rPr>
        <w:t>必须提供，同时由法定代表人或委托代理人签名并加盖单位公章，否则磋商响应无效</w:t>
      </w:r>
      <w:r>
        <w:rPr>
          <w:color w:val="auto"/>
          <w:sz w:val="24"/>
          <w:highlight w:val="none"/>
        </w:rPr>
        <w:t>）；</w:t>
      </w:r>
    </w:p>
    <w:p w14:paraId="1497D1CE">
      <w:pPr>
        <w:pStyle w:val="40"/>
        <w:spacing w:line="440" w:lineRule="exact"/>
        <w:ind w:firstLine="480" w:firstLineChars="200"/>
        <w:rPr>
          <w:color w:val="auto"/>
          <w:highlight w:val="none"/>
        </w:rPr>
      </w:pPr>
      <w:r>
        <w:rPr>
          <w:rFonts w:hint="eastAsia"/>
          <w:bCs/>
          <w:color w:val="auto"/>
          <w:sz w:val="24"/>
          <w:highlight w:val="none"/>
        </w:rPr>
        <w:t>3</w:t>
      </w:r>
      <w:r>
        <w:rPr>
          <w:bCs/>
          <w:color w:val="auto"/>
          <w:sz w:val="24"/>
          <w:highlight w:val="none"/>
        </w:rPr>
        <w:t>、除磋商文件规定必须提供以外，</w:t>
      </w:r>
      <w:r>
        <w:rPr>
          <w:rFonts w:hint="eastAsia"/>
          <w:bCs/>
          <w:color w:val="auto"/>
          <w:sz w:val="24"/>
          <w:highlight w:val="none"/>
        </w:rPr>
        <w:t>供应商</w:t>
      </w:r>
      <w:r>
        <w:rPr>
          <w:bCs/>
          <w:color w:val="auto"/>
          <w:sz w:val="24"/>
          <w:highlight w:val="none"/>
        </w:rPr>
        <w:t>认为需要提供的其他证明材料（如有请提供）。</w:t>
      </w:r>
    </w:p>
    <w:p w14:paraId="4BA8B991">
      <w:pPr>
        <w:spacing w:line="440" w:lineRule="exact"/>
        <w:ind w:firstLine="484" w:firstLineChars="201"/>
        <w:rPr>
          <w:b/>
          <w:bCs/>
          <w:color w:val="auto"/>
          <w:sz w:val="24"/>
          <w:highlight w:val="none"/>
        </w:rPr>
      </w:pPr>
    </w:p>
    <w:p w14:paraId="70208C8B">
      <w:pPr>
        <w:spacing w:line="440" w:lineRule="exact"/>
        <w:ind w:firstLine="484" w:firstLineChars="201"/>
        <w:rPr>
          <w:color w:val="auto"/>
          <w:sz w:val="24"/>
          <w:highlight w:val="none"/>
        </w:rPr>
      </w:pPr>
      <w:r>
        <w:rPr>
          <w:b/>
          <w:bCs/>
          <w:color w:val="auto"/>
          <w:sz w:val="24"/>
          <w:highlight w:val="none"/>
        </w:rPr>
        <w:t>8.3 商务技术文件</w:t>
      </w:r>
      <w:r>
        <w:rPr>
          <w:color w:val="auto"/>
          <w:sz w:val="24"/>
          <w:highlight w:val="none"/>
        </w:rPr>
        <w:t>：</w:t>
      </w:r>
    </w:p>
    <w:p w14:paraId="6A161707">
      <w:pPr>
        <w:spacing w:line="440" w:lineRule="exact"/>
        <w:ind w:firstLine="480" w:firstLineChars="200"/>
        <w:rPr>
          <w:bCs/>
          <w:color w:val="auto"/>
          <w:sz w:val="24"/>
          <w:highlight w:val="none"/>
        </w:rPr>
      </w:pPr>
      <w:r>
        <w:rPr>
          <w:rFonts w:hint="eastAsia"/>
          <w:bCs/>
          <w:color w:val="auto"/>
          <w:sz w:val="24"/>
          <w:highlight w:val="none"/>
        </w:rPr>
        <w:t>1</w:t>
      </w:r>
      <w:r>
        <w:rPr>
          <w:bCs/>
          <w:color w:val="auto"/>
          <w:sz w:val="24"/>
          <w:highlight w:val="none"/>
        </w:rPr>
        <w:t>、服务响应偏离表（</w:t>
      </w:r>
      <w:r>
        <w:rPr>
          <w:b/>
          <w:color w:val="auto"/>
          <w:sz w:val="24"/>
          <w:highlight w:val="none"/>
        </w:rPr>
        <w:t>必须提供，否则磋商响应无效</w:t>
      </w:r>
      <w:r>
        <w:rPr>
          <w:rFonts w:hint="eastAsia"/>
          <w:b/>
          <w:color w:val="auto"/>
          <w:sz w:val="24"/>
          <w:highlight w:val="none"/>
        </w:rPr>
        <w:t>）</w:t>
      </w:r>
      <w:r>
        <w:rPr>
          <w:bCs/>
          <w:color w:val="auto"/>
          <w:sz w:val="24"/>
          <w:highlight w:val="none"/>
        </w:rPr>
        <w:t>；</w:t>
      </w:r>
    </w:p>
    <w:p w14:paraId="1CF5FE01">
      <w:pPr>
        <w:spacing w:line="440" w:lineRule="exact"/>
        <w:ind w:firstLine="480" w:firstLineChars="200"/>
        <w:rPr>
          <w:bCs/>
          <w:color w:val="auto"/>
          <w:sz w:val="24"/>
          <w:highlight w:val="none"/>
        </w:rPr>
      </w:pPr>
      <w:r>
        <w:rPr>
          <w:rFonts w:hint="eastAsia"/>
          <w:bCs/>
          <w:color w:val="auto"/>
          <w:sz w:val="24"/>
          <w:highlight w:val="none"/>
        </w:rPr>
        <w:t>2</w:t>
      </w:r>
      <w:r>
        <w:rPr>
          <w:bCs/>
          <w:color w:val="auto"/>
          <w:sz w:val="24"/>
          <w:highlight w:val="none"/>
        </w:rPr>
        <w:t>、</w:t>
      </w:r>
      <w:r>
        <w:rPr>
          <w:rFonts w:hint="eastAsia"/>
          <w:bCs/>
          <w:color w:val="auto"/>
          <w:sz w:val="24"/>
          <w:highlight w:val="none"/>
        </w:rPr>
        <w:t>项目实施服务方案</w:t>
      </w:r>
      <w:r>
        <w:rPr>
          <w:b/>
          <w:color w:val="auto"/>
          <w:sz w:val="24"/>
          <w:highlight w:val="none"/>
        </w:rPr>
        <w:t>（必须提供，格式自拟</w:t>
      </w:r>
      <w:r>
        <w:rPr>
          <w:bCs/>
          <w:color w:val="auto"/>
          <w:sz w:val="24"/>
          <w:highlight w:val="none"/>
        </w:rPr>
        <w:t>）；</w:t>
      </w:r>
    </w:p>
    <w:p w14:paraId="5B2DDBFF">
      <w:pPr>
        <w:spacing w:line="440" w:lineRule="exact"/>
        <w:ind w:firstLine="480" w:firstLineChars="200"/>
        <w:rPr>
          <w:bCs/>
          <w:color w:val="auto"/>
          <w:sz w:val="24"/>
          <w:highlight w:val="none"/>
        </w:rPr>
      </w:pPr>
      <w:r>
        <w:rPr>
          <w:rFonts w:hint="eastAsia"/>
          <w:bCs/>
          <w:color w:val="auto"/>
          <w:sz w:val="24"/>
          <w:highlight w:val="none"/>
        </w:rPr>
        <w:t>3</w:t>
      </w:r>
      <w:r>
        <w:rPr>
          <w:bCs/>
          <w:color w:val="auto"/>
          <w:sz w:val="24"/>
          <w:highlight w:val="none"/>
        </w:rPr>
        <w:t>、</w:t>
      </w:r>
      <w:r>
        <w:rPr>
          <w:rFonts w:hint="eastAsia"/>
          <w:bCs/>
          <w:color w:val="auto"/>
          <w:sz w:val="24"/>
          <w:highlight w:val="none"/>
        </w:rPr>
        <w:t>项目实施人员一览表</w:t>
      </w:r>
      <w:r>
        <w:rPr>
          <w:bCs/>
          <w:color w:val="auto"/>
          <w:sz w:val="24"/>
          <w:highlight w:val="none"/>
        </w:rPr>
        <w:t>（</w:t>
      </w:r>
      <w:r>
        <w:rPr>
          <w:b/>
          <w:color w:val="auto"/>
          <w:sz w:val="24"/>
          <w:highlight w:val="none"/>
        </w:rPr>
        <w:t>如有请提供，格式自拟</w:t>
      </w:r>
      <w:r>
        <w:rPr>
          <w:bCs/>
          <w:color w:val="auto"/>
          <w:sz w:val="24"/>
          <w:highlight w:val="none"/>
        </w:rPr>
        <w:t>）；</w:t>
      </w:r>
    </w:p>
    <w:p w14:paraId="2396A5D4">
      <w:pPr>
        <w:spacing w:line="440" w:lineRule="exact"/>
        <w:ind w:firstLine="480" w:firstLineChars="200"/>
        <w:rPr>
          <w:bCs/>
          <w:color w:val="auto"/>
          <w:sz w:val="24"/>
          <w:highlight w:val="none"/>
        </w:rPr>
      </w:pPr>
      <w:r>
        <w:rPr>
          <w:rFonts w:hint="eastAsia"/>
          <w:bCs/>
          <w:color w:val="auto"/>
          <w:sz w:val="24"/>
          <w:highlight w:val="none"/>
        </w:rPr>
        <w:t>4</w:t>
      </w:r>
      <w:r>
        <w:rPr>
          <w:bCs/>
          <w:color w:val="auto"/>
          <w:sz w:val="24"/>
          <w:highlight w:val="none"/>
        </w:rPr>
        <w:t>、服务承诺方案（</w:t>
      </w:r>
      <w:r>
        <w:rPr>
          <w:b/>
          <w:color w:val="auto"/>
          <w:sz w:val="24"/>
          <w:highlight w:val="none"/>
        </w:rPr>
        <w:t>必须提供，否则磋商响应无效</w:t>
      </w:r>
      <w:r>
        <w:rPr>
          <w:bCs/>
          <w:color w:val="auto"/>
          <w:sz w:val="24"/>
          <w:highlight w:val="none"/>
        </w:rPr>
        <w:t>）；</w:t>
      </w:r>
    </w:p>
    <w:p w14:paraId="46DBAF53">
      <w:pPr>
        <w:spacing w:line="440" w:lineRule="exact"/>
        <w:ind w:firstLine="480" w:firstLineChars="200"/>
        <w:rPr>
          <w:bCs/>
          <w:color w:val="auto"/>
          <w:sz w:val="24"/>
          <w:highlight w:val="none"/>
        </w:rPr>
      </w:pPr>
      <w:r>
        <w:rPr>
          <w:rFonts w:hint="eastAsia"/>
          <w:bCs/>
          <w:color w:val="auto"/>
          <w:sz w:val="24"/>
          <w:highlight w:val="none"/>
        </w:rPr>
        <w:t>5</w:t>
      </w:r>
      <w:r>
        <w:rPr>
          <w:bCs/>
          <w:color w:val="auto"/>
          <w:sz w:val="24"/>
          <w:highlight w:val="none"/>
        </w:rPr>
        <w:t>、供应商认为需要提供的有关资料（如有请提供）。</w:t>
      </w:r>
    </w:p>
    <w:p w14:paraId="038AE1FC">
      <w:pPr>
        <w:spacing w:line="440" w:lineRule="exact"/>
        <w:ind w:firstLine="480" w:firstLineChars="200"/>
        <w:rPr>
          <w:b/>
          <w:color w:val="auto"/>
          <w:sz w:val="24"/>
          <w:highlight w:val="none"/>
        </w:rPr>
      </w:pPr>
      <w:r>
        <w:rPr>
          <w:bCs/>
          <w:color w:val="auto"/>
          <w:sz w:val="24"/>
          <w:highlight w:val="none"/>
        </w:rPr>
        <w:t>备注：</w:t>
      </w:r>
      <w:r>
        <w:rPr>
          <w:color w:val="auto"/>
          <w:sz w:val="24"/>
          <w:highlight w:val="none"/>
        </w:rPr>
        <w:t>▲特别说明：</w:t>
      </w:r>
      <w:r>
        <w:rPr>
          <w:b/>
          <w:color w:val="auto"/>
          <w:sz w:val="24"/>
          <w:highlight w:val="none"/>
        </w:rPr>
        <w:t>（1）响应文件中所须加盖公章部分均采用CA签章。若竞争性磋商采购文件中有专门标注的某关联点，并要求供应商在电子投标系统中作出磋商响应的，如供应商未对关联点进行响应或者在响应文件其它内容进行描述，造成电子评审不能查询的责任由供应商自行承担。</w:t>
      </w:r>
    </w:p>
    <w:p w14:paraId="629EB7CF">
      <w:pPr>
        <w:spacing w:line="440" w:lineRule="exact"/>
        <w:ind w:firstLine="482" w:firstLineChars="200"/>
        <w:rPr>
          <w:b/>
          <w:color w:val="auto"/>
          <w:sz w:val="24"/>
          <w:highlight w:val="none"/>
        </w:rPr>
      </w:pPr>
      <w:r>
        <w:rPr>
          <w:b/>
          <w:color w:val="auto"/>
          <w:sz w:val="24"/>
          <w:highlight w:val="none"/>
        </w:rPr>
        <w:t>（2）竞争性磋商采购文件要求提供的的各种复印件，须加盖磋商供应商CA签章，否则其磋商无效。</w:t>
      </w:r>
    </w:p>
    <w:p w14:paraId="28347642">
      <w:pPr>
        <w:adjustRightInd w:val="0"/>
        <w:snapToGrid w:val="0"/>
        <w:spacing w:line="440" w:lineRule="exact"/>
        <w:ind w:firstLine="482" w:firstLineChars="200"/>
        <w:rPr>
          <w:b/>
          <w:color w:val="auto"/>
          <w:sz w:val="24"/>
          <w:highlight w:val="none"/>
        </w:rPr>
      </w:pPr>
      <w:r>
        <w:rPr>
          <w:b/>
          <w:color w:val="auto"/>
          <w:sz w:val="24"/>
          <w:highlight w:val="none"/>
        </w:rPr>
        <w:t>（3）竞争性磋商采购文件要求“必须提供”的证明等材料，磋商供应商必须全部提供，缺一不可，否则磋商无效。</w:t>
      </w:r>
    </w:p>
    <w:p w14:paraId="63F89196">
      <w:pPr>
        <w:spacing w:line="440" w:lineRule="exact"/>
        <w:ind w:firstLine="482" w:firstLineChars="200"/>
        <w:rPr>
          <w:color w:val="auto"/>
          <w:sz w:val="24"/>
          <w:highlight w:val="none"/>
        </w:rPr>
      </w:pPr>
      <w:r>
        <w:rPr>
          <w:b/>
          <w:color w:val="auto"/>
          <w:sz w:val="24"/>
          <w:highlight w:val="none"/>
        </w:rPr>
        <w:t>（4）竞争性磋商采购文件要求法定代表人（负责人）或委托代理人签字的部分</w:t>
      </w:r>
      <w:r>
        <w:rPr>
          <w:rFonts w:hint="eastAsia"/>
          <w:b/>
          <w:color w:val="auto"/>
          <w:sz w:val="24"/>
          <w:highlight w:val="none"/>
        </w:rPr>
        <w:t>，</w:t>
      </w:r>
      <w:r>
        <w:rPr>
          <w:b/>
          <w:color w:val="auto"/>
          <w:sz w:val="24"/>
          <w:highlight w:val="none"/>
        </w:rPr>
        <w:t>可以（</w:t>
      </w:r>
      <w:r>
        <w:rPr>
          <w:rFonts w:hint="eastAsia"/>
          <w:b/>
          <w:color w:val="auto"/>
          <w:sz w:val="24"/>
          <w:highlight w:val="none"/>
          <w:lang w:eastAsia="zh-CN"/>
        </w:rPr>
        <w:t>签字或电子签名</w:t>
      </w:r>
      <w:r>
        <w:rPr>
          <w:b/>
          <w:color w:val="auto"/>
          <w:sz w:val="24"/>
          <w:highlight w:val="none"/>
        </w:rPr>
        <w:t>）然后扫描或者拍照做成pdf格式上传，如已经办理有法定代表人签字电子章的，也可以直接签章</w:t>
      </w:r>
      <w:r>
        <w:rPr>
          <w:rFonts w:hint="eastAsia"/>
          <w:b/>
          <w:bCs/>
          <w:color w:val="auto"/>
          <w:sz w:val="24"/>
          <w:highlight w:val="none"/>
        </w:rPr>
        <w:t>，</w:t>
      </w:r>
      <w:r>
        <w:rPr>
          <w:b/>
          <w:color w:val="auto"/>
          <w:sz w:val="24"/>
          <w:highlight w:val="none"/>
        </w:rPr>
        <w:t>无签字（</w:t>
      </w:r>
      <w:r>
        <w:rPr>
          <w:rFonts w:hint="eastAsia"/>
          <w:b/>
          <w:color w:val="auto"/>
          <w:sz w:val="24"/>
          <w:highlight w:val="none"/>
        </w:rPr>
        <w:t>或</w:t>
      </w:r>
      <w:r>
        <w:rPr>
          <w:b/>
          <w:color w:val="auto"/>
          <w:sz w:val="24"/>
          <w:highlight w:val="none"/>
        </w:rPr>
        <w:t>签章）</w:t>
      </w:r>
      <w:r>
        <w:rPr>
          <w:rFonts w:hint="eastAsia"/>
          <w:b/>
          <w:bCs/>
          <w:color w:val="auto"/>
          <w:sz w:val="24"/>
          <w:highlight w:val="none"/>
        </w:rPr>
        <w:t>视为</w:t>
      </w:r>
      <w:r>
        <w:rPr>
          <w:b/>
          <w:color w:val="auto"/>
          <w:sz w:val="24"/>
          <w:highlight w:val="none"/>
        </w:rPr>
        <w:t>磋商无效</w:t>
      </w:r>
      <w:r>
        <w:rPr>
          <w:b/>
          <w:bCs/>
          <w:color w:val="auto"/>
          <w:sz w:val="24"/>
          <w:highlight w:val="none"/>
        </w:rPr>
        <w:t>。</w:t>
      </w:r>
    </w:p>
    <w:p w14:paraId="5A09DAC6">
      <w:pPr>
        <w:spacing w:line="440" w:lineRule="exact"/>
        <w:ind w:firstLine="484" w:firstLineChars="201"/>
        <w:rPr>
          <w:b/>
          <w:color w:val="auto"/>
          <w:sz w:val="24"/>
          <w:highlight w:val="none"/>
        </w:rPr>
      </w:pPr>
      <w:r>
        <w:rPr>
          <w:b/>
          <w:color w:val="auto"/>
          <w:sz w:val="24"/>
          <w:highlight w:val="none"/>
        </w:rPr>
        <w:t>9. 响应文件编制要求</w:t>
      </w:r>
    </w:p>
    <w:p w14:paraId="2D01935A">
      <w:pPr>
        <w:spacing w:line="440" w:lineRule="exact"/>
        <w:ind w:firstLine="482" w:firstLineChars="201"/>
        <w:rPr>
          <w:color w:val="auto"/>
          <w:sz w:val="24"/>
          <w:highlight w:val="none"/>
        </w:rPr>
      </w:pPr>
      <w:r>
        <w:rPr>
          <w:bCs/>
          <w:color w:val="auto"/>
          <w:sz w:val="24"/>
          <w:highlight w:val="none"/>
        </w:rPr>
        <w:t>9.1本项目实行电子投标，供应商应准备电子磋商响应文件；</w:t>
      </w:r>
    </w:p>
    <w:p w14:paraId="6DCD85B8">
      <w:pPr>
        <w:adjustRightInd w:val="0"/>
        <w:snapToGrid w:val="0"/>
        <w:spacing w:line="440" w:lineRule="exact"/>
        <w:ind w:firstLine="480" w:firstLineChars="200"/>
        <w:jc w:val="left"/>
        <w:rPr>
          <w:color w:val="auto"/>
          <w:sz w:val="24"/>
          <w:highlight w:val="none"/>
        </w:rPr>
      </w:pPr>
      <w:r>
        <w:rPr>
          <w:color w:val="auto"/>
          <w:sz w:val="24"/>
          <w:highlight w:val="none"/>
        </w:rPr>
        <w:t>9.1.1电子响应文件按</w:t>
      </w:r>
      <w:r>
        <w:rPr>
          <w:rFonts w:hint="eastAsia"/>
          <w:color w:val="auto"/>
          <w:sz w:val="24"/>
          <w:highlight w:val="none"/>
          <w:lang w:eastAsia="zh-CN"/>
        </w:rPr>
        <w:t>广西政府采购云平台</w:t>
      </w:r>
      <w:r>
        <w:rPr>
          <w:color w:val="auto"/>
          <w:sz w:val="24"/>
          <w:highlight w:val="none"/>
        </w:rPr>
        <w:t xml:space="preserve">要求及本竞争性磋商文件要求制作、加密并递交。具体操作流程可参考《政府采购项目电子交易管理操作指南-供应商》，指南可在“http://www.ccgp-guangxi.gov.cn/PurchaseAdvisory/ImportantNotice/2866753.html”下载。                               </w:t>
      </w:r>
    </w:p>
    <w:p w14:paraId="6F2164B1">
      <w:pPr>
        <w:spacing w:line="440" w:lineRule="exact"/>
        <w:ind w:firstLine="482" w:firstLineChars="201"/>
        <w:rPr>
          <w:color w:val="auto"/>
          <w:sz w:val="24"/>
          <w:highlight w:val="none"/>
        </w:rPr>
      </w:pPr>
      <w:r>
        <w:rPr>
          <w:color w:val="auto"/>
          <w:sz w:val="24"/>
          <w:highlight w:val="none"/>
        </w:rPr>
        <w:t>9.2供应商提交的响应文件以及供应商与采购代理机构和采购人就有关磋商的所有来往函电均应使用中文。供应商提交的支持文件和印刷的文献可以使用别的语言，但其相应内容必须附有中文翻译文本，在解释响应文件时以翻译文本为主。</w:t>
      </w:r>
    </w:p>
    <w:p w14:paraId="07090DDA">
      <w:pPr>
        <w:spacing w:line="440" w:lineRule="exact"/>
        <w:ind w:firstLine="482" w:firstLineChars="201"/>
        <w:rPr>
          <w:color w:val="auto"/>
          <w:sz w:val="24"/>
          <w:highlight w:val="none"/>
        </w:rPr>
      </w:pPr>
      <w:r>
        <w:rPr>
          <w:color w:val="auto"/>
          <w:sz w:val="24"/>
          <w:highlight w:val="none"/>
        </w:rPr>
        <w:t>9.3供应商应认真阅读、并充分理解本文件的全部内容（包括所有的补充、修改内容），承诺并履行本文件中各项条款规定及要求。</w:t>
      </w:r>
    </w:p>
    <w:p w14:paraId="12E68B7C">
      <w:pPr>
        <w:spacing w:line="440" w:lineRule="exact"/>
        <w:ind w:firstLine="482" w:firstLineChars="201"/>
        <w:rPr>
          <w:color w:val="auto"/>
          <w:sz w:val="24"/>
          <w:highlight w:val="none"/>
        </w:rPr>
      </w:pPr>
      <w:r>
        <w:rPr>
          <w:color w:val="auto"/>
          <w:sz w:val="24"/>
          <w:highlight w:val="none"/>
        </w:rPr>
        <w:t>9.4响应文件必须按本文件的全部内容，包括所有的补充通知及附件进行编制。</w:t>
      </w:r>
    </w:p>
    <w:p w14:paraId="37A76081">
      <w:pPr>
        <w:spacing w:line="440" w:lineRule="exact"/>
        <w:ind w:firstLine="482" w:firstLineChars="201"/>
        <w:rPr>
          <w:color w:val="auto"/>
          <w:sz w:val="24"/>
          <w:highlight w:val="none"/>
        </w:rPr>
      </w:pPr>
      <w:r>
        <w:rPr>
          <w:color w:val="auto"/>
          <w:sz w:val="24"/>
          <w:highlight w:val="none"/>
        </w:rPr>
        <w:t>9.5如因供应商只填写和提供了本文件要求的部分内容和附件，而给评审造成困难，其可能导致的结果和责任由供应商自行承担。</w:t>
      </w:r>
    </w:p>
    <w:p w14:paraId="680A6428">
      <w:pPr>
        <w:spacing w:line="440" w:lineRule="exact"/>
        <w:ind w:firstLine="484" w:firstLineChars="201"/>
        <w:rPr>
          <w:b/>
          <w:color w:val="auto"/>
          <w:sz w:val="24"/>
          <w:highlight w:val="none"/>
        </w:rPr>
      </w:pPr>
      <w:r>
        <w:rPr>
          <w:b/>
          <w:color w:val="auto"/>
          <w:sz w:val="24"/>
          <w:highlight w:val="none"/>
        </w:rPr>
        <w:t>10. 计量单位</w:t>
      </w:r>
    </w:p>
    <w:p w14:paraId="53F2207C">
      <w:pPr>
        <w:spacing w:line="440" w:lineRule="exact"/>
        <w:ind w:firstLine="482" w:firstLineChars="201"/>
        <w:rPr>
          <w:color w:val="auto"/>
          <w:sz w:val="24"/>
          <w:highlight w:val="none"/>
        </w:rPr>
      </w:pPr>
      <w:r>
        <w:rPr>
          <w:color w:val="auto"/>
          <w:sz w:val="24"/>
          <w:highlight w:val="none"/>
        </w:rPr>
        <w:t>10.1除技术要求中另有规定外，本文件所要求使用的计量单位均应采用国家法定计量单位。</w:t>
      </w:r>
    </w:p>
    <w:p w14:paraId="70858D1C">
      <w:pPr>
        <w:spacing w:line="440" w:lineRule="exact"/>
        <w:ind w:firstLine="484" w:firstLineChars="201"/>
        <w:rPr>
          <w:b/>
          <w:color w:val="auto"/>
          <w:sz w:val="24"/>
          <w:highlight w:val="none"/>
        </w:rPr>
      </w:pPr>
      <w:r>
        <w:rPr>
          <w:b/>
          <w:color w:val="auto"/>
          <w:sz w:val="24"/>
          <w:highlight w:val="none"/>
        </w:rPr>
        <w:t>11.响应文件有效期</w:t>
      </w:r>
    </w:p>
    <w:p w14:paraId="3B4AC25B">
      <w:pPr>
        <w:spacing w:line="440" w:lineRule="exact"/>
        <w:ind w:firstLine="482" w:firstLineChars="201"/>
        <w:rPr>
          <w:color w:val="auto"/>
          <w:sz w:val="24"/>
          <w:highlight w:val="none"/>
        </w:rPr>
      </w:pPr>
      <w:r>
        <w:rPr>
          <w:color w:val="auto"/>
          <w:sz w:val="24"/>
          <w:highlight w:val="none"/>
        </w:rPr>
        <w:t>11.1响应文件有效期按须知前附表规定的期限，有效期不足的响应文件按无效处理。</w:t>
      </w:r>
    </w:p>
    <w:p w14:paraId="087727A7">
      <w:pPr>
        <w:spacing w:line="440" w:lineRule="exact"/>
        <w:ind w:firstLine="482" w:firstLineChars="201"/>
        <w:rPr>
          <w:color w:val="auto"/>
          <w:sz w:val="24"/>
          <w:highlight w:val="none"/>
        </w:rPr>
      </w:pPr>
      <w:bookmarkStart w:id="31" w:name="_Toc254970681"/>
      <w:bookmarkStart w:id="32" w:name="_Toc254970540"/>
      <w:r>
        <w:rPr>
          <w:color w:val="auto"/>
          <w:sz w:val="24"/>
          <w:highlight w:val="none"/>
        </w:rPr>
        <w:t>11.2未成交的响应文件有效期内均应保持有效。</w:t>
      </w:r>
      <w:bookmarkEnd w:id="31"/>
      <w:bookmarkEnd w:id="32"/>
    </w:p>
    <w:p w14:paraId="2844D904">
      <w:pPr>
        <w:spacing w:line="440" w:lineRule="exact"/>
        <w:ind w:firstLine="482" w:firstLineChars="201"/>
        <w:rPr>
          <w:color w:val="auto"/>
          <w:sz w:val="24"/>
          <w:highlight w:val="none"/>
        </w:rPr>
      </w:pPr>
      <w:r>
        <w:rPr>
          <w:color w:val="auto"/>
          <w:sz w:val="24"/>
          <w:highlight w:val="none"/>
        </w:rPr>
        <w:t>11.3成交供应商的响应文件自响应文件递交截止之日起至合同履行完毕止均应保持有效。</w:t>
      </w:r>
    </w:p>
    <w:p w14:paraId="36A447C0">
      <w:pPr>
        <w:spacing w:line="440" w:lineRule="exact"/>
        <w:ind w:firstLine="484" w:firstLineChars="201"/>
        <w:rPr>
          <w:b/>
          <w:color w:val="auto"/>
          <w:sz w:val="24"/>
          <w:highlight w:val="none"/>
        </w:rPr>
      </w:pPr>
      <w:r>
        <w:rPr>
          <w:b/>
          <w:color w:val="auto"/>
          <w:sz w:val="24"/>
          <w:highlight w:val="none"/>
        </w:rPr>
        <w:t>12.供应商信用查询</w:t>
      </w:r>
    </w:p>
    <w:p w14:paraId="335F5967">
      <w:pPr>
        <w:spacing w:line="440" w:lineRule="exact"/>
        <w:ind w:firstLine="482" w:firstLineChars="201"/>
        <w:rPr>
          <w:color w:val="auto"/>
          <w:sz w:val="24"/>
          <w:highlight w:val="none"/>
        </w:rPr>
      </w:pPr>
      <w:r>
        <w:rPr>
          <w:color w:val="auto"/>
          <w:sz w:val="24"/>
          <w:highlight w:val="none"/>
        </w:rPr>
        <w:t>12.1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7FD005C3">
      <w:pPr>
        <w:spacing w:line="440" w:lineRule="exact"/>
        <w:ind w:firstLine="482" w:firstLineChars="201"/>
        <w:rPr>
          <w:color w:val="auto"/>
          <w:sz w:val="24"/>
          <w:highlight w:val="none"/>
        </w:rPr>
      </w:pPr>
      <w:r>
        <w:rPr>
          <w:color w:val="auto"/>
          <w:sz w:val="24"/>
          <w:highlight w:val="none"/>
        </w:rPr>
        <w:t>12.2.1查询渠道：《国家企业信用信息公示系统》（网址：http://www.gsxt.gov.cn/index.html）、《中国政府采购网》(网址：www.ccgp.gov.cn)。</w:t>
      </w:r>
    </w:p>
    <w:p w14:paraId="24863620">
      <w:pPr>
        <w:spacing w:line="440" w:lineRule="exact"/>
        <w:ind w:firstLine="482" w:firstLineChars="201"/>
        <w:rPr>
          <w:color w:val="auto"/>
          <w:sz w:val="24"/>
          <w:highlight w:val="none"/>
        </w:rPr>
      </w:pPr>
      <w:r>
        <w:rPr>
          <w:color w:val="auto"/>
          <w:sz w:val="24"/>
          <w:highlight w:val="none"/>
        </w:rPr>
        <w:t>12.2.2审查流程：</w:t>
      </w:r>
    </w:p>
    <w:p w14:paraId="53FB8C0A">
      <w:pPr>
        <w:spacing w:line="440" w:lineRule="exact"/>
        <w:ind w:firstLine="482" w:firstLineChars="201"/>
        <w:rPr>
          <w:color w:val="auto"/>
          <w:sz w:val="24"/>
          <w:highlight w:val="none"/>
        </w:rPr>
      </w:pPr>
      <w:r>
        <w:rPr>
          <w:color w:val="auto"/>
          <w:sz w:val="24"/>
          <w:highlight w:val="none"/>
        </w:rPr>
        <w:t>(1)查询渠道：“信用中国”网站(www.creditchina.gov.cn)、中国政府采购网(www.ccgp.gov.cn)等；</w:t>
      </w:r>
    </w:p>
    <w:p w14:paraId="2A880D4E">
      <w:pPr>
        <w:spacing w:line="440" w:lineRule="exact"/>
        <w:ind w:firstLine="482" w:firstLineChars="201"/>
        <w:rPr>
          <w:color w:val="auto"/>
          <w:sz w:val="24"/>
          <w:highlight w:val="none"/>
        </w:rPr>
      </w:pPr>
      <w:r>
        <w:rPr>
          <w:color w:val="auto"/>
          <w:sz w:val="24"/>
          <w:highlight w:val="none"/>
        </w:rPr>
        <w:t>(2)查询起止时间：投标截止时间前</w:t>
      </w:r>
      <w:r>
        <w:rPr>
          <w:rFonts w:hint="eastAsia"/>
          <w:color w:val="auto"/>
          <w:sz w:val="24"/>
          <w:highlight w:val="none"/>
          <w:lang w:val="en-US" w:eastAsia="zh-CN"/>
        </w:rPr>
        <w:t>三年</w:t>
      </w:r>
      <w:r>
        <w:rPr>
          <w:color w:val="auto"/>
          <w:sz w:val="24"/>
          <w:highlight w:val="none"/>
        </w:rPr>
        <w:t>内。</w:t>
      </w:r>
    </w:p>
    <w:p w14:paraId="7CBA4CA9">
      <w:pPr>
        <w:spacing w:line="440" w:lineRule="exact"/>
        <w:ind w:firstLine="482" w:firstLineChars="201"/>
        <w:rPr>
          <w:color w:val="auto"/>
          <w:sz w:val="24"/>
          <w:highlight w:val="none"/>
        </w:rPr>
      </w:pPr>
      <w:r>
        <w:rPr>
          <w:color w:val="auto"/>
          <w:sz w:val="24"/>
          <w:highlight w:val="none"/>
        </w:rPr>
        <w:t>(3)查询记录和证据留存方式：由代理公司开标后在查询网站中直接打印查询记录，打印材料作为评审资料保存。</w:t>
      </w:r>
    </w:p>
    <w:p w14:paraId="667E2908">
      <w:pPr>
        <w:spacing w:line="440" w:lineRule="exact"/>
        <w:ind w:firstLine="482" w:firstLineChars="201"/>
        <w:rPr>
          <w:color w:val="auto"/>
          <w:sz w:val="24"/>
          <w:highlight w:val="none"/>
        </w:rPr>
      </w:pPr>
      <w:r>
        <w:rPr>
          <w:color w:val="auto"/>
          <w:sz w:val="24"/>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p w14:paraId="25EEC489">
      <w:pPr>
        <w:spacing w:line="440" w:lineRule="exact"/>
        <w:ind w:firstLine="482" w:firstLineChars="201"/>
        <w:rPr>
          <w:color w:val="auto"/>
          <w:highlight w:val="none"/>
        </w:rPr>
      </w:pPr>
      <w:r>
        <w:rPr>
          <w:color w:val="auto"/>
          <w:sz w:val="24"/>
          <w:highlight w:val="none"/>
        </w:rPr>
        <w:t>12.2.3磋商小组也可在开评标环节资格审查的同时查看供应商的信用情况。</w:t>
      </w:r>
    </w:p>
    <w:p w14:paraId="2ABA286A">
      <w:pPr>
        <w:spacing w:line="440" w:lineRule="exact"/>
        <w:ind w:firstLine="484" w:firstLineChars="201"/>
        <w:rPr>
          <w:b/>
          <w:color w:val="auto"/>
          <w:sz w:val="24"/>
          <w:highlight w:val="none"/>
        </w:rPr>
      </w:pPr>
      <w:r>
        <w:rPr>
          <w:b/>
          <w:color w:val="auto"/>
          <w:sz w:val="24"/>
          <w:highlight w:val="none"/>
        </w:rPr>
        <w:t>13.磋商报价要求</w:t>
      </w:r>
    </w:p>
    <w:p w14:paraId="7728B093">
      <w:pPr>
        <w:tabs>
          <w:tab w:val="left" w:pos="1305"/>
        </w:tabs>
        <w:spacing w:line="440" w:lineRule="exact"/>
        <w:ind w:firstLine="480" w:firstLineChars="200"/>
        <w:rPr>
          <w:rFonts w:eastAsia="新宋体"/>
          <w:color w:val="auto"/>
          <w:sz w:val="24"/>
          <w:highlight w:val="none"/>
        </w:rPr>
      </w:pPr>
      <w:r>
        <w:rPr>
          <w:color w:val="auto"/>
          <w:sz w:val="24"/>
          <w:highlight w:val="none"/>
        </w:rPr>
        <w:t>13.1</w:t>
      </w:r>
      <w:r>
        <w:rPr>
          <w:color w:val="auto"/>
          <w:kern w:val="0"/>
          <w:sz w:val="24"/>
          <w:highlight w:val="none"/>
        </w:rPr>
        <w:t>本次报价须为人民币报价，只要填报了一个确定数额的总价，无论分项价格是否全部填报了相应的金额，报价应包括人员工资、节假日补贴、保险、劳保防护用品、工具费、服务预利润和税金等政策性文件规定及合同包含的所有风险、责任等完成本项目的各项应有费用等全部费用，供应商综合考虑在报价中。</w:t>
      </w:r>
    </w:p>
    <w:p w14:paraId="084AE555">
      <w:pPr>
        <w:snapToGrid w:val="0"/>
        <w:spacing w:line="440" w:lineRule="exact"/>
        <w:ind w:firstLine="480" w:firstLineChars="200"/>
        <w:rPr>
          <w:color w:val="auto"/>
          <w:sz w:val="24"/>
          <w:highlight w:val="none"/>
        </w:rPr>
      </w:pPr>
      <w:r>
        <w:rPr>
          <w:color w:val="auto"/>
          <w:sz w:val="24"/>
          <w:highlight w:val="none"/>
        </w:rPr>
        <w:t>对于本文件中未列明，而供应商认为必需的费用也需列入总报价。在合同实施时，采购人将不予支付成交供应商没有列入的项目费用，并认为此项目的费用已包括在总报价中。</w:t>
      </w:r>
    </w:p>
    <w:p w14:paraId="415ED506">
      <w:pPr>
        <w:spacing w:line="440" w:lineRule="exact"/>
        <w:ind w:firstLine="484" w:firstLineChars="201"/>
        <w:rPr>
          <w:b/>
          <w:color w:val="auto"/>
          <w:sz w:val="24"/>
          <w:highlight w:val="none"/>
        </w:rPr>
      </w:pPr>
      <w:r>
        <w:rPr>
          <w:b/>
          <w:color w:val="auto"/>
          <w:sz w:val="24"/>
          <w:highlight w:val="none"/>
        </w:rPr>
        <w:t>14.磋商响应文件的份数和签署</w:t>
      </w:r>
    </w:p>
    <w:p w14:paraId="18DF516D">
      <w:pPr>
        <w:tabs>
          <w:tab w:val="left" w:pos="1305"/>
        </w:tabs>
        <w:spacing w:line="440" w:lineRule="exact"/>
        <w:ind w:firstLine="480" w:firstLineChars="200"/>
        <w:rPr>
          <w:color w:val="auto"/>
          <w:sz w:val="24"/>
          <w:highlight w:val="none"/>
        </w:rPr>
      </w:pPr>
      <w:r>
        <w:rPr>
          <w:rFonts w:hint="eastAsia"/>
          <w:color w:val="auto"/>
          <w:sz w:val="24"/>
          <w:highlight w:val="none"/>
        </w:rPr>
        <w:t>14.</w:t>
      </w:r>
      <w:r>
        <w:rPr>
          <w:color w:val="auto"/>
          <w:sz w:val="24"/>
          <w:highlight w:val="none"/>
        </w:rPr>
        <w:t>1竞争性磋商响应文件份数：电子版一份。</w:t>
      </w:r>
    </w:p>
    <w:p w14:paraId="05583EFA">
      <w:pPr>
        <w:tabs>
          <w:tab w:val="left" w:pos="1305"/>
        </w:tabs>
        <w:spacing w:line="440" w:lineRule="exact"/>
        <w:ind w:firstLine="480" w:firstLineChars="200"/>
        <w:rPr>
          <w:color w:val="auto"/>
          <w:highlight w:val="none"/>
        </w:rPr>
      </w:pPr>
      <w:r>
        <w:rPr>
          <w:color w:val="auto"/>
          <w:sz w:val="24"/>
          <w:highlight w:val="none"/>
        </w:rPr>
        <w:t>14.2供应商进行电子投标应安装客户端软件，并按照竞争性磋商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7632D7B4">
      <w:pPr>
        <w:tabs>
          <w:tab w:val="left" w:pos="1305"/>
        </w:tabs>
        <w:spacing w:line="440" w:lineRule="exact"/>
        <w:ind w:firstLine="480" w:firstLineChars="200"/>
        <w:rPr>
          <w:color w:val="auto"/>
          <w:sz w:val="24"/>
          <w:highlight w:val="none"/>
        </w:rPr>
      </w:pPr>
      <w:r>
        <w:rPr>
          <w:color w:val="auto"/>
          <w:sz w:val="24"/>
          <w:highlight w:val="none"/>
        </w:rPr>
        <w:t>14.3电子磋商响应文件中须加盖供应商公章部分均采用CA签章，并根据“政府采购项目电子交易管理操作指南-供应商”及本竞争性磋商采购文件规定的格式和顺序编制电子磋商响应文件并进行关联定位，以便磋商小组在评标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竞争性磋商文件规定的部位查找不到相关内容的，由供应商自行承担。</w:t>
      </w:r>
    </w:p>
    <w:p w14:paraId="5CFA1AFC">
      <w:pPr>
        <w:tabs>
          <w:tab w:val="left" w:pos="1305"/>
        </w:tabs>
        <w:spacing w:line="440" w:lineRule="exact"/>
        <w:ind w:firstLine="480" w:firstLineChars="200"/>
        <w:rPr>
          <w:bCs/>
          <w:color w:val="auto"/>
          <w:sz w:val="24"/>
          <w:highlight w:val="none"/>
        </w:rPr>
      </w:pPr>
      <w:r>
        <w:rPr>
          <w:color w:val="auto"/>
          <w:sz w:val="24"/>
          <w:highlight w:val="none"/>
        </w:rPr>
        <w:t>14.</w:t>
      </w:r>
      <w:r>
        <w:rPr>
          <w:rFonts w:hint="eastAsia"/>
          <w:color w:val="auto"/>
          <w:sz w:val="24"/>
          <w:highlight w:val="none"/>
        </w:rPr>
        <w:t>4</w:t>
      </w:r>
      <w:r>
        <w:rPr>
          <w:color w:val="auto"/>
          <w:sz w:val="24"/>
          <w:highlight w:val="none"/>
        </w:rPr>
        <w:t xml:space="preserve"> 磋商响应文件不得涂改，若有修改错漏处，须法定代表人（负责人）或授权委托人</w:t>
      </w:r>
      <w:r>
        <w:rPr>
          <w:rFonts w:hint="eastAsia"/>
          <w:color w:val="auto"/>
          <w:sz w:val="24"/>
          <w:highlight w:val="none"/>
          <w:lang w:eastAsia="zh-CN"/>
        </w:rPr>
        <w:t>签字或电子签名</w:t>
      </w:r>
      <w:r>
        <w:rPr>
          <w:color w:val="auto"/>
          <w:sz w:val="24"/>
          <w:highlight w:val="none"/>
        </w:rPr>
        <w:t>。磋商响应文件因字迹潦草或表达不清所引起的后果由供应商负责。</w:t>
      </w:r>
    </w:p>
    <w:p w14:paraId="7DFD31F5">
      <w:pPr>
        <w:snapToGrid w:val="0"/>
        <w:spacing w:line="440" w:lineRule="exact"/>
        <w:ind w:firstLine="484" w:firstLineChars="201"/>
        <w:rPr>
          <w:b/>
          <w:color w:val="auto"/>
          <w:sz w:val="24"/>
          <w:highlight w:val="none"/>
        </w:rPr>
      </w:pPr>
      <w:r>
        <w:rPr>
          <w:b/>
          <w:color w:val="auto"/>
          <w:sz w:val="24"/>
          <w:highlight w:val="none"/>
        </w:rPr>
        <w:t>15. 响应文件的递交</w:t>
      </w:r>
    </w:p>
    <w:p w14:paraId="124710FF">
      <w:pPr>
        <w:snapToGrid w:val="0"/>
        <w:spacing w:line="440" w:lineRule="exact"/>
        <w:ind w:firstLine="482" w:firstLineChars="201"/>
        <w:rPr>
          <w:color w:val="auto"/>
          <w:sz w:val="24"/>
          <w:highlight w:val="none"/>
        </w:rPr>
      </w:pPr>
      <w:r>
        <w:rPr>
          <w:color w:val="auto"/>
          <w:sz w:val="24"/>
          <w:highlight w:val="none"/>
        </w:rPr>
        <w:t>15.1所有竞争性磋商响应文件应于竞争性磋商采购文件中规定的时间前上传递交至</w:t>
      </w:r>
      <w:r>
        <w:rPr>
          <w:rFonts w:hint="eastAsia"/>
          <w:color w:val="auto"/>
          <w:sz w:val="24"/>
          <w:highlight w:val="none"/>
          <w:lang w:eastAsia="zh-CN"/>
        </w:rPr>
        <w:t>广西政府采购云平台</w:t>
      </w:r>
      <w:r>
        <w:rPr>
          <w:color w:val="auto"/>
          <w:sz w:val="24"/>
          <w:highlight w:val="none"/>
        </w:rPr>
        <w:t>。凡逾期上传的磋商响应文件将被作为无效的磋商响应文件处理。在递交响应文件截止期以后上传的磋商响应文件将予以拒绝。</w:t>
      </w:r>
    </w:p>
    <w:p w14:paraId="1D7062EA">
      <w:pPr>
        <w:snapToGrid w:val="0"/>
        <w:spacing w:line="440" w:lineRule="exact"/>
        <w:ind w:firstLine="482" w:firstLineChars="201"/>
        <w:rPr>
          <w:color w:val="auto"/>
          <w:sz w:val="24"/>
          <w:highlight w:val="none"/>
        </w:rPr>
      </w:pPr>
      <w:r>
        <w:rPr>
          <w:color w:val="auto"/>
          <w:sz w:val="24"/>
          <w:highlight w:val="none"/>
        </w:rPr>
        <w:t>15.2竞争性磋商响应文件从响应文件递交截止日期后</w:t>
      </w:r>
      <w:r>
        <w:rPr>
          <w:rFonts w:hint="eastAsia"/>
          <w:color w:val="auto"/>
          <w:sz w:val="24"/>
          <w:highlight w:val="none"/>
        </w:rPr>
        <w:t>60</w:t>
      </w:r>
      <w:r>
        <w:rPr>
          <w:color w:val="auto"/>
          <w:sz w:val="24"/>
          <w:highlight w:val="none"/>
        </w:rPr>
        <w:t>日内有效。</w:t>
      </w:r>
    </w:p>
    <w:p w14:paraId="208AB8B8">
      <w:pPr>
        <w:spacing w:line="440" w:lineRule="exact"/>
        <w:ind w:firstLine="484" w:firstLineChars="201"/>
        <w:rPr>
          <w:b/>
          <w:color w:val="auto"/>
          <w:sz w:val="24"/>
          <w:highlight w:val="none"/>
        </w:rPr>
      </w:pPr>
      <w:r>
        <w:rPr>
          <w:b/>
          <w:color w:val="auto"/>
          <w:sz w:val="24"/>
          <w:highlight w:val="none"/>
        </w:rPr>
        <w:t>16.响应文件的补充、修改</w:t>
      </w:r>
    </w:p>
    <w:p w14:paraId="1D3C678E">
      <w:pPr>
        <w:spacing w:line="440" w:lineRule="exact"/>
        <w:ind w:firstLine="482" w:firstLineChars="201"/>
        <w:rPr>
          <w:color w:val="auto"/>
          <w:sz w:val="24"/>
          <w:highlight w:val="none"/>
        </w:rPr>
      </w:pPr>
      <w:r>
        <w:rPr>
          <w:color w:val="auto"/>
          <w:sz w:val="24"/>
          <w:highlight w:val="none"/>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5741ED73">
      <w:pPr>
        <w:spacing w:line="440" w:lineRule="exact"/>
        <w:ind w:firstLine="484" w:firstLineChars="201"/>
        <w:rPr>
          <w:b/>
          <w:color w:val="auto"/>
          <w:sz w:val="24"/>
          <w:highlight w:val="none"/>
        </w:rPr>
      </w:pPr>
      <w:r>
        <w:rPr>
          <w:b/>
          <w:color w:val="auto"/>
          <w:sz w:val="24"/>
          <w:highlight w:val="none"/>
        </w:rPr>
        <w:t>17.迟交的响应文件</w:t>
      </w:r>
    </w:p>
    <w:p w14:paraId="49558FE8">
      <w:pPr>
        <w:adjustRightInd w:val="0"/>
        <w:snapToGrid w:val="0"/>
        <w:spacing w:line="440" w:lineRule="exact"/>
        <w:ind w:firstLine="480" w:firstLineChars="200"/>
        <w:rPr>
          <w:color w:val="auto"/>
          <w:sz w:val="24"/>
          <w:highlight w:val="none"/>
        </w:rPr>
      </w:pPr>
      <w:r>
        <w:rPr>
          <w:color w:val="auto"/>
          <w:sz w:val="24"/>
          <w:highlight w:val="none"/>
        </w:rPr>
        <w:t>按《中华人民共和国政府采购法》的规定，采购代理机构将拒绝或原封退回在规定的递交竞争性磋商响应文件截止时间之后收到的任何竞争性磋商响应文件。</w:t>
      </w:r>
    </w:p>
    <w:p w14:paraId="69829D66">
      <w:pPr>
        <w:snapToGrid w:val="0"/>
        <w:spacing w:line="440" w:lineRule="exact"/>
        <w:ind w:firstLine="484" w:firstLineChars="201"/>
        <w:rPr>
          <w:b/>
          <w:color w:val="auto"/>
          <w:sz w:val="24"/>
          <w:highlight w:val="none"/>
        </w:rPr>
      </w:pPr>
      <w:r>
        <w:rPr>
          <w:b/>
          <w:color w:val="auto"/>
          <w:sz w:val="24"/>
          <w:highlight w:val="none"/>
        </w:rPr>
        <w:t>18.电子响应文件的相关说明</w:t>
      </w:r>
    </w:p>
    <w:p w14:paraId="5C893963">
      <w:pPr>
        <w:adjustRightInd w:val="0"/>
        <w:snapToGrid w:val="0"/>
        <w:spacing w:line="440" w:lineRule="exact"/>
        <w:ind w:firstLine="480" w:firstLineChars="200"/>
        <w:rPr>
          <w:color w:val="auto"/>
          <w:sz w:val="24"/>
          <w:highlight w:val="none"/>
        </w:rPr>
      </w:pPr>
      <w:r>
        <w:rPr>
          <w:color w:val="auto"/>
          <w:sz w:val="24"/>
          <w:highlight w:val="none"/>
        </w:rPr>
        <w:t>18.1如有特殊情况，采购代理机构延长截止时间和开标时间，采购代理机构和供应商的权利和义务将受到新的截止时间和开标时间的约束。</w:t>
      </w:r>
    </w:p>
    <w:p w14:paraId="52E53579">
      <w:pPr>
        <w:adjustRightInd w:val="0"/>
        <w:snapToGrid w:val="0"/>
        <w:spacing w:line="440" w:lineRule="exact"/>
        <w:ind w:firstLine="480" w:firstLineChars="200"/>
        <w:rPr>
          <w:color w:val="auto"/>
          <w:sz w:val="24"/>
          <w:highlight w:val="none"/>
        </w:rPr>
      </w:pPr>
      <w:r>
        <w:rPr>
          <w:color w:val="auto"/>
          <w:sz w:val="24"/>
          <w:highlight w:val="none"/>
        </w:rPr>
        <w:t>18.2供应商在首次电子响应文件提交截止时间后向采购人、采购代理机构书面申请撤回电子响应文件的，除此之外采购人和采购代理机构对已开启的电子响应文件概不退回。</w:t>
      </w:r>
    </w:p>
    <w:p w14:paraId="45576FFA">
      <w:pPr>
        <w:adjustRightInd w:val="0"/>
        <w:snapToGrid w:val="0"/>
        <w:spacing w:line="440" w:lineRule="exact"/>
        <w:ind w:firstLine="480" w:firstLineChars="200"/>
        <w:rPr>
          <w:color w:val="auto"/>
          <w:sz w:val="24"/>
          <w:highlight w:val="none"/>
        </w:rPr>
      </w:pPr>
      <w:r>
        <w:rPr>
          <w:color w:val="auto"/>
          <w:sz w:val="24"/>
          <w:highlight w:val="none"/>
        </w:rPr>
        <w:t>18.3网上开标、电子评标：</w:t>
      </w:r>
    </w:p>
    <w:p w14:paraId="5E23000F">
      <w:pPr>
        <w:spacing w:line="440" w:lineRule="exact"/>
        <w:ind w:firstLine="482" w:firstLineChars="201"/>
        <w:rPr>
          <w:color w:val="auto"/>
          <w:sz w:val="24"/>
          <w:highlight w:val="none"/>
        </w:rPr>
      </w:pPr>
      <w:r>
        <w:rPr>
          <w:color w:val="auto"/>
          <w:sz w:val="24"/>
          <w:highlight w:val="none"/>
        </w:rPr>
        <w:t>供应商根据竞争性磋商文件要求，登录“</w:t>
      </w:r>
      <w:r>
        <w:rPr>
          <w:rFonts w:hint="eastAsia"/>
          <w:color w:val="auto"/>
          <w:sz w:val="24"/>
          <w:highlight w:val="none"/>
          <w:lang w:eastAsia="zh-CN"/>
        </w:rPr>
        <w:t>广西政府采购云平台</w:t>
      </w:r>
      <w:r>
        <w:rPr>
          <w:color w:val="auto"/>
          <w:sz w:val="24"/>
          <w:highlight w:val="none"/>
        </w:rPr>
        <w:t>”平台，在指定时间内将电子响应文件通过CA加密后上传完成投标。开标实行网上不见面开标。到达开标时间后，采购代理机构工作人员在“</w:t>
      </w:r>
      <w:r>
        <w:rPr>
          <w:rFonts w:hint="eastAsia"/>
          <w:color w:val="auto"/>
          <w:sz w:val="24"/>
          <w:highlight w:val="none"/>
          <w:lang w:eastAsia="zh-CN"/>
        </w:rPr>
        <w:t>广西政府采购云平台</w:t>
      </w:r>
      <w:r>
        <w:rPr>
          <w:color w:val="auto"/>
          <w:sz w:val="24"/>
          <w:highlight w:val="none"/>
        </w:rPr>
        <w:t>”平台开始网上开标，供应商在竞争性磋商文件指定解密时间内各自远程登录“</w:t>
      </w:r>
      <w:r>
        <w:rPr>
          <w:rFonts w:hint="eastAsia"/>
          <w:color w:val="auto"/>
          <w:sz w:val="24"/>
          <w:highlight w:val="none"/>
          <w:lang w:eastAsia="zh-CN"/>
        </w:rPr>
        <w:t>广西政府采购云平台</w:t>
      </w:r>
      <w:r>
        <w:rPr>
          <w:color w:val="auto"/>
          <w:sz w:val="24"/>
          <w:highlight w:val="none"/>
        </w:rPr>
        <w:t>”平台进行响应文件解密，供应商全部解密完成或解密时间结束后由采购代理机构工作人员开启唱标及评标程序，供应商可在个人电脑上查看到唱标信息，并等待专家评委评审，评审结束后系统中将显示评标结果。</w:t>
      </w:r>
    </w:p>
    <w:p w14:paraId="54DA8E50">
      <w:pPr>
        <w:spacing w:line="440" w:lineRule="exact"/>
        <w:ind w:firstLine="484" w:firstLineChars="201"/>
        <w:rPr>
          <w:b/>
          <w:color w:val="auto"/>
          <w:sz w:val="24"/>
          <w:highlight w:val="none"/>
        </w:rPr>
      </w:pPr>
      <w:r>
        <w:rPr>
          <w:b/>
          <w:color w:val="auto"/>
          <w:sz w:val="24"/>
          <w:highlight w:val="none"/>
        </w:rPr>
        <w:t>四、响应文件评审程序</w:t>
      </w:r>
    </w:p>
    <w:p w14:paraId="10CE70FD">
      <w:pPr>
        <w:spacing w:line="440" w:lineRule="exact"/>
        <w:ind w:firstLine="484" w:firstLineChars="201"/>
        <w:rPr>
          <w:b/>
          <w:color w:val="auto"/>
          <w:kern w:val="0"/>
          <w:sz w:val="24"/>
          <w:highlight w:val="none"/>
        </w:rPr>
      </w:pPr>
      <w:r>
        <w:rPr>
          <w:b/>
          <w:color w:val="auto"/>
          <w:kern w:val="0"/>
          <w:sz w:val="24"/>
          <w:highlight w:val="none"/>
        </w:rPr>
        <w:t>19.磋商小组组建</w:t>
      </w:r>
    </w:p>
    <w:p w14:paraId="40C350A5">
      <w:pPr>
        <w:spacing w:line="440" w:lineRule="exact"/>
        <w:ind w:firstLine="482" w:firstLineChars="201"/>
        <w:rPr>
          <w:color w:val="auto"/>
          <w:sz w:val="24"/>
          <w:highlight w:val="none"/>
        </w:rPr>
      </w:pPr>
      <w:r>
        <w:rPr>
          <w:color w:val="auto"/>
          <w:sz w:val="24"/>
          <w:highlight w:val="none"/>
        </w:rPr>
        <w:t>19.1磋商小组由采购人代表和评审专家共3人以上单数组成，其中评审专家人数不得少于磋商小组成员总数的2/3。</w:t>
      </w:r>
    </w:p>
    <w:p w14:paraId="0524760B">
      <w:pPr>
        <w:spacing w:line="440" w:lineRule="exact"/>
        <w:ind w:firstLine="482" w:firstLineChars="201"/>
        <w:rPr>
          <w:color w:val="auto"/>
          <w:sz w:val="24"/>
          <w:highlight w:val="none"/>
        </w:rPr>
      </w:pPr>
      <w:r>
        <w:rPr>
          <w:color w:val="auto"/>
          <w:sz w:val="24"/>
          <w:highlight w:val="none"/>
        </w:rPr>
        <w:t>19.2评审专家应当从广西壮族自治区政府采购云平台中相关专业的专家名单中随机抽取。属于市场竞争不充分的科研项目，或需要扶持的科技成果转化项目，或情况特殊、通过随机方式难以确定合适的评审专家的项目，经主管预算单位同意，可以自行选定评审专家。技术复杂、专业性强的采购项目，评审专家中应当包含1名法律专家。</w:t>
      </w:r>
    </w:p>
    <w:p w14:paraId="13991613">
      <w:pPr>
        <w:spacing w:line="440" w:lineRule="exact"/>
        <w:ind w:firstLine="484" w:firstLineChars="201"/>
        <w:rPr>
          <w:b/>
          <w:color w:val="auto"/>
          <w:kern w:val="0"/>
          <w:sz w:val="24"/>
          <w:highlight w:val="none"/>
        </w:rPr>
      </w:pPr>
      <w:r>
        <w:rPr>
          <w:b/>
          <w:color w:val="auto"/>
          <w:kern w:val="0"/>
          <w:sz w:val="24"/>
          <w:highlight w:val="none"/>
        </w:rPr>
        <w:t>20.评审程序</w:t>
      </w:r>
    </w:p>
    <w:p w14:paraId="428F083A">
      <w:pPr>
        <w:spacing w:line="440" w:lineRule="exact"/>
        <w:ind w:firstLine="482" w:firstLineChars="200"/>
        <w:rPr>
          <w:color w:val="auto"/>
          <w:sz w:val="24"/>
          <w:highlight w:val="none"/>
        </w:rPr>
      </w:pPr>
      <w:r>
        <w:rPr>
          <w:b/>
          <w:color w:val="auto"/>
          <w:sz w:val="24"/>
          <w:highlight w:val="none"/>
        </w:rPr>
        <w:t>20.1</w:t>
      </w:r>
      <w:r>
        <w:rPr>
          <w:color w:val="auto"/>
          <w:sz w:val="24"/>
          <w:highlight w:val="none"/>
        </w:rPr>
        <w:t>磋商会议程序</w:t>
      </w:r>
    </w:p>
    <w:p w14:paraId="1C87ECE7">
      <w:pPr>
        <w:spacing w:line="440" w:lineRule="exact"/>
        <w:ind w:firstLine="480" w:firstLineChars="200"/>
        <w:rPr>
          <w:color w:val="auto"/>
          <w:sz w:val="24"/>
          <w:highlight w:val="none"/>
        </w:rPr>
      </w:pPr>
      <w:r>
        <w:rPr>
          <w:color w:val="auto"/>
          <w:sz w:val="24"/>
          <w:highlight w:val="none"/>
        </w:rPr>
        <w:t>（1）采购代理机构主持人宣布会议开始；</w:t>
      </w:r>
    </w:p>
    <w:p w14:paraId="50D0B4D7">
      <w:pPr>
        <w:spacing w:line="440" w:lineRule="exact"/>
        <w:ind w:firstLine="480" w:firstLineChars="200"/>
        <w:rPr>
          <w:color w:val="auto"/>
          <w:sz w:val="24"/>
          <w:highlight w:val="none"/>
        </w:rPr>
      </w:pPr>
      <w:r>
        <w:rPr>
          <w:color w:val="auto"/>
          <w:sz w:val="24"/>
          <w:highlight w:val="none"/>
        </w:rPr>
        <w:t>（2）介绍参加会议人员名单；</w:t>
      </w:r>
    </w:p>
    <w:p w14:paraId="1FB18590">
      <w:pPr>
        <w:spacing w:line="440" w:lineRule="exact"/>
        <w:ind w:firstLine="480" w:firstLineChars="200"/>
        <w:rPr>
          <w:color w:val="auto"/>
          <w:sz w:val="24"/>
          <w:highlight w:val="none"/>
        </w:rPr>
      </w:pPr>
      <w:r>
        <w:rPr>
          <w:color w:val="auto"/>
          <w:sz w:val="24"/>
          <w:highlight w:val="none"/>
        </w:rPr>
        <w:t>（3）投标（响应）文件签收、解密；</w:t>
      </w:r>
    </w:p>
    <w:p w14:paraId="1C19CB33">
      <w:pPr>
        <w:spacing w:line="440" w:lineRule="exact"/>
        <w:ind w:firstLine="480" w:firstLineChars="200"/>
        <w:rPr>
          <w:color w:val="auto"/>
          <w:sz w:val="24"/>
          <w:highlight w:val="none"/>
        </w:rPr>
      </w:pPr>
      <w:r>
        <w:rPr>
          <w:color w:val="auto"/>
          <w:sz w:val="24"/>
          <w:highlight w:val="none"/>
        </w:rPr>
        <w:t>（4）采购代理机构宣读资格参加磋商的磋商供应商及采购人认为需要宣布的其他内容；</w:t>
      </w:r>
    </w:p>
    <w:p w14:paraId="3FA9A570">
      <w:pPr>
        <w:spacing w:line="440" w:lineRule="exact"/>
        <w:ind w:firstLine="480" w:firstLineChars="200"/>
        <w:rPr>
          <w:color w:val="auto"/>
          <w:sz w:val="24"/>
          <w:highlight w:val="none"/>
        </w:rPr>
      </w:pPr>
      <w:r>
        <w:rPr>
          <w:color w:val="auto"/>
          <w:sz w:val="24"/>
          <w:highlight w:val="none"/>
        </w:rPr>
        <w:t>（5）宣布磋商与评审期间的有关事项；</w:t>
      </w:r>
    </w:p>
    <w:p w14:paraId="6C33FA61">
      <w:pPr>
        <w:spacing w:line="440" w:lineRule="exact"/>
        <w:ind w:firstLine="480" w:firstLineChars="200"/>
        <w:rPr>
          <w:color w:val="auto"/>
          <w:sz w:val="24"/>
          <w:highlight w:val="none"/>
        </w:rPr>
      </w:pPr>
      <w:r>
        <w:rPr>
          <w:color w:val="auto"/>
          <w:sz w:val="24"/>
          <w:highlight w:val="none"/>
        </w:rPr>
        <w:t>（6）会议结束；</w:t>
      </w:r>
    </w:p>
    <w:p w14:paraId="6E04AA3B">
      <w:pPr>
        <w:spacing w:line="440" w:lineRule="exact"/>
        <w:ind w:firstLine="480" w:firstLineChars="200"/>
        <w:rPr>
          <w:b/>
          <w:color w:val="auto"/>
          <w:sz w:val="24"/>
          <w:highlight w:val="none"/>
        </w:rPr>
      </w:pPr>
      <w:r>
        <w:rPr>
          <w:color w:val="auto"/>
          <w:sz w:val="24"/>
          <w:highlight w:val="none"/>
        </w:rPr>
        <w:t>（7）会议结束后即开始评审与磋商工作。</w:t>
      </w:r>
    </w:p>
    <w:p w14:paraId="67B99A07">
      <w:pPr>
        <w:spacing w:line="440" w:lineRule="exact"/>
        <w:ind w:firstLine="484" w:firstLineChars="201"/>
        <w:rPr>
          <w:b/>
          <w:color w:val="auto"/>
          <w:sz w:val="24"/>
          <w:highlight w:val="none"/>
        </w:rPr>
      </w:pPr>
      <w:r>
        <w:rPr>
          <w:b/>
          <w:color w:val="auto"/>
          <w:sz w:val="24"/>
          <w:highlight w:val="none"/>
        </w:rPr>
        <w:t>20.2磋商小组评审响应文件</w:t>
      </w:r>
    </w:p>
    <w:p w14:paraId="6AB1A698">
      <w:pPr>
        <w:spacing w:line="440" w:lineRule="exact"/>
        <w:ind w:firstLine="480" w:firstLineChars="200"/>
        <w:rPr>
          <w:b/>
          <w:color w:val="auto"/>
          <w:sz w:val="24"/>
          <w:highlight w:val="none"/>
        </w:rPr>
      </w:pPr>
      <w:r>
        <w:rPr>
          <w:color w:val="auto"/>
          <w:sz w:val="24"/>
          <w:highlight w:val="none"/>
        </w:rPr>
        <w:t>响应文件解密后，磋商小组依法对供应商的资格文件进行审查，其中信用查询详见“供应商须知前附表” 。参加本次磋商的供应商均要通过资格审查后才能获得竞争性磋商资格。</w:t>
      </w:r>
    </w:p>
    <w:p w14:paraId="28DBDBD7">
      <w:pPr>
        <w:spacing w:line="440" w:lineRule="exact"/>
        <w:ind w:firstLine="484" w:firstLineChars="201"/>
        <w:rPr>
          <w:b/>
          <w:color w:val="auto"/>
          <w:sz w:val="24"/>
          <w:highlight w:val="none"/>
        </w:rPr>
      </w:pPr>
      <w:r>
        <w:rPr>
          <w:b/>
          <w:color w:val="auto"/>
          <w:sz w:val="24"/>
          <w:highlight w:val="none"/>
        </w:rPr>
        <w:t>20.3澄清</w:t>
      </w:r>
    </w:p>
    <w:p w14:paraId="62971EAE">
      <w:pPr>
        <w:spacing w:line="440" w:lineRule="exact"/>
        <w:ind w:firstLine="480" w:firstLineChars="200"/>
        <w:rPr>
          <w:color w:val="auto"/>
          <w:sz w:val="24"/>
          <w:highlight w:val="none"/>
        </w:rPr>
      </w:pPr>
      <w:r>
        <w:rPr>
          <w:color w:val="auto"/>
          <w:sz w:val="24"/>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37D5FB">
      <w:pPr>
        <w:spacing w:line="440" w:lineRule="exact"/>
        <w:ind w:firstLine="480" w:firstLineChars="200"/>
        <w:rPr>
          <w:color w:val="auto"/>
          <w:sz w:val="24"/>
          <w:highlight w:val="none"/>
        </w:rPr>
      </w:pPr>
      <w:r>
        <w:rPr>
          <w:color w:val="auto"/>
          <w:sz w:val="24"/>
          <w:highlight w:val="none"/>
        </w:rPr>
        <w:t>为了有助于磋商响应文件的审查、评价和比较，磋商小组可以个别地要求磋商供应商澄清其磋商响应文件。澄清文件必须以PDF格式上传，供应商在澄清截止时间前，进行澄清。</w:t>
      </w:r>
    </w:p>
    <w:p w14:paraId="4ABD7EAE">
      <w:pPr>
        <w:spacing w:line="440" w:lineRule="exact"/>
        <w:ind w:firstLine="480" w:firstLineChars="200"/>
        <w:rPr>
          <w:color w:val="auto"/>
          <w:sz w:val="24"/>
          <w:highlight w:val="none"/>
        </w:rPr>
      </w:pPr>
      <w:r>
        <w:rPr>
          <w:color w:val="auto"/>
          <w:sz w:val="24"/>
          <w:highlight w:val="none"/>
        </w:rPr>
        <w:t>磋商小组评审中需要供应商对磋商响应文件作出澄清、说明或者补正的，磋商小组和供应商应当通过</w:t>
      </w:r>
      <w:r>
        <w:rPr>
          <w:rFonts w:hint="eastAsia"/>
          <w:color w:val="auto"/>
          <w:sz w:val="24"/>
          <w:highlight w:val="none"/>
          <w:lang w:eastAsia="zh-CN"/>
        </w:rPr>
        <w:t>广西政府采购云平台</w:t>
      </w:r>
      <w:r>
        <w:rPr>
          <w:color w:val="auto"/>
          <w:sz w:val="24"/>
          <w:highlight w:val="none"/>
        </w:rPr>
        <w:t>交换数据电文。给予供应商提交澄清说明或补正的时间不少于半小时，供应商已经明确表示澄清说明或补正完毕的除外。</w:t>
      </w:r>
    </w:p>
    <w:p w14:paraId="306D4BB9">
      <w:pPr>
        <w:spacing w:line="440" w:lineRule="exact"/>
        <w:ind w:firstLine="480" w:firstLineChars="200"/>
        <w:rPr>
          <w:color w:val="auto"/>
          <w:sz w:val="24"/>
          <w:highlight w:val="none"/>
        </w:rPr>
      </w:pPr>
      <w:r>
        <w:rPr>
          <w:color w:val="auto"/>
          <w:sz w:val="24"/>
          <w:highlight w:val="none"/>
        </w:rPr>
        <w:t>供应商通过</w:t>
      </w:r>
      <w:r>
        <w:rPr>
          <w:rFonts w:hint="eastAsia"/>
          <w:color w:val="auto"/>
          <w:sz w:val="24"/>
          <w:highlight w:val="none"/>
          <w:lang w:eastAsia="zh-CN"/>
        </w:rPr>
        <w:t>广西政府采购云平台</w:t>
      </w:r>
      <w:r>
        <w:rPr>
          <w:color w:val="auto"/>
          <w:sz w:val="24"/>
          <w:highlight w:val="none"/>
        </w:rPr>
        <w:t>交换的数据电文必须进行电子签章。</w:t>
      </w:r>
    </w:p>
    <w:p w14:paraId="4AAE5D3D">
      <w:pPr>
        <w:widowControl/>
        <w:tabs>
          <w:tab w:val="left" w:pos="540"/>
        </w:tabs>
        <w:spacing w:line="440" w:lineRule="exact"/>
        <w:ind w:firstLine="484" w:firstLineChars="201"/>
        <w:jc w:val="left"/>
        <w:rPr>
          <w:b/>
          <w:color w:val="auto"/>
          <w:sz w:val="24"/>
          <w:highlight w:val="none"/>
        </w:rPr>
      </w:pPr>
      <w:r>
        <w:rPr>
          <w:b/>
          <w:color w:val="auto"/>
          <w:sz w:val="24"/>
          <w:highlight w:val="none"/>
        </w:rPr>
        <w:t>20.4磋商</w:t>
      </w:r>
    </w:p>
    <w:p w14:paraId="4B4139A4">
      <w:pPr>
        <w:widowControl/>
        <w:tabs>
          <w:tab w:val="left" w:pos="540"/>
        </w:tabs>
        <w:spacing w:line="440" w:lineRule="exact"/>
        <w:ind w:firstLine="482" w:firstLineChars="201"/>
        <w:jc w:val="left"/>
        <w:rPr>
          <w:color w:val="auto"/>
          <w:sz w:val="24"/>
          <w:highlight w:val="none"/>
        </w:rPr>
      </w:pPr>
      <w:r>
        <w:rPr>
          <w:color w:val="auto"/>
          <w:sz w:val="24"/>
          <w:highlight w:val="none"/>
        </w:rPr>
        <w:t>20.4.1磋商时间及地点：按须知前附表规定。</w:t>
      </w:r>
    </w:p>
    <w:p w14:paraId="2CA39A20">
      <w:pPr>
        <w:widowControl/>
        <w:tabs>
          <w:tab w:val="left" w:pos="540"/>
        </w:tabs>
        <w:spacing w:line="440" w:lineRule="exact"/>
        <w:ind w:firstLine="482" w:firstLineChars="201"/>
        <w:jc w:val="left"/>
        <w:rPr>
          <w:color w:val="auto"/>
          <w:sz w:val="24"/>
          <w:highlight w:val="none"/>
        </w:rPr>
      </w:pPr>
      <w:r>
        <w:rPr>
          <w:color w:val="auto"/>
          <w:sz w:val="24"/>
          <w:highlight w:val="none"/>
        </w:rPr>
        <w:t>20.4.2供应商参加需要携带的材料：按须知前附表规定。</w:t>
      </w:r>
    </w:p>
    <w:p w14:paraId="1C50ECD5">
      <w:pPr>
        <w:widowControl/>
        <w:tabs>
          <w:tab w:val="left" w:pos="540"/>
        </w:tabs>
        <w:spacing w:line="440" w:lineRule="exact"/>
        <w:ind w:firstLine="482" w:firstLineChars="201"/>
        <w:jc w:val="left"/>
        <w:rPr>
          <w:color w:val="auto"/>
          <w:sz w:val="24"/>
          <w:highlight w:val="none"/>
        </w:rPr>
      </w:pPr>
      <w:r>
        <w:rPr>
          <w:color w:val="auto"/>
          <w:sz w:val="24"/>
          <w:highlight w:val="none"/>
        </w:rPr>
        <w:t>20.4.3磋商小组按须知前附表规定的磋商顺序，集中与单一供应商分别进行磋商，并给予所有参加磋商的供应商平等的磋商机会。</w:t>
      </w:r>
    </w:p>
    <w:p w14:paraId="4A039225">
      <w:pPr>
        <w:widowControl/>
        <w:tabs>
          <w:tab w:val="left" w:pos="540"/>
        </w:tabs>
        <w:spacing w:line="440" w:lineRule="exact"/>
        <w:ind w:firstLine="482" w:firstLineChars="201"/>
        <w:jc w:val="left"/>
        <w:rPr>
          <w:color w:val="auto"/>
          <w:sz w:val="24"/>
          <w:highlight w:val="none"/>
        </w:rPr>
      </w:pPr>
      <w:r>
        <w:rPr>
          <w:color w:val="auto"/>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555C307">
      <w:pPr>
        <w:widowControl/>
        <w:tabs>
          <w:tab w:val="left" w:pos="540"/>
        </w:tabs>
        <w:spacing w:line="440" w:lineRule="exact"/>
        <w:ind w:firstLine="482" w:firstLineChars="201"/>
        <w:jc w:val="left"/>
        <w:rPr>
          <w:color w:val="auto"/>
          <w:sz w:val="24"/>
          <w:highlight w:val="none"/>
        </w:rPr>
      </w:pPr>
      <w:r>
        <w:rPr>
          <w:color w:val="auto"/>
          <w:sz w:val="24"/>
          <w:highlight w:val="none"/>
        </w:rPr>
        <w:t>对磋商文件作出的实质性变动是磋商文件的有效组成部分，磋商小组应当及时以书面形式同时通知所有参加磋商的供应商。</w:t>
      </w:r>
    </w:p>
    <w:p w14:paraId="26387817">
      <w:pPr>
        <w:widowControl/>
        <w:tabs>
          <w:tab w:val="left" w:pos="540"/>
        </w:tabs>
        <w:spacing w:line="440" w:lineRule="exact"/>
        <w:ind w:firstLine="482" w:firstLineChars="201"/>
        <w:jc w:val="left"/>
        <w:rPr>
          <w:color w:val="auto"/>
          <w:sz w:val="24"/>
          <w:highlight w:val="none"/>
        </w:rPr>
      </w:pPr>
      <w:r>
        <w:rPr>
          <w:color w:val="auto"/>
          <w:sz w:val="24"/>
          <w:highlight w:val="none"/>
        </w:rPr>
        <w:t>供应商应当按照磋商文件的变动情况和磋商小组的要求重新提交响应文件，并由其法定代表人或授权代表签字或者加盖公章。由授权代表签字的，应当附法定代表人授权书。</w:t>
      </w:r>
    </w:p>
    <w:p w14:paraId="10DD838F">
      <w:pPr>
        <w:widowControl/>
        <w:tabs>
          <w:tab w:val="left" w:pos="540"/>
        </w:tabs>
        <w:spacing w:line="440" w:lineRule="exact"/>
        <w:ind w:firstLine="482" w:firstLineChars="201"/>
        <w:jc w:val="left"/>
        <w:rPr>
          <w:color w:val="auto"/>
          <w:sz w:val="24"/>
          <w:highlight w:val="none"/>
        </w:rPr>
      </w:pPr>
      <w:r>
        <w:rPr>
          <w:color w:val="auto"/>
          <w:sz w:val="24"/>
          <w:highlight w:val="none"/>
        </w:rPr>
        <w:t>磋商中，磋商的任何一方不得透露与磋商有关的其他供应商的技术资料、价格和其他信息。</w:t>
      </w:r>
    </w:p>
    <w:p w14:paraId="5E0C0766">
      <w:pPr>
        <w:widowControl/>
        <w:tabs>
          <w:tab w:val="left" w:pos="540"/>
        </w:tabs>
        <w:spacing w:line="440" w:lineRule="exact"/>
        <w:ind w:firstLine="482" w:firstLineChars="201"/>
        <w:jc w:val="left"/>
        <w:rPr>
          <w:color w:val="auto"/>
          <w:sz w:val="24"/>
          <w:highlight w:val="none"/>
        </w:rPr>
      </w:pPr>
      <w:r>
        <w:rPr>
          <w:color w:val="auto"/>
          <w:sz w:val="24"/>
          <w:highlight w:val="none"/>
        </w:rPr>
        <w:t>采购代理机构对磋商过程和重要磋商内容进行记录，磋商双方在记录上签字确认。</w:t>
      </w:r>
    </w:p>
    <w:p w14:paraId="6DD15217">
      <w:pPr>
        <w:widowControl/>
        <w:tabs>
          <w:tab w:val="left" w:pos="540"/>
        </w:tabs>
        <w:spacing w:line="440" w:lineRule="exact"/>
        <w:ind w:firstLine="484" w:firstLineChars="201"/>
        <w:jc w:val="left"/>
        <w:rPr>
          <w:b/>
          <w:color w:val="auto"/>
          <w:sz w:val="24"/>
          <w:highlight w:val="none"/>
        </w:rPr>
      </w:pPr>
      <w:r>
        <w:rPr>
          <w:b/>
          <w:color w:val="auto"/>
          <w:sz w:val="24"/>
          <w:highlight w:val="none"/>
        </w:rPr>
        <w:t>20.5最后报价</w:t>
      </w:r>
    </w:p>
    <w:p w14:paraId="0C7E0053">
      <w:pPr>
        <w:spacing w:line="440" w:lineRule="exact"/>
        <w:ind w:firstLine="480" w:firstLineChars="200"/>
        <w:rPr>
          <w:color w:val="auto"/>
          <w:sz w:val="24"/>
          <w:highlight w:val="none"/>
        </w:rPr>
      </w:pPr>
      <w:r>
        <w:rPr>
          <w:color w:val="auto"/>
          <w:sz w:val="24"/>
          <w:highlight w:val="none"/>
        </w:rPr>
        <w:t>20.5.1磋商文件能够详细列明采购标的的技术、服务要求的，磋商结束后，磋商供应商作最后报价，在报价页面填写最终报价、项目负责人等信息，生成报价文件。生成报价文件后，供应商需报价文件进行CA签章。供应商确认报价文件无误后，在电脑上插入CA锁，对报价文件进行签章。确认报价文件后，提交报价文件。经磋商确定最终采购需求和提交最后报价的供应商后，由磋商小组采用综合评分法对提交最后报价的供应商的响应文件和最后报价进行综合评分。磋商小组按综合评分从高到低排序，推荐成交候选人顺序，形成评标报告。</w:t>
      </w:r>
    </w:p>
    <w:p w14:paraId="237C92A3">
      <w:pPr>
        <w:widowControl/>
        <w:tabs>
          <w:tab w:val="left" w:pos="540"/>
        </w:tabs>
        <w:spacing w:line="440" w:lineRule="exact"/>
        <w:ind w:firstLine="482" w:firstLineChars="201"/>
        <w:jc w:val="left"/>
        <w:rPr>
          <w:color w:val="auto"/>
          <w:sz w:val="24"/>
          <w:highlight w:val="none"/>
        </w:rPr>
      </w:pPr>
      <w:r>
        <w:rPr>
          <w:color w:val="auto"/>
          <w:sz w:val="24"/>
          <w:highlight w:val="none"/>
        </w:rPr>
        <w:t>20.5.2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密封提交最后报价。</w:t>
      </w:r>
    </w:p>
    <w:p w14:paraId="0F5A8721">
      <w:pPr>
        <w:widowControl/>
        <w:tabs>
          <w:tab w:val="left" w:pos="540"/>
        </w:tabs>
        <w:spacing w:line="440" w:lineRule="exact"/>
        <w:ind w:firstLine="482" w:firstLineChars="201"/>
        <w:jc w:val="left"/>
        <w:rPr>
          <w:color w:val="auto"/>
          <w:sz w:val="24"/>
          <w:highlight w:val="none"/>
        </w:rPr>
      </w:pPr>
      <w:r>
        <w:rPr>
          <w:color w:val="auto"/>
          <w:sz w:val="24"/>
          <w:highlight w:val="none"/>
        </w:rPr>
        <w:t>20.5.3属于市场竞争不充分的科研项目，以及需要扶持的科技成果转化项目，提交最后报价的供应商可以为2家。</w:t>
      </w:r>
    </w:p>
    <w:p w14:paraId="56D218DA">
      <w:pPr>
        <w:widowControl/>
        <w:tabs>
          <w:tab w:val="left" w:pos="540"/>
        </w:tabs>
        <w:spacing w:line="440" w:lineRule="exact"/>
        <w:ind w:firstLine="482" w:firstLineChars="201"/>
        <w:jc w:val="left"/>
        <w:rPr>
          <w:color w:val="auto"/>
          <w:sz w:val="24"/>
          <w:highlight w:val="none"/>
        </w:rPr>
      </w:pPr>
      <w:r>
        <w:rPr>
          <w:color w:val="auto"/>
          <w:sz w:val="24"/>
          <w:highlight w:val="none"/>
        </w:rPr>
        <w:t>20.5.4根据财库【2015】124号《财政部关于政府采购竞争性磋商采购方式有关问题的通知》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5B44793">
      <w:pPr>
        <w:widowControl/>
        <w:tabs>
          <w:tab w:val="left" w:pos="540"/>
        </w:tabs>
        <w:spacing w:line="440" w:lineRule="exact"/>
        <w:ind w:firstLine="482" w:firstLineChars="201"/>
        <w:jc w:val="left"/>
        <w:rPr>
          <w:color w:val="auto"/>
          <w:sz w:val="24"/>
          <w:highlight w:val="none"/>
        </w:rPr>
      </w:pPr>
      <w:r>
        <w:rPr>
          <w:color w:val="auto"/>
          <w:sz w:val="24"/>
          <w:highlight w:val="none"/>
        </w:rPr>
        <w:t>20.5.5最后报价是供应商响应文件的有效组成部分。</w:t>
      </w:r>
    </w:p>
    <w:p w14:paraId="1326C14A">
      <w:pPr>
        <w:widowControl/>
        <w:tabs>
          <w:tab w:val="left" w:pos="540"/>
        </w:tabs>
        <w:spacing w:line="440" w:lineRule="exact"/>
        <w:ind w:firstLine="482" w:firstLineChars="201"/>
        <w:jc w:val="left"/>
        <w:rPr>
          <w:color w:val="auto"/>
          <w:sz w:val="24"/>
          <w:highlight w:val="none"/>
        </w:rPr>
      </w:pPr>
      <w:r>
        <w:rPr>
          <w:color w:val="auto"/>
          <w:sz w:val="24"/>
          <w:highlight w:val="none"/>
        </w:rPr>
        <w:t>20.5.6已经提交响应文件的供应商，在提交最后报价之前，可以根据磋商情况退出磋商。</w:t>
      </w:r>
    </w:p>
    <w:p w14:paraId="1E91540B">
      <w:pPr>
        <w:widowControl/>
        <w:tabs>
          <w:tab w:val="left" w:pos="540"/>
        </w:tabs>
        <w:spacing w:line="440" w:lineRule="exact"/>
        <w:ind w:firstLine="482" w:firstLineChars="201"/>
        <w:jc w:val="left"/>
        <w:rPr>
          <w:color w:val="auto"/>
          <w:sz w:val="24"/>
          <w:highlight w:val="none"/>
        </w:rPr>
      </w:pPr>
      <w:r>
        <w:rPr>
          <w:color w:val="auto"/>
          <w:sz w:val="24"/>
          <w:highlight w:val="none"/>
        </w:rPr>
        <w:t>20.5.7响应供应商的报价均超过了采购预算，采购人不能支付的，磋商活动终止。</w:t>
      </w:r>
    </w:p>
    <w:p w14:paraId="6DECB604">
      <w:pPr>
        <w:widowControl/>
        <w:spacing w:line="440" w:lineRule="exact"/>
        <w:ind w:firstLine="482" w:firstLineChars="201"/>
        <w:jc w:val="left"/>
        <w:rPr>
          <w:b/>
          <w:bCs/>
          <w:color w:val="auto"/>
          <w:sz w:val="24"/>
          <w:highlight w:val="none"/>
        </w:rPr>
      </w:pPr>
      <w:r>
        <w:rPr>
          <w:color w:val="auto"/>
          <w:sz w:val="24"/>
          <w:highlight w:val="none"/>
        </w:rPr>
        <w:t>20.5.8</w:t>
      </w:r>
      <w:r>
        <w:rPr>
          <w:color w:val="auto"/>
          <w:sz w:val="24"/>
          <w:highlight w:val="none"/>
          <w:shd w:val="clear" w:color="auto" w:fill="FFFFFF"/>
        </w:rPr>
        <w:t>评标委员会认为</w:t>
      </w:r>
      <w:r>
        <w:rPr>
          <w:rFonts w:hint="eastAsia"/>
          <w:color w:val="auto"/>
          <w:sz w:val="24"/>
          <w:highlight w:val="none"/>
          <w:shd w:val="clear" w:color="auto" w:fill="FFFFFF"/>
        </w:rPr>
        <w:t>供应商</w:t>
      </w:r>
      <w:r>
        <w:rPr>
          <w:color w:val="auto"/>
          <w:sz w:val="24"/>
          <w:highlight w:val="none"/>
          <w:shd w:val="clear" w:color="auto" w:fill="FFFFFF"/>
        </w:rPr>
        <w:t>的报价明显低于其他通过符合性审查</w:t>
      </w:r>
      <w:r>
        <w:rPr>
          <w:rFonts w:hint="eastAsia"/>
          <w:color w:val="auto"/>
          <w:sz w:val="24"/>
          <w:highlight w:val="none"/>
          <w:shd w:val="clear" w:color="auto" w:fill="FFFFFF"/>
        </w:rPr>
        <w:t>供应商</w:t>
      </w:r>
      <w:r>
        <w:rPr>
          <w:color w:val="auto"/>
          <w:sz w:val="24"/>
          <w:highlight w:val="none"/>
          <w:shd w:val="clear" w:color="auto" w:fill="FFFFFF"/>
        </w:rPr>
        <w:t>的报价，有可能影响产品质量或者不能诚信履约的，应当要求其在评标现场合理的时间内提供书面说明，必要时提交相关证明材料；</w:t>
      </w:r>
      <w:r>
        <w:rPr>
          <w:rFonts w:hint="eastAsia"/>
          <w:color w:val="auto"/>
          <w:sz w:val="24"/>
          <w:highlight w:val="none"/>
          <w:shd w:val="clear" w:color="auto" w:fill="FFFFFF"/>
        </w:rPr>
        <w:t>供应商</w:t>
      </w:r>
      <w:r>
        <w:rPr>
          <w:color w:val="auto"/>
          <w:sz w:val="24"/>
          <w:highlight w:val="none"/>
          <w:shd w:val="clear" w:color="auto" w:fill="FFFFFF"/>
        </w:rPr>
        <w:t>不能证明其报价合理性的，评标委员会应当将其作为无效投标处理。</w:t>
      </w:r>
    </w:p>
    <w:p w14:paraId="5D71CC4E">
      <w:pPr>
        <w:widowControl/>
        <w:tabs>
          <w:tab w:val="left" w:pos="540"/>
        </w:tabs>
        <w:spacing w:line="440" w:lineRule="exact"/>
        <w:ind w:firstLine="484" w:firstLineChars="201"/>
        <w:jc w:val="left"/>
        <w:rPr>
          <w:b/>
          <w:color w:val="auto"/>
          <w:sz w:val="24"/>
          <w:highlight w:val="none"/>
        </w:rPr>
      </w:pPr>
      <w:r>
        <w:rPr>
          <w:b/>
          <w:color w:val="auto"/>
          <w:sz w:val="24"/>
          <w:highlight w:val="none"/>
        </w:rPr>
        <w:t>21.最终磋商结束后，磋商小组不得再与供应商进行任何形式的商谈。</w:t>
      </w:r>
    </w:p>
    <w:p w14:paraId="093F427A">
      <w:pPr>
        <w:widowControl/>
        <w:tabs>
          <w:tab w:val="left" w:pos="540"/>
        </w:tabs>
        <w:spacing w:line="440" w:lineRule="exact"/>
        <w:ind w:firstLine="484" w:firstLineChars="201"/>
        <w:jc w:val="left"/>
        <w:rPr>
          <w:b/>
          <w:color w:val="auto"/>
          <w:sz w:val="24"/>
          <w:highlight w:val="none"/>
        </w:rPr>
      </w:pPr>
      <w:r>
        <w:rPr>
          <w:b/>
          <w:color w:val="auto"/>
          <w:sz w:val="24"/>
          <w:highlight w:val="none"/>
        </w:rPr>
        <w:t>22.评审与比较</w:t>
      </w:r>
    </w:p>
    <w:p w14:paraId="7E135B0C">
      <w:pPr>
        <w:widowControl/>
        <w:tabs>
          <w:tab w:val="left" w:pos="540"/>
        </w:tabs>
        <w:spacing w:line="440" w:lineRule="exact"/>
        <w:ind w:firstLine="482" w:firstLineChars="201"/>
        <w:jc w:val="left"/>
        <w:rPr>
          <w:color w:val="auto"/>
          <w:sz w:val="24"/>
          <w:highlight w:val="none"/>
        </w:rPr>
      </w:pPr>
      <w:r>
        <w:rPr>
          <w:color w:val="auto"/>
          <w:sz w:val="24"/>
          <w:highlight w:val="none"/>
        </w:rPr>
        <w:t>22.1经磋商确定最终采购需求和提交最后报价的供应商后，由磋商小组采用综合评分法对提交最后报价的供应商的响应文件和最后报价进行综合评分。</w:t>
      </w:r>
    </w:p>
    <w:p w14:paraId="0063EC1D">
      <w:pPr>
        <w:widowControl/>
        <w:tabs>
          <w:tab w:val="left" w:pos="540"/>
        </w:tabs>
        <w:spacing w:line="440" w:lineRule="exact"/>
        <w:ind w:firstLine="482" w:firstLineChars="201"/>
        <w:jc w:val="left"/>
        <w:rPr>
          <w:color w:val="auto"/>
          <w:sz w:val="24"/>
          <w:highlight w:val="none"/>
        </w:rPr>
      </w:pPr>
      <w:r>
        <w:rPr>
          <w:color w:val="auto"/>
          <w:sz w:val="24"/>
          <w:highlight w:val="none"/>
        </w:rPr>
        <w:t>22.2评审原则。磋商小组必须公平、公正、客观，不带任何倾向性和启发性；不得向外界透露任何与评审有关的内容；任何单位和个人不得干扰、影响评审的正常进行。</w:t>
      </w:r>
    </w:p>
    <w:p w14:paraId="71FF6743">
      <w:pPr>
        <w:widowControl/>
        <w:tabs>
          <w:tab w:val="left" w:pos="540"/>
        </w:tabs>
        <w:spacing w:line="440" w:lineRule="exact"/>
        <w:ind w:firstLine="482" w:firstLineChars="201"/>
        <w:jc w:val="left"/>
        <w:rPr>
          <w:color w:val="auto"/>
          <w:sz w:val="24"/>
          <w:highlight w:val="none"/>
        </w:rPr>
      </w:pPr>
      <w:r>
        <w:rPr>
          <w:color w:val="auto"/>
          <w:sz w:val="24"/>
          <w:highlight w:val="none"/>
        </w:rPr>
        <w:t>22.3评标办法及标准详见第六章。</w:t>
      </w:r>
    </w:p>
    <w:p w14:paraId="3F8DCA7F">
      <w:pPr>
        <w:widowControl/>
        <w:tabs>
          <w:tab w:val="left" w:pos="540"/>
        </w:tabs>
        <w:spacing w:line="440" w:lineRule="exact"/>
        <w:ind w:firstLine="482" w:firstLineChars="201"/>
        <w:jc w:val="left"/>
        <w:rPr>
          <w:b/>
          <w:bCs/>
          <w:color w:val="auto"/>
          <w:sz w:val="24"/>
          <w:highlight w:val="none"/>
        </w:rPr>
      </w:pPr>
      <w:r>
        <w:rPr>
          <w:color w:val="auto"/>
          <w:sz w:val="24"/>
          <w:highlight w:val="none"/>
        </w:rPr>
        <w:t>23.</w:t>
      </w:r>
      <w:r>
        <w:rPr>
          <w:b/>
          <w:bCs/>
          <w:color w:val="auto"/>
          <w:sz w:val="24"/>
          <w:highlight w:val="none"/>
        </w:rPr>
        <w:t>在评标过程中出现法律法规和磋商文件均没有明确规定的情形时，由磋商小组现场协商解决。</w:t>
      </w:r>
    </w:p>
    <w:p w14:paraId="1AE0207B">
      <w:pPr>
        <w:widowControl/>
        <w:tabs>
          <w:tab w:val="left" w:pos="540"/>
        </w:tabs>
        <w:spacing w:line="440" w:lineRule="exact"/>
        <w:ind w:firstLine="484" w:firstLineChars="201"/>
        <w:jc w:val="left"/>
        <w:rPr>
          <w:b/>
          <w:color w:val="auto"/>
          <w:sz w:val="24"/>
          <w:highlight w:val="none"/>
        </w:rPr>
      </w:pPr>
      <w:r>
        <w:rPr>
          <w:b/>
          <w:bCs/>
          <w:color w:val="auto"/>
          <w:sz w:val="24"/>
          <w:highlight w:val="none"/>
        </w:rPr>
        <w:t>24.</w:t>
      </w:r>
      <w:r>
        <w:rPr>
          <w:b/>
          <w:color w:val="auto"/>
          <w:sz w:val="24"/>
          <w:highlight w:val="none"/>
        </w:rPr>
        <w:t>特别说明：</w:t>
      </w:r>
    </w:p>
    <w:p w14:paraId="5C0F81A4">
      <w:pPr>
        <w:widowControl/>
        <w:spacing w:line="440" w:lineRule="exact"/>
        <w:ind w:firstLine="482" w:firstLineChars="201"/>
        <w:jc w:val="left"/>
        <w:rPr>
          <w:color w:val="auto"/>
          <w:sz w:val="24"/>
          <w:highlight w:val="none"/>
        </w:rPr>
      </w:pPr>
      <w:r>
        <w:rPr>
          <w:color w:val="auto"/>
          <w:sz w:val="24"/>
          <w:highlight w:val="none"/>
        </w:rPr>
        <w:t>24.1出现下列情形之一的，在评审过程中，取其中通过资格审查、符合性审查且报价最低的参加评审；当报价相同时，则由采购人自主选择确定一个参加评审的供应商，其他响应无效：</w:t>
      </w:r>
    </w:p>
    <w:p w14:paraId="6B8212A8">
      <w:pPr>
        <w:widowControl/>
        <w:spacing w:line="440" w:lineRule="exact"/>
        <w:ind w:firstLine="482" w:firstLineChars="201"/>
        <w:jc w:val="left"/>
        <w:rPr>
          <w:color w:val="auto"/>
          <w:sz w:val="24"/>
          <w:highlight w:val="none"/>
        </w:rPr>
      </w:pPr>
      <w:r>
        <w:rPr>
          <w:color w:val="auto"/>
          <w:sz w:val="24"/>
          <w:highlight w:val="none"/>
        </w:rPr>
        <w:t>（1）提供相同品牌产品的不同供应商参加单一产品的同一合同项下的政府采购活动的。</w:t>
      </w:r>
    </w:p>
    <w:p w14:paraId="11ADCDC0">
      <w:pPr>
        <w:widowControl/>
        <w:spacing w:line="440" w:lineRule="exact"/>
        <w:ind w:firstLine="482" w:firstLineChars="201"/>
        <w:jc w:val="left"/>
        <w:rPr>
          <w:color w:val="auto"/>
          <w:sz w:val="24"/>
          <w:highlight w:val="none"/>
        </w:rPr>
      </w:pPr>
      <w:r>
        <w:rPr>
          <w:color w:val="auto"/>
          <w:sz w:val="24"/>
          <w:highlight w:val="none"/>
        </w:rPr>
        <w:t>（2）非单一产品采购项目中，多家供应商提供的核心产品品牌相同的。核心产品的名称应当在采购文件中载明。</w:t>
      </w:r>
    </w:p>
    <w:p w14:paraId="3A1647B3">
      <w:pPr>
        <w:widowControl/>
        <w:spacing w:line="440" w:lineRule="exact"/>
        <w:ind w:firstLine="482" w:firstLineChars="201"/>
        <w:jc w:val="left"/>
        <w:rPr>
          <w:color w:val="auto"/>
          <w:sz w:val="24"/>
          <w:highlight w:val="none"/>
        </w:rPr>
      </w:pPr>
      <w:r>
        <w:rPr>
          <w:color w:val="auto"/>
          <w:sz w:val="24"/>
          <w:highlight w:val="none"/>
        </w:rPr>
        <w:t>24.2供应商</w:t>
      </w:r>
      <w:r>
        <w:rPr>
          <w:rFonts w:hint="eastAsia"/>
          <w:color w:val="auto"/>
          <w:sz w:val="24"/>
          <w:highlight w:val="none"/>
        </w:rPr>
        <w:t>参加磋商</w:t>
      </w:r>
      <w:r>
        <w:rPr>
          <w:color w:val="auto"/>
          <w:sz w:val="24"/>
          <w:highlight w:val="none"/>
        </w:rPr>
        <w:t>所使用的资格、信誉、荣誉、业绩与企业认证必须为本法人所拥有。供应商</w:t>
      </w:r>
      <w:r>
        <w:rPr>
          <w:rFonts w:hint="eastAsia"/>
          <w:color w:val="auto"/>
          <w:sz w:val="24"/>
          <w:highlight w:val="none"/>
        </w:rPr>
        <w:t>参加磋商</w:t>
      </w:r>
      <w:r>
        <w:rPr>
          <w:color w:val="auto"/>
          <w:sz w:val="24"/>
          <w:highlight w:val="none"/>
        </w:rPr>
        <w:t>所使用的采购项目实施人员必须为本法人员工（或必须为本法人或控股公司正式员工）。</w:t>
      </w:r>
    </w:p>
    <w:p w14:paraId="6BAC9354">
      <w:pPr>
        <w:widowControl/>
        <w:spacing w:line="440" w:lineRule="exact"/>
        <w:ind w:firstLine="482" w:firstLineChars="201"/>
        <w:jc w:val="left"/>
        <w:rPr>
          <w:color w:val="auto"/>
          <w:sz w:val="24"/>
          <w:highlight w:val="none"/>
        </w:rPr>
      </w:pPr>
      <w:r>
        <w:rPr>
          <w:color w:val="auto"/>
          <w:sz w:val="24"/>
          <w:highlight w:val="none"/>
        </w:rPr>
        <w:t>24.3供应商应仔细阅读竞争性磋商文件的所有内容，按照竞争性磋商文件的要求提交响应文件，并对所提供的全部资料的真实性承担法律责任。</w:t>
      </w:r>
    </w:p>
    <w:p w14:paraId="5C9A5F58">
      <w:pPr>
        <w:widowControl/>
        <w:spacing w:line="440" w:lineRule="exact"/>
        <w:ind w:firstLine="482" w:firstLineChars="201"/>
        <w:jc w:val="left"/>
        <w:rPr>
          <w:color w:val="auto"/>
          <w:sz w:val="24"/>
          <w:highlight w:val="none"/>
        </w:rPr>
      </w:pPr>
      <w:r>
        <w:rPr>
          <w:color w:val="auto"/>
          <w:sz w:val="24"/>
          <w:highlight w:val="none"/>
        </w:rPr>
        <w:t>24.4供应商在</w:t>
      </w:r>
      <w:r>
        <w:rPr>
          <w:rFonts w:hint="eastAsia"/>
          <w:color w:val="auto"/>
          <w:sz w:val="24"/>
          <w:highlight w:val="none"/>
        </w:rPr>
        <w:t>磋商</w:t>
      </w:r>
      <w:r>
        <w:rPr>
          <w:color w:val="auto"/>
          <w:sz w:val="24"/>
          <w:highlight w:val="none"/>
        </w:rPr>
        <w:t>活动中提供任何虚假材料，其</w:t>
      </w:r>
      <w:r>
        <w:rPr>
          <w:rFonts w:hint="eastAsia"/>
          <w:color w:val="auto"/>
          <w:sz w:val="24"/>
          <w:highlight w:val="none"/>
        </w:rPr>
        <w:t>磋商</w:t>
      </w:r>
      <w:r>
        <w:rPr>
          <w:color w:val="auto"/>
          <w:sz w:val="24"/>
          <w:highlight w:val="none"/>
        </w:rPr>
        <w:t>无效，并报监管部门查处；</w:t>
      </w:r>
      <w:r>
        <w:rPr>
          <w:rFonts w:hint="eastAsia"/>
          <w:color w:val="auto"/>
          <w:sz w:val="24"/>
          <w:highlight w:val="none"/>
        </w:rPr>
        <w:t>成交</w:t>
      </w:r>
      <w:r>
        <w:rPr>
          <w:color w:val="auto"/>
          <w:sz w:val="24"/>
          <w:highlight w:val="none"/>
        </w:rPr>
        <w:t>后发现的，成交供应商须依照《中华人民共和国消费者权益保护法》第49条之规定双倍赔偿采购人，且民事赔偿并不免除违法供应商的行政与刑事责任。</w:t>
      </w:r>
    </w:p>
    <w:p w14:paraId="415E38CB">
      <w:pPr>
        <w:pStyle w:val="16"/>
        <w:snapToGrid w:val="0"/>
        <w:spacing w:line="440" w:lineRule="exact"/>
        <w:ind w:left="2" w:leftChars="1"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24.5有下列情形之一的视为供应商相互串通投标，响应文件将被视为无效：</w:t>
      </w:r>
    </w:p>
    <w:p w14:paraId="32343526">
      <w:pPr>
        <w:pStyle w:val="16"/>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（1）不同供应商的响应文件由同一单位或者个人编制；或不同供应商报名的IP地址一致的；</w:t>
      </w:r>
    </w:p>
    <w:p w14:paraId="729DE09C">
      <w:pPr>
        <w:pStyle w:val="16"/>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（2）不同供应商委托同一单位或者个人办理</w:t>
      </w:r>
      <w:r>
        <w:rPr>
          <w:rFonts w:hint="eastAsia" w:ascii="Times New Roman" w:hAnsi="Times New Roman"/>
          <w:color w:val="auto"/>
          <w:sz w:val="24"/>
          <w:szCs w:val="24"/>
          <w:highlight w:val="none"/>
        </w:rPr>
        <w:t>磋商</w:t>
      </w:r>
      <w:r>
        <w:rPr>
          <w:rFonts w:ascii="Times New Roman" w:hAnsi="Times New Roman"/>
          <w:color w:val="auto"/>
          <w:sz w:val="24"/>
          <w:szCs w:val="24"/>
          <w:highlight w:val="none"/>
        </w:rPr>
        <w:t>事宜；</w:t>
      </w:r>
    </w:p>
    <w:p w14:paraId="2CDC40A6">
      <w:pPr>
        <w:pStyle w:val="16"/>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（3）不同的供应商的响应文件载明的项目管理员为同一个人；</w:t>
      </w:r>
    </w:p>
    <w:p w14:paraId="2C1A1326">
      <w:pPr>
        <w:pStyle w:val="16"/>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（4）不同供应商的响应文件异常一致或报价呈规律性差异；</w:t>
      </w:r>
    </w:p>
    <w:p w14:paraId="239BC89D">
      <w:pPr>
        <w:pStyle w:val="16"/>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（5）不同供应商的响应文件相互混装；</w:t>
      </w:r>
    </w:p>
    <w:p w14:paraId="00FA39DB">
      <w:pPr>
        <w:pStyle w:val="16"/>
        <w:snapToGrid w:val="0"/>
        <w:spacing w:line="440" w:lineRule="exact"/>
        <w:ind w:left="2" w:leftChars="1"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24.6供应商有下列情形之一的，属于恶意串通行为：</w:t>
      </w:r>
    </w:p>
    <w:p w14:paraId="159A6D76">
      <w:pPr>
        <w:pStyle w:val="16"/>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（1）供应商直接或者间接从采购人或者采购代理机构处获得其他供应商的相关信息并修改其响应文件：</w:t>
      </w:r>
    </w:p>
    <w:p w14:paraId="06A5B022">
      <w:pPr>
        <w:pStyle w:val="16"/>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（2）供应商按照采购人或者采购代理机构的授意撤换、修改响应文件；</w:t>
      </w:r>
    </w:p>
    <w:p w14:paraId="5FC7AEC9">
      <w:pPr>
        <w:pStyle w:val="16"/>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（3）供应商之间协商报价、技术方案等响应文件的实质性内容；</w:t>
      </w:r>
    </w:p>
    <w:p w14:paraId="7E594B58">
      <w:pPr>
        <w:pStyle w:val="16"/>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（4）属于同一集团、协会、商会等组织成员的供应商按照该组织要求协同参加政府采购活动；</w:t>
      </w:r>
    </w:p>
    <w:p w14:paraId="6F9FBAC9">
      <w:pPr>
        <w:pStyle w:val="16"/>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（5）供应商之间事先约定一致抬高或者压低报价</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或者在采购项目中事先约定轮流以高价位或者低价位成交</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或者事先约定由某一特定供应商成交</w:t>
      </w:r>
      <w:r>
        <w:rPr>
          <w:rFonts w:hint="eastAsia" w:ascii="Times New Roman" w:hAnsi="Times New Roman"/>
          <w:color w:val="auto"/>
          <w:sz w:val="24"/>
          <w:szCs w:val="24"/>
          <w:highlight w:val="none"/>
        </w:rPr>
        <w:t>，</w:t>
      </w:r>
      <w:r>
        <w:rPr>
          <w:rFonts w:ascii="Times New Roman" w:hAnsi="Times New Roman"/>
          <w:color w:val="auto"/>
          <w:sz w:val="24"/>
          <w:szCs w:val="24"/>
          <w:highlight w:val="none"/>
        </w:rPr>
        <w:t>然后再参加</w:t>
      </w:r>
      <w:r>
        <w:rPr>
          <w:rFonts w:hint="eastAsia" w:ascii="Times New Roman" w:hAnsi="Times New Roman"/>
          <w:color w:val="auto"/>
          <w:sz w:val="24"/>
          <w:szCs w:val="24"/>
          <w:highlight w:val="none"/>
        </w:rPr>
        <w:t>磋商</w:t>
      </w:r>
      <w:r>
        <w:rPr>
          <w:rFonts w:ascii="Times New Roman" w:hAnsi="Times New Roman"/>
          <w:color w:val="auto"/>
          <w:sz w:val="24"/>
          <w:szCs w:val="24"/>
          <w:highlight w:val="none"/>
        </w:rPr>
        <w:t>；</w:t>
      </w:r>
    </w:p>
    <w:p w14:paraId="3A95DB76">
      <w:pPr>
        <w:pStyle w:val="16"/>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（6）供应商之间商定部分供应商放弃参加政府采购活动或者放弃成交；</w:t>
      </w:r>
    </w:p>
    <w:p w14:paraId="5D8DC5AC">
      <w:pPr>
        <w:pStyle w:val="16"/>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（7）供应商与采购人或者采购代理机构之间、供应商相互之间，为谋求特定供应商成交或者排斥其他供应商的其他串通行为。</w:t>
      </w:r>
    </w:p>
    <w:p w14:paraId="77584616">
      <w:pPr>
        <w:pStyle w:val="16"/>
        <w:snapToGrid w:val="0"/>
        <w:spacing w:line="440" w:lineRule="exact"/>
        <w:ind w:left="2" w:leftChars="1"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24.7关联供应商不得参加同一合同项下政府采购活动，否则响应文件将被视为无效：</w:t>
      </w:r>
    </w:p>
    <w:p w14:paraId="345FC678">
      <w:pPr>
        <w:pStyle w:val="16"/>
        <w:snapToGrid w:val="0"/>
        <w:spacing w:line="440" w:lineRule="exact"/>
        <w:ind w:left="2" w:leftChars="1"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（1）单位负责人为同一人或者存在直接控股、管理关系的不同的供应商，不得参加同一合同项下的政府采购活动；</w:t>
      </w:r>
    </w:p>
    <w:p w14:paraId="683AF791">
      <w:pPr>
        <w:widowControl/>
        <w:spacing w:line="440" w:lineRule="exact"/>
        <w:ind w:firstLine="482" w:firstLineChars="201"/>
        <w:jc w:val="left"/>
        <w:rPr>
          <w:color w:val="auto"/>
          <w:sz w:val="24"/>
          <w:highlight w:val="none"/>
        </w:rPr>
      </w:pPr>
      <w:r>
        <w:rPr>
          <w:color w:val="auto"/>
          <w:sz w:val="24"/>
          <w:highlight w:val="none"/>
        </w:rPr>
        <w:t>（2）生产厂商授权给供应商后自己不得参加同一合同项下的政府采购活动；生产厂商对同一品牌同一型号的货物，仅能委托一个代理商参加</w:t>
      </w:r>
      <w:r>
        <w:rPr>
          <w:rFonts w:hint="eastAsia"/>
          <w:color w:val="auto"/>
          <w:sz w:val="24"/>
          <w:highlight w:val="none"/>
        </w:rPr>
        <w:t>磋商</w:t>
      </w:r>
      <w:r>
        <w:rPr>
          <w:color w:val="auto"/>
          <w:sz w:val="24"/>
          <w:highlight w:val="none"/>
        </w:rPr>
        <w:t>。</w:t>
      </w:r>
    </w:p>
    <w:p w14:paraId="57F6B5B4">
      <w:pPr>
        <w:widowControl/>
        <w:spacing w:line="440" w:lineRule="exact"/>
        <w:ind w:firstLine="482" w:firstLineChars="201"/>
        <w:jc w:val="left"/>
        <w:rPr>
          <w:color w:val="auto"/>
          <w:sz w:val="24"/>
          <w:highlight w:val="none"/>
        </w:rPr>
      </w:pPr>
      <w:r>
        <w:rPr>
          <w:color w:val="auto"/>
          <w:sz w:val="24"/>
          <w:highlight w:val="none"/>
        </w:rPr>
        <w:t>25. 出现下列情形之一的，采购人或者采购代理机构应当终止竞争性磋商采购活动，发布项目终止公告并说明原因，重新开展采购活动：</w:t>
      </w:r>
    </w:p>
    <w:p w14:paraId="2C7D8F0C">
      <w:pPr>
        <w:widowControl/>
        <w:spacing w:line="440" w:lineRule="exact"/>
        <w:ind w:firstLine="482" w:firstLineChars="201"/>
        <w:jc w:val="left"/>
        <w:rPr>
          <w:color w:val="auto"/>
          <w:sz w:val="24"/>
          <w:highlight w:val="none"/>
        </w:rPr>
      </w:pPr>
      <w:r>
        <w:rPr>
          <w:color w:val="auto"/>
          <w:sz w:val="24"/>
          <w:highlight w:val="none"/>
        </w:rPr>
        <w:t>25.1因情况变化，不再符合规定的竞争性磋商采购方式适用情形的；</w:t>
      </w:r>
    </w:p>
    <w:p w14:paraId="270D6336">
      <w:pPr>
        <w:widowControl/>
        <w:spacing w:line="440" w:lineRule="exact"/>
        <w:ind w:firstLine="482" w:firstLineChars="201"/>
        <w:jc w:val="left"/>
        <w:rPr>
          <w:color w:val="auto"/>
          <w:sz w:val="24"/>
          <w:highlight w:val="none"/>
        </w:rPr>
      </w:pPr>
      <w:r>
        <w:rPr>
          <w:color w:val="auto"/>
          <w:sz w:val="24"/>
          <w:highlight w:val="none"/>
        </w:rPr>
        <w:t>25.2出现影响采购公正的违法、违规行为的；</w:t>
      </w:r>
    </w:p>
    <w:p w14:paraId="0A02AD57">
      <w:pPr>
        <w:widowControl/>
        <w:spacing w:line="440" w:lineRule="exact"/>
        <w:ind w:firstLine="482" w:firstLineChars="201"/>
        <w:jc w:val="left"/>
        <w:rPr>
          <w:color w:val="auto"/>
          <w:sz w:val="24"/>
          <w:highlight w:val="none"/>
        </w:rPr>
      </w:pPr>
      <w:r>
        <w:rPr>
          <w:color w:val="auto"/>
          <w:sz w:val="24"/>
          <w:highlight w:val="none"/>
        </w:rPr>
        <w:t>25.3除本须知20.5.3、20.5.4及法律法规规定的情形外，在采购过程中符合要求的供应商或者报价未超过采购预算的供应商不足3家的。</w:t>
      </w:r>
    </w:p>
    <w:p w14:paraId="7BD3C269">
      <w:pPr>
        <w:widowControl/>
        <w:spacing w:line="440" w:lineRule="exact"/>
        <w:ind w:firstLine="482" w:firstLineChars="201"/>
        <w:jc w:val="left"/>
        <w:rPr>
          <w:color w:val="auto"/>
          <w:sz w:val="24"/>
          <w:highlight w:val="none"/>
        </w:rPr>
      </w:pPr>
      <w:r>
        <w:rPr>
          <w:color w:val="auto"/>
          <w:sz w:val="24"/>
          <w:highlight w:val="none"/>
        </w:rPr>
        <w:t>26.在采购活动中因重大变故，采购任务取消的，采购人或者采购代理机构应当终止采购活动，通知所有参加采购活动的供应商，并将项目实施情况和采购任务取消原因报送本级财政部门。</w:t>
      </w:r>
    </w:p>
    <w:p w14:paraId="634CD985">
      <w:pPr>
        <w:spacing w:line="440" w:lineRule="exact"/>
        <w:ind w:firstLine="484" w:firstLineChars="201"/>
        <w:rPr>
          <w:b/>
          <w:color w:val="auto"/>
          <w:sz w:val="24"/>
          <w:highlight w:val="none"/>
        </w:rPr>
      </w:pPr>
      <w:r>
        <w:rPr>
          <w:b/>
          <w:color w:val="auto"/>
          <w:sz w:val="24"/>
          <w:highlight w:val="none"/>
        </w:rPr>
        <w:t>五、确定成交供应商办法及结果公告</w:t>
      </w:r>
    </w:p>
    <w:p w14:paraId="5772A65C">
      <w:pPr>
        <w:spacing w:line="440" w:lineRule="exact"/>
        <w:ind w:firstLine="482" w:firstLineChars="201"/>
        <w:rPr>
          <w:color w:val="auto"/>
          <w:kern w:val="0"/>
          <w:sz w:val="24"/>
          <w:highlight w:val="none"/>
        </w:rPr>
      </w:pPr>
      <w:r>
        <w:rPr>
          <w:color w:val="auto"/>
          <w:sz w:val="24"/>
          <w:highlight w:val="none"/>
        </w:rPr>
        <w:t>27.</w:t>
      </w:r>
      <w:r>
        <w:rPr>
          <w:color w:val="auto"/>
          <w:kern w:val="0"/>
          <w:sz w:val="24"/>
          <w:highlight w:val="none"/>
        </w:rPr>
        <w:t>采购</w:t>
      </w:r>
      <w:r>
        <w:rPr>
          <w:color w:val="auto"/>
          <w:sz w:val="24"/>
          <w:highlight w:val="none"/>
        </w:rPr>
        <w:t>代理</w:t>
      </w:r>
      <w:r>
        <w:rPr>
          <w:color w:val="auto"/>
          <w:kern w:val="0"/>
          <w:sz w:val="24"/>
          <w:highlight w:val="none"/>
        </w:rPr>
        <w:t>机构应当在评审结束后2个工作日内将评审报告送采购人确认。采购人应当在收到评审报告后</w:t>
      </w:r>
      <w:r>
        <w:rPr>
          <w:rFonts w:hint="eastAsia"/>
          <w:color w:val="auto"/>
          <w:kern w:val="0"/>
          <w:sz w:val="24"/>
          <w:highlight w:val="none"/>
        </w:rPr>
        <w:t>2</w:t>
      </w:r>
      <w:r>
        <w:rPr>
          <w:color w:val="auto"/>
          <w:kern w:val="0"/>
          <w:sz w:val="24"/>
          <w:highlight w:val="none"/>
        </w:rPr>
        <w:t>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DD14084">
      <w:pPr>
        <w:spacing w:line="440" w:lineRule="exact"/>
        <w:ind w:firstLine="482" w:firstLineChars="201"/>
        <w:rPr>
          <w:color w:val="auto"/>
          <w:sz w:val="24"/>
          <w:highlight w:val="none"/>
        </w:rPr>
      </w:pPr>
      <w:r>
        <w:rPr>
          <w:color w:val="auto"/>
          <w:sz w:val="24"/>
          <w:highlight w:val="none"/>
        </w:rPr>
        <w:t>28.采购代理机构应当在成交供应商确定后2个工作日内，在磋商公告发布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w:t>
      </w:r>
    </w:p>
    <w:p w14:paraId="05A515C1">
      <w:pPr>
        <w:spacing w:line="440" w:lineRule="exact"/>
        <w:ind w:firstLine="426"/>
        <w:rPr>
          <w:color w:val="auto"/>
          <w:sz w:val="24"/>
          <w:highlight w:val="none"/>
        </w:rPr>
      </w:pPr>
      <w:r>
        <w:rPr>
          <w:color w:val="auto"/>
          <w:sz w:val="24"/>
          <w:highlight w:val="none"/>
        </w:rPr>
        <w:t>排名第二的成交候选人因前款规定的同样原因被取消成交资格的，采购人可以确定排名第三的成交候选人为成交供应商。</w:t>
      </w:r>
    </w:p>
    <w:p w14:paraId="1359BA8D">
      <w:pPr>
        <w:spacing w:line="440" w:lineRule="exact"/>
        <w:ind w:firstLine="426"/>
        <w:rPr>
          <w:color w:val="auto"/>
          <w:sz w:val="24"/>
          <w:highlight w:val="none"/>
        </w:rPr>
      </w:pPr>
      <w:r>
        <w:rPr>
          <w:color w:val="auto"/>
          <w:sz w:val="24"/>
          <w:highlight w:val="none"/>
        </w:rPr>
        <w:t>以上信息查询记录及相关证据与采购文件一并保存。</w:t>
      </w:r>
    </w:p>
    <w:p w14:paraId="51972F41">
      <w:pPr>
        <w:spacing w:line="440" w:lineRule="exact"/>
        <w:ind w:firstLine="484" w:firstLineChars="201"/>
        <w:rPr>
          <w:b/>
          <w:color w:val="auto"/>
          <w:sz w:val="24"/>
          <w:highlight w:val="none"/>
        </w:rPr>
      </w:pPr>
      <w:r>
        <w:rPr>
          <w:b/>
          <w:color w:val="auto"/>
          <w:sz w:val="24"/>
          <w:highlight w:val="none"/>
        </w:rPr>
        <w:t>六、履约保证金</w:t>
      </w:r>
    </w:p>
    <w:p w14:paraId="64A4358D">
      <w:pPr>
        <w:spacing w:line="440" w:lineRule="exact"/>
        <w:ind w:firstLine="960" w:firstLineChars="400"/>
        <w:rPr>
          <w:bCs/>
          <w:color w:val="auto"/>
          <w:sz w:val="24"/>
          <w:highlight w:val="none"/>
        </w:rPr>
      </w:pPr>
      <w:r>
        <w:rPr>
          <w:bCs/>
          <w:color w:val="auto"/>
          <w:sz w:val="24"/>
          <w:highlight w:val="none"/>
        </w:rPr>
        <w:t>无。</w:t>
      </w:r>
    </w:p>
    <w:p w14:paraId="69ACAFCC">
      <w:pPr>
        <w:spacing w:line="440" w:lineRule="exact"/>
        <w:ind w:firstLine="484" w:firstLineChars="201"/>
        <w:rPr>
          <w:b/>
          <w:color w:val="auto"/>
          <w:sz w:val="24"/>
          <w:highlight w:val="none"/>
        </w:rPr>
      </w:pPr>
      <w:r>
        <w:rPr>
          <w:b/>
          <w:color w:val="auto"/>
          <w:sz w:val="24"/>
          <w:highlight w:val="none"/>
        </w:rPr>
        <w:t>七、签订合同</w:t>
      </w:r>
    </w:p>
    <w:p w14:paraId="5317A574">
      <w:pPr>
        <w:spacing w:line="440" w:lineRule="exact"/>
        <w:ind w:firstLine="482" w:firstLineChars="201"/>
        <w:rPr>
          <w:color w:val="auto"/>
          <w:sz w:val="24"/>
          <w:highlight w:val="none"/>
        </w:rPr>
      </w:pPr>
      <w:r>
        <w:rPr>
          <w:color w:val="auto"/>
          <w:sz w:val="24"/>
          <w:highlight w:val="none"/>
        </w:rPr>
        <w:t>29.签订合同时间：成交通知书发出之日起</w:t>
      </w:r>
      <w:r>
        <w:rPr>
          <w:rFonts w:hint="eastAsia"/>
          <w:color w:val="auto"/>
          <w:sz w:val="24"/>
          <w:highlight w:val="none"/>
        </w:rPr>
        <w:t>20</w:t>
      </w:r>
      <w:r>
        <w:rPr>
          <w:color w:val="auto"/>
          <w:sz w:val="24"/>
          <w:highlight w:val="none"/>
        </w:rPr>
        <w:t>日内。成交供应商在收到成交通知书后，按规定与采购人签订采购合同。</w:t>
      </w:r>
    </w:p>
    <w:p w14:paraId="1E7B74AC">
      <w:pPr>
        <w:spacing w:line="440" w:lineRule="exact"/>
        <w:ind w:firstLine="482" w:firstLineChars="201"/>
        <w:rPr>
          <w:color w:val="auto"/>
          <w:sz w:val="24"/>
          <w:highlight w:val="none"/>
        </w:rPr>
      </w:pPr>
      <w:r>
        <w:rPr>
          <w:color w:val="auto"/>
          <w:sz w:val="24"/>
          <w:highlight w:val="none"/>
        </w:rPr>
        <w:t>30.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270B1ABB">
      <w:pPr>
        <w:pStyle w:val="16"/>
        <w:snapToGrid w:val="0"/>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 政府采购合同公告</w:t>
      </w:r>
    </w:p>
    <w:p w14:paraId="488ECD53">
      <w:pPr>
        <w:pStyle w:val="16"/>
        <w:snapToGrid w:val="0"/>
        <w:spacing w:line="440" w:lineRule="exact"/>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4B2DC8B">
      <w:pPr>
        <w:spacing w:line="440" w:lineRule="exact"/>
        <w:ind w:firstLine="484" w:firstLineChars="201"/>
        <w:rPr>
          <w:b/>
          <w:color w:val="auto"/>
          <w:sz w:val="24"/>
          <w:highlight w:val="none"/>
        </w:rPr>
      </w:pPr>
      <w:r>
        <w:rPr>
          <w:b/>
          <w:color w:val="auto"/>
          <w:sz w:val="24"/>
          <w:highlight w:val="none"/>
        </w:rPr>
        <w:t>八、适用法律</w:t>
      </w:r>
    </w:p>
    <w:p w14:paraId="57AABC10">
      <w:pPr>
        <w:tabs>
          <w:tab w:val="left" w:pos="2835"/>
        </w:tabs>
        <w:spacing w:line="440" w:lineRule="exact"/>
        <w:ind w:firstLine="482" w:firstLineChars="201"/>
        <w:rPr>
          <w:b/>
          <w:color w:val="auto"/>
          <w:sz w:val="24"/>
          <w:highlight w:val="none"/>
        </w:rPr>
      </w:pPr>
      <w:r>
        <w:rPr>
          <w:color w:val="auto"/>
          <w:sz w:val="24"/>
          <w:highlight w:val="none"/>
        </w:rPr>
        <w:t>32.采购当事人的一切活动均适用于《中华人民共和国政府采购法》、《政府采购竞争性磋商采购方式管理暂行办法》及相关规定。</w:t>
      </w:r>
    </w:p>
    <w:p w14:paraId="333D2851">
      <w:pPr>
        <w:spacing w:line="440" w:lineRule="exact"/>
        <w:ind w:firstLine="484" w:firstLineChars="201"/>
        <w:rPr>
          <w:b/>
          <w:color w:val="auto"/>
          <w:sz w:val="24"/>
          <w:highlight w:val="none"/>
        </w:rPr>
      </w:pPr>
      <w:r>
        <w:rPr>
          <w:b/>
          <w:color w:val="auto"/>
          <w:sz w:val="24"/>
          <w:highlight w:val="none"/>
        </w:rPr>
        <w:t>九、其它内容</w:t>
      </w:r>
    </w:p>
    <w:p w14:paraId="6B11A07E">
      <w:pPr>
        <w:tabs>
          <w:tab w:val="left" w:pos="2835"/>
        </w:tabs>
        <w:spacing w:line="440" w:lineRule="exact"/>
        <w:ind w:firstLine="482" w:firstLineChars="201"/>
        <w:rPr>
          <w:color w:val="auto"/>
          <w:sz w:val="24"/>
          <w:highlight w:val="none"/>
        </w:rPr>
      </w:pPr>
      <w:r>
        <w:rPr>
          <w:color w:val="auto"/>
          <w:sz w:val="24"/>
          <w:highlight w:val="none"/>
        </w:rPr>
        <w:t>33.</w:t>
      </w:r>
      <w:r>
        <w:rPr>
          <w:rFonts w:hint="eastAsia"/>
          <w:color w:val="auto"/>
          <w:sz w:val="24"/>
          <w:highlight w:val="none"/>
        </w:rPr>
        <w:t>招标代理服务费</w:t>
      </w:r>
    </w:p>
    <w:p w14:paraId="50674636">
      <w:pPr>
        <w:tabs>
          <w:tab w:val="left" w:pos="2835"/>
        </w:tabs>
        <w:spacing w:line="440" w:lineRule="exact"/>
        <w:ind w:firstLine="482" w:firstLineChars="201"/>
        <w:rPr>
          <w:color w:val="auto"/>
          <w:sz w:val="24"/>
          <w:highlight w:val="none"/>
        </w:rPr>
      </w:pPr>
      <w:r>
        <w:rPr>
          <w:color w:val="auto"/>
          <w:sz w:val="24"/>
          <w:highlight w:val="none"/>
        </w:rPr>
        <w:t xml:space="preserve">33.1本项目代理服务费详见本须知前附表，由成交供应商在领取成交通知书前，一次性向采购代理机构支付。 </w:t>
      </w:r>
    </w:p>
    <w:p w14:paraId="5EE42BAB">
      <w:pPr>
        <w:tabs>
          <w:tab w:val="left" w:pos="2835"/>
        </w:tabs>
        <w:spacing w:line="440" w:lineRule="exact"/>
        <w:ind w:firstLine="482" w:firstLineChars="201"/>
        <w:rPr>
          <w:bCs/>
          <w:color w:val="auto"/>
          <w:sz w:val="24"/>
          <w:highlight w:val="none"/>
        </w:rPr>
      </w:pPr>
      <w:r>
        <w:rPr>
          <w:color w:val="auto"/>
          <w:sz w:val="24"/>
          <w:highlight w:val="none"/>
        </w:rPr>
        <w:t>34. 询问、质疑和投诉</w:t>
      </w:r>
    </w:p>
    <w:p w14:paraId="6EF74A99">
      <w:pPr>
        <w:tabs>
          <w:tab w:val="left" w:pos="2835"/>
        </w:tabs>
        <w:spacing w:line="440" w:lineRule="exact"/>
        <w:ind w:firstLine="482" w:firstLineChars="201"/>
        <w:rPr>
          <w:color w:val="auto"/>
          <w:sz w:val="24"/>
          <w:highlight w:val="none"/>
        </w:rPr>
      </w:pPr>
      <w:r>
        <w:rPr>
          <w:color w:val="auto"/>
          <w:sz w:val="24"/>
          <w:highlight w:val="none"/>
        </w:rPr>
        <w:t>34.1供应商对政府采购活动事项有疑问的，可以向采购人、采购代理机构提出询问。</w:t>
      </w:r>
    </w:p>
    <w:p w14:paraId="7B839377">
      <w:pPr>
        <w:pStyle w:val="16"/>
        <w:spacing w:line="440" w:lineRule="exact"/>
        <w:ind w:left="2" w:leftChars="1"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34.2</w:t>
      </w:r>
      <w:r>
        <w:rPr>
          <w:rFonts w:ascii="Times New Roman" w:hAnsi="Times New Roman"/>
          <w:color w:val="auto"/>
          <w:sz w:val="24"/>
          <w:highlight w:val="none"/>
        </w:rPr>
        <w:t>供应商</w:t>
      </w:r>
      <w:r>
        <w:rPr>
          <w:rFonts w:ascii="Times New Roman" w:hAnsi="Times New Roman"/>
          <w:bCs/>
          <w:color w:val="auto"/>
          <w:sz w:val="24"/>
          <w:szCs w:val="24"/>
          <w:highlight w:val="none"/>
        </w:rPr>
        <w:t>如认为竞争性磋商文件使自己的权益受到损</w:t>
      </w:r>
      <w:r>
        <w:rPr>
          <w:rFonts w:ascii="Times New Roman" w:hAnsi="Times New Roman"/>
          <w:color w:val="auto"/>
          <w:sz w:val="24"/>
          <w:szCs w:val="24"/>
          <w:highlight w:val="none"/>
        </w:rPr>
        <w:t>害的，可以在自磋商文件发布之日起七日内</w:t>
      </w:r>
      <w:r>
        <w:rPr>
          <w:rFonts w:ascii="Times New Roman" w:hAnsi="Times New Roman"/>
          <w:bCs/>
          <w:color w:val="auto"/>
          <w:sz w:val="24"/>
          <w:szCs w:val="24"/>
          <w:highlight w:val="none"/>
        </w:rPr>
        <w:t>以书面形式向采购代理机构提出质疑；投标截止时间后，采购代理机构不再受理对竞争性磋商文件的询问或质疑。</w:t>
      </w:r>
      <w:r>
        <w:rPr>
          <w:rFonts w:hint="eastAsia" w:ascii="Times New Roman" w:hAnsi="Times New Roman"/>
          <w:bCs/>
          <w:color w:val="auto"/>
          <w:sz w:val="24"/>
          <w:szCs w:val="24"/>
          <w:highlight w:val="none"/>
        </w:rPr>
        <w:t>供应商</w:t>
      </w:r>
      <w:r>
        <w:rPr>
          <w:rFonts w:ascii="Times New Roman" w:hAnsi="Times New Roman"/>
          <w:bCs/>
          <w:color w:val="auto"/>
          <w:sz w:val="24"/>
          <w:szCs w:val="24"/>
          <w:highlight w:val="none"/>
        </w:rPr>
        <w:t>认为</w:t>
      </w:r>
      <w:r>
        <w:rPr>
          <w:rFonts w:ascii="Times New Roman" w:hAnsi="Times New Roman"/>
          <w:color w:val="auto"/>
          <w:sz w:val="24"/>
          <w:szCs w:val="24"/>
          <w:highlight w:val="none"/>
        </w:rPr>
        <w:t>采购过程和</w:t>
      </w:r>
      <w:r>
        <w:rPr>
          <w:rFonts w:hint="eastAsia" w:ascii="Times New Roman" w:hAnsi="Times New Roman"/>
          <w:color w:val="auto"/>
          <w:sz w:val="24"/>
          <w:szCs w:val="24"/>
          <w:highlight w:val="none"/>
        </w:rPr>
        <w:t>成交结果</w:t>
      </w:r>
      <w:r>
        <w:rPr>
          <w:rFonts w:ascii="Times New Roman" w:hAnsi="Times New Roman"/>
          <w:color w:val="auto"/>
          <w:sz w:val="24"/>
          <w:szCs w:val="24"/>
          <w:highlight w:val="none"/>
        </w:rPr>
        <w:t>使自己的权益受到损害的，可</w:t>
      </w:r>
      <w:r>
        <w:rPr>
          <w:rFonts w:ascii="Times New Roman" w:hAnsi="Times New Roman"/>
          <w:bCs/>
          <w:color w:val="auto"/>
          <w:sz w:val="24"/>
          <w:szCs w:val="24"/>
          <w:highlight w:val="none"/>
        </w:rPr>
        <w:t>以</w:t>
      </w:r>
      <w:r>
        <w:rPr>
          <w:rFonts w:ascii="Times New Roman" w:hAnsi="Times New Roman"/>
          <w:color w:val="auto"/>
          <w:sz w:val="24"/>
          <w:szCs w:val="24"/>
          <w:highlight w:val="none"/>
        </w:rPr>
        <w:t>在</w:t>
      </w:r>
      <w:r>
        <w:rPr>
          <w:rFonts w:hint="eastAsia" w:ascii="Times New Roman" w:hAnsi="Times New Roman"/>
          <w:color w:val="auto"/>
          <w:sz w:val="24"/>
          <w:szCs w:val="24"/>
          <w:highlight w:val="none"/>
        </w:rPr>
        <w:t>成交结果</w:t>
      </w:r>
      <w:r>
        <w:rPr>
          <w:rFonts w:ascii="Times New Roman" w:hAnsi="Times New Roman"/>
          <w:color w:val="auto"/>
          <w:sz w:val="24"/>
          <w:szCs w:val="24"/>
          <w:highlight w:val="none"/>
        </w:rPr>
        <w:t>公示之日起七个工作日内，以书面形式向采购人委托的采购代理机构质疑。质疑书的提交地点和质疑受理电话见</w:t>
      </w:r>
      <w:r>
        <w:rPr>
          <w:rFonts w:hint="eastAsia" w:ascii="Times New Roman" w:hAnsi="Times New Roman"/>
          <w:color w:val="auto"/>
          <w:sz w:val="24"/>
          <w:szCs w:val="24"/>
          <w:highlight w:val="none"/>
        </w:rPr>
        <w:t>供应商</w:t>
      </w:r>
      <w:r>
        <w:rPr>
          <w:rFonts w:ascii="Times New Roman" w:hAnsi="Times New Roman"/>
          <w:color w:val="auto"/>
          <w:sz w:val="24"/>
          <w:szCs w:val="24"/>
          <w:highlight w:val="none"/>
        </w:rPr>
        <w:t>须知前附表。</w:t>
      </w:r>
    </w:p>
    <w:p w14:paraId="73B4B776">
      <w:pPr>
        <w:pStyle w:val="16"/>
        <w:spacing w:line="440" w:lineRule="exact"/>
        <w:ind w:left="2" w:leftChars="1"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34.2.1 供应商质疑实行实名制，其质疑应当有具体的质疑事项及事实根据，不得进行虚假、恶意质疑。</w:t>
      </w:r>
    </w:p>
    <w:p w14:paraId="734628A7">
      <w:pPr>
        <w:pStyle w:val="16"/>
        <w:spacing w:line="440" w:lineRule="exact"/>
        <w:ind w:left="2" w:leftChars="1" w:firstLine="480" w:firstLineChars="200"/>
        <w:jc w:val="left"/>
        <w:rPr>
          <w:rFonts w:ascii="Times New Roman" w:hAnsi="Times New Roman"/>
          <w:bCs/>
          <w:color w:val="auto"/>
          <w:sz w:val="24"/>
          <w:szCs w:val="24"/>
          <w:highlight w:val="none"/>
        </w:rPr>
      </w:pPr>
      <w:r>
        <w:rPr>
          <w:rFonts w:ascii="Times New Roman" w:hAnsi="Times New Roman"/>
          <w:bCs/>
          <w:color w:val="auto"/>
          <w:sz w:val="24"/>
          <w:szCs w:val="24"/>
          <w:highlight w:val="none"/>
        </w:rPr>
        <w:t>34.2.2 供应商质疑时，应当提交一性次质疑书原件，一性次质疑书应当包括下列主要内容：</w:t>
      </w:r>
    </w:p>
    <w:p w14:paraId="11200450">
      <w:pPr>
        <w:pStyle w:val="16"/>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（1）供应商的姓名或者名称、地址、邮编、联系人及联系电话；</w:t>
      </w:r>
    </w:p>
    <w:p w14:paraId="30108159">
      <w:pPr>
        <w:pStyle w:val="16"/>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（2）质疑项目的名称、编号；</w:t>
      </w:r>
    </w:p>
    <w:p w14:paraId="6C4B10F7">
      <w:pPr>
        <w:pStyle w:val="16"/>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（3）具体、明确的质疑事项和与质疑事项相关的请求；</w:t>
      </w:r>
    </w:p>
    <w:p w14:paraId="05B5F7A8">
      <w:pPr>
        <w:pStyle w:val="16"/>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（4）事实依据；</w:t>
      </w:r>
    </w:p>
    <w:p w14:paraId="771D1FF7">
      <w:pPr>
        <w:pStyle w:val="16"/>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（5）必要的法律依据；</w:t>
      </w:r>
    </w:p>
    <w:p w14:paraId="37FB0666">
      <w:pPr>
        <w:pStyle w:val="16"/>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（6）提出质疑的日期。</w:t>
      </w:r>
    </w:p>
    <w:p w14:paraId="13CBFE84">
      <w:pPr>
        <w:pStyle w:val="16"/>
        <w:tabs>
          <w:tab w:val="left" w:pos="455"/>
        </w:tabs>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（7）附件材料：（附营业执照复印件、法定代表人身份证复印件、代理人委托书原件及代理人身份证复印件及原件</w:t>
      </w:r>
      <w:r>
        <w:rPr>
          <w:rFonts w:hint="eastAsia" w:ascii="Times New Roman" w:hAnsi="Times New Roman"/>
          <w:color w:val="auto"/>
          <w:sz w:val="24"/>
          <w:szCs w:val="24"/>
          <w:highlight w:val="none"/>
        </w:rPr>
        <w:t>、</w:t>
      </w:r>
      <w:r>
        <w:rPr>
          <w:rFonts w:hint="eastAsia" w:ascii="Times New Roman" w:hAnsi="Times New Roman"/>
          <w:color w:val="auto"/>
          <w:sz w:val="24"/>
          <w:highlight w:val="none"/>
          <w:lang w:eastAsia="zh-CN"/>
        </w:rPr>
        <w:t>广西政府采购云平台</w:t>
      </w:r>
      <w:r>
        <w:rPr>
          <w:rFonts w:ascii="Times New Roman" w:hAnsi="Times New Roman"/>
          <w:color w:val="auto"/>
          <w:sz w:val="24"/>
          <w:highlight w:val="none"/>
        </w:rPr>
        <w:t>下载的报名回执函</w:t>
      </w:r>
      <w:r>
        <w:rPr>
          <w:rFonts w:ascii="Times New Roman" w:hAnsi="Times New Roman"/>
          <w:color w:val="auto"/>
          <w:sz w:val="24"/>
          <w:szCs w:val="24"/>
          <w:highlight w:val="none"/>
        </w:rPr>
        <w:t>）。</w:t>
      </w:r>
    </w:p>
    <w:p w14:paraId="05D6E6B8">
      <w:pPr>
        <w:pStyle w:val="16"/>
        <w:spacing w:line="440" w:lineRule="exact"/>
        <w:ind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质疑书应当署名。质疑供应商为法人或者其他组织的，应当由法定代表人或者主要负责人签字并加盖公章。</w:t>
      </w:r>
    </w:p>
    <w:p w14:paraId="2523BEC6">
      <w:pPr>
        <w:pStyle w:val="16"/>
        <w:spacing w:line="44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34.2.3 质疑供应商可以委托代理人办理质疑事务。委托代理人应为质疑供应商的正式员工并熟悉相关业务情况。代理人办理质疑事务时，除提交质疑书外，还应当提交质疑供应商的授权委托书，授权委托书应当载明委托代理的具体权限和事项；提交</w:t>
      </w:r>
      <w:r>
        <w:rPr>
          <w:rFonts w:ascii="Times New Roman" w:hAnsi="Times New Roman"/>
          <w:color w:val="auto"/>
          <w:sz w:val="24"/>
          <w:szCs w:val="24"/>
          <w:highlight w:val="none"/>
        </w:rPr>
        <w:t>委托代理人身份证明复印件和近期三个月社保缴费证明复印件。</w:t>
      </w:r>
    </w:p>
    <w:p w14:paraId="08A182F5">
      <w:pPr>
        <w:pStyle w:val="16"/>
        <w:spacing w:line="44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34.2.4 质疑供应商提起质疑应当符合下列条件：</w:t>
      </w:r>
    </w:p>
    <w:p w14:paraId="01A449D9">
      <w:pPr>
        <w:spacing w:line="440" w:lineRule="exact"/>
        <w:ind w:firstLine="420"/>
        <w:jc w:val="left"/>
        <w:rPr>
          <w:color w:val="auto"/>
          <w:sz w:val="24"/>
          <w:highlight w:val="none"/>
        </w:rPr>
      </w:pPr>
      <w:r>
        <w:rPr>
          <w:color w:val="auto"/>
          <w:sz w:val="24"/>
          <w:highlight w:val="none"/>
        </w:rPr>
        <w:t>（1）质疑供应商是参与所质疑政府采购活动的供应商；</w:t>
      </w:r>
    </w:p>
    <w:p w14:paraId="46E78F5E">
      <w:pPr>
        <w:spacing w:line="440" w:lineRule="exact"/>
        <w:ind w:firstLine="420"/>
        <w:rPr>
          <w:color w:val="auto"/>
          <w:sz w:val="24"/>
          <w:highlight w:val="none"/>
        </w:rPr>
      </w:pPr>
      <w:r>
        <w:rPr>
          <w:color w:val="auto"/>
          <w:sz w:val="24"/>
          <w:highlight w:val="none"/>
        </w:rPr>
        <w:t>（2）质疑书内容符合本章第</w:t>
      </w:r>
      <w:r>
        <w:rPr>
          <w:bCs/>
          <w:color w:val="auto"/>
          <w:sz w:val="24"/>
          <w:highlight w:val="none"/>
        </w:rPr>
        <w:t>34.2.2</w:t>
      </w:r>
      <w:r>
        <w:rPr>
          <w:color w:val="auto"/>
          <w:sz w:val="24"/>
          <w:highlight w:val="none"/>
        </w:rPr>
        <w:t>项的规定；</w:t>
      </w:r>
    </w:p>
    <w:p w14:paraId="516D2FAA">
      <w:pPr>
        <w:spacing w:line="440" w:lineRule="exact"/>
        <w:ind w:firstLine="420"/>
        <w:rPr>
          <w:color w:val="auto"/>
          <w:sz w:val="24"/>
          <w:highlight w:val="none"/>
        </w:rPr>
      </w:pPr>
      <w:r>
        <w:rPr>
          <w:color w:val="auto"/>
          <w:sz w:val="24"/>
          <w:highlight w:val="none"/>
        </w:rPr>
        <w:t>（3）在质疑有效期限内提起质疑；</w:t>
      </w:r>
    </w:p>
    <w:p w14:paraId="203E9164">
      <w:pPr>
        <w:spacing w:line="440" w:lineRule="exact"/>
        <w:ind w:firstLine="420"/>
        <w:rPr>
          <w:color w:val="auto"/>
          <w:sz w:val="24"/>
          <w:highlight w:val="none"/>
        </w:rPr>
      </w:pPr>
      <w:r>
        <w:rPr>
          <w:color w:val="auto"/>
          <w:sz w:val="24"/>
          <w:highlight w:val="none"/>
        </w:rPr>
        <w:t>（4）属于所质疑的采购人或采购人委托的采购代理机构组织的采购活动；</w:t>
      </w:r>
    </w:p>
    <w:p w14:paraId="4702E85D">
      <w:pPr>
        <w:spacing w:line="440" w:lineRule="exact"/>
        <w:ind w:firstLine="420"/>
        <w:rPr>
          <w:color w:val="auto"/>
          <w:sz w:val="24"/>
          <w:highlight w:val="none"/>
        </w:rPr>
      </w:pPr>
      <w:r>
        <w:rPr>
          <w:color w:val="auto"/>
          <w:sz w:val="24"/>
          <w:highlight w:val="none"/>
        </w:rPr>
        <w:t>（5）同一质疑事项未经采购人或采购人委托的采购代理机构质疑处理；</w:t>
      </w:r>
    </w:p>
    <w:p w14:paraId="7E7D5168">
      <w:pPr>
        <w:spacing w:line="440" w:lineRule="exact"/>
        <w:ind w:firstLine="420"/>
        <w:rPr>
          <w:color w:val="auto"/>
          <w:sz w:val="24"/>
          <w:highlight w:val="none"/>
        </w:rPr>
      </w:pPr>
      <w:r>
        <w:rPr>
          <w:color w:val="auto"/>
          <w:sz w:val="24"/>
          <w:highlight w:val="none"/>
        </w:rPr>
        <w:t>（6）财政部门规定的其他条件。</w:t>
      </w:r>
    </w:p>
    <w:p w14:paraId="4EB7EDE6">
      <w:pPr>
        <w:spacing w:line="440" w:lineRule="exact"/>
        <w:ind w:firstLine="480" w:firstLineChars="200"/>
        <w:rPr>
          <w:color w:val="auto"/>
          <w:sz w:val="24"/>
          <w:highlight w:val="none"/>
        </w:rPr>
      </w:pPr>
      <w:r>
        <w:rPr>
          <w:color w:val="auto"/>
          <w:sz w:val="24"/>
          <w:highlight w:val="none"/>
        </w:rPr>
        <w:t>34.2.5  采购人或采购人委托的采购代理机构自受理质疑之日起七个工作日内，对质疑事项作出答复，并以书面形式通知质疑供应商及其他有关供应商。</w:t>
      </w:r>
    </w:p>
    <w:p w14:paraId="310E5A10">
      <w:pPr>
        <w:pStyle w:val="16"/>
        <w:spacing w:line="440" w:lineRule="exact"/>
        <w:ind w:left="1" w:firstLine="482" w:firstLineChars="200"/>
        <w:jc w:val="left"/>
        <w:rPr>
          <w:rFonts w:ascii="Times New Roman" w:hAnsi="Times New Roman"/>
          <w:b/>
          <w:color w:val="auto"/>
          <w:sz w:val="24"/>
          <w:szCs w:val="24"/>
          <w:highlight w:val="none"/>
        </w:rPr>
      </w:pPr>
      <w:r>
        <w:rPr>
          <w:rFonts w:ascii="Times New Roman" w:hAnsi="Times New Roman"/>
          <w:b/>
          <w:color w:val="auto"/>
          <w:sz w:val="24"/>
          <w:szCs w:val="24"/>
          <w:highlight w:val="none"/>
        </w:rPr>
        <w:t>34.3  投诉</w:t>
      </w:r>
    </w:p>
    <w:p w14:paraId="0A9A910E">
      <w:pPr>
        <w:pStyle w:val="16"/>
        <w:spacing w:line="440" w:lineRule="exact"/>
        <w:ind w:left="2" w:leftChars="1" w:firstLine="480" w:firstLineChars="200"/>
        <w:jc w:val="left"/>
        <w:rPr>
          <w:rFonts w:ascii="Times New Roman" w:hAnsi="Times New Roman"/>
          <w:color w:val="auto"/>
          <w:sz w:val="24"/>
          <w:szCs w:val="24"/>
          <w:highlight w:val="none"/>
        </w:rPr>
      </w:pPr>
      <w:r>
        <w:rPr>
          <w:rFonts w:ascii="Times New Roman" w:hAnsi="Times New Roman"/>
          <w:color w:val="auto"/>
          <w:sz w:val="24"/>
          <w:szCs w:val="24"/>
          <w:highlight w:val="none"/>
        </w:rPr>
        <w:t>34.3.1 供应商认为采购文件、采购过程、中标和成交结果使自己的合法权益受到损害的，应当首先依法向采购人或采购人委托的采购代理机构</w:t>
      </w:r>
      <w:r>
        <w:rPr>
          <w:rFonts w:ascii="Times New Roman" w:hAnsi="Times New Roman"/>
          <w:bCs/>
          <w:color w:val="auto"/>
          <w:sz w:val="24"/>
          <w:szCs w:val="24"/>
          <w:highlight w:val="none"/>
        </w:rPr>
        <w:t>提出质疑。对采购人、</w:t>
      </w:r>
      <w:r>
        <w:rPr>
          <w:rFonts w:ascii="Times New Roman" w:hAnsi="Times New Roman"/>
          <w:color w:val="auto"/>
          <w:sz w:val="24"/>
          <w:szCs w:val="24"/>
          <w:highlight w:val="none"/>
        </w:rPr>
        <w:t>采购代理机构</w:t>
      </w:r>
      <w:r>
        <w:rPr>
          <w:rFonts w:ascii="Times New Roman" w:hAnsi="Times New Roman"/>
          <w:bCs/>
          <w:color w:val="auto"/>
          <w:sz w:val="24"/>
          <w:szCs w:val="24"/>
          <w:highlight w:val="none"/>
        </w:rPr>
        <w:t>的答复不满意，或者采购人、</w:t>
      </w:r>
      <w:r>
        <w:rPr>
          <w:rFonts w:ascii="Times New Roman" w:hAnsi="Times New Roman"/>
          <w:color w:val="auto"/>
          <w:sz w:val="24"/>
          <w:szCs w:val="24"/>
          <w:highlight w:val="none"/>
        </w:rPr>
        <w:t>采购代理机构</w:t>
      </w:r>
      <w:r>
        <w:rPr>
          <w:rFonts w:ascii="Times New Roman" w:hAnsi="Times New Roman"/>
          <w:bCs/>
          <w:color w:val="auto"/>
          <w:sz w:val="24"/>
          <w:szCs w:val="24"/>
          <w:highlight w:val="none"/>
        </w:rPr>
        <w:t>未在规定期限内做出答复的，供应商可以在答复期满后十五个工作日内向</w:t>
      </w:r>
      <w:r>
        <w:rPr>
          <w:rFonts w:ascii="Times New Roman" w:hAnsi="Times New Roman"/>
          <w:color w:val="auto"/>
          <w:sz w:val="24"/>
          <w:szCs w:val="24"/>
          <w:highlight w:val="none"/>
        </w:rPr>
        <w:t>政府采购监督部门提起投诉。</w:t>
      </w:r>
    </w:p>
    <w:p w14:paraId="5F391651">
      <w:pPr>
        <w:pStyle w:val="16"/>
        <w:spacing w:line="440" w:lineRule="exact"/>
        <w:ind w:left="2" w:leftChars="1" w:firstLine="480" w:firstLineChars="200"/>
        <w:jc w:val="left"/>
        <w:rPr>
          <w:rFonts w:ascii="Times New Roman" w:hAnsi="Times New Roman"/>
          <w:color w:val="auto"/>
          <w:sz w:val="24"/>
          <w:szCs w:val="24"/>
          <w:highlight w:val="none"/>
        </w:rPr>
      </w:pPr>
      <w:r>
        <w:rPr>
          <w:rFonts w:ascii="Times New Roman" w:hAnsi="Times New Roman"/>
          <w:bCs/>
          <w:color w:val="auto"/>
          <w:sz w:val="24"/>
          <w:szCs w:val="24"/>
          <w:highlight w:val="none"/>
        </w:rPr>
        <w:t>34.3.</w:t>
      </w:r>
      <w:r>
        <w:rPr>
          <w:rFonts w:ascii="Times New Roman" w:hAnsi="Times New Roman"/>
          <w:color w:val="auto"/>
          <w:sz w:val="24"/>
          <w:szCs w:val="24"/>
          <w:highlight w:val="none"/>
        </w:rPr>
        <w:t>2在提出投诉时，应附送相关证明材料。如投诉书及证明材料为外文的，应同时提供其中文译本；中文与外文意思不一致，以中文为准。</w:t>
      </w:r>
    </w:p>
    <w:p w14:paraId="4D8112A5">
      <w:pPr>
        <w:pStyle w:val="16"/>
        <w:numPr>
          <w:ilvl w:val="0"/>
          <w:numId w:val="2"/>
        </w:numPr>
        <w:snapToGrid w:val="0"/>
        <w:spacing w:line="440" w:lineRule="exact"/>
        <w:ind w:firstLine="482" w:firstLineChars="200"/>
        <w:rPr>
          <w:rFonts w:ascii="Times New Roman" w:hAnsi="Times New Roman"/>
          <w:color w:val="auto"/>
          <w:sz w:val="24"/>
          <w:szCs w:val="24"/>
          <w:highlight w:val="none"/>
        </w:rPr>
      </w:pPr>
      <w:r>
        <w:rPr>
          <w:rFonts w:ascii="Times New Roman" w:hAnsi="Times New Roman"/>
          <w:b/>
          <w:bCs/>
          <w:color w:val="auto"/>
          <w:sz w:val="24"/>
          <w:szCs w:val="24"/>
          <w:highlight w:val="none"/>
        </w:rPr>
        <w:t>解释权</w:t>
      </w:r>
      <w:r>
        <w:rPr>
          <w:rFonts w:ascii="Times New Roman" w:hAnsi="Times New Roman"/>
          <w:color w:val="auto"/>
          <w:sz w:val="24"/>
          <w:szCs w:val="24"/>
          <w:highlight w:val="none"/>
        </w:rPr>
        <w:t>：本采购文件是根据《中华人民共和国政府采购法》和政府采购管理有关规定编制，本采购文件的解释权属于采购代理机构。</w:t>
      </w:r>
    </w:p>
    <w:p w14:paraId="001AB5AE">
      <w:pPr>
        <w:pStyle w:val="16"/>
        <w:numPr>
          <w:ilvl w:val="0"/>
          <w:numId w:val="2"/>
        </w:numPr>
        <w:snapToGrid w:val="0"/>
        <w:spacing w:line="440" w:lineRule="exact"/>
        <w:ind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促进中小企业发展政策</w:t>
      </w:r>
    </w:p>
    <w:p w14:paraId="074B67A9">
      <w:pPr>
        <w:spacing w:before="120" w:line="440" w:lineRule="exact"/>
        <w:ind w:left="2" w:leftChars="1" w:firstLine="480" w:firstLineChars="200"/>
        <w:rPr>
          <w:color w:val="auto"/>
          <w:sz w:val="24"/>
          <w:highlight w:val="none"/>
        </w:rPr>
      </w:pPr>
      <w:r>
        <w:rPr>
          <w:rFonts w:hint="eastAsia"/>
          <w:color w:val="auto"/>
          <w:sz w:val="24"/>
          <w:highlight w:val="none"/>
        </w:rPr>
        <w:t>36</w:t>
      </w:r>
      <w:r>
        <w:rPr>
          <w:color w:val="auto"/>
          <w:sz w:val="24"/>
          <w:highlight w:val="none"/>
        </w:rPr>
        <w:t>.1本项目落实促进中小企业发展政策措施在前附表规定。依据促进中小企业发展政策获得政府采购合同的，小微企业不得将合同分包给大中型企业，中型企业不得将合同分包给大型企业。</w:t>
      </w:r>
    </w:p>
    <w:p w14:paraId="2273C792">
      <w:pPr>
        <w:spacing w:before="120" w:line="440" w:lineRule="exact"/>
        <w:ind w:left="2" w:leftChars="1" w:firstLine="480" w:firstLineChars="200"/>
        <w:rPr>
          <w:color w:val="auto"/>
          <w:sz w:val="24"/>
          <w:highlight w:val="none"/>
        </w:rPr>
      </w:pPr>
      <w:r>
        <w:rPr>
          <w:rFonts w:hint="eastAsia"/>
          <w:color w:val="auto"/>
          <w:sz w:val="24"/>
          <w:highlight w:val="none"/>
        </w:rPr>
        <w:t>36</w:t>
      </w:r>
      <w:r>
        <w:rPr>
          <w:color w:val="auto"/>
          <w:sz w:val="24"/>
          <w:highlight w:val="none"/>
        </w:rPr>
        <w:t>.2本项目如为专门面向中小企业预留采购份额采购项目，供应商必须满足采购文件资格要求中的落实政府采购政策需满足的资格要求。</w:t>
      </w:r>
    </w:p>
    <w:p w14:paraId="052CAAAB">
      <w:pPr>
        <w:spacing w:before="120" w:line="440" w:lineRule="exact"/>
        <w:ind w:left="2" w:leftChars="1" w:firstLine="480" w:firstLineChars="200"/>
        <w:rPr>
          <w:color w:val="auto"/>
          <w:sz w:val="24"/>
          <w:highlight w:val="none"/>
        </w:rPr>
      </w:pPr>
      <w:r>
        <w:rPr>
          <w:color w:val="auto"/>
          <w:sz w:val="24"/>
          <w:highlight w:val="none"/>
        </w:rPr>
        <w:t>采购文件中如接受联合体，供应商以联合体形式参加采购活动，联合体中中小企业承担的部分达到30%以上，其中预留给小微企业的比例不低于60%。</w:t>
      </w:r>
    </w:p>
    <w:p w14:paraId="01759204">
      <w:pPr>
        <w:spacing w:before="120" w:line="440" w:lineRule="exact"/>
        <w:ind w:left="2" w:leftChars="1" w:firstLine="480" w:firstLineChars="200"/>
        <w:rPr>
          <w:color w:val="auto"/>
          <w:sz w:val="24"/>
          <w:highlight w:val="none"/>
        </w:rPr>
      </w:pPr>
      <w:r>
        <w:rPr>
          <w:color w:val="auto"/>
          <w:sz w:val="24"/>
          <w:highlight w:val="none"/>
        </w:rPr>
        <w:t>采购文件中如接受分包，供应商将采购项目分包给一家或者多家中小企业的比例达到30%以上，其中预留给小微企业的比例不低于60%。</w:t>
      </w:r>
    </w:p>
    <w:p w14:paraId="5D431635">
      <w:pPr>
        <w:spacing w:before="120" w:line="440" w:lineRule="exact"/>
        <w:ind w:firstLine="480" w:firstLineChars="200"/>
        <w:rPr>
          <w:color w:val="auto"/>
          <w:sz w:val="24"/>
          <w:highlight w:val="none"/>
        </w:rPr>
      </w:pPr>
      <w:r>
        <w:rPr>
          <w:color w:val="auto"/>
          <w:sz w:val="24"/>
          <w:highlight w:val="none"/>
        </w:rPr>
        <w:t>注：专门面向中小企业预留采购份额采购项目不享受价格扣除政策。</w:t>
      </w:r>
    </w:p>
    <w:p w14:paraId="21E238A3">
      <w:pPr>
        <w:spacing w:before="120" w:line="440" w:lineRule="exact"/>
        <w:ind w:left="2" w:leftChars="1" w:firstLine="480" w:firstLineChars="200"/>
        <w:rPr>
          <w:color w:val="auto"/>
          <w:sz w:val="24"/>
          <w:highlight w:val="none"/>
        </w:rPr>
      </w:pPr>
      <w:r>
        <w:rPr>
          <w:rFonts w:hint="eastAsia"/>
          <w:color w:val="auto"/>
          <w:sz w:val="24"/>
          <w:highlight w:val="none"/>
        </w:rPr>
        <w:t>36</w:t>
      </w:r>
      <w:r>
        <w:rPr>
          <w:color w:val="auto"/>
          <w:sz w:val="24"/>
          <w:highlight w:val="none"/>
        </w:rPr>
        <w:t>.3本项目如为非专门面向中小企业预留采购份额采购项目，磋商小组应当对小微企业报价给予价格扣除，用扣除后的价格参加评审。</w:t>
      </w:r>
    </w:p>
    <w:p w14:paraId="68707C80">
      <w:pPr>
        <w:spacing w:before="120" w:line="440" w:lineRule="exact"/>
        <w:ind w:left="2" w:leftChars="1" w:firstLine="480" w:firstLineChars="200"/>
        <w:rPr>
          <w:color w:val="auto"/>
          <w:sz w:val="24"/>
          <w:highlight w:val="none"/>
        </w:rPr>
      </w:pPr>
      <w:r>
        <w:rPr>
          <w:color w:val="auto"/>
          <w:sz w:val="24"/>
          <w:highlight w:val="none"/>
        </w:rPr>
        <w:t>采购文件接受大中型企业与小微企业组成联合体或者允许大中型企业向一家或者多家小微企业分包时，对于联合协议或者分包意向协议约定小微企业的合同份额占合同总金额比例达到30%以上的，磋商小组应当对联合体或者大中型企业的报价给予价格扣除，用扣除后的价格参加评审。</w:t>
      </w:r>
    </w:p>
    <w:p w14:paraId="543FFB16">
      <w:pPr>
        <w:spacing w:before="120" w:line="440" w:lineRule="exact"/>
        <w:ind w:left="2" w:leftChars="1" w:firstLine="480" w:firstLineChars="200"/>
        <w:rPr>
          <w:color w:val="auto"/>
          <w:sz w:val="24"/>
          <w:highlight w:val="none"/>
        </w:rPr>
      </w:pPr>
      <w:r>
        <w:rPr>
          <w:color w:val="auto"/>
          <w:sz w:val="24"/>
          <w:highlight w:val="none"/>
        </w:rPr>
        <w:t>组成联合体或者接受分包的小微企业与联合体内其他企业、分包企业之间存在直接控股、管理关系的，不享受价格扣除优惠政策。</w:t>
      </w:r>
    </w:p>
    <w:p w14:paraId="07360DE8">
      <w:pPr>
        <w:spacing w:before="120" w:line="440" w:lineRule="exact"/>
        <w:ind w:left="2" w:leftChars="1" w:firstLine="480" w:firstLineChars="200"/>
        <w:rPr>
          <w:color w:val="auto"/>
          <w:sz w:val="24"/>
          <w:highlight w:val="none"/>
        </w:rPr>
      </w:pPr>
      <w:r>
        <w:rPr>
          <w:color w:val="auto"/>
          <w:sz w:val="24"/>
          <w:highlight w:val="none"/>
        </w:rPr>
        <w:t>价格扣除比例在第</w:t>
      </w:r>
      <w:r>
        <w:rPr>
          <w:rFonts w:hint="eastAsia"/>
          <w:color w:val="auto"/>
          <w:sz w:val="24"/>
          <w:highlight w:val="none"/>
        </w:rPr>
        <w:t>六</w:t>
      </w:r>
      <w:r>
        <w:rPr>
          <w:color w:val="auto"/>
          <w:sz w:val="24"/>
          <w:highlight w:val="none"/>
        </w:rPr>
        <w:t>章评审方法及标准中规定，对小型企业和微型企业同等对待，不作区分。</w:t>
      </w:r>
    </w:p>
    <w:p w14:paraId="16DEBD80">
      <w:pPr>
        <w:spacing w:before="120" w:line="440" w:lineRule="exact"/>
        <w:ind w:left="2" w:leftChars="1" w:firstLine="480" w:firstLineChars="200"/>
        <w:rPr>
          <w:color w:val="auto"/>
          <w:sz w:val="24"/>
          <w:highlight w:val="none"/>
        </w:rPr>
      </w:pPr>
      <w:r>
        <w:rPr>
          <w:rFonts w:hint="eastAsia"/>
          <w:color w:val="auto"/>
          <w:sz w:val="24"/>
          <w:highlight w:val="none"/>
        </w:rPr>
        <w:t>36</w:t>
      </w:r>
      <w:r>
        <w:rPr>
          <w:color w:val="auto"/>
          <w:sz w:val="24"/>
          <w:highlight w:val="none"/>
        </w:rPr>
        <w:t>.4中小企业定义</w:t>
      </w:r>
    </w:p>
    <w:p w14:paraId="33B21DD9">
      <w:pPr>
        <w:spacing w:before="120" w:line="440" w:lineRule="exact"/>
        <w:ind w:firstLine="480" w:firstLineChars="200"/>
        <w:rPr>
          <w:color w:val="auto"/>
          <w:sz w:val="24"/>
          <w:highlight w:val="none"/>
        </w:rPr>
      </w:pPr>
      <w:r>
        <w:rPr>
          <w:rFonts w:hint="eastAsia"/>
          <w:color w:val="auto"/>
          <w:sz w:val="24"/>
          <w:highlight w:val="none"/>
        </w:rPr>
        <w:t>36</w:t>
      </w:r>
      <w:r>
        <w:rPr>
          <w:color w:val="auto"/>
          <w:sz w:val="24"/>
          <w:highlight w:val="none"/>
        </w:rPr>
        <w:t>.4.1中小企业是指在中华人民共和国境内依法设立，依据国务院批准的中小企业划分标准确定的中型企业、小型企业和微型企业，但与大企业的负责人为同一人，或者与大企业存在直接控股、管理关系的除外。</w:t>
      </w:r>
    </w:p>
    <w:p w14:paraId="776FF927">
      <w:pPr>
        <w:spacing w:before="120" w:line="440" w:lineRule="exact"/>
        <w:ind w:left="2" w:leftChars="1" w:firstLine="480" w:firstLineChars="200"/>
        <w:rPr>
          <w:color w:val="auto"/>
          <w:sz w:val="24"/>
          <w:highlight w:val="none"/>
        </w:rPr>
      </w:pPr>
      <w:r>
        <w:rPr>
          <w:rFonts w:hint="eastAsia"/>
          <w:color w:val="auto"/>
          <w:sz w:val="24"/>
          <w:highlight w:val="none"/>
        </w:rPr>
        <w:t>36</w:t>
      </w:r>
      <w:r>
        <w:rPr>
          <w:color w:val="auto"/>
          <w:sz w:val="24"/>
          <w:highlight w:val="none"/>
        </w:rPr>
        <w:t>.4.2供应商提供的货物、工程或者服务符合下列情形的，享受本款规定的促进中小企业发展政策：</w:t>
      </w:r>
    </w:p>
    <w:p w14:paraId="4149B4CE">
      <w:pPr>
        <w:spacing w:before="120" w:line="440" w:lineRule="exact"/>
        <w:ind w:left="2" w:leftChars="1" w:firstLine="480" w:firstLineChars="200"/>
        <w:rPr>
          <w:color w:val="auto"/>
          <w:sz w:val="24"/>
          <w:highlight w:val="none"/>
        </w:rPr>
      </w:pPr>
      <w:r>
        <w:rPr>
          <w:color w:val="auto"/>
          <w:sz w:val="24"/>
          <w:highlight w:val="none"/>
        </w:rPr>
        <w:t>在货物采购项目中，货物由中小企业制造，即货物由中小企业生产且使用该中小企业商号或者注册商标；</w:t>
      </w:r>
    </w:p>
    <w:p w14:paraId="0987346D">
      <w:pPr>
        <w:spacing w:before="120" w:line="440" w:lineRule="exact"/>
        <w:ind w:left="2" w:leftChars="1" w:firstLine="480" w:firstLineChars="200"/>
        <w:rPr>
          <w:color w:val="auto"/>
          <w:sz w:val="24"/>
          <w:highlight w:val="none"/>
        </w:rPr>
      </w:pPr>
      <w:r>
        <w:rPr>
          <w:color w:val="auto"/>
          <w:sz w:val="24"/>
          <w:highlight w:val="none"/>
        </w:rPr>
        <w:t>在工程采购项目中，工程由中小企业承建，即工程施工单位为中小企业；</w:t>
      </w:r>
    </w:p>
    <w:p w14:paraId="398F3CD5">
      <w:pPr>
        <w:spacing w:before="120" w:line="440" w:lineRule="exact"/>
        <w:ind w:left="2" w:leftChars="1" w:firstLine="480" w:firstLineChars="200"/>
        <w:rPr>
          <w:color w:val="auto"/>
          <w:sz w:val="24"/>
          <w:highlight w:val="none"/>
        </w:rPr>
      </w:pPr>
      <w:r>
        <w:rPr>
          <w:color w:val="auto"/>
          <w:sz w:val="24"/>
          <w:highlight w:val="none"/>
        </w:rPr>
        <w:t>在服务采购项目中，服务由中小企业承接，即提供服务的人员为中小企业依照《中华人民共和国劳动</w:t>
      </w:r>
      <w:r>
        <w:rPr>
          <w:rFonts w:hint="eastAsia"/>
          <w:color w:val="auto"/>
          <w:sz w:val="24"/>
          <w:highlight w:val="none"/>
        </w:rPr>
        <w:t>民</w:t>
      </w:r>
      <w:r>
        <w:rPr>
          <w:color w:val="auto"/>
          <w:sz w:val="24"/>
          <w:highlight w:val="none"/>
        </w:rPr>
        <w:t>法</w:t>
      </w:r>
      <w:r>
        <w:rPr>
          <w:rFonts w:hint="eastAsia"/>
          <w:color w:val="auto"/>
          <w:sz w:val="24"/>
          <w:highlight w:val="none"/>
        </w:rPr>
        <w:t>典</w:t>
      </w:r>
      <w:r>
        <w:rPr>
          <w:color w:val="auto"/>
          <w:sz w:val="24"/>
          <w:highlight w:val="none"/>
        </w:rPr>
        <w:t>》订立劳动合同的从业人员。</w:t>
      </w:r>
    </w:p>
    <w:p w14:paraId="5EC096F3">
      <w:pPr>
        <w:spacing w:before="120" w:line="440" w:lineRule="exact"/>
        <w:ind w:left="2" w:leftChars="1" w:firstLine="480" w:firstLineChars="200"/>
        <w:rPr>
          <w:color w:val="auto"/>
          <w:sz w:val="24"/>
          <w:highlight w:val="none"/>
        </w:rPr>
      </w:pPr>
      <w:r>
        <w:rPr>
          <w:color w:val="auto"/>
          <w:sz w:val="24"/>
          <w:highlight w:val="none"/>
        </w:rPr>
        <w:t>在货物采购项目中，供应商提供的货物既有中小企业制造货物，也有大型企业制造货物的，不享受本款规定的促进中小企业发展政策。</w:t>
      </w:r>
    </w:p>
    <w:p w14:paraId="6886B574">
      <w:pPr>
        <w:spacing w:before="120" w:line="440" w:lineRule="exact"/>
        <w:ind w:left="2" w:leftChars="1" w:firstLine="480" w:firstLineChars="200"/>
        <w:rPr>
          <w:color w:val="auto"/>
          <w:sz w:val="24"/>
          <w:highlight w:val="none"/>
        </w:rPr>
      </w:pPr>
      <w:r>
        <w:rPr>
          <w:color w:val="auto"/>
          <w:sz w:val="24"/>
          <w:highlight w:val="none"/>
        </w:rPr>
        <w:t>以联合体形式参加政府采购活动，联合体各方均为中小企业的，联合体视同中小企业。其中，联合体各方均为小微企业的，联合体视同小微企业。</w:t>
      </w:r>
    </w:p>
    <w:p w14:paraId="7BCB7B9D">
      <w:pPr>
        <w:spacing w:before="120" w:line="440" w:lineRule="exact"/>
        <w:ind w:firstLine="480" w:firstLineChars="200"/>
        <w:rPr>
          <w:color w:val="auto"/>
          <w:sz w:val="24"/>
          <w:highlight w:val="none"/>
        </w:rPr>
      </w:pPr>
      <w:r>
        <w:rPr>
          <w:rFonts w:hint="eastAsia"/>
          <w:color w:val="auto"/>
          <w:sz w:val="24"/>
          <w:highlight w:val="none"/>
        </w:rPr>
        <w:t>36</w:t>
      </w:r>
      <w:r>
        <w:rPr>
          <w:color w:val="auto"/>
          <w:sz w:val="24"/>
          <w:highlight w:val="none"/>
        </w:rPr>
        <w:t>.4.3本项目标的所属行业在第</w:t>
      </w:r>
      <w:r>
        <w:rPr>
          <w:rFonts w:hint="eastAsia"/>
          <w:color w:val="auto"/>
          <w:sz w:val="24"/>
          <w:highlight w:val="none"/>
        </w:rPr>
        <w:t>三</w:t>
      </w:r>
      <w:r>
        <w:rPr>
          <w:color w:val="auto"/>
          <w:sz w:val="24"/>
          <w:highlight w:val="none"/>
        </w:rPr>
        <w:t>章</w:t>
      </w:r>
      <w:r>
        <w:rPr>
          <w:rFonts w:hint="eastAsia"/>
          <w:color w:val="auto"/>
          <w:sz w:val="24"/>
          <w:highlight w:val="none"/>
        </w:rPr>
        <w:t>项目</w:t>
      </w:r>
      <w:r>
        <w:rPr>
          <w:color w:val="auto"/>
          <w:sz w:val="24"/>
          <w:highlight w:val="none"/>
        </w:rPr>
        <w:t>采购需求中规定。供应商根据中小企业划分标准（《关于印发中小企业划型标准规定的通知》（工信部联企业〔2011〕300号）判断是否为中小企业。</w:t>
      </w:r>
    </w:p>
    <w:p w14:paraId="60E5EFBD">
      <w:pPr>
        <w:spacing w:before="120" w:line="440" w:lineRule="exact"/>
        <w:ind w:firstLine="480" w:firstLineChars="200"/>
        <w:rPr>
          <w:color w:val="auto"/>
          <w:sz w:val="24"/>
          <w:highlight w:val="none"/>
        </w:rPr>
      </w:pPr>
      <w:r>
        <w:rPr>
          <w:color w:val="auto"/>
          <w:sz w:val="24"/>
          <w:highlight w:val="none"/>
        </w:rPr>
        <w:t>符合条件的货物制造商、工程施工单位、服务承接单位为中小企业的，应按采购文件规定在响应文件中提供声明函。</w:t>
      </w:r>
    </w:p>
    <w:p w14:paraId="1FB8DFB5">
      <w:pPr>
        <w:spacing w:before="120" w:line="440" w:lineRule="exact"/>
        <w:ind w:firstLine="480" w:firstLineChars="200"/>
        <w:rPr>
          <w:color w:val="auto"/>
          <w:sz w:val="24"/>
          <w:highlight w:val="none"/>
        </w:rPr>
      </w:pPr>
      <w:r>
        <w:rPr>
          <w:rFonts w:hint="eastAsia"/>
          <w:color w:val="auto"/>
          <w:sz w:val="24"/>
          <w:highlight w:val="none"/>
        </w:rPr>
        <w:t>36</w:t>
      </w:r>
      <w:r>
        <w:rPr>
          <w:color w:val="auto"/>
          <w:sz w:val="24"/>
          <w:highlight w:val="none"/>
        </w:rPr>
        <w:t>.4.4视同中小企业情形</w:t>
      </w:r>
    </w:p>
    <w:p w14:paraId="1F54E553">
      <w:pPr>
        <w:spacing w:before="120" w:line="440" w:lineRule="exact"/>
        <w:ind w:firstLine="480" w:firstLineChars="200"/>
        <w:rPr>
          <w:color w:val="auto"/>
          <w:sz w:val="24"/>
          <w:highlight w:val="none"/>
        </w:rPr>
      </w:pPr>
      <w:r>
        <w:rPr>
          <w:color w:val="auto"/>
          <w:sz w:val="24"/>
          <w:highlight w:val="none"/>
        </w:rPr>
        <w:t>（1）符合中小企业划分标准的个体工商户，视同中小企业。</w:t>
      </w:r>
    </w:p>
    <w:p w14:paraId="611CEC1C">
      <w:pPr>
        <w:spacing w:before="120" w:line="440" w:lineRule="exact"/>
        <w:ind w:firstLine="480" w:firstLineChars="200"/>
        <w:rPr>
          <w:color w:val="auto"/>
          <w:sz w:val="24"/>
          <w:highlight w:val="none"/>
        </w:rPr>
      </w:pPr>
      <w:r>
        <w:rPr>
          <w:color w:val="auto"/>
          <w:sz w:val="24"/>
          <w:highlight w:val="none"/>
        </w:rPr>
        <w:t>（2）以联合体形式参加政府采购活动，联合体各方均为中小企业的，联合体视同中小企业。其中，联合体各方均为小微企业的，联合体视同小微企业。</w:t>
      </w:r>
    </w:p>
    <w:p w14:paraId="2DDDDBED">
      <w:pPr>
        <w:spacing w:before="120" w:line="440" w:lineRule="exact"/>
        <w:ind w:firstLine="480" w:firstLineChars="200"/>
        <w:rPr>
          <w:color w:val="auto"/>
          <w:sz w:val="24"/>
          <w:highlight w:val="none"/>
        </w:rPr>
      </w:pPr>
      <w:r>
        <w:rPr>
          <w:color w:val="auto"/>
          <w:sz w:val="24"/>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23BC10CD">
      <w:pPr>
        <w:spacing w:before="120" w:line="440" w:lineRule="exact"/>
        <w:ind w:firstLine="480" w:firstLineChars="200"/>
        <w:rPr>
          <w:color w:val="auto"/>
          <w:sz w:val="24"/>
          <w:highlight w:val="none"/>
        </w:rPr>
      </w:pPr>
      <w:r>
        <w:rPr>
          <w:color w:val="auto"/>
          <w:sz w:val="24"/>
          <w:highlight w:val="none"/>
        </w:rPr>
        <w:t>符合条件的货物制造商、工程施工单位、服务承接单位为监狱企业或残疾人福利性单位的，应按采购文件规定在响应文件中提供相关证明文件。</w:t>
      </w:r>
    </w:p>
    <w:p w14:paraId="41645C26">
      <w:pPr>
        <w:spacing w:before="120" w:line="440" w:lineRule="exact"/>
        <w:ind w:firstLine="482" w:firstLineChars="200"/>
        <w:rPr>
          <w:color w:val="auto"/>
          <w:sz w:val="24"/>
          <w:highlight w:val="none"/>
        </w:rPr>
      </w:pPr>
      <w:r>
        <w:rPr>
          <w:rFonts w:hint="eastAsia"/>
          <w:b/>
          <w:bCs/>
          <w:color w:val="auto"/>
          <w:kern w:val="0"/>
          <w:sz w:val="24"/>
          <w:highlight w:val="none"/>
        </w:rPr>
        <w:t>37、</w:t>
      </w:r>
      <w:r>
        <w:rPr>
          <w:b/>
          <w:bCs/>
          <w:color w:val="auto"/>
          <w:kern w:val="0"/>
          <w:sz w:val="24"/>
          <w:highlight w:val="none"/>
        </w:rPr>
        <w:t>监督部门：</w:t>
      </w:r>
    </w:p>
    <w:p w14:paraId="7E9B7EC8">
      <w:pPr>
        <w:spacing w:before="120" w:line="440" w:lineRule="exact"/>
        <w:ind w:firstLine="480" w:firstLineChars="200"/>
        <w:rPr>
          <w:rFonts w:hint="eastAsia" w:eastAsia="宋体"/>
          <w:color w:val="auto"/>
          <w:sz w:val="24"/>
          <w:highlight w:val="none"/>
          <w:lang w:eastAsia="zh-CN"/>
        </w:rPr>
      </w:pPr>
      <w:r>
        <w:rPr>
          <w:rFonts w:hint="eastAsia"/>
          <w:color w:val="auto"/>
          <w:sz w:val="24"/>
          <w:highlight w:val="none"/>
          <w:lang w:eastAsia="zh-CN"/>
        </w:rPr>
        <w:t>桂平市财政局政府采购监督管理股 0775-3380263</w:t>
      </w:r>
    </w:p>
    <w:p w14:paraId="5B8BDAE4">
      <w:pPr>
        <w:spacing w:before="120" w:line="440" w:lineRule="exact"/>
        <w:ind w:firstLine="482" w:firstLineChars="200"/>
        <w:rPr>
          <w:color w:val="auto"/>
          <w:sz w:val="24"/>
          <w:highlight w:val="none"/>
        </w:rPr>
      </w:pPr>
      <w:r>
        <w:rPr>
          <w:b/>
          <w:bCs/>
          <w:color w:val="auto"/>
          <w:kern w:val="0"/>
          <w:sz w:val="24"/>
          <w:highlight w:val="none"/>
        </w:rPr>
        <w:t>3</w:t>
      </w:r>
      <w:r>
        <w:rPr>
          <w:rFonts w:hint="eastAsia"/>
          <w:b/>
          <w:bCs/>
          <w:color w:val="auto"/>
          <w:kern w:val="0"/>
          <w:sz w:val="24"/>
          <w:highlight w:val="none"/>
        </w:rPr>
        <w:t>8</w:t>
      </w:r>
      <w:r>
        <w:rPr>
          <w:b/>
          <w:bCs/>
          <w:color w:val="auto"/>
          <w:kern w:val="0"/>
          <w:sz w:val="24"/>
          <w:highlight w:val="none"/>
        </w:rPr>
        <w:t>、所有与本条件书有关的函电请按下列通讯地址联系：</w:t>
      </w:r>
    </w:p>
    <w:p w14:paraId="4ACF94C2">
      <w:pPr>
        <w:keepNext w:val="0"/>
        <w:keepLines w:val="0"/>
        <w:pageBreakBefore w:val="0"/>
        <w:kinsoku/>
        <w:wordWrap/>
        <w:overflowPunct/>
        <w:topLinePunct w:val="0"/>
        <w:autoSpaceDE/>
        <w:autoSpaceDN/>
        <w:bidi w:val="0"/>
        <w:adjustRightInd/>
        <w:snapToGrid/>
        <w:spacing w:line="360" w:lineRule="auto"/>
        <w:ind w:firstLine="240" w:firstLineChars="100"/>
        <w:jc w:val="left"/>
        <w:textAlignment w:val="auto"/>
        <w:rPr>
          <w:color w:val="auto"/>
          <w:sz w:val="24"/>
          <w:highlight w:val="none"/>
        </w:rPr>
      </w:pPr>
      <w:bookmarkStart w:id="33" w:name="_Toc775"/>
      <w:r>
        <w:rPr>
          <w:color w:val="auto"/>
          <w:sz w:val="24"/>
          <w:highlight w:val="none"/>
        </w:rPr>
        <w:t>名    称：</w:t>
      </w:r>
      <w:r>
        <w:rPr>
          <w:rFonts w:hint="eastAsia"/>
          <w:color w:val="auto"/>
          <w:sz w:val="24"/>
          <w:highlight w:val="none"/>
          <w:lang w:eastAsia="zh-CN"/>
        </w:rPr>
        <w:t>广西创佳项目管理有限公司</w:t>
      </w:r>
      <w:r>
        <w:rPr>
          <w:color w:val="auto"/>
          <w:sz w:val="24"/>
          <w:highlight w:val="none"/>
        </w:rPr>
        <w:t>　</w:t>
      </w:r>
    </w:p>
    <w:p w14:paraId="5EBF8B02">
      <w:pPr>
        <w:keepNext w:val="0"/>
        <w:keepLines w:val="0"/>
        <w:pageBreakBefore w:val="0"/>
        <w:kinsoku/>
        <w:wordWrap/>
        <w:overflowPunct/>
        <w:topLinePunct w:val="0"/>
        <w:autoSpaceDE/>
        <w:autoSpaceDN/>
        <w:bidi w:val="0"/>
        <w:adjustRightInd/>
        <w:snapToGrid/>
        <w:spacing w:line="360" w:lineRule="auto"/>
        <w:ind w:firstLine="240" w:firstLineChars="100"/>
        <w:jc w:val="left"/>
        <w:textAlignment w:val="auto"/>
        <w:rPr>
          <w:rFonts w:hint="default" w:ascii="Times New Roman" w:hAnsi="Times New Roman" w:eastAsia="宋体" w:cs="Times New Roman"/>
          <w:color w:val="auto"/>
          <w:sz w:val="24"/>
          <w:highlight w:val="none"/>
          <w:lang w:val="en-US" w:eastAsia="zh-CN"/>
        </w:rPr>
      </w:pPr>
      <w:r>
        <w:rPr>
          <w:rFonts w:ascii="Times New Roman" w:hAnsi="Times New Roman" w:eastAsia="宋体" w:cs="Times New Roman"/>
          <w:color w:val="auto"/>
          <w:sz w:val="24"/>
          <w:highlight w:val="none"/>
        </w:rPr>
        <w:t>地　　址：</w:t>
      </w:r>
      <w:r>
        <w:rPr>
          <w:rFonts w:hint="eastAsia" w:ascii="Times New Roman" w:hAnsi="Times New Roman" w:eastAsia="宋体" w:cs="Times New Roman"/>
          <w:color w:val="auto"/>
          <w:sz w:val="24"/>
          <w:highlight w:val="none"/>
          <w:lang w:val="en-US" w:eastAsia="zh-CN"/>
        </w:rPr>
        <w:t>桂平市政务服务中心后面</w:t>
      </w:r>
    </w:p>
    <w:p w14:paraId="47EC4297">
      <w:pPr>
        <w:keepNext w:val="0"/>
        <w:keepLines w:val="0"/>
        <w:pageBreakBefore w:val="0"/>
        <w:kinsoku/>
        <w:wordWrap/>
        <w:overflowPunct/>
        <w:topLinePunct w:val="0"/>
        <w:autoSpaceDE/>
        <w:autoSpaceDN/>
        <w:bidi w:val="0"/>
        <w:adjustRightInd/>
        <w:snapToGrid/>
        <w:spacing w:line="360" w:lineRule="auto"/>
        <w:ind w:firstLine="240" w:firstLineChars="100"/>
        <w:jc w:val="left"/>
        <w:textAlignment w:val="auto"/>
        <w:rPr>
          <w:rFonts w:hint="default" w:ascii="Times New Roman" w:hAnsi="Times New Roman" w:eastAsia="宋体" w:cs="Times New Roman"/>
          <w:color w:val="auto"/>
          <w:sz w:val="24"/>
          <w:highlight w:val="none"/>
          <w:lang w:val="en-US" w:eastAsia="zh-CN"/>
        </w:rPr>
      </w:pPr>
      <w:r>
        <w:rPr>
          <w:rFonts w:ascii="Times New Roman" w:hAnsi="Times New Roman" w:eastAsia="宋体" w:cs="Times New Roman"/>
          <w:color w:val="auto"/>
          <w:sz w:val="24"/>
          <w:highlight w:val="none"/>
        </w:rPr>
        <w:t>项目联系人：</w:t>
      </w:r>
      <w:r>
        <w:rPr>
          <w:rFonts w:hint="eastAsia" w:ascii="Times New Roman" w:hAnsi="Times New Roman" w:eastAsia="宋体" w:cs="Times New Roman"/>
          <w:color w:val="auto"/>
          <w:sz w:val="24"/>
          <w:highlight w:val="none"/>
          <w:lang w:val="en-US" w:eastAsia="zh-CN"/>
        </w:rPr>
        <w:t>唐维平、覃骞稼</w:t>
      </w:r>
      <w:r>
        <w:rPr>
          <w:rFonts w:ascii="Times New Roman" w:hAnsi="Times New Roman" w:eastAsia="宋体" w:cs="Times New Roman"/>
          <w:color w:val="auto"/>
          <w:sz w:val="24"/>
          <w:highlight w:val="none"/>
        </w:rPr>
        <w:t>　</w:t>
      </w:r>
      <w:r>
        <w:rPr>
          <w:rFonts w:hint="eastAsia" w:ascii="Times New Roman" w:hAnsi="Times New Roman" w:eastAsia="宋体" w:cs="Times New Roman"/>
          <w:color w:val="auto"/>
          <w:sz w:val="24"/>
          <w:highlight w:val="none"/>
        </w:rPr>
        <w:t xml:space="preserve">    </w:t>
      </w:r>
      <w:r>
        <w:rPr>
          <w:rFonts w:ascii="Times New Roman" w:hAnsi="Times New Roman" w:eastAsia="宋体" w:cs="Times New Roman"/>
          <w:color w:val="auto"/>
          <w:sz w:val="24"/>
          <w:highlight w:val="none"/>
        </w:rPr>
        <w:t>项目联系方式：</w:t>
      </w:r>
      <w:r>
        <w:rPr>
          <w:rFonts w:hint="eastAsia" w:ascii="Times New Roman" w:hAnsi="Times New Roman" w:eastAsia="宋体" w:cs="Times New Roman"/>
          <w:color w:val="auto"/>
          <w:sz w:val="24"/>
          <w:highlight w:val="none"/>
          <w:lang w:val="en-US" w:eastAsia="zh-CN"/>
        </w:rPr>
        <w:t>0775-3360111</w:t>
      </w:r>
    </w:p>
    <w:p w14:paraId="331A34B8">
      <w:pPr>
        <w:rPr>
          <w:color w:val="auto"/>
          <w:highlight w:val="none"/>
        </w:rPr>
      </w:pPr>
    </w:p>
    <w:p w14:paraId="5CA94DBB">
      <w:pPr>
        <w:rPr>
          <w:color w:val="auto"/>
          <w:highlight w:val="none"/>
        </w:rPr>
      </w:pPr>
    </w:p>
    <w:p w14:paraId="52C4AA29">
      <w:pPr>
        <w:rPr>
          <w:color w:val="auto"/>
          <w:highlight w:val="none"/>
        </w:rPr>
      </w:pPr>
    </w:p>
    <w:p w14:paraId="1FF6E43F">
      <w:pPr>
        <w:rPr>
          <w:color w:val="auto"/>
          <w:highlight w:val="none"/>
        </w:rPr>
      </w:pPr>
    </w:p>
    <w:p w14:paraId="6FFFFBB7">
      <w:pPr>
        <w:rPr>
          <w:color w:val="auto"/>
          <w:highlight w:val="none"/>
        </w:rPr>
      </w:pPr>
    </w:p>
    <w:p w14:paraId="0B2FC13C">
      <w:pPr>
        <w:rPr>
          <w:color w:val="auto"/>
          <w:highlight w:val="none"/>
        </w:rPr>
      </w:pPr>
    </w:p>
    <w:p w14:paraId="1F1C7FB2">
      <w:pPr>
        <w:pStyle w:val="3"/>
        <w:numPr>
          <w:ilvl w:val="0"/>
          <w:numId w:val="3"/>
        </w:numPr>
        <w:rPr>
          <w:color w:val="auto"/>
          <w:highlight w:val="none"/>
        </w:rPr>
      </w:pPr>
      <w:r>
        <w:rPr>
          <w:color w:val="auto"/>
          <w:highlight w:val="none"/>
        </w:rPr>
        <w:br w:type="page"/>
      </w:r>
      <w:bookmarkStart w:id="34" w:name="_Toc24751"/>
      <w:r>
        <w:rPr>
          <w:color w:val="auto"/>
          <w:highlight w:val="none"/>
        </w:rPr>
        <w:t>项目采购需求</w:t>
      </w:r>
      <w:bookmarkEnd w:id="33"/>
      <w:bookmarkEnd w:id="34"/>
    </w:p>
    <w:p w14:paraId="2121D80E">
      <w:pPr>
        <w:pageBreakBefore w:val="0"/>
        <w:widowControl w:val="0"/>
        <w:kinsoku/>
        <w:wordWrap/>
        <w:overflowPunct/>
        <w:topLinePunct w:val="0"/>
        <w:autoSpaceDE/>
        <w:autoSpaceDN/>
        <w:bidi w:val="0"/>
        <w:adjustRightInd w:val="0"/>
        <w:snapToGrid w:val="0"/>
        <w:spacing w:line="360" w:lineRule="auto"/>
        <w:ind w:left="0" w:firstLine="241" w:firstLineChars="100"/>
        <w:textAlignment w:val="auto"/>
        <w:rPr>
          <w:rFonts w:hint="eastAsia" w:ascii="宋体" w:hAnsi="宋体" w:eastAsia="宋体" w:cs="宋体"/>
          <w:b/>
          <w:bCs/>
          <w:color w:val="auto"/>
          <w:sz w:val="24"/>
          <w:szCs w:val="24"/>
          <w:highlight w:val="none"/>
          <w:lang w:val="en-US" w:eastAsia="zh-CN" w:bidi="ar-SA"/>
        </w:rPr>
      </w:pPr>
    </w:p>
    <w:p w14:paraId="7931FBFC">
      <w:pPr>
        <w:pageBreakBefore w:val="0"/>
        <w:widowControl w:val="0"/>
        <w:numPr>
          <w:ilvl w:val="0"/>
          <w:numId w:val="4"/>
        </w:numPr>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服务地点：</w:t>
      </w:r>
      <w:r>
        <w:rPr>
          <w:rFonts w:hint="eastAsia" w:ascii="宋体" w:hAnsi="宋体" w:eastAsia="宋体" w:cs="宋体"/>
          <w:color w:val="auto"/>
          <w:sz w:val="24"/>
          <w:szCs w:val="24"/>
          <w:highlight w:val="none"/>
          <w:lang w:bidi="ar-SA"/>
        </w:rPr>
        <w:t>桂平市太平天国金田起义地址景区。</w:t>
      </w:r>
    </w:p>
    <w:p w14:paraId="52AA8C33">
      <w:pPr>
        <w:pageBreakBefore w:val="0"/>
        <w:widowControl w:val="0"/>
        <w:numPr>
          <w:ilvl w:val="0"/>
          <w:numId w:val="4"/>
        </w:numPr>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项目概况：</w:t>
      </w:r>
      <w:r>
        <w:rPr>
          <w:rFonts w:hint="eastAsia" w:ascii="宋体" w:hAnsi="宋体" w:eastAsia="宋体" w:cs="宋体"/>
          <w:color w:val="auto"/>
          <w:sz w:val="24"/>
          <w:szCs w:val="24"/>
          <w:highlight w:val="none"/>
          <w:lang w:bidi="ar-SA"/>
        </w:rPr>
        <w:t>桂平市太平天国金田起义地址景区现有面积：金田起义博物馆116507平方米，金田起义旧址85415平方米，古林社遗址5105.74平方米，傅家寨太平军总部旧址5105.70平方米，景区合计面积212133.44平方米。其中：绿地面积8万平方米，硬化地面积2.49万平方米，水体面积0.9万平方米,2020年新建生态停车场5000㎡（东入口停车场、古林社停车场和傅家寨停车场）游览步道2000米；新建三个旅游厕所450㎡（小南门旅游厕所161㎡、韦昌辉故居旅游厕所144.5㎡、古林社旅游厕所144.5㎡），场地绿化2万㎡。硬化地面积2.49万平方米，包括文化中心库房区、展示展演区、文保科研区、游客中心与公共活动区、传承教育区、业务管理区、设备用房及相关辅助功能区、韦昌辉展陈馆、三界庙、犀牛岭保护展示区（主要包含金田起义南门223.46㎡、管理用房810.31㎡、洪秀全雕塑广场891.38㎡、南广场293.39㎡、北广场355.64㎡、生态停车场等）。</w:t>
      </w:r>
    </w:p>
    <w:p w14:paraId="4A6644B5">
      <w:pPr>
        <w:pageBreakBefore w:val="0"/>
        <w:widowControl w:val="0"/>
        <w:numPr>
          <w:ilvl w:val="0"/>
          <w:numId w:val="4"/>
        </w:numPr>
        <w:kinsoku/>
        <w:wordWrap/>
        <w:overflowPunct/>
        <w:topLinePunct w:val="0"/>
        <w:autoSpaceDE/>
        <w:autoSpaceDN/>
        <w:bidi w:val="0"/>
        <w:adjustRightInd/>
        <w:snapToGrid w:val="0"/>
        <w:spacing w:line="360" w:lineRule="auto"/>
        <w:ind w:left="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服务期限</w:t>
      </w:r>
      <w:r>
        <w:rPr>
          <w:rFonts w:hint="eastAsia" w:ascii="宋体" w:hAnsi="宋体" w:cs="宋体"/>
          <w:b/>
          <w:color w:val="auto"/>
          <w:sz w:val="24"/>
          <w:szCs w:val="24"/>
          <w:highlight w:val="none"/>
          <w:lang w:eastAsia="zh-CN" w:bidi="ar-SA"/>
        </w:rPr>
        <w:t>：</w:t>
      </w:r>
      <w:r>
        <w:rPr>
          <w:rFonts w:hint="eastAsia" w:ascii="宋体" w:hAnsi="宋体" w:eastAsia="宋体" w:cs="宋体"/>
          <w:color w:val="auto"/>
          <w:sz w:val="24"/>
          <w:szCs w:val="24"/>
          <w:highlight w:val="none"/>
          <w:lang w:bidi="ar-SA"/>
        </w:rPr>
        <w:t>自合同签订之日起</w:t>
      </w:r>
      <w:r>
        <w:rPr>
          <w:rFonts w:hint="eastAsia" w:ascii="宋体" w:hAnsi="宋体" w:eastAsia="宋体" w:cs="宋体"/>
          <w:color w:val="auto"/>
          <w:sz w:val="24"/>
          <w:szCs w:val="24"/>
          <w:highlight w:val="none"/>
          <w:lang w:val="en-US" w:eastAsia="zh-CN" w:bidi="ar-SA"/>
        </w:rPr>
        <w:t>12</w:t>
      </w:r>
      <w:r>
        <w:rPr>
          <w:rFonts w:hint="eastAsia" w:ascii="宋体" w:hAnsi="宋体" w:eastAsia="宋体" w:cs="宋体"/>
          <w:color w:val="auto"/>
          <w:sz w:val="24"/>
          <w:szCs w:val="24"/>
          <w:highlight w:val="none"/>
          <w:lang w:bidi="ar-SA"/>
        </w:rPr>
        <w:t>个月（</w:t>
      </w:r>
      <w:r>
        <w:rPr>
          <w:rFonts w:hint="eastAsia" w:ascii="宋体" w:hAnsi="宋体" w:eastAsia="宋体" w:cs="宋体"/>
          <w:color w:val="auto"/>
          <w:sz w:val="24"/>
          <w:szCs w:val="24"/>
          <w:highlight w:val="none"/>
          <w:lang w:val="en-US" w:eastAsia="zh-CN" w:bidi="ar-SA"/>
        </w:rPr>
        <w:t>1</w:t>
      </w:r>
      <w:r>
        <w:rPr>
          <w:rFonts w:hint="eastAsia" w:ascii="宋体" w:hAnsi="宋体" w:eastAsia="宋体" w:cs="宋体"/>
          <w:color w:val="auto"/>
          <w:sz w:val="24"/>
          <w:szCs w:val="24"/>
          <w:highlight w:val="none"/>
          <w:lang w:bidi="ar-SA"/>
        </w:rPr>
        <w:t>年）</w:t>
      </w:r>
      <w:r>
        <w:rPr>
          <w:rFonts w:hint="eastAsia" w:ascii="宋体" w:hAnsi="宋体" w:eastAsia="宋体" w:cs="宋体"/>
          <w:color w:val="auto"/>
          <w:sz w:val="24"/>
          <w:szCs w:val="24"/>
          <w:highlight w:val="none"/>
          <w:lang w:eastAsia="zh-CN" w:bidi="ar-SA"/>
        </w:rPr>
        <w:t>，服务范围包括项目概况所包含的所有范围。</w:t>
      </w:r>
      <w:r>
        <w:rPr>
          <w:rFonts w:hint="eastAsia" w:ascii="宋体" w:hAnsi="宋体" w:eastAsia="宋体" w:cs="宋体"/>
          <w:b/>
          <w:color w:val="auto"/>
          <w:sz w:val="24"/>
          <w:szCs w:val="24"/>
          <w:highlight w:val="none"/>
          <w:lang w:bidi="ar-SA"/>
        </w:rPr>
        <w:t xml:space="preserve"> </w:t>
      </w:r>
    </w:p>
    <w:p w14:paraId="4A802DD9">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b/>
          <w:bCs w:val="0"/>
          <w:color w:val="auto"/>
          <w:sz w:val="24"/>
          <w:szCs w:val="24"/>
          <w:highlight w:val="none"/>
          <w:lang w:bidi="ar-SA"/>
        </w:rPr>
      </w:pPr>
      <w:r>
        <w:rPr>
          <w:rFonts w:hint="eastAsia" w:ascii="宋体" w:hAnsi="宋体" w:eastAsia="宋体" w:cs="宋体"/>
          <w:b/>
          <w:color w:val="auto"/>
          <w:sz w:val="24"/>
          <w:szCs w:val="24"/>
          <w:highlight w:val="none"/>
          <w:lang w:bidi="ar-SA"/>
        </w:rPr>
        <w:t>四、各类岗位人员配置：</w:t>
      </w:r>
      <w:r>
        <w:rPr>
          <w:rFonts w:hint="eastAsia" w:ascii="宋体" w:hAnsi="宋体" w:eastAsia="宋体" w:cs="宋体"/>
          <w:b w:val="0"/>
          <w:bCs/>
          <w:color w:val="auto"/>
          <w:sz w:val="24"/>
          <w:szCs w:val="24"/>
          <w:highlight w:val="none"/>
          <w:lang w:bidi="ar-SA"/>
        </w:rPr>
        <w:t>项目经理1人、项目主管1人、水电维修员2人、引导/讲解员2人、协管队长1人、协管员26人（含韦昌辉故居、三界庙、旧址协管）、消防监控室6人</w:t>
      </w:r>
      <w:r>
        <w:rPr>
          <w:rFonts w:hint="eastAsia" w:ascii="宋体" w:hAnsi="宋体" w:eastAsia="宋体" w:cs="宋体"/>
          <w:b/>
          <w:bCs w:val="0"/>
          <w:color w:val="auto"/>
          <w:sz w:val="24"/>
          <w:szCs w:val="24"/>
          <w:highlight w:val="none"/>
          <w:lang w:bidi="ar-SA"/>
        </w:rPr>
        <w:t>(需持证上岗）</w:t>
      </w:r>
      <w:r>
        <w:rPr>
          <w:rFonts w:hint="eastAsia" w:ascii="宋体" w:hAnsi="宋体" w:eastAsia="宋体" w:cs="宋体"/>
          <w:b w:val="0"/>
          <w:bCs/>
          <w:color w:val="auto"/>
          <w:sz w:val="24"/>
          <w:szCs w:val="24"/>
          <w:highlight w:val="none"/>
          <w:lang w:bidi="ar-SA"/>
        </w:rPr>
        <w:t>、保洁员11人（含韦昌辉故居、旧址保洁）、保洁班长1人、绿化班长1人、绿化员7人（含旧址绿化），共计59人。</w:t>
      </w:r>
      <w:r>
        <w:rPr>
          <w:rFonts w:hint="eastAsia" w:ascii="宋体" w:hAnsi="宋体" w:eastAsia="宋体" w:cs="宋体"/>
          <w:b/>
          <w:bCs w:val="0"/>
          <w:color w:val="auto"/>
          <w:sz w:val="24"/>
          <w:szCs w:val="24"/>
          <w:highlight w:val="none"/>
          <w:lang w:bidi="ar-SA"/>
        </w:rPr>
        <w:t>其中项目经理、水电维修员、协管队长必须持证上岗。</w:t>
      </w:r>
    </w:p>
    <w:p w14:paraId="0AFC0813">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五、总体服务标准：</w:t>
      </w:r>
      <w:r>
        <w:rPr>
          <w:rFonts w:hint="eastAsia" w:ascii="宋体" w:hAnsi="宋体" w:eastAsia="宋体" w:cs="宋体"/>
          <w:color w:val="auto"/>
          <w:sz w:val="24"/>
          <w:szCs w:val="24"/>
          <w:highlight w:val="none"/>
          <w:lang w:bidi="ar-SA"/>
        </w:rPr>
        <w:t>选派具有丰富管理经验和出色管理能力的管理人员，以及技能熟练的操作层员工来组建专业化、高素质的员工队伍 ，提供人性化并符合要求的物业管理服务。</w:t>
      </w:r>
    </w:p>
    <w:p w14:paraId="2BA8DFFA">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六、物业服务工作主要包括三大项：</w:t>
      </w:r>
    </w:p>
    <w:p w14:paraId="5AF8C651">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(一)景区清扫保洁和景区水体保洁。</w:t>
      </w:r>
      <w:r>
        <w:rPr>
          <w:rFonts w:hint="eastAsia" w:ascii="宋体" w:hAnsi="宋体" w:eastAsia="宋体" w:cs="宋体"/>
          <w:color w:val="auto"/>
          <w:sz w:val="24"/>
          <w:szCs w:val="24"/>
          <w:highlight w:val="none"/>
          <w:lang w:bidi="ar-SA"/>
        </w:rPr>
        <w:t>清扫保洁范围包括：硬化地面积2.49万平方米，文化中心库房区、展示展演区、文保科研区、游客中心与公共活动区、传承教育区、业务管理区、设备用房、三界庙、傅家寨、古林社和相关辅助功能区、韦昌辉展陈馆、犀牛岭保护展示区（主要包含金田起义南门223.46㎡、管理用房810.31㎡、洪秀全雕塑广场891.38㎡、南广场293.39㎡、北广场355.64㎡、生态停车场等），水体面积0.9万平方米。清扫保洁内容包括园路、园林小品、坐凳、坐椅、垃圾桶、指示牌、导览牌、厕所等设施的全天清洁保洁，园内水体全天清洁保洁，定期冲洗广场硬化地面及园路主干道。清扫保洁要求和标准“详见附表1《清扫保洁养护考核细则》”。</w:t>
      </w:r>
    </w:p>
    <w:p w14:paraId="71E55BAB">
      <w:pPr>
        <w:pageBreakBefore w:val="0"/>
        <w:widowControl w:val="0"/>
        <w:kinsoku/>
        <w:wordWrap/>
        <w:overflowPunct/>
        <w:topLinePunct w:val="0"/>
        <w:autoSpaceDE/>
        <w:autoSpaceDN/>
        <w:bidi w:val="0"/>
        <w:adjustRightInd/>
        <w:snapToGrid w:val="0"/>
        <w:spacing w:line="360" w:lineRule="auto"/>
        <w:ind w:left="0" w:firstLine="354" w:firstLineChars="147"/>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服务标准</w:t>
      </w:r>
    </w:p>
    <w:p w14:paraId="6213ABF1">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1、景区公共场所及博物馆卫生</w:t>
      </w:r>
    </w:p>
    <w:p w14:paraId="7F62F99F">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 xml:space="preserve">A、景区路面：干净卫生,无积水、纸屑及瓜果皮等杂物，道路通畅无阻。 </w:t>
      </w:r>
    </w:p>
    <w:p w14:paraId="4C930791">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 xml:space="preserve">B、景区内，公共财物干净整齐，无异物、灰尘、蜘蛛网和虫类，桌椅摆放整齐。  </w:t>
      </w:r>
    </w:p>
    <w:p w14:paraId="06B04420">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 xml:space="preserve">C、工作区：工作区内无积水、无油渍，清洁整齐，无异物，用具摆放整齐有序。 </w:t>
      </w:r>
    </w:p>
    <w:p w14:paraId="1B527BE1">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 xml:space="preserve">D、园林小径：无枯朽树枝，无杂草。 </w:t>
      </w:r>
    </w:p>
    <w:p w14:paraId="3C8EEDDF">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F、各景点垃圾箱干净、美观、无污迹，无异味。</w:t>
      </w:r>
    </w:p>
    <w:p w14:paraId="545030E9">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2、公共卫生间</w:t>
      </w:r>
    </w:p>
    <w:p w14:paraId="15F65153">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公共卫生间达到六无、六净：</w:t>
      </w:r>
    </w:p>
    <w:p w14:paraId="1C48AA83">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六无：（1）无痰涕、纸屑（2）无堵塞（3）无污垢󰀀（4）无污泥、地面无积水（5）无蛆蝇、臭味（6）无积尘、蜘蛛网</w:t>
      </w:r>
    </w:p>
    <w:p w14:paraId="5D41193E">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六净：（1）墙壁、门窗净（2）间隔净、无损坏（3）便槽净（4）地面、立面净（5）蹲位净（6）公厕周围净</w:t>
      </w:r>
    </w:p>
    <w:p w14:paraId="1583F0FD">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3、管理制度</w:t>
      </w:r>
    </w:p>
    <w:p w14:paraId="0A9AF7C3">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 xml:space="preserve">  管理制度是搞好环卫管理工作的保证，管理制度包括保洁员的岗位责任制，劳动纪律要求，奖惩条例，岗位培训组织教材，不定期对员工进行卫生要求的培训和教育，保洁管理在制度建设上的要求：</w:t>
      </w:r>
    </w:p>
    <w:p w14:paraId="258AA535">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A、明确要求：严格要求自己，认真完成各项工作；</w:t>
      </w:r>
    </w:p>
    <w:p w14:paraId="1BE9A947">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 xml:space="preserve">B、规定标准：严格管理工作的物品和耗材； </w:t>
      </w:r>
    </w:p>
    <w:p w14:paraId="284742E6">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 xml:space="preserve">C、计划安排；管理员负责与保洁员讲解工作计划，布置清洁任务，明确清洁目标。 </w:t>
      </w:r>
    </w:p>
    <w:p w14:paraId="71A1F934">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D、定期检查。做好相关检查台账。</w:t>
      </w:r>
    </w:p>
    <w:p w14:paraId="1F8380C2">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（二）景区绿化养护工作。</w:t>
      </w:r>
    </w:p>
    <w:p w14:paraId="652C02DA">
      <w:pPr>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绿化养护范围包括：景区（含博物馆）绿地面积8万平方米。景区绿地面积约8万平方米。绿化养护内容包括：对现有苗木和花卉进行淋水、施肥、修剪、除杂草、松土、刷石灰、清理枯残枝以及病虫害防治等，对树木防霜冻扎薄膜，对新增零星苗木和花卉进行补植及围树盘，绿化卫生保洁，绿化监察保护。养护要求和标准“详见附表2《绿化养护考核细则》”。物业服务处绿化班似按以下流程：</w:t>
      </w:r>
    </w:p>
    <w:p w14:paraId="437D14AC">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1、对花圃养育精心培植，细心照料，并做好花卉的过冬工作；</w:t>
      </w:r>
    </w:p>
    <w:p w14:paraId="0E9C6CA9">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2、要保持花圃整洁卫生，杂物，肮脏物要及时清理；</w:t>
      </w:r>
    </w:p>
    <w:p w14:paraId="7ED793C9">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3、协助保洁员做绿地的环境卫生工作；</w:t>
      </w:r>
    </w:p>
    <w:p w14:paraId="06D7EF31">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4、要保护草坪生长良好，定期修剪，严禁他人践踏草坪；</w:t>
      </w:r>
    </w:p>
    <w:p w14:paraId="2ABCF7A7">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5、做好绿化苗木的病虫害防治工作，降低死株比例，缺株及时补植；</w:t>
      </w:r>
    </w:p>
    <w:p w14:paraId="3EAA5271">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6、台风前对花木做好立支柱、疏剪枝叶的防风工作，风后清除花木断折的干、枝、扶正培植倒斜的花木；</w:t>
      </w:r>
    </w:p>
    <w:p w14:paraId="2D32D42C">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7、做好花卉浇水、施肥、松土等工作时，清理周边的环境卫生。</w:t>
      </w:r>
    </w:p>
    <w:p w14:paraId="120C5C67">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8、搬运花卉时，要注意保护花卉形姿、不受损、场地卫生、尽量减少花泥及污物的散落，及时清理干净。</w:t>
      </w:r>
    </w:p>
    <w:p w14:paraId="31DC1A07">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9、发现病虫害，进行捕捉或喷药消灭；杀虫农药时要按防治对象配置药剂和按规程做好防范工作，保证人、花、木的安全。</w:t>
      </w:r>
    </w:p>
    <w:p w14:paraId="605AD4A3">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绿化养护管理服务标准及控制规范</w:t>
      </w:r>
    </w:p>
    <w:p w14:paraId="39F181A7">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（一）花圃</w:t>
      </w:r>
    </w:p>
    <w:p w14:paraId="68FAEC35">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1．地面：无杂草、无脏物、无杂物、通道干净畅通。</w:t>
      </w:r>
    </w:p>
    <w:p w14:paraId="57397C8D">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 花盆：同一品种花卉、树木堆放集中整齐，阳性植物和阴性植物分别堆放，盆内无杂物和杂草，叶面无黄叶和大面积的虫斑，空花盆按大小集中。</w:t>
      </w:r>
    </w:p>
    <w:p w14:paraId="32FD5F6C">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3.农药、材料、工具集中摆放。</w:t>
      </w:r>
    </w:p>
    <w:p w14:paraId="1E348F23">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（二）建筑物周边配套绿化</w:t>
      </w:r>
    </w:p>
    <w:p w14:paraId="384D6A38">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 树木：树上无枯枝、造型独特，地面四周无杂草和脏杂物。</w:t>
      </w:r>
    </w:p>
    <w:p w14:paraId="79EF20D2">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 绿化带：修剪整齐，高矮一致；种植稠密、无枯枝、无黄叶、无大面积虫斑，地面无杂草和杂物。</w:t>
      </w:r>
    </w:p>
    <w:p w14:paraId="1EA49922">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 草坪：修剪整齐，种植稠密、无大面积枯死，草坪内无杂草。</w:t>
      </w:r>
    </w:p>
    <w:p w14:paraId="569AF0CE">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 树盆：修剪及时、高矮一致，无枯枝黄叶，盆内无杂草和脏杂物，坛内草坪修剪整齐。</w:t>
      </w:r>
    </w:p>
    <w:p w14:paraId="7A1EA048">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5.花坛：修剪整齐，高矮一致，无枯枝黄叶，坛内无杂草和脏杂物，盆内无杂草。</w:t>
      </w:r>
    </w:p>
    <w:p w14:paraId="2FBCC372">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eastAsia="zh-CN" w:bidi="ar-SA"/>
        </w:rPr>
        <w:t>（</w:t>
      </w:r>
      <w:r>
        <w:rPr>
          <w:rFonts w:hint="eastAsia" w:ascii="宋体" w:hAnsi="宋体" w:eastAsia="宋体" w:cs="宋体"/>
          <w:b/>
          <w:color w:val="auto"/>
          <w:sz w:val="24"/>
          <w:szCs w:val="24"/>
          <w:highlight w:val="none"/>
          <w:lang w:val="en-US" w:eastAsia="zh-CN" w:bidi="ar-SA"/>
        </w:rPr>
        <w:t>三</w:t>
      </w:r>
      <w:r>
        <w:rPr>
          <w:rFonts w:hint="eastAsia" w:ascii="宋体" w:hAnsi="宋体" w:eastAsia="宋体" w:cs="宋体"/>
          <w:b/>
          <w:color w:val="auto"/>
          <w:sz w:val="24"/>
          <w:szCs w:val="24"/>
          <w:highlight w:val="none"/>
          <w:lang w:eastAsia="zh-CN" w:bidi="ar-SA"/>
        </w:rPr>
        <w:t>）</w:t>
      </w:r>
      <w:r>
        <w:rPr>
          <w:rFonts w:hint="eastAsia" w:ascii="宋体" w:hAnsi="宋体" w:eastAsia="宋体" w:cs="宋体"/>
          <w:b/>
          <w:color w:val="auto"/>
          <w:sz w:val="24"/>
          <w:szCs w:val="24"/>
          <w:highlight w:val="none"/>
          <w:lang w:bidi="ar-SA"/>
        </w:rPr>
        <w:t>景区安全秩序工作。</w:t>
      </w:r>
    </w:p>
    <w:p w14:paraId="6F995693">
      <w:pPr>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安全秩序范围是景区辖区212133.44平方米。安全秩序工作包括景区所有区域的安全秩序维护服务工作，具体包括：在景区设置岗亭门卫提供全天值班服务，区内及馆内巡查，维护景区秩序，保护公共财物，做好景区防火、防盗工作。安保秩序工作要求和标准“详见附表3《安全秩序考核细则》”。针对安全秩序维护服务工作，制定以下安全防范的任务和措施：</w:t>
      </w:r>
    </w:p>
    <w:p w14:paraId="7970DAF2">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1、文物进行展览时，要做好展厅、展室的安全巡查工作，防范参观者和游客涂、写、刻、划甚至破坏、偷盗文物；</w:t>
      </w:r>
    </w:p>
    <w:p w14:paraId="62F9828F">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2、开馆前，要先检查 门窗、展柜、展品有无异样，有无变动或损坏丢失；</w:t>
      </w:r>
    </w:p>
    <w:p w14:paraId="54A234B1">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3、闭馆时，要做好清馆清场工作，以防范不法分子藏匿行窃；</w:t>
      </w:r>
    </w:p>
    <w:p w14:paraId="7881444B">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4、闭馆后，要加强值班，开展展厅、展室的巡逻和检查工作；</w:t>
      </w:r>
    </w:p>
    <w:p w14:paraId="596609E2">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5、严守库房秘密，不得向无关人员泄漏库房文物的情况；</w:t>
      </w:r>
    </w:p>
    <w:p w14:paraId="66D89FD5">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6、做好文物转运时的安全防范工作；</w:t>
      </w:r>
    </w:p>
    <w:p w14:paraId="14B95183">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7、根据文物单位的风险等级，采取相应的防盗，防范火灾、治安事件发生；</w:t>
      </w:r>
    </w:p>
    <w:p w14:paraId="41EDD57C">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8、注意道路、车场管理，防范参观人员的存车被损、被盗。</w:t>
      </w:r>
    </w:p>
    <w:p w14:paraId="480EB4B7">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9、协助验票人员，管理游客进出景区秩序。</w:t>
      </w:r>
    </w:p>
    <w:p w14:paraId="307075F6">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七、各类岗位人员要求：</w:t>
      </w:r>
    </w:p>
    <w:p w14:paraId="322CD321">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1、项目经理、项目主管要求：</w:t>
      </w:r>
      <w:r>
        <w:rPr>
          <w:rFonts w:hint="eastAsia" w:ascii="宋体" w:hAnsi="宋体" w:eastAsia="宋体" w:cs="宋体"/>
          <w:color w:val="auto"/>
          <w:sz w:val="24"/>
          <w:szCs w:val="24"/>
          <w:highlight w:val="none"/>
          <w:lang w:bidi="ar-SA"/>
        </w:rPr>
        <w:t>应具备大专及以上学历，具有物业管理师证</w:t>
      </w:r>
      <w:r>
        <w:rPr>
          <w:rFonts w:hint="eastAsia" w:ascii="宋体" w:hAnsi="宋体" w:eastAsia="宋体" w:cs="宋体"/>
          <w:b/>
          <w:bCs/>
          <w:color w:val="auto"/>
          <w:sz w:val="24"/>
          <w:szCs w:val="24"/>
          <w:highlight w:val="none"/>
          <w:lang w:bidi="ar-SA"/>
        </w:rPr>
        <w:t>（</w:t>
      </w:r>
      <w:r>
        <w:rPr>
          <w:rFonts w:hint="eastAsia" w:ascii="宋体" w:hAnsi="宋体" w:eastAsia="宋体" w:cs="宋体"/>
          <w:b/>
          <w:color w:val="auto"/>
          <w:sz w:val="24"/>
          <w:szCs w:val="24"/>
          <w:highlight w:val="none"/>
          <w:lang w:bidi="ar-SA"/>
        </w:rPr>
        <w:t>项目经理</w:t>
      </w:r>
      <w:r>
        <w:rPr>
          <w:rFonts w:hint="eastAsia" w:ascii="宋体" w:hAnsi="宋体" w:eastAsia="宋体" w:cs="宋体"/>
          <w:b/>
          <w:bCs/>
          <w:color w:val="auto"/>
          <w:sz w:val="24"/>
          <w:szCs w:val="24"/>
          <w:highlight w:val="none"/>
          <w:lang w:bidi="ar-SA"/>
        </w:rPr>
        <w:t>在上岗前必须向采购人提供拟进驻项目经理学历证书、物业管理师证或项目经理证复印件）</w:t>
      </w:r>
      <w:r>
        <w:rPr>
          <w:rFonts w:hint="eastAsia" w:ascii="宋体" w:hAnsi="宋体" w:eastAsia="宋体" w:cs="宋体"/>
          <w:color w:val="auto"/>
          <w:sz w:val="24"/>
          <w:szCs w:val="24"/>
          <w:highlight w:val="none"/>
          <w:lang w:bidi="ar-SA"/>
        </w:rPr>
        <w:t>，熟悉物业管理服务流程。负责制定日常工作计划和方案，统筹安排各项日常工作，负责制订各项必要的应急预案并组织人员学习和演练。审核、制定年度工作计划、员工培训计划，批准季度、月、周工作计划，检查落实工作执行情况。发现问题及时处理，对工作质量和进度负总责。并负责与业主单位日常工作联系，对业主单位提出的建议和要求及时响应，并进行实施和改进。</w:t>
      </w:r>
    </w:p>
    <w:p w14:paraId="4D11B5F1">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b/>
          <w:color w:val="auto"/>
          <w:sz w:val="24"/>
          <w:szCs w:val="24"/>
          <w:highlight w:val="none"/>
          <w:lang w:bidi="ar-SA"/>
        </w:rPr>
      </w:pPr>
      <w:r>
        <w:rPr>
          <w:rFonts w:hint="eastAsia" w:ascii="宋体" w:hAnsi="宋体" w:eastAsia="宋体" w:cs="宋体"/>
          <w:color w:val="auto"/>
          <w:sz w:val="24"/>
          <w:szCs w:val="24"/>
          <w:highlight w:val="none"/>
          <w:lang w:bidi="ar-SA"/>
        </w:rPr>
        <w:t>2、</w:t>
      </w:r>
      <w:r>
        <w:rPr>
          <w:rFonts w:hint="eastAsia" w:ascii="宋体" w:hAnsi="宋体" w:eastAsia="宋体" w:cs="宋体"/>
          <w:b/>
          <w:color w:val="auto"/>
          <w:sz w:val="24"/>
          <w:szCs w:val="24"/>
          <w:highlight w:val="none"/>
          <w:lang w:bidi="ar-SA"/>
        </w:rPr>
        <w:t>水电维护员要求：</w:t>
      </w:r>
      <w:r>
        <w:rPr>
          <w:rFonts w:hint="eastAsia" w:ascii="宋体" w:hAnsi="宋体" w:eastAsia="宋体" w:cs="宋体"/>
          <w:color w:val="auto"/>
          <w:sz w:val="24"/>
          <w:szCs w:val="24"/>
          <w:highlight w:val="none"/>
          <w:lang w:bidi="ar-SA"/>
        </w:rPr>
        <w:t>熟悉所辖物业内电力设备包括输电线路、高低压配电柜、变压器、照明系统、各类电动机、各系统相关电气设备、暖通、电梯系统以及避雷设备等的基本情况、各供电电源开关、控制柜的位置和控制范围，并会正确操作；熟悉给排水、电、地下管网走向、管径、阀门、水电表、窖井、地漏位置、容量、功能、作用等基本情况，并会正确操作；负责定时抄录水电设备能耗数据，杜绝“跑、冒、滴、漏”现象，做好节能降耗；负责做好责任范围内突发事件的应急处理；有大型维修、大型检查或遇到突发事件，中标单位需及时安排其他水电维修员临时协助工作，年龄</w:t>
      </w:r>
      <w:r>
        <w:rPr>
          <w:rFonts w:hint="eastAsia" w:ascii="宋体" w:hAnsi="宋体" w:cs="宋体"/>
          <w:color w:val="auto"/>
          <w:sz w:val="24"/>
          <w:szCs w:val="24"/>
          <w:highlight w:val="none"/>
          <w:lang w:val="en-US" w:eastAsia="zh-CN" w:bidi="ar-SA"/>
        </w:rPr>
        <w:t>55</w:t>
      </w:r>
      <w:r>
        <w:rPr>
          <w:rFonts w:hint="eastAsia" w:ascii="宋体" w:hAnsi="宋体" w:eastAsia="宋体" w:cs="宋体"/>
          <w:color w:val="auto"/>
          <w:sz w:val="24"/>
          <w:szCs w:val="24"/>
          <w:highlight w:val="none"/>
          <w:lang w:bidi="ar-SA"/>
        </w:rPr>
        <w:t>岁以内。（</w:t>
      </w:r>
      <w:r>
        <w:rPr>
          <w:rFonts w:hint="eastAsia" w:ascii="宋体" w:hAnsi="宋体" w:eastAsia="宋体" w:cs="宋体"/>
          <w:b/>
          <w:color w:val="auto"/>
          <w:sz w:val="24"/>
          <w:szCs w:val="24"/>
          <w:highlight w:val="none"/>
          <w:lang w:bidi="ar-SA"/>
        </w:rPr>
        <w:t>水电维护员在上岗前</w:t>
      </w:r>
      <w:r>
        <w:rPr>
          <w:rFonts w:hint="eastAsia" w:ascii="宋体" w:hAnsi="宋体" w:eastAsia="宋体" w:cs="宋体"/>
          <w:color w:val="auto"/>
          <w:sz w:val="24"/>
          <w:szCs w:val="24"/>
          <w:highlight w:val="none"/>
          <w:lang w:bidi="ar-SA"/>
        </w:rPr>
        <w:t>必须向采购人提供拟进驻电工上岗操作证）。</w:t>
      </w:r>
    </w:p>
    <w:p w14:paraId="33E8369B">
      <w:pPr>
        <w:pageBreakBefore w:val="0"/>
        <w:widowControl w:val="0"/>
        <w:kinsoku/>
        <w:wordWrap/>
        <w:overflowPunct/>
        <w:topLinePunct w:val="0"/>
        <w:autoSpaceDE/>
        <w:autoSpaceDN/>
        <w:bidi w:val="0"/>
        <w:adjustRightInd/>
        <w:snapToGrid w:val="0"/>
        <w:spacing w:line="360" w:lineRule="auto"/>
        <w:ind w:left="0" w:firstLine="484" w:firstLineChars="202"/>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1.内容：设备、设施小损、小坏的维修，保持房屋原来完好等级为目的日常养护工作。</w:t>
      </w:r>
    </w:p>
    <w:p w14:paraId="038F00D9">
      <w:pPr>
        <w:pageBreakBefore w:val="0"/>
        <w:widowControl w:val="0"/>
        <w:kinsoku/>
        <w:wordWrap/>
        <w:overflowPunct/>
        <w:topLinePunct w:val="0"/>
        <w:autoSpaceDE/>
        <w:autoSpaceDN/>
        <w:bidi w:val="0"/>
        <w:adjustRightInd/>
        <w:snapToGrid w:val="0"/>
        <w:spacing w:line="360" w:lineRule="auto"/>
        <w:ind w:left="0" w:firstLine="484" w:firstLineChars="202"/>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(1)巡视：包括楼梯、电梯、墙面、天面、公共门窗、递路、水池、消防设施、供排水系统、空调系统、照明系统及供配电系统、路灯、化粪池、沟渠等。</w:t>
      </w:r>
    </w:p>
    <w:p w14:paraId="33B0E6AD">
      <w:pPr>
        <w:pageBreakBefore w:val="0"/>
        <w:widowControl w:val="0"/>
        <w:kinsoku/>
        <w:wordWrap/>
        <w:overflowPunct/>
        <w:topLinePunct w:val="0"/>
        <w:autoSpaceDE/>
        <w:autoSpaceDN/>
        <w:bidi w:val="0"/>
        <w:adjustRightInd/>
        <w:snapToGrid w:val="0"/>
        <w:spacing w:line="360" w:lineRule="auto"/>
        <w:ind w:left="0" w:firstLine="484" w:firstLineChars="202"/>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(2)维修养护：处理博物馆局申报的维修工作及对公共设施设备的日常保养。</w:t>
      </w:r>
    </w:p>
    <w:p w14:paraId="5F9180AA">
      <w:pPr>
        <w:pageBreakBefore w:val="0"/>
        <w:widowControl w:val="0"/>
        <w:kinsoku/>
        <w:wordWrap/>
        <w:overflowPunct/>
        <w:topLinePunct w:val="0"/>
        <w:autoSpaceDE/>
        <w:autoSpaceDN/>
        <w:bidi w:val="0"/>
        <w:adjustRightInd/>
        <w:snapToGrid w:val="0"/>
        <w:spacing w:line="360" w:lineRule="auto"/>
        <w:ind w:left="0" w:firstLine="484" w:firstLineChars="202"/>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(3)维修档案整理：对每日处理的维修工作及投诉处理进行详细记录。值班维护。</w:t>
      </w:r>
    </w:p>
    <w:p w14:paraId="0A2B0113">
      <w:pPr>
        <w:pageBreakBefore w:val="0"/>
        <w:widowControl w:val="0"/>
        <w:kinsoku/>
        <w:wordWrap/>
        <w:overflowPunct/>
        <w:topLinePunct w:val="0"/>
        <w:autoSpaceDE/>
        <w:autoSpaceDN/>
        <w:bidi w:val="0"/>
        <w:adjustRightInd/>
        <w:snapToGrid w:val="0"/>
        <w:spacing w:line="360" w:lineRule="auto"/>
        <w:ind w:left="0" w:firstLine="484" w:firstLineChars="202"/>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(4)运行记录。做好人员安排、工作职责和交接班记录，设备正常运行的各项数据记录，计划停电、停水、停气应提前12小时通知业主并做好解释工作，确保设备正常运行。</w:t>
      </w:r>
    </w:p>
    <w:p w14:paraId="5C87C421">
      <w:pPr>
        <w:pageBreakBefore w:val="0"/>
        <w:widowControl w:val="0"/>
        <w:kinsoku/>
        <w:wordWrap/>
        <w:overflowPunct/>
        <w:topLinePunct w:val="0"/>
        <w:autoSpaceDE/>
        <w:autoSpaceDN/>
        <w:bidi w:val="0"/>
        <w:adjustRightInd/>
        <w:snapToGrid w:val="0"/>
        <w:spacing w:line="360" w:lineRule="auto"/>
        <w:ind w:left="0" w:firstLine="484" w:firstLineChars="202"/>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(5)检修记录。依据设备规定要求及操作规程按时检修并做好记录工作，定期派专业人员对系统进行测试、检查、消除事故 隐患，确保系统安全、可靠。</w:t>
      </w:r>
    </w:p>
    <w:p w14:paraId="24516749">
      <w:pPr>
        <w:pageBreakBefore w:val="0"/>
        <w:widowControl w:val="0"/>
        <w:kinsoku/>
        <w:wordWrap/>
        <w:overflowPunct/>
        <w:topLinePunct w:val="0"/>
        <w:autoSpaceDE/>
        <w:autoSpaceDN/>
        <w:bidi w:val="0"/>
        <w:adjustRightInd/>
        <w:snapToGrid w:val="0"/>
        <w:spacing w:line="360" w:lineRule="auto"/>
        <w:ind w:left="0" w:firstLine="484" w:firstLineChars="202"/>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(6)日常保养。每月对破损和老化设备进行更换和修补，擦拭灰尘、污溃和刷防腐漆等。</w:t>
      </w:r>
    </w:p>
    <w:p w14:paraId="16CEE19D">
      <w:pPr>
        <w:pageBreakBefore w:val="0"/>
        <w:widowControl w:val="0"/>
        <w:kinsoku/>
        <w:wordWrap/>
        <w:overflowPunct/>
        <w:topLinePunct w:val="0"/>
        <w:autoSpaceDE/>
        <w:autoSpaceDN/>
        <w:bidi w:val="0"/>
        <w:adjustRightInd/>
        <w:snapToGrid w:val="0"/>
        <w:spacing w:line="360" w:lineRule="auto"/>
        <w:ind w:left="0" w:firstLine="484" w:firstLineChars="202"/>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(7)事故处理。发生设备事故造成停电、停水、停气的，要提交事故报告，向业主说明事故原因，事故处理意见。</w:t>
      </w:r>
    </w:p>
    <w:p w14:paraId="7A21E17F">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bidi="ar-SA"/>
        </w:rPr>
        <w:t>3、</w:t>
      </w:r>
      <w:r>
        <w:rPr>
          <w:rFonts w:hint="eastAsia" w:ascii="宋体" w:hAnsi="宋体" w:eastAsia="宋体" w:cs="宋体"/>
          <w:b/>
          <w:bCs/>
          <w:color w:val="auto"/>
          <w:sz w:val="24"/>
          <w:szCs w:val="24"/>
          <w:highlight w:val="none"/>
          <w:lang w:bidi="ar-SA"/>
        </w:rPr>
        <w:t>协管队长、协管员（含引导员、安全监控员）要求</w:t>
      </w:r>
      <w:r>
        <w:rPr>
          <w:rFonts w:hint="eastAsia" w:ascii="宋体" w:hAnsi="宋体" w:eastAsia="宋体" w:cs="宋体"/>
          <w:color w:val="auto"/>
          <w:sz w:val="24"/>
          <w:szCs w:val="24"/>
          <w:highlight w:val="none"/>
          <w:lang w:bidi="ar-SA"/>
        </w:rPr>
        <w:t>：要求身体素质佳，能吃苦耐劳，具备良好的综合素质，上岗前必须经过岗位培训，岗中持续培训，无犯罪记录，能熟练操作监控录像系统、火灾自动报警系统设备，具备一定沟通能力，责任心强，反应敏捷，精神面貌佳，能认真遵守各项规章制度，熟练掌握工作流程，实行半军事化管理，年龄5</w:t>
      </w:r>
      <w:r>
        <w:rPr>
          <w:rFonts w:hint="eastAsia" w:ascii="宋体" w:hAnsi="宋体" w:eastAsia="宋体" w:cs="宋体"/>
          <w:color w:val="auto"/>
          <w:sz w:val="24"/>
          <w:szCs w:val="24"/>
          <w:highlight w:val="none"/>
          <w:lang w:val="en-US" w:eastAsia="zh-CN" w:bidi="ar-SA"/>
        </w:rPr>
        <w:t>5</w:t>
      </w:r>
      <w:r>
        <w:rPr>
          <w:rFonts w:hint="eastAsia" w:ascii="宋体" w:hAnsi="宋体" w:eastAsia="宋体" w:cs="宋体"/>
          <w:color w:val="auto"/>
          <w:sz w:val="24"/>
          <w:szCs w:val="24"/>
          <w:highlight w:val="none"/>
          <w:lang w:bidi="ar-SA"/>
        </w:rPr>
        <w:t>岁以下，上岗前必须经过岗位培训，岗中持续培训，无犯罪记录；引导员要求。引导员岗位要求具有高中以上学历，年龄18-40周岁之间，女性身高1.55米以上，男性身高1.6米以上，形象好，气质佳。身心健康、五官端正、手臂无纹身无明显疤痕，发色无明显染色。口齿清楚，声音宏亮，具有良好的语言表达与沟通能力。安全监控员要求。熟练掌握监控室监控系统的性能以及操作方法，熟悉景区各安全防范控制点的安装位置。</w:t>
      </w:r>
      <w:r>
        <w:rPr>
          <w:rFonts w:hint="eastAsia" w:ascii="宋体" w:hAnsi="宋体" w:eastAsia="宋体" w:cs="宋体"/>
          <w:b/>
          <w:bCs/>
          <w:color w:val="auto"/>
          <w:sz w:val="24"/>
          <w:szCs w:val="24"/>
          <w:highlight w:val="none"/>
          <w:lang w:bidi="ar-SA"/>
        </w:rPr>
        <w:t>（协管队长在上岗前必须向采购人提供拟进驻退伍军人证或保安上岗证）</w:t>
      </w:r>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lang w:eastAsia="zh-CN" w:bidi="ar-SA"/>
        </w:rPr>
        <w:t>以上岗位条件可适当放宽优先考虑本地灵活就业人员。</w:t>
      </w:r>
    </w:p>
    <w:p w14:paraId="66E09230">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w:t>
      </w:r>
      <w:r>
        <w:rPr>
          <w:rFonts w:hint="eastAsia" w:ascii="宋体" w:hAnsi="宋体" w:eastAsia="宋体" w:cs="宋体"/>
          <w:b/>
          <w:bCs/>
          <w:color w:val="auto"/>
          <w:sz w:val="24"/>
          <w:szCs w:val="24"/>
          <w:highlight w:val="none"/>
          <w:lang w:bidi="ar-SA"/>
        </w:rPr>
        <w:t>保洁员兼绿化员要求</w:t>
      </w:r>
      <w:r>
        <w:rPr>
          <w:rFonts w:hint="eastAsia" w:ascii="宋体" w:hAnsi="宋体" w:eastAsia="宋体" w:cs="宋体"/>
          <w:color w:val="auto"/>
          <w:sz w:val="24"/>
          <w:szCs w:val="24"/>
          <w:highlight w:val="none"/>
          <w:lang w:bidi="ar-SA"/>
        </w:rPr>
        <w:t>：要求身体健康，责任心强，有物业管理清洁保洁工作经验及绿化修剪工作经验，负责辖区内的环境清洁卫生、垃圾的收集、清运及化粪池、沟渠、景观水池清理等清洁保洁服务，景区的绿化养护、修剪、树叶清理等工作，年龄5</w:t>
      </w:r>
      <w:r>
        <w:rPr>
          <w:rFonts w:hint="eastAsia" w:ascii="宋体" w:hAnsi="宋体" w:eastAsia="宋体" w:cs="宋体"/>
          <w:color w:val="auto"/>
          <w:sz w:val="24"/>
          <w:szCs w:val="24"/>
          <w:highlight w:val="none"/>
          <w:lang w:val="en-US" w:eastAsia="zh-CN" w:bidi="ar-SA"/>
        </w:rPr>
        <w:t>5</w:t>
      </w:r>
      <w:r>
        <w:rPr>
          <w:rFonts w:hint="eastAsia" w:ascii="宋体" w:hAnsi="宋体" w:eastAsia="宋体" w:cs="宋体"/>
          <w:color w:val="auto"/>
          <w:sz w:val="24"/>
          <w:szCs w:val="24"/>
          <w:highlight w:val="none"/>
          <w:lang w:bidi="ar-SA"/>
        </w:rPr>
        <w:t>岁以下，身体健康，无犯罪记录。</w:t>
      </w:r>
      <w:r>
        <w:rPr>
          <w:rFonts w:hint="eastAsia" w:ascii="宋体" w:hAnsi="宋体" w:eastAsia="宋体" w:cs="宋体"/>
          <w:color w:val="auto"/>
          <w:sz w:val="24"/>
          <w:szCs w:val="24"/>
          <w:highlight w:val="none"/>
          <w:lang w:eastAsia="zh-CN" w:bidi="ar-SA"/>
        </w:rPr>
        <w:t>以上岗位条件可适当放宽优先考虑本地灵活就业人员。</w:t>
      </w:r>
    </w:p>
    <w:p w14:paraId="519B4D61">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八、对中标人的基本要求和说明</w:t>
      </w:r>
    </w:p>
    <w:p w14:paraId="364C5EE0">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（1）中标人必须服从采购人管理，遵守采购人有关管理制度，严格按照采购人的要求提供管理服务，自觉接受采购人相关管理部门的业务检查和监督，并接受服务对象的监督。</w:t>
      </w:r>
    </w:p>
    <w:p w14:paraId="39A0CAC5">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中标人的管理和服务工作人员必须经过上岗前培训（包括思想道德、法制、安全、工作技能、管理制度、服务意识等教育），培训合格率达100%，符合国家有关劳动用工的法律法规。上班时必须佩戴工卡、穿统一制服。</w:t>
      </w:r>
    </w:p>
    <w:p w14:paraId="6579C12F">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中标人有责任对派驻采购人的物业管理服务部门的工作质量实行有效监管。中标人的质量管理部门每月应不少于一次会同采购人管理部门和中标人驻采购人物业项目经理检查物业管理服务工作质量，对存在的问题要按采购人的要求抓好整改落实。</w:t>
      </w:r>
    </w:p>
    <w:p w14:paraId="13A7AE10">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（4）物业管理范围内发生的人身伤害、物品被盗、人为损坏设备设施，属中标人及其工作人员管理不善原因造成的，由中标人负责相关赔偿。</w:t>
      </w:r>
    </w:p>
    <w:p w14:paraId="0D5D2A2C">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5）物业管理范围内，若发生物品被盗被抢被损等安全事故，属中标人及其工作人员因管理不善或监守自盗等原因造成的，由中标人负责相关经济赔偿，并依法追究中标人主要负责人和直接责任人的相应法律责任。</w:t>
      </w:r>
    </w:p>
    <w:p w14:paraId="243A7184">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6）中标人在服务人员中任命合同的执行代表，以便就合同执行当中的具体事宜进行协调。采购人对中标人所负责服务项目的投诉，中标人合同执行代表应立即处理，特殊情况不超过12小时，在此期间内向采购人做出合理解释。</w:t>
      </w:r>
    </w:p>
    <w:p w14:paraId="16DB7DBA">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（7）中标人工作人员应固定保持在90%以上，凡更换人员必须做好交接班工作，若因交接班衔接不好，致使采购人工作受到影响者，按考核制度处罚。</w:t>
      </w:r>
    </w:p>
    <w:p w14:paraId="7E6E169C">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（8）中标人聘用的员工，必须符合法律、政策的有关要求，并向采购人提供有关身份证证明（复印件），聘用人员的资料以表格形式汇总加盖公章交采购人的保卫、后勤部门备案。</w:t>
      </w:r>
    </w:p>
    <w:p w14:paraId="103B2D39">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（9）同等条件下优先聘用本单位临时工。</w:t>
      </w:r>
    </w:p>
    <w:p w14:paraId="4651D89C">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b/>
          <w:color w:val="auto"/>
          <w:sz w:val="24"/>
          <w:szCs w:val="24"/>
          <w:highlight w:val="none"/>
          <w:u w:val="single"/>
          <w:lang w:bidi="ar-SA"/>
        </w:rPr>
      </w:pPr>
      <w:r>
        <w:rPr>
          <w:rFonts w:hint="eastAsia" w:ascii="宋体" w:hAnsi="宋体" w:eastAsia="宋体" w:cs="宋体"/>
          <w:b/>
          <w:color w:val="auto"/>
          <w:sz w:val="24"/>
          <w:szCs w:val="24"/>
          <w:highlight w:val="none"/>
          <w:lang w:bidi="ar-SA"/>
        </w:rPr>
        <w:t>九、中标人责任承担</w:t>
      </w:r>
    </w:p>
    <w:p w14:paraId="0CA29D94">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中标人在提供管理服务时必须做好各项安全防范措施，中标人所有工作人员在合约期间如发生任何人身意外（生病、伤亡事故）、事故或触犯法律法规（包括劳动用工制度、发生劳资纠纷、采购人的规章制度等）、或损坏采购人的设施和物品，判定属于中标人的责任范围由中标人负完全责任。</w:t>
      </w:r>
    </w:p>
    <w:p w14:paraId="624FA578">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（2）若中标人违约，未能达到标书中约定的管理目标，采购人有权单方提前解除合同，中标人承担违约责任；造成采购人经济损失的，按造成的实际损失予以赔偿。</w:t>
      </w:r>
    </w:p>
    <w:p w14:paraId="697F0D64">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（3）若中标人擅自转包、分包，或以任何形式与第三方进行合作的属违约，一经查实，中标人应向采购人承担违约责任，采购人可随时单方面解除合同。</w:t>
      </w:r>
    </w:p>
    <w:p w14:paraId="27B4821C">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（4）中标人若违背本招标文件中确定的义务，必须承担违约责任。</w:t>
      </w:r>
    </w:p>
    <w:p w14:paraId="4BE50AFB">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（5）中标人必须执行各级政府及有关部门的相关政策，如保险：要按照国家有关规定为其员工购买劳动保险，费用由中标人负责。</w:t>
      </w:r>
    </w:p>
    <w:p w14:paraId="0B0124C8">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（6）中标人及其工作人员在采购人交由中标人管理和服务的工作区域内违法犯罪属实，中标人应赔偿并承担相应的法律责任，并不得再使用有关员工。</w:t>
      </w:r>
    </w:p>
    <w:p w14:paraId="0FC8E953">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（7）员工的薪酬、福利待遇以及物业管理服务中所发生的各项税收、费用由中标人承担。</w:t>
      </w:r>
    </w:p>
    <w:p w14:paraId="572C5FB3">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bCs/>
          <w:color w:val="auto"/>
          <w:sz w:val="24"/>
          <w:szCs w:val="24"/>
          <w:highlight w:val="none"/>
          <w:lang w:bidi="ar-SA"/>
        </w:rPr>
        <w:t>十、中标人承担风险</w:t>
      </w:r>
    </w:p>
    <w:p w14:paraId="0422CCFC">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（1）所有拟派驻本项目的人员最低工资标准须符合《最低工资规定》（劳动和社会保障部令2004年第21号）和广西壮族自治区人民政府最新发布的《关于调整全区职工最低工资标准的通知》或同类文件的规定。</w:t>
      </w:r>
    </w:p>
    <w:p w14:paraId="4C7E4F42">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（2）投标人必须对所有拟派驻本项目的人员按规定签订劳务合同，缴纳社会保险意外伤害险</w:t>
      </w:r>
      <w:r>
        <w:rPr>
          <w:rFonts w:hint="eastAsia" w:ascii="宋体" w:hAnsi="宋体" w:eastAsia="宋体" w:cs="宋体"/>
          <w:bCs/>
          <w:color w:val="auto"/>
          <w:sz w:val="24"/>
          <w:szCs w:val="24"/>
          <w:highlight w:val="none"/>
          <w:lang w:bidi="ar-SA"/>
        </w:rPr>
        <w:t>等</w:t>
      </w:r>
      <w:r>
        <w:rPr>
          <w:rFonts w:hint="eastAsia" w:ascii="宋体" w:hAnsi="宋体" w:eastAsia="宋体" w:cs="宋体"/>
          <w:color w:val="auto"/>
          <w:sz w:val="24"/>
          <w:szCs w:val="24"/>
          <w:highlight w:val="none"/>
          <w:lang w:bidi="ar-SA"/>
        </w:rPr>
        <w:t>。</w:t>
      </w:r>
    </w:p>
    <w:p w14:paraId="32655AE8">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（3）工作人员在岗履行工作职责期间，发生自身的人身伤害、伤亡，均由中标人负责处理并承担经济和道义上的责任，采购人不承担任何责任。</w:t>
      </w:r>
    </w:p>
    <w:p w14:paraId="30223638">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 xml:space="preserve">（4）中标人违反国家相关法规，与聘用人员发生纠纷，均由中标人负责调解与处理，采购人不承担责任。 </w:t>
      </w:r>
    </w:p>
    <w:p w14:paraId="59EF464A">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（5）采购人后勤处将对采购人物业管理服务质量进行全过程监控，如中标人日常工作不到位、不达标、或有违约现象，将依据合同约定，作出相应的违约处理与处罚。</w:t>
      </w:r>
    </w:p>
    <w:p w14:paraId="7DA561BA">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（6）违约处理与处罚规定：中标方在合同执行期间，如果有下列情形之一者，采购人有权从责任保证金中视情节轻重扣除50～100元/次。</w:t>
      </w:r>
    </w:p>
    <w:p w14:paraId="1A49665E">
      <w:pPr>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fldChar w:fldCharType="begin"/>
      </w:r>
      <w:r>
        <w:rPr>
          <w:rFonts w:hint="eastAsia" w:ascii="宋体" w:hAnsi="宋体" w:eastAsia="宋体" w:cs="宋体"/>
          <w:color w:val="auto"/>
          <w:sz w:val="24"/>
          <w:szCs w:val="24"/>
          <w:highlight w:val="none"/>
          <w:lang w:bidi="ar-SA"/>
        </w:rPr>
        <w:instrText xml:space="preserve"> = 1 \* GB3 </w:instrText>
      </w:r>
      <w:r>
        <w:rPr>
          <w:rFonts w:hint="eastAsia" w:ascii="宋体" w:hAnsi="宋体" w:eastAsia="宋体" w:cs="宋体"/>
          <w:color w:val="auto"/>
          <w:sz w:val="24"/>
          <w:szCs w:val="24"/>
          <w:highlight w:val="none"/>
          <w:lang w:bidi="ar-SA"/>
        </w:rPr>
        <w:fldChar w:fldCharType="separate"/>
      </w:r>
      <w:r>
        <w:rPr>
          <w:rFonts w:hint="eastAsia" w:ascii="宋体" w:hAnsi="宋体" w:eastAsia="宋体" w:cs="宋体"/>
          <w:color w:val="auto"/>
          <w:sz w:val="24"/>
          <w:szCs w:val="24"/>
          <w:highlight w:val="none"/>
          <w:lang w:bidi="ar-SA"/>
        </w:rPr>
        <w:t>①</w:t>
      </w:r>
      <w:r>
        <w:rPr>
          <w:rFonts w:hint="eastAsia" w:ascii="宋体" w:hAnsi="宋体" w:eastAsia="宋体" w:cs="宋体"/>
          <w:color w:val="auto"/>
          <w:sz w:val="24"/>
          <w:szCs w:val="24"/>
          <w:highlight w:val="none"/>
          <w:lang w:bidi="ar-SA"/>
        </w:rPr>
        <w:fldChar w:fldCharType="end"/>
      </w:r>
      <w:r>
        <w:rPr>
          <w:rFonts w:hint="eastAsia" w:ascii="宋体" w:hAnsi="宋体" w:eastAsia="宋体" w:cs="宋体"/>
          <w:color w:val="auto"/>
          <w:sz w:val="24"/>
          <w:szCs w:val="24"/>
          <w:highlight w:val="none"/>
          <w:lang w:bidi="ar-SA"/>
        </w:rPr>
        <w:t>未经采购人同意，擅自外调(借)工作人员的。</w:t>
      </w:r>
    </w:p>
    <w:p w14:paraId="2FCC314D">
      <w:pPr>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fldChar w:fldCharType="begin"/>
      </w:r>
      <w:r>
        <w:rPr>
          <w:rFonts w:hint="eastAsia" w:ascii="宋体" w:hAnsi="宋体" w:eastAsia="宋体" w:cs="宋体"/>
          <w:color w:val="auto"/>
          <w:sz w:val="24"/>
          <w:szCs w:val="24"/>
          <w:highlight w:val="none"/>
          <w:lang w:bidi="ar-SA"/>
        </w:rPr>
        <w:instrText xml:space="preserve"> = 2 \* GB3 </w:instrText>
      </w:r>
      <w:r>
        <w:rPr>
          <w:rFonts w:hint="eastAsia" w:ascii="宋体" w:hAnsi="宋体" w:eastAsia="宋体" w:cs="宋体"/>
          <w:color w:val="auto"/>
          <w:sz w:val="24"/>
          <w:szCs w:val="24"/>
          <w:highlight w:val="none"/>
          <w:lang w:bidi="ar-SA"/>
        </w:rPr>
        <w:fldChar w:fldCharType="separate"/>
      </w:r>
      <w:r>
        <w:rPr>
          <w:rFonts w:hint="eastAsia" w:ascii="宋体" w:hAnsi="宋体" w:eastAsia="宋体" w:cs="宋体"/>
          <w:color w:val="auto"/>
          <w:sz w:val="24"/>
          <w:szCs w:val="24"/>
          <w:highlight w:val="none"/>
          <w:lang w:bidi="ar-SA"/>
        </w:rPr>
        <w:t>②</w:t>
      </w:r>
      <w:r>
        <w:rPr>
          <w:rFonts w:hint="eastAsia" w:ascii="宋体" w:hAnsi="宋体" w:eastAsia="宋体" w:cs="宋体"/>
          <w:color w:val="auto"/>
          <w:sz w:val="24"/>
          <w:szCs w:val="24"/>
          <w:highlight w:val="none"/>
          <w:lang w:bidi="ar-SA"/>
        </w:rPr>
        <w:fldChar w:fldCharType="end"/>
      </w:r>
      <w:r>
        <w:rPr>
          <w:rFonts w:hint="eastAsia" w:ascii="宋体" w:hAnsi="宋体" w:eastAsia="宋体" w:cs="宋体"/>
          <w:color w:val="auto"/>
          <w:sz w:val="24"/>
          <w:szCs w:val="24"/>
          <w:highlight w:val="none"/>
          <w:lang w:bidi="ar-SA"/>
        </w:rPr>
        <w:t>未及时配备工作人员的统一服装及附属装备并给采购人带来不良影响的，没有配备相应的办公用品（如电脑、打印机、办公桌椅等相关办公设备）影响正常工作的。</w:t>
      </w:r>
    </w:p>
    <w:p w14:paraId="108B5CFC">
      <w:pPr>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fldChar w:fldCharType="begin"/>
      </w:r>
      <w:r>
        <w:rPr>
          <w:rFonts w:hint="eastAsia" w:ascii="宋体" w:hAnsi="宋体" w:eastAsia="宋体" w:cs="宋体"/>
          <w:color w:val="auto"/>
          <w:sz w:val="24"/>
          <w:szCs w:val="24"/>
          <w:highlight w:val="none"/>
          <w:lang w:bidi="ar-SA"/>
        </w:rPr>
        <w:instrText xml:space="preserve"> = 3 \* GB3 </w:instrText>
      </w:r>
      <w:r>
        <w:rPr>
          <w:rFonts w:hint="eastAsia" w:ascii="宋体" w:hAnsi="宋体" w:eastAsia="宋体" w:cs="宋体"/>
          <w:color w:val="auto"/>
          <w:sz w:val="24"/>
          <w:szCs w:val="24"/>
          <w:highlight w:val="none"/>
          <w:lang w:bidi="ar-SA"/>
        </w:rPr>
        <w:fldChar w:fldCharType="separate"/>
      </w:r>
      <w:r>
        <w:rPr>
          <w:rFonts w:hint="eastAsia" w:ascii="宋体" w:hAnsi="宋体" w:eastAsia="宋体" w:cs="宋体"/>
          <w:color w:val="auto"/>
          <w:sz w:val="24"/>
          <w:szCs w:val="24"/>
          <w:highlight w:val="none"/>
          <w:lang w:bidi="ar-SA"/>
        </w:rPr>
        <w:t>③</w:t>
      </w:r>
      <w:r>
        <w:rPr>
          <w:rFonts w:hint="eastAsia" w:ascii="宋体" w:hAnsi="宋体" w:eastAsia="宋体" w:cs="宋体"/>
          <w:color w:val="auto"/>
          <w:sz w:val="24"/>
          <w:szCs w:val="24"/>
          <w:highlight w:val="none"/>
          <w:lang w:bidi="ar-SA"/>
        </w:rPr>
        <w:fldChar w:fldCharType="end"/>
      </w:r>
      <w:r>
        <w:rPr>
          <w:rFonts w:hint="eastAsia" w:ascii="宋体" w:hAnsi="宋体" w:eastAsia="宋体" w:cs="宋体"/>
          <w:color w:val="auto"/>
          <w:sz w:val="24"/>
          <w:szCs w:val="24"/>
          <w:highlight w:val="none"/>
          <w:lang w:bidi="ar-SA"/>
        </w:rPr>
        <w:t>发生其他有损采购人形象或影响正常工作的造成损失的。</w:t>
      </w:r>
    </w:p>
    <w:p w14:paraId="40849FD0">
      <w:pPr>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fldChar w:fldCharType="begin"/>
      </w:r>
      <w:r>
        <w:rPr>
          <w:rFonts w:hint="eastAsia" w:ascii="宋体" w:hAnsi="宋体" w:eastAsia="宋体" w:cs="宋体"/>
          <w:color w:val="auto"/>
          <w:sz w:val="24"/>
          <w:szCs w:val="24"/>
          <w:highlight w:val="none"/>
          <w:lang w:bidi="ar-SA"/>
        </w:rPr>
        <w:instrText xml:space="preserve"> = 4 \* GB3 </w:instrText>
      </w:r>
      <w:r>
        <w:rPr>
          <w:rFonts w:hint="eastAsia" w:ascii="宋体" w:hAnsi="宋体" w:eastAsia="宋体" w:cs="宋体"/>
          <w:color w:val="auto"/>
          <w:sz w:val="24"/>
          <w:szCs w:val="24"/>
          <w:highlight w:val="none"/>
          <w:lang w:bidi="ar-SA"/>
        </w:rPr>
        <w:fldChar w:fldCharType="separate"/>
      </w:r>
      <w:r>
        <w:rPr>
          <w:rFonts w:hint="eastAsia" w:ascii="宋体" w:hAnsi="宋体" w:eastAsia="宋体" w:cs="宋体"/>
          <w:color w:val="auto"/>
          <w:sz w:val="24"/>
          <w:szCs w:val="24"/>
          <w:highlight w:val="none"/>
          <w:lang w:bidi="ar-SA"/>
        </w:rPr>
        <w:t>④</w:t>
      </w:r>
      <w:r>
        <w:rPr>
          <w:rFonts w:hint="eastAsia" w:ascii="宋体" w:hAnsi="宋体" w:eastAsia="宋体" w:cs="宋体"/>
          <w:color w:val="auto"/>
          <w:sz w:val="24"/>
          <w:szCs w:val="24"/>
          <w:highlight w:val="none"/>
          <w:lang w:bidi="ar-SA"/>
        </w:rPr>
        <w:fldChar w:fldCharType="end"/>
      </w:r>
      <w:r>
        <w:rPr>
          <w:rFonts w:hint="eastAsia" w:ascii="宋体" w:hAnsi="宋体" w:eastAsia="宋体" w:cs="宋体"/>
          <w:color w:val="auto"/>
          <w:sz w:val="24"/>
          <w:szCs w:val="24"/>
          <w:highlight w:val="none"/>
          <w:lang w:bidi="ar-SA"/>
        </w:rPr>
        <w:t>采购人指出中标人工作中存在的问题与不足，中标人未能及时整改。</w:t>
      </w:r>
    </w:p>
    <w:p w14:paraId="688D42DC">
      <w:pPr>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⑤未24小时值守监控室，发现监控室无人值守的</w:t>
      </w:r>
    </w:p>
    <w:p w14:paraId="07DBB0FE">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十一、</w:t>
      </w:r>
      <w:r>
        <w:rPr>
          <w:rFonts w:hint="eastAsia" w:ascii="宋体" w:hAnsi="宋体" w:eastAsia="宋体" w:cs="宋体"/>
          <w:b/>
          <w:bCs/>
          <w:color w:val="auto"/>
          <w:sz w:val="24"/>
          <w:szCs w:val="24"/>
          <w:highlight w:val="none"/>
          <w:lang w:bidi="ar-SA"/>
        </w:rPr>
        <w:t>投标报价是履行合同的最终价格，投标人对投标报价中的工作量和服务的报价应包含以下部分：</w:t>
      </w:r>
    </w:p>
    <w:p w14:paraId="1B6849A1">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（1）人工费用（含员工工资、必要的各类保险费及税金等）</w:t>
      </w:r>
      <w:r>
        <w:rPr>
          <w:rFonts w:hint="eastAsia" w:ascii="宋体" w:hAnsi="宋体" w:eastAsia="宋体" w:cs="宋体"/>
          <w:bCs/>
          <w:color w:val="auto"/>
          <w:kern w:val="0"/>
          <w:sz w:val="24"/>
          <w:szCs w:val="24"/>
          <w:highlight w:val="none"/>
          <w:lang w:bidi="ar"/>
        </w:rPr>
        <w:t>加班费、福利费</w:t>
      </w:r>
      <w:r>
        <w:rPr>
          <w:rFonts w:hint="eastAsia" w:ascii="宋体" w:hAnsi="宋体" w:eastAsia="宋体" w:cs="宋体"/>
          <w:bCs/>
          <w:color w:val="auto"/>
          <w:sz w:val="24"/>
          <w:szCs w:val="24"/>
          <w:highlight w:val="none"/>
          <w:lang w:bidi="ar-SA"/>
        </w:rPr>
        <w:t>；</w:t>
      </w:r>
    </w:p>
    <w:p w14:paraId="59C2138E">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（2）制服、绿化</w:t>
      </w:r>
      <w:r>
        <w:rPr>
          <w:rFonts w:hint="eastAsia" w:ascii="宋体" w:hAnsi="宋体" w:cs="宋体"/>
          <w:color w:val="auto"/>
          <w:sz w:val="24"/>
          <w:szCs w:val="24"/>
          <w:highlight w:val="none"/>
          <w:lang w:eastAsia="zh-CN" w:bidi="ar-SA"/>
        </w:rPr>
        <w:t>（剪刀和割草机等）、所有移动垃圾桶</w:t>
      </w:r>
      <w:r>
        <w:rPr>
          <w:rFonts w:hint="eastAsia" w:ascii="宋体" w:hAnsi="宋体" w:eastAsia="宋体" w:cs="宋体"/>
          <w:color w:val="auto"/>
          <w:sz w:val="24"/>
          <w:szCs w:val="24"/>
          <w:highlight w:val="none"/>
          <w:lang w:bidi="ar-SA"/>
        </w:rPr>
        <w:t>费用等</w:t>
      </w:r>
      <w:r>
        <w:rPr>
          <w:rFonts w:hint="eastAsia" w:ascii="宋体" w:hAnsi="宋体" w:cs="宋体"/>
          <w:color w:val="auto"/>
          <w:sz w:val="24"/>
          <w:szCs w:val="24"/>
          <w:highlight w:val="none"/>
          <w:lang w:eastAsia="zh-CN" w:bidi="ar-SA"/>
        </w:rPr>
        <w:t>物业</w:t>
      </w:r>
      <w:r>
        <w:rPr>
          <w:rFonts w:hint="eastAsia" w:ascii="宋体" w:hAnsi="宋体" w:eastAsia="宋体" w:cs="宋体"/>
          <w:color w:val="auto"/>
          <w:sz w:val="24"/>
          <w:szCs w:val="24"/>
          <w:highlight w:val="none"/>
          <w:lang w:bidi="ar-SA"/>
        </w:rPr>
        <w:t>日常用品用具</w:t>
      </w:r>
      <w:r>
        <w:rPr>
          <w:rFonts w:hint="eastAsia" w:ascii="宋体" w:hAnsi="宋体" w:cs="宋体"/>
          <w:color w:val="auto"/>
          <w:sz w:val="24"/>
          <w:szCs w:val="24"/>
          <w:highlight w:val="none"/>
          <w:lang w:eastAsia="zh-CN" w:bidi="ar-SA"/>
        </w:rPr>
        <w:t>用品</w:t>
      </w:r>
      <w:r>
        <w:rPr>
          <w:rFonts w:hint="eastAsia" w:ascii="宋体" w:hAnsi="宋体" w:eastAsia="宋体" w:cs="宋体"/>
          <w:color w:val="auto"/>
          <w:sz w:val="24"/>
          <w:szCs w:val="24"/>
          <w:highlight w:val="none"/>
          <w:lang w:bidi="ar-SA"/>
        </w:rPr>
        <w:t>的消耗和折旧费</w:t>
      </w:r>
    </w:p>
    <w:p w14:paraId="5164BADA">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、行政办公用品及资料印刷、服务清单涵盖的所有项目等费用；</w:t>
      </w:r>
    </w:p>
    <w:p w14:paraId="2BE39F23">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（3）管理本项目所必需的设备费；</w:t>
      </w:r>
    </w:p>
    <w:p w14:paraId="0E206D1B">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（4）合理利润；</w:t>
      </w:r>
    </w:p>
    <w:p w14:paraId="63F5E179">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（5）不可预见费用；</w:t>
      </w:r>
    </w:p>
    <w:p w14:paraId="43F25D69">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（6）政策性文件规定及合同包含的所有风险、责任等各项应有费用等。</w:t>
      </w:r>
    </w:p>
    <w:p w14:paraId="436D9644">
      <w:pPr>
        <w:pageBreakBefore w:val="0"/>
        <w:widowControl w:val="0"/>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十二、付款方式：</w:t>
      </w:r>
      <w:r>
        <w:rPr>
          <w:rFonts w:hint="eastAsia" w:ascii="宋体" w:hAnsi="宋体" w:eastAsia="宋体" w:cs="宋体"/>
          <w:color w:val="auto"/>
          <w:sz w:val="24"/>
          <w:szCs w:val="24"/>
          <w:highlight w:val="none"/>
          <w:lang w:bidi="ar-SA"/>
        </w:rPr>
        <w:t>按</w:t>
      </w:r>
      <w:r>
        <w:rPr>
          <w:rFonts w:hint="eastAsia" w:ascii="宋体" w:hAnsi="宋体" w:cs="宋体"/>
          <w:color w:val="auto"/>
          <w:sz w:val="24"/>
          <w:szCs w:val="24"/>
          <w:highlight w:val="none"/>
          <w:lang w:eastAsia="zh-CN" w:bidi="ar-SA"/>
        </w:rPr>
        <w:t>季</w:t>
      </w:r>
      <w:r>
        <w:rPr>
          <w:rFonts w:hint="eastAsia" w:ascii="宋体" w:hAnsi="宋体" w:eastAsia="宋体" w:cs="宋体"/>
          <w:color w:val="auto"/>
          <w:sz w:val="24"/>
          <w:szCs w:val="24"/>
          <w:highlight w:val="none"/>
          <w:lang w:bidi="ar-SA"/>
        </w:rPr>
        <w:t>支付物业管理费用，每</w:t>
      </w:r>
      <w:r>
        <w:rPr>
          <w:rFonts w:hint="eastAsia" w:ascii="宋体" w:hAnsi="宋体" w:cs="宋体"/>
          <w:color w:val="auto"/>
          <w:sz w:val="24"/>
          <w:szCs w:val="24"/>
          <w:highlight w:val="none"/>
          <w:lang w:eastAsia="zh-CN" w:bidi="ar-SA"/>
        </w:rPr>
        <w:t>个季度结束</w:t>
      </w:r>
      <w:r>
        <w:rPr>
          <w:rFonts w:hint="eastAsia" w:ascii="宋体" w:hAnsi="宋体" w:eastAsia="宋体" w:cs="宋体"/>
          <w:color w:val="auto"/>
          <w:sz w:val="24"/>
          <w:szCs w:val="24"/>
          <w:highlight w:val="none"/>
          <w:lang w:bidi="ar-SA"/>
        </w:rPr>
        <w:t>开具上</w:t>
      </w:r>
      <w:r>
        <w:rPr>
          <w:rFonts w:hint="eastAsia" w:ascii="宋体" w:hAnsi="宋体" w:cs="宋体"/>
          <w:color w:val="auto"/>
          <w:sz w:val="24"/>
          <w:szCs w:val="24"/>
          <w:highlight w:val="none"/>
          <w:lang w:eastAsia="zh-CN" w:bidi="ar-SA"/>
        </w:rPr>
        <w:t>季度</w:t>
      </w:r>
      <w:r>
        <w:rPr>
          <w:rFonts w:hint="eastAsia" w:ascii="宋体" w:hAnsi="宋体" w:eastAsia="宋体" w:cs="宋体"/>
          <w:color w:val="auto"/>
          <w:sz w:val="24"/>
          <w:szCs w:val="24"/>
          <w:highlight w:val="none"/>
          <w:lang w:bidi="ar-SA"/>
        </w:rPr>
        <w:t>物业服务费发票，并在当月支付上</w:t>
      </w:r>
      <w:r>
        <w:rPr>
          <w:rFonts w:hint="eastAsia" w:ascii="宋体" w:hAnsi="宋体" w:cs="宋体"/>
          <w:color w:val="auto"/>
          <w:sz w:val="24"/>
          <w:szCs w:val="24"/>
          <w:highlight w:val="none"/>
          <w:lang w:eastAsia="zh-CN" w:bidi="ar-SA"/>
        </w:rPr>
        <w:t>季度</w:t>
      </w:r>
      <w:r>
        <w:rPr>
          <w:rFonts w:hint="eastAsia" w:ascii="宋体" w:hAnsi="宋体" w:eastAsia="宋体" w:cs="宋体"/>
          <w:color w:val="auto"/>
          <w:sz w:val="24"/>
          <w:szCs w:val="24"/>
          <w:highlight w:val="none"/>
          <w:lang w:bidi="ar-SA"/>
        </w:rPr>
        <w:t>的物业管理费用。中标供应商在申请每笔款项前均需开具发票给采购人，以便办理付款手续。</w:t>
      </w:r>
    </w:p>
    <w:p w14:paraId="0FEB74CA">
      <w:pPr>
        <w:widowControl/>
        <w:spacing w:line="360" w:lineRule="auto"/>
        <w:jc w:val="both"/>
        <w:rPr>
          <w:rFonts w:ascii="宋体" w:hAnsi="宋体" w:cs="宋体"/>
          <w:b/>
          <w:color w:val="auto"/>
          <w:kern w:val="0"/>
          <w:sz w:val="24"/>
          <w:szCs w:val="24"/>
          <w:highlight w:val="none"/>
        </w:rPr>
      </w:pPr>
      <w:r>
        <w:rPr>
          <w:rFonts w:hint="eastAsia"/>
          <w:b/>
          <w:bCs/>
          <w:color w:val="auto"/>
          <w:sz w:val="24"/>
          <w:szCs w:val="24"/>
          <w:highlight w:val="none"/>
          <w:lang w:val="en-US" w:eastAsia="zh-CN"/>
        </w:rPr>
        <w:t>十三、</w:t>
      </w:r>
      <w:r>
        <w:rPr>
          <w:rFonts w:hint="eastAsia" w:ascii="宋体" w:hAnsi="宋体" w:cs="宋体"/>
          <w:b/>
          <w:color w:val="auto"/>
          <w:kern w:val="0"/>
          <w:sz w:val="24"/>
          <w:szCs w:val="24"/>
          <w:highlight w:val="none"/>
        </w:rPr>
        <w:t>桂平市太平天国金田起义景区物业管理工作考核办法</w:t>
      </w:r>
    </w:p>
    <w:p w14:paraId="087489B3">
      <w:pPr>
        <w:rPr>
          <w:rFonts w:hint="eastAsia" w:ascii="仿宋_GB2312" w:hAnsi="宋体"/>
          <w:color w:val="auto"/>
          <w:kern w:val="0"/>
          <w:sz w:val="24"/>
          <w:szCs w:val="24"/>
          <w:highlight w:val="none"/>
        </w:rPr>
      </w:pPr>
    </w:p>
    <w:p w14:paraId="64A43AF8">
      <w:pPr>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一、考核机构与职责</w:t>
      </w:r>
    </w:p>
    <w:p w14:paraId="38CA4274">
      <w:pPr>
        <w:pageBreakBefore w:val="0"/>
        <w:widowControl/>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b/>
          <w:color w:val="auto"/>
          <w:kern w:val="0"/>
          <w:sz w:val="24"/>
          <w:szCs w:val="24"/>
          <w:highlight w:val="none"/>
          <w:lang w:bidi="ar-SA"/>
        </w:rPr>
        <w:t>（一）考核机构：</w:t>
      </w:r>
      <w:r>
        <w:rPr>
          <w:rFonts w:hint="eastAsia" w:ascii="宋体" w:hAnsi="宋体" w:eastAsia="宋体" w:cs="宋体"/>
          <w:color w:val="auto"/>
          <w:sz w:val="24"/>
          <w:szCs w:val="24"/>
          <w:highlight w:val="none"/>
          <w:lang w:bidi="ar-SA"/>
        </w:rPr>
        <w:t>桂平市文化广电体育和旅游局</w:t>
      </w:r>
      <w:r>
        <w:rPr>
          <w:rFonts w:hint="eastAsia" w:ascii="宋体" w:hAnsi="宋体" w:eastAsia="宋体" w:cs="宋体"/>
          <w:color w:val="auto"/>
          <w:kern w:val="0"/>
          <w:sz w:val="24"/>
          <w:szCs w:val="24"/>
          <w:highlight w:val="none"/>
          <w:lang w:bidi="ar-SA"/>
        </w:rPr>
        <w:t>负责组织及实施，</w:t>
      </w:r>
      <w:r>
        <w:rPr>
          <w:rFonts w:hint="eastAsia" w:ascii="宋体" w:hAnsi="宋体" w:eastAsia="宋体" w:cs="宋体"/>
          <w:color w:val="auto"/>
          <w:sz w:val="24"/>
          <w:szCs w:val="24"/>
          <w:highlight w:val="none"/>
          <w:lang w:bidi="ar-SA"/>
        </w:rPr>
        <w:t>太平天国金田起义景区管理处</w:t>
      </w:r>
      <w:r>
        <w:rPr>
          <w:rFonts w:hint="eastAsia" w:ascii="宋体" w:hAnsi="宋体" w:eastAsia="宋体" w:cs="宋体"/>
          <w:color w:val="auto"/>
          <w:kern w:val="0"/>
          <w:sz w:val="24"/>
          <w:szCs w:val="24"/>
          <w:highlight w:val="none"/>
          <w:lang w:bidi="ar-SA"/>
        </w:rPr>
        <w:t>负责每月的绩效考评。</w:t>
      </w:r>
    </w:p>
    <w:p w14:paraId="3B8E28DF">
      <w:pPr>
        <w:pageBreakBefore w:val="0"/>
        <w:widowControl/>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b/>
          <w:color w:val="auto"/>
          <w:kern w:val="0"/>
          <w:sz w:val="24"/>
          <w:szCs w:val="24"/>
          <w:highlight w:val="none"/>
          <w:lang w:bidi="ar-SA"/>
        </w:rPr>
        <w:t>（二）机构职责：</w:t>
      </w:r>
      <w:r>
        <w:rPr>
          <w:rFonts w:hint="eastAsia" w:ascii="宋体" w:hAnsi="宋体" w:eastAsia="宋体" w:cs="宋体"/>
          <w:color w:val="auto"/>
          <w:kern w:val="0"/>
          <w:sz w:val="24"/>
          <w:szCs w:val="24"/>
          <w:highlight w:val="none"/>
          <w:lang w:bidi="ar-SA"/>
        </w:rPr>
        <w:t>负责组织考核人员对桂平市太平天国金田起义地址景区清扫保洁、绿化养护和安全保安工作进行考核，计算考核结果，汇总反馈并发放整改通知书，核定承包费，交存档案等。</w:t>
      </w:r>
    </w:p>
    <w:p w14:paraId="7AA7246D">
      <w:pPr>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二、考核办法</w:t>
      </w:r>
    </w:p>
    <w:p w14:paraId="2BBFBB90">
      <w:pPr>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采取日常考核与月考核相结合的办法，对桂平市太平天国金田起义地址景区物业</w:t>
      </w:r>
      <w:r>
        <w:rPr>
          <w:rFonts w:hint="eastAsia" w:ascii="宋体" w:hAnsi="宋体" w:eastAsia="宋体" w:cs="宋体"/>
          <w:color w:val="auto"/>
          <w:sz w:val="24"/>
          <w:szCs w:val="24"/>
          <w:highlight w:val="none"/>
          <w:lang w:bidi="ar-SA"/>
        </w:rPr>
        <w:t>服务</w:t>
      </w:r>
      <w:r>
        <w:rPr>
          <w:rFonts w:hint="eastAsia" w:ascii="宋体" w:hAnsi="宋体" w:eastAsia="宋体" w:cs="宋体"/>
          <w:color w:val="auto"/>
          <w:kern w:val="0"/>
          <w:sz w:val="24"/>
          <w:szCs w:val="24"/>
          <w:highlight w:val="none"/>
          <w:lang w:bidi="ar-SA"/>
        </w:rPr>
        <w:t>工作的质量进行考核。</w:t>
      </w:r>
    </w:p>
    <w:p w14:paraId="4686DB20">
      <w:pPr>
        <w:pageBreakBefore w:val="0"/>
        <w:widowControl/>
        <w:kinsoku/>
        <w:wordWrap/>
        <w:overflowPunct/>
        <w:topLinePunct w:val="0"/>
        <w:autoSpaceDE/>
        <w:autoSpaceDN/>
        <w:bidi w:val="0"/>
        <w:adjustRightInd w:val="0"/>
        <w:snapToGrid w:val="0"/>
        <w:spacing w:line="240" w:lineRule="auto"/>
        <w:ind w:left="0" w:firstLine="482" w:firstLineChars="200"/>
        <w:textAlignment w:val="auto"/>
        <w:rPr>
          <w:rFonts w:hint="eastAsia" w:ascii="宋体" w:hAnsi="宋体" w:eastAsia="宋体" w:cs="宋体"/>
          <w:b/>
          <w:color w:val="auto"/>
          <w:kern w:val="0"/>
          <w:sz w:val="24"/>
          <w:szCs w:val="24"/>
          <w:highlight w:val="none"/>
          <w:lang w:bidi="ar-SA"/>
        </w:rPr>
      </w:pPr>
      <w:r>
        <w:rPr>
          <w:rFonts w:hint="eastAsia" w:ascii="宋体" w:hAnsi="宋体" w:eastAsia="宋体" w:cs="宋体"/>
          <w:b/>
          <w:color w:val="auto"/>
          <w:kern w:val="0"/>
          <w:sz w:val="24"/>
          <w:szCs w:val="24"/>
          <w:highlight w:val="none"/>
          <w:lang w:bidi="ar-SA"/>
        </w:rPr>
        <w:t>（一）考核方式</w:t>
      </w:r>
    </w:p>
    <w:p w14:paraId="7E0931E2">
      <w:pPr>
        <w:pageBreakBefore w:val="0"/>
        <w:widowControl/>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1. 日常考核：由</w:t>
      </w:r>
      <w:r>
        <w:rPr>
          <w:rFonts w:hint="eastAsia" w:ascii="宋体" w:hAnsi="宋体" w:eastAsia="宋体" w:cs="宋体"/>
          <w:color w:val="auto"/>
          <w:sz w:val="24"/>
          <w:szCs w:val="24"/>
          <w:highlight w:val="none"/>
          <w:lang w:bidi="ar-SA"/>
        </w:rPr>
        <w:t>桂平市太平天国金田起义景区管理处</w:t>
      </w:r>
      <w:r>
        <w:rPr>
          <w:rFonts w:hint="eastAsia" w:ascii="宋体" w:hAnsi="宋体" w:eastAsia="宋体" w:cs="宋体"/>
          <w:color w:val="auto"/>
          <w:kern w:val="0"/>
          <w:sz w:val="24"/>
          <w:szCs w:val="24"/>
          <w:highlight w:val="none"/>
          <w:lang w:bidi="ar-SA"/>
        </w:rPr>
        <w:t>派到桂平市太平天国金田起义地址景区的</w:t>
      </w:r>
      <w:r>
        <w:rPr>
          <w:rFonts w:hint="eastAsia" w:ascii="宋体" w:hAnsi="宋体" w:eastAsia="宋体" w:cs="宋体"/>
          <w:color w:val="auto"/>
          <w:sz w:val="24"/>
          <w:szCs w:val="24"/>
          <w:highlight w:val="none"/>
          <w:lang w:bidi="ar-SA"/>
        </w:rPr>
        <w:t>服务</w:t>
      </w:r>
      <w:r>
        <w:rPr>
          <w:rFonts w:hint="eastAsia" w:ascii="宋体" w:hAnsi="宋体" w:eastAsia="宋体" w:cs="宋体"/>
          <w:color w:val="auto"/>
          <w:kern w:val="0"/>
          <w:sz w:val="24"/>
          <w:szCs w:val="24"/>
          <w:highlight w:val="none"/>
          <w:lang w:bidi="ar-SA"/>
        </w:rPr>
        <w:t>人员进行考核。</w:t>
      </w:r>
    </w:p>
    <w:p w14:paraId="39BADB6A">
      <w:pPr>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2. 月终考核：由</w:t>
      </w:r>
      <w:r>
        <w:rPr>
          <w:rFonts w:hint="eastAsia" w:ascii="宋体" w:hAnsi="宋体" w:eastAsia="宋体" w:cs="宋体"/>
          <w:color w:val="auto"/>
          <w:sz w:val="24"/>
          <w:szCs w:val="24"/>
          <w:highlight w:val="none"/>
          <w:lang w:bidi="ar-SA"/>
        </w:rPr>
        <w:t>桂平市太平天国金田起义景区管理处</w:t>
      </w:r>
      <w:r>
        <w:rPr>
          <w:rFonts w:hint="eastAsia" w:ascii="宋体" w:hAnsi="宋体" w:eastAsia="宋体" w:cs="宋体"/>
          <w:color w:val="auto"/>
          <w:kern w:val="0"/>
          <w:sz w:val="24"/>
          <w:szCs w:val="24"/>
          <w:highlight w:val="none"/>
          <w:lang w:bidi="ar-SA"/>
        </w:rPr>
        <w:t>负责组织相关人员进行考核。</w:t>
      </w:r>
    </w:p>
    <w:p w14:paraId="196DC3C8">
      <w:pPr>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3. 年终考核：由桂平市财政局、</w:t>
      </w:r>
      <w:r>
        <w:rPr>
          <w:rFonts w:hint="eastAsia" w:ascii="宋体" w:hAnsi="宋体" w:eastAsia="宋体" w:cs="宋体"/>
          <w:color w:val="auto"/>
          <w:sz w:val="24"/>
          <w:szCs w:val="24"/>
          <w:highlight w:val="none"/>
          <w:lang w:bidi="ar-SA"/>
        </w:rPr>
        <w:t>桂平市文化广电体育和旅游局、桂平市太平天国金田起义景区管理处</w:t>
      </w:r>
      <w:r>
        <w:rPr>
          <w:rFonts w:hint="eastAsia" w:ascii="宋体" w:hAnsi="宋体" w:eastAsia="宋体" w:cs="宋体"/>
          <w:color w:val="auto"/>
          <w:kern w:val="0"/>
          <w:sz w:val="24"/>
          <w:szCs w:val="24"/>
          <w:highlight w:val="none"/>
          <w:lang w:bidi="ar-SA"/>
        </w:rPr>
        <w:t>负责组织相关人员进行考核。</w:t>
      </w:r>
    </w:p>
    <w:p w14:paraId="38D3030B">
      <w:pPr>
        <w:pageBreakBefore w:val="0"/>
        <w:widowControl/>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color w:val="auto"/>
          <w:kern w:val="0"/>
          <w:sz w:val="24"/>
          <w:szCs w:val="24"/>
          <w:highlight w:val="none"/>
          <w:lang w:bidi="ar-SA"/>
        </w:rPr>
      </w:pPr>
      <w:r>
        <w:rPr>
          <w:rFonts w:hint="eastAsia" w:ascii="宋体" w:hAnsi="宋体" w:eastAsia="宋体" w:cs="宋体"/>
          <w:b/>
          <w:color w:val="auto"/>
          <w:kern w:val="0"/>
          <w:sz w:val="24"/>
          <w:szCs w:val="24"/>
          <w:highlight w:val="none"/>
          <w:lang w:bidi="ar-SA"/>
        </w:rPr>
        <w:t>（二）考核程序</w:t>
      </w:r>
    </w:p>
    <w:p w14:paraId="2E2F3403">
      <w:pPr>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color w:val="auto"/>
          <w:sz w:val="24"/>
          <w:szCs w:val="24"/>
          <w:highlight w:val="none"/>
          <w:lang w:bidi="ar-SA"/>
        </w:rPr>
        <w:t>桂平市太平天国金田起义景区管理处</w:t>
      </w:r>
      <w:r>
        <w:rPr>
          <w:rFonts w:hint="eastAsia" w:ascii="宋体" w:hAnsi="宋体" w:eastAsia="宋体" w:cs="宋体"/>
          <w:color w:val="auto"/>
          <w:kern w:val="0"/>
          <w:sz w:val="24"/>
          <w:szCs w:val="24"/>
          <w:highlight w:val="none"/>
          <w:lang w:bidi="ar-SA"/>
        </w:rPr>
        <w:t>向考核小组成员（考核小组至少3人组成）发放总承包人提交的当月养护计划，发放月考核表格，带领考核小组成员到达被检查点，反馈存在问题及整改落实情况。考核小组在考核完第二天将考核结果书面材料下发给中标企业（总承包人）。</w:t>
      </w:r>
    </w:p>
    <w:p w14:paraId="0C559290">
      <w:pPr>
        <w:pageBreakBefore w:val="0"/>
        <w:widowControl/>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color w:val="auto"/>
          <w:kern w:val="0"/>
          <w:sz w:val="24"/>
          <w:szCs w:val="24"/>
          <w:highlight w:val="none"/>
          <w:lang w:bidi="ar-SA"/>
        </w:rPr>
      </w:pPr>
      <w:r>
        <w:rPr>
          <w:rFonts w:hint="eastAsia" w:ascii="宋体" w:hAnsi="宋体" w:eastAsia="宋体" w:cs="宋体"/>
          <w:b/>
          <w:color w:val="auto"/>
          <w:kern w:val="0"/>
          <w:sz w:val="24"/>
          <w:szCs w:val="24"/>
          <w:highlight w:val="none"/>
          <w:lang w:bidi="ar-SA"/>
        </w:rPr>
        <w:t>（三）考核次数、时间</w:t>
      </w:r>
    </w:p>
    <w:p w14:paraId="218A1262">
      <w:pPr>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每月不定期对总承包人员所管辖的区域进行2-3次的日常考核，在当月15日～20日进行月考核，每年年终进行考核1次。</w:t>
      </w:r>
    </w:p>
    <w:p w14:paraId="2C431A9A">
      <w:pPr>
        <w:pageBreakBefore w:val="0"/>
        <w:widowControl/>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color w:val="auto"/>
          <w:kern w:val="0"/>
          <w:sz w:val="24"/>
          <w:szCs w:val="24"/>
          <w:highlight w:val="none"/>
          <w:lang w:bidi="ar-SA"/>
        </w:rPr>
      </w:pPr>
      <w:r>
        <w:rPr>
          <w:rFonts w:hint="eastAsia" w:ascii="宋体" w:hAnsi="宋体" w:eastAsia="宋体" w:cs="宋体"/>
          <w:b/>
          <w:color w:val="auto"/>
          <w:kern w:val="0"/>
          <w:sz w:val="24"/>
          <w:szCs w:val="24"/>
          <w:highlight w:val="none"/>
          <w:lang w:bidi="ar-SA"/>
        </w:rPr>
        <w:t>（四）考核办法</w:t>
      </w:r>
    </w:p>
    <w:p w14:paraId="211FA1E0">
      <w:pPr>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1. 日常考核为全面实地考核；</w:t>
      </w:r>
    </w:p>
    <w:p w14:paraId="48BA643B">
      <w:pPr>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2. 月终考核，由考核小组现场抽出不少于50％地块或地段作为当月考核的地块，按考核标准评出平均分数作为考核分数，考核表一式两份，考核标准详见附表1、2、3；</w:t>
      </w:r>
    </w:p>
    <w:p w14:paraId="6C5D4061">
      <w:pPr>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3. 年终考核，由考核小组根据</w:t>
      </w:r>
      <w:r>
        <w:rPr>
          <w:rFonts w:hint="eastAsia" w:ascii="宋体" w:hAnsi="宋体" w:eastAsia="宋体" w:cs="宋体"/>
          <w:color w:val="auto"/>
          <w:sz w:val="24"/>
          <w:szCs w:val="24"/>
          <w:highlight w:val="none"/>
          <w:lang w:bidi="ar-SA"/>
        </w:rPr>
        <w:t>桂平市太平天国金田起义景区管理处</w:t>
      </w:r>
      <w:r>
        <w:rPr>
          <w:rFonts w:hint="eastAsia" w:ascii="宋体" w:hAnsi="宋体" w:eastAsia="宋体" w:cs="宋体"/>
          <w:color w:val="auto"/>
          <w:kern w:val="0"/>
          <w:sz w:val="24"/>
          <w:szCs w:val="24"/>
          <w:highlight w:val="none"/>
          <w:lang w:bidi="ar-SA"/>
        </w:rPr>
        <w:t>提供的影像及图片进行对比和现场检查考核。</w:t>
      </w:r>
    </w:p>
    <w:p w14:paraId="5915083C">
      <w:pPr>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三、考核结果</w:t>
      </w:r>
    </w:p>
    <w:p w14:paraId="0066A151">
      <w:pPr>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以考核分数的计算为标准。考核分数采取百分制，当月考核分数采取日常考核与月终考核相结合的办法，其中月终考核平均分数占60％；日常考核平均分数占40％。年终考核以不计分进行考核，但结合月终考核作为进行年度养护经验总结的依据。</w:t>
      </w:r>
    </w:p>
    <w:p w14:paraId="2AE8D5B8">
      <w:pPr>
        <w:pageBreakBefore w:val="0"/>
        <w:widowControl/>
        <w:kinsoku/>
        <w:wordWrap/>
        <w:overflowPunct/>
        <w:topLinePunct w:val="0"/>
        <w:autoSpaceDE/>
        <w:autoSpaceDN/>
        <w:bidi w:val="0"/>
        <w:adjustRightInd w:val="0"/>
        <w:snapToGrid w:val="0"/>
        <w:spacing w:line="360" w:lineRule="auto"/>
        <w:ind w:left="0" w:firstLine="482" w:firstLineChars="200"/>
        <w:textAlignment w:val="auto"/>
        <w:rPr>
          <w:rFonts w:hint="eastAsia" w:ascii="宋体" w:hAnsi="宋体" w:eastAsia="宋体" w:cs="宋体"/>
          <w:b/>
          <w:color w:val="auto"/>
          <w:kern w:val="0"/>
          <w:sz w:val="24"/>
          <w:szCs w:val="24"/>
          <w:highlight w:val="none"/>
          <w:lang w:bidi="ar-SA"/>
        </w:rPr>
      </w:pPr>
      <w:r>
        <w:rPr>
          <w:rFonts w:hint="eastAsia" w:ascii="宋体" w:hAnsi="宋体" w:eastAsia="宋体" w:cs="宋体"/>
          <w:b/>
          <w:color w:val="auto"/>
          <w:kern w:val="0"/>
          <w:sz w:val="24"/>
          <w:szCs w:val="24"/>
          <w:highlight w:val="none"/>
          <w:lang w:bidi="ar-SA"/>
        </w:rPr>
        <w:t>月终综合考核评分计算方法：</w:t>
      </w:r>
    </w:p>
    <w:p w14:paraId="73A8EB0F">
      <w:pPr>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日常考核平均分数=∑日常考核分数/日常考核次数/3</w:t>
      </w:r>
    </w:p>
    <w:p w14:paraId="718A566C">
      <w:pPr>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月终考核平均分数=∑考核小组成员考核分数/考核人数/3</w:t>
      </w:r>
    </w:p>
    <w:p w14:paraId="4D9DF39E">
      <w:pPr>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当月考核分数=日常考核平均分数×40%+月终考核平均分数×60%</w:t>
      </w:r>
    </w:p>
    <w:p w14:paraId="0977420E">
      <w:pPr>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四、物业管理费用发放标准</w:t>
      </w:r>
    </w:p>
    <w:p w14:paraId="77793D3D">
      <w:pPr>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物业管理费对应当月考核分数所占百分比发放，月终考核评分设基础分数为90分。</w:t>
      </w:r>
    </w:p>
    <w:p w14:paraId="62E76FA3">
      <w:pPr>
        <w:pageBreakBefore w:val="0"/>
        <w:widowControl/>
        <w:kinsoku/>
        <w:wordWrap/>
        <w:overflowPunct/>
        <w:topLinePunct w:val="0"/>
        <w:autoSpaceDE/>
        <w:autoSpaceDN/>
        <w:bidi w:val="0"/>
        <w:adjustRightInd w:val="0"/>
        <w:snapToGrid w:val="0"/>
        <w:spacing w:line="360" w:lineRule="auto"/>
        <w:ind w:left="0" w:firstLine="360" w:firstLineChars="150"/>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（一）90分以上（含90分）为合格，发放当月的物业管理费；</w:t>
      </w:r>
    </w:p>
    <w:p w14:paraId="57760091">
      <w:pPr>
        <w:pageBreakBefore w:val="0"/>
        <w:widowControl/>
        <w:kinsoku/>
        <w:wordWrap/>
        <w:overflowPunct/>
        <w:topLinePunct w:val="0"/>
        <w:autoSpaceDE/>
        <w:autoSpaceDN/>
        <w:bidi w:val="0"/>
        <w:adjustRightInd w:val="0"/>
        <w:snapToGrid w:val="0"/>
        <w:spacing w:line="360" w:lineRule="auto"/>
        <w:ind w:left="0" w:firstLine="360" w:firstLineChars="150"/>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（二）60-90分（含60分，不含90分），按当月考核分数所占基础分数的百分比发放月物业管理费；</w:t>
      </w:r>
    </w:p>
    <w:p w14:paraId="6C6592DC">
      <w:pPr>
        <w:pageBreakBefore w:val="0"/>
        <w:widowControl/>
        <w:kinsoku/>
        <w:wordWrap/>
        <w:overflowPunct/>
        <w:topLinePunct w:val="0"/>
        <w:autoSpaceDE/>
        <w:autoSpaceDN/>
        <w:bidi w:val="0"/>
        <w:adjustRightInd w:val="0"/>
        <w:snapToGrid w:val="0"/>
        <w:spacing w:line="360" w:lineRule="auto"/>
        <w:ind w:left="0" w:firstLine="360" w:firstLineChars="150"/>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（三）60分以下（不含60分），取消当月的物业管理费。</w:t>
      </w:r>
    </w:p>
    <w:p w14:paraId="40CA51E8">
      <w:pPr>
        <w:pageBreakBefore w:val="0"/>
        <w:widowControl/>
        <w:kinsoku/>
        <w:wordWrap/>
        <w:overflowPunct/>
        <w:topLinePunct w:val="0"/>
        <w:autoSpaceDE/>
        <w:autoSpaceDN/>
        <w:bidi w:val="0"/>
        <w:adjustRightInd w:val="0"/>
        <w:snapToGrid w:val="0"/>
        <w:spacing w:line="240" w:lineRule="auto"/>
        <w:ind w:left="0" w:firstLine="360" w:firstLineChars="150"/>
        <w:textAlignment w:val="auto"/>
        <w:rPr>
          <w:rFonts w:hint="eastAsia" w:ascii="宋体" w:hAnsi="宋体" w:eastAsia="宋体" w:cs="宋体"/>
          <w:color w:val="auto"/>
          <w:kern w:val="0"/>
          <w:sz w:val="24"/>
          <w:szCs w:val="24"/>
          <w:highlight w:val="none"/>
          <w:lang w:bidi="ar-SA"/>
        </w:rPr>
      </w:pPr>
    </w:p>
    <w:p w14:paraId="2BE68FB8">
      <w:pPr>
        <w:pageBreakBefore w:val="0"/>
        <w:widowControl/>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附表：1.清扫保洁养护考核细则</w:t>
      </w:r>
    </w:p>
    <w:p w14:paraId="7612004A">
      <w:pPr>
        <w:pageBreakBefore w:val="0"/>
        <w:widowControl/>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 xml:space="preserve">      2.绿化养护考核细则</w:t>
      </w:r>
    </w:p>
    <w:p w14:paraId="12831176">
      <w:pPr>
        <w:pageBreakBefore w:val="0"/>
        <w:widowControl/>
        <w:kinsoku/>
        <w:wordWrap/>
        <w:overflowPunct/>
        <w:topLinePunct w:val="0"/>
        <w:autoSpaceDE/>
        <w:autoSpaceDN/>
        <w:bidi w:val="0"/>
        <w:adjustRightInd w:val="0"/>
        <w:snapToGrid w:val="0"/>
        <w:spacing w:line="240" w:lineRule="auto"/>
        <w:ind w:left="0" w:firstLine="480" w:firstLineChars="200"/>
        <w:textAlignment w:val="auto"/>
        <w:rPr>
          <w:rFonts w:hint="eastAsia" w:ascii="宋体" w:hAnsi="宋体" w:eastAsia="宋体" w:cs="宋体"/>
          <w:color w:val="auto"/>
          <w:kern w:val="0"/>
          <w:sz w:val="24"/>
          <w:szCs w:val="24"/>
          <w:highlight w:val="none"/>
          <w:lang w:bidi="ar-SA"/>
        </w:rPr>
      </w:pPr>
      <w:r>
        <w:rPr>
          <w:rFonts w:hint="eastAsia" w:ascii="宋体" w:hAnsi="宋体" w:eastAsia="宋体" w:cs="宋体"/>
          <w:color w:val="auto"/>
          <w:kern w:val="0"/>
          <w:sz w:val="24"/>
          <w:szCs w:val="24"/>
          <w:highlight w:val="none"/>
          <w:lang w:bidi="ar-SA"/>
        </w:rPr>
        <w:t xml:space="preserve">      3.安全保卫考核细则</w:t>
      </w:r>
    </w:p>
    <w:p w14:paraId="5438409E">
      <w:pPr>
        <w:widowControl/>
        <w:spacing w:line="240" w:lineRule="auto"/>
        <w:jc w:val="center"/>
        <w:rPr>
          <w:rFonts w:hint="eastAsia" w:ascii="宋体" w:hAnsi="宋体" w:eastAsia="宋体" w:cs="宋体"/>
          <w:b/>
          <w:color w:val="auto"/>
          <w:kern w:val="0"/>
          <w:sz w:val="24"/>
          <w:szCs w:val="24"/>
          <w:highlight w:val="none"/>
          <w:lang w:bidi="ar-SA"/>
        </w:rPr>
        <w:sectPr>
          <w:footerReference r:id="rId5" w:type="default"/>
          <w:pgSz w:w="11906" w:h="16838"/>
          <w:pgMar w:top="1134" w:right="1134" w:bottom="1134" w:left="1417" w:header="851" w:footer="992" w:gutter="0"/>
          <w:pgNumType w:start="1"/>
          <w:cols w:space="720" w:num="1"/>
          <w:docGrid w:type="lines" w:linePitch="312" w:charSpace="0"/>
        </w:sectPr>
      </w:pPr>
    </w:p>
    <w:p w14:paraId="6DB0BFA3">
      <w:pPr>
        <w:widowControl/>
        <w:spacing w:line="360" w:lineRule="auto"/>
        <w:jc w:val="center"/>
        <w:rPr>
          <w:rFonts w:hint="eastAsia" w:ascii="宋体" w:hAnsi="宋体" w:eastAsia="宋体" w:cs="宋体"/>
          <w:b/>
          <w:color w:val="auto"/>
          <w:kern w:val="0"/>
          <w:sz w:val="21"/>
          <w:szCs w:val="21"/>
          <w:highlight w:val="none"/>
          <w:lang w:bidi="ar-SA"/>
        </w:rPr>
      </w:pPr>
      <w:r>
        <w:rPr>
          <w:rFonts w:hint="eastAsia" w:ascii="宋体" w:hAnsi="宋体" w:eastAsia="宋体" w:cs="宋体"/>
          <w:b/>
          <w:color w:val="auto"/>
          <w:kern w:val="0"/>
          <w:sz w:val="21"/>
          <w:szCs w:val="21"/>
          <w:highlight w:val="none"/>
          <w:lang w:bidi="ar-SA"/>
        </w:rPr>
        <w:t>附表1  清扫保洁养护考核细则</w:t>
      </w:r>
    </w:p>
    <w:tbl>
      <w:tblPr>
        <w:tblStyle w:val="27"/>
        <w:tblW w:w="0" w:type="auto"/>
        <w:jc w:val="center"/>
        <w:tblLayout w:type="fixed"/>
        <w:tblCellMar>
          <w:top w:w="0" w:type="dxa"/>
          <w:left w:w="108" w:type="dxa"/>
          <w:bottom w:w="0" w:type="dxa"/>
          <w:right w:w="108" w:type="dxa"/>
        </w:tblCellMar>
      </w:tblPr>
      <w:tblGrid>
        <w:gridCol w:w="730"/>
        <w:gridCol w:w="1203"/>
        <w:gridCol w:w="2185"/>
        <w:gridCol w:w="514"/>
        <w:gridCol w:w="4616"/>
        <w:gridCol w:w="568"/>
      </w:tblGrid>
      <w:tr w14:paraId="7D57D3F3">
        <w:tblPrEx>
          <w:tblCellMar>
            <w:top w:w="0" w:type="dxa"/>
            <w:left w:w="108" w:type="dxa"/>
            <w:bottom w:w="0" w:type="dxa"/>
            <w:right w:w="108" w:type="dxa"/>
          </w:tblCellMar>
        </w:tblPrEx>
        <w:trPr>
          <w:trHeight w:val="654"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7791581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bCs/>
                <w:color w:val="auto"/>
                <w:kern w:val="0"/>
                <w:sz w:val="21"/>
                <w:szCs w:val="21"/>
                <w:highlight w:val="none"/>
                <w:lang w:bidi="ar-SA"/>
              </w:rPr>
            </w:pPr>
            <w:r>
              <w:rPr>
                <w:rFonts w:hint="eastAsia" w:ascii="宋体" w:hAnsi="宋体" w:cs="宋体"/>
                <w:b/>
                <w:bCs/>
                <w:color w:val="auto"/>
                <w:kern w:val="0"/>
                <w:sz w:val="21"/>
                <w:szCs w:val="21"/>
                <w:highlight w:val="none"/>
                <w:lang w:bidi="ar-SA"/>
              </w:rPr>
              <w:t>考核内容</w:t>
            </w:r>
          </w:p>
        </w:tc>
        <w:tc>
          <w:tcPr>
            <w:tcW w:w="3388" w:type="dxa"/>
            <w:gridSpan w:val="2"/>
            <w:tcBorders>
              <w:top w:val="single" w:color="auto" w:sz="4" w:space="0"/>
              <w:left w:val="single" w:color="auto" w:sz="4" w:space="0"/>
              <w:bottom w:val="single" w:color="auto" w:sz="4" w:space="0"/>
              <w:right w:val="single" w:color="auto" w:sz="4" w:space="0"/>
            </w:tcBorders>
            <w:noWrap w:val="0"/>
            <w:vAlign w:val="center"/>
          </w:tcPr>
          <w:p w14:paraId="27A14A9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bCs/>
                <w:color w:val="auto"/>
                <w:kern w:val="0"/>
                <w:sz w:val="21"/>
                <w:szCs w:val="21"/>
                <w:highlight w:val="none"/>
                <w:lang w:bidi="ar-SA"/>
              </w:rPr>
            </w:pPr>
            <w:r>
              <w:rPr>
                <w:rFonts w:hint="eastAsia" w:ascii="宋体" w:hAnsi="宋体" w:cs="宋体"/>
                <w:b/>
                <w:bCs/>
                <w:color w:val="auto"/>
                <w:kern w:val="0"/>
                <w:sz w:val="21"/>
                <w:szCs w:val="21"/>
                <w:highlight w:val="none"/>
                <w:lang w:bidi="ar-SA"/>
              </w:rPr>
              <w:t>考核标准</w:t>
            </w:r>
          </w:p>
        </w:tc>
        <w:tc>
          <w:tcPr>
            <w:tcW w:w="514" w:type="dxa"/>
            <w:tcBorders>
              <w:top w:val="single" w:color="auto" w:sz="4" w:space="0"/>
              <w:left w:val="single" w:color="auto" w:sz="4" w:space="0"/>
              <w:bottom w:val="single" w:color="auto" w:sz="4" w:space="0"/>
              <w:right w:val="single" w:color="auto" w:sz="4" w:space="0"/>
            </w:tcBorders>
            <w:noWrap w:val="0"/>
            <w:vAlign w:val="center"/>
          </w:tcPr>
          <w:p w14:paraId="2C85C24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bCs/>
                <w:color w:val="auto"/>
                <w:kern w:val="0"/>
                <w:sz w:val="21"/>
                <w:szCs w:val="21"/>
                <w:highlight w:val="none"/>
                <w:lang w:bidi="ar-SA"/>
              </w:rPr>
            </w:pPr>
            <w:r>
              <w:rPr>
                <w:rFonts w:hint="eastAsia" w:ascii="宋体" w:hAnsi="宋体" w:cs="宋体"/>
                <w:b/>
                <w:bCs/>
                <w:color w:val="auto"/>
                <w:kern w:val="0"/>
                <w:sz w:val="21"/>
                <w:szCs w:val="21"/>
                <w:highlight w:val="none"/>
                <w:lang w:bidi="ar-SA"/>
              </w:rPr>
              <w:t>标准分</w:t>
            </w:r>
          </w:p>
        </w:tc>
        <w:tc>
          <w:tcPr>
            <w:tcW w:w="4616" w:type="dxa"/>
            <w:tcBorders>
              <w:top w:val="single" w:color="auto" w:sz="4" w:space="0"/>
              <w:left w:val="single" w:color="auto" w:sz="4" w:space="0"/>
              <w:bottom w:val="single" w:color="auto" w:sz="4" w:space="0"/>
              <w:right w:val="single" w:color="auto" w:sz="4" w:space="0"/>
            </w:tcBorders>
            <w:noWrap w:val="0"/>
            <w:vAlign w:val="center"/>
          </w:tcPr>
          <w:p w14:paraId="69DA687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bCs/>
                <w:color w:val="auto"/>
                <w:kern w:val="0"/>
                <w:sz w:val="21"/>
                <w:szCs w:val="21"/>
                <w:highlight w:val="none"/>
                <w:lang w:bidi="ar-SA"/>
              </w:rPr>
            </w:pPr>
            <w:r>
              <w:rPr>
                <w:rFonts w:hint="eastAsia" w:ascii="宋体" w:hAnsi="宋体" w:cs="宋体"/>
                <w:b/>
                <w:bCs/>
                <w:color w:val="auto"/>
                <w:kern w:val="0"/>
                <w:sz w:val="21"/>
                <w:szCs w:val="21"/>
                <w:highlight w:val="none"/>
                <w:lang w:bidi="ar-SA"/>
              </w:rPr>
              <w:t>考核办法</w:t>
            </w:r>
          </w:p>
        </w:tc>
        <w:tc>
          <w:tcPr>
            <w:tcW w:w="568" w:type="dxa"/>
            <w:tcBorders>
              <w:top w:val="single" w:color="auto" w:sz="4" w:space="0"/>
              <w:left w:val="single" w:color="auto" w:sz="4" w:space="0"/>
              <w:bottom w:val="nil"/>
              <w:right w:val="single" w:color="auto" w:sz="4" w:space="0"/>
            </w:tcBorders>
            <w:noWrap w:val="0"/>
            <w:vAlign w:val="center"/>
          </w:tcPr>
          <w:p w14:paraId="7FABAB8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bCs/>
                <w:color w:val="auto"/>
                <w:kern w:val="0"/>
                <w:sz w:val="21"/>
                <w:szCs w:val="21"/>
                <w:highlight w:val="none"/>
                <w:lang w:bidi="ar-SA"/>
              </w:rPr>
            </w:pPr>
            <w:r>
              <w:rPr>
                <w:rFonts w:hint="eastAsia" w:ascii="宋体" w:hAnsi="宋体" w:cs="宋体"/>
                <w:b/>
                <w:bCs/>
                <w:color w:val="auto"/>
                <w:kern w:val="0"/>
                <w:sz w:val="21"/>
                <w:szCs w:val="21"/>
                <w:highlight w:val="none"/>
                <w:lang w:bidi="ar-SA"/>
              </w:rPr>
              <w:t>评分</w:t>
            </w:r>
          </w:p>
        </w:tc>
      </w:tr>
      <w:tr w14:paraId="446B194F">
        <w:tblPrEx>
          <w:tblCellMar>
            <w:top w:w="0" w:type="dxa"/>
            <w:left w:w="108" w:type="dxa"/>
            <w:bottom w:w="0" w:type="dxa"/>
            <w:right w:w="108" w:type="dxa"/>
          </w:tblCellMar>
        </w:tblPrEx>
        <w:trPr>
          <w:trHeight w:val="426" w:hRule="atLeast"/>
          <w:jc w:val="center"/>
        </w:trPr>
        <w:tc>
          <w:tcPr>
            <w:tcW w:w="730" w:type="dxa"/>
            <w:vMerge w:val="restart"/>
            <w:tcBorders>
              <w:top w:val="nil"/>
              <w:left w:val="single" w:color="auto" w:sz="4" w:space="0"/>
              <w:bottom w:val="nil"/>
              <w:right w:val="single" w:color="auto" w:sz="4" w:space="0"/>
            </w:tcBorders>
            <w:noWrap w:val="0"/>
            <w:vAlign w:val="center"/>
          </w:tcPr>
          <w:p w14:paraId="24AD4C3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 xml:space="preserve">管理   </w:t>
            </w:r>
          </w:p>
        </w:tc>
        <w:tc>
          <w:tcPr>
            <w:tcW w:w="3388" w:type="dxa"/>
            <w:gridSpan w:val="2"/>
            <w:tcBorders>
              <w:top w:val="single" w:color="auto" w:sz="4" w:space="0"/>
              <w:left w:val="nil"/>
              <w:bottom w:val="single" w:color="auto" w:sz="4" w:space="0"/>
              <w:right w:val="single" w:color="000000" w:sz="4" w:space="0"/>
            </w:tcBorders>
            <w:noWrap w:val="0"/>
            <w:vAlign w:val="center"/>
          </w:tcPr>
          <w:p w14:paraId="526771F5">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按照管理标准和管理要求报送当月管理计划。</w:t>
            </w:r>
          </w:p>
        </w:tc>
        <w:tc>
          <w:tcPr>
            <w:tcW w:w="514" w:type="dxa"/>
            <w:tcBorders>
              <w:top w:val="nil"/>
              <w:left w:val="nil"/>
              <w:bottom w:val="single" w:color="auto" w:sz="4" w:space="0"/>
              <w:right w:val="single" w:color="auto" w:sz="4" w:space="0"/>
            </w:tcBorders>
            <w:noWrap w:val="0"/>
            <w:vAlign w:val="center"/>
          </w:tcPr>
          <w:p w14:paraId="22089DF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3</w:t>
            </w:r>
          </w:p>
        </w:tc>
        <w:tc>
          <w:tcPr>
            <w:tcW w:w="4616" w:type="dxa"/>
            <w:tcBorders>
              <w:top w:val="single" w:color="auto" w:sz="4" w:space="0"/>
              <w:left w:val="nil"/>
              <w:bottom w:val="single" w:color="auto" w:sz="4" w:space="0"/>
              <w:right w:val="single" w:color="auto" w:sz="4" w:space="0"/>
            </w:tcBorders>
            <w:noWrap w:val="0"/>
            <w:vAlign w:val="center"/>
          </w:tcPr>
          <w:p w14:paraId="3C8242A9">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无月管理计划，扣3分，未按月管理计划实施酌情扣1－3分。</w:t>
            </w:r>
          </w:p>
        </w:tc>
        <w:tc>
          <w:tcPr>
            <w:tcW w:w="568" w:type="dxa"/>
            <w:tcBorders>
              <w:top w:val="single" w:color="auto" w:sz="4" w:space="0"/>
              <w:left w:val="nil"/>
              <w:bottom w:val="single" w:color="auto" w:sz="4" w:space="0"/>
              <w:right w:val="single" w:color="auto" w:sz="4" w:space="0"/>
            </w:tcBorders>
            <w:noWrap w:val="0"/>
            <w:vAlign w:val="top"/>
          </w:tcPr>
          <w:p w14:paraId="7A0D62F0">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4AF7FA5E">
        <w:tblPrEx>
          <w:tblCellMar>
            <w:top w:w="0" w:type="dxa"/>
            <w:left w:w="108" w:type="dxa"/>
            <w:bottom w:w="0" w:type="dxa"/>
            <w:right w:w="108" w:type="dxa"/>
          </w:tblCellMar>
        </w:tblPrEx>
        <w:trPr>
          <w:trHeight w:val="426" w:hRule="atLeast"/>
          <w:jc w:val="center"/>
        </w:trPr>
        <w:tc>
          <w:tcPr>
            <w:tcW w:w="730" w:type="dxa"/>
            <w:vMerge w:val="continue"/>
            <w:tcBorders>
              <w:top w:val="nil"/>
              <w:left w:val="single" w:color="auto" w:sz="4" w:space="0"/>
              <w:bottom w:val="nil"/>
              <w:right w:val="single" w:color="auto" w:sz="4" w:space="0"/>
            </w:tcBorders>
            <w:noWrap w:val="0"/>
            <w:vAlign w:val="center"/>
          </w:tcPr>
          <w:p w14:paraId="74170C4C">
            <w:pPr>
              <w:rPr>
                <w:color w:val="auto"/>
                <w:highlight w:val="none"/>
              </w:rPr>
            </w:pPr>
          </w:p>
        </w:tc>
        <w:tc>
          <w:tcPr>
            <w:tcW w:w="3388" w:type="dxa"/>
            <w:gridSpan w:val="2"/>
            <w:tcBorders>
              <w:top w:val="single" w:color="auto" w:sz="4" w:space="0"/>
              <w:left w:val="nil"/>
              <w:bottom w:val="single" w:color="auto" w:sz="4" w:space="0"/>
              <w:right w:val="single" w:color="000000" w:sz="4" w:space="0"/>
            </w:tcBorders>
            <w:noWrap w:val="0"/>
            <w:vAlign w:val="center"/>
          </w:tcPr>
          <w:p w14:paraId="5C9A9BEE">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承包主要负责人须参加管理部门通知的会议、考核。</w:t>
            </w:r>
          </w:p>
        </w:tc>
        <w:tc>
          <w:tcPr>
            <w:tcW w:w="514" w:type="dxa"/>
            <w:tcBorders>
              <w:top w:val="nil"/>
              <w:left w:val="nil"/>
              <w:bottom w:val="nil"/>
              <w:right w:val="single" w:color="auto" w:sz="4" w:space="0"/>
            </w:tcBorders>
            <w:noWrap w:val="0"/>
            <w:vAlign w:val="center"/>
          </w:tcPr>
          <w:p w14:paraId="765FCB7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2</w:t>
            </w:r>
          </w:p>
        </w:tc>
        <w:tc>
          <w:tcPr>
            <w:tcW w:w="4616" w:type="dxa"/>
            <w:tcBorders>
              <w:top w:val="single" w:color="auto" w:sz="4" w:space="0"/>
              <w:left w:val="nil"/>
              <w:bottom w:val="nil"/>
              <w:right w:val="single" w:color="auto" w:sz="4" w:space="0"/>
            </w:tcBorders>
            <w:noWrap w:val="0"/>
            <w:vAlign w:val="center"/>
          </w:tcPr>
          <w:p w14:paraId="6F873877">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主要负责人未参加一次扣1分。</w:t>
            </w:r>
          </w:p>
        </w:tc>
        <w:tc>
          <w:tcPr>
            <w:tcW w:w="568" w:type="dxa"/>
            <w:tcBorders>
              <w:top w:val="single" w:color="auto" w:sz="4" w:space="0"/>
              <w:left w:val="nil"/>
              <w:bottom w:val="nil"/>
              <w:right w:val="single" w:color="auto" w:sz="4" w:space="0"/>
            </w:tcBorders>
            <w:noWrap w:val="0"/>
            <w:vAlign w:val="top"/>
          </w:tcPr>
          <w:p w14:paraId="1E2DC83C">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07470D19">
        <w:tblPrEx>
          <w:tblCellMar>
            <w:top w:w="0" w:type="dxa"/>
            <w:left w:w="108" w:type="dxa"/>
            <w:bottom w:w="0" w:type="dxa"/>
            <w:right w:w="108" w:type="dxa"/>
          </w:tblCellMar>
        </w:tblPrEx>
        <w:trPr>
          <w:trHeight w:val="1052"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78B1C21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保洁时间</w:t>
            </w:r>
          </w:p>
        </w:tc>
        <w:tc>
          <w:tcPr>
            <w:tcW w:w="3388" w:type="dxa"/>
            <w:gridSpan w:val="2"/>
            <w:tcBorders>
              <w:top w:val="single" w:color="auto" w:sz="4" w:space="0"/>
              <w:left w:val="nil"/>
              <w:bottom w:val="single" w:color="auto" w:sz="4" w:space="0"/>
              <w:right w:val="single" w:color="000000" w:sz="4" w:space="0"/>
            </w:tcBorders>
            <w:noWrap w:val="0"/>
            <w:vAlign w:val="center"/>
          </w:tcPr>
          <w:p w14:paraId="4884F395">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每日按规定时间完成2次普扫及全天候保洁。</w:t>
            </w:r>
          </w:p>
          <w:p w14:paraId="073D6846">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公厕按规定时间进行全天候保洁。</w:t>
            </w:r>
          </w:p>
          <w:p w14:paraId="7FFC9595">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每次普扫所产生的垃圾当天16：30分前完成清运。</w:t>
            </w:r>
          </w:p>
        </w:tc>
        <w:tc>
          <w:tcPr>
            <w:tcW w:w="514" w:type="dxa"/>
            <w:tcBorders>
              <w:top w:val="single" w:color="auto" w:sz="4" w:space="0"/>
              <w:left w:val="nil"/>
              <w:bottom w:val="single" w:color="auto" w:sz="4" w:space="0"/>
              <w:right w:val="single" w:color="auto" w:sz="4" w:space="0"/>
            </w:tcBorders>
            <w:noWrap w:val="0"/>
            <w:vAlign w:val="center"/>
          </w:tcPr>
          <w:p w14:paraId="1503DE6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20</w:t>
            </w:r>
          </w:p>
        </w:tc>
        <w:tc>
          <w:tcPr>
            <w:tcW w:w="4616" w:type="dxa"/>
            <w:tcBorders>
              <w:top w:val="single" w:color="auto" w:sz="4" w:space="0"/>
              <w:left w:val="nil"/>
              <w:bottom w:val="single" w:color="auto" w:sz="4" w:space="0"/>
              <w:right w:val="single" w:color="auto" w:sz="4" w:space="0"/>
            </w:tcBorders>
            <w:noWrap w:val="0"/>
            <w:vAlign w:val="center"/>
          </w:tcPr>
          <w:p w14:paraId="0C78CF8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不完成2次普扫或不进行全天候保洁的，每少一次扣2-5分。</w:t>
            </w:r>
          </w:p>
          <w:p w14:paraId="310BC739">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 xml:space="preserve">公厕不按规定时间进行全天候保洁的，每次扣2-5分。                        </w:t>
            </w:r>
          </w:p>
          <w:p w14:paraId="671A1090">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垃圾未及时清运每次扣1－3分。</w:t>
            </w:r>
          </w:p>
        </w:tc>
        <w:tc>
          <w:tcPr>
            <w:tcW w:w="568" w:type="dxa"/>
            <w:tcBorders>
              <w:top w:val="single" w:color="auto" w:sz="4" w:space="0"/>
              <w:left w:val="nil"/>
              <w:bottom w:val="single" w:color="auto" w:sz="4" w:space="0"/>
              <w:right w:val="single" w:color="auto" w:sz="4" w:space="0"/>
            </w:tcBorders>
            <w:noWrap w:val="0"/>
            <w:vAlign w:val="top"/>
          </w:tcPr>
          <w:p w14:paraId="461FE11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177DD54B">
        <w:tblPrEx>
          <w:tblCellMar>
            <w:top w:w="0" w:type="dxa"/>
            <w:left w:w="108" w:type="dxa"/>
            <w:bottom w:w="0" w:type="dxa"/>
            <w:right w:w="108" w:type="dxa"/>
          </w:tblCellMar>
        </w:tblPrEx>
        <w:trPr>
          <w:trHeight w:val="843" w:hRule="atLeast"/>
          <w:jc w:val="center"/>
        </w:trPr>
        <w:tc>
          <w:tcPr>
            <w:tcW w:w="730" w:type="dxa"/>
            <w:tcBorders>
              <w:top w:val="nil"/>
              <w:left w:val="single" w:color="auto" w:sz="4" w:space="0"/>
              <w:bottom w:val="single" w:color="auto" w:sz="4" w:space="0"/>
              <w:right w:val="single" w:color="auto" w:sz="4" w:space="0"/>
            </w:tcBorders>
            <w:noWrap w:val="0"/>
            <w:vAlign w:val="center"/>
          </w:tcPr>
          <w:p w14:paraId="681D70C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垃圾处理</w:t>
            </w:r>
          </w:p>
        </w:tc>
        <w:tc>
          <w:tcPr>
            <w:tcW w:w="3388" w:type="dxa"/>
            <w:gridSpan w:val="2"/>
            <w:tcBorders>
              <w:top w:val="single" w:color="auto" w:sz="4" w:space="0"/>
              <w:left w:val="nil"/>
              <w:bottom w:val="single" w:color="auto" w:sz="4" w:space="0"/>
              <w:right w:val="single" w:color="000000" w:sz="4" w:space="0"/>
            </w:tcBorders>
            <w:noWrap w:val="0"/>
            <w:vAlign w:val="center"/>
          </w:tcPr>
          <w:p w14:paraId="63FEC9B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卫生保洁所产生的垃圾按规定集中投放垃圾箱，并按时间清运到环卫处的垃圾中转站。</w:t>
            </w:r>
          </w:p>
        </w:tc>
        <w:tc>
          <w:tcPr>
            <w:tcW w:w="514" w:type="dxa"/>
            <w:tcBorders>
              <w:top w:val="nil"/>
              <w:left w:val="nil"/>
              <w:bottom w:val="single" w:color="auto" w:sz="4" w:space="0"/>
              <w:right w:val="single" w:color="auto" w:sz="4" w:space="0"/>
            </w:tcBorders>
            <w:noWrap w:val="0"/>
            <w:vAlign w:val="center"/>
          </w:tcPr>
          <w:p w14:paraId="5E33849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15</w:t>
            </w:r>
          </w:p>
        </w:tc>
        <w:tc>
          <w:tcPr>
            <w:tcW w:w="4616" w:type="dxa"/>
            <w:tcBorders>
              <w:top w:val="single" w:color="auto" w:sz="4" w:space="0"/>
              <w:left w:val="nil"/>
              <w:bottom w:val="single" w:color="auto" w:sz="4" w:space="0"/>
              <w:right w:val="single" w:color="auto" w:sz="4" w:space="0"/>
            </w:tcBorders>
            <w:noWrap w:val="0"/>
            <w:vAlign w:val="center"/>
          </w:tcPr>
          <w:p w14:paraId="648C07C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垃圾放在园内焚烧或往雨水口、绿地倾倒的，每次每处扣1分。</w:t>
            </w:r>
            <w:r>
              <w:rPr>
                <w:rFonts w:hint="eastAsia" w:ascii="宋体" w:hAnsi="宋体" w:cs="宋体"/>
                <w:color w:val="auto"/>
                <w:kern w:val="0"/>
                <w:sz w:val="21"/>
                <w:szCs w:val="21"/>
                <w:highlight w:val="none"/>
                <w:lang w:bidi="ar-SA"/>
              </w:rPr>
              <w:tab/>
            </w:r>
          </w:p>
          <w:p w14:paraId="58ED4BD4">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卫生保洁所产生的垃圾未按规定清运，每次扣2分。</w:t>
            </w:r>
          </w:p>
        </w:tc>
        <w:tc>
          <w:tcPr>
            <w:tcW w:w="568" w:type="dxa"/>
            <w:tcBorders>
              <w:top w:val="single" w:color="auto" w:sz="4" w:space="0"/>
              <w:left w:val="nil"/>
              <w:bottom w:val="single" w:color="auto" w:sz="4" w:space="0"/>
              <w:right w:val="single" w:color="auto" w:sz="4" w:space="0"/>
            </w:tcBorders>
            <w:noWrap w:val="0"/>
            <w:vAlign w:val="top"/>
          </w:tcPr>
          <w:p w14:paraId="7B22A970">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69350905">
        <w:tblPrEx>
          <w:tblCellMar>
            <w:top w:w="0" w:type="dxa"/>
            <w:left w:w="108" w:type="dxa"/>
            <w:bottom w:w="0" w:type="dxa"/>
            <w:right w:w="108" w:type="dxa"/>
          </w:tblCellMar>
        </w:tblPrEx>
        <w:trPr>
          <w:trHeight w:val="2876"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5B083EB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园区保洁</w:t>
            </w:r>
          </w:p>
        </w:tc>
        <w:tc>
          <w:tcPr>
            <w:tcW w:w="3388" w:type="dxa"/>
            <w:gridSpan w:val="2"/>
            <w:tcBorders>
              <w:top w:val="single" w:color="auto" w:sz="4" w:space="0"/>
              <w:left w:val="nil"/>
              <w:bottom w:val="single" w:color="auto" w:sz="4" w:space="0"/>
              <w:right w:val="single" w:color="000000" w:sz="4" w:space="0"/>
            </w:tcBorders>
            <w:noWrap w:val="0"/>
            <w:vAlign w:val="center"/>
          </w:tcPr>
          <w:p w14:paraId="5D71C782">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地面无有果皮纸屑、积水、枯枝落叶、卫生死角等。</w:t>
            </w:r>
          </w:p>
          <w:p w14:paraId="72828290">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路面如遇暴雨带来的淤泥及时清理。</w:t>
            </w:r>
          </w:p>
          <w:p w14:paraId="2B2699CF">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垃圾箱内垃圾保持干净无垃圾。</w:t>
            </w:r>
          </w:p>
          <w:p w14:paraId="6D7B11A9">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蚊蝇孳生季节对垃圾桶定时喷药。</w:t>
            </w:r>
          </w:p>
          <w:p w14:paraId="5CFA3CA8">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园灯、桥，桌凳、标志牌、简介牌、导游牌、温馨提示牌等要定时擦洗。</w:t>
            </w:r>
          </w:p>
          <w:p w14:paraId="7BD9CA0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排水沟及时清理枯枝落叶淤泥等杂物。</w:t>
            </w:r>
          </w:p>
          <w:p w14:paraId="5ABBBAA8">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清理沉沙井淤泥、落叶等。</w:t>
            </w:r>
          </w:p>
          <w:p w14:paraId="2E587A0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每周一、周四对亭廊、广场、园区主干道进行冲洗。</w:t>
            </w:r>
          </w:p>
        </w:tc>
        <w:tc>
          <w:tcPr>
            <w:tcW w:w="514" w:type="dxa"/>
            <w:tcBorders>
              <w:top w:val="single" w:color="auto" w:sz="4" w:space="0"/>
              <w:left w:val="nil"/>
              <w:bottom w:val="single" w:color="auto" w:sz="4" w:space="0"/>
              <w:right w:val="single" w:color="auto" w:sz="4" w:space="0"/>
            </w:tcBorders>
            <w:noWrap w:val="0"/>
            <w:vAlign w:val="center"/>
          </w:tcPr>
          <w:p w14:paraId="37F715A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30</w:t>
            </w:r>
          </w:p>
        </w:tc>
        <w:tc>
          <w:tcPr>
            <w:tcW w:w="4616" w:type="dxa"/>
            <w:tcBorders>
              <w:top w:val="single" w:color="auto" w:sz="4" w:space="0"/>
              <w:left w:val="nil"/>
              <w:bottom w:val="single" w:color="auto" w:sz="4" w:space="0"/>
              <w:right w:val="single" w:color="auto" w:sz="4" w:space="0"/>
            </w:tcBorders>
            <w:noWrap w:val="0"/>
            <w:vAlign w:val="center"/>
          </w:tcPr>
          <w:p w14:paraId="3BF631C5">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地面有果皮纸屑、积水、枯枝落叶、卫生死角等未清理的，每次每处扣1分。</w:t>
            </w:r>
          </w:p>
          <w:p w14:paraId="04241A37">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路面如遇暴雨带来的淤泥未及时清理，每次每处扣2分。</w:t>
            </w:r>
          </w:p>
          <w:p w14:paraId="77F5746C">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垃圾箱内垃圾未及时清理，箱体内外胆表面有污迹，每次每个扣1分。</w:t>
            </w:r>
          </w:p>
          <w:p w14:paraId="4A37CE5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蚊蝇孳生季节未对垃圾桶定时喷药，在可视范围内苍蝇大于 6只／次，并伴有恶臭的，每次每个扣1分。</w:t>
            </w:r>
          </w:p>
          <w:p w14:paraId="2B842EFF">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园灯、桥，桌凳、标志牌、简介牌、导游牌、温馨提示牌等不擦洗，每次每处扣1分。</w:t>
            </w:r>
          </w:p>
          <w:p w14:paraId="5977118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排水沟未清理枯枝落叶淤泥等杂物，每次每处扣1分。</w:t>
            </w:r>
          </w:p>
          <w:p w14:paraId="2A71D9A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不清理沉沙井淤泥、落叶致使排水渠堵塞的，发现一次扣2-5分。</w:t>
            </w:r>
          </w:p>
          <w:p w14:paraId="3231E77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未按时冲洗，发现一处尘泥扣2分</w:t>
            </w:r>
          </w:p>
        </w:tc>
        <w:tc>
          <w:tcPr>
            <w:tcW w:w="568" w:type="dxa"/>
            <w:tcBorders>
              <w:top w:val="single" w:color="auto" w:sz="4" w:space="0"/>
              <w:left w:val="nil"/>
              <w:bottom w:val="single" w:color="auto" w:sz="4" w:space="0"/>
              <w:right w:val="single" w:color="auto" w:sz="4" w:space="0"/>
            </w:tcBorders>
            <w:noWrap w:val="0"/>
            <w:vAlign w:val="top"/>
          </w:tcPr>
          <w:p w14:paraId="0F40FFC4">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1A7CE8D6">
        <w:tblPrEx>
          <w:tblCellMar>
            <w:top w:w="0" w:type="dxa"/>
            <w:left w:w="108" w:type="dxa"/>
            <w:bottom w:w="0" w:type="dxa"/>
            <w:right w:w="108" w:type="dxa"/>
          </w:tblCellMar>
        </w:tblPrEx>
        <w:trPr>
          <w:trHeight w:val="2512"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6B1FFC1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公厕保洁</w:t>
            </w:r>
          </w:p>
        </w:tc>
        <w:tc>
          <w:tcPr>
            <w:tcW w:w="3388" w:type="dxa"/>
            <w:gridSpan w:val="2"/>
            <w:tcBorders>
              <w:top w:val="single" w:color="auto" w:sz="4" w:space="0"/>
              <w:left w:val="nil"/>
              <w:bottom w:val="single" w:color="auto" w:sz="4" w:space="0"/>
              <w:right w:val="single" w:color="000000" w:sz="4" w:space="0"/>
            </w:tcBorders>
            <w:noWrap w:val="0"/>
            <w:vAlign w:val="center"/>
          </w:tcPr>
          <w:p w14:paraId="27D000BF">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公厕内外墙面、天花板、门窗等无污迹、蜘蛛网等。</w:t>
            </w:r>
          </w:p>
          <w:p w14:paraId="36B8E2BC">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公厕内地面无积水或明显有臭味。</w:t>
            </w:r>
          </w:p>
          <w:p w14:paraId="2791B578">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蹲位、小便槽（斗）保持整洁。</w:t>
            </w:r>
          </w:p>
          <w:p w14:paraId="0A9D31F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洗手器具、镜子、挂衣钩、冲水设备等保持干净。</w:t>
            </w:r>
          </w:p>
          <w:p w14:paraId="45C7ED43">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公厕外堆放整洁。</w:t>
            </w:r>
          </w:p>
          <w:p w14:paraId="66184033">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蚊蝇孳生季节定时喷洒灭蚊蝇药物。</w:t>
            </w:r>
          </w:p>
          <w:p w14:paraId="325E61E7">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公厕设施出现损坏及时上报的。</w:t>
            </w:r>
          </w:p>
        </w:tc>
        <w:tc>
          <w:tcPr>
            <w:tcW w:w="514" w:type="dxa"/>
            <w:tcBorders>
              <w:top w:val="single" w:color="auto" w:sz="4" w:space="0"/>
              <w:left w:val="nil"/>
              <w:bottom w:val="single" w:color="auto" w:sz="4" w:space="0"/>
              <w:right w:val="single" w:color="auto" w:sz="4" w:space="0"/>
            </w:tcBorders>
            <w:noWrap w:val="0"/>
            <w:vAlign w:val="center"/>
          </w:tcPr>
          <w:p w14:paraId="5B16235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20</w:t>
            </w:r>
          </w:p>
        </w:tc>
        <w:tc>
          <w:tcPr>
            <w:tcW w:w="4616" w:type="dxa"/>
            <w:tcBorders>
              <w:top w:val="single" w:color="auto" w:sz="4" w:space="0"/>
              <w:left w:val="nil"/>
              <w:bottom w:val="single" w:color="auto" w:sz="4" w:space="0"/>
              <w:right w:val="single" w:color="auto" w:sz="4" w:space="0"/>
            </w:tcBorders>
            <w:noWrap w:val="0"/>
            <w:vAlign w:val="center"/>
          </w:tcPr>
          <w:p w14:paraId="2ACE244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公厕内外墙面、天花板、门窗等无污迹、蜘蛛网等。未及时清除的，每次每处扣1分。</w:t>
            </w:r>
          </w:p>
          <w:p w14:paraId="63069BF6">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公厕内地面有积水或明显有臭味的，每次每座扣2分。</w:t>
            </w:r>
          </w:p>
          <w:p w14:paraId="5917B150">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蹲位、小便槽（斗）不干净，每次每处扣1分。</w:t>
            </w:r>
          </w:p>
          <w:p w14:paraId="303B3B00">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有水锈、尿垢的，每次每处扣1分。</w:t>
            </w:r>
          </w:p>
          <w:p w14:paraId="00AC96D2">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洗手器具、镜子、挂衣钩、冲水设备等有积灰，公厕外杂物乱堆，每次每处扣1分。</w:t>
            </w:r>
          </w:p>
          <w:p w14:paraId="2163EC9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蚊蝇孳生季节未喷洒灭蚊蝇药物，造成蝇蛆孳生的，每次每处扣1分。</w:t>
            </w:r>
          </w:p>
          <w:p w14:paraId="405AF00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公厕设施出现损坏不及时上报的，每次每项每处扣2-5分。</w:t>
            </w:r>
          </w:p>
        </w:tc>
        <w:tc>
          <w:tcPr>
            <w:tcW w:w="568" w:type="dxa"/>
            <w:tcBorders>
              <w:top w:val="single" w:color="auto" w:sz="4" w:space="0"/>
              <w:left w:val="nil"/>
              <w:bottom w:val="single" w:color="auto" w:sz="4" w:space="0"/>
              <w:right w:val="single" w:color="auto" w:sz="4" w:space="0"/>
            </w:tcBorders>
            <w:noWrap w:val="0"/>
            <w:vAlign w:val="top"/>
          </w:tcPr>
          <w:p w14:paraId="3418E5D3">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009E55BA">
        <w:tblPrEx>
          <w:tblCellMar>
            <w:top w:w="0" w:type="dxa"/>
            <w:left w:w="108" w:type="dxa"/>
            <w:bottom w:w="0" w:type="dxa"/>
            <w:right w:w="108" w:type="dxa"/>
          </w:tblCellMar>
        </w:tblPrEx>
        <w:trPr>
          <w:trHeight w:val="635"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14:paraId="40E70476">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水体保洁</w:t>
            </w:r>
          </w:p>
        </w:tc>
        <w:tc>
          <w:tcPr>
            <w:tcW w:w="3388" w:type="dxa"/>
            <w:gridSpan w:val="2"/>
            <w:tcBorders>
              <w:top w:val="single" w:color="auto" w:sz="4" w:space="0"/>
              <w:left w:val="nil"/>
              <w:bottom w:val="single" w:color="auto" w:sz="4" w:space="0"/>
              <w:right w:val="single" w:color="000000" w:sz="4" w:space="0"/>
            </w:tcBorders>
            <w:noWrap w:val="0"/>
            <w:vAlign w:val="center"/>
          </w:tcPr>
          <w:p w14:paraId="16D8647A">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水体须保持清洁、无蚊虫孳生、无臭味，水面无漂浮杂物。水体出现异常状况及时上报的。</w:t>
            </w:r>
          </w:p>
        </w:tc>
        <w:tc>
          <w:tcPr>
            <w:tcW w:w="514" w:type="dxa"/>
            <w:tcBorders>
              <w:top w:val="single" w:color="auto" w:sz="4" w:space="0"/>
              <w:left w:val="nil"/>
              <w:bottom w:val="single" w:color="auto" w:sz="4" w:space="0"/>
              <w:right w:val="single" w:color="auto" w:sz="4" w:space="0"/>
            </w:tcBorders>
            <w:noWrap w:val="0"/>
            <w:vAlign w:val="center"/>
          </w:tcPr>
          <w:p w14:paraId="64F1D63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10</w:t>
            </w:r>
          </w:p>
        </w:tc>
        <w:tc>
          <w:tcPr>
            <w:tcW w:w="4616" w:type="dxa"/>
            <w:tcBorders>
              <w:top w:val="single" w:color="auto" w:sz="4" w:space="0"/>
              <w:left w:val="nil"/>
              <w:bottom w:val="single" w:color="auto" w:sz="4" w:space="0"/>
              <w:right w:val="single" w:color="auto" w:sz="4" w:space="0"/>
            </w:tcBorders>
            <w:noWrap w:val="0"/>
            <w:vAlign w:val="center"/>
          </w:tcPr>
          <w:p w14:paraId="3A9FD76F">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发现处漂浮物或臭味，每次每处扣1分</w:t>
            </w:r>
          </w:p>
          <w:p w14:paraId="1FE5378D">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水体出现异常状况不及时上报的，每次扣3分。</w:t>
            </w:r>
          </w:p>
        </w:tc>
        <w:tc>
          <w:tcPr>
            <w:tcW w:w="568" w:type="dxa"/>
            <w:tcBorders>
              <w:top w:val="single" w:color="auto" w:sz="4" w:space="0"/>
              <w:left w:val="nil"/>
              <w:bottom w:val="single" w:color="auto" w:sz="4" w:space="0"/>
              <w:right w:val="single" w:color="auto" w:sz="4" w:space="0"/>
            </w:tcBorders>
            <w:noWrap w:val="0"/>
            <w:vAlign w:val="top"/>
          </w:tcPr>
          <w:p w14:paraId="6DB7B74A">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s="宋体"/>
                <w:color w:val="auto"/>
                <w:kern w:val="0"/>
                <w:sz w:val="21"/>
                <w:szCs w:val="21"/>
                <w:highlight w:val="none"/>
                <w:lang w:bidi="ar-SA"/>
              </w:rPr>
            </w:pPr>
          </w:p>
        </w:tc>
      </w:tr>
      <w:tr w14:paraId="1166CC57">
        <w:tblPrEx>
          <w:tblCellMar>
            <w:top w:w="0" w:type="dxa"/>
            <w:left w:w="108" w:type="dxa"/>
            <w:bottom w:w="0" w:type="dxa"/>
            <w:right w:w="108" w:type="dxa"/>
          </w:tblCellMar>
        </w:tblPrEx>
        <w:trPr>
          <w:trHeight w:val="426" w:hRule="atLeast"/>
          <w:jc w:val="center"/>
        </w:trPr>
        <w:tc>
          <w:tcPr>
            <w:tcW w:w="730" w:type="dxa"/>
            <w:vMerge w:val="restart"/>
            <w:tcBorders>
              <w:top w:val="single" w:color="auto" w:sz="4" w:space="0"/>
              <w:left w:val="single" w:color="auto" w:sz="4" w:space="0"/>
              <w:bottom w:val="nil"/>
              <w:right w:val="single" w:color="auto" w:sz="4" w:space="0"/>
            </w:tcBorders>
            <w:noWrap w:val="0"/>
            <w:vAlign w:val="center"/>
          </w:tcPr>
          <w:p w14:paraId="4A302E03">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直接扣分项</w:t>
            </w:r>
          </w:p>
        </w:tc>
        <w:tc>
          <w:tcPr>
            <w:tcW w:w="8518" w:type="dxa"/>
            <w:gridSpan w:val="4"/>
            <w:tcBorders>
              <w:top w:val="single" w:color="auto" w:sz="4" w:space="0"/>
              <w:left w:val="nil"/>
              <w:bottom w:val="single" w:color="auto" w:sz="4" w:space="0"/>
              <w:right w:val="single" w:color="auto" w:sz="4" w:space="0"/>
            </w:tcBorders>
            <w:noWrap w:val="0"/>
            <w:vAlign w:val="center"/>
          </w:tcPr>
          <w:p w14:paraId="065E9066">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发生一起上级领导点名批评（如情况属实）、责任性投诉或被新闻媒体曝光一次，属责任问题扣1-10分。</w:t>
            </w:r>
          </w:p>
        </w:tc>
        <w:tc>
          <w:tcPr>
            <w:tcW w:w="568" w:type="dxa"/>
            <w:tcBorders>
              <w:top w:val="single" w:color="auto" w:sz="4" w:space="0"/>
              <w:left w:val="nil"/>
              <w:bottom w:val="single" w:color="auto" w:sz="4" w:space="0"/>
              <w:right w:val="single" w:color="auto" w:sz="4" w:space="0"/>
            </w:tcBorders>
            <w:noWrap w:val="0"/>
            <w:vAlign w:val="top"/>
          </w:tcPr>
          <w:p w14:paraId="142A4A9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4F99C867">
        <w:tblPrEx>
          <w:tblCellMar>
            <w:top w:w="0" w:type="dxa"/>
            <w:left w:w="108" w:type="dxa"/>
            <w:bottom w:w="0" w:type="dxa"/>
            <w:right w:w="108" w:type="dxa"/>
          </w:tblCellMar>
        </w:tblPrEx>
        <w:trPr>
          <w:trHeight w:val="218" w:hRule="atLeast"/>
          <w:jc w:val="center"/>
        </w:trPr>
        <w:tc>
          <w:tcPr>
            <w:tcW w:w="730" w:type="dxa"/>
            <w:vMerge w:val="continue"/>
            <w:tcBorders>
              <w:top w:val="nil"/>
              <w:left w:val="single" w:color="auto" w:sz="4" w:space="0"/>
              <w:bottom w:val="nil"/>
              <w:right w:val="single" w:color="auto" w:sz="4" w:space="0"/>
            </w:tcBorders>
            <w:noWrap w:val="0"/>
            <w:vAlign w:val="center"/>
          </w:tcPr>
          <w:p w14:paraId="78898E7D">
            <w:pPr>
              <w:rPr>
                <w:color w:val="auto"/>
                <w:highlight w:val="none"/>
              </w:rPr>
            </w:pPr>
          </w:p>
        </w:tc>
        <w:tc>
          <w:tcPr>
            <w:tcW w:w="8518" w:type="dxa"/>
            <w:gridSpan w:val="4"/>
            <w:tcBorders>
              <w:top w:val="single" w:color="auto" w:sz="4" w:space="0"/>
              <w:left w:val="nil"/>
              <w:bottom w:val="single" w:color="auto" w:sz="4" w:space="0"/>
              <w:right w:val="single" w:color="auto" w:sz="4" w:space="0"/>
            </w:tcBorders>
            <w:noWrap w:val="0"/>
            <w:vAlign w:val="center"/>
          </w:tcPr>
          <w:p w14:paraId="1E577347">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如果在岗人数达不到建议人数数量（12人），造成工作效果达不到要求的，每次扣1-10分。</w:t>
            </w:r>
          </w:p>
        </w:tc>
        <w:tc>
          <w:tcPr>
            <w:tcW w:w="568" w:type="dxa"/>
            <w:tcBorders>
              <w:top w:val="single" w:color="auto" w:sz="4" w:space="0"/>
              <w:left w:val="nil"/>
              <w:bottom w:val="single" w:color="auto" w:sz="4" w:space="0"/>
              <w:right w:val="single" w:color="auto" w:sz="4" w:space="0"/>
            </w:tcBorders>
            <w:noWrap w:val="0"/>
            <w:vAlign w:val="top"/>
          </w:tcPr>
          <w:p w14:paraId="5E1A4C85">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363E20D9">
        <w:tblPrEx>
          <w:tblCellMar>
            <w:top w:w="0" w:type="dxa"/>
            <w:left w:w="108" w:type="dxa"/>
            <w:bottom w:w="0" w:type="dxa"/>
            <w:right w:w="108" w:type="dxa"/>
          </w:tblCellMar>
        </w:tblPrEx>
        <w:trPr>
          <w:trHeight w:val="218" w:hRule="atLeast"/>
          <w:jc w:val="center"/>
        </w:trPr>
        <w:tc>
          <w:tcPr>
            <w:tcW w:w="730" w:type="dxa"/>
            <w:vMerge w:val="continue"/>
            <w:tcBorders>
              <w:top w:val="nil"/>
              <w:left w:val="single" w:color="auto" w:sz="4" w:space="0"/>
              <w:bottom w:val="single" w:color="auto" w:sz="4" w:space="0"/>
              <w:right w:val="single" w:color="auto" w:sz="4" w:space="0"/>
            </w:tcBorders>
            <w:noWrap w:val="0"/>
            <w:vAlign w:val="center"/>
          </w:tcPr>
          <w:p w14:paraId="312D037A">
            <w:pPr>
              <w:rPr>
                <w:color w:val="auto"/>
                <w:highlight w:val="none"/>
              </w:rPr>
            </w:pPr>
          </w:p>
        </w:tc>
        <w:tc>
          <w:tcPr>
            <w:tcW w:w="8518" w:type="dxa"/>
            <w:gridSpan w:val="4"/>
            <w:tcBorders>
              <w:top w:val="single" w:color="auto" w:sz="4" w:space="0"/>
              <w:left w:val="nil"/>
              <w:bottom w:val="single" w:color="auto" w:sz="4" w:space="0"/>
              <w:right w:val="single" w:color="auto" w:sz="4" w:space="0"/>
            </w:tcBorders>
            <w:noWrap w:val="0"/>
            <w:vAlign w:val="center"/>
          </w:tcPr>
          <w:p w14:paraId="40A8B45E">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如果公园安排临时工作任务（如节假日摆花及养护等），不服从安排的，每次扣1-5分。</w:t>
            </w:r>
          </w:p>
        </w:tc>
        <w:tc>
          <w:tcPr>
            <w:tcW w:w="568" w:type="dxa"/>
            <w:tcBorders>
              <w:top w:val="single" w:color="auto" w:sz="4" w:space="0"/>
              <w:left w:val="nil"/>
              <w:bottom w:val="single" w:color="auto" w:sz="4" w:space="0"/>
              <w:right w:val="single" w:color="auto" w:sz="4" w:space="0"/>
            </w:tcBorders>
            <w:noWrap w:val="0"/>
            <w:vAlign w:val="top"/>
          </w:tcPr>
          <w:p w14:paraId="04F5C61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084831AE">
        <w:tblPrEx>
          <w:tblCellMar>
            <w:top w:w="0" w:type="dxa"/>
            <w:left w:w="108" w:type="dxa"/>
            <w:bottom w:w="0" w:type="dxa"/>
            <w:right w:w="108" w:type="dxa"/>
          </w:tblCellMar>
        </w:tblPrEx>
        <w:trPr>
          <w:trHeight w:val="218" w:hRule="atLeast"/>
          <w:jc w:val="center"/>
        </w:trPr>
        <w:tc>
          <w:tcPr>
            <w:tcW w:w="1933" w:type="dxa"/>
            <w:gridSpan w:val="2"/>
            <w:tcBorders>
              <w:top w:val="single" w:color="auto" w:sz="4" w:space="0"/>
              <w:left w:val="single" w:color="auto" w:sz="4" w:space="0"/>
              <w:bottom w:val="single" w:color="auto" w:sz="4" w:space="0"/>
              <w:right w:val="single" w:color="auto" w:sz="4" w:space="0"/>
            </w:tcBorders>
            <w:noWrap w:val="0"/>
            <w:vAlign w:val="center"/>
          </w:tcPr>
          <w:p w14:paraId="277363F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合计分数</w:t>
            </w:r>
          </w:p>
        </w:tc>
        <w:tc>
          <w:tcPr>
            <w:tcW w:w="7315" w:type="dxa"/>
            <w:gridSpan w:val="3"/>
            <w:tcBorders>
              <w:top w:val="single" w:color="auto" w:sz="4" w:space="0"/>
              <w:left w:val="nil"/>
              <w:bottom w:val="single" w:color="auto" w:sz="4" w:space="0"/>
              <w:right w:val="single" w:color="auto" w:sz="4" w:space="0"/>
            </w:tcBorders>
            <w:noWrap w:val="0"/>
            <w:vAlign w:val="center"/>
          </w:tcPr>
          <w:p w14:paraId="69ECBF9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c>
          <w:tcPr>
            <w:tcW w:w="568" w:type="dxa"/>
            <w:tcBorders>
              <w:top w:val="single" w:color="auto" w:sz="4" w:space="0"/>
              <w:left w:val="nil"/>
              <w:bottom w:val="single" w:color="auto" w:sz="4" w:space="0"/>
              <w:right w:val="single" w:color="auto" w:sz="4" w:space="0"/>
            </w:tcBorders>
            <w:noWrap w:val="0"/>
            <w:vAlign w:val="top"/>
          </w:tcPr>
          <w:p w14:paraId="26FE2A84">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2629DB81">
        <w:tblPrEx>
          <w:tblCellMar>
            <w:top w:w="0" w:type="dxa"/>
            <w:left w:w="108" w:type="dxa"/>
            <w:bottom w:w="0" w:type="dxa"/>
            <w:right w:w="108" w:type="dxa"/>
          </w:tblCellMar>
        </w:tblPrEx>
        <w:trPr>
          <w:trHeight w:val="497" w:hRule="atLeast"/>
          <w:jc w:val="center"/>
        </w:trPr>
        <w:tc>
          <w:tcPr>
            <w:tcW w:w="1933" w:type="dxa"/>
            <w:gridSpan w:val="2"/>
            <w:tcBorders>
              <w:top w:val="nil"/>
              <w:left w:val="single" w:color="auto" w:sz="4" w:space="0"/>
              <w:bottom w:val="single" w:color="auto" w:sz="4" w:space="0"/>
              <w:right w:val="single" w:color="auto" w:sz="4" w:space="0"/>
            </w:tcBorders>
            <w:noWrap w:val="0"/>
            <w:vAlign w:val="center"/>
          </w:tcPr>
          <w:p w14:paraId="0FDF658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养护费的</w:t>
            </w:r>
          </w:p>
          <w:p w14:paraId="28701F2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发放标准</w:t>
            </w:r>
          </w:p>
        </w:tc>
        <w:tc>
          <w:tcPr>
            <w:tcW w:w="7315" w:type="dxa"/>
            <w:gridSpan w:val="3"/>
            <w:tcBorders>
              <w:top w:val="single" w:color="auto" w:sz="4" w:space="0"/>
              <w:left w:val="nil"/>
              <w:bottom w:val="single" w:color="auto" w:sz="4" w:space="0"/>
              <w:right w:val="single" w:color="auto" w:sz="4" w:space="0"/>
            </w:tcBorders>
            <w:noWrap w:val="0"/>
            <w:vAlign w:val="center"/>
          </w:tcPr>
          <w:p w14:paraId="0C43A258">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p w14:paraId="1D881BB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 </w:t>
            </w:r>
          </w:p>
        </w:tc>
        <w:tc>
          <w:tcPr>
            <w:tcW w:w="568" w:type="dxa"/>
            <w:tcBorders>
              <w:top w:val="single" w:color="auto" w:sz="4" w:space="0"/>
              <w:left w:val="nil"/>
              <w:bottom w:val="single" w:color="auto" w:sz="4" w:space="0"/>
              <w:right w:val="single" w:color="auto" w:sz="4" w:space="0"/>
            </w:tcBorders>
            <w:noWrap w:val="0"/>
            <w:vAlign w:val="top"/>
          </w:tcPr>
          <w:p w14:paraId="10041783">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bl>
    <w:p w14:paraId="1DB251B9">
      <w:pPr>
        <w:spacing w:line="360" w:lineRule="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考核人员：                                         日期：</w:t>
      </w:r>
    </w:p>
    <w:p w14:paraId="5F87C09B">
      <w:pPr>
        <w:pStyle w:val="12"/>
        <w:rPr>
          <w:rFonts w:hint="eastAsia"/>
          <w:color w:val="auto"/>
          <w:highlight w:val="none"/>
        </w:rPr>
      </w:pPr>
    </w:p>
    <w:p w14:paraId="57A89A3F">
      <w:pPr>
        <w:widowControl/>
        <w:spacing w:line="360" w:lineRule="auto"/>
        <w:jc w:val="center"/>
        <w:rPr>
          <w:rFonts w:hint="eastAsia" w:ascii="宋体" w:hAnsi="宋体" w:eastAsia="宋体" w:cs="宋体"/>
          <w:b/>
          <w:color w:val="auto"/>
          <w:kern w:val="0"/>
          <w:sz w:val="21"/>
          <w:szCs w:val="21"/>
          <w:highlight w:val="none"/>
          <w:lang w:bidi="ar-SA"/>
        </w:rPr>
      </w:pPr>
      <w:r>
        <w:rPr>
          <w:rFonts w:hint="eastAsia" w:ascii="宋体" w:hAnsi="宋体" w:eastAsia="宋体" w:cs="宋体"/>
          <w:b/>
          <w:color w:val="auto"/>
          <w:kern w:val="0"/>
          <w:sz w:val="21"/>
          <w:szCs w:val="21"/>
          <w:highlight w:val="none"/>
          <w:lang w:bidi="ar-SA"/>
        </w:rPr>
        <w:t>附表2 绿化养护考核细则</w:t>
      </w:r>
    </w:p>
    <w:tbl>
      <w:tblPr>
        <w:tblStyle w:val="27"/>
        <w:tblW w:w="0" w:type="auto"/>
        <w:jc w:val="center"/>
        <w:tblLayout w:type="fixed"/>
        <w:tblCellMar>
          <w:top w:w="0" w:type="dxa"/>
          <w:left w:w="108" w:type="dxa"/>
          <w:bottom w:w="0" w:type="dxa"/>
          <w:right w:w="108" w:type="dxa"/>
        </w:tblCellMar>
      </w:tblPr>
      <w:tblGrid>
        <w:gridCol w:w="672"/>
        <w:gridCol w:w="589"/>
        <w:gridCol w:w="2847"/>
        <w:gridCol w:w="516"/>
        <w:gridCol w:w="4634"/>
        <w:gridCol w:w="553"/>
      </w:tblGrid>
      <w:tr w14:paraId="4503C634">
        <w:tblPrEx>
          <w:tblCellMar>
            <w:top w:w="0" w:type="dxa"/>
            <w:left w:w="108" w:type="dxa"/>
            <w:bottom w:w="0" w:type="dxa"/>
            <w:right w:w="108" w:type="dxa"/>
          </w:tblCellMar>
        </w:tblPrEx>
        <w:trPr>
          <w:trHeight w:val="697" w:hRule="atLeast"/>
          <w:jc w:val="center"/>
        </w:trPr>
        <w:tc>
          <w:tcPr>
            <w:tcW w:w="672" w:type="dxa"/>
            <w:tcBorders>
              <w:top w:val="single" w:color="auto" w:sz="4" w:space="0"/>
              <w:left w:val="single" w:color="auto" w:sz="4" w:space="0"/>
              <w:bottom w:val="single" w:color="auto" w:sz="4" w:space="0"/>
              <w:right w:val="single" w:color="auto" w:sz="4" w:space="0"/>
            </w:tcBorders>
            <w:noWrap w:val="0"/>
            <w:vAlign w:val="center"/>
          </w:tcPr>
          <w:p w14:paraId="052F94ED">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cs="宋体"/>
                <w:b/>
                <w:bCs/>
                <w:color w:val="auto"/>
                <w:kern w:val="0"/>
                <w:sz w:val="21"/>
                <w:szCs w:val="21"/>
                <w:highlight w:val="none"/>
                <w:lang w:bidi="ar-SA"/>
              </w:rPr>
            </w:pPr>
            <w:r>
              <w:rPr>
                <w:rFonts w:hint="eastAsia" w:ascii="宋体" w:hAnsi="宋体" w:cs="宋体"/>
                <w:b/>
                <w:bCs/>
                <w:color w:val="auto"/>
                <w:kern w:val="0"/>
                <w:sz w:val="21"/>
                <w:szCs w:val="21"/>
                <w:highlight w:val="none"/>
                <w:lang w:bidi="ar-SA"/>
              </w:rPr>
              <w:t>考核内容</w:t>
            </w:r>
          </w:p>
        </w:tc>
        <w:tc>
          <w:tcPr>
            <w:tcW w:w="3436" w:type="dxa"/>
            <w:gridSpan w:val="2"/>
            <w:tcBorders>
              <w:top w:val="single" w:color="auto" w:sz="4" w:space="0"/>
              <w:left w:val="single" w:color="auto" w:sz="4" w:space="0"/>
              <w:bottom w:val="single" w:color="auto" w:sz="4" w:space="0"/>
              <w:right w:val="single" w:color="auto" w:sz="4" w:space="0"/>
            </w:tcBorders>
            <w:noWrap w:val="0"/>
            <w:vAlign w:val="center"/>
          </w:tcPr>
          <w:p w14:paraId="7240400F">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cs="宋体"/>
                <w:b/>
                <w:bCs/>
                <w:color w:val="auto"/>
                <w:kern w:val="0"/>
                <w:sz w:val="21"/>
                <w:szCs w:val="21"/>
                <w:highlight w:val="none"/>
                <w:lang w:bidi="ar-SA"/>
              </w:rPr>
            </w:pPr>
            <w:r>
              <w:rPr>
                <w:rFonts w:hint="eastAsia" w:ascii="宋体" w:hAnsi="宋体" w:cs="宋体"/>
                <w:b/>
                <w:bCs/>
                <w:color w:val="auto"/>
                <w:kern w:val="0"/>
                <w:sz w:val="21"/>
                <w:szCs w:val="21"/>
                <w:highlight w:val="none"/>
                <w:lang w:bidi="ar-SA"/>
              </w:rPr>
              <w:t>考核标准</w:t>
            </w:r>
          </w:p>
        </w:tc>
        <w:tc>
          <w:tcPr>
            <w:tcW w:w="516" w:type="dxa"/>
            <w:tcBorders>
              <w:top w:val="single" w:color="auto" w:sz="4" w:space="0"/>
              <w:left w:val="single" w:color="auto" w:sz="4" w:space="0"/>
              <w:bottom w:val="single" w:color="auto" w:sz="4" w:space="0"/>
              <w:right w:val="single" w:color="auto" w:sz="4" w:space="0"/>
            </w:tcBorders>
            <w:noWrap w:val="0"/>
            <w:vAlign w:val="center"/>
          </w:tcPr>
          <w:p w14:paraId="4B75F1E1">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cs="宋体"/>
                <w:b/>
                <w:bCs/>
                <w:color w:val="auto"/>
                <w:kern w:val="0"/>
                <w:sz w:val="21"/>
                <w:szCs w:val="21"/>
                <w:highlight w:val="none"/>
                <w:lang w:bidi="ar-SA"/>
              </w:rPr>
            </w:pPr>
            <w:r>
              <w:rPr>
                <w:rFonts w:hint="eastAsia" w:ascii="宋体" w:hAnsi="宋体" w:cs="宋体"/>
                <w:b/>
                <w:bCs/>
                <w:color w:val="auto"/>
                <w:kern w:val="0"/>
                <w:sz w:val="21"/>
                <w:szCs w:val="21"/>
                <w:highlight w:val="none"/>
                <w:lang w:bidi="ar-SA"/>
              </w:rPr>
              <w:t>标准分</w:t>
            </w:r>
          </w:p>
        </w:tc>
        <w:tc>
          <w:tcPr>
            <w:tcW w:w="4634" w:type="dxa"/>
            <w:tcBorders>
              <w:top w:val="single" w:color="auto" w:sz="4" w:space="0"/>
              <w:left w:val="single" w:color="auto" w:sz="4" w:space="0"/>
              <w:bottom w:val="single" w:color="auto" w:sz="4" w:space="0"/>
              <w:right w:val="single" w:color="auto" w:sz="4" w:space="0"/>
            </w:tcBorders>
            <w:noWrap w:val="0"/>
            <w:vAlign w:val="center"/>
          </w:tcPr>
          <w:p w14:paraId="10B79A8C">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cs="宋体"/>
                <w:b/>
                <w:bCs/>
                <w:color w:val="auto"/>
                <w:kern w:val="0"/>
                <w:sz w:val="21"/>
                <w:szCs w:val="21"/>
                <w:highlight w:val="none"/>
                <w:lang w:bidi="ar-SA"/>
              </w:rPr>
            </w:pPr>
            <w:r>
              <w:rPr>
                <w:rFonts w:hint="eastAsia" w:ascii="宋体" w:hAnsi="宋体" w:cs="宋体"/>
                <w:b/>
                <w:bCs/>
                <w:color w:val="auto"/>
                <w:kern w:val="0"/>
                <w:sz w:val="21"/>
                <w:szCs w:val="21"/>
                <w:highlight w:val="none"/>
                <w:lang w:bidi="ar-SA"/>
              </w:rPr>
              <w:t>考核办法</w:t>
            </w:r>
          </w:p>
        </w:tc>
        <w:tc>
          <w:tcPr>
            <w:tcW w:w="553" w:type="dxa"/>
            <w:tcBorders>
              <w:top w:val="single" w:color="auto" w:sz="4" w:space="0"/>
              <w:left w:val="single" w:color="auto" w:sz="4" w:space="0"/>
              <w:bottom w:val="single" w:color="auto" w:sz="4" w:space="0"/>
              <w:right w:val="single" w:color="auto" w:sz="4" w:space="0"/>
            </w:tcBorders>
            <w:noWrap w:val="0"/>
            <w:vAlign w:val="top"/>
          </w:tcPr>
          <w:p w14:paraId="2DFA954D">
            <w:pPr>
              <w:keepNext w:val="0"/>
              <w:keepLines w:val="0"/>
              <w:pageBreakBefore w:val="0"/>
              <w:widowControl/>
              <w:kinsoku/>
              <w:wordWrap/>
              <w:overflowPunct/>
              <w:topLinePunct w:val="0"/>
              <w:autoSpaceDE/>
              <w:autoSpaceDN/>
              <w:bidi w:val="0"/>
              <w:adjustRightInd w:val="0"/>
              <w:snapToGrid w:val="0"/>
              <w:spacing w:line="240" w:lineRule="auto"/>
              <w:ind w:right="0"/>
              <w:textAlignment w:val="auto"/>
              <w:rPr>
                <w:rFonts w:hint="eastAsia" w:ascii="宋体" w:hAnsi="宋体" w:cs="宋体"/>
                <w:b/>
                <w:bCs/>
                <w:color w:val="auto"/>
                <w:kern w:val="0"/>
                <w:sz w:val="21"/>
                <w:szCs w:val="21"/>
                <w:highlight w:val="none"/>
                <w:lang w:bidi="ar-SA"/>
              </w:rPr>
            </w:pPr>
            <w:r>
              <w:rPr>
                <w:rFonts w:hint="eastAsia" w:ascii="宋体" w:hAnsi="宋体" w:cs="宋体"/>
                <w:b/>
                <w:bCs/>
                <w:color w:val="auto"/>
                <w:kern w:val="0"/>
                <w:sz w:val="21"/>
                <w:szCs w:val="21"/>
                <w:highlight w:val="none"/>
                <w:lang w:bidi="ar-SA"/>
              </w:rPr>
              <w:t>评分</w:t>
            </w:r>
          </w:p>
        </w:tc>
      </w:tr>
      <w:tr w14:paraId="2E4811EC">
        <w:tblPrEx>
          <w:tblCellMar>
            <w:top w:w="0" w:type="dxa"/>
            <w:left w:w="108" w:type="dxa"/>
            <w:bottom w:w="0" w:type="dxa"/>
            <w:right w:w="108" w:type="dxa"/>
          </w:tblCellMar>
        </w:tblPrEx>
        <w:trPr>
          <w:trHeight w:val="468" w:hRule="atLeast"/>
          <w:jc w:val="center"/>
        </w:trPr>
        <w:tc>
          <w:tcPr>
            <w:tcW w:w="672" w:type="dxa"/>
            <w:vMerge w:val="restart"/>
            <w:tcBorders>
              <w:top w:val="nil"/>
              <w:left w:val="single" w:color="auto" w:sz="4" w:space="0"/>
              <w:bottom w:val="nil"/>
              <w:right w:val="single" w:color="auto" w:sz="4" w:space="0"/>
            </w:tcBorders>
            <w:noWrap w:val="0"/>
            <w:vAlign w:val="center"/>
          </w:tcPr>
          <w:p w14:paraId="3208A0FA">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 xml:space="preserve">管理   </w:t>
            </w:r>
          </w:p>
        </w:tc>
        <w:tc>
          <w:tcPr>
            <w:tcW w:w="3436" w:type="dxa"/>
            <w:gridSpan w:val="2"/>
            <w:tcBorders>
              <w:top w:val="single" w:color="auto" w:sz="4" w:space="0"/>
              <w:left w:val="nil"/>
              <w:bottom w:val="single" w:color="auto" w:sz="4" w:space="0"/>
              <w:right w:val="single" w:color="auto" w:sz="4" w:space="0"/>
            </w:tcBorders>
            <w:noWrap w:val="0"/>
            <w:vAlign w:val="center"/>
          </w:tcPr>
          <w:p w14:paraId="15B796B7">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按照养护管理标准和管理要求报送当月养护计划承包。</w:t>
            </w:r>
          </w:p>
        </w:tc>
        <w:tc>
          <w:tcPr>
            <w:tcW w:w="516" w:type="dxa"/>
            <w:tcBorders>
              <w:top w:val="single" w:color="auto" w:sz="4" w:space="0"/>
              <w:left w:val="single" w:color="auto" w:sz="4" w:space="0"/>
              <w:bottom w:val="single" w:color="auto" w:sz="4" w:space="0"/>
              <w:right w:val="single" w:color="auto" w:sz="4" w:space="0"/>
            </w:tcBorders>
            <w:noWrap w:val="0"/>
            <w:vAlign w:val="center"/>
          </w:tcPr>
          <w:p w14:paraId="080CB3AD">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3</w:t>
            </w:r>
          </w:p>
        </w:tc>
        <w:tc>
          <w:tcPr>
            <w:tcW w:w="4634" w:type="dxa"/>
            <w:tcBorders>
              <w:top w:val="single" w:color="auto" w:sz="4" w:space="0"/>
              <w:left w:val="single" w:color="auto" w:sz="4" w:space="0"/>
              <w:bottom w:val="single" w:color="auto" w:sz="4" w:space="0"/>
              <w:right w:val="single" w:color="auto" w:sz="4" w:space="0"/>
            </w:tcBorders>
            <w:noWrap w:val="0"/>
            <w:vAlign w:val="center"/>
          </w:tcPr>
          <w:p w14:paraId="31ED0799">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无月养护计划，扣3分，未按月养护计划实施酌情扣1－3分。</w:t>
            </w:r>
          </w:p>
        </w:tc>
        <w:tc>
          <w:tcPr>
            <w:tcW w:w="553" w:type="dxa"/>
            <w:tcBorders>
              <w:top w:val="single" w:color="auto" w:sz="4" w:space="0"/>
              <w:left w:val="single" w:color="auto" w:sz="4" w:space="0"/>
              <w:bottom w:val="single" w:color="auto" w:sz="4" w:space="0"/>
              <w:right w:val="single" w:color="auto" w:sz="4" w:space="0"/>
            </w:tcBorders>
            <w:noWrap w:val="0"/>
            <w:vAlign w:val="top"/>
          </w:tcPr>
          <w:p w14:paraId="2F6F0931">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p>
        </w:tc>
      </w:tr>
      <w:tr w14:paraId="30808AC8">
        <w:tblPrEx>
          <w:tblCellMar>
            <w:top w:w="0" w:type="dxa"/>
            <w:left w:w="108" w:type="dxa"/>
            <w:bottom w:w="0" w:type="dxa"/>
            <w:right w:w="108" w:type="dxa"/>
          </w:tblCellMar>
        </w:tblPrEx>
        <w:trPr>
          <w:trHeight w:val="468" w:hRule="atLeast"/>
          <w:jc w:val="center"/>
        </w:trPr>
        <w:tc>
          <w:tcPr>
            <w:tcW w:w="672" w:type="dxa"/>
            <w:vMerge w:val="continue"/>
            <w:tcBorders>
              <w:top w:val="nil"/>
              <w:left w:val="single" w:color="auto" w:sz="4" w:space="0"/>
              <w:bottom w:val="nil"/>
              <w:right w:val="single" w:color="auto" w:sz="4" w:space="0"/>
            </w:tcBorders>
            <w:noWrap w:val="0"/>
            <w:vAlign w:val="center"/>
          </w:tcPr>
          <w:p w14:paraId="6575E194">
            <w:pPr>
              <w:rPr>
                <w:color w:val="auto"/>
                <w:highlight w:val="none"/>
              </w:rPr>
            </w:pPr>
          </w:p>
        </w:tc>
        <w:tc>
          <w:tcPr>
            <w:tcW w:w="3436" w:type="dxa"/>
            <w:gridSpan w:val="2"/>
            <w:tcBorders>
              <w:top w:val="single" w:color="auto" w:sz="4" w:space="0"/>
              <w:left w:val="nil"/>
              <w:bottom w:val="single" w:color="auto" w:sz="4" w:space="0"/>
              <w:right w:val="single" w:color="auto" w:sz="4" w:space="0"/>
            </w:tcBorders>
            <w:noWrap w:val="0"/>
            <w:vAlign w:val="center"/>
          </w:tcPr>
          <w:p w14:paraId="16D9BC18">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主要负责人须参加管理部门通知的会议、考核。</w:t>
            </w:r>
          </w:p>
        </w:tc>
        <w:tc>
          <w:tcPr>
            <w:tcW w:w="516" w:type="dxa"/>
            <w:tcBorders>
              <w:top w:val="single" w:color="auto" w:sz="4" w:space="0"/>
              <w:left w:val="single" w:color="auto" w:sz="4" w:space="0"/>
              <w:bottom w:val="single" w:color="auto" w:sz="4" w:space="0"/>
              <w:right w:val="single" w:color="auto" w:sz="4" w:space="0"/>
            </w:tcBorders>
            <w:noWrap w:val="0"/>
            <w:vAlign w:val="center"/>
          </w:tcPr>
          <w:p w14:paraId="7D57B219">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 xml:space="preserve"> 2</w:t>
            </w:r>
          </w:p>
        </w:tc>
        <w:tc>
          <w:tcPr>
            <w:tcW w:w="4634" w:type="dxa"/>
            <w:tcBorders>
              <w:top w:val="single" w:color="auto" w:sz="4" w:space="0"/>
              <w:left w:val="nil"/>
              <w:bottom w:val="single" w:color="auto" w:sz="4" w:space="0"/>
              <w:right w:val="single" w:color="auto" w:sz="4" w:space="0"/>
            </w:tcBorders>
            <w:noWrap w:val="0"/>
            <w:vAlign w:val="center"/>
          </w:tcPr>
          <w:p w14:paraId="6E678E8F">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主要负责人未参加一次扣1分。</w:t>
            </w:r>
          </w:p>
        </w:tc>
        <w:tc>
          <w:tcPr>
            <w:tcW w:w="553" w:type="dxa"/>
            <w:tcBorders>
              <w:top w:val="single" w:color="auto" w:sz="4" w:space="0"/>
              <w:left w:val="single" w:color="auto" w:sz="4" w:space="0"/>
              <w:bottom w:val="single" w:color="auto" w:sz="4" w:space="0"/>
              <w:right w:val="single" w:color="auto" w:sz="4" w:space="0"/>
            </w:tcBorders>
            <w:noWrap w:val="0"/>
            <w:vAlign w:val="top"/>
          </w:tcPr>
          <w:p w14:paraId="5E00645E">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p>
        </w:tc>
      </w:tr>
      <w:tr w14:paraId="11F7CCAF">
        <w:tblPrEx>
          <w:tblCellMar>
            <w:top w:w="0" w:type="dxa"/>
            <w:left w:w="108" w:type="dxa"/>
            <w:bottom w:w="0" w:type="dxa"/>
            <w:right w:w="108" w:type="dxa"/>
          </w:tblCellMar>
        </w:tblPrEx>
        <w:trPr>
          <w:trHeight w:val="1155" w:hRule="atLeast"/>
          <w:jc w:val="center"/>
        </w:trPr>
        <w:tc>
          <w:tcPr>
            <w:tcW w:w="672" w:type="dxa"/>
            <w:tcBorders>
              <w:top w:val="single" w:color="auto" w:sz="4" w:space="0"/>
              <w:left w:val="single" w:color="auto" w:sz="4" w:space="0"/>
              <w:bottom w:val="single" w:color="auto" w:sz="4" w:space="0"/>
              <w:right w:val="single" w:color="auto" w:sz="4" w:space="0"/>
            </w:tcBorders>
            <w:noWrap w:val="0"/>
            <w:vAlign w:val="center"/>
          </w:tcPr>
          <w:p w14:paraId="7760B707">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卫生  保洁</w:t>
            </w:r>
          </w:p>
        </w:tc>
        <w:tc>
          <w:tcPr>
            <w:tcW w:w="3436" w:type="dxa"/>
            <w:gridSpan w:val="2"/>
            <w:tcBorders>
              <w:top w:val="single" w:color="auto" w:sz="4" w:space="0"/>
              <w:left w:val="nil"/>
              <w:bottom w:val="single" w:color="auto" w:sz="4" w:space="0"/>
              <w:right w:val="single" w:color="000000" w:sz="4" w:space="0"/>
            </w:tcBorders>
            <w:noWrap w:val="0"/>
            <w:vAlign w:val="center"/>
          </w:tcPr>
          <w:p w14:paraId="2DD7A503">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每天及时清理绿化垃圾并实施保洁工作；垃圾应及时清运，不过夜，不现场焚烧垃圾。                       绿化无明显纸屑、果皮、塑料袋、杂物。                 绿化上无晾衣物、杂物。</w:t>
            </w:r>
          </w:p>
        </w:tc>
        <w:tc>
          <w:tcPr>
            <w:tcW w:w="516" w:type="dxa"/>
            <w:tcBorders>
              <w:top w:val="single" w:color="auto" w:sz="4" w:space="0"/>
              <w:left w:val="nil"/>
              <w:bottom w:val="single" w:color="auto" w:sz="4" w:space="0"/>
              <w:right w:val="single" w:color="auto" w:sz="4" w:space="0"/>
            </w:tcBorders>
            <w:noWrap w:val="0"/>
            <w:vAlign w:val="center"/>
          </w:tcPr>
          <w:p w14:paraId="1FB9490C">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15</w:t>
            </w:r>
          </w:p>
        </w:tc>
        <w:tc>
          <w:tcPr>
            <w:tcW w:w="4634" w:type="dxa"/>
            <w:tcBorders>
              <w:top w:val="single" w:color="auto" w:sz="4" w:space="0"/>
              <w:left w:val="nil"/>
              <w:bottom w:val="single" w:color="auto" w:sz="4" w:space="0"/>
              <w:right w:val="single" w:color="auto" w:sz="4" w:space="0"/>
            </w:tcBorders>
            <w:noWrap w:val="0"/>
            <w:vAlign w:val="center"/>
          </w:tcPr>
          <w:p w14:paraId="36F24672">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 xml:space="preserve">未及时完成清理保洁工作的扣2分；                                   未实行保洁工作的扣1-3分。                          </w:t>
            </w:r>
          </w:p>
          <w:p w14:paraId="40EEAAC3">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有明显纸屑、果皮、杂物，每处扣1分，垃圾未及时清理、过夜、现场焚烧垃圾扣1－3分。</w:t>
            </w:r>
          </w:p>
          <w:p w14:paraId="0B63E3C4">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绿化上有晾衣服杂物每处扣1分。</w:t>
            </w:r>
          </w:p>
        </w:tc>
        <w:tc>
          <w:tcPr>
            <w:tcW w:w="553" w:type="dxa"/>
            <w:tcBorders>
              <w:top w:val="single" w:color="auto" w:sz="4" w:space="0"/>
              <w:left w:val="nil"/>
              <w:bottom w:val="single" w:color="auto" w:sz="4" w:space="0"/>
              <w:right w:val="single" w:color="auto" w:sz="4" w:space="0"/>
            </w:tcBorders>
            <w:noWrap w:val="0"/>
            <w:vAlign w:val="top"/>
          </w:tcPr>
          <w:p w14:paraId="6B96B946">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p>
        </w:tc>
      </w:tr>
      <w:tr w14:paraId="24EB3AAE">
        <w:tblPrEx>
          <w:tblCellMar>
            <w:top w:w="0" w:type="dxa"/>
            <w:left w:w="108" w:type="dxa"/>
            <w:bottom w:w="0" w:type="dxa"/>
            <w:right w:w="108" w:type="dxa"/>
          </w:tblCellMar>
        </w:tblPrEx>
        <w:trPr>
          <w:trHeight w:val="2071" w:hRule="atLeast"/>
          <w:jc w:val="center"/>
        </w:trPr>
        <w:tc>
          <w:tcPr>
            <w:tcW w:w="672" w:type="dxa"/>
            <w:tcBorders>
              <w:top w:val="nil"/>
              <w:left w:val="single" w:color="auto" w:sz="4" w:space="0"/>
              <w:bottom w:val="single" w:color="auto" w:sz="4" w:space="0"/>
              <w:right w:val="single" w:color="auto" w:sz="4" w:space="0"/>
            </w:tcBorders>
            <w:noWrap w:val="0"/>
            <w:vAlign w:val="center"/>
          </w:tcPr>
          <w:p w14:paraId="77809FB5">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景观效果</w:t>
            </w:r>
          </w:p>
        </w:tc>
        <w:tc>
          <w:tcPr>
            <w:tcW w:w="3436" w:type="dxa"/>
            <w:gridSpan w:val="2"/>
            <w:tcBorders>
              <w:top w:val="single" w:color="auto" w:sz="4" w:space="0"/>
              <w:left w:val="nil"/>
              <w:bottom w:val="single" w:color="auto" w:sz="4" w:space="0"/>
              <w:right w:val="single" w:color="000000" w:sz="4" w:space="0"/>
            </w:tcBorders>
            <w:noWrap w:val="0"/>
            <w:vAlign w:val="center"/>
          </w:tcPr>
          <w:p w14:paraId="7005A07F">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 xml:space="preserve">景观效果好，植物生长旺盛，修剪整齐，层次分明、色彩鲜艳、整齐美观、无死株缺株、无病虫株。                     </w:t>
            </w:r>
          </w:p>
          <w:p w14:paraId="7E25E343">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树木修剪规范整齐，分枝合理均匀；花灌木修剪及时、准确；色块、绿篱适期修剪，曲线润畅，轮廓明显，三面整齐平整，造型植物修剪圆整。</w:t>
            </w:r>
          </w:p>
          <w:p w14:paraId="0F5ACB55">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草坪适时进行修剪，保持一定高度，修剪面平整，边角无遗留，草屑及时扫尽运出。</w:t>
            </w:r>
          </w:p>
        </w:tc>
        <w:tc>
          <w:tcPr>
            <w:tcW w:w="516" w:type="dxa"/>
            <w:tcBorders>
              <w:top w:val="nil"/>
              <w:left w:val="nil"/>
              <w:bottom w:val="single" w:color="auto" w:sz="4" w:space="0"/>
              <w:right w:val="single" w:color="auto" w:sz="4" w:space="0"/>
            </w:tcBorders>
            <w:noWrap w:val="0"/>
            <w:vAlign w:val="center"/>
          </w:tcPr>
          <w:p w14:paraId="725998B5">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35</w:t>
            </w:r>
          </w:p>
        </w:tc>
        <w:tc>
          <w:tcPr>
            <w:tcW w:w="4634" w:type="dxa"/>
            <w:tcBorders>
              <w:top w:val="single" w:color="auto" w:sz="4" w:space="0"/>
              <w:left w:val="nil"/>
              <w:bottom w:val="single" w:color="auto" w:sz="4" w:space="0"/>
              <w:right w:val="single" w:color="auto" w:sz="4" w:space="0"/>
            </w:tcBorders>
            <w:noWrap w:val="0"/>
            <w:vAlign w:val="center"/>
          </w:tcPr>
          <w:p w14:paraId="4A844720">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 xml:space="preserve">景观效果差扣1-15分。               </w:t>
            </w:r>
          </w:p>
          <w:p w14:paraId="5955FDA2">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植物修剪不到位、层次不分明扣1-10分。                           不及时修剪，灌木超出10cm扣1-10分；不按要求乱修剪，扣1-10分，绿篱修剪面不平、不直，宽度不匀，每100㎡扣1分；色块轮廓不明显，层次不清，每100㎡扣2分；造型植物修整不圆，每株扣0.5分。                                  草坪修剪面不平，边角有遗留，每㎡扣2分。</w:t>
            </w:r>
          </w:p>
        </w:tc>
        <w:tc>
          <w:tcPr>
            <w:tcW w:w="553" w:type="dxa"/>
            <w:tcBorders>
              <w:top w:val="single" w:color="auto" w:sz="4" w:space="0"/>
              <w:left w:val="nil"/>
              <w:bottom w:val="single" w:color="auto" w:sz="4" w:space="0"/>
              <w:right w:val="single" w:color="auto" w:sz="4" w:space="0"/>
            </w:tcBorders>
            <w:noWrap w:val="0"/>
            <w:vAlign w:val="top"/>
          </w:tcPr>
          <w:p w14:paraId="1A103762">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p>
        </w:tc>
      </w:tr>
      <w:tr w14:paraId="7346EFDD">
        <w:tblPrEx>
          <w:tblCellMar>
            <w:top w:w="0" w:type="dxa"/>
            <w:left w:w="108" w:type="dxa"/>
            <w:bottom w:w="0" w:type="dxa"/>
            <w:right w:w="108" w:type="dxa"/>
          </w:tblCellMar>
        </w:tblPrEx>
        <w:trPr>
          <w:trHeight w:val="1052" w:hRule="atLeast"/>
          <w:jc w:val="center"/>
        </w:trPr>
        <w:tc>
          <w:tcPr>
            <w:tcW w:w="672" w:type="dxa"/>
            <w:vMerge w:val="restart"/>
            <w:tcBorders>
              <w:top w:val="single" w:color="auto" w:sz="4" w:space="0"/>
              <w:left w:val="single" w:color="auto" w:sz="4" w:space="0"/>
              <w:bottom w:val="single" w:color="auto" w:sz="4" w:space="0"/>
              <w:right w:val="single" w:color="auto" w:sz="4" w:space="0"/>
            </w:tcBorders>
            <w:noWrap w:val="0"/>
            <w:vAlign w:val="center"/>
          </w:tcPr>
          <w:p w14:paraId="2F3D431A">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绿化管养</w:t>
            </w:r>
          </w:p>
        </w:tc>
        <w:tc>
          <w:tcPr>
            <w:tcW w:w="3436" w:type="dxa"/>
            <w:gridSpan w:val="2"/>
            <w:tcBorders>
              <w:top w:val="single" w:color="auto" w:sz="4" w:space="0"/>
              <w:left w:val="nil"/>
              <w:bottom w:val="single" w:color="auto" w:sz="4" w:space="0"/>
              <w:right w:val="single" w:color="000000" w:sz="4" w:space="0"/>
            </w:tcBorders>
            <w:noWrap w:val="0"/>
            <w:vAlign w:val="center"/>
          </w:tcPr>
          <w:p w14:paraId="2D7BEC4C">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除杂草：绿化及时除草，要求乔木、灌木无杂草伴生，草坪杂草率≤1-5%，树盘整修，草坪内树盘与绿篱及时切边，草坪与树木、绿篱、草花应有分隔沟。</w:t>
            </w:r>
          </w:p>
        </w:tc>
        <w:tc>
          <w:tcPr>
            <w:tcW w:w="516" w:type="dxa"/>
            <w:tcBorders>
              <w:top w:val="single" w:color="auto" w:sz="4" w:space="0"/>
              <w:left w:val="nil"/>
              <w:bottom w:val="single" w:color="auto" w:sz="4" w:space="0"/>
              <w:right w:val="single" w:color="auto" w:sz="4" w:space="0"/>
            </w:tcBorders>
            <w:noWrap w:val="0"/>
            <w:vAlign w:val="center"/>
          </w:tcPr>
          <w:p w14:paraId="1A3046D5">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10</w:t>
            </w:r>
          </w:p>
        </w:tc>
        <w:tc>
          <w:tcPr>
            <w:tcW w:w="4634" w:type="dxa"/>
            <w:tcBorders>
              <w:top w:val="single" w:color="auto" w:sz="4" w:space="0"/>
              <w:left w:val="nil"/>
              <w:bottom w:val="single" w:color="auto" w:sz="4" w:space="0"/>
              <w:right w:val="single" w:color="auto" w:sz="4" w:space="0"/>
            </w:tcBorders>
            <w:noWrap w:val="0"/>
            <w:vAlign w:val="center"/>
          </w:tcPr>
          <w:p w14:paraId="205BA1C0">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草坪杂草率≥1-5%，每100㎡扣0.5-1分；树穴、绿篱等不及时切边，草坪与树木、绿篱、草花等无合理分隔沟每10m扣1分。            灌木（乔木）内杂草伴生，扣1－3分。杂草明显高于绿化乔灌木5cm以上每处扣1分。</w:t>
            </w:r>
          </w:p>
        </w:tc>
        <w:tc>
          <w:tcPr>
            <w:tcW w:w="553" w:type="dxa"/>
            <w:tcBorders>
              <w:top w:val="single" w:color="auto" w:sz="4" w:space="0"/>
              <w:left w:val="nil"/>
              <w:bottom w:val="single" w:color="auto" w:sz="4" w:space="0"/>
              <w:right w:val="single" w:color="auto" w:sz="4" w:space="0"/>
            </w:tcBorders>
            <w:noWrap w:val="0"/>
            <w:vAlign w:val="top"/>
          </w:tcPr>
          <w:p w14:paraId="39BD1DDE">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p>
        </w:tc>
      </w:tr>
      <w:tr w14:paraId="7372DDD7">
        <w:tblPrEx>
          <w:tblCellMar>
            <w:top w:w="0" w:type="dxa"/>
            <w:left w:w="108" w:type="dxa"/>
            <w:bottom w:w="0" w:type="dxa"/>
            <w:right w:w="108" w:type="dxa"/>
          </w:tblCellMar>
        </w:tblPrEx>
        <w:trPr>
          <w:trHeight w:val="697" w:hRule="atLeast"/>
          <w:jc w:val="center"/>
        </w:trPr>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14:paraId="3B22850E">
            <w:pPr>
              <w:rPr>
                <w:color w:val="auto"/>
                <w:highlight w:val="none"/>
              </w:rPr>
            </w:pPr>
          </w:p>
        </w:tc>
        <w:tc>
          <w:tcPr>
            <w:tcW w:w="3436" w:type="dxa"/>
            <w:gridSpan w:val="2"/>
            <w:tcBorders>
              <w:top w:val="single" w:color="auto" w:sz="4" w:space="0"/>
              <w:left w:val="nil"/>
              <w:bottom w:val="single" w:color="auto" w:sz="4" w:space="0"/>
              <w:right w:val="single" w:color="000000" w:sz="4" w:space="0"/>
            </w:tcBorders>
            <w:noWrap w:val="0"/>
            <w:vAlign w:val="center"/>
          </w:tcPr>
          <w:p w14:paraId="14B481C8">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土壤无板结，植物根系不得裸露，绿化无坑洼积水。</w:t>
            </w:r>
          </w:p>
        </w:tc>
        <w:tc>
          <w:tcPr>
            <w:tcW w:w="516" w:type="dxa"/>
            <w:tcBorders>
              <w:top w:val="single" w:color="auto" w:sz="4" w:space="0"/>
              <w:left w:val="nil"/>
              <w:bottom w:val="single" w:color="auto" w:sz="4" w:space="0"/>
              <w:right w:val="single" w:color="auto" w:sz="4" w:space="0"/>
            </w:tcBorders>
            <w:noWrap w:val="0"/>
            <w:vAlign w:val="center"/>
          </w:tcPr>
          <w:p w14:paraId="54A9A48D">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4</w:t>
            </w:r>
          </w:p>
        </w:tc>
        <w:tc>
          <w:tcPr>
            <w:tcW w:w="4634" w:type="dxa"/>
            <w:tcBorders>
              <w:top w:val="single" w:color="auto" w:sz="4" w:space="0"/>
              <w:left w:val="nil"/>
              <w:bottom w:val="single" w:color="auto" w:sz="4" w:space="0"/>
              <w:right w:val="single" w:color="auto" w:sz="4" w:space="0"/>
            </w:tcBorders>
            <w:noWrap w:val="0"/>
            <w:vAlign w:val="center"/>
          </w:tcPr>
          <w:p w14:paraId="71F243F8">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出现植物根系裸露，绿化坑洼积水，灌木每100㎡扣1-4分；树盘、地被土壤板结，长期不疏松，每株或每10㎡扣1分。</w:t>
            </w:r>
          </w:p>
        </w:tc>
        <w:tc>
          <w:tcPr>
            <w:tcW w:w="553" w:type="dxa"/>
            <w:tcBorders>
              <w:top w:val="single" w:color="auto" w:sz="4" w:space="0"/>
              <w:left w:val="nil"/>
              <w:bottom w:val="single" w:color="auto" w:sz="4" w:space="0"/>
              <w:right w:val="single" w:color="auto" w:sz="4" w:space="0"/>
            </w:tcBorders>
            <w:noWrap w:val="0"/>
            <w:vAlign w:val="top"/>
          </w:tcPr>
          <w:p w14:paraId="4456EE43">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p>
        </w:tc>
      </w:tr>
      <w:tr w14:paraId="46E68873">
        <w:tblPrEx>
          <w:tblCellMar>
            <w:top w:w="0" w:type="dxa"/>
            <w:left w:w="108" w:type="dxa"/>
            <w:bottom w:w="0" w:type="dxa"/>
            <w:right w:w="108" w:type="dxa"/>
          </w:tblCellMar>
        </w:tblPrEx>
        <w:trPr>
          <w:trHeight w:val="468" w:hRule="atLeast"/>
          <w:jc w:val="center"/>
        </w:trPr>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14:paraId="2A44F732">
            <w:pPr>
              <w:rPr>
                <w:color w:val="auto"/>
                <w:highlight w:val="none"/>
              </w:rPr>
            </w:pPr>
          </w:p>
        </w:tc>
        <w:tc>
          <w:tcPr>
            <w:tcW w:w="3436" w:type="dxa"/>
            <w:gridSpan w:val="2"/>
            <w:tcBorders>
              <w:top w:val="single" w:color="auto" w:sz="4" w:space="0"/>
              <w:left w:val="nil"/>
              <w:bottom w:val="single" w:color="auto" w:sz="4" w:space="0"/>
              <w:right w:val="single" w:color="000000" w:sz="4" w:space="0"/>
            </w:tcBorders>
            <w:noWrap w:val="0"/>
            <w:vAlign w:val="center"/>
          </w:tcPr>
          <w:p w14:paraId="209CD422">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补植：应及时清除死株，补植缺株，保持植物景观的植株完整，无裸露地。</w:t>
            </w:r>
          </w:p>
        </w:tc>
        <w:tc>
          <w:tcPr>
            <w:tcW w:w="516" w:type="dxa"/>
            <w:tcBorders>
              <w:top w:val="single" w:color="auto" w:sz="4" w:space="0"/>
              <w:left w:val="nil"/>
              <w:bottom w:val="single" w:color="auto" w:sz="4" w:space="0"/>
              <w:right w:val="single" w:color="auto" w:sz="4" w:space="0"/>
            </w:tcBorders>
            <w:noWrap w:val="0"/>
            <w:vAlign w:val="center"/>
          </w:tcPr>
          <w:p w14:paraId="5BB48A57">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10</w:t>
            </w:r>
          </w:p>
        </w:tc>
        <w:tc>
          <w:tcPr>
            <w:tcW w:w="4634" w:type="dxa"/>
            <w:tcBorders>
              <w:top w:val="single" w:color="auto" w:sz="4" w:space="0"/>
              <w:left w:val="nil"/>
              <w:bottom w:val="single" w:color="auto" w:sz="4" w:space="0"/>
              <w:right w:val="single" w:color="auto" w:sz="4" w:space="0"/>
            </w:tcBorders>
            <w:noWrap w:val="0"/>
            <w:vAlign w:val="center"/>
          </w:tcPr>
          <w:p w14:paraId="48EFFBB1">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发现死株、缺株，乔木每株扣1分；灌木每10㎡扣1分，草地每10㎡扣0.5分</w:t>
            </w:r>
          </w:p>
        </w:tc>
        <w:tc>
          <w:tcPr>
            <w:tcW w:w="553" w:type="dxa"/>
            <w:tcBorders>
              <w:top w:val="single" w:color="auto" w:sz="4" w:space="0"/>
              <w:left w:val="nil"/>
              <w:bottom w:val="single" w:color="auto" w:sz="4" w:space="0"/>
              <w:right w:val="single" w:color="auto" w:sz="4" w:space="0"/>
            </w:tcBorders>
            <w:noWrap w:val="0"/>
            <w:vAlign w:val="top"/>
          </w:tcPr>
          <w:p w14:paraId="5EBB1437">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p>
        </w:tc>
      </w:tr>
      <w:tr w14:paraId="2A515C88">
        <w:tblPrEx>
          <w:tblCellMar>
            <w:top w:w="0" w:type="dxa"/>
            <w:left w:w="108" w:type="dxa"/>
            <w:bottom w:w="0" w:type="dxa"/>
            <w:right w:w="108" w:type="dxa"/>
          </w:tblCellMar>
        </w:tblPrEx>
        <w:trPr>
          <w:trHeight w:val="823" w:hRule="atLeast"/>
          <w:jc w:val="center"/>
        </w:trPr>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14:paraId="69C2C93E">
            <w:pPr>
              <w:rPr>
                <w:color w:val="auto"/>
                <w:highlight w:val="none"/>
              </w:rPr>
            </w:pPr>
          </w:p>
        </w:tc>
        <w:tc>
          <w:tcPr>
            <w:tcW w:w="3436" w:type="dxa"/>
            <w:gridSpan w:val="2"/>
            <w:tcBorders>
              <w:top w:val="single" w:color="auto" w:sz="4" w:space="0"/>
              <w:left w:val="nil"/>
              <w:bottom w:val="single" w:color="auto" w:sz="4" w:space="0"/>
              <w:right w:val="single" w:color="000000" w:sz="4" w:space="0"/>
            </w:tcBorders>
            <w:noWrap w:val="0"/>
            <w:vAlign w:val="center"/>
          </w:tcPr>
          <w:p w14:paraId="7B473DE6">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浇水：根据植物的生长特性和季节变化进行浇水，确保植物正常生长。</w:t>
            </w:r>
          </w:p>
        </w:tc>
        <w:tc>
          <w:tcPr>
            <w:tcW w:w="516" w:type="dxa"/>
            <w:tcBorders>
              <w:top w:val="single" w:color="auto" w:sz="4" w:space="0"/>
              <w:left w:val="nil"/>
              <w:bottom w:val="single" w:color="auto" w:sz="4" w:space="0"/>
              <w:right w:val="single" w:color="auto" w:sz="4" w:space="0"/>
            </w:tcBorders>
            <w:noWrap w:val="0"/>
            <w:vAlign w:val="center"/>
          </w:tcPr>
          <w:p w14:paraId="2EEA0496">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10</w:t>
            </w:r>
          </w:p>
        </w:tc>
        <w:tc>
          <w:tcPr>
            <w:tcW w:w="4634" w:type="dxa"/>
            <w:tcBorders>
              <w:top w:val="single" w:color="auto" w:sz="4" w:space="0"/>
              <w:left w:val="nil"/>
              <w:bottom w:val="single" w:color="auto" w:sz="4" w:space="0"/>
              <w:right w:val="single" w:color="auto" w:sz="4" w:space="0"/>
            </w:tcBorders>
            <w:noWrap w:val="0"/>
            <w:vAlign w:val="center"/>
          </w:tcPr>
          <w:p w14:paraId="5DAC22D3">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植物因缺水出现萎焉乔木每株扣1分，灌木每10㎡扣1分，草地每10㎡扣1分，出现枯死乔木每株扣2-5分，灌木每10㎡扣3分，草地每10㎡扣2分。</w:t>
            </w:r>
          </w:p>
        </w:tc>
        <w:tc>
          <w:tcPr>
            <w:tcW w:w="553" w:type="dxa"/>
            <w:tcBorders>
              <w:top w:val="single" w:color="auto" w:sz="4" w:space="0"/>
              <w:left w:val="nil"/>
              <w:bottom w:val="single" w:color="auto" w:sz="4" w:space="0"/>
              <w:right w:val="single" w:color="auto" w:sz="4" w:space="0"/>
            </w:tcBorders>
            <w:noWrap w:val="0"/>
            <w:vAlign w:val="top"/>
          </w:tcPr>
          <w:p w14:paraId="7B517709">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p>
        </w:tc>
      </w:tr>
      <w:tr w14:paraId="5F177977">
        <w:tblPrEx>
          <w:tblCellMar>
            <w:top w:w="0" w:type="dxa"/>
            <w:left w:w="108" w:type="dxa"/>
            <w:bottom w:w="0" w:type="dxa"/>
            <w:right w:w="108" w:type="dxa"/>
          </w:tblCellMar>
        </w:tblPrEx>
        <w:trPr>
          <w:trHeight w:val="468" w:hRule="atLeast"/>
          <w:jc w:val="center"/>
        </w:trPr>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14:paraId="3314025B">
            <w:pPr>
              <w:rPr>
                <w:color w:val="auto"/>
                <w:highlight w:val="none"/>
              </w:rPr>
            </w:pPr>
          </w:p>
        </w:tc>
        <w:tc>
          <w:tcPr>
            <w:tcW w:w="3436" w:type="dxa"/>
            <w:gridSpan w:val="2"/>
            <w:tcBorders>
              <w:top w:val="single" w:color="auto" w:sz="4" w:space="0"/>
              <w:left w:val="nil"/>
              <w:bottom w:val="single" w:color="auto" w:sz="4" w:space="0"/>
              <w:right w:val="single" w:color="000000" w:sz="4" w:space="0"/>
            </w:tcBorders>
            <w:noWrap w:val="0"/>
            <w:vAlign w:val="center"/>
          </w:tcPr>
          <w:p w14:paraId="16297E25">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施肥：根据植物的生长特性、投标承诺和月养护计划进行施肥。</w:t>
            </w:r>
          </w:p>
        </w:tc>
        <w:tc>
          <w:tcPr>
            <w:tcW w:w="516" w:type="dxa"/>
            <w:tcBorders>
              <w:top w:val="single" w:color="auto" w:sz="4" w:space="0"/>
              <w:left w:val="nil"/>
              <w:bottom w:val="single" w:color="auto" w:sz="4" w:space="0"/>
              <w:right w:val="single" w:color="auto" w:sz="4" w:space="0"/>
            </w:tcBorders>
            <w:noWrap w:val="0"/>
            <w:vAlign w:val="center"/>
          </w:tcPr>
          <w:p w14:paraId="35311F5F">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6</w:t>
            </w:r>
          </w:p>
        </w:tc>
        <w:tc>
          <w:tcPr>
            <w:tcW w:w="4634" w:type="dxa"/>
            <w:tcBorders>
              <w:top w:val="single" w:color="auto" w:sz="4" w:space="0"/>
              <w:left w:val="nil"/>
              <w:bottom w:val="single" w:color="auto" w:sz="4" w:space="0"/>
              <w:right w:val="single" w:color="auto" w:sz="4" w:space="0"/>
            </w:tcBorders>
            <w:noWrap w:val="0"/>
            <w:vAlign w:val="center"/>
          </w:tcPr>
          <w:p w14:paraId="6AA5B5E7">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因缺肥导致植物叶片黄叶、长势不良的每处扣1-2分，因施肥不当出现肥害，每处扣1-2分。</w:t>
            </w:r>
          </w:p>
        </w:tc>
        <w:tc>
          <w:tcPr>
            <w:tcW w:w="553" w:type="dxa"/>
            <w:tcBorders>
              <w:top w:val="single" w:color="auto" w:sz="4" w:space="0"/>
              <w:left w:val="nil"/>
              <w:bottom w:val="single" w:color="auto" w:sz="4" w:space="0"/>
              <w:right w:val="single" w:color="auto" w:sz="4" w:space="0"/>
            </w:tcBorders>
            <w:noWrap w:val="0"/>
            <w:vAlign w:val="top"/>
          </w:tcPr>
          <w:p w14:paraId="503DF1E4">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p>
        </w:tc>
      </w:tr>
      <w:tr w14:paraId="1A9D3AE1">
        <w:tblPrEx>
          <w:tblCellMar>
            <w:top w:w="0" w:type="dxa"/>
            <w:left w:w="108" w:type="dxa"/>
            <w:bottom w:w="0" w:type="dxa"/>
            <w:right w:w="108" w:type="dxa"/>
          </w:tblCellMar>
        </w:tblPrEx>
        <w:trPr>
          <w:trHeight w:val="697" w:hRule="atLeast"/>
          <w:jc w:val="center"/>
        </w:trPr>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14:paraId="1B3E04F4">
            <w:pPr>
              <w:rPr>
                <w:color w:val="auto"/>
                <w:highlight w:val="none"/>
              </w:rPr>
            </w:pPr>
          </w:p>
        </w:tc>
        <w:tc>
          <w:tcPr>
            <w:tcW w:w="3436" w:type="dxa"/>
            <w:gridSpan w:val="2"/>
            <w:tcBorders>
              <w:top w:val="single" w:color="auto" w:sz="4" w:space="0"/>
              <w:left w:val="nil"/>
              <w:bottom w:val="single" w:color="auto" w:sz="4" w:space="0"/>
              <w:right w:val="single" w:color="000000" w:sz="4" w:space="0"/>
            </w:tcBorders>
            <w:noWrap w:val="0"/>
            <w:vAlign w:val="center"/>
          </w:tcPr>
          <w:p w14:paraId="5C6A463E">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病虫害：应及时做好植物病虫害防治工作，发生病虫害，植株受害面积按二级养护标准控制。</w:t>
            </w:r>
          </w:p>
        </w:tc>
        <w:tc>
          <w:tcPr>
            <w:tcW w:w="516" w:type="dxa"/>
            <w:tcBorders>
              <w:top w:val="single" w:color="auto" w:sz="4" w:space="0"/>
              <w:left w:val="nil"/>
              <w:bottom w:val="single" w:color="auto" w:sz="4" w:space="0"/>
              <w:right w:val="single" w:color="auto" w:sz="4" w:space="0"/>
            </w:tcBorders>
            <w:noWrap w:val="0"/>
            <w:vAlign w:val="center"/>
          </w:tcPr>
          <w:p w14:paraId="79CA7256">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5</w:t>
            </w:r>
          </w:p>
        </w:tc>
        <w:tc>
          <w:tcPr>
            <w:tcW w:w="4634" w:type="dxa"/>
            <w:tcBorders>
              <w:top w:val="single" w:color="auto" w:sz="4" w:space="0"/>
              <w:left w:val="nil"/>
              <w:bottom w:val="single" w:color="auto" w:sz="4" w:space="0"/>
              <w:right w:val="single" w:color="auto" w:sz="4" w:space="0"/>
            </w:tcBorders>
            <w:noWrap w:val="0"/>
            <w:vAlign w:val="center"/>
          </w:tcPr>
          <w:p w14:paraId="1494B72C">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发生病虫害，植株受害面积超过标准每处扣2分；严重导致死亡每处扣2-5分；使用不当发生药害，致使植物落叶死亡，每处扣1分。</w:t>
            </w:r>
          </w:p>
        </w:tc>
        <w:tc>
          <w:tcPr>
            <w:tcW w:w="553" w:type="dxa"/>
            <w:tcBorders>
              <w:top w:val="single" w:color="auto" w:sz="4" w:space="0"/>
              <w:left w:val="nil"/>
              <w:bottom w:val="single" w:color="auto" w:sz="4" w:space="0"/>
              <w:right w:val="single" w:color="auto" w:sz="4" w:space="0"/>
            </w:tcBorders>
            <w:noWrap w:val="0"/>
            <w:vAlign w:val="top"/>
          </w:tcPr>
          <w:p w14:paraId="03BAF288">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p>
        </w:tc>
      </w:tr>
      <w:tr w14:paraId="4E697E6A">
        <w:tblPrEx>
          <w:tblCellMar>
            <w:top w:w="0" w:type="dxa"/>
            <w:left w:w="108" w:type="dxa"/>
            <w:bottom w:w="0" w:type="dxa"/>
            <w:right w:w="108" w:type="dxa"/>
          </w:tblCellMar>
        </w:tblPrEx>
        <w:trPr>
          <w:trHeight w:val="468" w:hRule="atLeast"/>
          <w:jc w:val="center"/>
        </w:trPr>
        <w:tc>
          <w:tcPr>
            <w:tcW w:w="672" w:type="dxa"/>
            <w:vMerge w:val="restart"/>
            <w:tcBorders>
              <w:top w:val="nil"/>
              <w:left w:val="single" w:color="auto" w:sz="4" w:space="0"/>
              <w:bottom w:val="single" w:color="auto" w:sz="4" w:space="0"/>
              <w:right w:val="single" w:color="auto" w:sz="4" w:space="0"/>
            </w:tcBorders>
            <w:noWrap w:val="0"/>
            <w:vAlign w:val="center"/>
          </w:tcPr>
          <w:p w14:paraId="68E5C145">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直接扣分项</w:t>
            </w:r>
          </w:p>
        </w:tc>
        <w:tc>
          <w:tcPr>
            <w:tcW w:w="8586" w:type="dxa"/>
            <w:gridSpan w:val="4"/>
            <w:tcBorders>
              <w:top w:val="single" w:color="auto" w:sz="4" w:space="0"/>
              <w:left w:val="nil"/>
              <w:bottom w:val="single" w:color="auto" w:sz="4" w:space="0"/>
              <w:right w:val="single" w:color="auto" w:sz="4" w:space="0"/>
            </w:tcBorders>
            <w:noWrap w:val="0"/>
            <w:vAlign w:val="center"/>
          </w:tcPr>
          <w:p w14:paraId="778C6B5B">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绿化、绿化树及花池及绿化设施被人为破坏未发现及时上报和阻止的，绿化树每株扣1-10分；草坪和灌木每㎡扣1-5分.</w:t>
            </w:r>
          </w:p>
        </w:tc>
        <w:tc>
          <w:tcPr>
            <w:tcW w:w="553" w:type="dxa"/>
            <w:tcBorders>
              <w:top w:val="single" w:color="auto" w:sz="4" w:space="0"/>
              <w:left w:val="single" w:color="auto" w:sz="4" w:space="0"/>
              <w:bottom w:val="single" w:color="auto" w:sz="4" w:space="0"/>
              <w:right w:val="single" w:color="auto" w:sz="4" w:space="0"/>
            </w:tcBorders>
            <w:noWrap w:val="0"/>
            <w:vAlign w:val="top"/>
          </w:tcPr>
          <w:p w14:paraId="69B2FF37">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p>
        </w:tc>
      </w:tr>
      <w:tr w14:paraId="4E76A2BD">
        <w:tblPrEx>
          <w:tblCellMar>
            <w:top w:w="0" w:type="dxa"/>
            <w:left w:w="108" w:type="dxa"/>
            <w:bottom w:w="0" w:type="dxa"/>
            <w:right w:w="108" w:type="dxa"/>
          </w:tblCellMar>
        </w:tblPrEx>
        <w:trPr>
          <w:trHeight w:val="332" w:hRule="atLeast"/>
          <w:jc w:val="center"/>
        </w:trPr>
        <w:tc>
          <w:tcPr>
            <w:tcW w:w="672" w:type="dxa"/>
            <w:vMerge w:val="continue"/>
            <w:tcBorders>
              <w:top w:val="nil"/>
              <w:left w:val="single" w:color="auto" w:sz="4" w:space="0"/>
              <w:bottom w:val="nil"/>
              <w:right w:val="single" w:color="auto" w:sz="4" w:space="0"/>
            </w:tcBorders>
            <w:noWrap w:val="0"/>
            <w:vAlign w:val="center"/>
          </w:tcPr>
          <w:p w14:paraId="338A0391">
            <w:pPr>
              <w:rPr>
                <w:color w:val="auto"/>
                <w:highlight w:val="none"/>
              </w:rPr>
            </w:pPr>
          </w:p>
        </w:tc>
        <w:tc>
          <w:tcPr>
            <w:tcW w:w="8586" w:type="dxa"/>
            <w:gridSpan w:val="4"/>
            <w:tcBorders>
              <w:top w:val="single" w:color="auto" w:sz="4" w:space="0"/>
              <w:left w:val="nil"/>
              <w:bottom w:val="single" w:color="auto" w:sz="4" w:space="0"/>
              <w:right w:val="single" w:color="auto" w:sz="4" w:space="0"/>
            </w:tcBorders>
            <w:noWrap w:val="0"/>
            <w:vAlign w:val="center"/>
          </w:tcPr>
          <w:p w14:paraId="378C92D1">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如果在岗人数达不到建议人数数量（25人），造成工作效果达不到要求的，每次扣1-10分。</w:t>
            </w:r>
          </w:p>
        </w:tc>
        <w:tc>
          <w:tcPr>
            <w:tcW w:w="553" w:type="dxa"/>
            <w:tcBorders>
              <w:top w:val="single" w:color="auto" w:sz="4" w:space="0"/>
              <w:left w:val="single" w:color="auto" w:sz="4" w:space="0"/>
              <w:bottom w:val="single" w:color="auto" w:sz="4" w:space="0"/>
              <w:right w:val="single" w:color="auto" w:sz="4" w:space="0"/>
            </w:tcBorders>
            <w:noWrap w:val="0"/>
            <w:vAlign w:val="top"/>
          </w:tcPr>
          <w:p w14:paraId="0AC8B803">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p>
        </w:tc>
      </w:tr>
      <w:tr w14:paraId="5374F895">
        <w:tblPrEx>
          <w:tblCellMar>
            <w:top w:w="0" w:type="dxa"/>
            <w:left w:w="108" w:type="dxa"/>
            <w:bottom w:w="0" w:type="dxa"/>
            <w:right w:w="108" w:type="dxa"/>
          </w:tblCellMar>
        </w:tblPrEx>
        <w:trPr>
          <w:trHeight w:val="239" w:hRule="atLeast"/>
          <w:jc w:val="center"/>
        </w:trPr>
        <w:tc>
          <w:tcPr>
            <w:tcW w:w="672" w:type="dxa"/>
            <w:vMerge w:val="continue"/>
            <w:tcBorders>
              <w:top w:val="nil"/>
              <w:left w:val="single" w:color="auto" w:sz="4" w:space="0"/>
              <w:bottom w:val="single" w:color="auto" w:sz="4" w:space="0"/>
              <w:right w:val="single" w:color="auto" w:sz="4" w:space="0"/>
            </w:tcBorders>
            <w:noWrap w:val="0"/>
            <w:vAlign w:val="center"/>
          </w:tcPr>
          <w:p w14:paraId="0AFB9461">
            <w:pPr>
              <w:rPr>
                <w:color w:val="auto"/>
                <w:highlight w:val="none"/>
              </w:rPr>
            </w:pPr>
          </w:p>
        </w:tc>
        <w:tc>
          <w:tcPr>
            <w:tcW w:w="8586" w:type="dxa"/>
            <w:gridSpan w:val="4"/>
            <w:tcBorders>
              <w:top w:val="single" w:color="auto" w:sz="4" w:space="0"/>
              <w:left w:val="nil"/>
              <w:bottom w:val="single" w:color="auto" w:sz="4" w:space="0"/>
              <w:right w:val="single" w:color="auto" w:sz="4" w:space="0"/>
            </w:tcBorders>
            <w:noWrap w:val="0"/>
            <w:vAlign w:val="center"/>
          </w:tcPr>
          <w:p w14:paraId="10E11852">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发生一起上级领导点名批评（如情况属实）、责任性投诉或被新闻媒体曝光一次，属责任问题扣1-10分。</w:t>
            </w:r>
          </w:p>
        </w:tc>
        <w:tc>
          <w:tcPr>
            <w:tcW w:w="553" w:type="dxa"/>
            <w:tcBorders>
              <w:top w:val="single" w:color="auto" w:sz="4" w:space="0"/>
              <w:left w:val="single" w:color="auto" w:sz="4" w:space="0"/>
              <w:bottom w:val="single" w:color="auto" w:sz="4" w:space="0"/>
              <w:right w:val="single" w:color="auto" w:sz="4" w:space="0"/>
            </w:tcBorders>
            <w:noWrap w:val="0"/>
            <w:vAlign w:val="top"/>
          </w:tcPr>
          <w:p w14:paraId="21C73D3B">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p>
        </w:tc>
      </w:tr>
      <w:tr w14:paraId="2A78AA8B">
        <w:tblPrEx>
          <w:tblCellMar>
            <w:top w:w="0" w:type="dxa"/>
            <w:left w:w="108" w:type="dxa"/>
            <w:bottom w:w="0" w:type="dxa"/>
            <w:right w:w="108" w:type="dxa"/>
          </w:tblCellMar>
        </w:tblPrEx>
        <w:trPr>
          <w:trHeight w:val="259" w:hRule="atLeast"/>
          <w:jc w:val="center"/>
        </w:trPr>
        <w:tc>
          <w:tcPr>
            <w:tcW w:w="672" w:type="dxa"/>
            <w:vMerge w:val="continue"/>
            <w:tcBorders>
              <w:top w:val="nil"/>
              <w:left w:val="single" w:color="auto" w:sz="4" w:space="0"/>
              <w:bottom w:val="single" w:color="auto" w:sz="4" w:space="0"/>
              <w:right w:val="single" w:color="auto" w:sz="4" w:space="0"/>
            </w:tcBorders>
            <w:noWrap w:val="0"/>
            <w:vAlign w:val="center"/>
          </w:tcPr>
          <w:p w14:paraId="290CB841">
            <w:pPr>
              <w:rPr>
                <w:color w:val="auto"/>
                <w:highlight w:val="none"/>
              </w:rPr>
            </w:pPr>
          </w:p>
        </w:tc>
        <w:tc>
          <w:tcPr>
            <w:tcW w:w="8586" w:type="dxa"/>
            <w:gridSpan w:val="4"/>
            <w:tcBorders>
              <w:top w:val="single" w:color="auto" w:sz="4" w:space="0"/>
              <w:left w:val="nil"/>
              <w:bottom w:val="single" w:color="auto" w:sz="4" w:space="0"/>
              <w:right w:val="single" w:color="auto" w:sz="4" w:space="0"/>
            </w:tcBorders>
            <w:noWrap w:val="0"/>
            <w:vAlign w:val="center"/>
          </w:tcPr>
          <w:p w14:paraId="30736DE5">
            <w:pPr>
              <w:keepNext w:val="0"/>
              <w:keepLines w:val="0"/>
              <w:pageBreakBefore w:val="0"/>
              <w:widowControl/>
              <w:kinsoku/>
              <w:wordWrap/>
              <w:overflowPunct/>
              <w:topLinePunct w:val="0"/>
              <w:autoSpaceDE/>
              <w:autoSpaceDN/>
              <w:bidi w:val="0"/>
              <w:adjustRightInd w:val="0"/>
              <w:snapToGrid w:val="0"/>
              <w:spacing w:line="240" w:lineRule="auto"/>
              <w:ind w:right="0"/>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如果公园安排临时工作任务（如节假日摆花及养护等），不服从安排的，每次扣1-5分。</w:t>
            </w:r>
          </w:p>
        </w:tc>
        <w:tc>
          <w:tcPr>
            <w:tcW w:w="553" w:type="dxa"/>
            <w:tcBorders>
              <w:top w:val="single" w:color="auto" w:sz="4" w:space="0"/>
              <w:left w:val="single" w:color="auto" w:sz="4" w:space="0"/>
              <w:bottom w:val="single" w:color="auto" w:sz="4" w:space="0"/>
              <w:right w:val="single" w:color="auto" w:sz="4" w:space="0"/>
            </w:tcBorders>
            <w:noWrap w:val="0"/>
            <w:vAlign w:val="top"/>
          </w:tcPr>
          <w:p w14:paraId="77984F0C">
            <w:pPr>
              <w:keepNext w:val="0"/>
              <w:keepLines w:val="0"/>
              <w:pageBreakBefore w:val="0"/>
              <w:widowControl/>
              <w:kinsoku/>
              <w:wordWrap/>
              <w:overflowPunct/>
              <w:topLinePunct w:val="0"/>
              <w:autoSpaceDE/>
              <w:autoSpaceDN/>
              <w:bidi w:val="0"/>
              <w:adjustRightInd w:val="0"/>
              <w:snapToGrid w:val="0"/>
              <w:spacing w:line="240" w:lineRule="auto"/>
              <w:ind w:right="0"/>
              <w:textAlignment w:val="auto"/>
              <w:rPr>
                <w:rFonts w:hint="eastAsia" w:ascii="宋体" w:hAnsi="宋体" w:cs="宋体"/>
                <w:color w:val="auto"/>
                <w:kern w:val="0"/>
                <w:sz w:val="21"/>
                <w:szCs w:val="21"/>
                <w:highlight w:val="none"/>
                <w:lang w:bidi="ar-SA"/>
              </w:rPr>
            </w:pPr>
          </w:p>
        </w:tc>
      </w:tr>
      <w:tr w14:paraId="688C9769">
        <w:tblPrEx>
          <w:tblCellMar>
            <w:top w:w="0" w:type="dxa"/>
            <w:left w:w="108" w:type="dxa"/>
            <w:bottom w:w="0" w:type="dxa"/>
            <w:right w:w="108" w:type="dxa"/>
          </w:tblCellMar>
        </w:tblPrEx>
        <w:trPr>
          <w:trHeight w:val="276" w:hRule="atLeast"/>
          <w:jc w:val="center"/>
        </w:trPr>
        <w:tc>
          <w:tcPr>
            <w:tcW w:w="1261" w:type="dxa"/>
            <w:gridSpan w:val="2"/>
            <w:tcBorders>
              <w:top w:val="single" w:color="auto" w:sz="4" w:space="0"/>
              <w:left w:val="single" w:color="auto" w:sz="4" w:space="0"/>
              <w:bottom w:val="single" w:color="auto" w:sz="4" w:space="0"/>
              <w:right w:val="single" w:color="auto" w:sz="4" w:space="0"/>
            </w:tcBorders>
            <w:noWrap w:val="0"/>
            <w:vAlign w:val="center"/>
          </w:tcPr>
          <w:p w14:paraId="72AABF7E">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合计分数</w:t>
            </w:r>
          </w:p>
        </w:tc>
        <w:tc>
          <w:tcPr>
            <w:tcW w:w="7997" w:type="dxa"/>
            <w:gridSpan w:val="3"/>
            <w:tcBorders>
              <w:top w:val="single" w:color="auto" w:sz="4" w:space="0"/>
              <w:left w:val="nil"/>
              <w:bottom w:val="single" w:color="auto" w:sz="4" w:space="0"/>
              <w:right w:val="single" w:color="auto" w:sz="4" w:space="0"/>
            </w:tcBorders>
            <w:noWrap w:val="0"/>
            <w:vAlign w:val="center"/>
          </w:tcPr>
          <w:p w14:paraId="5D44974B">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p>
        </w:tc>
        <w:tc>
          <w:tcPr>
            <w:tcW w:w="553" w:type="dxa"/>
            <w:tcBorders>
              <w:top w:val="single" w:color="auto" w:sz="4" w:space="0"/>
              <w:left w:val="nil"/>
              <w:bottom w:val="single" w:color="auto" w:sz="4" w:space="0"/>
              <w:right w:val="single" w:color="auto" w:sz="4" w:space="0"/>
            </w:tcBorders>
            <w:noWrap w:val="0"/>
            <w:vAlign w:val="top"/>
          </w:tcPr>
          <w:p w14:paraId="59F00647">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p>
        </w:tc>
      </w:tr>
      <w:tr w14:paraId="51C280A1">
        <w:tblPrEx>
          <w:tblCellMar>
            <w:top w:w="0" w:type="dxa"/>
            <w:left w:w="108" w:type="dxa"/>
            <w:bottom w:w="0" w:type="dxa"/>
            <w:right w:w="108" w:type="dxa"/>
          </w:tblCellMar>
        </w:tblPrEx>
        <w:trPr>
          <w:trHeight w:val="478" w:hRule="atLeast"/>
          <w:jc w:val="center"/>
        </w:trPr>
        <w:tc>
          <w:tcPr>
            <w:tcW w:w="1261" w:type="dxa"/>
            <w:gridSpan w:val="2"/>
            <w:tcBorders>
              <w:top w:val="single" w:color="auto" w:sz="4" w:space="0"/>
              <w:left w:val="single" w:color="auto" w:sz="4" w:space="0"/>
              <w:bottom w:val="single" w:color="auto" w:sz="4" w:space="0"/>
              <w:right w:val="single" w:color="auto" w:sz="4" w:space="0"/>
            </w:tcBorders>
            <w:noWrap w:val="0"/>
            <w:vAlign w:val="center"/>
          </w:tcPr>
          <w:p w14:paraId="02CFA380">
            <w:pPr>
              <w:keepNext w:val="0"/>
              <w:keepLines w:val="0"/>
              <w:pageBreakBefore w:val="0"/>
              <w:widowControl/>
              <w:kinsoku/>
              <w:wordWrap/>
              <w:overflowPunct/>
              <w:topLinePunct w:val="0"/>
              <w:autoSpaceDE/>
              <w:autoSpaceDN/>
              <w:bidi w:val="0"/>
              <w:adjustRightInd w:val="0"/>
              <w:snapToGrid w:val="0"/>
              <w:spacing w:line="240" w:lineRule="auto"/>
              <w:ind w:right="0"/>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养护费的</w:t>
            </w:r>
          </w:p>
          <w:p w14:paraId="142F869E">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发放标准</w:t>
            </w:r>
          </w:p>
        </w:tc>
        <w:tc>
          <w:tcPr>
            <w:tcW w:w="7997" w:type="dxa"/>
            <w:gridSpan w:val="3"/>
            <w:tcBorders>
              <w:top w:val="single" w:color="auto" w:sz="4" w:space="0"/>
              <w:left w:val="nil"/>
              <w:bottom w:val="single" w:color="auto" w:sz="4" w:space="0"/>
              <w:right w:val="single" w:color="auto" w:sz="4" w:space="0"/>
            </w:tcBorders>
            <w:noWrap w:val="0"/>
            <w:vAlign w:val="center"/>
          </w:tcPr>
          <w:p w14:paraId="5FB1E88E">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p>
        </w:tc>
        <w:tc>
          <w:tcPr>
            <w:tcW w:w="553" w:type="dxa"/>
            <w:tcBorders>
              <w:top w:val="single" w:color="auto" w:sz="4" w:space="0"/>
              <w:left w:val="nil"/>
              <w:bottom w:val="single" w:color="auto" w:sz="4" w:space="0"/>
              <w:right w:val="single" w:color="auto" w:sz="4" w:space="0"/>
            </w:tcBorders>
            <w:noWrap w:val="0"/>
            <w:vAlign w:val="top"/>
          </w:tcPr>
          <w:p w14:paraId="052A60B1">
            <w:pPr>
              <w:keepNext w:val="0"/>
              <w:keepLines w:val="0"/>
              <w:pageBreakBefore w:val="0"/>
              <w:widowControl/>
              <w:kinsoku/>
              <w:wordWrap/>
              <w:overflowPunct/>
              <w:topLinePunct w:val="0"/>
              <w:autoSpaceDE/>
              <w:autoSpaceDN/>
              <w:bidi w:val="0"/>
              <w:adjustRightInd w:val="0"/>
              <w:snapToGrid w:val="0"/>
              <w:spacing w:line="240" w:lineRule="auto"/>
              <w:ind w:right="0"/>
              <w:jc w:val="left"/>
              <w:textAlignment w:val="auto"/>
              <w:rPr>
                <w:rFonts w:hint="eastAsia" w:ascii="宋体" w:hAnsi="宋体" w:cs="宋体"/>
                <w:color w:val="auto"/>
                <w:kern w:val="0"/>
                <w:sz w:val="21"/>
                <w:szCs w:val="21"/>
                <w:highlight w:val="none"/>
                <w:lang w:bidi="ar-SA"/>
              </w:rPr>
            </w:pPr>
          </w:p>
        </w:tc>
      </w:tr>
    </w:tbl>
    <w:p w14:paraId="55D833C8">
      <w:pPr>
        <w:spacing w:line="360" w:lineRule="auto"/>
        <w:rPr>
          <w:rFonts w:hint="eastAsia"/>
          <w:color w:val="auto"/>
          <w:highlight w:val="none"/>
        </w:rPr>
      </w:pPr>
      <w:r>
        <w:rPr>
          <w:rFonts w:hint="eastAsia" w:ascii="宋体" w:hAnsi="宋体" w:cs="宋体"/>
          <w:color w:val="auto"/>
          <w:kern w:val="0"/>
          <w:sz w:val="21"/>
          <w:szCs w:val="21"/>
          <w:highlight w:val="none"/>
          <w:lang w:bidi="ar-SA"/>
        </w:rPr>
        <w:t>考核人员：                                         日期：</w:t>
      </w:r>
    </w:p>
    <w:p w14:paraId="05D98761">
      <w:pPr>
        <w:widowControl/>
        <w:spacing w:line="360" w:lineRule="auto"/>
        <w:jc w:val="center"/>
        <w:rPr>
          <w:rFonts w:hint="eastAsia" w:ascii="仿宋_GB2312" w:hAnsi="仿宋_GB2312" w:eastAsia="仿宋_GB2312" w:cs="仿宋_GB2312"/>
          <w:b/>
          <w:color w:val="auto"/>
          <w:kern w:val="0"/>
          <w:sz w:val="21"/>
          <w:szCs w:val="21"/>
          <w:highlight w:val="none"/>
          <w:lang w:bidi="ar-SA"/>
        </w:rPr>
      </w:pPr>
    </w:p>
    <w:p w14:paraId="5365529F">
      <w:pPr>
        <w:widowControl/>
        <w:spacing w:line="360" w:lineRule="auto"/>
        <w:jc w:val="center"/>
        <w:rPr>
          <w:rFonts w:hint="eastAsia" w:ascii="宋体" w:hAnsi="宋体" w:eastAsia="宋体" w:cs="宋体"/>
          <w:b/>
          <w:color w:val="auto"/>
          <w:kern w:val="0"/>
          <w:sz w:val="21"/>
          <w:szCs w:val="21"/>
          <w:highlight w:val="none"/>
          <w:lang w:bidi="ar-SA"/>
        </w:rPr>
      </w:pPr>
      <w:r>
        <w:rPr>
          <w:rFonts w:hint="eastAsia" w:ascii="宋体" w:hAnsi="宋体" w:eastAsia="宋体" w:cs="宋体"/>
          <w:b/>
          <w:color w:val="auto"/>
          <w:kern w:val="0"/>
          <w:sz w:val="21"/>
          <w:szCs w:val="21"/>
          <w:highlight w:val="none"/>
          <w:lang w:bidi="ar-SA"/>
        </w:rPr>
        <w:t>附表3</w:t>
      </w:r>
      <w:r>
        <w:rPr>
          <w:rFonts w:hint="eastAsia" w:ascii="宋体" w:hAnsi="宋体" w:cs="宋体"/>
          <w:b/>
          <w:color w:val="auto"/>
          <w:kern w:val="0"/>
          <w:sz w:val="21"/>
          <w:szCs w:val="21"/>
          <w:highlight w:val="none"/>
          <w:lang w:val="en-US" w:eastAsia="zh-CN" w:bidi="ar-SA"/>
        </w:rPr>
        <w:t xml:space="preserve"> </w:t>
      </w:r>
      <w:r>
        <w:rPr>
          <w:rFonts w:hint="eastAsia" w:ascii="宋体" w:hAnsi="宋体" w:eastAsia="宋体" w:cs="宋体"/>
          <w:b/>
          <w:color w:val="auto"/>
          <w:kern w:val="0"/>
          <w:sz w:val="21"/>
          <w:szCs w:val="21"/>
          <w:highlight w:val="none"/>
          <w:lang w:bidi="ar-SA"/>
        </w:rPr>
        <w:t>安全秩序考核细则</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569"/>
        <w:gridCol w:w="1881"/>
        <w:gridCol w:w="534"/>
        <w:gridCol w:w="4583"/>
        <w:gridCol w:w="525"/>
      </w:tblGrid>
      <w:tr w14:paraId="0534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29" w:type="dxa"/>
            <w:noWrap w:val="0"/>
            <w:vAlign w:val="center"/>
          </w:tcPr>
          <w:p w14:paraId="7AC8C9E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bCs/>
                <w:color w:val="auto"/>
                <w:kern w:val="0"/>
                <w:sz w:val="21"/>
                <w:szCs w:val="21"/>
                <w:highlight w:val="none"/>
                <w:lang w:bidi="ar-SA"/>
              </w:rPr>
            </w:pPr>
            <w:r>
              <w:rPr>
                <w:rFonts w:hint="eastAsia" w:ascii="宋体" w:hAnsi="宋体" w:cs="宋体"/>
                <w:b/>
                <w:bCs/>
                <w:color w:val="auto"/>
                <w:kern w:val="0"/>
                <w:sz w:val="21"/>
                <w:szCs w:val="21"/>
                <w:highlight w:val="none"/>
                <w:lang w:bidi="ar-SA"/>
              </w:rPr>
              <w:t>考核内容</w:t>
            </w:r>
          </w:p>
        </w:tc>
        <w:tc>
          <w:tcPr>
            <w:tcW w:w="3450" w:type="dxa"/>
            <w:gridSpan w:val="2"/>
            <w:noWrap w:val="0"/>
            <w:vAlign w:val="center"/>
          </w:tcPr>
          <w:p w14:paraId="439A9A6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bCs/>
                <w:color w:val="auto"/>
                <w:kern w:val="0"/>
                <w:sz w:val="21"/>
                <w:szCs w:val="21"/>
                <w:highlight w:val="none"/>
                <w:lang w:bidi="ar-SA"/>
              </w:rPr>
            </w:pPr>
            <w:r>
              <w:rPr>
                <w:rFonts w:hint="eastAsia" w:ascii="宋体" w:hAnsi="宋体" w:cs="宋体"/>
                <w:b/>
                <w:bCs/>
                <w:color w:val="auto"/>
                <w:kern w:val="0"/>
                <w:sz w:val="21"/>
                <w:szCs w:val="21"/>
                <w:highlight w:val="none"/>
                <w:lang w:bidi="ar-SA"/>
              </w:rPr>
              <w:t>考核标准</w:t>
            </w:r>
          </w:p>
        </w:tc>
        <w:tc>
          <w:tcPr>
            <w:tcW w:w="534" w:type="dxa"/>
            <w:noWrap w:val="0"/>
            <w:vAlign w:val="center"/>
          </w:tcPr>
          <w:p w14:paraId="354C6AA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bCs/>
                <w:color w:val="auto"/>
                <w:kern w:val="0"/>
                <w:sz w:val="21"/>
                <w:szCs w:val="21"/>
                <w:highlight w:val="none"/>
                <w:lang w:bidi="ar-SA"/>
              </w:rPr>
            </w:pPr>
            <w:r>
              <w:rPr>
                <w:rFonts w:hint="eastAsia" w:ascii="宋体" w:hAnsi="宋体" w:cs="宋体"/>
                <w:b/>
                <w:bCs/>
                <w:color w:val="auto"/>
                <w:kern w:val="0"/>
                <w:sz w:val="21"/>
                <w:szCs w:val="21"/>
                <w:highlight w:val="none"/>
                <w:lang w:bidi="ar-SA"/>
              </w:rPr>
              <w:t>标准分</w:t>
            </w:r>
          </w:p>
        </w:tc>
        <w:tc>
          <w:tcPr>
            <w:tcW w:w="4583" w:type="dxa"/>
            <w:noWrap w:val="0"/>
            <w:vAlign w:val="center"/>
          </w:tcPr>
          <w:p w14:paraId="23AE5A9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bCs/>
                <w:color w:val="auto"/>
                <w:kern w:val="0"/>
                <w:sz w:val="21"/>
                <w:szCs w:val="21"/>
                <w:highlight w:val="none"/>
                <w:lang w:bidi="ar-SA"/>
              </w:rPr>
            </w:pPr>
            <w:r>
              <w:rPr>
                <w:rFonts w:hint="eastAsia" w:ascii="宋体" w:hAnsi="宋体" w:cs="宋体"/>
                <w:b/>
                <w:bCs/>
                <w:color w:val="auto"/>
                <w:kern w:val="0"/>
                <w:sz w:val="21"/>
                <w:szCs w:val="21"/>
                <w:highlight w:val="none"/>
                <w:lang w:bidi="ar-SA"/>
              </w:rPr>
              <w:t>考核办法</w:t>
            </w:r>
          </w:p>
        </w:tc>
        <w:tc>
          <w:tcPr>
            <w:tcW w:w="525" w:type="dxa"/>
            <w:noWrap w:val="0"/>
            <w:vAlign w:val="top"/>
          </w:tcPr>
          <w:p w14:paraId="3337CD1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bCs/>
                <w:color w:val="auto"/>
                <w:kern w:val="0"/>
                <w:sz w:val="21"/>
                <w:szCs w:val="21"/>
                <w:highlight w:val="none"/>
                <w:lang w:bidi="ar-SA"/>
              </w:rPr>
            </w:pPr>
          </w:p>
          <w:p w14:paraId="7D9F4EF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
                <w:bCs/>
                <w:color w:val="auto"/>
                <w:kern w:val="0"/>
                <w:sz w:val="21"/>
                <w:szCs w:val="21"/>
                <w:highlight w:val="none"/>
                <w:lang w:bidi="ar-SA"/>
              </w:rPr>
            </w:pPr>
            <w:r>
              <w:rPr>
                <w:rFonts w:hint="eastAsia" w:ascii="宋体" w:hAnsi="宋体" w:cs="宋体"/>
                <w:b/>
                <w:bCs/>
                <w:color w:val="auto"/>
                <w:kern w:val="0"/>
                <w:sz w:val="21"/>
                <w:szCs w:val="21"/>
                <w:highlight w:val="none"/>
                <w:lang w:bidi="ar-SA"/>
              </w:rPr>
              <w:t>评分</w:t>
            </w:r>
          </w:p>
        </w:tc>
      </w:tr>
      <w:tr w14:paraId="72C8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29" w:type="dxa"/>
            <w:vMerge w:val="restart"/>
            <w:noWrap w:val="0"/>
            <w:vAlign w:val="center"/>
          </w:tcPr>
          <w:p w14:paraId="533DE27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管理</w:t>
            </w:r>
          </w:p>
        </w:tc>
        <w:tc>
          <w:tcPr>
            <w:tcW w:w="3450" w:type="dxa"/>
            <w:gridSpan w:val="2"/>
            <w:noWrap w:val="0"/>
            <w:vAlign w:val="center"/>
          </w:tcPr>
          <w:p w14:paraId="1CA6449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按照管理标准和管理要求报送当月管理计划。</w:t>
            </w:r>
          </w:p>
        </w:tc>
        <w:tc>
          <w:tcPr>
            <w:tcW w:w="534" w:type="dxa"/>
            <w:noWrap w:val="0"/>
            <w:vAlign w:val="center"/>
          </w:tcPr>
          <w:p w14:paraId="096FFAC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3</w:t>
            </w:r>
          </w:p>
        </w:tc>
        <w:tc>
          <w:tcPr>
            <w:tcW w:w="4583" w:type="dxa"/>
            <w:noWrap w:val="0"/>
            <w:vAlign w:val="center"/>
          </w:tcPr>
          <w:p w14:paraId="223A8F67">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无月管理计划，扣3分，未按月管理计划实施酌情扣1－3分。</w:t>
            </w:r>
          </w:p>
        </w:tc>
        <w:tc>
          <w:tcPr>
            <w:tcW w:w="525" w:type="dxa"/>
            <w:noWrap w:val="0"/>
            <w:vAlign w:val="top"/>
          </w:tcPr>
          <w:p w14:paraId="2FE5ABF7">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0C46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629" w:type="dxa"/>
            <w:vMerge w:val="continue"/>
            <w:noWrap w:val="0"/>
            <w:vAlign w:val="center"/>
          </w:tcPr>
          <w:p w14:paraId="7515ABB3">
            <w:pPr>
              <w:rPr>
                <w:color w:val="auto"/>
                <w:highlight w:val="none"/>
              </w:rPr>
            </w:pPr>
          </w:p>
        </w:tc>
        <w:tc>
          <w:tcPr>
            <w:tcW w:w="3450" w:type="dxa"/>
            <w:gridSpan w:val="2"/>
            <w:noWrap w:val="0"/>
            <w:vAlign w:val="center"/>
          </w:tcPr>
          <w:p w14:paraId="1567F010">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sz w:val="21"/>
                <w:szCs w:val="21"/>
                <w:highlight w:val="none"/>
                <w:lang w:bidi="ar-SA"/>
              </w:rPr>
            </w:pPr>
            <w:r>
              <w:rPr>
                <w:rFonts w:hint="eastAsia" w:ascii="宋体" w:hAnsi="宋体" w:cs="宋体"/>
                <w:color w:val="auto"/>
                <w:kern w:val="0"/>
                <w:sz w:val="21"/>
                <w:szCs w:val="21"/>
                <w:highlight w:val="none"/>
                <w:lang w:bidi="ar-SA"/>
              </w:rPr>
              <w:t>承包主要负责人须参加管理部门通知的会议、考核。</w:t>
            </w:r>
          </w:p>
        </w:tc>
        <w:tc>
          <w:tcPr>
            <w:tcW w:w="534" w:type="dxa"/>
            <w:noWrap w:val="0"/>
            <w:vAlign w:val="center"/>
          </w:tcPr>
          <w:p w14:paraId="5E14290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1"/>
                <w:szCs w:val="21"/>
                <w:highlight w:val="none"/>
                <w:lang w:bidi="ar-SA"/>
              </w:rPr>
            </w:pPr>
            <w:r>
              <w:rPr>
                <w:rFonts w:hint="eastAsia" w:ascii="宋体" w:hAnsi="宋体" w:cs="宋体"/>
                <w:color w:val="auto"/>
                <w:sz w:val="21"/>
                <w:szCs w:val="21"/>
                <w:highlight w:val="none"/>
                <w:lang w:bidi="ar-SA"/>
              </w:rPr>
              <w:t>2</w:t>
            </w:r>
          </w:p>
        </w:tc>
        <w:tc>
          <w:tcPr>
            <w:tcW w:w="4583" w:type="dxa"/>
            <w:noWrap w:val="0"/>
            <w:vAlign w:val="center"/>
          </w:tcPr>
          <w:p w14:paraId="16DE3FB9">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sz w:val="21"/>
                <w:szCs w:val="21"/>
                <w:highlight w:val="none"/>
                <w:lang w:bidi="ar-SA"/>
              </w:rPr>
            </w:pPr>
            <w:r>
              <w:rPr>
                <w:rFonts w:hint="eastAsia" w:ascii="宋体" w:hAnsi="宋体" w:cs="宋体"/>
                <w:color w:val="auto"/>
                <w:kern w:val="0"/>
                <w:sz w:val="21"/>
                <w:szCs w:val="21"/>
                <w:highlight w:val="none"/>
                <w:lang w:bidi="ar-SA"/>
              </w:rPr>
              <w:t>主要负责人未参加一次扣1分。</w:t>
            </w:r>
          </w:p>
        </w:tc>
        <w:tc>
          <w:tcPr>
            <w:tcW w:w="525" w:type="dxa"/>
            <w:noWrap w:val="0"/>
            <w:vAlign w:val="top"/>
          </w:tcPr>
          <w:p w14:paraId="1AA1DDE2">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793D8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29" w:type="dxa"/>
            <w:noWrap w:val="0"/>
            <w:vAlign w:val="center"/>
          </w:tcPr>
          <w:p w14:paraId="77F90A3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工作时间</w:t>
            </w:r>
          </w:p>
        </w:tc>
        <w:tc>
          <w:tcPr>
            <w:tcW w:w="3450" w:type="dxa"/>
            <w:gridSpan w:val="2"/>
            <w:noWrap w:val="0"/>
            <w:vAlign w:val="center"/>
          </w:tcPr>
          <w:p w14:paraId="43B29D8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按时上下班，每天每个时间段必须有人在岗，不迟到不早退，不串岗离岗。</w:t>
            </w:r>
          </w:p>
        </w:tc>
        <w:tc>
          <w:tcPr>
            <w:tcW w:w="534" w:type="dxa"/>
            <w:noWrap w:val="0"/>
            <w:vAlign w:val="center"/>
          </w:tcPr>
          <w:p w14:paraId="33E262E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10</w:t>
            </w:r>
          </w:p>
        </w:tc>
        <w:tc>
          <w:tcPr>
            <w:tcW w:w="4583" w:type="dxa"/>
            <w:noWrap w:val="0"/>
            <w:vAlign w:val="center"/>
          </w:tcPr>
          <w:p w14:paraId="3B488329">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抽查无人在岗一次扣2分。</w:t>
            </w:r>
          </w:p>
        </w:tc>
        <w:tc>
          <w:tcPr>
            <w:tcW w:w="525" w:type="dxa"/>
            <w:noWrap w:val="0"/>
            <w:vAlign w:val="top"/>
          </w:tcPr>
          <w:p w14:paraId="5C1BFC5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36E7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29" w:type="dxa"/>
            <w:noWrap w:val="0"/>
            <w:vAlign w:val="center"/>
          </w:tcPr>
          <w:p w14:paraId="071740D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统一着装</w:t>
            </w:r>
          </w:p>
        </w:tc>
        <w:tc>
          <w:tcPr>
            <w:tcW w:w="3450" w:type="dxa"/>
            <w:gridSpan w:val="2"/>
            <w:noWrap w:val="0"/>
            <w:vAlign w:val="center"/>
          </w:tcPr>
          <w:p w14:paraId="5E700FD6">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上班时间所有人员必须按要求统一着工作服，戴工作牌。</w:t>
            </w:r>
          </w:p>
        </w:tc>
        <w:tc>
          <w:tcPr>
            <w:tcW w:w="534" w:type="dxa"/>
            <w:noWrap w:val="0"/>
            <w:vAlign w:val="center"/>
          </w:tcPr>
          <w:p w14:paraId="29B9F5E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5</w:t>
            </w:r>
          </w:p>
        </w:tc>
        <w:tc>
          <w:tcPr>
            <w:tcW w:w="4583" w:type="dxa"/>
            <w:noWrap w:val="0"/>
            <w:vAlign w:val="center"/>
          </w:tcPr>
          <w:p w14:paraId="7979CE73">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检查发现1人不着工作服或不戴工作牌扣2分。</w:t>
            </w:r>
          </w:p>
        </w:tc>
        <w:tc>
          <w:tcPr>
            <w:tcW w:w="525" w:type="dxa"/>
            <w:noWrap w:val="0"/>
            <w:vAlign w:val="top"/>
          </w:tcPr>
          <w:p w14:paraId="18CA8484">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2D52D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29" w:type="dxa"/>
            <w:noWrap w:val="0"/>
            <w:vAlign w:val="center"/>
          </w:tcPr>
          <w:p w14:paraId="75B7741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礼貌待人</w:t>
            </w:r>
          </w:p>
        </w:tc>
        <w:tc>
          <w:tcPr>
            <w:tcW w:w="3450" w:type="dxa"/>
            <w:gridSpan w:val="2"/>
            <w:noWrap w:val="0"/>
            <w:vAlign w:val="center"/>
          </w:tcPr>
          <w:p w14:paraId="5E34A06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对待游客礼貌待人，常用礼貌用语</w:t>
            </w:r>
          </w:p>
        </w:tc>
        <w:tc>
          <w:tcPr>
            <w:tcW w:w="534" w:type="dxa"/>
            <w:noWrap w:val="0"/>
            <w:vAlign w:val="center"/>
          </w:tcPr>
          <w:p w14:paraId="2CC2299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10</w:t>
            </w:r>
          </w:p>
        </w:tc>
        <w:tc>
          <w:tcPr>
            <w:tcW w:w="4583" w:type="dxa"/>
            <w:noWrap w:val="0"/>
            <w:vAlign w:val="center"/>
          </w:tcPr>
          <w:p w14:paraId="260EA2B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抽查发现一次言语粗俗辱骂游客扣2分。</w:t>
            </w:r>
          </w:p>
        </w:tc>
        <w:tc>
          <w:tcPr>
            <w:tcW w:w="525" w:type="dxa"/>
            <w:noWrap w:val="0"/>
            <w:vAlign w:val="top"/>
          </w:tcPr>
          <w:p w14:paraId="14A3D1A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5EA9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9" w:type="dxa"/>
            <w:vMerge w:val="restart"/>
            <w:noWrap w:val="0"/>
            <w:vAlign w:val="center"/>
          </w:tcPr>
          <w:p w14:paraId="6F17D74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工作内容</w:t>
            </w:r>
          </w:p>
        </w:tc>
        <w:tc>
          <w:tcPr>
            <w:tcW w:w="3450" w:type="dxa"/>
            <w:gridSpan w:val="2"/>
            <w:noWrap w:val="0"/>
            <w:vAlign w:val="center"/>
          </w:tcPr>
          <w:p w14:paraId="057A0D94">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上班时间不得与无关人员闲聊、打电话或做与工作无关的事</w:t>
            </w:r>
          </w:p>
        </w:tc>
        <w:tc>
          <w:tcPr>
            <w:tcW w:w="534" w:type="dxa"/>
            <w:noWrap w:val="0"/>
            <w:vAlign w:val="center"/>
          </w:tcPr>
          <w:p w14:paraId="6FD94F7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5</w:t>
            </w:r>
          </w:p>
        </w:tc>
        <w:tc>
          <w:tcPr>
            <w:tcW w:w="4583" w:type="dxa"/>
            <w:noWrap w:val="0"/>
            <w:vAlign w:val="center"/>
          </w:tcPr>
          <w:p w14:paraId="09049F16">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抽查发现一次扣3分。</w:t>
            </w:r>
          </w:p>
        </w:tc>
        <w:tc>
          <w:tcPr>
            <w:tcW w:w="525" w:type="dxa"/>
            <w:noWrap w:val="0"/>
            <w:vAlign w:val="top"/>
          </w:tcPr>
          <w:p w14:paraId="4E8D49F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5E50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29" w:type="dxa"/>
            <w:vMerge w:val="continue"/>
            <w:noWrap w:val="0"/>
            <w:vAlign w:val="center"/>
          </w:tcPr>
          <w:p w14:paraId="1E024502">
            <w:pPr>
              <w:rPr>
                <w:color w:val="auto"/>
                <w:highlight w:val="none"/>
              </w:rPr>
            </w:pPr>
          </w:p>
        </w:tc>
        <w:tc>
          <w:tcPr>
            <w:tcW w:w="3450" w:type="dxa"/>
            <w:gridSpan w:val="2"/>
            <w:noWrap w:val="0"/>
            <w:vAlign w:val="center"/>
          </w:tcPr>
          <w:p w14:paraId="3649B2E3">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按规定进行执勤登记，交接班。</w:t>
            </w:r>
          </w:p>
        </w:tc>
        <w:tc>
          <w:tcPr>
            <w:tcW w:w="534" w:type="dxa"/>
            <w:noWrap w:val="0"/>
            <w:vAlign w:val="center"/>
          </w:tcPr>
          <w:p w14:paraId="3217FBD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5</w:t>
            </w:r>
          </w:p>
        </w:tc>
        <w:tc>
          <w:tcPr>
            <w:tcW w:w="4583" w:type="dxa"/>
            <w:noWrap w:val="0"/>
            <w:vAlign w:val="center"/>
          </w:tcPr>
          <w:p w14:paraId="56615960">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抽查发现不按规定执勤登记或交接班一次扣2分。</w:t>
            </w:r>
          </w:p>
        </w:tc>
        <w:tc>
          <w:tcPr>
            <w:tcW w:w="525" w:type="dxa"/>
            <w:noWrap w:val="0"/>
            <w:vAlign w:val="top"/>
          </w:tcPr>
          <w:p w14:paraId="1D10EE48">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4621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29" w:type="dxa"/>
            <w:vMerge w:val="continue"/>
            <w:noWrap w:val="0"/>
            <w:vAlign w:val="center"/>
          </w:tcPr>
          <w:p w14:paraId="7EC8BBD2">
            <w:pPr>
              <w:rPr>
                <w:color w:val="auto"/>
                <w:highlight w:val="none"/>
              </w:rPr>
            </w:pPr>
          </w:p>
        </w:tc>
        <w:tc>
          <w:tcPr>
            <w:tcW w:w="3450" w:type="dxa"/>
            <w:gridSpan w:val="2"/>
            <w:noWrap w:val="0"/>
            <w:vAlign w:val="center"/>
          </w:tcPr>
          <w:p w14:paraId="3E31D50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设施被人为破坏或出现纠纷及时上报和阻止。</w:t>
            </w:r>
          </w:p>
        </w:tc>
        <w:tc>
          <w:tcPr>
            <w:tcW w:w="534" w:type="dxa"/>
            <w:noWrap w:val="0"/>
            <w:vAlign w:val="center"/>
          </w:tcPr>
          <w:p w14:paraId="3CE92FD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10</w:t>
            </w:r>
          </w:p>
        </w:tc>
        <w:tc>
          <w:tcPr>
            <w:tcW w:w="4583" w:type="dxa"/>
            <w:noWrap w:val="0"/>
            <w:vAlign w:val="center"/>
          </w:tcPr>
          <w:p w14:paraId="60BD90AE">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每次扣5分。</w:t>
            </w:r>
          </w:p>
        </w:tc>
        <w:tc>
          <w:tcPr>
            <w:tcW w:w="525" w:type="dxa"/>
            <w:noWrap w:val="0"/>
            <w:vAlign w:val="top"/>
          </w:tcPr>
          <w:p w14:paraId="200EC6B6">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1E26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29" w:type="dxa"/>
            <w:vMerge w:val="continue"/>
            <w:noWrap w:val="0"/>
            <w:vAlign w:val="center"/>
          </w:tcPr>
          <w:p w14:paraId="34A17579">
            <w:pPr>
              <w:rPr>
                <w:color w:val="auto"/>
                <w:highlight w:val="none"/>
              </w:rPr>
            </w:pPr>
          </w:p>
        </w:tc>
        <w:tc>
          <w:tcPr>
            <w:tcW w:w="3450" w:type="dxa"/>
            <w:gridSpan w:val="2"/>
            <w:noWrap w:val="0"/>
            <w:vAlign w:val="center"/>
          </w:tcPr>
          <w:p w14:paraId="3CBE648E">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上班时间不得喝酒（面红耳赤、口吐酒气、语无伦次、行动摇摆）。</w:t>
            </w:r>
          </w:p>
        </w:tc>
        <w:tc>
          <w:tcPr>
            <w:tcW w:w="534" w:type="dxa"/>
            <w:noWrap w:val="0"/>
            <w:vAlign w:val="center"/>
          </w:tcPr>
          <w:p w14:paraId="4BCFD8E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10</w:t>
            </w:r>
          </w:p>
        </w:tc>
        <w:tc>
          <w:tcPr>
            <w:tcW w:w="4583" w:type="dxa"/>
            <w:noWrap w:val="0"/>
            <w:vAlign w:val="center"/>
          </w:tcPr>
          <w:p w14:paraId="47DCECB9">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抽查发现一次扣2-5分。</w:t>
            </w:r>
          </w:p>
        </w:tc>
        <w:tc>
          <w:tcPr>
            <w:tcW w:w="525" w:type="dxa"/>
            <w:noWrap w:val="0"/>
            <w:vAlign w:val="top"/>
          </w:tcPr>
          <w:p w14:paraId="0A30E9F4">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2539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29" w:type="dxa"/>
            <w:vMerge w:val="continue"/>
            <w:noWrap w:val="0"/>
            <w:vAlign w:val="center"/>
          </w:tcPr>
          <w:p w14:paraId="2D8ACF4B">
            <w:pPr>
              <w:rPr>
                <w:color w:val="auto"/>
                <w:highlight w:val="none"/>
              </w:rPr>
            </w:pPr>
          </w:p>
        </w:tc>
        <w:tc>
          <w:tcPr>
            <w:tcW w:w="3450" w:type="dxa"/>
            <w:gridSpan w:val="2"/>
            <w:noWrap w:val="0"/>
            <w:vAlign w:val="center"/>
          </w:tcPr>
          <w:p w14:paraId="38839E57">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sz w:val="21"/>
                <w:szCs w:val="21"/>
                <w:highlight w:val="none"/>
                <w:lang w:bidi="ar-SA"/>
              </w:rPr>
              <w:t>不许在景区内乱摆乱卖。</w:t>
            </w:r>
          </w:p>
        </w:tc>
        <w:tc>
          <w:tcPr>
            <w:tcW w:w="534" w:type="dxa"/>
            <w:vMerge w:val="restart"/>
            <w:noWrap w:val="0"/>
            <w:vAlign w:val="center"/>
          </w:tcPr>
          <w:p w14:paraId="147D6DE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10</w:t>
            </w:r>
          </w:p>
        </w:tc>
        <w:tc>
          <w:tcPr>
            <w:tcW w:w="4583" w:type="dxa"/>
            <w:noWrap w:val="0"/>
            <w:vAlign w:val="center"/>
          </w:tcPr>
          <w:p w14:paraId="20B68129">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sz w:val="21"/>
                <w:szCs w:val="21"/>
                <w:highlight w:val="none"/>
                <w:lang w:bidi="ar-SA"/>
              </w:rPr>
              <w:t>执勤时对小商小贩坐视不管、听之任之的，每次扣2-5分。</w:t>
            </w:r>
          </w:p>
        </w:tc>
        <w:tc>
          <w:tcPr>
            <w:tcW w:w="525" w:type="dxa"/>
            <w:noWrap w:val="0"/>
            <w:vAlign w:val="top"/>
          </w:tcPr>
          <w:p w14:paraId="2CA0E8A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sz w:val="21"/>
                <w:szCs w:val="21"/>
                <w:highlight w:val="none"/>
                <w:lang w:bidi="ar-SA"/>
              </w:rPr>
            </w:pPr>
          </w:p>
        </w:tc>
      </w:tr>
      <w:tr w14:paraId="7BE1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29" w:type="dxa"/>
            <w:vMerge w:val="continue"/>
            <w:noWrap w:val="0"/>
            <w:vAlign w:val="center"/>
          </w:tcPr>
          <w:p w14:paraId="50560479">
            <w:pPr>
              <w:rPr>
                <w:color w:val="auto"/>
                <w:highlight w:val="none"/>
              </w:rPr>
            </w:pPr>
          </w:p>
        </w:tc>
        <w:tc>
          <w:tcPr>
            <w:tcW w:w="3450" w:type="dxa"/>
            <w:gridSpan w:val="2"/>
            <w:noWrap w:val="0"/>
            <w:vAlign w:val="center"/>
          </w:tcPr>
          <w:p w14:paraId="7B762782">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配合景区管理场所。</w:t>
            </w:r>
          </w:p>
        </w:tc>
        <w:tc>
          <w:tcPr>
            <w:tcW w:w="534" w:type="dxa"/>
            <w:vMerge w:val="continue"/>
            <w:noWrap w:val="0"/>
            <w:vAlign w:val="center"/>
          </w:tcPr>
          <w:p w14:paraId="7FCDAEE9">
            <w:pPr>
              <w:rPr>
                <w:color w:val="auto"/>
                <w:highlight w:val="none"/>
              </w:rPr>
            </w:pPr>
          </w:p>
        </w:tc>
        <w:tc>
          <w:tcPr>
            <w:tcW w:w="4583" w:type="dxa"/>
            <w:noWrap w:val="0"/>
            <w:vAlign w:val="center"/>
          </w:tcPr>
          <w:p w14:paraId="050B9D59">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不配合做好场所管理的，每次每人扣2-5分。</w:t>
            </w:r>
          </w:p>
        </w:tc>
        <w:tc>
          <w:tcPr>
            <w:tcW w:w="525" w:type="dxa"/>
            <w:noWrap w:val="0"/>
            <w:vAlign w:val="top"/>
          </w:tcPr>
          <w:p w14:paraId="7607DF52">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6E35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29" w:type="dxa"/>
            <w:vMerge w:val="continue"/>
            <w:noWrap w:val="0"/>
            <w:vAlign w:val="center"/>
          </w:tcPr>
          <w:p w14:paraId="1F60E74B">
            <w:pPr>
              <w:rPr>
                <w:color w:val="auto"/>
                <w:highlight w:val="none"/>
              </w:rPr>
            </w:pPr>
          </w:p>
        </w:tc>
        <w:tc>
          <w:tcPr>
            <w:tcW w:w="3450" w:type="dxa"/>
            <w:gridSpan w:val="2"/>
            <w:noWrap w:val="0"/>
            <w:vAlign w:val="center"/>
          </w:tcPr>
          <w:p w14:paraId="719EE2CC">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停车场秩序管理。</w:t>
            </w:r>
          </w:p>
        </w:tc>
        <w:tc>
          <w:tcPr>
            <w:tcW w:w="534" w:type="dxa"/>
            <w:vMerge w:val="continue"/>
            <w:noWrap w:val="0"/>
            <w:vAlign w:val="center"/>
          </w:tcPr>
          <w:p w14:paraId="113C6364">
            <w:pPr>
              <w:rPr>
                <w:color w:val="auto"/>
                <w:highlight w:val="none"/>
              </w:rPr>
            </w:pPr>
          </w:p>
        </w:tc>
        <w:tc>
          <w:tcPr>
            <w:tcW w:w="4583" w:type="dxa"/>
            <w:noWrap w:val="0"/>
            <w:vAlign w:val="center"/>
          </w:tcPr>
          <w:p w14:paraId="483A884F">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检查发现停车场秩序混乱，车辆不按规定停放每次扣2-5分。</w:t>
            </w:r>
          </w:p>
        </w:tc>
        <w:tc>
          <w:tcPr>
            <w:tcW w:w="525" w:type="dxa"/>
            <w:noWrap w:val="0"/>
            <w:vAlign w:val="top"/>
          </w:tcPr>
          <w:p w14:paraId="4B169CE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239D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9" w:type="dxa"/>
            <w:vMerge w:val="continue"/>
            <w:noWrap w:val="0"/>
            <w:vAlign w:val="center"/>
          </w:tcPr>
          <w:p w14:paraId="328808F7">
            <w:pPr>
              <w:rPr>
                <w:color w:val="auto"/>
                <w:highlight w:val="none"/>
              </w:rPr>
            </w:pPr>
          </w:p>
        </w:tc>
        <w:tc>
          <w:tcPr>
            <w:tcW w:w="3450" w:type="dxa"/>
            <w:gridSpan w:val="2"/>
            <w:noWrap w:val="0"/>
            <w:vAlign w:val="center"/>
          </w:tcPr>
          <w:p w14:paraId="25724628">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按有关政策规定，规范管理噪音问题。</w:t>
            </w:r>
          </w:p>
        </w:tc>
        <w:tc>
          <w:tcPr>
            <w:tcW w:w="534" w:type="dxa"/>
            <w:vMerge w:val="continue"/>
            <w:noWrap w:val="0"/>
            <w:vAlign w:val="center"/>
          </w:tcPr>
          <w:p w14:paraId="440DC046">
            <w:pPr>
              <w:rPr>
                <w:color w:val="auto"/>
                <w:highlight w:val="none"/>
              </w:rPr>
            </w:pPr>
          </w:p>
        </w:tc>
        <w:tc>
          <w:tcPr>
            <w:tcW w:w="4583" w:type="dxa"/>
            <w:noWrap w:val="0"/>
            <w:vAlign w:val="center"/>
          </w:tcPr>
          <w:p w14:paraId="2493CBEF">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不配合做好管理的，每次每人扣2-5分。</w:t>
            </w:r>
          </w:p>
        </w:tc>
        <w:tc>
          <w:tcPr>
            <w:tcW w:w="525" w:type="dxa"/>
            <w:noWrap w:val="0"/>
            <w:vAlign w:val="top"/>
          </w:tcPr>
          <w:p w14:paraId="3CFC467E">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760F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9" w:type="dxa"/>
            <w:vMerge w:val="restart"/>
            <w:noWrap w:val="0"/>
            <w:vAlign w:val="center"/>
          </w:tcPr>
          <w:p w14:paraId="3D771F58">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sz w:val="21"/>
                <w:szCs w:val="21"/>
                <w:highlight w:val="none"/>
                <w:lang w:bidi="ar-SA"/>
              </w:rPr>
            </w:pPr>
            <w:r>
              <w:rPr>
                <w:rFonts w:hint="eastAsia" w:ascii="宋体" w:hAnsi="宋体" w:cs="宋体"/>
                <w:color w:val="auto"/>
                <w:sz w:val="21"/>
                <w:szCs w:val="21"/>
                <w:highlight w:val="none"/>
                <w:lang w:bidi="ar-SA"/>
              </w:rPr>
              <w:t>流动巡查</w:t>
            </w:r>
          </w:p>
        </w:tc>
        <w:tc>
          <w:tcPr>
            <w:tcW w:w="3450" w:type="dxa"/>
            <w:gridSpan w:val="2"/>
            <w:noWrap w:val="0"/>
            <w:vAlign w:val="center"/>
          </w:tcPr>
          <w:p w14:paraId="23292B3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生活区安全</w:t>
            </w:r>
          </w:p>
        </w:tc>
        <w:tc>
          <w:tcPr>
            <w:tcW w:w="534" w:type="dxa"/>
            <w:vMerge w:val="restart"/>
            <w:noWrap w:val="0"/>
            <w:vAlign w:val="center"/>
          </w:tcPr>
          <w:p w14:paraId="2BE4606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10</w:t>
            </w:r>
          </w:p>
        </w:tc>
        <w:tc>
          <w:tcPr>
            <w:tcW w:w="4583" w:type="dxa"/>
            <w:vMerge w:val="restart"/>
            <w:noWrap w:val="0"/>
            <w:vAlign w:val="center"/>
          </w:tcPr>
          <w:p w14:paraId="596718A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被盗刑事治安案件年发率1%以下，全年无消防事故；业主、客户邮件不过夜，不做好安全管理的每次每人扣2-5分。</w:t>
            </w:r>
          </w:p>
        </w:tc>
        <w:tc>
          <w:tcPr>
            <w:tcW w:w="525" w:type="dxa"/>
            <w:noWrap w:val="0"/>
            <w:vAlign w:val="top"/>
          </w:tcPr>
          <w:p w14:paraId="17CCC26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2B76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9" w:type="dxa"/>
            <w:vMerge w:val="continue"/>
            <w:noWrap w:val="0"/>
            <w:vAlign w:val="center"/>
          </w:tcPr>
          <w:p w14:paraId="53F86610">
            <w:pPr>
              <w:rPr>
                <w:color w:val="auto"/>
                <w:highlight w:val="none"/>
              </w:rPr>
            </w:pPr>
          </w:p>
        </w:tc>
        <w:tc>
          <w:tcPr>
            <w:tcW w:w="3450" w:type="dxa"/>
            <w:gridSpan w:val="2"/>
            <w:noWrap w:val="0"/>
            <w:vAlign w:val="center"/>
          </w:tcPr>
          <w:p w14:paraId="39DA081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违法事件</w:t>
            </w:r>
          </w:p>
        </w:tc>
        <w:tc>
          <w:tcPr>
            <w:tcW w:w="534" w:type="dxa"/>
            <w:vMerge w:val="continue"/>
            <w:noWrap w:val="0"/>
            <w:vAlign w:val="center"/>
          </w:tcPr>
          <w:p w14:paraId="67E63A4A">
            <w:pPr>
              <w:rPr>
                <w:color w:val="auto"/>
                <w:highlight w:val="none"/>
              </w:rPr>
            </w:pPr>
          </w:p>
        </w:tc>
        <w:tc>
          <w:tcPr>
            <w:tcW w:w="4583" w:type="dxa"/>
            <w:vMerge w:val="continue"/>
            <w:noWrap w:val="0"/>
            <w:vAlign w:val="center"/>
          </w:tcPr>
          <w:p w14:paraId="4C6249FB">
            <w:pPr>
              <w:rPr>
                <w:color w:val="auto"/>
                <w:highlight w:val="none"/>
              </w:rPr>
            </w:pPr>
          </w:p>
        </w:tc>
        <w:tc>
          <w:tcPr>
            <w:tcW w:w="525" w:type="dxa"/>
            <w:noWrap w:val="0"/>
            <w:vAlign w:val="top"/>
          </w:tcPr>
          <w:p w14:paraId="13975D40">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4125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29" w:type="dxa"/>
            <w:vMerge w:val="continue"/>
            <w:noWrap w:val="0"/>
            <w:vAlign w:val="center"/>
          </w:tcPr>
          <w:p w14:paraId="1FA361D1">
            <w:pPr>
              <w:rPr>
                <w:color w:val="auto"/>
                <w:highlight w:val="none"/>
              </w:rPr>
            </w:pPr>
          </w:p>
        </w:tc>
        <w:tc>
          <w:tcPr>
            <w:tcW w:w="3450" w:type="dxa"/>
            <w:gridSpan w:val="2"/>
            <w:noWrap w:val="0"/>
            <w:vAlign w:val="center"/>
          </w:tcPr>
          <w:p w14:paraId="26C48E25">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车辆停放（24小时值勤）</w:t>
            </w:r>
          </w:p>
        </w:tc>
        <w:tc>
          <w:tcPr>
            <w:tcW w:w="534" w:type="dxa"/>
            <w:vMerge w:val="restart"/>
            <w:noWrap w:val="0"/>
            <w:vAlign w:val="center"/>
          </w:tcPr>
          <w:p w14:paraId="3856095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10</w:t>
            </w:r>
          </w:p>
        </w:tc>
        <w:tc>
          <w:tcPr>
            <w:tcW w:w="4583" w:type="dxa"/>
            <w:noWrap w:val="0"/>
            <w:vAlign w:val="center"/>
          </w:tcPr>
          <w:p w14:paraId="4528159F">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无可疑、闲杂人员接近车辆，无未锁门、窗车辆，遗忘物品及时通知，重点守护，不做好安全管理的每次每人扣2-5分。</w:t>
            </w:r>
          </w:p>
        </w:tc>
        <w:tc>
          <w:tcPr>
            <w:tcW w:w="525" w:type="dxa"/>
            <w:noWrap w:val="0"/>
            <w:vAlign w:val="top"/>
          </w:tcPr>
          <w:p w14:paraId="72FCF218">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21426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629" w:type="dxa"/>
            <w:vMerge w:val="continue"/>
            <w:noWrap w:val="0"/>
            <w:vAlign w:val="center"/>
          </w:tcPr>
          <w:p w14:paraId="43BB0562">
            <w:pPr>
              <w:rPr>
                <w:color w:val="auto"/>
                <w:highlight w:val="none"/>
              </w:rPr>
            </w:pPr>
          </w:p>
        </w:tc>
        <w:tc>
          <w:tcPr>
            <w:tcW w:w="3450" w:type="dxa"/>
            <w:gridSpan w:val="2"/>
            <w:noWrap w:val="0"/>
            <w:vAlign w:val="center"/>
          </w:tcPr>
          <w:p w14:paraId="1DAAFDC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突发事件</w:t>
            </w:r>
          </w:p>
        </w:tc>
        <w:tc>
          <w:tcPr>
            <w:tcW w:w="534" w:type="dxa"/>
            <w:vMerge w:val="continue"/>
            <w:noWrap w:val="0"/>
            <w:vAlign w:val="center"/>
          </w:tcPr>
          <w:p w14:paraId="75DB8E91">
            <w:pPr>
              <w:rPr>
                <w:color w:val="auto"/>
                <w:highlight w:val="none"/>
              </w:rPr>
            </w:pPr>
          </w:p>
        </w:tc>
        <w:tc>
          <w:tcPr>
            <w:tcW w:w="4583" w:type="dxa"/>
            <w:noWrap w:val="0"/>
            <w:vAlign w:val="center"/>
          </w:tcPr>
          <w:p w14:paraId="2CED109E">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一般突发事件负责现场处理，重大事件应在现场维护局面，并迅速报有关部门，5分钟内到达现场，如5分钟内未到达现场每次每人扣2-5分。</w:t>
            </w:r>
          </w:p>
        </w:tc>
        <w:tc>
          <w:tcPr>
            <w:tcW w:w="525" w:type="dxa"/>
            <w:noWrap w:val="0"/>
            <w:vAlign w:val="top"/>
          </w:tcPr>
          <w:p w14:paraId="3A0044DE">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2FE4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29" w:type="dxa"/>
            <w:vMerge w:val="continue"/>
            <w:noWrap w:val="0"/>
            <w:vAlign w:val="center"/>
          </w:tcPr>
          <w:p w14:paraId="4DD29D51">
            <w:pPr>
              <w:rPr>
                <w:color w:val="auto"/>
                <w:highlight w:val="none"/>
              </w:rPr>
            </w:pPr>
          </w:p>
        </w:tc>
        <w:tc>
          <w:tcPr>
            <w:tcW w:w="3450" w:type="dxa"/>
            <w:gridSpan w:val="2"/>
            <w:noWrap w:val="0"/>
            <w:vAlign w:val="center"/>
          </w:tcPr>
          <w:p w14:paraId="3B80A6C5">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法规学习</w:t>
            </w:r>
          </w:p>
        </w:tc>
        <w:tc>
          <w:tcPr>
            <w:tcW w:w="534" w:type="dxa"/>
            <w:vMerge w:val="restart"/>
            <w:noWrap w:val="0"/>
            <w:vAlign w:val="center"/>
          </w:tcPr>
          <w:p w14:paraId="0A435DC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10</w:t>
            </w:r>
          </w:p>
        </w:tc>
        <w:tc>
          <w:tcPr>
            <w:tcW w:w="4583" w:type="dxa"/>
            <w:noWrap w:val="0"/>
            <w:vAlign w:val="center"/>
          </w:tcPr>
          <w:p w14:paraId="2FE21AB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带领全体安保人员、车管员学习各项法律法规及政策条例等知识，每月没人必须学习一次，如不按时学习的每次每人扣2-5分。</w:t>
            </w:r>
          </w:p>
        </w:tc>
        <w:tc>
          <w:tcPr>
            <w:tcW w:w="525" w:type="dxa"/>
            <w:noWrap w:val="0"/>
            <w:vAlign w:val="top"/>
          </w:tcPr>
          <w:p w14:paraId="44252AB0">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418A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29" w:type="dxa"/>
            <w:vMerge w:val="continue"/>
            <w:noWrap w:val="0"/>
            <w:vAlign w:val="center"/>
          </w:tcPr>
          <w:p w14:paraId="6619E1AB">
            <w:pPr>
              <w:rPr>
                <w:color w:val="auto"/>
                <w:highlight w:val="none"/>
              </w:rPr>
            </w:pPr>
          </w:p>
        </w:tc>
        <w:tc>
          <w:tcPr>
            <w:tcW w:w="3450" w:type="dxa"/>
            <w:gridSpan w:val="2"/>
            <w:noWrap w:val="0"/>
            <w:vAlign w:val="center"/>
          </w:tcPr>
          <w:p w14:paraId="21DE1C40">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思想教育</w:t>
            </w:r>
          </w:p>
        </w:tc>
        <w:tc>
          <w:tcPr>
            <w:tcW w:w="534" w:type="dxa"/>
            <w:vMerge w:val="continue"/>
            <w:noWrap w:val="0"/>
            <w:vAlign w:val="center"/>
          </w:tcPr>
          <w:p w14:paraId="4E8A08E9">
            <w:pPr>
              <w:rPr>
                <w:color w:val="auto"/>
                <w:highlight w:val="none"/>
              </w:rPr>
            </w:pPr>
          </w:p>
        </w:tc>
        <w:tc>
          <w:tcPr>
            <w:tcW w:w="4583" w:type="dxa"/>
            <w:noWrap w:val="0"/>
            <w:vAlign w:val="center"/>
          </w:tcPr>
          <w:p w14:paraId="3C2E1F0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带头遵纪守法、模范执法、学雷锋做好事、严明车管纪律，每月没人必须学习一次，如不按时学习的每次每人扣2-5分。</w:t>
            </w:r>
          </w:p>
        </w:tc>
        <w:tc>
          <w:tcPr>
            <w:tcW w:w="525" w:type="dxa"/>
            <w:noWrap w:val="0"/>
            <w:vAlign w:val="top"/>
          </w:tcPr>
          <w:p w14:paraId="56E52A94">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5447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29" w:type="dxa"/>
            <w:vMerge w:val="continue"/>
            <w:noWrap w:val="0"/>
            <w:vAlign w:val="center"/>
          </w:tcPr>
          <w:p w14:paraId="4407D690">
            <w:pPr>
              <w:rPr>
                <w:color w:val="auto"/>
                <w:highlight w:val="none"/>
              </w:rPr>
            </w:pPr>
          </w:p>
        </w:tc>
        <w:tc>
          <w:tcPr>
            <w:tcW w:w="3450" w:type="dxa"/>
            <w:gridSpan w:val="2"/>
            <w:noWrap w:val="0"/>
            <w:vAlign w:val="center"/>
          </w:tcPr>
          <w:p w14:paraId="4A0D4AA9">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技能培训</w:t>
            </w:r>
          </w:p>
        </w:tc>
        <w:tc>
          <w:tcPr>
            <w:tcW w:w="534" w:type="dxa"/>
            <w:vMerge w:val="continue"/>
            <w:noWrap w:val="0"/>
            <w:vAlign w:val="center"/>
          </w:tcPr>
          <w:p w14:paraId="0D1278D5">
            <w:pPr>
              <w:rPr>
                <w:color w:val="auto"/>
                <w:highlight w:val="none"/>
              </w:rPr>
            </w:pPr>
          </w:p>
        </w:tc>
        <w:tc>
          <w:tcPr>
            <w:tcW w:w="4583" w:type="dxa"/>
            <w:noWrap w:val="0"/>
            <w:vAlign w:val="center"/>
          </w:tcPr>
          <w:p w14:paraId="742CE4BF">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健身、擒拿格斗、队列行走、跑步敬礼、消防训练，每月没人必须学习一次，如不按时学习的每次每人扣2-5分。</w:t>
            </w:r>
          </w:p>
        </w:tc>
        <w:tc>
          <w:tcPr>
            <w:tcW w:w="525" w:type="dxa"/>
            <w:noWrap w:val="0"/>
            <w:vAlign w:val="top"/>
          </w:tcPr>
          <w:p w14:paraId="42B1486F">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262B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29" w:type="dxa"/>
            <w:vMerge w:val="restart"/>
            <w:noWrap w:val="0"/>
            <w:vAlign w:val="center"/>
          </w:tcPr>
          <w:p w14:paraId="1EEECFB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直接扣分项</w:t>
            </w:r>
          </w:p>
        </w:tc>
        <w:tc>
          <w:tcPr>
            <w:tcW w:w="8567" w:type="dxa"/>
            <w:gridSpan w:val="4"/>
            <w:noWrap w:val="0"/>
            <w:vAlign w:val="center"/>
          </w:tcPr>
          <w:p w14:paraId="084540CC">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设施被盗或损坏，视具体情况、按有关责任酌情或全额赔款，扣1-20分。</w:t>
            </w:r>
          </w:p>
        </w:tc>
        <w:tc>
          <w:tcPr>
            <w:tcW w:w="525" w:type="dxa"/>
            <w:noWrap w:val="0"/>
            <w:vAlign w:val="top"/>
          </w:tcPr>
          <w:p w14:paraId="79953DC5">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3526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29" w:type="dxa"/>
            <w:vMerge w:val="continue"/>
            <w:noWrap w:val="0"/>
            <w:vAlign w:val="center"/>
          </w:tcPr>
          <w:p w14:paraId="6135FE85">
            <w:pPr>
              <w:rPr>
                <w:color w:val="auto"/>
                <w:highlight w:val="none"/>
              </w:rPr>
            </w:pPr>
          </w:p>
        </w:tc>
        <w:tc>
          <w:tcPr>
            <w:tcW w:w="8567" w:type="dxa"/>
            <w:gridSpan w:val="4"/>
            <w:noWrap w:val="0"/>
            <w:vAlign w:val="center"/>
          </w:tcPr>
          <w:p w14:paraId="38AE7C62">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如果在岗人数达不到建议人数数量（28人），造成工作效果达不到要求的，每次扣1-10分。</w:t>
            </w:r>
          </w:p>
        </w:tc>
        <w:tc>
          <w:tcPr>
            <w:tcW w:w="525" w:type="dxa"/>
            <w:noWrap w:val="0"/>
            <w:vAlign w:val="top"/>
          </w:tcPr>
          <w:p w14:paraId="7D4C70C6">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3050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29" w:type="dxa"/>
            <w:vMerge w:val="continue"/>
            <w:noWrap w:val="0"/>
            <w:vAlign w:val="center"/>
          </w:tcPr>
          <w:p w14:paraId="10B18E89">
            <w:pPr>
              <w:rPr>
                <w:color w:val="auto"/>
                <w:highlight w:val="none"/>
              </w:rPr>
            </w:pPr>
          </w:p>
        </w:tc>
        <w:tc>
          <w:tcPr>
            <w:tcW w:w="8567" w:type="dxa"/>
            <w:gridSpan w:val="4"/>
            <w:noWrap w:val="0"/>
            <w:vAlign w:val="center"/>
          </w:tcPr>
          <w:p w14:paraId="07E56C22">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sz w:val="21"/>
                <w:szCs w:val="21"/>
                <w:highlight w:val="none"/>
                <w:lang w:bidi="ar-SA"/>
              </w:rPr>
            </w:pPr>
            <w:r>
              <w:rPr>
                <w:rFonts w:hint="eastAsia" w:ascii="宋体" w:hAnsi="宋体" w:cs="宋体"/>
                <w:color w:val="auto"/>
                <w:kern w:val="0"/>
                <w:sz w:val="21"/>
                <w:szCs w:val="21"/>
                <w:highlight w:val="none"/>
                <w:lang w:bidi="ar-SA"/>
              </w:rPr>
              <w:t>发生一起上级领导点名批评（如情况属实）、责任性投诉或被新闻媒体曝光一次，属责任问题扣1-10分。</w:t>
            </w:r>
          </w:p>
        </w:tc>
        <w:tc>
          <w:tcPr>
            <w:tcW w:w="525" w:type="dxa"/>
            <w:noWrap w:val="0"/>
            <w:vAlign w:val="top"/>
          </w:tcPr>
          <w:p w14:paraId="79D0DC18">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4064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29" w:type="dxa"/>
            <w:vMerge w:val="continue"/>
            <w:noWrap w:val="0"/>
            <w:vAlign w:val="center"/>
          </w:tcPr>
          <w:p w14:paraId="42537D6E">
            <w:pPr>
              <w:rPr>
                <w:color w:val="auto"/>
                <w:highlight w:val="none"/>
              </w:rPr>
            </w:pPr>
          </w:p>
        </w:tc>
        <w:tc>
          <w:tcPr>
            <w:tcW w:w="8567" w:type="dxa"/>
            <w:gridSpan w:val="4"/>
            <w:noWrap w:val="0"/>
            <w:vAlign w:val="center"/>
          </w:tcPr>
          <w:p w14:paraId="79608B33">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sz w:val="21"/>
                <w:szCs w:val="21"/>
                <w:highlight w:val="none"/>
                <w:lang w:bidi="ar-SA"/>
              </w:rPr>
            </w:pPr>
            <w:r>
              <w:rPr>
                <w:rFonts w:hint="eastAsia" w:ascii="宋体" w:hAnsi="宋体" w:cs="宋体"/>
                <w:color w:val="auto"/>
                <w:kern w:val="0"/>
                <w:sz w:val="21"/>
                <w:szCs w:val="21"/>
                <w:highlight w:val="none"/>
                <w:lang w:bidi="ar-SA"/>
              </w:rPr>
              <w:t>如果公园安排临时工作任务（如节假日摆花及养护等），不服从安排的，每次扣1-5分。</w:t>
            </w:r>
          </w:p>
        </w:tc>
        <w:tc>
          <w:tcPr>
            <w:tcW w:w="525" w:type="dxa"/>
            <w:noWrap w:val="0"/>
            <w:vAlign w:val="top"/>
          </w:tcPr>
          <w:p w14:paraId="586B708C">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312B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198" w:type="dxa"/>
            <w:gridSpan w:val="2"/>
            <w:noWrap w:val="0"/>
            <w:vAlign w:val="center"/>
          </w:tcPr>
          <w:p w14:paraId="2D54F9D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合计分数</w:t>
            </w:r>
          </w:p>
        </w:tc>
        <w:tc>
          <w:tcPr>
            <w:tcW w:w="6998" w:type="dxa"/>
            <w:gridSpan w:val="3"/>
            <w:noWrap w:val="0"/>
            <w:vAlign w:val="center"/>
          </w:tcPr>
          <w:p w14:paraId="07F3EB28">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p w14:paraId="113A7E5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 </w:t>
            </w:r>
          </w:p>
        </w:tc>
        <w:tc>
          <w:tcPr>
            <w:tcW w:w="525" w:type="dxa"/>
            <w:noWrap w:val="0"/>
            <w:vAlign w:val="top"/>
          </w:tcPr>
          <w:p w14:paraId="06B0CE82">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r w14:paraId="259B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198" w:type="dxa"/>
            <w:gridSpan w:val="2"/>
            <w:noWrap w:val="0"/>
            <w:vAlign w:val="center"/>
          </w:tcPr>
          <w:p w14:paraId="18351DC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养护费的</w:t>
            </w:r>
          </w:p>
          <w:p w14:paraId="718031E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bidi="ar-SA"/>
              </w:rPr>
            </w:pPr>
            <w:r>
              <w:rPr>
                <w:rFonts w:hint="eastAsia" w:ascii="宋体" w:hAnsi="宋体" w:cs="宋体"/>
                <w:color w:val="auto"/>
                <w:kern w:val="0"/>
                <w:sz w:val="21"/>
                <w:szCs w:val="21"/>
                <w:highlight w:val="none"/>
                <w:lang w:bidi="ar-SA"/>
              </w:rPr>
              <w:t>发放标准</w:t>
            </w:r>
          </w:p>
        </w:tc>
        <w:tc>
          <w:tcPr>
            <w:tcW w:w="6998" w:type="dxa"/>
            <w:gridSpan w:val="3"/>
            <w:noWrap w:val="0"/>
            <w:vAlign w:val="center"/>
          </w:tcPr>
          <w:p w14:paraId="41F7B7B7">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c>
          <w:tcPr>
            <w:tcW w:w="525" w:type="dxa"/>
            <w:noWrap w:val="0"/>
            <w:vAlign w:val="top"/>
          </w:tcPr>
          <w:p w14:paraId="0A37E0B4">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bidi="ar-SA"/>
              </w:rPr>
            </w:pPr>
          </w:p>
        </w:tc>
      </w:tr>
    </w:tbl>
    <w:p w14:paraId="504D2F9C">
      <w:pPr>
        <w:spacing w:line="360" w:lineRule="auto"/>
        <w:rPr>
          <w:rFonts w:ascii="仿宋_GB2312"/>
          <w:color w:val="auto"/>
          <w:kern w:val="0"/>
          <w:sz w:val="21"/>
          <w:szCs w:val="21"/>
          <w:highlight w:val="none"/>
        </w:rPr>
      </w:pPr>
      <w:r>
        <w:rPr>
          <w:rFonts w:hint="eastAsia" w:ascii="仿宋_GB2312" w:hAnsi="宋体"/>
          <w:color w:val="auto"/>
          <w:kern w:val="0"/>
          <w:sz w:val="21"/>
          <w:szCs w:val="21"/>
          <w:highlight w:val="none"/>
        </w:rPr>
        <w:t>考核人员：</w:t>
      </w:r>
      <w:r>
        <w:rPr>
          <w:rFonts w:ascii="仿宋_GB2312"/>
          <w:color w:val="auto"/>
          <w:kern w:val="0"/>
          <w:sz w:val="21"/>
          <w:szCs w:val="21"/>
          <w:highlight w:val="none"/>
        </w:rPr>
        <w:t xml:space="preserve">                                         </w:t>
      </w:r>
      <w:r>
        <w:rPr>
          <w:rFonts w:hint="eastAsia" w:ascii="仿宋_GB2312" w:hAnsi="宋体"/>
          <w:color w:val="auto"/>
          <w:kern w:val="0"/>
          <w:sz w:val="21"/>
          <w:szCs w:val="21"/>
          <w:highlight w:val="none"/>
        </w:rPr>
        <w:t>日期：</w:t>
      </w:r>
    </w:p>
    <w:p w14:paraId="17A8A7E8">
      <w:pPr>
        <w:rPr>
          <w:color w:val="auto"/>
          <w:highlight w:val="none"/>
        </w:rPr>
      </w:pPr>
      <w:bookmarkStart w:id="35" w:name="_Toc11818"/>
    </w:p>
    <w:p w14:paraId="0EEC88DE">
      <w:pPr>
        <w:rPr>
          <w:color w:val="auto"/>
          <w:highlight w:val="none"/>
        </w:rPr>
      </w:pPr>
    </w:p>
    <w:p w14:paraId="65ECCBBC">
      <w:pPr>
        <w:pStyle w:val="3"/>
        <w:rPr>
          <w:color w:val="auto"/>
          <w:highlight w:val="none"/>
        </w:rPr>
      </w:pPr>
      <w:bookmarkStart w:id="36" w:name="_Toc32073"/>
      <w:r>
        <w:rPr>
          <w:color w:val="auto"/>
          <w:highlight w:val="none"/>
        </w:rPr>
        <w:t>第四章  竞争性磋商响应文件格式</w:t>
      </w:r>
      <w:bookmarkEnd w:id="35"/>
      <w:bookmarkEnd w:id="36"/>
    </w:p>
    <w:p w14:paraId="5552DA0B">
      <w:pPr>
        <w:spacing w:line="500" w:lineRule="exact"/>
        <w:jc w:val="center"/>
        <w:rPr>
          <w:color w:val="auto"/>
          <w:sz w:val="28"/>
          <w:szCs w:val="28"/>
          <w:highlight w:val="none"/>
        </w:rPr>
      </w:pPr>
    </w:p>
    <w:p w14:paraId="0597E308">
      <w:pPr>
        <w:spacing w:line="500" w:lineRule="exact"/>
        <w:ind w:firstLine="1120" w:firstLineChars="400"/>
        <w:rPr>
          <w:color w:val="auto"/>
          <w:sz w:val="28"/>
          <w:szCs w:val="28"/>
          <w:highlight w:val="none"/>
        </w:rPr>
      </w:pPr>
      <w:r>
        <w:rPr>
          <w:color w:val="auto"/>
          <w:sz w:val="28"/>
          <w:szCs w:val="28"/>
          <w:highlight w:val="none"/>
        </w:rPr>
        <w:t>封面：</w:t>
      </w:r>
    </w:p>
    <w:p w14:paraId="303408A2">
      <w:pPr>
        <w:spacing w:line="500" w:lineRule="exact"/>
        <w:jc w:val="center"/>
        <w:rPr>
          <w:color w:val="auto"/>
          <w:sz w:val="28"/>
          <w:szCs w:val="28"/>
          <w:highlight w:val="none"/>
        </w:rPr>
      </w:pPr>
      <w:r>
        <w:rPr>
          <w:color w:val="auto"/>
          <w:sz w:val="28"/>
          <w:szCs w:val="28"/>
          <w:highlight w:val="none"/>
        </w:rPr>
        <w:t xml:space="preserve">                                                    </w:t>
      </w:r>
    </w:p>
    <w:p w14:paraId="2EEE5FD4">
      <w:pPr>
        <w:spacing w:line="500" w:lineRule="exact"/>
        <w:jc w:val="center"/>
        <w:rPr>
          <w:color w:val="auto"/>
          <w:sz w:val="28"/>
          <w:szCs w:val="28"/>
          <w:highlight w:val="none"/>
        </w:rPr>
      </w:pPr>
    </w:p>
    <w:p w14:paraId="0444BDEC">
      <w:pPr>
        <w:rPr>
          <w:color w:val="auto"/>
          <w:highlight w:val="none"/>
        </w:rPr>
      </w:pPr>
    </w:p>
    <w:p w14:paraId="60A1D4A4">
      <w:pPr>
        <w:spacing w:line="500" w:lineRule="exact"/>
        <w:jc w:val="center"/>
        <w:rPr>
          <w:color w:val="auto"/>
          <w:sz w:val="28"/>
          <w:szCs w:val="28"/>
          <w:highlight w:val="none"/>
        </w:rPr>
      </w:pPr>
    </w:p>
    <w:p w14:paraId="12E5DEF6">
      <w:pPr>
        <w:jc w:val="center"/>
        <w:rPr>
          <w:b/>
          <w:color w:val="auto"/>
          <w:sz w:val="72"/>
          <w:szCs w:val="72"/>
          <w:highlight w:val="none"/>
        </w:rPr>
      </w:pPr>
      <w:r>
        <w:rPr>
          <w:b/>
          <w:color w:val="auto"/>
          <w:sz w:val="72"/>
          <w:szCs w:val="72"/>
          <w:highlight w:val="none"/>
        </w:rPr>
        <w:t>竞争性磋商响应文件</w:t>
      </w:r>
    </w:p>
    <w:p w14:paraId="740CE252">
      <w:pPr>
        <w:spacing w:line="500" w:lineRule="exact"/>
        <w:jc w:val="center"/>
        <w:rPr>
          <w:color w:val="auto"/>
          <w:sz w:val="36"/>
          <w:szCs w:val="36"/>
          <w:highlight w:val="none"/>
        </w:rPr>
      </w:pPr>
    </w:p>
    <w:p w14:paraId="33C5E62B">
      <w:pPr>
        <w:spacing w:line="500" w:lineRule="exact"/>
        <w:jc w:val="center"/>
        <w:rPr>
          <w:color w:val="auto"/>
          <w:sz w:val="28"/>
          <w:szCs w:val="28"/>
          <w:highlight w:val="none"/>
        </w:rPr>
      </w:pPr>
    </w:p>
    <w:p w14:paraId="70AB7EAE">
      <w:pPr>
        <w:spacing w:line="500" w:lineRule="exact"/>
        <w:jc w:val="center"/>
        <w:rPr>
          <w:color w:val="auto"/>
          <w:sz w:val="28"/>
          <w:szCs w:val="28"/>
          <w:highlight w:val="none"/>
        </w:rPr>
      </w:pPr>
    </w:p>
    <w:p w14:paraId="0EED0F02">
      <w:pPr>
        <w:tabs>
          <w:tab w:val="left" w:pos="3240"/>
        </w:tabs>
        <w:spacing w:line="500" w:lineRule="exact"/>
        <w:ind w:left="1438" w:leftChars="685" w:firstLine="560" w:firstLineChars="200"/>
        <w:rPr>
          <w:color w:val="auto"/>
          <w:sz w:val="28"/>
          <w:szCs w:val="28"/>
          <w:highlight w:val="none"/>
          <w:u w:val="single"/>
        </w:rPr>
      </w:pPr>
      <w:r>
        <w:rPr>
          <w:color w:val="auto"/>
          <w:sz w:val="28"/>
          <w:szCs w:val="28"/>
          <w:highlight w:val="none"/>
        </w:rPr>
        <w:t xml:space="preserve">    项目编号：</w:t>
      </w:r>
      <w:r>
        <w:rPr>
          <w:color w:val="auto"/>
          <w:sz w:val="28"/>
          <w:szCs w:val="28"/>
          <w:highlight w:val="none"/>
          <w:u w:val="single"/>
        </w:rPr>
        <w:t xml:space="preserve">                       </w:t>
      </w:r>
    </w:p>
    <w:p w14:paraId="64F1AE73">
      <w:pPr>
        <w:spacing w:line="500" w:lineRule="exact"/>
        <w:ind w:left="1438" w:leftChars="685" w:firstLine="1120" w:firstLineChars="400"/>
        <w:rPr>
          <w:color w:val="auto"/>
          <w:sz w:val="28"/>
          <w:szCs w:val="28"/>
          <w:highlight w:val="none"/>
          <w:u w:val="single"/>
        </w:rPr>
      </w:pPr>
      <w:r>
        <w:rPr>
          <w:color w:val="auto"/>
          <w:sz w:val="28"/>
          <w:szCs w:val="28"/>
          <w:highlight w:val="none"/>
        </w:rPr>
        <w:t>项目名称：</w:t>
      </w:r>
      <w:r>
        <w:rPr>
          <w:color w:val="auto"/>
          <w:sz w:val="28"/>
          <w:szCs w:val="28"/>
          <w:highlight w:val="none"/>
          <w:u w:val="single"/>
        </w:rPr>
        <w:t xml:space="preserve">                      </w:t>
      </w:r>
    </w:p>
    <w:p w14:paraId="43D1AC6D">
      <w:pPr>
        <w:tabs>
          <w:tab w:val="left" w:pos="2625"/>
        </w:tabs>
        <w:spacing w:line="500" w:lineRule="exact"/>
        <w:ind w:firstLine="2520" w:firstLineChars="900"/>
        <w:rPr>
          <w:color w:val="auto"/>
          <w:sz w:val="28"/>
          <w:szCs w:val="28"/>
          <w:highlight w:val="none"/>
        </w:rPr>
      </w:pPr>
      <w:r>
        <w:rPr>
          <w:color w:val="auto"/>
          <w:sz w:val="28"/>
          <w:szCs w:val="28"/>
          <w:highlight w:val="none"/>
        </w:rPr>
        <w:t xml:space="preserve">               </w:t>
      </w:r>
    </w:p>
    <w:p w14:paraId="4B55732A">
      <w:pPr>
        <w:tabs>
          <w:tab w:val="left" w:pos="2625"/>
        </w:tabs>
        <w:spacing w:line="500" w:lineRule="exact"/>
        <w:jc w:val="center"/>
        <w:rPr>
          <w:color w:val="auto"/>
          <w:sz w:val="28"/>
          <w:szCs w:val="28"/>
          <w:highlight w:val="none"/>
        </w:rPr>
      </w:pPr>
    </w:p>
    <w:p w14:paraId="0B04AF59">
      <w:pPr>
        <w:tabs>
          <w:tab w:val="left" w:pos="2625"/>
        </w:tabs>
        <w:spacing w:line="500" w:lineRule="exact"/>
        <w:rPr>
          <w:color w:val="auto"/>
          <w:sz w:val="28"/>
          <w:szCs w:val="28"/>
          <w:highlight w:val="none"/>
        </w:rPr>
      </w:pPr>
    </w:p>
    <w:p w14:paraId="118E9718">
      <w:pPr>
        <w:spacing w:line="500" w:lineRule="exact"/>
        <w:jc w:val="center"/>
        <w:rPr>
          <w:color w:val="auto"/>
          <w:sz w:val="28"/>
          <w:szCs w:val="28"/>
          <w:highlight w:val="none"/>
        </w:rPr>
      </w:pPr>
      <w:r>
        <w:rPr>
          <w:color w:val="auto"/>
          <w:sz w:val="28"/>
          <w:szCs w:val="28"/>
          <w:highlight w:val="none"/>
        </w:rPr>
        <w:t xml:space="preserve">  （供应商名称）</w:t>
      </w:r>
    </w:p>
    <w:p w14:paraId="7CCDE9CD">
      <w:pPr>
        <w:spacing w:line="500" w:lineRule="exact"/>
        <w:jc w:val="center"/>
        <w:rPr>
          <w:color w:val="auto"/>
          <w:sz w:val="28"/>
          <w:szCs w:val="28"/>
          <w:highlight w:val="none"/>
        </w:rPr>
      </w:pPr>
      <w:r>
        <w:rPr>
          <w:color w:val="auto"/>
          <w:sz w:val="28"/>
          <w:szCs w:val="28"/>
          <w:highlight w:val="none"/>
        </w:rPr>
        <w:t xml:space="preserve">          年    月    日</w:t>
      </w:r>
    </w:p>
    <w:p w14:paraId="5693CF4F">
      <w:pPr>
        <w:pStyle w:val="18"/>
        <w:rPr>
          <w:rFonts w:ascii="Times New Roman" w:hAnsi="Times New Roman"/>
          <w:color w:val="auto"/>
          <w:sz w:val="28"/>
          <w:szCs w:val="28"/>
          <w:highlight w:val="none"/>
        </w:rPr>
      </w:pPr>
    </w:p>
    <w:p w14:paraId="26F9249C">
      <w:pPr>
        <w:rPr>
          <w:color w:val="auto"/>
          <w:highlight w:val="none"/>
        </w:rPr>
      </w:pPr>
    </w:p>
    <w:p w14:paraId="7E2D2FD3">
      <w:pPr>
        <w:spacing w:line="520" w:lineRule="exact"/>
        <w:jc w:val="center"/>
        <w:rPr>
          <w:b/>
          <w:bCs/>
          <w:color w:val="auto"/>
          <w:sz w:val="36"/>
          <w:szCs w:val="36"/>
          <w:highlight w:val="none"/>
        </w:rPr>
      </w:pPr>
    </w:p>
    <w:p w14:paraId="55ED5FB8">
      <w:pPr>
        <w:spacing w:line="520" w:lineRule="exact"/>
        <w:jc w:val="center"/>
        <w:rPr>
          <w:b/>
          <w:bCs/>
          <w:color w:val="auto"/>
          <w:sz w:val="36"/>
          <w:szCs w:val="36"/>
          <w:highlight w:val="none"/>
        </w:rPr>
      </w:pPr>
    </w:p>
    <w:p w14:paraId="3602DB85">
      <w:pPr>
        <w:pStyle w:val="8"/>
        <w:rPr>
          <w:color w:val="auto"/>
          <w:highlight w:val="none"/>
        </w:rPr>
      </w:pPr>
    </w:p>
    <w:p w14:paraId="169A494F">
      <w:pPr>
        <w:pStyle w:val="40"/>
        <w:rPr>
          <w:b/>
          <w:bCs/>
          <w:color w:val="auto"/>
          <w:sz w:val="36"/>
          <w:szCs w:val="36"/>
          <w:highlight w:val="none"/>
        </w:rPr>
      </w:pPr>
    </w:p>
    <w:p w14:paraId="3094EEF5">
      <w:pPr>
        <w:pStyle w:val="40"/>
        <w:rPr>
          <w:b/>
          <w:bCs/>
          <w:color w:val="auto"/>
          <w:sz w:val="36"/>
          <w:szCs w:val="36"/>
          <w:highlight w:val="none"/>
        </w:rPr>
      </w:pPr>
    </w:p>
    <w:p w14:paraId="2EFBBA43">
      <w:pPr>
        <w:spacing w:line="520" w:lineRule="exact"/>
        <w:rPr>
          <w:b/>
          <w:bCs/>
          <w:color w:val="auto"/>
          <w:sz w:val="36"/>
          <w:szCs w:val="36"/>
          <w:highlight w:val="none"/>
        </w:rPr>
      </w:pPr>
    </w:p>
    <w:p w14:paraId="57EE96D9">
      <w:pPr>
        <w:snapToGrid w:val="0"/>
        <w:spacing w:before="165" w:beforeLines="50" w:after="50" w:line="360" w:lineRule="auto"/>
        <w:ind w:left="142"/>
        <w:jc w:val="center"/>
        <w:rPr>
          <w:b/>
          <w:bCs/>
          <w:color w:val="auto"/>
          <w:sz w:val="40"/>
          <w:szCs w:val="40"/>
          <w:highlight w:val="none"/>
        </w:rPr>
      </w:pPr>
      <w:r>
        <w:rPr>
          <w:b/>
          <w:bCs/>
          <w:color w:val="auto"/>
          <w:sz w:val="40"/>
          <w:szCs w:val="40"/>
          <w:highlight w:val="none"/>
        </w:rPr>
        <w:t>目录</w:t>
      </w:r>
    </w:p>
    <w:p w14:paraId="5910E1AD">
      <w:pPr>
        <w:snapToGrid w:val="0"/>
        <w:spacing w:before="165" w:beforeLines="50" w:after="50" w:line="360" w:lineRule="auto"/>
        <w:ind w:left="142"/>
        <w:jc w:val="center"/>
        <w:rPr>
          <w:color w:val="auto"/>
          <w:sz w:val="32"/>
          <w:szCs w:val="32"/>
          <w:highlight w:val="none"/>
        </w:rPr>
      </w:pPr>
      <w:r>
        <w:rPr>
          <w:color w:val="auto"/>
          <w:sz w:val="32"/>
          <w:szCs w:val="32"/>
          <w:highlight w:val="none"/>
        </w:rPr>
        <w:t>根据</w:t>
      </w:r>
      <w:r>
        <w:rPr>
          <w:rFonts w:hint="eastAsia"/>
          <w:color w:val="auto"/>
          <w:sz w:val="32"/>
          <w:szCs w:val="32"/>
          <w:highlight w:val="none"/>
        </w:rPr>
        <w:t>采购</w:t>
      </w:r>
      <w:r>
        <w:rPr>
          <w:color w:val="auto"/>
          <w:sz w:val="32"/>
          <w:szCs w:val="32"/>
          <w:highlight w:val="none"/>
        </w:rPr>
        <w:t>文件规定及供应商提供的材料自行编写目录</w:t>
      </w:r>
    </w:p>
    <w:p w14:paraId="5F55ADCD">
      <w:pPr>
        <w:snapToGrid w:val="0"/>
        <w:spacing w:before="165" w:beforeLines="50" w:after="50" w:line="300" w:lineRule="exact"/>
        <w:ind w:firstLine="640" w:firstLineChars="200"/>
        <w:jc w:val="center"/>
        <w:rPr>
          <w:color w:val="auto"/>
          <w:sz w:val="32"/>
          <w:szCs w:val="32"/>
          <w:highlight w:val="none"/>
        </w:rPr>
      </w:pPr>
      <w:r>
        <w:rPr>
          <w:color w:val="auto"/>
          <w:sz w:val="32"/>
          <w:szCs w:val="32"/>
          <w:highlight w:val="none"/>
        </w:rPr>
        <w:t>（部分格式后附）</w:t>
      </w:r>
    </w:p>
    <w:p w14:paraId="64E7E85D">
      <w:pPr>
        <w:rPr>
          <w:color w:val="auto"/>
          <w:highlight w:val="none"/>
        </w:rPr>
      </w:pPr>
    </w:p>
    <w:p w14:paraId="36B4510A">
      <w:pPr>
        <w:rPr>
          <w:color w:val="auto"/>
          <w:highlight w:val="none"/>
        </w:rPr>
      </w:pPr>
    </w:p>
    <w:p w14:paraId="0F55B631">
      <w:pPr>
        <w:spacing w:line="360" w:lineRule="auto"/>
        <w:ind w:firstLine="562" w:firstLineChars="200"/>
        <w:rPr>
          <w:color w:val="auto"/>
          <w:sz w:val="24"/>
          <w:highlight w:val="none"/>
        </w:rPr>
      </w:pPr>
      <w:r>
        <w:rPr>
          <w:b/>
          <w:bCs/>
          <w:color w:val="auto"/>
          <w:sz w:val="28"/>
          <w:szCs w:val="28"/>
          <w:highlight w:val="none"/>
        </w:rPr>
        <w:t>注：有格式要求的请按格式编写，无格式要求的请投标供应商自拟</w:t>
      </w:r>
    </w:p>
    <w:p w14:paraId="29ECDD34">
      <w:pPr>
        <w:spacing w:line="276" w:lineRule="auto"/>
        <w:jc w:val="center"/>
        <w:rPr>
          <w:b/>
          <w:color w:val="auto"/>
          <w:sz w:val="36"/>
          <w:highlight w:val="none"/>
        </w:rPr>
      </w:pPr>
    </w:p>
    <w:p w14:paraId="4A35FC50">
      <w:pPr>
        <w:pStyle w:val="26"/>
        <w:ind w:firstLine="707"/>
        <w:rPr>
          <w:rFonts w:hint="default" w:ascii="Times New Roman"/>
          <w:b/>
          <w:color w:val="auto"/>
          <w:sz w:val="36"/>
          <w:highlight w:val="none"/>
        </w:rPr>
      </w:pPr>
    </w:p>
    <w:p w14:paraId="54B9A799">
      <w:pPr>
        <w:rPr>
          <w:b/>
          <w:color w:val="auto"/>
          <w:sz w:val="36"/>
          <w:highlight w:val="none"/>
        </w:rPr>
      </w:pPr>
    </w:p>
    <w:p w14:paraId="48097A17">
      <w:pPr>
        <w:pStyle w:val="26"/>
        <w:ind w:firstLine="464"/>
        <w:rPr>
          <w:rFonts w:hint="default" w:ascii="Times New Roman"/>
          <w:color w:val="auto"/>
          <w:highlight w:val="none"/>
        </w:rPr>
      </w:pPr>
    </w:p>
    <w:p w14:paraId="2BF68F48">
      <w:pPr>
        <w:pStyle w:val="26"/>
        <w:ind w:firstLine="707"/>
        <w:rPr>
          <w:rFonts w:hint="default" w:ascii="Times New Roman"/>
          <w:b/>
          <w:color w:val="auto"/>
          <w:sz w:val="36"/>
          <w:highlight w:val="none"/>
        </w:rPr>
      </w:pPr>
    </w:p>
    <w:p w14:paraId="2BE08D14">
      <w:pPr>
        <w:rPr>
          <w:b/>
          <w:color w:val="auto"/>
          <w:sz w:val="36"/>
          <w:highlight w:val="none"/>
        </w:rPr>
      </w:pPr>
    </w:p>
    <w:p w14:paraId="0666B19C">
      <w:pPr>
        <w:pStyle w:val="26"/>
        <w:ind w:firstLine="707"/>
        <w:rPr>
          <w:rFonts w:hint="default" w:ascii="Times New Roman"/>
          <w:b/>
          <w:color w:val="auto"/>
          <w:sz w:val="36"/>
          <w:highlight w:val="none"/>
        </w:rPr>
      </w:pPr>
    </w:p>
    <w:p w14:paraId="7A057C71">
      <w:pPr>
        <w:rPr>
          <w:b/>
          <w:color w:val="auto"/>
          <w:sz w:val="36"/>
          <w:highlight w:val="none"/>
        </w:rPr>
      </w:pPr>
    </w:p>
    <w:p w14:paraId="3032DC09">
      <w:pPr>
        <w:pStyle w:val="26"/>
        <w:ind w:firstLine="707"/>
        <w:rPr>
          <w:rFonts w:hint="default" w:ascii="Times New Roman"/>
          <w:b/>
          <w:color w:val="auto"/>
          <w:sz w:val="36"/>
          <w:highlight w:val="none"/>
        </w:rPr>
      </w:pPr>
    </w:p>
    <w:p w14:paraId="7699B513">
      <w:pPr>
        <w:rPr>
          <w:b/>
          <w:color w:val="auto"/>
          <w:sz w:val="36"/>
          <w:highlight w:val="none"/>
        </w:rPr>
      </w:pPr>
    </w:p>
    <w:p w14:paraId="6210B320">
      <w:pPr>
        <w:pStyle w:val="26"/>
        <w:ind w:firstLine="464"/>
        <w:rPr>
          <w:rFonts w:hint="default" w:ascii="Times New Roman"/>
          <w:color w:val="auto"/>
          <w:highlight w:val="none"/>
        </w:rPr>
      </w:pPr>
    </w:p>
    <w:p w14:paraId="21F608B1">
      <w:pPr>
        <w:pStyle w:val="26"/>
        <w:ind w:firstLine="464"/>
        <w:rPr>
          <w:rFonts w:hint="default" w:ascii="Times New Roman"/>
          <w:color w:val="auto"/>
          <w:highlight w:val="none"/>
        </w:rPr>
      </w:pPr>
    </w:p>
    <w:p w14:paraId="68B8CC8C">
      <w:pPr>
        <w:spacing w:line="276" w:lineRule="auto"/>
        <w:jc w:val="center"/>
        <w:rPr>
          <w:b/>
          <w:color w:val="auto"/>
          <w:sz w:val="36"/>
          <w:highlight w:val="none"/>
        </w:rPr>
      </w:pPr>
      <w:r>
        <w:rPr>
          <w:b/>
          <w:color w:val="auto"/>
          <w:sz w:val="36"/>
          <w:highlight w:val="none"/>
        </w:rPr>
        <w:br w:type="page"/>
      </w:r>
    </w:p>
    <w:p w14:paraId="15F4A9C3">
      <w:pPr>
        <w:pStyle w:val="4"/>
        <w:rPr>
          <w:color w:val="auto"/>
          <w:highlight w:val="none"/>
        </w:rPr>
      </w:pPr>
      <w:r>
        <w:rPr>
          <w:color w:val="auto"/>
          <w:highlight w:val="none"/>
        </w:rPr>
        <w:t>法定代表人身份证明书（格式）</w:t>
      </w:r>
    </w:p>
    <w:p w14:paraId="0EC6D3C4">
      <w:pPr>
        <w:tabs>
          <w:tab w:val="left" w:pos="2880"/>
        </w:tabs>
        <w:rPr>
          <w:b/>
          <w:color w:val="auto"/>
          <w:highlight w:val="none"/>
        </w:rPr>
      </w:pPr>
    </w:p>
    <w:p w14:paraId="7D9EBF3A">
      <w:pPr>
        <w:tabs>
          <w:tab w:val="left" w:pos="2880"/>
        </w:tabs>
        <w:spacing w:line="360" w:lineRule="auto"/>
        <w:ind w:firstLine="612"/>
        <w:rPr>
          <w:color w:val="auto"/>
          <w:sz w:val="24"/>
          <w:highlight w:val="none"/>
        </w:rPr>
      </w:pPr>
      <w:r>
        <w:rPr>
          <w:color w:val="auto"/>
          <w:sz w:val="24"/>
          <w:highlight w:val="none"/>
        </w:rPr>
        <w:t>单位名称：</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78FF880B">
      <w:pPr>
        <w:tabs>
          <w:tab w:val="left" w:pos="2880"/>
        </w:tabs>
        <w:spacing w:line="360" w:lineRule="auto"/>
        <w:ind w:firstLine="610"/>
        <w:rPr>
          <w:color w:val="auto"/>
          <w:sz w:val="24"/>
          <w:highlight w:val="none"/>
          <w:u w:val="single"/>
        </w:rPr>
      </w:pPr>
      <w:r>
        <w:rPr>
          <w:color w:val="auto"/>
          <w:sz w:val="24"/>
          <w:highlight w:val="none"/>
        </w:rPr>
        <w:t>单位性质：</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6F0CCC7F">
      <w:pPr>
        <w:tabs>
          <w:tab w:val="left" w:pos="2880"/>
        </w:tabs>
        <w:spacing w:line="360" w:lineRule="auto"/>
        <w:ind w:firstLine="610"/>
        <w:rPr>
          <w:color w:val="auto"/>
          <w:sz w:val="24"/>
          <w:highlight w:val="none"/>
          <w:u w:val="single"/>
        </w:rPr>
      </w:pPr>
      <w:r>
        <w:rPr>
          <w:color w:val="auto"/>
          <w:sz w:val="24"/>
          <w:highlight w:val="none"/>
        </w:rPr>
        <w:t>地    址：</w:t>
      </w:r>
      <w:r>
        <w:rPr>
          <w:color w:val="auto"/>
          <w:sz w:val="24"/>
          <w:highlight w:val="none"/>
          <w:u w:val="single"/>
        </w:rPr>
        <w:tab/>
      </w:r>
      <w:r>
        <w:rPr>
          <w:color w:val="auto"/>
          <w:sz w:val="24"/>
          <w:highlight w:val="none"/>
          <w:u w:val="single"/>
        </w:rPr>
        <w:tab/>
      </w:r>
      <w:r>
        <w:rPr>
          <w:color w:val="auto"/>
          <w:sz w:val="24"/>
          <w:highlight w:val="none"/>
          <w:u w:val="single"/>
        </w:rPr>
        <w:t xml:space="preserve">  </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 xml:space="preserve">       </w:t>
      </w:r>
      <w:r>
        <w:rPr>
          <w:color w:val="auto"/>
          <w:sz w:val="24"/>
          <w:highlight w:val="none"/>
          <w:u w:val="single"/>
        </w:rPr>
        <w:tab/>
      </w:r>
      <w:r>
        <w:rPr>
          <w:color w:val="auto"/>
          <w:sz w:val="24"/>
          <w:highlight w:val="none"/>
          <w:u w:val="single"/>
        </w:rPr>
        <w:tab/>
      </w:r>
      <w:r>
        <w:rPr>
          <w:color w:val="auto"/>
          <w:sz w:val="24"/>
          <w:highlight w:val="none"/>
          <w:u w:val="single"/>
        </w:rPr>
        <w:tab/>
      </w:r>
      <w:r>
        <w:rPr>
          <w:color w:val="auto"/>
          <w:sz w:val="24"/>
          <w:highlight w:val="none"/>
          <w:u w:val="single"/>
        </w:rPr>
        <w:tab/>
      </w:r>
    </w:p>
    <w:p w14:paraId="4C812622">
      <w:pPr>
        <w:tabs>
          <w:tab w:val="left" w:pos="2880"/>
        </w:tabs>
        <w:spacing w:line="360" w:lineRule="auto"/>
        <w:ind w:firstLine="610"/>
        <w:rPr>
          <w:color w:val="auto"/>
          <w:sz w:val="24"/>
          <w:highlight w:val="none"/>
        </w:rPr>
      </w:pPr>
      <w:r>
        <w:rPr>
          <w:color w:val="auto"/>
          <w:sz w:val="24"/>
          <w:highlight w:val="none"/>
        </w:rPr>
        <w:t>成立时间：</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62A0BBC1">
      <w:pPr>
        <w:tabs>
          <w:tab w:val="left" w:pos="2880"/>
        </w:tabs>
        <w:spacing w:line="360" w:lineRule="auto"/>
        <w:ind w:firstLine="610"/>
        <w:rPr>
          <w:color w:val="auto"/>
          <w:sz w:val="24"/>
          <w:highlight w:val="none"/>
          <w:u w:val="single"/>
        </w:rPr>
      </w:pPr>
      <w:r>
        <w:rPr>
          <w:color w:val="auto"/>
          <w:sz w:val="24"/>
          <w:highlight w:val="none"/>
        </w:rPr>
        <w:t>经营期限：</w:t>
      </w:r>
      <w:r>
        <w:rPr>
          <w:color w:val="auto"/>
          <w:sz w:val="24"/>
          <w:highlight w:val="none"/>
          <w:u w:val="single"/>
        </w:rPr>
        <w:tab/>
      </w:r>
      <w:r>
        <w:rPr>
          <w:color w:val="auto"/>
          <w:sz w:val="24"/>
          <w:highlight w:val="none"/>
          <w:u w:val="single"/>
        </w:rPr>
        <w:t xml:space="preserve">                                                </w:t>
      </w:r>
      <w:r>
        <w:rPr>
          <w:color w:val="auto"/>
          <w:sz w:val="24"/>
          <w:highlight w:val="none"/>
          <w:u w:val="single"/>
        </w:rPr>
        <w:tab/>
      </w:r>
    </w:p>
    <w:p w14:paraId="33D683D7">
      <w:pPr>
        <w:tabs>
          <w:tab w:val="left" w:pos="2880"/>
        </w:tabs>
        <w:spacing w:line="360" w:lineRule="auto"/>
        <w:ind w:left="744" w:leftChars="342" w:hanging="26" w:hangingChars="11"/>
        <w:rPr>
          <w:color w:val="auto"/>
          <w:sz w:val="24"/>
          <w:highlight w:val="none"/>
          <w:u w:val="single"/>
        </w:rPr>
      </w:pPr>
      <w:r>
        <w:rPr>
          <w:color w:val="auto"/>
          <w:sz w:val="24"/>
          <w:highlight w:val="none"/>
        </w:rPr>
        <w:t>姓    名：</w:t>
      </w:r>
      <w:r>
        <w:rPr>
          <w:color w:val="auto"/>
          <w:sz w:val="24"/>
          <w:highlight w:val="none"/>
          <w:u w:val="single"/>
        </w:rPr>
        <w:t xml:space="preserve">          </w:t>
      </w:r>
      <w:r>
        <w:rPr>
          <w:color w:val="auto"/>
          <w:sz w:val="24"/>
          <w:highlight w:val="none"/>
        </w:rPr>
        <w:t xml:space="preserve"> 性别：</w:t>
      </w:r>
      <w:r>
        <w:rPr>
          <w:color w:val="auto"/>
          <w:sz w:val="24"/>
          <w:highlight w:val="none"/>
          <w:u w:val="single"/>
        </w:rPr>
        <w:t xml:space="preserve">       </w:t>
      </w:r>
    </w:p>
    <w:p w14:paraId="34F73147">
      <w:pPr>
        <w:tabs>
          <w:tab w:val="left" w:pos="2880"/>
        </w:tabs>
        <w:spacing w:line="360" w:lineRule="auto"/>
        <w:ind w:left="744" w:leftChars="342" w:hanging="26" w:hangingChars="11"/>
        <w:rPr>
          <w:color w:val="auto"/>
          <w:sz w:val="24"/>
          <w:highlight w:val="none"/>
          <w:u w:val="single"/>
        </w:rPr>
      </w:pPr>
      <w:r>
        <w:rPr>
          <w:color w:val="auto"/>
          <w:sz w:val="24"/>
          <w:highlight w:val="none"/>
        </w:rPr>
        <w:t>年    龄：</w:t>
      </w:r>
      <w:r>
        <w:rPr>
          <w:color w:val="auto"/>
          <w:sz w:val="24"/>
          <w:highlight w:val="none"/>
          <w:u w:val="single"/>
        </w:rPr>
        <w:t xml:space="preserve">          </w:t>
      </w:r>
      <w:r>
        <w:rPr>
          <w:color w:val="auto"/>
          <w:sz w:val="24"/>
          <w:highlight w:val="none"/>
        </w:rPr>
        <w:t xml:space="preserve"> 职务：</w:t>
      </w:r>
      <w:r>
        <w:rPr>
          <w:color w:val="auto"/>
          <w:sz w:val="24"/>
          <w:highlight w:val="none"/>
          <w:u w:val="single"/>
        </w:rPr>
        <w:tab/>
      </w:r>
      <w:r>
        <w:rPr>
          <w:color w:val="auto"/>
          <w:sz w:val="24"/>
          <w:highlight w:val="none"/>
          <w:u w:val="single"/>
        </w:rPr>
        <w:t xml:space="preserve">    </w:t>
      </w:r>
    </w:p>
    <w:p w14:paraId="5743BC96">
      <w:pPr>
        <w:spacing w:line="520" w:lineRule="exact"/>
        <w:ind w:left="540" w:firstLine="240" w:firstLineChars="100"/>
        <w:rPr>
          <w:color w:val="auto"/>
          <w:sz w:val="24"/>
          <w:highlight w:val="none"/>
        </w:rPr>
      </w:pPr>
      <w:r>
        <w:rPr>
          <w:color w:val="auto"/>
          <w:sz w:val="24"/>
          <w:highlight w:val="none"/>
        </w:rPr>
        <w:t>身份证号码：</w:t>
      </w:r>
      <w:r>
        <w:rPr>
          <w:color w:val="auto"/>
          <w:sz w:val="24"/>
          <w:highlight w:val="none"/>
          <w:u w:val="single"/>
        </w:rPr>
        <w:tab/>
      </w:r>
      <w:r>
        <w:rPr>
          <w:color w:val="auto"/>
          <w:sz w:val="24"/>
          <w:highlight w:val="none"/>
          <w:u w:val="single"/>
        </w:rPr>
        <w:t xml:space="preserve">                                                </w:t>
      </w:r>
    </w:p>
    <w:p w14:paraId="600369FF">
      <w:pPr>
        <w:pStyle w:val="18"/>
        <w:rPr>
          <w:rFonts w:ascii="Times New Roman" w:hAnsi="Times New Roman"/>
          <w:color w:val="auto"/>
          <w:highlight w:val="none"/>
        </w:rPr>
      </w:pPr>
    </w:p>
    <w:p w14:paraId="4CBF8609">
      <w:pPr>
        <w:tabs>
          <w:tab w:val="left" w:pos="2880"/>
        </w:tabs>
        <w:spacing w:line="360" w:lineRule="auto"/>
        <w:ind w:left="744" w:leftChars="342" w:hanging="26" w:hangingChars="11"/>
        <w:rPr>
          <w:color w:val="auto"/>
          <w:sz w:val="24"/>
          <w:highlight w:val="none"/>
        </w:rPr>
      </w:pPr>
      <w:r>
        <w:rPr>
          <w:color w:val="auto"/>
          <w:sz w:val="24"/>
          <w:highlight w:val="none"/>
        </w:rPr>
        <w:t>系</w:t>
      </w:r>
      <w:r>
        <w:rPr>
          <w:color w:val="auto"/>
          <w:sz w:val="24"/>
          <w:highlight w:val="none"/>
          <w:u w:val="single"/>
        </w:rPr>
        <w:t xml:space="preserve">     （磋商供应商单位名称）</w:t>
      </w:r>
      <w:r>
        <w:rPr>
          <w:color w:val="auto"/>
          <w:sz w:val="24"/>
          <w:highlight w:val="none"/>
        </w:rPr>
        <w:t>的法定代表人。</w:t>
      </w:r>
    </w:p>
    <w:p w14:paraId="3BE45836">
      <w:pPr>
        <w:tabs>
          <w:tab w:val="left" w:pos="2880"/>
        </w:tabs>
        <w:spacing w:line="360" w:lineRule="auto"/>
        <w:ind w:firstLine="610"/>
        <w:rPr>
          <w:color w:val="auto"/>
          <w:sz w:val="24"/>
          <w:highlight w:val="none"/>
        </w:rPr>
      </w:pPr>
    </w:p>
    <w:p w14:paraId="024488D6">
      <w:pPr>
        <w:tabs>
          <w:tab w:val="left" w:pos="2880"/>
        </w:tabs>
        <w:spacing w:line="360" w:lineRule="auto"/>
        <w:ind w:firstLine="610"/>
        <w:rPr>
          <w:color w:val="auto"/>
          <w:sz w:val="24"/>
          <w:highlight w:val="none"/>
        </w:rPr>
      </w:pPr>
      <w:r>
        <w:rPr>
          <w:color w:val="auto"/>
          <w:sz w:val="24"/>
          <w:highlight w:val="none"/>
        </w:rPr>
        <w:t>特此证明。</w:t>
      </w:r>
    </w:p>
    <w:p w14:paraId="45EBE288">
      <w:pPr>
        <w:tabs>
          <w:tab w:val="left" w:pos="720"/>
          <w:tab w:val="left" w:pos="900"/>
          <w:tab w:val="left" w:pos="2880"/>
        </w:tabs>
        <w:spacing w:line="360" w:lineRule="auto"/>
        <w:ind w:firstLine="480" w:firstLineChars="200"/>
        <w:rPr>
          <w:color w:val="auto"/>
          <w:sz w:val="24"/>
          <w:highlight w:val="none"/>
        </w:rPr>
      </w:pPr>
    </w:p>
    <w:p w14:paraId="1C01584D">
      <w:pPr>
        <w:tabs>
          <w:tab w:val="left" w:pos="720"/>
          <w:tab w:val="left" w:pos="900"/>
          <w:tab w:val="left" w:pos="2880"/>
        </w:tabs>
        <w:spacing w:line="360" w:lineRule="auto"/>
        <w:ind w:firstLine="4560" w:firstLineChars="1900"/>
        <w:rPr>
          <w:color w:val="auto"/>
          <w:sz w:val="24"/>
          <w:highlight w:val="none"/>
        </w:rPr>
      </w:pPr>
    </w:p>
    <w:p w14:paraId="41F06808">
      <w:pPr>
        <w:tabs>
          <w:tab w:val="left" w:pos="720"/>
          <w:tab w:val="left" w:pos="900"/>
          <w:tab w:val="left" w:pos="2880"/>
        </w:tabs>
        <w:wordWrap w:val="0"/>
        <w:spacing w:line="360" w:lineRule="auto"/>
        <w:jc w:val="right"/>
        <w:rPr>
          <w:color w:val="auto"/>
          <w:sz w:val="24"/>
          <w:highlight w:val="none"/>
          <w:u w:val="single"/>
        </w:rPr>
      </w:pPr>
      <w:r>
        <w:rPr>
          <w:color w:val="auto"/>
          <w:sz w:val="24"/>
          <w:highlight w:val="none"/>
        </w:rPr>
        <w:t>磋商供应商：</w:t>
      </w:r>
      <w:r>
        <w:rPr>
          <w:color w:val="auto"/>
          <w:sz w:val="24"/>
          <w:highlight w:val="none"/>
          <w:u w:val="single"/>
        </w:rPr>
        <w:t xml:space="preserve">             （电子签章） </w:t>
      </w:r>
    </w:p>
    <w:p w14:paraId="5607EDE6">
      <w:pPr>
        <w:pStyle w:val="18"/>
        <w:rPr>
          <w:rFonts w:ascii="Times New Roman" w:hAnsi="Times New Roman"/>
          <w:color w:val="auto"/>
          <w:highlight w:val="none"/>
        </w:rPr>
      </w:pPr>
    </w:p>
    <w:p w14:paraId="3748322A">
      <w:pPr>
        <w:pStyle w:val="18"/>
        <w:jc w:val="right"/>
        <w:rPr>
          <w:rFonts w:ascii="Times New Roman" w:hAnsi="Times New Roman"/>
          <w:color w:val="auto"/>
          <w:sz w:val="24"/>
          <w:szCs w:val="24"/>
          <w:highlight w:val="none"/>
        </w:rPr>
      </w:pPr>
      <w:r>
        <w:rPr>
          <w:rFonts w:ascii="Times New Roman" w:hAnsi="Times New Roman"/>
          <w:color w:val="auto"/>
          <w:sz w:val="24"/>
          <w:szCs w:val="24"/>
          <w:highlight w:val="none"/>
        </w:rPr>
        <w:t>日    期：</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月</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日</w:t>
      </w:r>
    </w:p>
    <w:p w14:paraId="1E9331D1">
      <w:pPr>
        <w:pStyle w:val="34"/>
        <w:rPr>
          <w:rFonts w:ascii="Times New Roman"/>
          <w:color w:val="auto"/>
          <w:highlight w:val="none"/>
        </w:rPr>
      </w:pPr>
    </w:p>
    <w:p w14:paraId="617CDE8B">
      <w:pPr>
        <w:spacing w:line="360" w:lineRule="auto"/>
        <w:ind w:firstLine="360" w:firstLineChars="150"/>
        <w:rPr>
          <w:color w:val="auto"/>
          <w:sz w:val="28"/>
          <w:szCs w:val="28"/>
          <w:highlight w:val="none"/>
        </w:rPr>
      </w:pPr>
      <w:r>
        <w:rPr>
          <w:bCs/>
          <w:color w:val="auto"/>
          <w:sz w:val="24"/>
          <w:highlight w:val="none"/>
        </w:rPr>
        <w:t>附：法定代表人身份证正反面复印件</w:t>
      </w:r>
    </w:p>
    <w:p w14:paraId="3313EA6D">
      <w:pPr>
        <w:spacing w:line="360" w:lineRule="auto"/>
        <w:rPr>
          <w:color w:val="auto"/>
          <w:sz w:val="28"/>
          <w:szCs w:val="28"/>
          <w:highlight w:val="none"/>
        </w:rPr>
      </w:pPr>
    </w:p>
    <w:p w14:paraId="28E537E8">
      <w:pPr>
        <w:spacing w:line="360" w:lineRule="auto"/>
        <w:ind w:firstLine="560" w:firstLineChars="200"/>
        <w:rPr>
          <w:color w:val="auto"/>
          <w:sz w:val="28"/>
          <w:szCs w:val="28"/>
          <w:highlight w:val="none"/>
        </w:rPr>
      </w:pPr>
    </w:p>
    <w:p w14:paraId="1244A55D">
      <w:pPr>
        <w:adjustRightInd w:val="0"/>
        <w:snapToGrid w:val="0"/>
        <w:spacing w:line="300" w:lineRule="auto"/>
        <w:jc w:val="center"/>
        <w:rPr>
          <w:b/>
          <w:color w:val="auto"/>
          <w:sz w:val="36"/>
          <w:szCs w:val="36"/>
          <w:highlight w:val="none"/>
        </w:rPr>
      </w:pPr>
    </w:p>
    <w:p w14:paraId="6009011E">
      <w:pPr>
        <w:adjustRightInd w:val="0"/>
        <w:snapToGrid w:val="0"/>
        <w:spacing w:line="300" w:lineRule="auto"/>
        <w:jc w:val="center"/>
        <w:rPr>
          <w:b/>
          <w:color w:val="auto"/>
          <w:sz w:val="36"/>
          <w:szCs w:val="36"/>
          <w:highlight w:val="none"/>
        </w:rPr>
      </w:pPr>
    </w:p>
    <w:p w14:paraId="4A2B94F9">
      <w:pPr>
        <w:adjustRightInd w:val="0"/>
        <w:snapToGrid w:val="0"/>
        <w:spacing w:line="300" w:lineRule="auto"/>
        <w:jc w:val="center"/>
        <w:rPr>
          <w:b/>
          <w:color w:val="auto"/>
          <w:sz w:val="36"/>
          <w:szCs w:val="36"/>
          <w:highlight w:val="none"/>
        </w:rPr>
      </w:pPr>
    </w:p>
    <w:p w14:paraId="4BB0CD33">
      <w:pPr>
        <w:adjustRightInd w:val="0"/>
        <w:snapToGrid w:val="0"/>
        <w:spacing w:line="300" w:lineRule="auto"/>
        <w:rPr>
          <w:b/>
          <w:color w:val="auto"/>
          <w:sz w:val="36"/>
          <w:szCs w:val="36"/>
          <w:highlight w:val="none"/>
        </w:rPr>
      </w:pPr>
    </w:p>
    <w:p w14:paraId="2520708A">
      <w:pPr>
        <w:adjustRightInd w:val="0"/>
        <w:snapToGrid w:val="0"/>
        <w:spacing w:line="300" w:lineRule="auto"/>
        <w:jc w:val="center"/>
        <w:rPr>
          <w:b/>
          <w:color w:val="auto"/>
          <w:sz w:val="36"/>
          <w:szCs w:val="36"/>
          <w:highlight w:val="none"/>
        </w:rPr>
      </w:pPr>
      <w:r>
        <w:rPr>
          <w:b/>
          <w:color w:val="auto"/>
          <w:sz w:val="36"/>
          <w:szCs w:val="36"/>
          <w:highlight w:val="none"/>
        </w:rPr>
        <w:br w:type="page"/>
      </w:r>
    </w:p>
    <w:p w14:paraId="420B895B">
      <w:pPr>
        <w:adjustRightInd w:val="0"/>
        <w:snapToGrid w:val="0"/>
        <w:spacing w:line="300" w:lineRule="auto"/>
        <w:jc w:val="center"/>
        <w:rPr>
          <w:b/>
          <w:color w:val="auto"/>
          <w:sz w:val="36"/>
          <w:szCs w:val="36"/>
          <w:highlight w:val="none"/>
        </w:rPr>
      </w:pPr>
    </w:p>
    <w:p w14:paraId="334E3946">
      <w:pPr>
        <w:pStyle w:val="4"/>
        <w:rPr>
          <w:color w:val="auto"/>
          <w:highlight w:val="none"/>
        </w:rPr>
      </w:pPr>
      <w:r>
        <w:rPr>
          <w:color w:val="auto"/>
          <w:highlight w:val="none"/>
        </w:rPr>
        <w:t>法定代表人授权委托书（格式）</w:t>
      </w:r>
    </w:p>
    <w:p w14:paraId="636713AA">
      <w:pPr>
        <w:adjustRightInd w:val="0"/>
        <w:snapToGrid w:val="0"/>
        <w:spacing w:line="520" w:lineRule="exact"/>
        <w:rPr>
          <w:color w:val="auto"/>
          <w:sz w:val="24"/>
          <w:highlight w:val="none"/>
        </w:rPr>
      </w:pPr>
    </w:p>
    <w:p w14:paraId="14E0C79E">
      <w:pPr>
        <w:spacing w:line="520" w:lineRule="exact"/>
        <w:rPr>
          <w:color w:val="auto"/>
          <w:sz w:val="24"/>
          <w:highlight w:val="none"/>
        </w:rPr>
      </w:pPr>
      <w:r>
        <w:rPr>
          <w:rFonts w:hint="eastAsia"/>
          <w:color w:val="auto"/>
          <w:sz w:val="24"/>
          <w:highlight w:val="none"/>
          <w:lang w:eastAsia="zh-CN"/>
        </w:rPr>
        <w:t>广西创佳项目管理有限公司</w:t>
      </w:r>
      <w:r>
        <w:rPr>
          <w:color w:val="auto"/>
          <w:sz w:val="24"/>
          <w:highlight w:val="none"/>
        </w:rPr>
        <w:t>：</w:t>
      </w:r>
    </w:p>
    <w:p w14:paraId="7347ED6C">
      <w:pPr>
        <w:spacing w:line="520" w:lineRule="exact"/>
        <w:ind w:firstLine="480" w:firstLineChars="200"/>
        <w:rPr>
          <w:color w:val="auto"/>
          <w:sz w:val="24"/>
          <w:highlight w:val="none"/>
        </w:rPr>
      </w:pPr>
      <w:r>
        <w:rPr>
          <w:color w:val="auto"/>
          <w:sz w:val="24"/>
          <w:highlight w:val="none"/>
        </w:rPr>
        <w:t>兹授权</w:t>
      </w:r>
      <w:r>
        <w:rPr>
          <w:color w:val="auto"/>
          <w:sz w:val="24"/>
          <w:highlight w:val="none"/>
          <w:u w:val="single"/>
        </w:rPr>
        <w:t xml:space="preserve">        </w:t>
      </w:r>
      <w:r>
        <w:rPr>
          <w:color w:val="auto"/>
          <w:sz w:val="24"/>
          <w:highlight w:val="none"/>
        </w:rPr>
        <w:t>同志为我公司参加贵单位组织的</w:t>
      </w:r>
      <w:r>
        <w:rPr>
          <w:color w:val="auto"/>
          <w:sz w:val="24"/>
          <w:highlight w:val="none"/>
          <w:u w:val="single"/>
        </w:rPr>
        <w:t xml:space="preserve">                  </w:t>
      </w:r>
      <w:r>
        <w:rPr>
          <w:color w:val="auto"/>
          <w:sz w:val="24"/>
          <w:highlight w:val="none"/>
        </w:rPr>
        <w:t>政府采购活动的磋商代表人，全权代表我公司处理在该项目活动中的一切事宜。代理期限从</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日起至</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 xml:space="preserve">日止。 </w:t>
      </w:r>
    </w:p>
    <w:p w14:paraId="3EB9E0A9">
      <w:pPr>
        <w:spacing w:line="520" w:lineRule="exact"/>
        <w:rPr>
          <w:color w:val="auto"/>
          <w:sz w:val="24"/>
          <w:highlight w:val="none"/>
        </w:rPr>
      </w:pPr>
    </w:p>
    <w:p w14:paraId="099E8E94">
      <w:pPr>
        <w:spacing w:line="520" w:lineRule="exact"/>
        <w:ind w:left="475" w:leftChars="226"/>
        <w:rPr>
          <w:color w:val="auto"/>
          <w:sz w:val="24"/>
          <w:highlight w:val="none"/>
        </w:rPr>
      </w:pPr>
      <w:r>
        <w:rPr>
          <w:color w:val="auto"/>
          <w:sz w:val="24"/>
          <w:highlight w:val="none"/>
        </w:rPr>
        <w:t>授权单位（</w:t>
      </w:r>
      <w:r>
        <w:rPr>
          <w:rFonts w:hint="eastAsia"/>
          <w:color w:val="auto"/>
          <w:sz w:val="24"/>
          <w:highlight w:val="none"/>
        </w:rPr>
        <w:t>电子签</w:t>
      </w:r>
      <w:r>
        <w:rPr>
          <w:color w:val="auto"/>
          <w:sz w:val="24"/>
          <w:highlight w:val="none"/>
        </w:rPr>
        <w:t>章）：</w:t>
      </w:r>
      <w:r>
        <w:rPr>
          <w:color w:val="auto"/>
          <w:sz w:val="24"/>
          <w:highlight w:val="none"/>
          <w:u w:val="single"/>
        </w:rPr>
        <w:t xml:space="preserve">                       </w:t>
      </w:r>
    </w:p>
    <w:p w14:paraId="62F26FBF">
      <w:pPr>
        <w:spacing w:line="520" w:lineRule="exact"/>
        <w:ind w:left="475" w:leftChars="226"/>
        <w:rPr>
          <w:color w:val="auto"/>
          <w:sz w:val="24"/>
          <w:highlight w:val="none"/>
        </w:rPr>
      </w:pPr>
      <w:r>
        <w:rPr>
          <w:color w:val="auto"/>
          <w:sz w:val="24"/>
          <w:highlight w:val="none"/>
        </w:rPr>
        <w:t>法定代表人（</w:t>
      </w:r>
      <w:r>
        <w:rPr>
          <w:rFonts w:hint="eastAsia"/>
          <w:color w:val="auto"/>
          <w:sz w:val="24"/>
          <w:highlight w:val="none"/>
          <w:lang w:eastAsia="zh-CN"/>
        </w:rPr>
        <w:t>签字或电子签名</w:t>
      </w:r>
      <w:r>
        <w:rPr>
          <w:color w:val="auto"/>
          <w:sz w:val="24"/>
          <w:highlight w:val="none"/>
        </w:rPr>
        <w:t>）：</w:t>
      </w:r>
      <w:r>
        <w:rPr>
          <w:color w:val="auto"/>
          <w:sz w:val="24"/>
          <w:highlight w:val="none"/>
          <w:u w:val="single"/>
        </w:rPr>
        <w:t xml:space="preserve">                    </w:t>
      </w:r>
    </w:p>
    <w:p w14:paraId="679099EF">
      <w:pPr>
        <w:spacing w:line="520" w:lineRule="exact"/>
        <w:ind w:left="475" w:leftChars="226"/>
        <w:rPr>
          <w:color w:val="auto"/>
          <w:sz w:val="24"/>
          <w:highlight w:val="none"/>
        </w:rPr>
      </w:pPr>
      <w:r>
        <w:rPr>
          <w:color w:val="auto"/>
          <w:sz w:val="24"/>
          <w:highlight w:val="none"/>
        </w:rPr>
        <w:t>签发日期：</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4C6E56BB">
      <w:pPr>
        <w:spacing w:line="520" w:lineRule="exact"/>
        <w:rPr>
          <w:color w:val="auto"/>
          <w:sz w:val="24"/>
          <w:highlight w:val="none"/>
        </w:rPr>
      </w:pPr>
    </w:p>
    <w:p w14:paraId="2FDEEDD7">
      <w:pPr>
        <w:spacing w:line="520" w:lineRule="exact"/>
        <w:rPr>
          <w:color w:val="auto"/>
          <w:sz w:val="24"/>
          <w:highlight w:val="none"/>
        </w:rPr>
      </w:pPr>
      <w:r>
        <w:rPr>
          <w:color w:val="auto"/>
          <w:sz w:val="24"/>
          <w:highlight w:val="none"/>
        </w:rPr>
        <w:t>附：代理人工作单位：</w:t>
      </w:r>
      <w:r>
        <w:rPr>
          <w:color w:val="auto"/>
          <w:sz w:val="24"/>
          <w:highlight w:val="none"/>
          <w:u w:val="single"/>
        </w:rPr>
        <w:t xml:space="preserve">                       </w:t>
      </w:r>
    </w:p>
    <w:p w14:paraId="0E9C4A67">
      <w:pPr>
        <w:spacing w:line="520" w:lineRule="exact"/>
        <w:ind w:firstLine="480" w:firstLineChars="200"/>
        <w:rPr>
          <w:color w:val="auto"/>
          <w:sz w:val="24"/>
          <w:highlight w:val="none"/>
        </w:rPr>
      </w:pPr>
      <w:r>
        <w:rPr>
          <w:color w:val="auto"/>
          <w:sz w:val="24"/>
          <w:highlight w:val="none"/>
        </w:rPr>
        <w:t>职务：</w:t>
      </w:r>
      <w:r>
        <w:rPr>
          <w:color w:val="auto"/>
          <w:sz w:val="24"/>
          <w:highlight w:val="none"/>
          <w:u w:val="single"/>
        </w:rPr>
        <w:t xml:space="preserve">                    </w:t>
      </w:r>
      <w:r>
        <w:rPr>
          <w:color w:val="auto"/>
          <w:sz w:val="24"/>
          <w:highlight w:val="none"/>
        </w:rPr>
        <w:t xml:space="preserve">      性别：</w:t>
      </w:r>
      <w:r>
        <w:rPr>
          <w:color w:val="auto"/>
          <w:sz w:val="24"/>
          <w:highlight w:val="none"/>
          <w:u w:val="single"/>
        </w:rPr>
        <w:t xml:space="preserve">     </w:t>
      </w:r>
    </w:p>
    <w:p w14:paraId="7B88165C">
      <w:pPr>
        <w:adjustRightInd w:val="0"/>
        <w:snapToGrid w:val="0"/>
        <w:spacing w:line="520" w:lineRule="exact"/>
        <w:ind w:firstLine="480" w:firstLineChars="200"/>
        <w:rPr>
          <w:color w:val="auto"/>
          <w:szCs w:val="21"/>
          <w:highlight w:val="none"/>
          <w:u w:val="single"/>
        </w:rPr>
      </w:pPr>
      <w:r>
        <w:rPr>
          <w:color w:val="auto"/>
          <w:sz w:val="24"/>
          <w:highlight w:val="none"/>
        </w:rPr>
        <w:t>身份证号码：</w:t>
      </w:r>
      <w:r>
        <w:rPr>
          <w:color w:val="auto"/>
          <w:szCs w:val="21"/>
          <w:highlight w:val="none"/>
          <w:u w:val="single"/>
        </w:rPr>
        <w:t xml:space="preserve">                               </w:t>
      </w:r>
    </w:p>
    <w:p w14:paraId="5B454E15">
      <w:pPr>
        <w:adjustRightInd w:val="0"/>
        <w:snapToGrid w:val="0"/>
        <w:spacing w:line="520" w:lineRule="exact"/>
        <w:ind w:firstLine="420" w:firstLineChars="200"/>
        <w:rPr>
          <w:color w:val="auto"/>
          <w:szCs w:val="21"/>
          <w:highlight w:val="none"/>
          <w:u w:val="single"/>
        </w:rPr>
      </w:pPr>
    </w:p>
    <w:tbl>
      <w:tblPr>
        <w:tblStyle w:val="27"/>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6597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8861" w:type="dxa"/>
          </w:tcPr>
          <w:p w14:paraId="7DE62AB0">
            <w:pPr>
              <w:spacing w:line="300" w:lineRule="auto"/>
              <w:rPr>
                <w:color w:val="auto"/>
                <w:szCs w:val="21"/>
                <w:highlight w:val="none"/>
              </w:rPr>
            </w:pPr>
            <w:r>
              <w:rPr>
                <w:color w:val="auto"/>
                <w:sz w:val="22"/>
                <w:szCs w:val="22"/>
                <w:highlight w:val="none"/>
              </w:rPr>
              <w:t>粘贴法定代表人及被授权人身份证（复印件，可另页）</w:t>
            </w:r>
          </w:p>
        </w:tc>
      </w:tr>
    </w:tbl>
    <w:p w14:paraId="20B36EC4">
      <w:pPr>
        <w:spacing w:line="600" w:lineRule="exact"/>
        <w:rPr>
          <w:color w:val="auto"/>
          <w:sz w:val="28"/>
          <w:szCs w:val="28"/>
          <w:highlight w:val="none"/>
        </w:rPr>
      </w:pPr>
    </w:p>
    <w:p w14:paraId="64BFE605">
      <w:pPr>
        <w:pStyle w:val="4"/>
        <w:rPr>
          <w:color w:val="auto"/>
          <w:highlight w:val="none"/>
        </w:rPr>
      </w:pPr>
      <w:r>
        <w:rPr>
          <w:rFonts w:hint="eastAsia"/>
          <w:color w:val="auto"/>
          <w:highlight w:val="none"/>
        </w:rPr>
        <w:br w:type="page"/>
      </w:r>
      <w:r>
        <w:rPr>
          <w:rFonts w:hint="eastAsia"/>
          <w:color w:val="auto"/>
          <w:highlight w:val="none"/>
          <w:lang w:val="en-US" w:eastAsia="zh-CN"/>
        </w:rPr>
        <w:t>桂平</w:t>
      </w:r>
      <w:r>
        <w:rPr>
          <w:rFonts w:hint="eastAsia"/>
          <w:color w:val="auto"/>
          <w:highlight w:val="none"/>
        </w:rPr>
        <w:t>市政府采购项目投标资格承诺函</w:t>
      </w:r>
      <w:r>
        <w:rPr>
          <w:color w:val="auto"/>
          <w:highlight w:val="none"/>
        </w:rPr>
        <w:t>（格式）</w:t>
      </w:r>
    </w:p>
    <w:p w14:paraId="70351A9C">
      <w:pPr>
        <w:spacing w:line="600" w:lineRule="exact"/>
        <w:ind w:firstLine="480" w:firstLineChars="200"/>
        <w:jc w:val="left"/>
        <w:rPr>
          <w:color w:val="auto"/>
          <w:sz w:val="24"/>
          <w:highlight w:val="none"/>
        </w:rPr>
      </w:pPr>
      <w:r>
        <w:rPr>
          <w:color w:val="auto"/>
          <w:sz w:val="24"/>
          <w:highlight w:val="none"/>
        </w:rPr>
        <w:t>本公司郑重承诺，根据《中华人民共和国政府采购法》第二十二条的规定，本公司为参加政府采购活动的合格供应商。即本公司同时满足以下条件：</w:t>
      </w:r>
    </w:p>
    <w:p w14:paraId="4C7CAD9F">
      <w:pPr>
        <w:spacing w:line="600" w:lineRule="exact"/>
        <w:ind w:firstLine="480" w:firstLineChars="200"/>
        <w:jc w:val="left"/>
        <w:rPr>
          <w:color w:val="auto"/>
          <w:sz w:val="24"/>
          <w:highlight w:val="none"/>
        </w:rPr>
      </w:pPr>
      <w:r>
        <w:rPr>
          <w:color w:val="auto"/>
          <w:sz w:val="24"/>
          <w:highlight w:val="none"/>
        </w:rPr>
        <w:t>1.具有独立承担民事责任的能力。</w:t>
      </w:r>
    </w:p>
    <w:p w14:paraId="225CAB95">
      <w:pPr>
        <w:spacing w:line="600" w:lineRule="exact"/>
        <w:ind w:firstLine="480" w:firstLineChars="200"/>
        <w:jc w:val="left"/>
        <w:rPr>
          <w:color w:val="auto"/>
          <w:sz w:val="24"/>
          <w:highlight w:val="none"/>
        </w:rPr>
      </w:pPr>
      <w:r>
        <w:rPr>
          <w:color w:val="auto"/>
          <w:sz w:val="24"/>
          <w:highlight w:val="none"/>
        </w:rPr>
        <w:t>2.具有良好的商业信誉和健全的财务会计制度。</w:t>
      </w:r>
    </w:p>
    <w:p w14:paraId="12ACD120">
      <w:pPr>
        <w:spacing w:line="600" w:lineRule="exact"/>
        <w:ind w:firstLine="480" w:firstLineChars="200"/>
        <w:jc w:val="left"/>
        <w:rPr>
          <w:color w:val="auto"/>
          <w:sz w:val="24"/>
          <w:highlight w:val="none"/>
        </w:rPr>
      </w:pPr>
      <w:r>
        <w:rPr>
          <w:color w:val="auto"/>
          <w:sz w:val="24"/>
          <w:highlight w:val="none"/>
        </w:rPr>
        <w:t>3.具有履行合同所必需的设备和专业技术能力。</w:t>
      </w:r>
    </w:p>
    <w:p w14:paraId="0792B21F">
      <w:pPr>
        <w:spacing w:line="600" w:lineRule="exact"/>
        <w:ind w:firstLine="480" w:firstLineChars="200"/>
        <w:jc w:val="left"/>
        <w:rPr>
          <w:color w:val="auto"/>
          <w:sz w:val="24"/>
          <w:highlight w:val="none"/>
        </w:rPr>
      </w:pPr>
      <w:r>
        <w:rPr>
          <w:color w:val="auto"/>
          <w:sz w:val="24"/>
          <w:highlight w:val="none"/>
        </w:rPr>
        <w:t>4.有依法缴纳税收和社会保障资金的良好记录。</w:t>
      </w:r>
    </w:p>
    <w:p w14:paraId="159A8ECA">
      <w:pPr>
        <w:spacing w:line="600" w:lineRule="exact"/>
        <w:ind w:firstLine="480" w:firstLineChars="200"/>
        <w:jc w:val="left"/>
        <w:rPr>
          <w:color w:val="auto"/>
          <w:sz w:val="24"/>
          <w:highlight w:val="none"/>
        </w:rPr>
      </w:pPr>
      <w:r>
        <w:rPr>
          <w:color w:val="auto"/>
          <w:sz w:val="24"/>
          <w:highlight w:val="none"/>
        </w:rPr>
        <w:t>5.提交投标文件截止日期前三年内，在经营活动中没有重大违法记录。</w:t>
      </w:r>
    </w:p>
    <w:p w14:paraId="07E6E6B8">
      <w:pPr>
        <w:spacing w:line="600" w:lineRule="exact"/>
        <w:ind w:firstLine="480" w:firstLineChars="200"/>
        <w:jc w:val="left"/>
        <w:rPr>
          <w:color w:val="auto"/>
          <w:sz w:val="24"/>
          <w:highlight w:val="none"/>
        </w:rPr>
      </w:pPr>
      <w:r>
        <w:rPr>
          <w:color w:val="auto"/>
          <w:sz w:val="24"/>
          <w:highlight w:val="none"/>
        </w:rPr>
        <w:t>本公司对上述承诺的真实性负责，并接受政府采购、税务、社会保障等监督管理部门、采购文件规定的资格审查机构、社会公众的监督和检查。如有虚假，将依法承担相应责任。</w:t>
      </w:r>
    </w:p>
    <w:p w14:paraId="15DCB2A9">
      <w:pPr>
        <w:spacing w:line="600" w:lineRule="exact"/>
        <w:ind w:firstLine="480" w:firstLineChars="200"/>
        <w:jc w:val="left"/>
        <w:rPr>
          <w:color w:val="auto"/>
          <w:sz w:val="24"/>
          <w:highlight w:val="none"/>
        </w:rPr>
      </w:pPr>
    </w:p>
    <w:p w14:paraId="075F7B7D">
      <w:pPr>
        <w:snapToGrid w:val="0"/>
        <w:jc w:val="left"/>
        <w:rPr>
          <w:color w:val="auto"/>
          <w:kern w:val="0"/>
          <w:sz w:val="24"/>
          <w:highlight w:val="none"/>
        </w:rPr>
      </w:pPr>
    </w:p>
    <w:p w14:paraId="14122C3B">
      <w:pPr>
        <w:spacing w:line="600" w:lineRule="exact"/>
        <w:ind w:left="479" w:leftChars="228"/>
        <w:jc w:val="left"/>
        <w:rPr>
          <w:color w:val="auto"/>
          <w:sz w:val="24"/>
          <w:highlight w:val="none"/>
        </w:rPr>
      </w:pPr>
      <w:r>
        <w:rPr>
          <w:color w:val="auto"/>
          <w:sz w:val="24"/>
          <w:highlight w:val="none"/>
        </w:rPr>
        <w:t>企业名称（</w:t>
      </w:r>
      <w:r>
        <w:rPr>
          <w:rFonts w:hint="eastAsia"/>
          <w:color w:val="auto"/>
          <w:sz w:val="24"/>
          <w:highlight w:val="none"/>
        </w:rPr>
        <w:t>电子签</w:t>
      </w:r>
      <w:r>
        <w:rPr>
          <w:color w:val="auto"/>
          <w:sz w:val="24"/>
          <w:highlight w:val="none"/>
        </w:rPr>
        <w:t xml:space="preserve">章）： </w:t>
      </w:r>
    </w:p>
    <w:p w14:paraId="69B86E96">
      <w:pPr>
        <w:spacing w:line="600" w:lineRule="exact"/>
        <w:ind w:left="479" w:leftChars="228"/>
        <w:jc w:val="left"/>
        <w:rPr>
          <w:color w:val="auto"/>
          <w:sz w:val="24"/>
          <w:highlight w:val="none"/>
        </w:rPr>
      </w:pPr>
      <w:r>
        <w:rPr>
          <w:color w:val="auto"/>
          <w:sz w:val="24"/>
          <w:highlight w:val="none"/>
        </w:rPr>
        <w:t>法定代表人（</w:t>
      </w:r>
      <w:r>
        <w:rPr>
          <w:rFonts w:hint="eastAsia"/>
          <w:color w:val="auto"/>
          <w:sz w:val="24"/>
          <w:highlight w:val="none"/>
          <w:lang w:eastAsia="zh-CN"/>
        </w:rPr>
        <w:t>签字或电子签名</w:t>
      </w:r>
      <w:r>
        <w:rPr>
          <w:color w:val="auto"/>
          <w:sz w:val="24"/>
          <w:highlight w:val="none"/>
        </w:rPr>
        <w:t>）：</w:t>
      </w:r>
    </w:p>
    <w:p w14:paraId="431A2C80">
      <w:pPr>
        <w:spacing w:line="600" w:lineRule="exact"/>
        <w:ind w:firstLine="480" w:firstLineChars="200"/>
        <w:jc w:val="left"/>
        <w:rPr>
          <w:color w:val="auto"/>
          <w:sz w:val="24"/>
          <w:highlight w:val="none"/>
        </w:rPr>
      </w:pPr>
      <w:r>
        <w:rPr>
          <w:color w:val="auto"/>
          <w:sz w:val="24"/>
          <w:highlight w:val="none"/>
        </w:rPr>
        <w:t xml:space="preserve">日期： </w:t>
      </w:r>
      <w:r>
        <w:rPr>
          <w:rFonts w:hint="eastAsia"/>
          <w:color w:val="auto"/>
          <w:sz w:val="24"/>
          <w:highlight w:val="none"/>
        </w:rPr>
        <w:t xml:space="preserve">  </w:t>
      </w:r>
      <w:r>
        <w:rPr>
          <w:color w:val="auto"/>
          <w:sz w:val="24"/>
          <w:highlight w:val="none"/>
        </w:rPr>
        <w:t xml:space="preserve">年 </w:t>
      </w:r>
      <w:r>
        <w:rPr>
          <w:rFonts w:hint="eastAsia"/>
          <w:color w:val="auto"/>
          <w:sz w:val="24"/>
          <w:highlight w:val="none"/>
        </w:rPr>
        <w:t xml:space="preserve">  </w:t>
      </w:r>
      <w:r>
        <w:rPr>
          <w:color w:val="auto"/>
          <w:sz w:val="24"/>
          <w:highlight w:val="none"/>
        </w:rPr>
        <w:t xml:space="preserve">月 </w:t>
      </w:r>
      <w:r>
        <w:rPr>
          <w:rFonts w:hint="eastAsia"/>
          <w:color w:val="auto"/>
          <w:sz w:val="24"/>
          <w:highlight w:val="none"/>
        </w:rPr>
        <w:t xml:space="preserve">  </w:t>
      </w:r>
      <w:r>
        <w:rPr>
          <w:color w:val="auto"/>
          <w:sz w:val="24"/>
          <w:highlight w:val="none"/>
        </w:rPr>
        <w:t>日</w:t>
      </w:r>
    </w:p>
    <w:p w14:paraId="2E5EF0FB">
      <w:pPr>
        <w:pStyle w:val="18"/>
        <w:ind w:firstLine="560" w:firstLineChars="200"/>
        <w:rPr>
          <w:rFonts w:ascii="Times New Roman" w:hAnsi="Times New Roman"/>
          <w:color w:val="auto"/>
          <w:sz w:val="28"/>
          <w:szCs w:val="28"/>
          <w:highlight w:val="none"/>
        </w:rPr>
      </w:pPr>
    </w:p>
    <w:p w14:paraId="73594159">
      <w:pPr>
        <w:pStyle w:val="18"/>
        <w:rPr>
          <w:rFonts w:ascii="Times New Roman" w:hAnsi="Times New Roman"/>
          <w:color w:val="auto"/>
          <w:highlight w:val="none"/>
        </w:rPr>
      </w:pPr>
    </w:p>
    <w:p w14:paraId="428413F0">
      <w:pPr>
        <w:pStyle w:val="18"/>
        <w:rPr>
          <w:rFonts w:ascii="Times New Roman" w:hAnsi="Times New Roman"/>
          <w:color w:val="auto"/>
          <w:highlight w:val="none"/>
        </w:rPr>
      </w:pPr>
    </w:p>
    <w:p w14:paraId="494851A4">
      <w:pPr>
        <w:pStyle w:val="18"/>
        <w:ind w:firstLine="560" w:firstLineChars="200"/>
        <w:rPr>
          <w:rFonts w:ascii="Times New Roman" w:hAnsi="Times New Roman"/>
          <w:color w:val="auto"/>
          <w:sz w:val="28"/>
          <w:szCs w:val="28"/>
          <w:highlight w:val="none"/>
        </w:rPr>
      </w:pPr>
    </w:p>
    <w:p w14:paraId="2CF5EE55">
      <w:pPr>
        <w:pStyle w:val="18"/>
        <w:ind w:firstLine="560" w:firstLineChars="200"/>
        <w:rPr>
          <w:rFonts w:ascii="Times New Roman" w:hAnsi="Times New Roman"/>
          <w:color w:val="auto"/>
          <w:sz w:val="28"/>
          <w:szCs w:val="28"/>
          <w:highlight w:val="none"/>
        </w:rPr>
      </w:pPr>
    </w:p>
    <w:p w14:paraId="5134A6E0">
      <w:pPr>
        <w:pStyle w:val="18"/>
        <w:ind w:firstLine="560" w:firstLineChars="200"/>
        <w:rPr>
          <w:rFonts w:ascii="Times New Roman" w:hAnsi="Times New Roman"/>
          <w:color w:val="auto"/>
          <w:sz w:val="28"/>
          <w:szCs w:val="28"/>
          <w:highlight w:val="none"/>
        </w:rPr>
      </w:pPr>
    </w:p>
    <w:p w14:paraId="6483D6EB">
      <w:pPr>
        <w:pStyle w:val="18"/>
        <w:ind w:firstLine="560" w:firstLineChars="200"/>
        <w:rPr>
          <w:rFonts w:ascii="Times New Roman" w:hAnsi="Times New Roman"/>
          <w:color w:val="auto"/>
          <w:sz w:val="28"/>
          <w:szCs w:val="28"/>
          <w:highlight w:val="none"/>
        </w:rPr>
      </w:pPr>
    </w:p>
    <w:p w14:paraId="3ED8BE44">
      <w:pPr>
        <w:pStyle w:val="18"/>
        <w:ind w:firstLine="560" w:firstLineChars="200"/>
        <w:rPr>
          <w:rFonts w:ascii="Times New Roman" w:hAnsi="Times New Roman"/>
          <w:color w:val="auto"/>
          <w:sz w:val="28"/>
          <w:szCs w:val="28"/>
          <w:highlight w:val="none"/>
        </w:rPr>
      </w:pPr>
    </w:p>
    <w:p w14:paraId="179364E3">
      <w:pPr>
        <w:pStyle w:val="34"/>
        <w:rPr>
          <w:rFonts w:ascii="Times New Roman"/>
          <w:color w:val="auto"/>
          <w:sz w:val="28"/>
          <w:szCs w:val="28"/>
          <w:highlight w:val="none"/>
        </w:rPr>
      </w:pPr>
    </w:p>
    <w:p w14:paraId="1F5B1BFC">
      <w:pPr>
        <w:pStyle w:val="17"/>
        <w:rPr>
          <w:color w:val="auto"/>
          <w:sz w:val="28"/>
          <w:szCs w:val="28"/>
          <w:highlight w:val="none"/>
        </w:rPr>
      </w:pPr>
    </w:p>
    <w:p w14:paraId="7EA6B726">
      <w:pPr>
        <w:pStyle w:val="18"/>
        <w:ind w:firstLine="560" w:firstLineChars="200"/>
        <w:rPr>
          <w:rFonts w:ascii="Times New Roman" w:hAnsi="Times New Roman"/>
          <w:color w:val="auto"/>
          <w:sz w:val="28"/>
          <w:szCs w:val="28"/>
          <w:highlight w:val="none"/>
        </w:rPr>
      </w:pPr>
    </w:p>
    <w:p w14:paraId="7D8B663F">
      <w:pPr>
        <w:pStyle w:val="18"/>
        <w:jc w:val="center"/>
        <w:rPr>
          <w:rFonts w:ascii="Times New Roman" w:hAnsi="Times New Roman"/>
          <w:b/>
          <w:bCs/>
          <w:color w:val="auto"/>
          <w:sz w:val="28"/>
          <w:szCs w:val="28"/>
          <w:highlight w:val="none"/>
        </w:rPr>
      </w:pPr>
    </w:p>
    <w:p w14:paraId="13C20BF6">
      <w:pPr>
        <w:pStyle w:val="18"/>
        <w:jc w:val="center"/>
        <w:rPr>
          <w:rFonts w:ascii="Times New Roman" w:hAnsi="Times New Roman"/>
          <w:b/>
          <w:bCs/>
          <w:color w:val="auto"/>
          <w:sz w:val="28"/>
          <w:szCs w:val="28"/>
          <w:highlight w:val="none"/>
        </w:rPr>
      </w:pPr>
    </w:p>
    <w:p w14:paraId="27E67CDC">
      <w:pPr>
        <w:pStyle w:val="18"/>
        <w:jc w:val="center"/>
        <w:rPr>
          <w:rFonts w:ascii="Times New Roman" w:hAnsi="Times New Roman"/>
          <w:b/>
          <w:bCs/>
          <w:color w:val="auto"/>
          <w:sz w:val="28"/>
          <w:szCs w:val="28"/>
          <w:highlight w:val="none"/>
        </w:rPr>
      </w:pPr>
    </w:p>
    <w:p w14:paraId="413A838B">
      <w:pPr>
        <w:pStyle w:val="18"/>
        <w:jc w:val="center"/>
        <w:rPr>
          <w:rFonts w:ascii="Times New Roman" w:hAnsi="Times New Roman"/>
          <w:b/>
          <w:bCs/>
          <w:color w:val="auto"/>
          <w:sz w:val="28"/>
          <w:szCs w:val="28"/>
          <w:highlight w:val="none"/>
        </w:rPr>
      </w:pPr>
    </w:p>
    <w:p w14:paraId="2E3CDAE9">
      <w:pPr>
        <w:pStyle w:val="18"/>
        <w:jc w:val="center"/>
        <w:rPr>
          <w:rFonts w:ascii="Times New Roman" w:hAnsi="Times New Roman"/>
          <w:b/>
          <w:bCs/>
          <w:color w:val="auto"/>
          <w:sz w:val="28"/>
          <w:szCs w:val="28"/>
          <w:highlight w:val="none"/>
        </w:rPr>
      </w:pPr>
    </w:p>
    <w:p w14:paraId="32183F72">
      <w:pPr>
        <w:pStyle w:val="18"/>
        <w:jc w:val="center"/>
        <w:rPr>
          <w:rFonts w:ascii="Times New Roman" w:hAnsi="Times New Roman"/>
          <w:b/>
          <w:bCs/>
          <w:color w:val="auto"/>
          <w:sz w:val="28"/>
          <w:szCs w:val="28"/>
          <w:highlight w:val="none"/>
        </w:rPr>
      </w:pPr>
    </w:p>
    <w:p w14:paraId="053926CA">
      <w:pPr>
        <w:pStyle w:val="4"/>
        <w:rPr>
          <w:color w:val="auto"/>
          <w:highlight w:val="none"/>
        </w:rPr>
      </w:pPr>
      <w:r>
        <w:rPr>
          <w:color w:val="auto"/>
          <w:highlight w:val="none"/>
        </w:rPr>
        <w:t>供应商参加政府采购活动前3年内在经营活动中没有重大违法记录及有关信用信息的书面声明</w:t>
      </w:r>
    </w:p>
    <w:p w14:paraId="6CADE960">
      <w:pPr>
        <w:pStyle w:val="34"/>
        <w:rPr>
          <w:rFonts w:ascii="Times New Roman"/>
          <w:color w:val="auto"/>
          <w:highlight w:val="none"/>
        </w:rPr>
      </w:pPr>
    </w:p>
    <w:p w14:paraId="6140C16F">
      <w:pPr>
        <w:pStyle w:val="16"/>
        <w:spacing w:line="400" w:lineRule="exact"/>
        <w:jc w:val="center"/>
        <w:rPr>
          <w:rFonts w:ascii="Times New Roman" w:hAnsi="Times New Roman"/>
          <w:b/>
          <w:color w:val="auto"/>
          <w:sz w:val="36"/>
          <w:szCs w:val="36"/>
          <w:highlight w:val="none"/>
        </w:rPr>
      </w:pPr>
      <w:r>
        <w:rPr>
          <w:rFonts w:ascii="Times New Roman" w:hAnsi="Times New Roman"/>
          <w:b/>
          <w:color w:val="auto"/>
          <w:sz w:val="36"/>
          <w:szCs w:val="36"/>
          <w:highlight w:val="none"/>
        </w:rPr>
        <w:t>声  明（格式）</w:t>
      </w:r>
    </w:p>
    <w:p w14:paraId="67B1151C">
      <w:pPr>
        <w:rPr>
          <w:color w:val="auto"/>
          <w:highlight w:val="none"/>
        </w:rPr>
      </w:pPr>
    </w:p>
    <w:p w14:paraId="31A28A93">
      <w:pPr>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致：（采购单位名称）</w:t>
      </w:r>
    </w:p>
    <w:p w14:paraId="621F7BF6">
      <w:pPr>
        <w:pStyle w:val="16"/>
        <w:spacing w:line="48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B35929C">
      <w:pPr>
        <w:rPr>
          <w:color w:val="auto"/>
          <w:highlight w:val="none"/>
        </w:rPr>
      </w:pPr>
    </w:p>
    <w:p w14:paraId="3513D55A">
      <w:pPr>
        <w:ind w:firstLine="2400" w:firstLineChars="1000"/>
        <w:rPr>
          <w:color w:val="auto"/>
          <w:highlight w:val="none"/>
        </w:rPr>
      </w:pPr>
      <w:r>
        <w:rPr>
          <w:color w:val="auto"/>
          <w:sz w:val="24"/>
          <w:highlight w:val="none"/>
        </w:rPr>
        <w:t>供应商名称（</w:t>
      </w:r>
      <w:r>
        <w:rPr>
          <w:rFonts w:hint="eastAsia"/>
          <w:color w:val="auto"/>
          <w:sz w:val="24"/>
          <w:highlight w:val="none"/>
        </w:rPr>
        <w:t>电子签</w:t>
      </w:r>
      <w:r>
        <w:rPr>
          <w:color w:val="auto"/>
          <w:sz w:val="24"/>
          <w:highlight w:val="none"/>
        </w:rPr>
        <w:t>章）</w:t>
      </w:r>
      <w:r>
        <w:rPr>
          <w:color w:val="auto"/>
          <w:highlight w:val="none"/>
          <w:u w:val="single"/>
        </w:rPr>
        <w:t xml:space="preserve">：                      </w:t>
      </w:r>
    </w:p>
    <w:p w14:paraId="4EC39EA3">
      <w:pPr>
        <w:spacing w:line="480" w:lineRule="auto"/>
        <w:ind w:firstLine="2160" w:firstLineChars="900"/>
        <w:rPr>
          <w:color w:val="auto"/>
          <w:sz w:val="24"/>
          <w:highlight w:val="none"/>
          <w:u w:val="single"/>
        </w:rPr>
      </w:pPr>
      <w:r>
        <w:rPr>
          <w:color w:val="auto"/>
          <w:sz w:val="24"/>
          <w:highlight w:val="none"/>
        </w:rPr>
        <w:t>法定代表人或相应的委托代理人（</w:t>
      </w:r>
      <w:r>
        <w:rPr>
          <w:rFonts w:hint="eastAsia"/>
          <w:color w:val="auto"/>
          <w:sz w:val="24"/>
          <w:highlight w:val="none"/>
          <w:lang w:eastAsia="zh-CN"/>
        </w:rPr>
        <w:t>签字或电子签名</w:t>
      </w:r>
      <w:r>
        <w:rPr>
          <w:color w:val="auto"/>
          <w:sz w:val="24"/>
          <w:highlight w:val="none"/>
        </w:rPr>
        <w:t>）：</w:t>
      </w:r>
      <w:r>
        <w:rPr>
          <w:color w:val="auto"/>
          <w:sz w:val="24"/>
          <w:highlight w:val="none"/>
          <w:u w:val="single"/>
        </w:rPr>
        <w:t xml:space="preserve">          </w:t>
      </w:r>
    </w:p>
    <w:p w14:paraId="3A0E48AC">
      <w:pPr>
        <w:pStyle w:val="16"/>
        <w:spacing w:line="400" w:lineRule="exact"/>
        <w:rPr>
          <w:rFonts w:ascii="Times New Roman" w:hAnsi="Times New Roman"/>
          <w:color w:val="auto"/>
          <w:sz w:val="24"/>
          <w:szCs w:val="24"/>
          <w:highlight w:val="none"/>
        </w:rPr>
      </w:pPr>
      <w:r>
        <w:rPr>
          <w:rFonts w:ascii="Times New Roman" w:hAnsi="Times New Roman"/>
          <w:color w:val="auto"/>
          <w:sz w:val="24"/>
          <w:highlight w:val="none"/>
        </w:rPr>
        <w:t xml:space="preserve">                  日  期：</w:t>
      </w:r>
      <w:r>
        <w:rPr>
          <w:rFonts w:ascii="Times New Roman" w:hAnsi="Times New Roman"/>
          <w:color w:val="auto"/>
          <w:sz w:val="24"/>
          <w:highlight w:val="none"/>
          <w:u w:val="single"/>
        </w:rPr>
        <w:t xml:space="preserve">                   </w:t>
      </w:r>
    </w:p>
    <w:p w14:paraId="6C1FD417">
      <w:pPr>
        <w:spacing w:line="276" w:lineRule="auto"/>
        <w:jc w:val="center"/>
        <w:rPr>
          <w:b/>
          <w:color w:val="auto"/>
          <w:sz w:val="36"/>
          <w:highlight w:val="none"/>
        </w:rPr>
      </w:pPr>
    </w:p>
    <w:p w14:paraId="49FF0A26">
      <w:pPr>
        <w:spacing w:line="276" w:lineRule="auto"/>
        <w:jc w:val="center"/>
        <w:rPr>
          <w:b/>
          <w:color w:val="auto"/>
          <w:sz w:val="36"/>
          <w:highlight w:val="none"/>
        </w:rPr>
      </w:pPr>
    </w:p>
    <w:p w14:paraId="2ABF1C69">
      <w:pPr>
        <w:spacing w:line="276" w:lineRule="auto"/>
        <w:jc w:val="center"/>
        <w:rPr>
          <w:b/>
          <w:color w:val="auto"/>
          <w:sz w:val="36"/>
          <w:highlight w:val="none"/>
        </w:rPr>
      </w:pPr>
    </w:p>
    <w:p w14:paraId="5819B740">
      <w:pPr>
        <w:spacing w:line="276" w:lineRule="auto"/>
        <w:jc w:val="center"/>
        <w:rPr>
          <w:b/>
          <w:color w:val="auto"/>
          <w:sz w:val="36"/>
          <w:highlight w:val="none"/>
        </w:rPr>
      </w:pPr>
    </w:p>
    <w:p w14:paraId="1D30CBA6">
      <w:pPr>
        <w:spacing w:line="276" w:lineRule="auto"/>
        <w:jc w:val="center"/>
        <w:rPr>
          <w:color w:val="auto"/>
          <w:sz w:val="28"/>
          <w:szCs w:val="28"/>
          <w:highlight w:val="none"/>
        </w:rPr>
      </w:pPr>
    </w:p>
    <w:p w14:paraId="79E978B8">
      <w:pPr>
        <w:spacing w:line="276" w:lineRule="auto"/>
        <w:jc w:val="center"/>
        <w:rPr>
          <w:b/>
          <w:color w:val="auto"/>
          <w:sz w:val="36"/>
          <w:highlight w:val="none"/>
        </w:rPr>
      </w:pPr>
    </w:p>
    <w:p w14:paraId="6F9C2173">
      <w:pPr>
        <w:spacing w:line="276" w:lineRule="auto"/>
        <w:jc w:val="center"/>
        <w:rPr>
          <w:b/>
          <w:color w:val="auto"/>
          <w:sz w:val="36"/>
          <w:highlight w:val="none"/>
        </w:rPr>
      </w:pPr>
    </w:p>
    <w:p w14:paraId="33053CF0">
      <w:pPr>
        <w:spacing w:line="276" w:lineRule="auto"/>
        <w:rPr>
          <w:b/>
          <w:color w:val="auto"/>
          <w:sz w:val="36"/>
          <w:highlight w:val="none"/>
        </w:rPr>
      </w:pPr>
    </w:p>
    <w:p w14:paraId="5F099119">
      <w:pPr>
        <w:rPr>
          <w:color w:val="auto"/>
          <w:highlight w:val="none"/>
        </w:rPr>
      </w:pPr>
    </w:p>
    <w:p w14:paraId="164C5850">
      <w:pPr>
        <w:rPr>
          <w:color w:val="auto"/>
          <w:highlight w:val="none"/>
        </w:rPr>
      </w:pPr>
    </w:p>
    <w:p w14:paraId="5D6F337D">
      <w:pPr>
        <w:pStyle w:val="4"/>
        <w:rPr>
          <w:color w:val="auto"/>
          <w:highlight w:val="none"/>
        </w:rPr>
      </w:pPr>
      <w:r>
        <w:rPr>
          <w:color w:val="auto"/>
          <w:highlight w:val="none"/>
        </w:rPr>
        <w:t>磋  商  书（格式）</w:t>
      </w:r>
    </w:p>
    <w:p w14:paraId="7A288D3B">
      <w:pPr>
        <w:spacing w:line="400" w:lineRule="exact"/>
        <w:jc w:val="center"/>
        <w:rPr>
          <w:b/>
          <w:color w:val="auto"/>
          <w:szCs w:val="21"/>
          <w:highlight w:val="none"/>
        </w:rPr>
      </w:pPr>
    </w:p>
    <w:p w14:paraId="5B3F3DE4">
      <w:pPr>
        <w:pStyle w:val="16"/>
        <w:spacing w:line="440" w:lineRule="exact"/>
        <w:rPr>
          <w:rFonts w:ascii="Times New Roman" w:hAnsi="Times New Roman"/>
          <w:color w:val="auto"/>
          <w:sz w:val="24"/>
          <w:szCs w:val="24"/>
          <w:highlight w:val="none"/>
        </w:rPr>
      </w:pPr>
      <w:r>
        <w:rPr>
          <w:rFonts w:hint="eastAsia" w:ascii="Times New Roman" w:hAnsi="Times New Roman"/>
          <w:color w:val="auto"/>
          <w:sz w:val="24"/>
          <w:szCs w:val="24"/>
          <w:highlight w:val="none"/>
          <w:u w:val="single"/>
          <w:lang w:eastAsia="zh-CN"/>
        </w:rPr>
        <w:t>广西创佳项目管理有限公司</w:t>
      </w:r>
      <w:r>
        <w:rPr>
          <w:rFonts w:ascii="Times New Roman" w:hAnsi="Times New Roman"/>
          <w:color w:val="auto"/>
          <w:sz w:val="24"/>
          <w:szCs w:val="24"/>
          <w:highlight w:val="none"/>
        </w:rPr>
        <w:t>：</w:t>
      </w:r>
    </w:p>
    <w:p w14:paraId="09555B13">
      <w:pPr>
        <w:pStyle w:val="16"/>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依据贵方</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w:t>
      </w:r>
      <w:r>
        <w:rPr>
          <w:rFonts w:ascii="Times New Roman" w:hAnsi="Times New Roman"/>
          <w:color w:val="auto"/>
          <w:sz w:val="24"/>
          <w:szCs w:val="24"/>
          <w:highlight w:val="none"/>
          <w:u w:val="single"/>
        </w:rPr>
        <w:t>项目</w:t>
      </w:r>
      <w:r>
        <w:rPr>
          <w:rFonts w:hint="eastAsia" w:ascii="Times New Roman" w:hAnsi="Times New Roman"/>
          <w:color w:val="auto"/>
          <w:sz w:val="24"/>
          <w:szCs w:val="24"/>
          <w:highlight w:val="none"/>
          <w:u w:val="single"/>
        </w:rPr>
        <w:t>名称）</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项目</w:t>
      </w:r>
      <w:r>
        <w:rPr>
          <w:rFonts w:ascii="Times New Roman" w:hAnsi="Times New Roman"/>
          <w:color w:val="auto"/>
          <w:sz w:val="24"/>
          <w:szCs w:val="24"/>
          <w:highlight w:val="none"/>
        </w:rPr>
        <w:t>政府采购的磋商邀请，我方</w:t>
      </w:r>
      <w:r>
        <w:rPr>
          <w:rFonts w:ascii="Times New Roman" w:hAnsi="Times New Roman"/>
          <w:color w:val="auto"/>
          <w:sz w:val="24"/>
          <w:szCs w:val="24"/>
          <w:highlight w:val="none"/>
          <w:u w:val="single"/>
        </w:rPr>
        <w:t>（姓名和职务）</w:t>
      </w:r>
      <w:r>
        <w:rPr>
          <w:rFonts w:ascii="Times New Roman" w:hAnsi="Times New Roman"/>
          <w:color w:val="auto"/>
          <w:sz w:val="24"/>
          <w:szCs w:val="24"/>
          <w:highlight w:val="none"/>
        </w:rPr>
        <w:t>经正式授权并代表供应商</w:t>
      </w:r>
      <w:r>
        <w:rPr>
          <w:rFonts w:ascii="Times New Roman" w:hAnsi="Times New Roman"/>
          <w:color w:val="auto"/>
          <w:sz w:val="24"/>
          <w:szCs w:val="24"/>
          <w:highlight w:val="none"/>
          <w:u w:val="single"/>
        </w:rPr>
        <w:t xml:space="preserve">       （供应商名称、地址）         </w:t>
      </w:r>
      <w:r>
        <w:rPr>
          <w:rFonts w:ascii="Times New Roman" w:hAnsi="Times New Roman"/>
          <w:color w:val="auto"/>
          <w:sz w:val="24"/>
          <w:szCs w:val="24"/>
          <w:highlight w:val="none"/>
        </w:rPr>
        <w:t>，遵照《政府采购法》的规定，我单位经考察和研究上述采购文件的</w:t>
      </w:r>
      <w:r>
        <w:rPr>
          <w:rFonts w:hint="eastAsia" w:ascii="Times New Roman" w:hAnsi="Times New Roman"/>
          <w:color w:val="auto"/>
          <w:sz w:val="24"/>
          <w:szCs w:val="24"/>
          <w:highlight w:val="none"/>
        </w:rPr>
        <w:t>磋商</w:t>
      </w:r>
      <w:r>
        <w:rPr>
          <w:rFonts w:ascii="Times New Roman" w:hAnsi="Times New Roman"/>
          <w:color w:val="auto"/>
          <w:sz w:val="24"/>
          <w:szCs w:val="24"/>
          <w:highlight w:val="none"/>
        </w:rPr>
        <w:t>须知、合同条件和其他有关文件后，我方愿以综合总报价人民币</w:t>
      </w:r>
      <w:r>
        <w:rPr>
          <w:rFonts w:ascii="Times New Roman" w:hAnsi="Times New Roman"/>
          <w:color w:val="auto"/>
          <w:sz w:val="24"/>
          <w:szCs w:val="24"/>
          <w:highlight w:val="none"/>
          <w:u w:val="single"/>
        </w:rPr>
        <w:t>（大写）                   (￥         元)</w:t>
      </w:r>
      <w:r>
        <w:rPr>
          <w:rFonts w:ascii="Times New Roman" w:hAnsi="Times New Roman"/>
          <w:color w:val="auto"/>
          <w:sz w:val="24"/>
          <w:szCs w:val="24"/>
          <w:highlight w:val="none"/>
        </w:rPr>
        <w:t>进行报价，按上述合同条件承包本项目的采购服务工作。服务期限：</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w:t>
      </w:r>
    </w:p>
    <w:p w14:paraId="4F5A14E3">
      <w:pPr>
        <w:pStyle w:val="16"/>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在此，授权代表宣布同意如下：</w:t>
      </w:r>
    </w:p>
    <w:p w14:paraId="58EE7D15">
      <w:pPr>
        <w:pStyle w:val="16"/>
        <w:spacing w:line="440" w:lineRule="exact"/>
        <w:ind w:firstLine="480"/>
        <w:rPr>
          <w:rFonts w:ascii="Times New Roman" w:hAnsi="Times New Roman"/>
          <w:color w:val="auto"/>
          <w:sz w:val="24"/>
          <w:szCs w:val="24"/>
          <w:highlight w:val="none"/>
        </w:rPr>
      </w:pPr>
      <w:r>
        <w:rPr>
          <w:rFonts w:ascii="Times New Roman" w:hAnsi="Times New Roman"/>
          <w:color w:val="auto"/>
          <w:sz w:val="24"/>
          <w:szCs w:val="24"/>
          <w:highlight w:val="none"/>
        </w:rPr>
        <w:t>1. 将按竞争性磋商文件的约定履行合同责任和义务；</w:t>
      </w:r>
    </w:p>
    <w:p w14:paraId="549B1020">
      <w:pPr>
        <w:pStyle w:val="16"/>
        <w:spacing w:line="440" w:lineRule="exact"/>
        <w:ind w:left="839" w:leftChars="228" w:hanging="360" w:hangingChars="150"/>
        <w:rPr>
          <w:rFonts w:ascii="Times New Roman" w:hAnsi="Times New Roman"/>
          <w:color w:val="auto"/>
          <w:sz w:val="24"/>
          <w:szCs w:val="24"/>
          <w:highlight w:val="none"/>
        </w:rPr>
      </w:pPr>
      <w:r>
        <w:rPr>
          <w:rFonts w:ascii="Times New Roman" w:hAnsi="Times New Roman"/>
          <w:color w:val="auto"/>
          <w:sz w:val="24"/>
          <w:szCs w:val="24"/>
          <w:highlight w:val="none"/>
        </w:rPr>
        <w:t>2. 已详细审查全部竞争性磋商文件，包括</w:t>
      </w:r>
      <w:r>
        <w:rPr>
          <w:rFonts w:ascii="Times New Roman" w:hAnsi="Times New Roman"/>
          <w:color w:val="auto"/>
          <w:sz w:val="24"/>
          <w:szCs w:val="24"/>
          <w:highlight w:val="none"/>
          <w:u w:val="single"/>
        </w:rPr>
        <w:t>（补遗书）（如有）</w:t>
      </w:r>
      <w:r>
        <w:rPr>
          <w:rFonts w:ascii="Times New Roman" w:hAnsi="Times New Roman"/>
          <w:color w:val="auto"/>
          <w:sz w:val="24"/>
          <w:szCs w:val="24"/>
          <w:highlight w:val="none"/>
        </w:rPr>
        <w:t>；我们完全理解并同意放弃对这方面有不明及误解的权力；</w:t>
      </w:r>
    </w:p>
    <w:p w14:paraId="524C5315">
      <w:pPr>
        <w:pStyle w:val="16"/>
        <w:spacing w:line="440" w:lineRule="exact"/>
        <w:ind w:left="840" w:hanging="360"/>
        <w:rPr>
          <w:rFonts w:ascii="Times New Roman" w:hAnsi="Times New Roman"/>
          <w:color w:val="auto"/>
          <w:sz w:val="24"/>
          <w:szCs w:val="24"/>
          <w:highlight w:val="none"/>
        </w:rPr>
      </w:pPr>
      <w:r>
        <w:rPr>
          <w:rFonts w:ascii="Times New Roman" w:hAnsi="Times New Roman"/>
          <w:color w:val="auto"/>
          <w:sz w:val="24"/>
          <w:szCs w:val="24"/>
          <w:highlight w:val="none"/>
        </w:rPr>
        <w:t>3. 同意提供按照贵方可能要求的与其磋商有关的一切数据或资料；</w:t>
      </w:r>
    </w:p>
    <w:p w14:paraId="4F880879">
      <w:pPr>
        <w:pStyle w:val="16"/>
        <w:spacing w:line="440" w:lineRule="exact"/>
        <w:ind w:firstLine="480"/>
        <w:rPr>
          <w:rFonts w:hint="eastAsia" w:ascii="Times New Roman" w:hAnsi="Times New Roman" w:eastAsia="宋体"/>
          <w:color w:val="auto"/>
          <w:sz w:val="24"/>
          <w:szCs w:val="24"/>
          <w:highlight w:val="none"/>
          <w:u w:val="single"/>
          <w:lang w:eastAsia="zh-CN"/>
        </w:rPr>
      </w:pPr>
      <w:r>
        <w:rPr>
          <w:rFonts w:ascii="Times New Roman" w:hAnsi="Times New Roman"/>
          <w:color w:val="auto"/>
          <w:sz w:val="24"/>
          <w:szCs w:val="24"/>
          <w:highlight w:val="none"/>
        </w:rPr>
        <w:t>4. 与本磋商有关的一切正式往来信函请寄：</w:t>
      </w:r>
    </w:p>
    <w:p w14:paraId="2CF32E09">
      <w:pPr>
        <w:pStyle w:val="16"/>
        <w:spacing w:line="520" w:lineRule="exact"/>
        <w:ind w:firstLine="840"/>
        <w:rPr>
          <w:rFonts w:ascii="Times New Roman" w:hAnsi="Times New Roman"/>
          <w:color w:val="auto"/>
          <w:sz w:val="24"/>
          <w:szCs w:val="24"/>
          <w:highlight w:val="none"/>
        </w:rPr>
      </w:pPr>
      <w:r>
        <w:rPr>
          <w:rFonts w:ascii="Times New Roman" w:hAnsi="Times New Roman"/>
          <w:color w:val="auto"/>
          <w:sz w:val="24"/>
          <w:szCs w:val="24"/>
          <w:highlight w:val="none"/>
        </w:rPr>
        <w:t>地址：</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邮政编码：</w:t>
      </w:r>
      <w:r>
        <w:rPr>
          <w:rFonts w:ascii="Times New Roman" w:hAnsi="Times New Roman"/>
          <w:color w:val="auto"/>
          <w:sz w:val="24"/>
          <w:szCs w:val="24"/>
          <w:highlight w:val="none"/>
          <w:u w:val="single"/>
        </w:rPr>
        <w:t xml:space="preserve">         </w:t>
      </w:r>
    </w:p>
    <w:p w14:paraId="5AD94BE7">
      <w:pPr>
        <w:pStyle w:val="16"/>
        <w:spacing w:line="520" w:lineRule="exact"/>
        <w:ind w:firstLine="840"/>
        <w:rPr>
          <w:rFonts w:ascii="Times New Roman" w:hAnsi="Times New Roman"/>
          <w:color w:val="auto"/>
          <w:sz w:val="24"/>
          <w:szCs w:val="24"/>
          <w:highlight w:val="none"/>
          <w:u w:val="single"/>
        </w:rPr>
      </w:pPr>
      <w:r>
        <w:rPr>
          <w:rFonts w:ascii="Times New Roman" w:hAnsi="Times New Roman"/>
          <w:color w:val="auto"/>
          <w:sz w:val="24"/>
          <w:szCs w:val="24"/>
          <w:highlight w:val="none"/>
        </w:rPr>
        <w:t>电话/传真：</w:t>
      </w:r>
      <w:r>
        <w:rPr>
          <w:rFonts w:ascii="Times New Roman" w:hAnsi="Times New Roman"/>
          <w:color w:val="auto"/>
          <w:sz w:val="24"/>
          <w:szCs w:val="24"/>
          <w:highlight w:val="none"/>
          <w:u w:val="single"/>
        </w:rPr>
        <w:t xml:space="preserve">                                                  </w:t>
      </w:r>
    </w:p>
    <w:p w14:paraId="73F5B4A5">
      <w:pPr>
        <w:pStyle w:val="16"/>
        <w:spacing w:line="520" w:lineRule="exact"/>
        <w:ind w:firstLine="840"/>
        <w:rPr>
          <w:rFonts w:ascii="Times New Roman" w:hAnsi="Times New Roman"/>
          <w:color w:val="auto"/>
          <w:sz w:val="24"/>
          <w:szCs w:val="24"/>
          <w:highlight w:val="none"/>
          <w:u w:val="single"/>
        </w:rPr>
      </w:pPr>
      <w:r>
        <w:rPr>
          <w:rFonts w:ascii="Times New Roman" w:hAnsi="Times New Roman"/>
          <w:color w:val="auto"/>
          <w:sz w:val="24"/>
          <w:szCs w:val="24"/>
          <w:highlight w:val="none"/>
        </w:rPr>
        <w:t>开户名称：</w:t>
      </w:r>
      <w:r>
        <w:rPr>
          <w:rFonts w:ascii="Times New Roman" w:hAnsi="Times New Roman"/>
          <w:color w:val="auto"/>
          <w:sz w:val="24"/>
          <w:szCs w:val="24"/>
          <w:highlight w:val="none"/>
          <w:u w:val="single"/>
        </w:rPr>
        <w:t xml:space="preserve">                                                    </w:t>
      </w:r>
    </w:p>
    <w:p w14:paraId="1157C36D">
      <w:pPr>
        <w:pStyle w:val="16"/>
        <w:spacing w:line="520" w:lineRule="exact"/>
        <w:ind w:firstLine="840"/>
        <w:rPr>
          <w:rFonts w:ascii="Times New Roman" w:hAnsi="Times New Roman"/>
          <w:color w:val="auto"/>
          <w:sz w:val="24"/>
          <w:szCs w:val="24"/>
          <w:highlight w:val="none"/>
          <w:u w:val="single"/>
        </w:rPr>
      </w:pPr>
      <w:r>
        <w:rPr>
          <w:rFonts w:ascii="Times New Roman" w:hAnsi="Times New Roman"/>
          <w:color w:val="auto"/>
          <w:sz w:val="24"/>
          <w:szCs w:val="24"/>
          <w:highlight w:val="none"/>
        </w:rPr>
        <w:t>开户银行：</w:t>
      </w:r>
      <w:r>
        <w:rPr>
          <w:rFonts w:ascii="Times New Roman" w:hAnsi="Times New Roman"/>
          <w:color w:val="auto"/>
          <w:sz w:val="24"/>
          <w:szCs w:val="24"/>
          <w:highlight w:val="none"/>
          <w:u w:val="single"/>
        </w:rPr>
        <w:t xml:space="preserve">                                                    </w:t>
      </w:r>
    </w:p>
    <w:p w14:paraId="593D310A">
      <w:pPr>
        <w:pStyle w:val="16"/>
        <w:spacing w:line="520" w:lineRule="exact"/>
        <w:ind w:firstLine="840"/>
        <w:rPr>
          <w:rFonts w:ascii="Times New Roman" w:hAnsi="Times New Roman"/>
          <w:color w:val="auto"/>
          <w:sz w:val="24"/>
          <w:szCs w:val="24"/>
          <w:highlight w:val="none"/>
          <w:u w:val="single"/>
        </w:rPr>
      </w:pPr>
      <w:r>
        <w:rPr>
          <w:rFonts w:ascii="Times New Roman" w:hAnsi="Times New Roman"/>
          <w:color w:val="auto"/>
          <w:sz w:val="24"/>
          <w:szCs w:val="24"/>
          <w:highlight w:val="none"/>
        </w:rPr>
        <w:t>开户帐号：</w:t>
      </w:r>
      <w:r>
        <w:rPr>
          <w:rFonts w:ascii="Times New Roman" w:hAnsi="Times New Roman"/>
          <w:color w:val="auto"/>
          <w:sz w:val="24"/>
          <w:szCs w:val="24"/>
          <w:highlight w:val="none"/>
          <w:u w:val="single"/>
        </w:rPr>
        <w:t xml:space="preserve">                                                    </w:t>
      </w:r>
    </w:p>
    <w:p w14:paraId="7FE49AB9">
      <w:pPr>
        <w:pStyle w:val="16"/>
        <w:spacing w:line="520" w:lineRule="exact"/>
        <w:ind w:firstLine="840"/>
        <w:rPr>
          <w:rFonts w:ascii="Times New Roman" w:hAnsi="Times New Roman"/>
          <w:color w:val="auto"/>
          <w:sz w:val="24"/>
          <w:szCs w:val="24"/>
          <w:highlight w:val="none"/>
          <w:u w:val="single"/>
        </w:rPr>
      </w:pPr>
      <w:r>
        <w:rPr>
          <w:rFonts w:ascii="Times New Roman" w:hAnsi="Times New Roman"/>
          <w:color w:val="auto"/>
          <w:sz w:val="24"/>
          <w:szCs w:val="24"/>
          <w:highlight w:val="none"/>
        </w:rPr>
        <w:t>法定代表人或委托代理人签名：</w:t>
      </w:r>
      <w:r>
        <w:rPr>
          <w:rFonts w:ascii="Times New Roman" w:hAnsi="Times New Roman"/>
          <w:color w:val="auto"/>
          <w:sz w:val="24"/>
          <w:szCs w:val="24"/>
          <w:highlight w:val="none"/>
          <w:u w:val="single"/>
        </w:rPr>
        <w:t xml:space="preserve">                      </w:t>
      </w:r>
    </w:p>
    <w:p w14:paraId="151BC378">
      <w:pPr>
        <w:pStyle w:val="16"/>
        <w:spacing w:line="520" w:lineRule="exact"/>
        <w:ind w:firstLine="840"/>
        <w:rPr>
          <w:rFonts w:ascii="Times New Roman" w:hAnsi="Times New Roman"/>
          <w:color w:val="auto"/>
          <w:sz w:val="24"/>
          <w:szCs w:val="24"/>
          <w:highlight w:val="none"/>
        </w:rPr>
      </w:pPr>
      <w:r>
        <w:rPr>
          <w:rFonts w:ascii="Times New Roman" w:hAnsi="Times New Roman"/>
          <w:color w:val="auto"/>
          <w:sz w:val="24"/>
          <w:szCs w:val="24"/>
          <w:highlight w:val="none"/>
        </w:rPr>
        <w:t>供应商名称（</w:t>
      </w:r>
      <w:r>
        <w:rPr>
          <w:rFonts w:hint="eastAsia" w:ascii="Times New Roman" w:hAnsi="Times New Roman"/>
          <w:color w:val="auto"/>
          <w:sz w:val="24"/>
          <w:highlight w:val="none"/>
        </w:rPr>
        <w:t>电子签</w:t>
      </w:r>
      <w:r>
        <w:rPr>
          <w:rFonts w:ascii="Times New Roman" w:hAnsi="Times New Roman"/>
          <w:color w:val="auto"/>
          <w:sz w:val="24"/>
          <w:highlight w:val="none"/>
        </w:rPr>
        <w:t>章</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p>
    <w:p w14:paraId="732A7A2B">
      <w:pPr>
        <w:pStyle w:val="16"/>
        <w:spacing w:line="520" w:lineRule="exact"/>
        <w:ind w:firstLine="840"/>
        <w:rPr>
          <w:rFonts w:ascii="Times New Roman" w:hAnsi="Times New Roman"/>
          <w:color w:val="auto"/>
          <w:sz w:val="24"/>
          <w:szCs w:val="24"/>
          <w:highlight w:val="none"/>
        </w:rPr>
      </w:pPr>
      <w:r>
        <w:rPr>
          <w:rFonts w:ascii="Times New Roman" w:hAnsi="Times New Roman"/>
          <w:color w:val="auto"/>
          <w:sz w:val="24"/>
          <w:szCs w:val="24"/>
          <w:highlight w:val="none"/>
        </w:rPr>
        <w:t>日期：</w:t>
      </w:r>
      <w:r>
        <w:rPr>
          <w:rFonts w:ascii="Times New Roman" w:hAnsi="Times New Roman"/>
          <w:color w:val="auto"/>
          <w:sz w:val="24"/>
          <w:szCs w:val="24"/>
          <w:highlight w:val="none"/>
          <w:u w:val="single"/>
        </w:rPr>
        <w:t xml:space="preserve">                                             </w:t>
      </w:r>
    </w:p>
    <w:p w14:paraId="592516B9">
      <w:pPr>
        <w:pStyle w:val="10"/>
        <w:rPr>
          <w:color w:val="auto"/>
          <w:highlight w:val="none"/>
        </w:rPr>
      </w:pPr>
    </w:p>
    <w:p w14:paraId="535D5A3D">
      <w:pPr>
        <w:spacing w:line="300" w:lineRule="auto"/>
        <w:rPr>
          <w:color w:val="auto"/>
          <w:szCs w:val="21"/>
          <w:highlight w:val="none"/>
        </w:rPr>
      </w:pPr>
    </w:p>
    <w:p w14:paraId="3F885602">
      <w:pPr>
        <w:pStyle w:val="26"/>
        <w:ind w:firstLine="464"/>
        <w:rPr>
          <w:rFonts w:hint="default" w:ascii="Times New Roman"/>
          <w:color w:val="auto"/>
          <w:szCs w:val="21"/>
          <w:highlight w:val="none"/>
        </w:rPr>
      </w:pPr>
    </w:p>
    <w:p w14:paraId="4F1671E3">
      <w:pPr>
        <w:rPr>
          <w:color w:val="auto"/>
          <w:szCs w:val="21"/>
          <w:highlight w:val="none"/>
        </w:rPr>
      </w:pPr>
    </w:p>
    <w:p w14:paraId="108A6723">
      <w:pPr>
        <w:pStyle w:val="26"/>
        <w:ind w:firstLine="464"/>
        <w:rPr>
          <w:rFonts w:hint="default" w:ascii="Times New Roman"/>
          <w:color w:val="auto"/>
          <w:szCs w:val="21"/>
          <w:highlight w:val="none"/>
        </w:rPr>
      </w:pPr>
    </w:p>
    <w:p w14:paraId="005F92AB">
      <w:pPr>
        <w:rPr>
          <w:color w:val="auto"/>
          <w:highlight w:val="none"/>
        </w:rPr>
      </w:pPr>
    </w:p>
    <w:p w14:paraId="0BB2D0B2">
      <w:pPr>
        <w:spacing w:line="500" w:lineRule="exact"/>
        <w:rPr>
          <w:color w:val="auto"/>
          <w:sz w:val="28"/>
          <w:szCs w:val="28"/>
          <w:highlight w:val="none"/>
        </w:rPr>
      </w:pPr>
    </w:p>
    <w:p w14:paraId="1D8C8080">
      <w:pPr>
        <w:spacing w:line="500" w:lineRule="exact"/>
        <w:rPr>
          <w:color w:val="auto"/>
          <w:sz w:val="28"/>
          <w:szCs w:val="28"/>
          <w:highlight w:val="none"/>
        </w:rPr>
      </w:pPr>
    </w:p>
    <w:p w14:paraId="6030FA1D">
      <w:pPr>
        <w:spacing w:line="500" w:lineRule="exact"/>
        <w:rPr>
          <w:color w:val="auto"/>
          <w:sz w:val="28"/>
          <w:szCs w:val="28"/>
          <w:highlight w:val="none"/>
        </w:rPr>
      </w:pPr>
      <w:r>
        <w:rPr>
          <w:color w:val="auto"/>
          <w:sz w:val="28"/>
          <w:szCs w:val="28"/>
          <w:highlight w:val="none"/>
        </w:rPr>
        <w:t xml:space="preserve">       </w:t>
      </w:r>
    </w:p>
    <w:p w14:paraId="4A8173E1">
      <w:pPr>
        <w:pStyle w:val="4"/>
        <w:rPr>
          <w:color w:val="auto"/>
          <w:highlight w:val="none"/>
        </w:rPr>
      </w:pPr>
      <w:r>
        <w:rPr>
          <w:color w:val="auto"/>
          <w:highlight w:val="none"/>
        </w:rPr>
        <w:t>磋 商 报 价 表（格式）</w:t>
      </w:r>
    </w:p>
    <w:p w14:paraId="62E50285">
      <w:pPr>
        <w:pStyle w:val="16"/>
        <w:spacing w:before="120" w:line="360" w:lineRule="auto"/>
        <w:rPr>
          <w:rFonts w:ascii="Times New Roman" w:hAnsi="Times New Roman"/>
          <w:b/>
          <w:color w:val="auto"/>
          <w:szCs w:val="21"/>
          <w:highlight w:val="none"/>
        </w:rPr>
      </w:pPr>
    </w:p>
    <w:p w14:paraId="2BD7BEB7">
      <w:pPr>
        <w:rPr>
          <w:rFonts w:hint="eastAsia"/>
          <w:bCs/>
          <w:color w:val="auto"/>
          <w:sz w:val="24"/>
          <w:highlight w:val="none"/>
          <w:lang w:eastAsia="zh-CN"/>
        </w:rPr>
      </w:pPr>
      <w:r>
        <w:rPr>
          <w:b/>
          <w:color w:val="auto"/>
          <w:sz w:val="24"/>
          <w:highlight w:val="none"/>
        </w:rPr>
        <w:t>项目名称：</w:t>
      </w:r>
      <w:r>
        <w:rPr>
          <w:rFonts w:hint="eastAsia"/>
          <w:bCs/>
          <w:color w:val="auto"/>
          <w:sz w:val="24"/>
          <w:highlight w:val="none"/>
          <w:lang w:eastAsia="zh-CN"/>
        </w:rPr>
        <w:t>桂平市太平天国金田起义地址景区物业管理服务</w:t>
      </w:r>
    </w:p>
    <w:p w14:paraId="1DB71D57">
      <w:pPr>
        <w:rPr>
          <w:color w:val="auto"/>
          <w:highlight w:val="none"/>
        </w:rPr>
      </w:pPr>
      <w:r>
        <w:rPr>
          <w:b/>
          <w:color w:val="auto"/>
          <w:sz w:val="24"/>
          <w:highlight w:val="none"/>
        </w:rPr>
        <w:t>项目编号：</w:t>
      </w:r>
      <w:r>
        <w:rPr>
          <w:rFonts w:hint="eastAsia"/>
          <w:bCs/>
          <w:color w:val="auto"/>
          <w:sz w:val="24"/>
          <w:highlight w:val="none"/>
          <w:lang w:eastAsia="zh-CN"/>
        </w:rPr>
        <w:t>GGZC2025-C3-810067-GXCJ</w:t>
      </w:r>
    </w:p>
    <w:tbl>
      <w:tblPr>
        <w:tblStyle w:val="27"/>
        <w:tblW w:w="10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4340"/>
        <w:gridCol w:w="1011"/>
        <w:gridCol w:w="1104"/>
        <w:gridCol w:w="1239"/>
        <w:gridCol w:w="1642"/>
      </w:tblGrid>
      <w:tr w14:paraId="269A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38" w:type="dxa"/>
            <w:vAlign w:val="center"/>
          </w:tcPr>
          <w:p w14:paraId="0A7F478C">
            <w:pPr>
              <w:jc w:val="center"/>
              <w:rPr>
                <w:color w:val="auto"/>
                <w:sz w:val="24"/>
                <w:highlight w:val="none"/>
              </w:rPr>
            </w:pPr>
            <w:r>
              <w:rPr>
                <w:color w:val="auto"/>
                <w:kern w:val="0"/>
                <w:sz w:val="24"/>
                <w:highlight w:val="none"/>
              </w:rPr>
              <w:t>序号</w:t>
            </w:r>
          </w:p>
        </w:tc>
        <w:tc>
          <w:tcPr>
            <w:tcW w:w="4340" w:type="dxa"/>
            <w:vAlign w:val="center"/>
          </w:tcPr>
          <w:p w14:paraId="376487F3">
            <w:pPr>
              <w:tabs>
                <w:tab w:val="left" w:pos="1418"/>
              </w:tabs>
              <w:snapToGrid w:val="0"/>
              <w:spacing w:before="50" w:after="50" w:line="400" w:lineRule="exact"/>
              <w:jc w:val="center"/>
              <w:rPr>
                <w:color w:val="auto"/>
                <w:sz w:val="24"/>
                <w:highlight w:val="none"/>
              </w:rPr>
            </w:pPr>
            <w:r>
              <w:rPr>
                <w:rFonts w:hint="eastAsia"/>
                <w:b/>
                <w:bCs/>
                <w:color w:val="auto"/>
                <w:sz w:val="24"/>
                <w:highlight w:val="none"/>
              </w:rPr>
              <w:t>项目内容及要求</w:t>
            </w:r>
          </w:p>
        </w:tc>
        <w:tc>
          <w:tcPr>
            <w:tcW w:w="1011" w:type="dxa"/>
            <w:vAlign w:val="center"/>
          </w:tcPr>
          <w:p w14:paraId="49360BE1">
            <w:pPr>
              <w:tabs>
                <w:tab w:val="left" w:pos="1418"/>
              </w:tabs>
              <w:snapToGrid w:val="0"/>
              <w:spacing w:before="50" w:after="50" w:line="400" w:lineRule="exact"/>
              <w:jc w:val="center"/>
              <w:rPr>
                <w:color w:val="auto"/>
                <w:sz w:val="24"/>
                <w:highlight w:val="none"/>
              </w:rPr>
            </w:pPr>
            <w:r>
              <w:rPr>
                <w:color w:val="auto"/>
                <w:sz w:val="24"/>
                <w:highlight w:val="none"/>
              </w:rPr>
              <w:t>单位</w:t>
            </w:r>
          </w:p>
        </w:tc>
        <w:tc>
          <w:tcPr>
            <w:tcW w:w="1104" w:type="dxa"/>
            <w:vAlign w:val="center"/>
          </w:tcPr>
          <w:p w14:paraId="697F7528">
            <w:pPr>
              <w:tabs>
                <w:tab w:val="left" w:pos="1418"/>
              </w:tabs>
              <w:snapToGrid w:val="0"/>
              <w:spacing w:before="50" w:after="50" w:line="400" w:lineRule="exact"/>
              <w:jc w:val="center"/>
              <w:rPr>
                <w:color w:val="auto"/>
                <w:sz w:val="24"/>
                <w:highlight w:val="none"/>
              </w:rPr>
            </w:pPr>
            <w:r>
              <w:rPr>
                <w:color w:val="auto"/>
                <w:sz w:val="24"/>
                <w:highlight w:val="none"/>
              </w:rPr>
              <w:t>数量①</w:t>
            </w:r>
          </w:p>
        </w:tc>
        <w:tc>
          <w:tcPr>
            <w:tcW w:w="1239" w:type="dxa"/>
            <w:vAlign w:val="center"/>
          </w:tcPr>
          <w:p w14:paraId="09B755C0">
            <w:pPr>
              <w:tabs>
                <w:tab w:val="left" w:pos="1418"/>
              </w:tabs>
              <w:snapToGrid w:val="0"/>
              <w:spacing w:before="50" w:after="50" w:line="400" w:lineRule="exact"/>
              <w:jc w:val="center"/>
              <w:rPr>
                <w:color w:val="auto"/>
                <w:sz w:val="24"/>
                <w:highlight w:val="none"/>
              </w:rPr>
            </w:pPr>
            <w:r>
              <w:rPr>
                <w:color w:val="auto"/>
                <w:sz w:val="24"/>
                <w:highlight w:val="none"/>
              </w:rPr>
              <w:t>单价（元）②</w:t>
            </w:r>
          </w:p>
        </w:tc>
        <w:tc>
          <w:tcPr>
            <w:tcW w:w="1642" w:type="dxa"/>
            <w:vAlign w:val="center"/>
          </w:tcPr>
          <w:p w14:paraId="7ED15B0C">
            <w:pPr>
              <w:pStyle w:val="16"/>
              <w:jc w:val="center"/>
              <w:rPr>
                <w:rFonts w:ascii="Times New Roman" w:hAnsi="Times New Roman"/>
                <w:color w:val="auto"/>
                <w:sz w:val="22"/>
                <w:szCs w:val="21"/>
                <w:highlight w:val="none"/>
              </w:rPr>
            </w:pPr>
            <w:r>
              <w:rPr>
                <w:rFonts w:ascii="Times New Roman" w:hAnsi="Times New Roman"/>
                <w:color w:val="auto"/>
                <w:sz w:val="22"/>
                <w:szCs w:val="21"/>
                <w:highlight w:val="none"/>
              </w:rPr>
              <w:t>单项合价（元）</w:t>
            </w:r>
          </w:p>
          <w:p w14:paraId="04B3CE30">
            <w:pPr>
              <w:tabs>
                <w:tab w:val="left" w:pos="1418"/>
              </w:tabs>
              <w:snapToGrid w:val="0"/>
              <w:spacing w:before="50" w:after="50" w:line="400" w:lineRule="exact"/>
              <w:jc w:val="center"/>
              <w:rPr>
                <w:color w:val="auto"/>
                <w:sz w:val="28"/>
                <w:szCs w:val="28"/>
                <w:highlight w:val="none"/>
              </w:rPr>
            </w:pPr>
            <w:r>
              <w:rPr>
                <w:color w:val="auto"/>
                <w:sz w:val="22"/>
                <w:szCs w:val="28"/>
                <w:highlight w:val="none"/>
              </w:rPr>
              <w:t>③=①×②</w:t>
            </w:r>
          </w:p>
        </w:tc>
      </w:tr>
      <w:tr w14:paraId="446B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vAlign w:val="center"/>
          </w:tcPr>
          <w:p w14:paraId="5121DF26">
            <w:pPr>
              <w:jc w:val="center"/>
              <w:rPr>
                <w:color w:val="auto"/>
                <w:sz w:val="24"/>
                <w:highlight w:val="none"/>
              </w:rPr>
            </w:pPr>
            <w:r>
              <w:rPr>
                <w:color w:val="auto"/>
                <w:kern w:val="0"/>
                <w:sz w:val="24"/>
                <w:highlight w:val="none"/>
              </w:rPr>
              <w:t>1</w:t>
            </w:r>
          </w:p>
        </w:tc>
        <w:tc>
          <w:tcPr>
            <w:tcW w:w="4340" w:type="dxa"/>
            <w:vAlign w:val="center"/>
          </w:tcPr>
          <w:p w14:paraId="3B91D153">
            <w:pPr>
              <w:jc w:val="center"/>
              <w:rPr>
                <w:color w:val="auto"/>
                <w:sz w:val="24"/>
                <w:highlight w:val="none"/>
              </w:rPr>
            </w:pPr>
          </w:p>
        </w:tc>
        <w:tc>
          <w:tcPr>
            <w:tcW w:w="1011" w:type="dxa"/>
            <w:vAlign w:val="center"/>
          </w:tcPr>
          <w:p w14:paraId="7510A413">
            <w:pPr>
              <w:jc w:val="center"/>
              <w:rPr>
                <w:color w:val="auto"/>
                <w:sz w:val="24"/>
                <w:highlight w:val="none"/>
              </w:rPr>
            </w:pPr>
          </w:p>
        </w:tc>
        <w:tc>
          <w:tcPr>
            <w:tcW w:w="1104" w:type="dxa"/>
            <w:vAlign w:val="center"/>
          </w:tcPr>
          <w:p w14:paraId="0806DE86">
            <w:pPr>
              <w:tabs>
                <w:tab w:val="left" w:pos="1418"/>
              </w:tabs>
              <w:snapToGrid w:val="0"/>
              <w:spacing w:before="50" w:after="50" w:line="400" w:lineRule="exact"/>
              <w:jc w:val="center"/>
              <w:rPr>
                <w:color w:val="auto"/>
                <w:sz w:val="24"/>
                <w:highlight w:val="none"/>
              </w:rPr>
            </w:pPr>
          </w:p>
        </w:tc>
        <w:tc>
          <w:tcPr>
            <w:tcW w:w="1239" w:type="dxa"/>
            <w:vAlign w:val="center"/>
          </w:tcPr>
          <w:p w14:paraId="2DAC51E1">
            <w:pPr>
              <w:tabs>
                <w:tab w:val="left" w:pos="1418"/>
              </w:tabs>
              <w:snapToGrid w:val="0"/>
              <w:spacing w:before="50" w:after="50" w:line="400" w:lineRule="exact"/>
              <w:jc w:val="center"/>
              <w:rPr>
                <w:color w:val="auto"/>
                <w:sz w:val="24"/>
                <w:highlight w:val="none"/>
              </w:rPr>
            </w:pPr>
          </w:p>
        </w:tc>
        <w:tc>
          <w:tcPr>
            <w:tcW w:w="1642" w:type="dxa"/>
            <w:vAlign w:val="center"/>
          </w:tcPr>
          <w:p w14:paraId="595E4207">
            <w:pPr>
              <w:tabs>
                <w:tab w:val="left" w:pos="1418"/>
              </w:tabs>
              <w:snapToGrid w:val="0"/>
              <w:spacing w:before="50" w:after="50" w:line="400" w:lineRule="exact"/>
              <w:jc w:val="center"/>
              <w:rPr>
                <w:color w:val="auto"/>
                <w:sz w:val="24"/>
                <w:highlight w:val="none"/>
              </w:rPr>
            </w:pPr>
          </w:p>
        </w:tc>
      </w:tr>
      <w:tr w14:paraId="4402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38" w:type="dxa"/>
            <w:vAlign w:val="center"/>
          </w:tcPr>
          <w:p w14:paraId="7768C106">
            <w:pPr>
              <w:jc w:val="center"/>
              <w:rPr>
                <w:color w:val="auto"/>
                <w:kern w:val="0"/>
                <w:sz w:val="24"/>
                <w:highlight w:val="none"/>
              </w:rPr>
            </w:pPr>
            <w:r>
              <w:rPr>
                <w:rFonts w:hint="eastAsia"/>
                <w:color w:val="auto"/>
                <w:kern w:val="0"/>
                <w:sz w:val="24"/>
                <w:highlight w:val="none"/>
              </w:rPr>
              <w:t>...</w:t>
            </w:r>
          </w:p>
        </w:tc>
        <w:tc>
          <w:tcPr>
            <w:tcW w:w="4340" w:type="dxa"/>
            <w:vAlign w:val="center"/>
          </w:tcPr>
          <w:p w14:paraId="36683D13">
            <w:pPr>
              <w:jc w:val="center"/>
              <w:rPr>
                <w:color w:val="auto"/>
                <w:sz w:val="24"/>
                <w:highlight w:val="none"/>
              </w:rPr>
            </w:pPr>
          </w:p>
        </w:tc>
        <w:tc>
          <w:tcPr>
            <w:tcW w:w="1011" w:type="dxa"/>
            <w:vAlign w:val="center"/>
          </w:tcPr>
          <w:p w14:paraId="35BDD5C8">
            <w:pPr>
              <w:jc w:val="center"/>
              <w:rPr>
                <w:color w:val="auto"/>
                <w:sz w:val="24"/>
                <w:highlight w:val="none"/>
              </w:rPr>
            </w:pPr>
          </w:p>
        </w:tc>
        <w:tc>
          <w:tcPr>
            <w:tcW w:w="1104" w:type="dxa"/>
            <w:vAlign w:val="center"/>
          </w:tcPr>
          <w:p w14:paraId="4BC9BAD2">
            <w:pPr>
              <w:jc w:val="center"/>
              <w:rPr>
                <w:color w:val="auto"/>
                <w:sz w:val="24"/>
                <w:highlight w:val="none"/>
              </w:rPr>
            </w:pPr>
          </w:p>
        </w:tc>
        <w:tc>
          <w:tcPr>
            <w:tcW w:w="1239" w:type="dxa"/>
            <w:vAlign w:val="center"/>
          </w:tcPr>
          <w:p w14:paraId="19415E1C">
            <w:pPr>
              <w:jc w:val="center"/>
              <w:rPr>
                <w:color w:val="auto"/>
                <w:sz w:val="24"/>
                <w:highlight w:val="none"/>
              </w:rPr>
            </w:pPr>
          </w:p>
        </w:tc>
        <w:tc>
          <w:tcPr>
            <w:tcW w:w="1642" w:type="dxa"/>
            <w:vAlign w:val="center"/>
          </w:tcPr>
          <w:p w14:paraId="28F2F243">
            <w:pPr>
              <w:jc w:val="center"/>
              <w:rPr>
                <w:color w:val="auto"/>
                <w:sz w:val="24"/>
                <w:highlight w:val="none"/>
              </w:rPr>
            </w:pPr>
          </w:p>
        </w:tc>
      </w:tr>
      <w:tr w14:paraId="7B43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0074" w:type="dxa"/>
            <w:gridSpan w:val="6"/>
          </w:tcPr>
          <w:p w14:paraId="4B42771B">
            <w:pPr>
              <w:rPr>
                <w:color w:val="auto"/>
                <w:sz w:val="24"/>
                <w:highlight w:val="none"/>
              </w:rPr>
            </w:pPr>
          </w:p>
          <w:p w14:paraId="086D6B8F">
            <w:pPr>
              <w:rPr>
                <w:color w:val="auto"/>
                <w:sz w:val="24"/>
                <w:highlight w:val="none"/>
              </w:rPr>
            </w:pPr>
            <w:r>
              <w:rPr>
                <w:color w:val="auto"/>
                <w:sz w:val="24"/>
                <w:highlight w:val="none"/>
              </w:rPr>
              <w:t>总报价：人民币</w:t>
            </w:r>
            <w:r>
              <w:rPr>
                <w:color w:val="auto"/>
                <w:sz w:val="24"/>
                <w:highlight w:val="none"/>
                <w:u w:val="single"/>
              </w:rPr>
              <w:t xml:space="preserve">（大写）               </w:t>
            </w:r>
            <w:r>
              <w:rPr>
                <w:color w:val="auto"/>
                <w:sz w:val="24"/>
                <w:highlight w:val="none"/>
              </w:rPr>
              <w:t>(¥小写</w:t>
            </w:r>
            <w:r>
              <w:rPr>
                <w:rFonts w:hint="eastAsia"/>
                <w:color w:val="auto"/>
                <w:sz w:val="24"/>
                <w:highlight w:val="none"/>
                <w:u w:val="single"/>
              </w:rPr>
              <w:t xml:space="preserve">                         </w:t>
            </w:r>
            <w:r>
              <w:rPr>
                <w:color w:val="auto"/>
                <w:sz w:val="24"/>
                <w:highlight w:val="none"/>
              </w:rPr>
              <w:t>)</w:t>
            </w:r>
          </w:p>
          <w:p w14:paraId="02E83039">
            <w:pPr>
              <w:rPr>
                <w:color w:val="auto"/>
                <w:sz w:val="24"/>
                <w:highlight w:val="none"/>
              </w:rPr>
            </w:pPr>
          </w:p>
          <w:p w14:paraId="2A75BB03">
            <w:pPr>
              <w:rPr>
                <w:color w:val="auto"/>
                <w:sz w:val="24"/>
                <w:highlight w:val="none"/>
              </w:rPr>
            </w:pPr>
            <w:r>
              <w:rPr>
                <w:color w:val="auto"/>
                <w:kern w:val="0"/>
                <w:sz w:val="24"/>
                <w:highlight w:val="none"/>
              </w:rPr>
              <w:t>服务期限</w:t>
            </w:r>
            <w:r>
              <w:rPr>
                <w:color w:val="auto"/>
                <w:sz w:val="24"/>
                <w:highlight w:val="none"/>
              </w:rPr>
              <w:t>：</w:t>
            </w:r>
            <w:r>
              <w:rPr>
                <w:color w:val="auto"/>
                <w:sz w:val="24"/>
                <w:highlight w:val="none"/>
                <w:u w:val="single"/>
              </w:rPr>
              <w:t xml:space="preserve">           </w:t>
            </w:r>
          </w:p>
        </w:tc>
      </w:tr>
      <w:tr w14:paraId="66DB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0074" w:type="dxa"/>
            <w:gridSpan w:val="6"/>
          </w:tcPr>
          <w:p w14:paraId="51359D9C">
            <w:pPr>
              <w:spacing w:line="360" w:lineRule="auto"/>
              <w:rPr>
                <w:rFonts w:hint="eastAsia" w:eastAsia="宋体"/>
                <w:b/>
                <w:color w:val="auto"/>
                <w:highlight w:val="none"/>
                <w:lang w:eastAsia="zh-CN"/>
              </w:rPr>
            </w:pPr>
            <w:r>
              <w:rPr>
                <w:b/>
                <w:color w:val="auto"/>
                <w:szCs w:val="21"/>
                <w:highlight w:val="none"/>
              </w:rPr>
              <w:t>注：1、所有价格均用人民币表示，单位为元</w:t>
            </w:r>
            <w:r>
              <w:rPr>
                <w:rFonts w:hint="eastAsia"/>
                <w:b/>
                <w:color w:val="auto"/>
                <w:szCs w:val="21"/>
                <w:highlight w:val="none"/>
                <w:lang w:eastAsia="zh-CN"/>
              </w:rPr>
              <w:t>。</w:t>
            </w:r>
          </w:p>
          <w:p w14:paraId="5FAEDB97">
            <w:pPr>
              <w:spacing w:line="360" w:lineRule="auto"/>
              <w:ind w:firstLine="405"/>
              <w:rPr>
                <w:b/>
                <w:color w:val="auto"/>
                <w:highlight w:val="none"/>
              </w:rPr>
            </w:pPr>
            <w:r>
              <w:rPr>
                <w:b/>
                <w:color w:val="auto"/>
                <w:highlight w:val="none"/>
              </w:rPr>
              <w:t>2、磋商供应商</w:t>
            </w:r>
            <w:r>
              <w:rPr>
                <w:b/>
                <w:bCs/>
                <w:color w:val="auto"/>
                <w:highlight w:val="none"/>
              </w:rPr>
              <w:t>所</w:t>
            </w:r>
            <w:r>
              <w:rPr>
                <w:b/>
                <w:color w:val="auto"/>
                <w:highlight w:val="none"/>
              </w:rPr>
              <w:t>报价</w:t>
            </w:r>
            <w:r>
              <w:rPr>
                <w:b/>
                <w:bCs/>
                <w:color w:val="auto"/>
                <w:highlight w:val="none"/>
              </w:rPr>
              <w:t>的所有报价表都必须要加盖公章并</w:t>
            </w:r>
            <w:r>
              <w:rPr>
                <w:rFonts w:hint="eastAsia"/>
                <w:b/>
                <w:bCs/>
                <w:color w:val="auto"/>
                <w:highlight w:val="none"/>
                <w:lang w:eastAsia="zh-CN"/>
              </w:rPr>
              <w:t>签字或电子签名</w:t>
            </w:r>
            <w:r>
              <w:rPr>
                <w:b/>
                <w:bCs/>
                <w:color w:val="auto"/>
                <w:highlight w:val="none"/>
              </w:rPr>
              <w:t>，无盖章和</w:t>
            </w:r>
            <w:r>
              <w:rPr>
                <w:rFonts w:hint="eastAsia"/>
                <w:b/>
                <w:bCs/>
                <w:color w:val="auto"/>
                <w:highlight w:val="none"/>
                <w:lang w:eastAsia="zh-CN"/>
              </w:rPr>
              <w:t>签字或电子签名</w:t>
            </w:r>
            <w:r>
              <w:rPr>
                <w:b/>
                <w:bCs/>
                <w:color w:val="auto"/>
                <w:highlight w:val="none"/>
              </w:rPr>
              <w:t>的</w:t>
            </w:r>
            <w:r>
              <w:rPr>
                <w:b/>
                <w:color w:val="auto"/>
                <w:highlight w:val="none"/>
              </w:rPr>
              <w:t>报价</w:t>
            </w:r>
            <w:r>
              <w:rPr>
                <w:b/>
                <w:bCs/>
                <w:color w:val="auto"/>
                <w:highlight w:val="none"/>
              </w:rPr>
              <w:t>无效。</w:t>
            </w:r>
          </w:p>
        </w:tc>
      </w:tr>
    </w:tbl>
    <w:p w14:paraId="0967C640">
      <w:pPr>
        <w:pStyle w:val="16"/>
        <w:spacing w:before="120" w:line="360" w:lineRule="auto"/>
        <w:ind w:firstLine="420"/>
        <w:rPr>
          <w:rFonts w:ascii="Times New Roman" w:hAnsi="Times New Roman"/>
          <w:color w:val="auto"/>
          <w:sz w:val="24"/>
          <w:szCs w:val="24"/>
          <w:highlight w:val="none"/>
        </w:rPr>
      </w:pPr>
    </w:p>
    <w:p w14:paraId="194D7203">
      <w:pPr>
        <w:pStyle w:val="16"/>
        <w:spacing w:before="120" w:line="360" w:lineRule="auto"/>
        <w:ind w:firstLine="420"/>
        <w:rPr>
          <w:rFonts w:ascii="Times New Roman" w:hAnsi="Times New Roman"/>
          <w:color w:val="auto"/>
          <w:sz w:val="24"/>
          <w:szCs w:val="24"/>
          <w:highlight w:val="none"/>
          <w:u w:val="single"/>
        </w:rPr>
      </w:pPr>
      <w:r>
        <w:rPr>
          <w:rFonts w:ascii="Times New Roman" w:hAnsi="Times New Roman"/>
          <w:color w:val="auto"/>
          <w:sz w:val="24"/>
          <w:szCs w:val="24"/>
          <w:highlight w:val="none"/>
        </w:rPr>
        <w:t>法定代表人或委托代理人（</w:t>
      </w:r>
      <w:r>
        <w:rPr>
          <w:rFonts w:hint="eastAsia" w:ascii="Times New Roman" w:hAnsi="Times New Roman"/>
          <w:color w:val="auto"/>
          <w:sz w:val="24"/>
          <w:szCs w:val="24"/>
          <w:highlight w:val="none"/>
          <w:lang w:eastAsia="zh-CN"/>
        </w:rPr>
        <w:t>签字或电子签名</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p>
    <w:p w14:paraId="0B3240F0">
      <w:pPr>
        <w:pStyle w:val="16"/>
        <w:spacing w:before="120" w:line="360" w:lineRule="auto"/>
        <w:ind w:firstLine="420"/>
        <w:rPr>
          <w:rFonts w:ascii="Times New Roman" w:hAnsi="Times New Roman"/>
          <w:color w:val="auto"/>
          <w:sz w:val="24"/>
          <w:szCs w:val="24"/>
          <w:highlight w:val="none"/>
        </w:rPr>
      </w:pPr>
      <w:r>
        <w:rPr>
          <w:rFonts w:ascii="Times New Roman" w:hAnsi="Times New Roman"/>
          <w:color w:val="auto"/>
          <w:sz w:val="24"/>
          <w:szCs w:val="24"/>
          <w:highlight w:val="none"/>
        </w:rPr>
        <w:t>供应商名称（</w:t>
      </w:r>
      <w:r>
        <w:rPr>
          <w:rFonts w:hint="eastAsia" w:ascii="Times New Roman" w:hAnsi="Times New Roman"/>
          <w:color w:val="auto"/>
          <w:sz w:val="24"/>
          <w:highlight w:val="none"/>
        </w:rPr>
        <w:t>电子签</w:t>
      </w:r>
      <w:r>
        <w:rPr>
          <w:rFonts w:ascii="Times New Roman" w:hAnsi="Times New Roman"/>
          <w:color w:val="auto"/>
          <w:sz w:val="24"/>
          <w:highlight w:val="none"/>
        </w:rPr>
        <w:t>章</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p>
    <w:p w14:paraId="2ABE0A05">
      <w:pPr>
        <w:pStyle w:val="16"/>
        <w:spacing w:before="120" w:line="360" w:lineRule="auto"/>
        <w:ind w:firstLine="420"/>
        <w:rPr>
          <w:rFonts w:ascii="Times New Roman" w:hAnsi="Times New Roman"/>
          <w:color w:val="auto"/>
          <w:sz w:val="24"/>
          <w:szCs w:val="24"/>
          <w:highlight w:val="none"/>
        </w:rPr>
      </w:pPr>
      <w:r>
        <w:rPr>
          <w:rFonts w:ascii="Times New Roman" w:hAnsi="Times New Roman"/>
          <w:color w:val="auto"/>
          <w:sz w:val="24"/>
          <w:szCs w:val="24"/>
          <w:highlight w:val="none"/>
        </w:rPr>
        <w:t>日期：</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月</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日</w:t>
      </w:r>
    </w:p>
    <w:p w14:paraId="0E0B9552">
      <w:pPr>
        <w:snapToGrid w:val="0"/>
        <w:jc w:val="center"/>
        <w:rPr>
          <w:b/>
          <w:color w:val="auto"/>
          <w:sz w:val="32"/>
          <w:szCs w:val="32"/>
          <w:highlight w:val="none"/>
        </w:rPr>
      </w:pPr>
    </w:p>
    <w:p w14:paraId="6F05D8EF">
      <w:pPr>
        <w:snapToGrid w:val="0"/>
        <w:jc w:val="center"/>
        <w:rPr>
          <w:b/>
          <w:color w:val="auto"/>
          <w:sz w:val="32"/>
          <w:szCs w:val="32"/>
          <w:highlight w:val="none"/>
        </w:rPr>
        <w:sectPr>
          <w:headerReference r:id="rId6" w:type="default"/>
          <w:footerReference r:id="rId7" w:type="default"/>
          <w:pgSz w:w="11906" w:h="16838"/>
          <w:pgMar w:top="1134" w:right="1134" w:bottom="1134" w:left="1134" w:header="720" w:footer="720" w:gutter="0"/>
          <w:pgNumType w:fmt="decimal"/>
          <w:cols w:space="720" w:num="1"/>
          <w:docGrid w:type="lines" w:linePitch="331" w:charSpace="0"/>
        </w:sectPr>
      </w:pPr>
    </w:p>
    <w:p w14:paraId="1B2CB4C9">
      <w:pPr>
        <w:pStyle w:val="4"/>
        <w:rPr>
          <w:color w:val="auto"/>
          <w:highlight w:val="none"/>
        </w:rPr>
      </w:pPr>
      <w:r>
        <w:rPr>
          <w:color w:val="auto"/>
          <w:highlight w:val="none"/>
        </w:rPr>
        <w:t>磋商声明书（格式）</w:t>
      </w:r>
    </w:p>
    <w:p w14:paraId="47004F85">
      <w:pPr>
        <w:snapToGrid w:val="0"/>
        <w:rPr>
          <w:color w:val="auto"/>
          <w:sz w:val="24"/>
          <w:highlight w:val="none"/>
        </w:rPr>
      </w:pPr>
    </w:p>
    <w:p w14:paraId="78351FD5">
      <w:pPr>
        <w:snapToGrid w:val="0"/>
        <w:rPr>
          <w:color w:val="auto"/>
          <w:sz w:val="24"/>
          <w:highlight w:val="none"/>
        </w:rPr>
      </w:pPr>
    </w:p>
    <w:p w14:paraId="78EB67F2">
      <w:pPr>
        <w:snapToGrid w:val="0"/>
        <w:spacing w:line="360" w:lineRule="auto"/>
        <w:rPr>
          <w:color w:val="auto"/>
          <w:sz w:val="24"/>
          <w:highlight w:val="none"/>
        </w:rPr>
      </w:pPr>
      <w:r>
        <w:rPr>
          <w:color w:val="auto"/>
          <w:sz w:val="24"/>
          <w:highlight w:val="none"/>
        </w:rPr>
        <w:t>致：</w:t>
      </w:r>
      <w:r>
        <w:rPr>
          <w:color w:val="auto"/>
          <w:sz w:val="24"/>
          <w:highlight w:val="none"/>
          <w:u w:val="single"/>
        </w:rPr>
        <w:t xml:space="preserve">         </w:t>
      </w:r>
      <w:r>
        <w:rPr>
          <w:color w:val="auto"/>
          <w:sz w:val="24"/>
          <w:highlight w:val="none"/>
        </w:rPr>
        <w:t>（采购单位名称）：</w:t>
      </w:r>
    </w:p>
    <w:p w14:paraId="77BF7E2B">
      <w:pPr>
        <w:snapToGrid w:val="0"/>
        <w:spacing w:line="360" w:lineRule="auto"/>
        <w:ind w:firstLine="720" w:firstLineChars="300"/>
        <w:jc w:val="left"/>
        <w:rPr>
          <w:color w:val="auto"/>
          <w:sz w:val="24"/>
          <w:highlight w:val="none"/>
        </w:rPr>
      </w:pPr>
      <w:r>
        <w:rPr>
          <w:color w:val="auto"/>
          <w:sz w:val="24"/>
          <w:highlight w:val="none"/>
        </w:rPr>
        <w:t>______（</w:t>
      </w:r>
      <w:r>
        <w:rPr>
          <w:rFonts w:hint="eastAsia"/>
          <w:color w:val="auto"/>
          <w:sz w:val="24"/>
          <w:highlight w:val="none"/>
        </w:rPr>
        <w:t>供应商</w:t>
      </w:r>
      <w:r>
        <w:rPr>
          <w:color w:val="auto"/>
          <w:sz w:val="24"/>
          <w:highlight w:val="none"/>
        </w:rPr>
        <w:t>名称）系中华人民共和国合法企业，经营地址</w:t>
      </w:r>
      <w:r>
        <w:rPr>
          <w:color w:val="auto"/>
          <w:sz w:val="24"/>
          <w:highlight w:val="none"/>
          <w:u w:val="single"/>
        </w:rPr>
        <w:t xml:space="preserve">                      </w:t>
      </w:r>
      <w:r>
        <w:rPr>
          <w:color w:val="auto"/>
          <w:sz w:val="24"/>
          <w:highlight w:val="none"/>
        </w:rPr>
        <w:t>。</w:t>
      </w:r>
    </w:p>
    <w:p w14:paraId="2045A2E6">
      <w:pPr>
        <w:snapToGrid w:val="0"/>
        <w:spacing w:line="360" w:lineRule="auto"/>
        <w:ind w:left="479" w:leftChars="228" w:firstLine="254" w:firstLineChars="106"/>
        <w:rPr>
          <w:color w:val="auto"/>
          <w:sz w:val="24"/>
          <w:highlight w:val="none"/>
        </w:rPr>
      </w:pPr>
      <w:r>
        <w:rPr>
          <w:color w:val="auto"/>
          <w:sz w:val="24"/>
          <w:highlight w:val="none"/>
        </w:rPr>
        <w:t>我___（姓名）系______（供应商名称）的法定代表人，我方愿意参加贵方组织的_____</w:t>
      </w:r>
      <w:r>
        <w:rPr>
          <w:color w:val="auto"/>
          <w:sz w:val="24"/>
          <w:highlight w:val="none"/>
          <w:u w:val="single"/>
        </w:rPr>
        <w:t xml:space="preserve">              </w:t>
      </w:r>
      <w:r>
        <w:rPr>
          <w:color w:val="auto"/>
          <w:sz w:val="24"/>
          <w:highlight w:val="none"/>
        </w:rPr>
        <w:t xml:space="preserve"> 项目的</w:t>
      </w:r>
      <w:r>
        <w:rPr>
          <w:rFonts w:hint="eastAsia"/>
          <w:color w:val="auto"/>
          <w:sz w:val="24"/>
          <w:highlight w:val="none"/>
        </w:rPr>
        <w:t>磋商</w:t>
      </w:r>
      <w:r>
        <w:rPr>
          <w:color w:val="auto"/>
          <w:sz w:val="24"/>
          <w:highlight w:val="none"/>
        </w:rPr>
        <w:t>，为便于贵方公正、择优地确定成交人及其</w:t>
      </w:r>
      <w:r>
        <w:rPr>
          <w:rFonts w:hint="eastAsia"/>
          <w:color w:val="auto"/>
          <w:sz w:val="24"/>
          <w:highlight w:val="none"/>
        </w:rPr>
        <w:t>磋商</w:t>
      </w:r>
      <w:r>
        <w:rPr>
          <w:color w:val="auto"/>
          <w:sz w:val="24"/>
          <w:highlight w:val="none"/>
        </w:rPr>
        <w:t>产品和服务，我方就本次</w:t>
      </w:r>
      <w:r>
        <w:rPr>
          <w:rFonts w:hint="eastAsia"/>
          <w:color w:val="auto"/>
          <w:sz w:val="24"/>
          <w:highlight w:val="none"/>
        </w:rPr>
        <w:t>磋商</w:t>
      </w:r>
      <w:r>
        <w:rPr>
          <w:color w:val="auto"/>
          <w:sz w:val="24"/>
          <w:highlight w:val="none"/>
        </w:rPr>
        <w:t>有关事项郑重声明如下：</w:t>
      </w:r>
    </w:p>
    <w:p w14:paraId="54F6102C">
      <w:pPr>
        <w:snapToGrid w:val="0"/>
        <w:spacing w:line="360" w:lineRule="auto"/>
        <w:ind w:firstLine="480" w:firstLineChars="200"/>
        <w:rPr>
          <w:color w:val="auto"/>
          <w:sz w:val="24"/>
          <w:highlight w:val="none"/>
        </w:rPr>
      </w:pPr>
      <w:r>
        <w:rPr>
          <w:color w:val="auto"/>
          <w:sz w:val="24"/>
          <w:highlight w:val="none"/>
        </w:rPr>
        <w:t>1.我方向贵方提交的所有响应文件、资料都是准确的和真实的。</w:t>
      </w:r>
    </w:p>
    <w:p w14:paraId="7AA9F6E0">
      <w:pPr>
        <w:snapToGrid w:val="0"/>
        <w:spacing w:line="360" w:lineRule="auto"/>
        <w:ind w:firstLine="480" w:firstLineChars="200"/>
        <w:rPr>
          <w:color w:val="auto"/>
          <w:sz w:val="24"/>
          <w:highlight w:val="none"/>
        </w:rPr>
      </w:pPr>
      <w:r>
        <w:rPr>
          <w:color w:val="auto"/>
          <w:sz w:val="24"/>
          <w:highlight w:val="none"/>
        </w:rPr>
        <w:t>2.我方不是采购人的附属机构；在获知本项目采购信息后，与采购人聘请的为此项目提供咨询服务的公司及其附属机构没有任何联系。</w:t>
      </w:r>
    </w:p>
    <w:p w14:paraId="2B9C61B6">
      <w:pPr>
        <w:snapToGrid w:val="0"/>
        <w:spacing w:line="360" w:lineRule="auto"/>
        <w:ind w:firstLine="480" w:firstLineChars="200"/>
        <w:rPr>
          <w:color w:val="auto"/>
          <w:sz w:val="24"/>
          <w:highlight w:val="none"/>
        </w:rPr>
      </w:pPr>
      <w:r>
        <w:rPr>
          <w:color w:val="auto"/>
          <w:sz w:val="24"/>
          <w:highlight w:val="none"/>
        </w:rPr>
        <w:t>3.我方及由本人担任法定代表人的其他机构最近三年内被通报或者被处罚的违法行为有：</w:t>
      </w:r>
      <w:r>
        <w:rPr>
          <w:color w:val="auto"/>
          <w:sz w:val="24"/>
          <w:highlight w:val="none"/>
          <w:u w:val="single"/>
        </w:rPr>
        <w:t>　　　　　　　　　　　　　　　　　　　　　　</w:t>
      </w:r>
      <w:r>
        <w:rPr>
          <w:color w:val="auto"/>
          <w:sz w:val="24"/>
          <w:highlight w:val="none"/>
        </w:rPr>
        <w:t>。</w:t>
      </w:r>
    </w:p>
    <w:p w14:paraId="54FEF3E1">
      <w:pPr>
        <w:snapToGrid w:val="0"/>
        <w:spacing w:line="360" w:lineRule="auto"/>
        <w:ind w:firstLine="480" w:firstLineChars="200"/>
        <w:rPr>
          <w:color w:val="auto"/>
          <w:sz w:val="24"/>
          <w:highlight w:val="none"/>
        </w:rPr>
      </w:pPr>
      <w:r>
        <w:rPr>
          <w:color w:val="auto"/>
          <w:sz w:val="24"/>
          <w:highlight w:val="none"/>
        </w:rPr>
        <w:t>4．我方在“信用中国”或“中国政府采购网”的被列为失信被执行人、重大税收违法案件当事人名单、政府采购严重违法失信行为记录名单情况：</w:t>
      </w:r>
      <w:r>
        <w:rPr>
          <w:color w:val="auto"/>
          <w:sz w:val="24"/>
          <w:highlight w:val="none"/>
          <w:u w:val="single"/>
        </w:rPr>
        <w:t xml:space="preserve">             </w:t>
      </w:r>
      <w:r>
        <w:rPr>
          <w:bCs/>
          <w:color w:val="auto"/>
          <w:sz w:val="24"/>
          <w:highlight w:val="none"/>
        </w:rPr>
        <w:t>。</w:t>
      </w:r>
    </w:p>
    <w:p w14:paraId="35A2C815">
      <w:pPr>
        <w:snapToGrid w:val="0"/>
        <w:spacing w:line="360" w:lineRule="auto"/>
        <w:ind w:firstLine="480" w:firstLineChars="200"/>
        <w:rPr>
          <w:color w:val="auto"/>
          <w:sz w:val="24"/>
          <w:highlight w:val="none"/>
        </w:rPr>
      </w:pPr>
      <w:r>
        <w:rPr>
          <w:color w:val="auto"/>
          <w:sz w:val="24"/>
          <w:highlight w:val="none"/>
        </w:rPr>
        <w:t>5.以上事项如有虚假或隐瞒，我方愿意承担一切后果，并不再寻求任何旨在减轻或免除法律责任的辩解。</w:t>
      </w:r>
    </w:p>
    <w:p w14:paraId="0E18C69D">
      <w:pPr>
        <w:pStyle w:val="14"/>
        <w:tabs>
          <w:tab w:val="left" w:pos="939"/>
        </w:tabs>
        <w:snapToGrid w:val="0"/>
        <w:spacing w:line="360" w:lineRule="auto"/>
        <w:ind w:left="458" w:leftChars="0" w:hanging="458" w:hangingChars="191"/>
        <w:rPr>
          <w:color w:val="auto"/>
          <w:sz w:val="24"/>
          <w:highlight w:val="none"/>
        </w:rPr>
      </w:pPr>
    </w:p>
    <w:p w14:paraId="17479EF0">
      <w:pPr>
        <w:pStyle w:val="14"/>
        <w:tabs>
          <w:tab w:val="left" w:pos="939"/>
        </w:tabs>
        <w:snapToGrid w:val="0"/>
        <w:spacing w:line="360" w:lineRule="auto"/>
        <w:ind w:left="458" w:leftChars="0" w:hanging="458" w:hangingChars="191"/>
        <w:rPr>
          <w:color w:val="auto"/>
          <w:sz w:val="24"/>
          <w:highlight w:val="none"/>
        </w:rPr>
      </w:pPr>
    </w:p>
    <w:p w14:paraId="2E506455">
      <w:pPr>
        <w:pStyle w:val="14"/>
        <w:tabs>
          <w:tab w:val="left" w:pos="939"/>
        </w:tabs>
        <w:snapToGrid w:val="0"/>
        <w:spacing w:line="360" w:lineRule="auto"/>
        <w:ind w:left="458" w:leftChars="0" w:hanging="458" w:hangingChars="191"/>
        <w:rPr>
          <w:color w:val="auto"/>
          <w:sz w:val="24"/>
          <w:highlight w:val="none"/>
        </w:rPr>
      </w:pPr>
    </w:p>
    <w:p w14:paraId="6CB614C6">
      <w:pPr>
        <w:pStyle w:val="42"/>
        <w:snapToGrid w:val="0"/>
        <w:spacing w:line="360" w:lineRule="auto"/>
        <w:rPr>
          <w:rFonts w:ascii="Times New Roman" w:hAnsi="Times New Roman"/>
          <w:color w:val="auto"/>
          <w:szCs w:val="24"/>
          <w:highlight w:val="none"/>
        </w:rPr>
      </w:pPr>
    </w:p>
    <w:p w14:paraId="48CC28D4">
      <w:pPr>
        <w:pStyle w:val="16"/>
        <w:spacing w:before="120" w:line="360" w:lineRule="auto"/>
        <w:ind w:firstLine="420"/>
        <w:rPr>
          <w:rFonts w:ascii="Times New Roman" w:hAnsi="Times New Roman"/>
          <w:color w:val="auto"/>
          <w:sz w:val="24"/>
          <w:szCs w:val="24"/>
          <w:highlight w:val="none"/>
          <w:u w:val="single"/>
        </w:rPr>
      </w:pPr>
      <w:r>
        <w:rPr>
          <w:rFonts w:ascii="Times New Roman" w:hAnsi="Times New Roman"/>
          <w:color w:val="auto"/>
          <w:sz w:val="24"/>
          <w:szCs w:val="24"/>
          <w:highlight w:val="none"/>
        </w:rPr>
        <w:t>法定代表人或委托代理人（</w:t>
      </w:r>
      <w:r>
        <w:rPr>
          <w:rFonts w:hint="eastAsia" w:ascii="Times New Roman" w:hAnsi="Times New Roman"/>
          <w:color w:val="auto"/>
          <w:sz w:val="24"/>
          <w:szCs w:val="24"/>
          <w:highlight w:val="none"/>
          <w:lang w:eastAsia="zh-CN"/>
        </w:rPr>
        <w:t>签字或电子签名</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p>
    <w:p w14:paraId="19FA6467">
      <w:pPr>
        <w:pStyle w:val="16"/>
        <w:spacing w:before="120" w:line="360" w:lineRule="auto"/>
        <w:ind w:firstLine="420"/>
        <w:rPr>
          <w:rFonts w:ascii="Times New Roman" w:hAnsi="Times New Roman"/>
          <w:color w:val="auto"/>
          <w:sz w:val="24"/>
          <w:szCs w:val="24"/>
          <w:highlight w:val="none"/>
        </w:rPr>
      </w:pPr>
      <w:r>
        <w:rPr>
          <w:rFonts w:ascii="Times New Roman" w:hAnsi="Times New Roman"/>
          <w:color w:val="auto"/>
          <w:sz w:val="24"/>
          <w:szCs w:val="24"/>
          <w:highlight w:val="none"/>
        </w:rPr>
        <w:t>供应商名称（</w:t>
      </w:r>
      <w:r>
        <w:rPr>
          <w:rFonts w:hint="eastAsia" w:ascii="Times New Roman" w:hAnsi="Times New Roman"/>
          <w:color w:val="auto"/>
          <w:sz w:val="24"/>
          <w:highlight w:val="none"/>
        </w:rPr>
        <w:t>电子签</w:t>
      </w:r>
      <w:r>
        <w:rPr>
          <w:rFonts w:ascii="Times New Roman" w:hAnsi="Times New Roman"/>
          <w:color w:val="auto"/>
          <w:sz w:val="24"/>
          <w:highlight w:val="none"/>
        </w:rPr>
        <w:t>章</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p>
    <w:p w14:paraId="1D564050">
      <w:pPr>
        <w:pStyle w:val="16"/>
        <w:spacing w:before="120" w:line="360" w:lineRule="auto"/>
        <w:ind w:firstLine="420"/>
        <w:rPr>
          <w:rFonts w:ascii="Times New Roman" w:hAnsi="Times New Roman"/>
          <w:color w:val="auto"/>
          <w:sz w:val="24"/>
          <w:szCs w:val="24"/>
          <w:highlight w:val="none"/>
        </w:rPr>
      </w:pPr>
      <w:r>
        <w:rPr>
          <w:rFonts w:ascii="Times New Roman" w:hAnsi="Times New Roman"/>
          <w:color w:val="auto"/>
          <w:sz w:val="24"/>
          <w:szCs w:val="24"/>
          <w:highlight w:val="none"/>
        </w:rPr>
        <w:t>日期：</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月</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日</w:t>
      </w:r>
    </w:p>
    <w:p w14:paraId="13529011">
      <w:pPr>
        <w:spacing w:line="500" w:lineRule="exact"/>
        <w:rPr>
          <w:color w:val="auto"/>
          <w:sz w:val="28"/>
          <w:szCs w:val="28"/>
          <w:highlight w:val="none"/>
        </w:rPr>
      </w:pPr>
    </w:p>
    <w:p w14:paraId="1875CBEB">
      <w:pPr>
        <w:spacing w:line="500" w:lineRule="exact"/>
        <w:rPr>
          <w:color w:val="auto"/>
          <w:sz w:val="28"/>
          <w:szCs w:val="28"/>
          <w:highlight w:val="none"/>
        </w:rPr>
      </w:pPr>
    </w:p>
    <w:p w14:paraId="6B6A3828">
      <w:pPr>
        <w:spacing w:line="500" w:lineRule="exact"/>
        <w:rPr>
          <w:color w:val="auto"/>
          <w:sz w:val="28"/>
          <w:szCs w:val="28"/>
          <w:highlight w:val="none"/>
        </w:rPr>
      </w:pPr>
    </w:p>
    <w:p w14:paraId="3890A302">
      <w:pPr>
        <w:spacing w:line="500" w:lineRule="exact"/>
        <w:rPr>
          <w:color w:val="auto"/>
          <w:sz w:val="28"/>
          <w:szCs w:val="28"/>
          <w:highlight w:val="none"/>
        </w:rPr>
      </w:pPr>
    </w:p>
    <w:p w14:paraId="179555FF">
      <w:pPr>
        <w:spacing w:line="500" w:lineRule="exact"/>
        <w:jc w:val="center"/>
        <w:rPr>
          <w:b/>
          <w:bCs/>
          <w:color w:val="auto"/>
          <w:spacing w:val="6"/>
          <w:sz w:val="36"/>
          <w:szCs w:val="36"/>
          <w:highlight w:val="none"/>
        </w:rPr>
      </w:pPr>
      <w:r>
        <w:rPr>
          <w:b/>
          <w:bCs/>
          <w:color w:val="auto"/>
          <w:spacing w:val="6"/>
          <w:sz w:val="36"/>
          <w:szCs w:val="36"/>
          <w:highlight w:val="none"/>
        </w:rPr>
        <w:br w:type="page"/>
      </w:r>
    </w:p>
    <w:p w14:paraId="7EEF1622">
      <w:pPr>
        <w:pStyle w:val="4"/>
        <w:rPr>
          <w:color w:val="auto"/>
          <w:highlight w:val="none"/>
        </w:rPr>
      </w:pPr>
      <w:r>
        <w:rPr>
          <w:color w:val="auto"/>
          <w:highlight w:val="none"/>
        </w:rPr>
        <w:t>中小企业声明函（服务）</w:t>
      </w:r>
    </w:p>
    <w:p w14:paraId="3BD9976B">
      <w:pPr>
        <w:spacing w:line="500" w:lineRule="exact"/>
        <w:jc w:val="center"/>
        <w:rPr>
          <w:color w:val="auto"/>
          <w:sz w:val="28"/>
          <w:szCs w:val="28"/>
          <w:highlight w:val="none"/>
        </w:rPr>
      </w:pPr>
      <w:r>
        <w:rPr>
          <w:color w:val="auto"/>
          <w:sz w:val="28"/>
          <w:szCs w:val="28"/>
          <w:highlight w:val="none"/>
        </w:rPr>
        <w:t xml:space="preserve"> </w:t>
      </w:r>
    </w:p>
    <w:p w14:paraId="3C46D9FA">
      <w:pPr>
        <w:widowControl/>
        <w:shd w:val="clear" w:color="auto" w:fill="FFFFFF"/>
        <w:spacing w:after="240"/>
        <w:ind w:firstLine="480"/>
        <w:jc w:val="left"/>
        <w:rPr>
          <w:color w:val="auto"/>
          <w:kern w:val="0"/>
          <w:sz w:val="24"/>
          <w:highlight w:val="none"/>
        </w:rPr>
      </w:pPr>
      <w:r>
        <w:rPr>
          <w:color w:val="auto"/>
          <w:kern w:val="0"/>
          <w:sz w:val="24"/>
          <w:highlight w:val="none"/>
        </w:rPr>
        <w:t>本公司（联合体）郑重声明，根据《政府采购促进中小企业发展管理办法》（财库﹝2020﹞46号）的规定，本公司（联合体）参加</w:t>
      </w:r>
      <w:r>
        <w:rPr>
          <w:color w:val="auto"/>
          <w:kern w:val="0"/>
          <w:sz w:val="24"/>
          <w:highlight w:val="none"/>
          <w:u w:val="single"/>
        </w:rPr>
        <w:t xml:space="preserve"> （单位名称） </w:t>
      </w:r>
      <w:r>
        <w:rPr>
          <w:color w:val="auto"/>
          <w:kern w:val="0"/>
          <w:sz w:val="24"/>
          <w:highlight w:val="none"/>
        </w:rPr>
        <w:t xml:space="preserve">的 </w:t>
      </w:r>
      <w:r>
        <w:rPr>
          <w:color w:val="auto"/>
          <w:kern w:val="0"/>
          <w:sz w:val="24"/>
          <w:highlight w:val="none"/>
          <w:u w:val="single"/>
        </w:rPr>
        <w:t xml:space="preserve">（项目名称） </w:t>
      </w:r>
      <w:r>
        <w:rPr>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AF1CCDB">
      <w:pPr>
        <w:widowControl/>
        <w:shd w:val="clear" w:color="auto" w:fill="FFFFFF"/>
        <w:spacing w:after="240" w:line="360" w:lineRule="atLeast"/>
        <w:ind w:firstLine="480"/>
        <w:jc w:val="left"/>
        <w:rPr>
          <w:color w:val="auto"/>
          <w:kern w:val="0"/>
          <w:sz w:val="24"/>
          <w:highlight w:val="none"/>
          <w:u w:val="single"/>
        </w:rPr>
      </w:pPr>
      <w:r>
        <w:rPr>
          <w:color w:val="auto"/>
          <w:kern w:val="0"/>
          <w:sz w:val="24"/>
          <w:highlight w:val="none"/>
        </w:rPr>
        <w:t xml:space="preserve">1. </w:t>
      </w:r>
      <w:r>
        <w:rPr>
          <w:color w:val="auto"/>
          <w:kern w:val="0"/>
          <w:sz w:val="24"/>
          <w:highlight w:val="none"/>
          <w:u w:val="single"/>
        </w:rPr>
        <w:t xml:space="preserve">（标的名称） </w:t>
      </w:r>
      <w:r>
        <w:rPr>
          <w:color w:val="auto"/>
          <w:kern w:val="0"/>
          <w:sz w:val="24"/>
          <w:highlight w:val="none"/>
        </w:rPr>
        <w:t>，属于</w:t>
      </w:r>
      <w:r>
        <w:rPr>
          <w:color w:val="auto"/>
          <w:kern w:val="0"/>
          <w:sz w:val="24"/>
          <w:highlight w:val="none"/>
          <w:u w:val="single"/>
        </w:rPr>
        <w:t xml:space="preserve"> （采购文件中明确的所属行业） </w:t>
      </w:r>
      <w:r>
        <w:rPr>
          <w:color w:val="auto"/>
          <w:kern w:val="0"/>
          <w:sz w:val="24"/>
          <w:highlight w:val="none"/>
        </w:rPr>
        <w:t>；承建（承接）企业为</w:t>
      </w:r>
      <w:r>
        <w:rPr>
          <w:color w:val="auto"/>
          <w:kern w:val="0"/>
          <w:sz w:val="24"/>
          <w:highlight w:val="none"/>
          <w:u w:val="single"/>
        </w:rPr>
        <w:t xml:space="preserve"> （企业名称） </w:t>
      </w:r>
      <w:r>
        <w:rPr>
          <w:color w:val="auto"/>
          <w:kern w:val="0"/>
          <w:sz w:val="24"/>
          <w:highlight w:val="none"/>
        </w:rPr>
        <w:t>，从业人员</w:t>
      </w:r>
      <w:r>
        <w:rPr>
          <w:color w:val="auto"/>
          <w:kern w:val="0"/>
          <w:sz w:val="24"/>
          <w:highlight w:val="none"/>
          <w:u w:val="single"/>
        </w:rPr>
        <w:t xml:space="preserve">   </w:t>
      </w:r>
      <w:r>
        <w:rPr>
          <w:color w:val="auto"/>
          <w:kern w:val="0"/>
          <w:sz w:val="24"/>
          <w:highlight w:val="none"/>
        </w:rPr>
        <w:t>人，营业收入为</w:t>
      </w:r>
      <w:r>
        <w:rPr>
          <w:color w:val="auto"/>
          <w:kern w:val="0"/>
          <w:sz w:val="24"/>
          <w:highlight w:val="none"/>
          <w:u w:val="single"/>
        </w:rPr>
        <w:t xml:space="preserve">   </w:t>
      </w:r>
      <w:r>
        <w:rPr>
          <w:color w:val="auto"/>
          <w:kern w:val="0"/>
          <w:sz w:val="24"/>
          <w:highlight w:val="none"/>
        </w:rPr>
        <w:t>万元¹，资产总额为</w:t>
      </w:r>
      <w:r>
        <w:rPr>
          <w:color w:val="auto"/>
          <w:kern w:val="0"/>
          <w:sz w:val="24"/>
          <w:highlight w:val="none"/>
          <w:u w:val="single"/>
        </w:rPr>
        <w:t xml:space="preserve">   </w:t>
      </w:r>
      <w:r>
        <w:rPr>
          <w:color w:val="auto"/>
          <w:kern w:val="0"/>
          <w:sz w:val="24"/>
          <w:highlight w:val="none"/>
        </w:rPr>
        <w:t>万元，属于</w:t>
      </w:r>
      <w:r>
        <w:rPr>
          <w:color w:val="auto"/>
          <w:kern w:val="0"/>
          <w:sz w:val="24"/>
          <w:highlight w:val="none"/>
          <w:u w:val="single"/>
        </w:rPr>
        <w:t xml:space="preserve"> （中型企业、小型企业、微型企业）；</w:t>
      </w:r>
    </w:p>
    <w:p w14:paraId="6856B667">
      <w:pPr>
        <w:widowControl/>
        <w:shd w:val="clear" w:color="auto" w:fill="FFFFFF"/>
        <w:spacing w:after="240" w:line="360" w:lineRule="atLeast"/>
        <w:ind w:firstLine="480"/>
        <w:jc w:val="left"/>
        <w:rPr>
          <w:color w:val="auto"/>
          <w:kern w:val="0"/>
          <w:sz w:val="24"/>
          <w:highlight w:val="none"/>
        </w:rPr>
      </w:pPr>
      <w:r>
        <w:rPr>
          <w:color w:val="auto"/>
          <w:kern w:val="0"/>
          <w:sz w:val="24"/>
          <w:highlight w:val="none"/>
        </w:rPr>
        <w:t>2.</w:t>
      </w:r>
      <w:r>
        <w:rPr>
          <w:color w:val="auto"/>
          <w:kern w:val="0"/>
          <w:sz w:val="24"/>
          <w:highlight w:val="none"/>
          <w:u w:val="single"/>
        </w:rPr>
        <w:t xml:space="preserve"> （标的名称） </w:t>
      </w:r>
      <w:r>
        <w:rPr>
          <w:color w:val="auto"/>
          <w:kern w:val="0"/>
          <w:sz w:val="24"/>
          <w:highlight w:val="none"/>
        </w:rPr>
        <w:t>，属于</w:t>
      </w:r>
      <w:r>
        <w:rPr>
          <w:color w:val="auto"/>
          <w:kern w:val="0"/>
          <w:sz w:val="24"/>
          <w:highlight w:val="none"/>
          <w:u w:val="single"/>
        </w:rPr>
        <w:t xml:space="preserve"> （采购文件中明确的所属行业）</w:t>
      </w:r>
      <w:r>
        <w:rPr>
          <w:color w:val="auto"/>
          <w:kern w:val="0"/>
          <w:sz w:val="24"/>
          <w:highlight w:val="none"/>
        </w:rPr>
        <w:t xml:space="preserve"> ；承建（承接）企业为</w:t>
      </w:r>
      <w:r>
        <w:rPr>
          <w:color w:val="auto"/>
          <w:kern w:val="0"/>
          <w:sz w:val="24"/>
          <w:highlight w:val="none"/>
          <w:u w:val="single"/>
        </w:rPr>
        <w:t xml:space="preserve"> （企业名称） </w:t>
      </w:r>
      <w:r>
        <w:rPr>
          <w:color w:val="auto"/>
          <w:kern w:val="0"/>
          <w:sz w:val="24"/>
          <w:highlight w:val="none"/>
        </w:rPr>
        <w:t>，从业人员</w:t>
      </w:r>
      <w:r>
        <w:rPr>
          <w:color w:val="auto"/>
          <w:kern w:val="0"/>
          <w:sz w:val="24"/>
          <w:highlight w:val="none"/>
          <w:u w:val="single"/>
        </w:rPr>
        <w:t xml:space="preserve">     </w:t>
      </w:r>
      <w:r>
        <w:rPr>
          <w:color w:val="auto"/>
          <w:kern w:val="0"/>
          <w:sz w:val="24"/>
          <w:highlight w:val="none"/>
        </w:rPr>
        <w:t>人，营业收入为</w:t>
      </w:r>
      <w:r>
        <w:rPr>
          <w:color w:val="auto"/>
          <w:kern w:val="0"/>
          <w:sz w:val="24"/>
          <w:highlight w:val="none"/>
          <w:u w:val="single"/>
        </w:rPr>
        <w:t xml:space="preserve">   </w:t>
      </w:r>
      <w:r>
        <w:rPr>
          <w:color w:val="auto"/>
          <w:kern w:val="0"/>
          <w:sz w:val="24"/>
          <w:highlight w:val="none"/>
        </w:rPr>
        <w:t>万元，资产总额为</w:t>
      </w:r>
      <w:r>
        <w:rPr>
          <w:color w:val="auto"/>
          <w:kern w:val="0"/>
          <w:sz w:val="24"/>
          <w:highlight w:val="none"/>
          <w:u w:val="single"/>
        </w:rPr>
        <w:t xml:space="preserve">   </w:t>
      </w:r>
      <w:r>
        <w:rPr>
          <w:color w:val="auto"/>
          <w:kern w:val="0"/>
          <w:sz w:val="24"/>
          <w:highlight w:val="none"/>
        </w:rPr>
        <w:t>万元，属于</w:t>
      </w:r>
      <w:r>
        <w:rPr>
          <w:color w:val="auto"/>
          <w:kern w:val="0"/>
          <w:sz w:val="24"/>
          <w:highlight w:val="none"/>
          <w:u w:val="single"/>
        </w:rPr>
        <w:t xml:space="preserve"> （中型企业、小型企业、微型企业） </w:t>
      </w:r>
      <w:r>
        <w:rPr>
          <w:color w:val="auto"/>
          <w:kern w:val="0"/>
          <w:sz w:val="24"/>
          <w:highlight w:val="none"/>
        </w:rPr>
        <w:t>；</w:t>
      </w:r>
    </w:p>
    <w:p w14:paraId="2996763F">
      <w:pPr>
        <w:widowControl/>
        <w:shd w:val="clear" w:color="auto" w:fill="FFFFFF"/>
        <w:spacing w:after="240" w:line="360" w:lineRule="atLeast"/>
        <w:ind w:firstLine="480"/>
        <w:jc w:val="left"/>
        <w:rPr>
          <w:color w:val="auto"/>
          <w:kern w:val="0"/>
          <w:sz w:val="24"/>
          <w:highlight w:val="none"/>
        </w:rPr>
      </w:pPr>
      <w:r>
        <w:rPr>
          <w:color w:val="auto"/>
          <w:kern w:val="0"/>
          <w:sz w:val="24"/>
          <w:highlight w:val="none"/>
        </w:rPr>
        <w:t> .........</w:t>
      </w:r>
    </w:p>
    <w:p w14:paraId="2485DB94">
      <w:pPr>
        <w:widowControl/>
        <w:shd w:val="clear" w:color="auto" w:fill="FFFFFF"/>
        <w:spacing w:after="240" w:line="360" w:lineRule="atLeast"/>
        <w:ind w:firstLine="480"/>
        <w:jc w:val="left"/>
        <w:rPr>
          <w:color w:val="auto"/>
          <w:kern w:val="0"/>
          <w:sz w:val="24"/>
          <w:highlight w:val="none"/>
        </w:rPr>
      </w:pPr>
      <w:r>
        <w:rPr>
          <w:color w:val="auto"/>
          <w:kern w:val="0"/>
          <w:sz w:val="24"/>
          <w:highlight w:val="none"/>
        </w:rPr>
        <w:t>以上企业，不属于大企业的分支机构，不存在控股股东为大企业的情形，也不存在与大企业的负责人为同一人的情形。　　　　　　　　　　　　</w:t>
      </w:r>
    </w:p>
    <w:p w14:paraId="35D12BC4">
      <w:pPr>
        <w:widowControl/>
        <w:shd w:val="clear" w:color="auto" w:fill="FFFFFF"/>
        <w:spacing w:after="240" w:line="360" w:lineRule="atLeast"/>
        <w:ind w:firstLine="480" w:firstLineChars="200"/>
        <w:jc w:val="left"/>
        <w:rPr>
          <w:color w:val="auto"/>
          <w:kern w:val="0"/>
          <w:sz w:val="24"/>
          <w:highlight w:val="none"/>
        </w:rPr>
      </w:pPr>
      <w:r>
        <w:rPr>
          <w:color w:val="auto"/>
          <w:kern w:val="0"/>
          <w:sz w:val="24"/>
          <w:highlight w:val="none"/>
        </w:rPr>
        <w:t>本企业对上述声明内容的真实性负责。如有虚假，将依法承担相应责任。　　　　　　　　　　　</w:t>
      </w:r>
    </w:p>
    <w:p w14:paraId="5FEF6FA7">
      <w:pPr>
        <w:widowControl/>
        <w:shd w:val="clear" w:color="auto" w:fill="FFFFFF"/>
        <w:spacing w:after="240" w:line="360" w:lineRule="atLeast"/>
        <w:ind w:firstLine="6000" w:firstLineChars="2500"/>
        <w:jc w:val="left"/>
        <w:rPr>
          <w:color w:val="auto"/>
          <w:kern w:val="0"/>
          <w:sz w:val="24"/>
          <w:highlight w:val="none"/>
        </w:rPr>
      </w:pPr>
      <w:r>
        <w:rPr>
          <w:color w:val="auto"/>
          <w:kern w:val="0"/>
          <w:sz w:val="24"/>
          <w:highlight w:val="none"/>
        </w:rPr>
        <w:t>企业名称（</w:t>
      </w:r>
      <w:r>
        <w:rPr>
          <w:rFonts w:hint="eastAsia"/>
          <w:color w:val="auto"/>
          <w:sz w:val="24"/>
          <w:highlight w:val="none"/>
        </w:rPr>
        <w:t>电子签</w:t>
      </w:r>
      <w:r>
        <w:rPr>
          <w:color w:val="auto"/>
          <w:sz w:val="24"/>
          <w:highlight w:val="none"/>
        </w:rPr>
        <w:t>章</w:t>
      </w:r>
      <w:r>
        <w:rPr>
          <w:color w:val="auto"/>
          <w:kern w:val="0"/>
          <w:sz w:val="24"/>
          <w:highlight w:val="none"/>
        </w:rPr>
        <w:t>）：</w:t>
      </w:r>
    </w:p>
    <w:p w14:paraId="26E5551B">
      <w:pPr>
        <w:widowControl/>
        <w:shd w:val="clear" w:color="auto" w:fill="FFFFFF"/>
        <w:spacing w:after="240" w:line="360" w:lineRule="atLeast"/>
        <w:ind w:firstLine="480"/>
        <w:jc w:val="left"/>
        <w:rPr>
          <w:color w:val="auto"/>
          <w:kern w:val="0"/>
          <w:sz w:val="24"/>
          <w:highlight w:val="none"/>
        </w:rPr>
      </w:pPr>
      <w:r>
        <w:rPr>
          <w:color w:val="auto"/>
          <w:kern w:val="0"/>
          <w:sz w:val="24"/>
          <w:highlight w:val="none"/>
        </w:rPr>
        <w:t> 　　　　　　　　　　　　　　　　　　　　　　 日期：     年   月   日</w:t>
      </w:r>
    </w:p>
    <w:p w14:paraId="676B1CBA">
      <w:pPr>
        <w:snapToGrid w:val="0"/>
        <w:spacing w:line="400" w:lineRule="exact"/>
        <w:jc w:val="left"/>
        <w:rPr>
          <w:color w:val="auto"/>
          <w:sz w:val="22"/>
          <w:szCs w:val="22"/>
          <w:highlight w:val="none"/>
        </w:rPr>
      </w:pPr>
    </w:p>
    <w:p w14:paraId="1A4E020E">
      <w:pPr>
        <w:snapToGrid w:val="0"/>
        <w:spacing w:line="400" w:lineRule="exact"/>
        <w:jc w:val="left"/>
        <w:rPr>
          <w:color w:val="auto"/>
          <w:sz w:val="22"/>
          <w:szCs w:val="22"/>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167640</wp:posOffset>
                </wp:positionV>
                <wp:extent cx="1854200" cy="19050"/>
                <wp:effectExtent l="0" t="4445" r="12700" b="5080"/>
                <wp:wrapNone/>
                <wp:docPr id="4" name="直接连接符 4"/>
                <wp:cNvGraphicFramePr/>
                <a:graphic xmlns:a="http://schemas.openxmlformats.org/drawingml/2006/main">
                  <a:graphicData uri="http://schemas.microsoft.com/office/word/2010/wordprocessingShape">
                    <wps:wsp>
                      <wps:cNvCnPr/>
                      <wps:spPr>
                        <a:xfrm>
                          <a:off x="0" y="0"/>
                          <a:ext cx="1854200" cy="190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25pt;margin-top:13.2pt;height:1.5pt;width:146pt;z-index:251659264;mso-width-relative:page;mso-height-relative:page;" filled="f" stroked="t" coordsize="21600,21600" o:gfxdata="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lnVLI1QAAAAcBAAAPAAAAAAAAAAEAIAAAACIAAABkcnMvZG93bnJldi54bWxQSwECFAAUAAAA&#10;CACHTuJAJZwFC/EBAADcAwAADgAAAAAAAAABACAAAAAkAQAAZHJzL2Uyb0RvYy54bWxQSwUGAAAA&#10;AAYABgBZAQAAhwUAAAAA&#10;">
                <v:fill on="f" focussize="0,0"/>
                <v:stroke color="#000000" joinstyle="round"/>
                <v:imagedata o:title=""/>
                <o:lock v:ext="edit" aspectratio="f"/>
              </v:line>
            </w:pict>
          </mc:Fallback>
        </mc:AlternateContent>
      </w:r>
    </w:p>
    <w:p w14:paraId="127E89AA">
      <w:pPr>
        <w:spacing w:line="360" w:lineRule="auto"/>
        <w:rPr>
          <w:color w:val="auto"/>
          <w:sz w:val="24"/>
          <w:highlight w:val="none"/>
        </w:rPr>
      </w:pPr>
      <w:r>
        <w:rPr>
          <w:color w:val="auto"/>
          <w:sz w:val="22"/>
          <w:szCs w:val="22"/>
          <w:highlight w:val="none"/>
        </w:rPr>
        <w:t>¹</w:t>
      </w:r>
      <w:r>
        <w:rPr>
          <w:color w:val="auto"/>
          <w:szCs w:val="21"/>
          <w:highlight w:val="none"/>
        </w:rPr>
        <w:t>从业人员、营业收入、资产总额填报上一年度数据，无上一年度数据的新成立企业可不填报。</w:t>
      </w:r>
    </w:p>
    <w:p w14:paraId="72C87338">
      <w:pPr>
        <w:spacing w:line="360" w:lineRule="auto"/>
        <w:rPr>
          <w:color w:val="auto"/>
          <w:szCs w:val="21"/>
          <w:highlight w:val="none"/>
        </w:rPr>
      </w:pPr>
      <w:r>
        <w:rPr>
          <w:color w:val="auto"/>
          <w:highlight w:val="none"/>
          <w:vertAlign w:val="superscript"/>
        </w:rPr>
        <w:t>2</w:t>
      </w:r>
      <w:r>
        <w:rPr>
          <w:color w:val="auto"/>
          <w:szCs w:val="21"/>
          <w:highlight w:val="none"/>
        </w:rPr>
        <w:t>本项目服务所属行业为：</w:t>
      </w:r>
      <w:r>
        <w:rPr>
          <w:rFonts w:hint="eastAsia"/>
          <w:color w:val="auto"/>
          <w:szCs w:val="21"/>
          <w:highlight w:val="none"/>
          <w:lang w:val="en-US" w:eastAsia="zh-CN"/>
        </w:rPr>
        <w:t>物业管理</w:t>
      </w:r>
      <w:r>
        <w:rPr>
          <w:color w:val="auto"/>
          <w:szCs w:val="21"/>
          <w:highlight w:val="none"/>
        </w:rPr>
        <w:t>。</w:t>
      </w:r>
    </w:p>
    <w:p w14:paraId="762744F0">
      <w:pPr>
        <w:pStyle w:val="18"/>
        <w:rPr>
          <w:rFonts w:ascii="Times New Roman" w:hAnsi="Times New Roman"/>
          <w:color w:val="auto"/>
          <w:sz w:val="22"/>
          <w:szCs w:val="22"/>
          <w:highlight w:val="none"/>
        </w:rPr>
      </w:pPr>
    </w:p>
    <w:p w14:paraId="38F574D1">
      <w:pPr>
        <w:pStyle w:val="34"/>
        <w:rPr>
          <w:rFonts w:ascii="Times New Roman"/>
          <w:color w:val="auto"/>
          <w:highlight w:val="none"/>
        </w:rPr>
      </w:pPr>
    </w:p>
    <w:p w14:paraId="5954270C">
      <w:pPr>
        <w:pStyle w:val="17"/>
        <w:rPr>
          <w:color w:val="auto"/>
          <w:highlight w:val="none"/>
        </w:rPr>
      </w:pPr>
    </w:p>
    <w:p w14:paraId="5F97F8C8">
      <w:pPr>
        <w:rPr>
          <w:color w:val="auto"/>
          <w:highlight w:val="none"/>
        </w:rPr>
      </w:pPr>
    </w:p>
    <w:p w14:paraId="52FA21D2">
      <w:pPr>
        <w:rPr>
          <w:color w:val="auto"/>
          <w:highlight w:val="none"/>
        </w:rPr>
      </w:pPr>
    </w:p>
    <w:p w14:paraId="6679D01A">
      <w:pPr>
        <w:rPr>
          <w:color w:val="auto"/>
          <w:highlight w:val="none"/>
        </w:rPr>
      </w:pPr>
    </w:p>
    <w:p w14:paraId="48E04E44">
      <w:pPr>
        <w:spacing w:line="588" w:lineRule="exact"/>
        <w:rPr>
          <w:b/>
          <w:color w:val="auto"/>
          <w:spacing w:val="6"/>
          <w:sz w:val="36"/>
          <w:szCs w:val="36"/>
          <w:highlight w:val="none"/>
        </w:rPr>
      </w:pPr>
    </w:p>
    <w:p w14:paraId="2FB47890">
      <w:pPr>
        <w:pStyle w:val="12"/>
        <w:rPr>
          <w:b/>
          <w:color w:val="auto"/>
          <w:spacing w:val="6"/>
          <w:sz w:val="36"/>
          <w:szCs w:val="36"/>
          <w:highlight w:val="none"/>
        </w:rPr>
      </w:pPr>
    </w:p>
    <w:p w14:paraId="491F1808">
      <w:pPr>
        <w:rPr>
          <w:color w:val="auto"/>
          <w:highlight w:val="none"/>
        </w:rPr>
      </w:pPr>
    </w:p>
    <w:p w14:paraId="3762D81B">
      <w:pPr>
        <w:pStyle w:val="4"/>
        <w:rPr>
          <w:color w:val="auto"/>
          <w:highlight w:val="none"/>
        </w:rPr>
      </w:pPr>
    </w:p>
    <w:p w14:paraId="5C51429C">
      <w:pPr>
        <w:pStyle w:val="4"/>
        <w:rPr>
          <w:color w:val="auto"/>
          <w:highlight w:val="none"/>
        </w:rPr>
      </w:pPr>
      <w:r>
        <w:rPr>
          <w:color w:val="auto"/>
          <w:highlight w:val="none"/>
        </w:rPr>
        <w:t>残疾人福利性单位声明函（格式）</w:t>
      </w:r>
    </w:p>
    <w:p w14:paraId="3ED3AC6C">
      <w:pPr>
        <w:spacing w:line="588" w:lineRule="exact"/>
        <w:rPr>
          <w:b/>
          <w:color w:val="auto"/>
          <w:spacing w:val="6"/>
          <w:sz w:val="24"/>
          <w:highlight w:val="none"/>
        </w:rPr>
      </w:pPr>
    </w:p>
    <w:p w14:paraId="11BA3A40">
      <w:pPr>
        <w:spacing w:line="588" w:lineRule="exact"/>
        <w:ind w:firstLine="504" w:firstLineChars="200"/>
        <w:rPr>
          <w:color w:val="auto"/>
          <w:spacing w:val="6"/>
          <w:sz w:val="24"/>
          <w:highlight w:val="none"/>
        </w:rPr>
      </w:pPr>
      <w:r>
        <w:rPr>
          <w:color w:val="auto"/>
          <w:spacing w:val="6"/>
          <w:sz w:val="24"/>
          <w:highlight w:val="none"/>
        </w:rPr>
        <w:t>本单位郑重声明，根据《财政部 民政部 中国残疾人联合会关于促进残疾人就业政府采购政策的通知》（财库</w:t>
      </w:r>
      <w:r>
        <w:rPr>
          <w:color w:val="auto"/>
          <w:sz w:val="24"/>
          <w:highlight w:val="none"/>
        </w:rPr>
        <w:t>〔2017〕 141</w:t>
      </w:r>
      <w:r>
        <w:rPr>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E2696C2">
      <w:pPr>
        <w:spacing w:line="588" w:lineRule="exact"/>
        <w:ind w:firstLine="504" w:firstLineChars="200"/>
        <w:rPr>
          <w:color w:val="auto"/>
          <w:spacing w:val="6"/>
          <w:sz w:val="24"/>
          <w:highlight w:val="none"/>
        </w:rPr>
      </w:pPr>
      <w:r>
        <w:rPr>
          <w:color w:val="auto"/>
          <w:spacing w:val="6"/>
          <w:sz w:val="24"/>
          <w:highlight w:val="none"/>
        </w:rPr>
        <w:t>本单位对上述声明的真实性负责。如有虚假，将依法承担相应责任。</w:t>
      </w:r>
    </w:p>
    <w:p w14:paraId="48EC2758">
      <w:pPr>
        <w:spacing w:line="588" w:lineRule="exact"/>
        <w:ind w:firstLine="504" w:firstLineChars="200"/>
        <w:rPr>
          <w:color w:val="auto"/>
          <w:spacing w:val="6"/>
          <w:sz w:val="24"/>
          <w:highlight w:val="none"/>
        </w:rPr>
      </w:pPr>
    </w:p>
    <w:p w14:paraId="3C614A5A">
      <w:pPr>
        <w:spacing w:line="588" w:lineRule="exact"/>
        <w:ind w:firstLine="504" w:firstLineChars="200"/>
        <w:rPr>
          <w:color w:val="auto"/>
          <w:spacing w:val="6"/>
          <w:sz w:val="24"/>
          <w:highlight w:val="none"/>
        </w:rPr>
      </w:pPr>
    </w:p>
    <w:p w14:paraId="5C7D5A2F">
      <w:pPr>
        <w:pStyle w:val="16"/>
        <w:spacing w:before="120" w:line="360" w:lineRule="auto"/>
        <w:ind w:firstLine="2520" w:firstLineChars="1000"/>
        <w:rPr>
          <w:rFonts w:ascii="Times New Roman" w:hAnsi="Times New Roman"/>
          <w:color w:val="auto"/>
          <w:sz w:val="24"/>
          <w:szCs w:val="24"/>
          <w:highlight w:val="none"/>
          <w:u w:val="single"/>
        </w:rPr>
      </w:pPr>
      <w:r>
        <w:rPr>
          <w:rFonts w:ascii="Times New Roman" w:hAnsi="Times New Roman"/>
          <w:color w:val="auto"/>
          <w:spacing w:val="6"/>
          <w:sz w:val="24"/>
          <w:highlight w:val="none"/>
        </w:rPr>
        <w:t xml:space="preserve"> </w:t>
      </w:r>
      <w:r>
        <w:rPr>
          <w:rFonts w:ascii="Times New Roman" w:hAnsi="Times New Roman"/>
          <w:color w:val="auto"/>
          <w:sz w:val="24"/>
          <w:szCs w:val="24"/>
          <w:highlight w:val="none"/>
        </w:rPr>
        <w:t>法定代表人或委托代理人（</w:t>
      </w:r>
      <w:r>
        <w:rPr>
          <w:rFonts w:hint="eastAsia" w:ascii="Times New Roman" w:hAnsi="Times New Roman"/>
          <w:color w:val="auto"/>
          <w:sz w:val="24"/>
          <w:szCs w:val="24"/>
          <w:highlight w:val="none"/>
          <w:lang w:eastAsia="zh-CN"/>
        </w:rPr>
        <w:t>签字或电子签名</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p>
    <w:p w14:paraId="3C86D8AA">
      <w:pPr>
        <w:pStyle w:val="16"/>
        <w:spacing w:before="120" w:line="360" w:lineRule="auto"/>
        <w:ind w:firstLine="2640" w:firstLineChars="1100"/>
        <w:rPr>
          <w:rFonts w:ascii="Times New Roman" w:hAnsi="Times New Roman"/>
          <w:color w:val="auto"/>
          <w:sz w:val="24"/>
          <w:szCs w:val="24"/>
          <w:highlight w:val="none"/>
        </w:rPr>
      </w:pPr>
      <w:r>
        <w:rPr>
          <w:rFonts w:ascii="Times New Roman" w:hAnsi="Times New Roman"/>
          <w:color w:val="auto"/>
          <w:sz w:val="24"/>
          <w:szCs w:val="24"/>
          <w:highlight w:val="none"/>
        </w:rPr>
        <w:t>供应商名称（</w:t>
      </w:r>
      <w:r>
        <w:rPr>
          <w:rFonts w:hint="eastAsia" w:ascii="Times New Roman" w:hAnsi="Times New Roman"/>
          <w:color w:val="auto"/>
          <w:sz w:val="24"/>
          <w:highlight w:val="none"/>
        </w:rPr>
        <w:t>电子签</w:t>
      </w:r>
      <w:r>
        <w:rPr>
          <w:rFonts w:ascii="Times New Roman" w:hAnsi="Times New Roman"/>
          <w:color w:val="auto"/>
          <w:sz w:val="24"/>
          <w:highlight w:val="none"/>
        </w:rPr>
        <w:t>章</w:t>
      </w:r>
      <w:r>
        <w:rPr>
          <w:rFonts w:ascii="Times New Roman" w:hAnsi="Times New Roman"/>
          <w:color w:val="auto"/>
          <w:sz w:val="24"/>
          <w:szCs w:val="24"/>
          <w:highlight w:val="none"/>
        </w:rPr>
        <w:t>）：</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 xml:space="preserve">             </w:t>
      </w:r>
      <w:r>
        <w:rPr>
          <w:rFonts w:ascii="Times New Roman" w:hAnsi="Times New Roman"/>
          <w:color w:val="auto"/>
          <w:sz w:val="24"/>
          <w:szCs w:val="24"/>
          <w:highlight w:val="none"/>
          <w:u w:val="single"/>
        </w:rPr>
        <w:t xml:space="preserve">       </w:t>
      </w:r>
    </w:p>
    <w:p w14:paraId="658FE188">
      <w:pPr>
        <w:pStyle w:val="16"/>
        <w:spacing w:before="120" w:line="360" w:lineRule="auto"/>
        <w:ind w:firstLine="2640" w:firstLineChars="1100"/>
        <w:rPr>
          <w:rFonts w:ascii="Times New Roman" w:hAnsi="Times New Roman"/>
          <w:color w:val="auto"/>
          <w:sz w:val="24"/>
          <w:szCs w:val="24"/>
          <w:highlight w:val="none"/>
        </w:rPr>
      </w:pPr>
      <w:r>
        <w:rPr>
          <w:rFonts w:ascii="Times New Roman" w:hAnsi="Times New Roman"/>
          <w:color w:val="auto"/>
          <w:sz w:val="24"/>
          <w:szCs w:val="24"/>
          <w:highlight w:val="none"/>
        </w:rPr>
        <w:t>日期：</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 xml:space="preserve"> 年</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月</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日</w:t>
      </w:r>
    </w:p>
    <w:p w14:paraId="6B88B972">
      <w:pPr>
        <w:pStyle w:val="18"/>
        <w:rPr>
          <w:rFonts w:ascii="Times New Roman" w:hAnsi="Times New Roman"/>
          <w:color w:val="auto"/>
          <w:sz w:val="28"/>
          <w:szCs w:val="28"/>
          <w:highlight w:val="none"/>
        </w:rPr>
      </w:pPr>
    </w:p>
    <w:p w14:paraId="161895C0">
      <w:pPr>
        <w:pStyle w:val="17"/>
        <w:rPr>
          <w:color w:val="auto"/>
          <w:highlight w:val="none"/>
        </w:rPr>
      </w:pPr>
    </w:p>
    <w:p w14:paraId="3CB61D89">
      <w:pPr>
        <w:rPr>
          <w:color w:val="auto"/>
          <w:highlight w:val="none"/>
        </w:rPr>
      </w:pPr>
    </w:p>
    <w:p w14:paraId="0D5F9A3F">
      <w:pPr>
        <w:pStyle w:val="18"/>
        <w:rPr>
          <w:rFonts w:ascii="Times New Roman" w:hAnsi="Times New Roman"/>
          <w:color w:val="auto"/>
          <w:highlight w:val="none"/>
        </w:rPr>
      </w:pPr>
    </w:p>
    <w:p w14:paraId="595E01BF">
      <w:pPr>
        <w:pStyle w:val="17"/>
        <w:ind w:left="0"/>
        <w:rPr>
          <w:color w:val="auto"/>
          <w:highlight w:val="none"/>
        </w:rPr>
      </w:pPr>
    </w:p>
    <w:p w14:paraId="36BEDAC8">
      <w:pPr>
        <w:rPr>
          <w:color w:val="auto"/>
          <w:highlight w:val="none"/>
        </w:rPr>
      </w:pPr>
    </w:p>
    <w:p w14:paraId="11879723">
      <w:pPr>
        <w:spacing w:line="276" w:lineRule="auto"/>
        <w:ind w:firstLine="480" w:firstLineChars="200"/>
        <w:rPr>
          <w:color w:val="auto"/>
          <w:sz w:val="24"/>
          <w:highlight w:val="none"/>
        </w:rPr>
      </w:pPr>
    </w:p>
    <w:p w14:paraId="61E6BF96">
      <w:pPr>
        <w:spacing w:line="300" w:lineRule="auto"/>
        <w:rPr>
          <w:color w:val="auto"/>
          <w:sz w:val="28"/>
          <w:szCs w:val="28"/>
          <w:highlight w:val="none"/>
        </w:rPr>
      </w:pPr>
    </w:p>
    <w:p w14:paraId="7133044D">
      <w:pPr>
        <w:rPr>
          <w:color w:val="auto"/>
          <w:highlight w:val="none"/>
        </w:rPr>
      </w:pPr>
    </w:p>
    <w:p w14:paraId="196F26F8">
      <w:pPr>
        <w:rPr>
          <w:color w:val="auto"/>
          <w:highlight w:val="none"/>
        </w:rPr>
      </w:pPr>
    </w:p>
    <w:p w14:paraId="3059E02A">
      <w:pPr>
        <w:rPr>
          <w:color w:val="auto"/>
          <w:highlight w:val="none"/>
        </w:rPr>
      </w:pPr>
    </w:p>
    <w:p w14:paraId="2D3CDDD3">
      <w:pPr>
        <w:rPr>
          <w:color w:val="auto"/>
          <w:highlight w:val="none"/>
        </w:rPr>
      </w:pPr>
    </w:p>
    <w:p w14:paraId="07B9FFAD">
      <w:pPr>
        <w:rPr>
          <w:color w:val="auto"/>
          <w:highlight w:val="none"/>
        </w:rPr>
      </w:pPr>
    </w:p>
    <w:p w14:paraId="799B6E30">
      <w:pPr>
        <w:rPr>
          <w:color w:val="auto"/>
          <w:highlight w:val="none"/>
        </w:rPr>
      </w:pPr>
    </w:p>
    <w:p w14:paraId="3D81F832">
      <w:pPr>
        <w:rPr>
          <w:color w:val="auto"/>
          <w:highlight w:val="none"/>
        </w:rPr>
      </w:pPr>
    </w:p>
    <w:p w14:paraId="53D4A6FE">
      <w:pPr>
        <w:rPr>
          <w:b/>
          <w:color w:val="auto"/>
          <w:sz w:val="36"/>
          <w:szCs w:val="36"/>
          <w:highlight w:val="none"/>
        </w:rPr>
      </w:pPr>
      <w:r>
        <w:rPr>
          <w:b/>
          <w:color w:val="auto"/>
          <w:sz w:val="36"/>
          <w:szCs w:val="36"/>
          <w:highlight w:val="none"/>
        </w:rPr>
        <w:br w:type="page"/>
      </w:r>
    </w:p>
    <w:p w14:paraId="6F7945A9">
      <w:pPr>
        <w:pStyle w:val="4"/>
        <w:rPr>
          <w:color w:val="auto"/>
          <w:highlight w:val="none"/>
        </w:rPr>
      </w:pPr>
      <w:r>
        <w:rPr>
          <w:color w:val="auto"/>
          <w:highlight w:val="none"/>
        </w:rPr>
        <w:t>服务响应偏离表（格式）</w:t>
      </w:r>
    </w:p>
    <w:p w14:paraId="45B187EF">
      <w:pPr>
        <w:spacing w:line="520" w:lineRule="exact"/>
        <w:rPr>
          <w:color w:val="auto"/>
          <w:sz w:val="28"/>
          <w:szCs w:val="28"/>
          <w:highlight w:val="none"/>
        </w:rPr>
      </w:pPr>
    </w:p>
    <w:p w14:paraId="0D3D6BED">
      <w:pPr>
        <w:spacing w:line="520" w:lineRule="exact"/>
        <w:rPr>
          <w:color w:val="auto"/>
          <w:sz w:val="24"/>
          <w:highlight w:val="none"/>
          <w:u w:val="single"/>
        </w:rPr>
      </w:pPr>
      <w:r>
        <w:rPr>
          <w:color w:val="auto"/>
          <w:sz w:val="24"/>
          <w:highlight w:val="none"/>
        </w:rPr>
        <w:t>采购项目编号：</w:t>
      </w:r>
      <w:r>
        <w:rPr>
          <w:color w:val="auto"/>
          <w:sz w:val="24"/>
          <w:highlight w:val="none"/>
          <w:u w:val="single"/>
        </w:rPr>
        <w:t xml:space="preserve">                 </w:t>
      </w:r>
    </w:p>
    <w:p w14:paraId="47716A24">
      <w:pPr>
        <w:spacing w:line="520" w:lineRule="exact"/>
        <w:rPr>
          <w:color w:val="auto"/>
          <w:sz w:val="24"/>
          <w:highlight w:val="none"/>
          <w:u w:val="single"/>
        </w:rPr>
      </w:pPr>
      <w:r>
        <w:rPr>
          <w:color w:val="auto"/>
          <w:sz w:val="24"/>
          <w:highlight w:val="none"/>
        </w:rPr>
        <w:t>采购项目名称：</w:t>
      </w:r>
      <w:r>
        <w:rPr>
          <w:color w:val="auto"/>
          <w:sz w:val="24"/>
          <w:highlight w:val="none"/>
          <w:u w:val="single"/>
        </w:rPr>
        <w:t xml:space="preserve">                 </w:t>
      </w:r>
    </w:p>
    <w:p w14:paraId="2CD34125">
      <w:pPr>
        <w:rPr>
          <w:color w:val="auto"/>
          <w:highlight w:val="none"/>
        </w:rPr>
      </w:pPr>
      <w:r>
        <w:rPr>
          <w:color w:val="auto"/>
          <w:highlight w:val="none"/>
        </w:rPr>
        <w:t xml:space="preserve">        </w:t>
      </w:r>
    </w:p>
    <w:tbl>
      <w:tblPr>
        <w:tblStyle w:val="27"/>
        <w:tblpPr w:leftFromText="180" w:rightFromText="180" w:vertAnchor="text" w:horzAnchor="page" w:tblpX="1588" w:tblpY="3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3367"/>
        <w:gridCol w:w="3260"/>
        <w:gridCol w:w="1843"/>
      </w:tblGrid>
      <w:tr w14:paraId="2F01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52" w:type="dxa"/>
            <w:vAlign w:val="center"/>
          </w:tcPr>
          <w:p w14:paraId="0F3EA4E2">
            <w:pPr>
              <w:pStyle w:val="16"/>
              <w:spacing w:line="400" w:lineRule="exact"/>
              <w:rPr>
                <w:rFonts w:ascii="Times New Roman" w:hAnsi="Times New Roman"/>
                <w:color w:val="auto"/>
                <w:sz w:val="24"/>
                <w:szCs w:val="24"/>
                <w:highlight w:val="none"/>
              </w:rPr>
            </w:pPr>
            <w:r>
              <w:rPr>
                <w:rFonts w:ascii="Times New Roman" w:hAnsi="Times New Roman"/>
                <w:color w:val="auto"/>
                <w:sz w:val="24"/>
                <w:szCs w:val="24"/>
                <w:highlight w:val="none"/>
              </w:rPr>
              <w:t>项号</w:t>
            </w:r>
          </w:p>
        </w:tc>
        <w:tc>
          <w:tcPr>
            <w:tcW w:w="3367" w:type="dxa"/>
            <w:vAlign w:val="center"/>
          </w:tcPr>
          <w:p w14:paraId="2C9FBEEC">
            <w:pPr>
              <w:pStyle w:val="16"/>
              <w:spacing w:line="40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竞争性磋商文件服务要求</w:t>
            </w:r>
          </w:p>
        </w:tc>
        <w:tc>
          <w:tcPr>
            <w:tcW w:w="3260" w:type="dxa"/>
            <w:vAlign w:val="center"/>
          </w:tcPr>
          <w:p w14:paraId="35F5D49D">
            <w:pPr>
              <w:pStyle w:val="16"/>
              <w:spacing w:line="400" w:lineRule="exac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磋商响应</w:t>
            </w:r>
            <w:r>
              <w:rPr>
                <w:rFonts w:ascii="Times New Roman" w:hAnsi="Times New Roman"/>
                <w:color w:val="auto"/>
                <w:sz w:val="24"/>
                <w:szCs w:val="24"/>
                <w:highlight w:val="none"/>
              </w:rPr>
              <w:t>文件响应情况</w:t>
            </w:r>
          </w:p>
        </w:tc>
        <w:tc>
          <w:tcPr>
            <w:tcW w:w="1843" w:type="dxa"/>
            <w:vAlign w:val="center"/>
          </w:tcPr>
          <w:p w14:paraId="61111FCF">
            <w:pPr>
              <w:pStyle w:val="16"/>
              <w:spacing w:line="400" w:lineRule="exact"/>
              <w:jc w:val="center"/>
              <w:rPr>
                <w:rFonts w:ascii="Times New Roman" w:hAnsi="Times New Roman"/>
                <w:color w:val="auto"/>
                <w:sz w:val="24"/>
                <w:szCs w:val="24"/>
                <w:highlight w:val="none"/>
              </w:rPr>
            </w:pPr>
            <w:r>
              <w:rPr>
                <w:rFonts w:ascii="Times New Roman" w:hAnsi="Times New Roman"/>
                <w:color w:val="auto"/>
                <w:sz w:val="24"/>
                <w:szCs w:val="24"/>
                <w:highlight w:val="none"/>
              </w:rPr>
              <w:t>偏离说明</w:t>
            </w:r>
          </w:p>
        </w:tc>
      </w:tr>
      <w:tr w14:paraId="0754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1490A4F9">
            <w:pPr>
              <w:pStyle w:val="16"/>
              <w:jc w:val="center"/>
              <w:rPr>
                <w:rFonts w:ascii="Times New Roman" w:hAnsi="Times New Roman"/>
                <w:color w:val="auto"/>
                <w:sz w:val="24"/>
                <w:szCs w:val="24"/>
                <w:highlight w:val="none"/>
              </w:rPr>
            </w:pPr>
            <w:r>
              <w:rPr>
                <w:rFonts w:ascii="Times New Roman" w:hAnsi="Times New Roman"/>
                <w:color w:val="auto"/>
                <w:sz w:val="24"/>
                <w:szCs w:val="24"/>
                <w:highlight w:val="none"/>
              </w:rPr>
              <w:t>1</w:t>
            </w:r>
          </w:p>
        </w:tc>
        <w:tc>
          <w:tcPr>
            <w:tcW w:w="3367" w:type="dxa"/>
            <w:vAlign w:val="center"/>
          </w:tcPr>
          <w:p w14:paraId="35E6846B">
            <w:pPr>
              <w:pStyle w:val="16"/>
              <w:spacing w:line="600" w:lineRule="exact"/>
              <w:jc w:val="center"/>
              <w:rPr>
                <w:rFonts w:ascii="Times New Roman" w:hAnsi="Times New Roman"/>
                <w:color w:val="auto"/>
                <w:sz w:val="24"/>
                <w:szCs w:val="24"/>
                <w:highlight w:val="none"/>
              </w:rPr>
            </w:pPr>
          </w:p>
        </w:tc>
        <w:tc>
          <w:tcPr>
            <w:tcW w:w="3260" w:type="dxa"/>
            <w:vAlign w:val="center"/>
          </w:tcPr>
          <w:p w14:paraId="2D258C9D">
            <w:pPr>
              <w:pStyle w:val="16"/>
              <w:spacing w:line="600" w:lineRule="exact"/>
              <w:jc w:val="center"/>
              <w:rPr>
                <w:rFonts w:ascii="Times New Roman" w:hAnsi="Times New Roman"/>
                <w:color w:val="auto"/>
                <w:sz w:val="24"/>
                <w:szCs w:val="24"/>
                <w:highlight w:val="none"/>
              </w:rPr>
            </w:pPr>
          </w:p>
        </w:tc>
        <w:tc>
          <w:tcPr>
            <w:tcW w:w="1843" w:type="dxa"/>
            <w:vAlign w:val="center"/>
          </w:tcPr>
          <w:p w14:paraId="559E87EE">
            <w:pPr>
              <w:pStyle w:val="16"/>
              <w:spacing w:line="600" w:lineRule="exact"/>
              <w:jc w:val="center"/>
              <w:rPr>
                <w:rFonts w:ascii="Times New Roman" w:hAnsi="Times New Roman"/>
                <w:color w:val="auto"/>
                <w:sz w:val="24"/>
                <w:szCs w:val="24"/>
                <w:highlight w:val="none"/>
              </w:rPr>
            </w:pPr>
          </w:p>
        </w:tc>
      </w:tr>
      <w:tr w14:paraId="736F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2CDE35CE">
            <w:pPr>
              <w:pStyle w:val="16"/>
              <w:jc w:val="center"/>
              <w:rPr>
                <w:rFonts w:ascii="Times New Roman" w:hAnsi="Times New Roman"/>
                <w:color w:val="auto"/>
                <w:sz w:val="24"/>
                <w:szCs w:val="24"/>
                <w:highlight w:val="none"/>
              </w:rPr>
            </w:pPr>
            <w:r>
              <w:rPr>
                <w:rFonts w:ascii="Times New Roman" w:hAnsi="Times New Roman"/>
                <w:color w:val="auto"/>
                <w:sz w:val="24"/>
                <w:szCs w:val="24"/>
                <w:highlight w:val="none"/>
              </w:rPr>
              <w:t>2</w:t>
            </w:r>
          </w:p>
        </w:tc>
        <w:tc>
          <w:tcPr>
            <w:tcW w:w="3367" w:type="dxa"/>
            <w:vAlign w:val="center"/>
          </w:tcPr>
          <w:p w14:paraId="4B65778E">
            <w:pPr>
              <w:pStyle w:val="16"/>
              <w:spacing w:line="600" w:lineRule="exact"/>
              <w:jc w:val="center"/>
              <w:rPr>
                <w:rFonts w:ascii="Times New Roman" w:hAnsi="Times New Roman"/>
                <w:color w:val="auto"/>
                <w:sz w:val="24"/>
                <w:szCs w:val="24"/>
                <w:highlight w:val="none"/>
              </w:rPr>
            </w:pPr>
          </w:p>
        </w:tc>
        <w:tc>
          <w:tcPr>
            <w:tcW w:w="3260" w:type="dxa"/>
            <w:vAlign w:val="center"/>
          </w:tcPr>
          <w:p w14:paraId="2FA26CBA">
            <w:pPr>
              <w:pStyle w:val="16"/>
              <w:spacing w:line="600" w:lineRule="exact"/>
              <w:jc w:val="center"/>
              <w:rPr>
                <w:rFonts w:ascii="Times New Roman" w:hAnsi="Times New Roman"/>
                <w:color w:val="auto"/>
                <w:sz w:val="24"/>
                <w:szCs w:val="24"/>
                <w:highlight w:val="none"/>
              </w:rPr>
            </w:pPr>
          </w:p>
        </w:tc>
        <w:tc>
          <w:tcPr>
            <w:tcW w:w="1843" w:type="dxa"/>
            <w:vAlign w:val="center"/>
          </w:tcPr>
          <w:p w14:paraId="066D145A">
            <w:pPr>
              <w:pStyle w:val="16"/>
              <w:spacing w:line="600" w:lineRule="exact"/>
              <w:jc w:val="center"/>
              <w:rPr>
                <w:rFonts w:ascii="Times New Roman" w:hAnsi="Times New Roman"/>
                <w:color w:val="auto"/>
                <w:sz w:val="24"/>
                <w:szCs w:val="24"/>
                <w:highlight w:val="none"/>
              </w:rPr>
            </w:pPr>
          </w:p>
        </w:tc>
      </w:tr>
      <w:tr w14:paraId="2CFA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43E36889">
            <w:pPr>
              <w:pStyle w:val="16"/>
              <w:jc w:val="center"/>
              <w:rPr>
                <w:rFonts w:ascii="Times New Roman" w:hAnsi="Times New Roman"/>
                <w:color w:val="auto"/>
                <w:sz w:val="24"/>
                <w:szCs w:val="24"/>
                <w:highlight w:val="none"/>
              </w:rPr>
            </w:pPr>
            <w:r>
              <w:rPr>
                <w:rFonts w:ascii="Times New Roman" w:hAnsi="Times New Roman"/>
                <w:color w:val="auto"/>
                <w:sz w:val="24"/>
                <w:szCs w:val="24"/>
                <w:highlight w:val="none"/>
              </w:rPr>
              <w:t>3</w:t>
            </w:r>
          </w:p>
        </w:tc>
        <w:tc>
          <w:tcPr>
            <w:tcW w:w="3367" w:type="dxa"/>
            <w:vAlign w:val="center"/>
          </w:tcPr>
          <w:p w14:paraId="4107A2B3">
            <w:pPr>
              <w:pStyle w:val="16"/>
              <w:spacing w:line="600" w:lineRule="exact"/>
              <w:jc w:val="center"/>
              <w:rPr>
                <w:rFonts w:ascii="Times New Roman" w:hAnsi="Times New Roman"/>
                <w:color w:val="auto"/>
                <w:sz w:val="24"/>
                <w:szCs w:val="24"/>
                <w:highlight w:val="none"/>
              </w:rPr>
            </w:pPr>
          </w:p>
        </w:tc>
        <w:tc>
          <w:tcPr>
            <w:tcW w:w="3260" w:type="dxa"/>
            <w:vAlign w:val="center"/>
          </w:tcPr>
          <w:p w14:paraId="0AC64CB8">
            <w:pPr>
              <w:pStyle w:val="16"/>
              <w:spacing w:line="600" w:lineRule="exact"/>
              <w:jc w:val="center"/>
              <w:rPr>
                <w:rFonts w:ascii="Times New Roman" w:hAnsi="Times New Roman"/>
                <w:color w:val="auto"/>
                <w:sz w:val="24"/>
                <w:szCs w:val="24"/>
                <w:highlight w:val="none"/>
              </w:rPr>
            </w:pPr>
          </w:p>
        </w:tc>
        <w:tc>
          <w:tcPr>
            <w:tcW w:w="1843" w:type="dxa"/>
            <w:vAlign w:val="center"/>
          </w:tcPr>
          <w:p w14:paraId="216D0F2F">
            <w:pPr>
              <w:pStyle w:val="16"/>
              <w:spacing w:line="600" w:lineRule="exact"/>
              <w:jc w:val="center"/>
              <w:rPr>
                <w:rFonts w:ascii="Times New Roman" w:hAnsi="Times New Roman"/>
                <w:color w:val="auto"/>
                <w:sz w:val="24"/>
                <w:szCs w:val="24"/>
                <w:highlight w:val="none"/>
              </w:rPr>
            </w:pPr>
          </w:p>
        </w:tc>
      </w:tr>
      <w:tr w14:paraId="4A6D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1E145371">
            <w:pPr>
              <w:pStyle w:val="16"/>
              <w:jc w:val="center"/>
              <w:rPr>
                <w:rFonts w:ascii="Times New Roman" w:hAnsi="Times New Roman"/>
                <w:color w:val="auto"/>
                <w:sz w:val="24"/>
                <w:szCs w:val="24"/>
                <w:highlight w:val="none"/>
              </w:rPr>
            </w:pPr>
            <w:r>
              <w:rPr>
                <w:rFonts w:ascii="Times New Roman" w:hAnsi="Times New Roman"/>
                <w:color w:val="auto"/>
                <w:sz w:val="24"/>
                <w:szCs w:val="24"/>
                <w:highlight w:val="none"/>
              </w:rPr>
              <w:t>N</w:t>
            </w:r>
          </w:p>
        </w:tc>
        <w:tc>
          <w:tcPr>
            <w:tcW w:w="3367" w:type="dxa"/>
            <w:vAlign w:val="center"/>
          </w:tcPr>
          <w:p w14:paraId="31BB45C1">
            <w:pPr>
              <w:pStyle w:val="16"/>
              <w:spacing w:line="600" w:lineRule="exact"/>
              <w:jc w:val="center"/>
              <w:rPr>
                <w:rFonts w:ascii="Times New Roman" w:hAnsi="Times New Roman"/>
                <w:color w:val="auto"/>
                <w:sz w:val="24"/>
                <w:szCs w:val="24"/>
                <w:highlight w:val="none"/>
              </w:rPr>
            </w:pPr>
          </w:p>
        </w:tc>
        <w:tc>
          <w:tcPr>
            <w:tcW w:w="3260" w:type="dxa"/>
            <w:vAlign w:val="center"/>
          </w:tcPr>
          <w:p w14:paraId="69F5983D">
            <w:pPr>
              <w:pStyle w:val="16"/>
              <w:spacing w:line="600" w:lineRule="exact"/>
              <w:jc w:val="center"/>
              <w:rPr>
                <w:rFonts w:ascii="Times New Roman" w:hAnsi="Times New Roman"/>
                <w:color w:val="auto"/>
                <w:sz w:val="24"/>
                <w:szCs w:val="24"/>
                <w:highlight w:val="none"/>
              </w:rPr>
            </w:pPr>
          </w:p>
        </w:tc>
        <w:tc>
          <w:tcPr>
            <w:tcW w:w="1843" w:type="dxa"/>
            <w:vAlign w:val="center"/>
          </w:tcPr>
          <w:p w14:paraId="2FC46C59">
            <w:pPr>
              <w:pStyle w:val="16"/>
              <w:spacing w:line="600" w:lineRule="exact"/>
              <w:jc w:val="center"/>
              <w:rPr>
                <w:rFonts w:ascii="Times New Roman" w:hAnsi="Times New Roman"/>
                <w:color w:val="auto"/>
                <w:sz w:val="24"/>
                <w:szCs w:val="24"/>
                <w:highlight w:val="none"/>
              </w:rPr>
            </w:pPr>
          </w:p>
        </w:tc>
      </w:tr>
    </w:tbl>
    <w:p w14:paraId="2FE149D0">
      <w:pPr>
        <w:adjustRightInd w:val="0"/>
        <w:snapToGrid w:val="0"/>
        <w:spacing w:line="520" w:lineRule="exact"/>
        <w:rPr>
          <w:color w:val="auto"/>
          <w:sz w:val="24"/>
          <w:highlight w:val="none"/>
        </w:rPr>
      </w:pPr>
    </w:p>
    <w:p w14:paraId="3BEC459D">
      <w:pPr>
        <w:pStyle w:val="16"/>
        <w:spacing w:line="520" w:lineRule="exact"/>
        <w:rPr>
          <w:rFonts w:ascii="Times New Roman" w:hAnsi="Times New Roman"/>
          <w:color w:val="auto"/>
          <w:sz w:val="24"/>
          <w:szCs w:val="24"/>
          <w:highlight w:val="none"/>
        </w:rPr>
      </w:pPr>
    </w:p>
    <w:p w14:paraId="749E5BEB">
      <w:pPr>
        <w:snapToGrid w:val="0"/>
        <w:spacing w:before="50" w:after="50" w:line="520" w:lineRule="exact"/>
        <w:ind w:right="-817" w:rightChars="-389"/>
        <w:rPr>
          <w:color w:val="auto"/>
          <w:sz w:val="24"/>
          <w:highlight w:val="none"/>
        </w:rPr>
      </w:pPr>
    </w:p>
    <w:p w14:paraId="251AEC9A">
      <w:pPr>
        <w:ind w:firstLine="2310" w:firstLineChars="1100"/>
        <w:rPr>
          <w:color w:val="auto"/>
          <w:highlight w:val="none"/>
        </w:rPr>
      </w:pPr>
      <w:r>
        <w:rPr>
          <w:color w:val="auto"/>
          <w:highlight w:val="none"/>
        </w:rPr>
        <w:t>供应商名称（</w:t>
      </w:r>
      <w:r>
        <w:rPr>
          <w:rFonts w:hint="eastAsia"/>
          <w:color w:val="auto"/>
          <w:highlight w:val="none"/>
        </w:rPr>
        <w:t>电子签</w:t>
      </w:r>
      <w:r>
        <w:rPr>
          <w:color w:val="auto"/>
          <w:highlight w:val="none"/>
        </w:rPr>
        <w:t>章）：</w:t>
      </w:r>
      <w:r>
        <w:rPr>
          <w:color w:val="auto"/>
          <w:highlight w:val="none"/>
          <w:u w:val="single"/>
        </w:rPr>
        <w:t xml:space="preserve">                      </w:t>
      </w:r>
    </w:p>
    <w:p w14:paraId="6FBE69CC">
      <w:pPr>
        <w:ind w:firstLine="2310" w:firstLineChars="1100"/>
        <w:rPr>
          <w:rFonts w:ascii="Times New Roman" w:hAnsi="Times New Roman" w:eastAsia="宋体" w:cs="Times New Roman"/>
          <w:color w:val="auto"/>
          <w:highlight w:val="none"/>
          <w:u w:val="single"/>
        </w:rPr>
      </w:pPr>
      <w:r>
        <w:rPr>
          <w:rFonts w:ascii="Times New Roman" w:hAnsi="Times New Roman" w:eastAsia="宋体" w:cs="Times New Roman"/>
          <w:color w:val="auto"/>
          <w:highlight w:val="none"/>
        </w:rPr>
        <w:t>法定代表人或相应的委托代理人（</w:t>
      </w:r>
      <w:r>
        <w:rPr>
          <w:rFonts w:hint="eastAsia" w:cs="Times New Roman"/>
          <w:color w:val="auto"/>
          <w:highlight w:val="none"/>
          <w:lang w:eastAsia="zh-CN"/>
        </w:rPr>
        <w:t>签字或电子签名</w:t>
      </w:r>
      <w:r>
        <w:rPr>
          <w:rFonts w:ascii="Times New Roman" w:hAnsi="Times New Roman" w:eastAsia="宋体" w:cs="Times New Roman"/>
          <w:color w:val="auto"/>
          <w:highlight w:val="none"/>
        </w:rPr>
        <w:t>）：</w:t>
      </w:r>
      <w:r>
        <w:rPr>
          <w:rFonts w:ascii="Times New Roman" w:hAnsi="Times New Roman" w:eastAsia="宋体" w:cs="Times New Roman"/>
          <w:color w:val="auto"/>
          <w:highlight w:val="none"/>
          <w:u w:val="single"/>
        </w:rPr>
        <w:t xml:space="preserve">          </w:t>
      </w:r>
    </w:p>
    <w:p w14:paraId="7FFD18C1">
      <w:pPr>
        <w:ind w:firstLine="2310" w:firstLineChars="1100"/>
        <w:rPr>
          <w:rFonts w:ascii="Times New Roman" w:hAnsi="Times New Roman"/>
          <w:color w:val="auto"/>
          <w:sz w:val="24"/>
          <w:szCs w:val="24"/>
          <w:highlight w:val="none"/>
        </w:rPr>
      </w:pPr>
      <w:r>
        <w:rPr>
          <w:rFonts w:ascii="Times New Roman" w:hAnsi="Times New Roman" w:eastAsia="宋体" w:cs="Times New Roman"/>
          <w:color w:val="auto"/>
          <w:highlight w:val="none"/>
        </w:rPr>
        <w:t xml:space="preserve">                  日  期：</w:t>
      </w:r>
      <w:r>
        <w:rPr>
          <w:rFonts w:ascii="Times New Roman" w:hAnsi="Times New Roman"/>
          <w:color w:val="auto"/>
          <w:sz w:val="24"/>
          <w:highlight w:val="none"/>
          <w:u w:val="single"/>
        </w:rPr>
        <w:t xml:space="preserve">                   </w:t>
      </w:r>
    </w:p>
    <w:p w14:paraId="4AD472BD">
      <w:pPr>
        <w:spacing w:line="360" w:lineRule="auto"/>
        <w:jc w:val="left"/>
        <w:rPr>
          <w:b/>
          <w:bCs/>
          <w:color w:val="auto"/>
          <w:sz w:val="24"/>
          <w:highlight w:val="none"/>
        </w:rPr>
      </w:pPr>
    </w:p>
    <w:p w14:paraId="01CDBE62">
      <w:pPr>
        <w:pStyle w:val="16"/>
        <w:spacing w:line="500" w:lineRule="exact"/>
        <w:rPr>
          <w:rFonts w:ascii="Times New Roman" w:hAnsi="Times New Roman"/>
          <w:color w:val="auto"/>
          <w:szCs w:val="21"/>
          <w:highlight w:val="none"/>
        </w:rPr>
      </w:pPr>
      <w:r>
        <w:rPr>
          <w:rFonts w:ascii="Times New Roman" w:hAnsi="Times New Roman"/>
          <w:color w:val="auto"/>
          <w:szCs w:val="21"/>
          <w:highlight w:val="none"/>
        </w:rPr>
        <w:t xml:space="preserve"> </w:t>
      </w:r>
    </w:p>
    <w:p w14:paraId="4FF802BB">
      <w:pPr>
        <w:rPr>
          <w:color w:val="auto"/>
          <w:szCs w:val="21"/>
          <w:highlight w:val="none"/>
        </w:rPr>
      </w:pPr>
    </w:p>
    <w:p w14:paraId="6F316710">
      <w:pPr>
        <w:pStyle w:val="8"/>
        <w:rPr>
          <w:color w:val="auto"/>
          <w:szCs w:val="21"/>
          <w:highlight w:val="none"/>
        </w:rPr>
      </w:pPr>
    </w:p>
    <w:p w14:paraId="38901DFC">
      <w:pPr>
        <w:rPr>
          <w:color w:val="auto"/>
          <w:highlight w:val="none"/>
        </w:rPr>
      </w:pPr>
    </w:p>
    <w:p w14:paraId="6D3A2071">
      <w:pPr>
        <w:rPr>
          <w:color w:val="auto"/>
          <w:highlight w:val="none"/>
        </w:rPr>
      </w:pPr>
    </w:p>
    <w:p w14:paraId="2152E104">
      <w:pPr>
        <w:pStyle w:val="8"/>
        <w:rPr>
          <w:color w:val="auto"/>
          <w:highlight w:val="none"/>
        </w:rPr>
      </w:pPr>
    </w:p>
    <w:p w14:paraId="45029B1C">
      <w:pPr>
        <w:rPr>
          <w:color w:val="auto"/>
          <w:highlight w:val="none"/>
        </w:rPr>
      </w:pPr>
    </w:p>
    <w:p w14:paraId="05F22D0F">
      <w:pPr>
        <w:rPr>
          <w:color w:val="auto"/>
          <w:highlight w:val="none"/>
        </w:rPr>
      </w:pPr>
    </w:p>
    <w:p w14:paraId="06F1322A">
      <w:pPr>
        <w:rPr>
          <w:color w:val="auto"/>
          <w:highlight w:val="none"/>
        </w:rPr>
      </w:pPr>
    </w:p>
    <w:p w14:paraId="24C2A36A">
      <w:pPr>
        <w:rPr>
          <w:color w:val="auto"/>
          <w:highlight w:val="none"/>
        </w:rPr>
      </w:pPr>
    </w:p>
    <w:p w14:paraId="74397513">
      <w:pPr>
        <w:rPr>
          <w:color w:val="auto"/>
          <w:highlight w:val="none"/>
        </w:rPr>
      </w:pPr>
    </w:p>
    <w:p w14:paraId="2703A016">
      <w:pPr>
        <w:rPr>
          <w:color w:val="auto"/>
          <w:highlight w:val="none"/>
        </w:rPr>
      </w:pPr>
    </w:p>
    <w:p w14:paraId="76BE4B5A">
      <w:pPr>
        <w:rPr>
          <w:color w:val="auto"/>
          <w:highlight w:val="none"/>
        </w:rPr>
      </w:pPr>
    </w:p>
    <w:p w14:paraId="3CA3570E">
      <w:pPr>
        <w:rPr>
          <w:color w:val="auto"/>
          <w:highlight w:val="none"/>
        </w:rPr>
      </w:pPr>
    </w:p>
    <w:p w14:paraId="5FEFE462">
      <w:pPr>
        <w:rPr>
          <w:color w:val="auto"/>
          <w:highlight w:val="none"/>
        </w:rPr>
      </w:pPr>
    </w:p>
    <w:p w14:paraId="5F9C56C8">
      <w:pPr>
        <w:rPr>
          <w:color w:val="auto"/>
          <w:highlight w:val="none"/>
        </w:rPr>
      </w:pPr>
    </w:p>
    <w:p w14:paraId="57E99135">
      <w:pPr>
        <w:rPr>
          <w:color w:val="auto"/>
          <w:highlight w:val="none"/>
        </w:rPr>
      </w:pPr>
    </w:p>
    <w:p w14:paraId="73AD716C">
      <w:pPr>
        <w:rPr>
          <w:color w:val="auto"/>
          <w:highlight w:val="none"/>
        </w:rPr>
      </w:pPr>
    </w:p>
    <w:p w14:paraId="37C9EA79">
      <w:pPr>
        <w:rPr>
          <w:b/>
          <w:color w:val="auto"/>
          <w:sz w:val="32"/>
          <w:highlight w:val="none"/>
        </w:rPr>
      </w:pPr>
    </w:p>
    <w:p w14:paraId="7B923E05">
      <w:pPr>
        <w:pStyle w:val="3"/>
        <w:spacing w:line="360" w:lineRule="auto"/>
        <w:rPr>
          <w:b w:val="0"/>
          <w:color w:val="auto"/>
          <w:highlight w:val="none"/>
        </w:rPr>
      </w:pPr>
      <w:bookmarkStart w:id="37" w:name="_Toc25126"/>
      <w:bookmarkStart w:id="38" w:name="_Toc12216"/>
      <w:r>
        <w:rPr>
          <w:color w:val="auto"/>
          <w:highlight w:val="none"/>
        </w:rPr>
        <w:t>第五章  合同主要条款（格式）</w:t>
      </w:r>
      <w:bookmarkEnd w:id="37"/>
      <w:bookmarkEnd w:id="38"/>
    </w:p>
    <w:p w14:paraId="2E94C323">
      <w:pPr>
        <w:spacing w:line="360" w:lineRule="auto"/>
        <w:jc w:val="center"/>
        <w:rPr>
          <w:b/>
          <w:color w:val="auto"/>
          <w:sz w:val="24"/>
          <w:highlight w:val="none"/>
        </w:rPr>
      </w:pPr>
      <w:r>
        <w:rPr>
          <w:color w:val="auto"/>
          <w:sz w:val="24"/>
          <w:highlight w:val="none"/>
        </w:rPr>
        <w:t>（</w:t>
      </w:r>
      <w:r>
        <w:rPr>
          <w:b/>
          <w:color w:val="auto"/>
          <w:sz w:val="24"/>
          <w:highlight w:val="none"/>
        </w:rPr>
        <w:t>注：本合同格式仅为合同的参考文本，合同签订双方可根据项目的具体要求进行修订。</w:t>
      </w:r>
      <w:r>
        <w:rPr>
          <w:color w:val="auto"/>
          <w:sz w:val="24"/>
          <w:highlight w:val="none"/>
        </w:rPr>
        <w:t>）</w:t>
      </w:r>
    </w:p>
    <w:p w14:paraId="1B1C81EC">
      <w:pPr>
        <w:snapToGrid w:val="0"/>
        <w:spacing w:line="400" w:lineRule="exact"/>
        <w:jc w:val="center"/>
        <w:rPr>
          <w:color w:val="auto"/>
          <w:highlight w:val="none"/>
        </w:rPr>
      </w:pPr>
      <w:r>
        <w:rPr>
          <w:color w:val="auto"/>
          <w:highlight w:val="none"/>
        </w:rPr>
        <w:t xml:space="preserve">            </w:t>
      </w:r>
    </w:p>
    <w:p w14:paraId="0618C53A">
      <w:pPr>
        <w:spacing w:line="360" w:lineRule="auto"/>
        <w:rPr>
          <w:rFonts w:ascii="Arial"/>
          <w:color w:val="auto"/>
          <w:sz w:val="21"/>
          <w:highlight w:val="none"/>
        </w:rPr>
      </w:pPr>
      <w:bookmarkStart w:id="39" w:name="_Toc80886949"/>
      <w:bookmarkEnd w:id="39"/>
      <w:bookmarkStart w:id="40" w:name="_Toc80205945"/>
      <w:bookmarkEnd w:id="40"/>
      <w:bookmarkStart w:id="41" w:name="_Toc80886950"/>
      <w:bookmarkEnd w:id="41"/>
      <w:bookmarkStart w:id="42" w:name="_Toc331685784"/>
      <w:bookmarkEnd w:id="42"/>
    </w:p>
    <w:p w14:paraId="0D2A9D4D">
      <w:pPr>
        <w:spacing w:line="360" w:lineRule="auto"/>
        <w:rPr>
          <w:rFonts w:ascii="Arial"/>
          <w:color w:val="auto"/>
          <w:sz w:val="21"/>
          <w:highlight w:val="none"/>
        </w:rPr>
      </w:pPr>
    </w:p>
    <w:p w14:paraId="4EA313B3">
      <w:pPr>
        <w:pStyle w:val="12"/>
        <w:spacing w:before="101" w:line="360" w:lineRule="auto"/>
        <w:ind w:left="3115" w:firstLine="716" w:firstLineChars="200"/>
        <w:rPr>
          <w:color w:val="auto"/>
          <w:highlight w:val="none"/>
        </w:rPr>
      </w:pPr>
      <w:r>
        <w:rPr>
          <w:color w:val="auto"/>
          <w:spacing w:val="9"/>
          <w:highlight w:val="none"/>
          <w14:textOutline w14:w="5793" w14:cap="sq" w14:cmpd="sng">
            <w14:solidFill>
              <w14:srgbClr w14:val="000000"/>
            </w14:solidFill>
            <w14:prstDash w14:val="solid"/>
            <w14:bevel/>
          </w14:textOutline>
        </w:rPr>
        <w:t>政府采购合同</w:t>
      </w:r>
    </w:p>
    <w:p w14:paraId="1A10F112">
      <w:pPr>
        <w:pStyle w:val="12"/>
        <w:spacing w:before="217" w:line="240" w:lineRule="auto"/>
        <w:ind w:left="7228"/>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合同编号：</w:t>
      </w:r>
    </w:p>
    <w:p w14:paraId="2B8ADE4F">
      <w:pPr>
        <w:spacing w:line="360" w:lineRule="auto"/>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rPr>
        <w:t>采购单位（甲方）</w:t>
      </w:r>
      <w:r>
        <w:rPr>
          <w:rFonts w:hint="eastAsia" w:ascii="宋体" w:hAnsi="宋体"/>
          <w:color w:val="auto"/>
          <w:sz w:val="24"/>
          <w:szCs w:val="24"/>
          <w:highlight w:val="none"/>
          <w:lang w:eastAsia="zh-CN"/>
        </w:rPr>
        <w:t>：</w:t>
      </w:r>
      <w:r>
        <w:rPr>
          <w:rFonts w:hint="eastAsia" w:ascii="宋体" w:hAnsi="宋体"/>
          <w:color w:val="auto"/>
          <w:sz w:val="24"/>
          <w:szCs w:val="24"/>
          <w:highlight w:val="none"/>
          <w:u w:val="single"/>
        </w:rPr>
        <w:t xml:space="preserve">桂平市文化广电体育和旅游局 </w:t>
      </w: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p>
    <w:p w14:paraId="036A6A92">
      <w:pPr>
        <w:spacing w:line="360" w:lineRule="auto"/>
        <w:jc w:val="left"/>
        <w:rPr>
          <w:rFonts w:hint="eastAsia" w:ascii="宋体" w:hAnsi="宋体" w:eastAsia="宋体"/>
          <w:color w:val="auto"/>
          <w:sz w:val="24"/>
          <w:szCs w:val="24"/>
          <w:highlight w:val="none"/>
          <w:u w:val="single"/>
          <w:lang w:val="en-US" w:eastAsia="zh-CN"/>
        </w:rPr>
      </w:pPr>
      <w:r>
        <w:rPr>
          <w:rFonts w:hint="eastAsia" w:ascii="宋体" w:hAnsi="宋体"/>
          <w:color w:val="auto"/>
          <w:sz w:val="24"/>
          <w:szCs w:val="24"/>
          <w:highlight w:val="none"/>
        </w:rPr>
        <w:t>采购计划单编号：</w:t>
      </w:r>
      <w:r>
        <w:rPr>
          <w:rFonts w:hint="eastAsia" w:ascii="宋体" w:hAnsi="宋体"/>
          <w:color w:val="auto"/>
          <w:sz w:val="24"/>
          <w:szCs w:val="24"/>
          <w:highlight w:val="none"/>
          <w:u w:val="single"/>
          <w:lang w:val="en-US" w:eastAsia="zh-CN"/>
        </w:rPr>
        <w:t xml:space="preserve">                      </w:t>
      </w:r>
      <w:r>
        <w:rPr>
          <w:rFonts w:hint="eastAsia" w:ascii="宋体" w:hAnsi="宋体" w:cs="仿宋"/>
          <w:iCs/>
          <w:color w:val="auto"/>
          <w:sz w:val="24"/>
          <w:szCs w:val="24"/>
          <w:highlight w:val="none"/>
          <w:u w:val="single"/>
          <w:lang w:val="en-US" w:eastAsia="zh-CN" w:bidi="ar-SA"/>
        </w:rPr>
        <w:t xml:space="preserve">      </w:t>
      </w:r>
    </w:p>
    <w:p w14:paraId="21655F82">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供 应 商（乙方）</w:t>
      </w:r>
      <w:r>
        <w:rPr>
          <w:rFonts w:hint="eastAsia" w:ascii="宋体" w:hAnsi="宋体"/>
          <w:color w:val="auto"/>
          <w:sz w:val="24"/>
          <w:szCs w:val="24"/>
          <w:highlight w:val="none"/>
          <w:lang w:eastAsia="zh-CN"/>
        </w:rPr>
        <w:t>：</w:t>
      </w:r>
      <w:r>
        <w:rPr>
          <w:rFonts w:hint="eastAsia" w:ascii="宋体" w:hAnsi="宋体"/>
          <w:color w:val="auto"/>
          <w:sz w:val="24"/>
          <w:szCs w:val="24"/>
          <w:highlight w:val="none"/>
          <w:u w:val="single"/>
          <w:lang w:val="en-US" w:eastAsia="zh-CN"/>
        </w:rPr>
        <w:t xml:space="preserve">                   </w:t>
      </w:r>
      <w:r>
        <w:rPr>
          <w:rFonts w:hint="eastAsia" w:ascii="宋体" w:hAnsi="宋体" w:cs="仿宋"/>
          <w:iCs/>
          <w:color w:val="auto"/>
          <w:sz w:val="24"/>
          <w:szCs w:val="24"/>
          <w:highlight w:val="none"/>
          <w:u w:val="single"/>
          <w:lang w:val="en-US" w:eastAsia="zh-CN" w:bidi="ar-SA"/>
        </w:rPr>
        <w:t xml:space="preserve">  </w:t>
      </w:r>
      <w:r>
        <w:rPr>
          <w:rFonts w:hint="eastAsia" w:ascii="宋体" w:hAnsi="宋体"/>
          <w:color w:val="auto"/>
          <w:sz w:val="24"/>
          <w:szCs w:val="24"/>
          <w:highlight w:val="none"/>
        </w:rPr>
        <w:t xml:space="preserve">    </w:t>
      </w:r>
    </w:p>
    <w:p w14:paraId="187E6491">
      <w:pPr>
        <w:spacing w:line="360" w:lineRule="auto"/>
        <w:jc w:val="left"/>
        <w:rPr>
          <w:rFonts w:hint="eastAsia" w:ascii="宋体" w:hAnsi="宋体"/>
          <w:color w:val="auto"/>
          <w:sz w:val="24"/>
          <w:szCs w:val="24"/>
          <w:highlight w:val="none"/>
          <w:u w:val="single"/>
        </w:rPr>
      </w:pPr>
      <w:r>
        <w:rPr>
          <w:rFonts w:hint="eastAsia" w:ascii="宋体" w:hAnsi="宋体"/>
          <w:color w:val="auto"/>
          <w:sz w:val="24"/>
          <w:szCs w:val="24"/>
          <w:highlight w:val="none"/>
        </w:rPr>
        <w:t>项目名称和编号：</w:t>
      </w:r>
      <w:r>
        <w:rPr>
          <w:rFonts w:hint="eastAsia" w:ascii="宋体" w:hAnsi="宋体"/>
          <w:color w:val="auto"/>
          <w:spacing w:val="-20"/>
          <w:sz w:val="24"/>
          <w:szCs w:val="24"/>
          <w:highlight w:val="none"/>
          <w:u w:val="single"/>
        </w:rPr>
        <w:t>桂平市太平天国金田起义地址景区物业管理服务</w:t>
      </w:r>
      <w:r>
        <w:rPr>
          <w:rFonts w:hint="eastAsia" w:ascii="宋体" w:hAnsi="宋体"/>
          <w:color w:val="auto"/>
          <w:sz w:val="24"/>
          <w:szCs w:val="24"/>
          <w:highlight w:val="none"/>
          <w:u w:val="single"/>
          <w:lang w:val="en-US" w:eastAsia="zh-CN"/>
        </w:rPr>
        <w:t xml:space="preserve">              </w:t>
      </w:r>
      <w:r>
        <w:rPr>
          <w:rFonts w:hint="eastAsia" w:ascii="宋体" w:hAnsi="宋体" w:cs="仿宋"/>
          <w:iCs/>
          <w:color w:val="auto"/>
          <w:sz w:val="24"/>
          <w:szCs w:val="24"/>
          <w:highlight w:val="none"/>
          <w:u w:val="single"/>
          <w:lang w:val="en-US" w:eastAsia="zh-CN" w:bidi="ar-SA"/>
        </w:rPr>
        <w:t xml:space="preserve">  </w:t>
      </w:r>
    </w:p>
    <w:p w14:paraId="38D39AE8">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签 订 时 间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14:paraId="14E9834F">
      <w:pPr>
        <w:spacing w:line="600" w:lineRule="exact"/>
        <w:jc w:val="left"/>
        <w:rPr>
          <w:rFonts w:hint="eastAsia" w:ascii="宋体" w:hAnsi="宋体"/>
          <w:color w:val="auto"/>
          <w:szCs w:val="21"/>
          <w:highlight w:val="none"/>
        </w:rPr>
      </w:pPr>
    </w:p>
    <w:p w14:paraId="45B51BF6">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根据《中华人民共和国政府采购法》、《</w:t>
      </w:r>
      <w:r>
        <w:rPr>
          <w:rFonts w:hint="eastAsia" w:ascii="宋体" w:hAnsi="宋体"/>
          <w:color w:val="auto"/>
          <w:sz w:val="24"/>
          <w:szCs w:val="24"/>
          <w:highlight w:val="none"/>
          <w:lang w:eastAsia="zh-CN"/>
        </w:rPr>
        <w:t>中华人民共和国民法典</w:t>
      </w:r>
      <w:r>
        <w:rPr>
          <w:rFonts w:hint="eastAsia" w:ascii="宋体" w:hAnsi="宋体"/>
          <w:color w:val="auto"/>
          <w:sz w:val="24"/>
          <w:szCs w:val="24"/>
          <w:highlight w:val="none"/>
        </w:rPr>
        <w:t>》等法律、法规规定，按照招投标文件规定条款和乙方承诺，甲乙双方签订本合同。</w:t>
      </w:r>
    </w:p>
    <w:p w14:paraId="4BDEAFD0">
      <w:pPr>
        <w:snapToGrid w:val="0"/>
        <w:spacing w:line="44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一、 合同内容：</w:t>
      </w:r>
    </w:p>
    <w:p w14:paraId="6EA680B3">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1、乙方负责</w:t>
      </w:r>
      <w:r>
        <w:rPr>
          <w:rFonts w:hint="eastAsia" w:ascii="宋体" w:hAnsi="宋体"/>
          <w:color w:val="auto"/>
          <w:sz w:val="24"/>
          <w:szCs w:val="24"/>
          <w:highlight w:val="none"/>
          <w:u w:val="single"/>
        </w:rPr>
        <w:t xml:space="preserve">桂平市太平天国金田起义地址景区 </w:t>
      </w:r>
      <w:r>
        <w:rPr>
          <w:rFonts w:hint="eastAsia" w:ascii="宋体" w:hAnsi="宋体"/>
          <w:color w:val="auto"/>
          <w:sz w:val="24"/>
          <w:szCs w:val="24"/>
          <w:highlight w:val="none"/>
        </w:rPr>
        <w:t>物业</w:t>
      </w:r>
      <w:r>
        <w:rPr>
          <w:rFonts w:hint="eastAsia" w:ascii="宋体" w:hAnsi="宋体"/>
          <w:color w:val="auto"/>
          <w:sz w:val="24"/>
          <w:szCs w:val="24"/>
          <w:highlight w:val="none"/>
          <w:lang w:val="en-US" w:eastAsia="zh-CN"/>
        </w:rPr>
        <w:t>管理</w:t>
      </w:r>
      <w:r>
        <w:rPr>
          <w:rFonts w:hint="eastAsia" w:ascii="宋体" w:hAnsi="宋体"/>
          <w:color w:val="auto"/>
          <w:sz w:val="24"/>
          <w:szCs w:val="24"/>
          <w:highlight w:val="none"/>
        </w:rPr>
        <w:t>服务包括：景区清扫保洁和景区水体保洁、景区绿化养护、景区安全秩序、水电维护工作等</w:t>
      </w:r>
      <w:r>
        <w:rPr>
          <w:rFonts w:hint="eastAsia" w:ascii="宋体" w:hAnsi="宋体"/>
          <w:color w:val="auto"/>
          <w:sz w:val="24"/>
          <w:szCs w:val="24"/>
          <w:highlight w:val="none"/>
          <w:lang w:eastAsia="zh-CN"/>
        </w:rPr>
        <w:t>全方位物业</w:t>
      </w:r>
      <w:r>
        <w:rPr>
          <w:rFonts w:hint="eastAsia" w:ascii="宋体" w:hAnsi="宋体"/>
          <w:color w:val="auto"/>
          <w:sz w:val="24"/>
          <w:szCs w:val="24"/>
          <w:highlight w:val="none"/>
        </w:rPr>
        <w:t>服务。</w:t>
      </w:r>
    </w:p>
    <w:p w14:paraId="23C2887E">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合同期为</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lang w:val="en-US" w:eastAsia="zh-CN"/>
        </w:rPr>
        <w:t>12</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个月(自</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日至</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日)。在此期限内</w:t>
      </w:r>
      <w:r>
        <w:rPr>
          <w:rFonts w:hint="eastAsia" w:ascii="宋体" w:hAnsi="宋体"/>
          <w:color w:val="auto"/>
          <w:sz w:val="24"/>
          <w:szCs w:val="24"/>
          <w:highlight w:val="none"/>
          <w:lang w:eastAsia="zh-CN"/>
        </w:rPr>
        <w:t>由甲方</w:t>
      </w:r>
      <w:r>
        <w:rPr>
          <w:rFonts w:hint="eastAsia" w:ascii="宋体" w:hAnsi="宋体"/>
          <w:color w:val="auto"/>
          <w:sz w:val="24"/>
          <w:szCs w:val="24"/>
          <w:highlight w:val="none"/>
        </w:rPr>
        <w:t>进行</w:t>
      </w:r>
      <w:r>
        <w:rPr>
          <w:rFonts w:hint="eastAsia" w:ascii="宋体" w:hAnsi="宋体"/>
          <w:color w:val="auto"/>
          <w:sz w:val="24"/>
          <w:szCs w:val="24"/>
          <w:highlight w:val="none"/>
          <w:lang w:eastAsia="zh-CN"/>
        </w:rPr>
        <w:t>检查和</w:t>
      </w:r>
      <w:r>
        <w:rPr>
          <w:rFonts w:hint="eastAsia" w:ascii="宋体" w:hAnsi="宋体"/>
          <w:color w:val="auto"/>
          <w:sz w:val="24"/>
          <w:szCs w:val="24"/>
          <w:highlight w:val="none"/>
        </w:rPr>
        <w:t>考核，若考核不合格则甲方有权</w:t>
      </w:r>
      <w:r>
        <w:rPr>
          <w:rFonts w:hint="eastAsia" w:ascii="宋体" w:hAnsi="宋体"/>
          <w:color w:val="auto"/>
          <w:sz w:val="24"/>
          <w:szCs w:val="24"/>
          <w:highlight w:val="none"/>
          <w:lang w:eastAsia="zh-CN"/>
        </w:rPr>
        <w:t>要求乙方定期进行整改（以书面通知为准）</w:t>
      </w:r>
      <w:r>
        <w:rPr>
          <w:rFonts w:hint="eastAsia" w:ascii="宋体" w:hAnsi="宋体"/>
          <w:color w:val="auto"/>
          <w:sz w:val="24"/>
          <w:szCs w:val="24"/>
          <w:highlight w:val="none"/>
        </w:rPr>
        <w:t>。在协议有效期内一方不得擅自变更或中止此项协议，如未经双方同意，擅自变更或中止此项的一方要负违约责任。</w:t>
      </w:r>
      <w:r>
        <w:rPr>
          <w:rFonts w:hint="eastAsia" w:ascii="宋体" w:hAnsi="宋体"/>
          <w:color w:val="auto"/>
          <w:sz w:val="24"/>
          <w:szCs w:val="24"/>
          <w:highlight w:val="none"/>
          <w:lang w:eastAsia="zh-CN"/>
        </w:rPr>
        <w:t>任何一方</w:t>
      </w:r>
      <w:r>
        <w:rPr>
          <w:rFonts w:hint="eastAsia" w:ascii="宋体" w:hAnsi="宋体"/>
          <w:color w:val="auto"/>
          <w:sz w:val="24"/>
          <w:szCs w:val="24"/>
          <w:highlight w:val="none"/>
        </w:rPr>
        <w:t>需终止或续签，应</w:t>
      </w:r>
      <w:r>
        <w:rPr>
          <w:rFonts w:hint="eastAsia" w:ascii="宋体" w:hAnsi="宋体"/>
          <w:color w:val="auto"/>
          <w:sz w:val="24"/>
          <w:szCs w:val="24"/>
          <w:highlight w:val="none"/>
          <w:lang w:eastAsia="zh-CN"/>
        </w:rPr>
        <w:t>当</w:t>
      </w:r>
      <w:r>
        <w:rPr>
          <w:rFonts w:hint="eastAsia" w:ascii="宋体" w:hAnsi="宋体"/>
          <w:color w:val="auto"/>
          <w:sz w:val="24"/>
          <w:szCs w:val="24"/>
          <w:highlight w:val="none"/>
        </w:rPr>
        <w:t>提前</w:t>
      </w:r>
      <w:r>
        <w:rPr>
          <w:rFonts w:hint="eastAsia" w:ascii="宋体" w:hAnsi="宋体"/>
          <w:color w:val="auto"/>
          <w:sz w:val="24"/>
          <w:szCs w:val="24"/>
          <w:highlight w:val="none"/>
          <w:lang w:eastAsia="zh-CN"/>
        </w:rPr>
        <w:t>一</w:t>
      </w:r>
      <w:r>
        <w:rPr>
          <w:rFonts w:hint="eastAsia" w:ascii="宋体" w:hAnsi="宋体"/>
          <w:color w:val="auto"/>
          <w:sz w:val="24"/>
          <w:szCs w:val="24"/>
          <w:highlight w:val="none"/>
        </w:rPr>
        <w:t>个月通知对方</w:t>
      </w:r>
      <w:r>
        <w:rPr>
          <w:rFonts w:hint="eastAsia" w:ascii="宋体" w:hAnsi="宋体"/>
          <w:color w:val="auto"/>
          <w:sz w:val="24"/>
          <w:szCs w:val="24"/>
          <w:highlight w:val="none"/>
          <w:lang w:eastAsia="zh-CN"/>
        </w:rPr>
        <w:t>，并说明理由，双方可以协商解决；协商不成，依法处理</w:t>
      </w:r>
      <w:r>
        <w:rPr>
          <w:rFonts w:hint="eastAsia" w:ascii="宋体" w:hAnsi="宋体"/>
          <w:color w:val="auto"/>
          <w:sz w:val="24"/>
          <w:szCs w:val="24"/>
          <w:highlight w:val="none"/>
        </w:rPr>
        <w:t>。</w:t>
      </w:r>
    </w:p>
    <w:p w14:paraId="305407B8">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2、下列文件为本合同不可分割部分：</w:t>
      </w:r>
    </w:p>
    <w:p w14:paraId="5B5E673F">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①乙方提交的投标函、投标报价明细表和服务质量承诺等全部投标文件；</w:t>
      </w:r>
    </w:p>
    <w:p w14:paraId="1A2EE4B1">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②采购项目内容及要求；</w:t>
      </w:r>
    </w:p>
    <w:p w14:paraId="54276D14">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③中标通知书；</w:t>
      </w:r>
    </w:p>
    <w:p w14:paraId="20117DE5">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④合同附件。</w:t>
      </w:r>
    </w:p>
    <w:p w14:paraId="23E82616">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以上与本合同具有同等法律效力</w:t>
      </w:r>
    </w:p>
    <w:p w14:paraId="3ECF0AA5">
      <w:pPr>
        <w:snapToGrid w:val="0"/>
        <w:spacing w:line="44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二、乙方工作职责：</w:t>
      </w:r>
    </w:p>
    <w:p w14:paraId="3416A8CC">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1、清扫保洁养护工作</w:t>
      </w:r>
    </w:p>
    <w:p w14:paraId="35DBEB26">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2、绿化养护工作</w:t>
      </w:r>
    </w:p>
    <w:p w14:paraId="08E4E112">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3、安全秩序工作</w:t>
      </w:r>
    </w:p>
    <w:p w14:paraId="6B101A09">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4、水电维护工作</w:t>
      </w:r>
    </w:p>
    <w:p w14:paraId="248E7336">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5、其它</w:t>
      </w:r>
    </w:p>
    <w:p w14:paraId="12815D8E">
      <w:pPr>
        <w:snapToGrid w:val="0"/>
        <w:spacing w:line="44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lang w:eastAsia="zh-CN"/>
        </w:rPr>
        <w:t>三</w:t>
      </w:r>
      <w:r>
        <w:rPr>
          <w:rFonts w:hint="eastAsia" w:ascii="宋体" w:hAnsi="宋体"/>
          <w:b/>
          <w:color w:val="auto"/>
          <w:sz w:val="24"/>
          <w:szCs w:val="24"/>
          <w:highlight w:val="none"/>
        </w:rPr>
        <w:t>、甲、乙双方的责任</w:t>
      </w:r>
    </w:p>
    <w:p w14:paraId="3CD4B87F">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（一）、甲方责任：</w:t>
      </w:r>
    </w:p>
    <w:p w14:paraId="68B046F5">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1、为乙方物业管理部门提供办公用房及通讯设施；为乙方提供所需相关设备的技术资料及值勤、维修所需的工具</w:t>
      </w:r>
      <w:r>
        <w:rPr>
          <w:rFonts w:hint="eastAsia" w:ascii="宋体" w:hAnsi="宋体"/>
          <w:color w:val="auto"/>
          <w:sz w:val="24"/>
          <w:szCs w:val="24"/>
          <w:highlight w:val="none"/>
          <w:lang w:eastAsia="zh-CN"/>
        </w:rPr>
        <w:t>、</w:t>
      </w:r>
      <w:r>
        <w:rPr>
          <w:rFonts w:hint="eastAsia" w:ascii="宋体" w:hAnsi="宋体"/>
          <w:color w:val="auto"/>
          <w:sz w:val="24"/>
          <w:szCs w:val="24"/>
          <w:highlight w:val="none"/>
        </w:rPr>
        <w:t>材料，并指定专人作为甲方联系人予以协调工作。加强与乙方勾通，交流情况，互通信息。</w:t>
      </w:r>
    </w:p>
    <w:p w14:paraId="193A9709">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2、甲方应教育所属人员尊重乙方工作人员的劳动成果，积极配合乙方工作人员履行好合同所规定的职责和义务。对甲方人员因使用设备、器材、器械不当而造成的损失与乙方无关。</w:t>
      </w:r>
    </w:p>
    <w:p w14:paraId="2E7A84D1">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（二）、乙方责任：</w:t>
      </w:r>
    </w:p>
    <w:p w14:paraId="475298E4">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1、乙方在从事物业管理工作中应当做到文明工作、安全生产，采取必要的安全防范措施，合同期内若发生安全事故由乙方承担，与甲方无关。</w:t>
      </w:r>
    </w:p>
    <w:p w14:paraId="65060A6D">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2、乙方应及时调整不适应工作需求的物业管理人员及其员工。如甲方认为该员工不能胜任本职工作的，必须调整。</w:t>
      </w:r>
      <w:r>
        <w:rPr>
          <w:rFonts w:hint="eastAsia" w:ascii="宋体" w:hAnsi="宋体"/>
          <w:color w:val="auto"/>
          <w:sz w:val="24"/>
          <w:szCs w:val="24"/>
          <w:highlight w:val="none"/>
          <w:lang w:val="en-US" w:eastAsia="zh-CN"/>
        </w:rPr>
        <w:t>乙方应具备执业资质。签订合同时，乙方应将本单位的执照、管理人员、职务、电话等交一份给甲方备案，便于互相了解管理从业情况，如有变更则在变更后5天内将变更情况书面告知甲方。</w:t>
      </w:r>
    </w:p>
    <w:p w14:paraId="43C1FD1A">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3、乙方应经常对员工进行岗位职责和安全教育，加强岗位责任考核。因管理不当、违规操作发生设备损坏</w:t>
      </w:r>
      <w:r>
        <w:rPr>
          <w:rFonts w:hint="eastAsia" w:ascii="宋体" w:hAnsi="宋体"/>
          <w:color w:val="auto"/>
          <w:sz w:val="24"/>
          <w:szCs w:val="24"/>
          <w:highlight w:val="none"/>
          <w:lang w:eastAsia="zh-CN"/>
        </w:rPr>
        <w:t>、被盗、</w:t>
      </w:r>
      <w:r>
        <w:rPr>
          <w:rFonts w:hint="eastAsia" w:ascii="宋体" w:hAnsi="宋体"/>
          <w:color w:val="auto"/>
          <w:sz w:val="24"/>
          <w:szCs w:val="24"/>
          <w:highlight w:val="none"/>
        </w:rPr>
        <w:t>安全事故</w:t>
      </w:r>
      <w:r>
        <w:rPr>
          <w:rFonts w:hint="eastAsia" w:ascii="宋体" w:hAnsi="宋体"/>
          <w:color w:val="auto"/>
          <w:sz w:val="24"/>
          <w:szCs w:val="24"/>
          <w:highlight w:val="none"/>
          <w:lang w:eastAsia="zh-CN"/>
        </w:rPr>
        <w:t>后员工纠纷的</w:t>
      </w:r>
      <w:r>
        <w:rPr>
          <w:rFonts w:hint="eastAsia" w:ascii="宋体" w:hAnsi="宋体"/>
          <w:color w:val="auto"/>
          <w:sz w:val="24"/>
          <w:szCs w:val="24"/>
          <w:highlight w:val="none"/>
        </w:rPr>
        <w:t>，</w:t>
      </w:r>
      <w:r>
        <w:rPr>
          <w:rFonts w:hint="eastAsia" w:ascii="宋体" w:hAnsi="宋体"/>
          <w:color w:val="auto"/>
          <w:sz w:val="24"/>
          <w:szCs w:val="24"/>
          <w:highlight w:val="none"/>
          <w:lang w:eastAsia="zh-CN"/>
        </w:rPr>
        <w:t>由</w:t>
      </w:r>
      <w:r>
        <w:rPr>
          <w:rFonts w:hint="eastAsia" w:ascii="宋体" w:hAnsi="宋体"/>
          <w:color w:val="auto"/>
          <w:sz w:val="24"/>
          <w:szCs w:val="24"/>
          <w:highlight w:val="none"/>
        </w:rPr>
        <w:t>乙方</w:t>
      </w:r>
      <w:r>
        <w:rPr>
          <w:rFonts w:hint="eastAsia" w:ascii="宋体" w:hAnsi="宋体"/>
          <w:color w:val="auto"/>
          <w:sz w:val="24"/>
          <w:szCs w:val="24"/>
          <w:highlight w:val="none"/>
          <w:lang w:eastAsia="zh-CN"/>
        </w:rPr>
        <w:t>担责；经相关部门鉴定确属乙方责任的，可以根据实际损失由乙方承担相应的赔偿责任。</w:t>
      </w:r>
    </w:p>
    <w:p w14:paraId="42555BB5">
      <w:pPr>
        <w:snapToGrid w:val="0"/>
        <w:spacing w:line="44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四、费用及结算：</w:t>
      </w:r>
    </w:p>
    <w:p w14:paraId="0B492649">
      <w:pPr>
        <w:spacing w:line="360" w:lineRule="auto"/>
        <w:ind w:firstLine="564" w:firstLineChars="234"/>
        <w:rPr>
          <w:rFonts w:hint="eastAsia" w:ascii="宋体" w:hAnsi="宋体" w:eastAsia="宋体" w:cs="宋体"/>
          <w:color w:val="auto"/>
          <w:sz w:val="24"/>
          <w:szCs w:val="24"/>
          <w:highlight w:val="none"/>
          <w:lang w:bidi="ar-SA"/>
        </w:rPr>
      </w:pPr>
      <w:r>
        <w:rPr>
          <w:rFonts w:hint="eastAsia" w:ascii="宋体" w:hAnsi="宋体" w:eastAsia="宋体" w:cs="宋体"/>
          <w:b/>
          <w:bCs/>
          <w:color w:val="auto"/>
          <w:sz w:val="24"/>
          <w:szCs w:val="24"/>
          <w:highlight w:val="none"/>
          <w:lang w:bidi="ar-SA"/>
        </w:rPr>
        <w:t>1、本合同物业服务费总金额为：（大写）人民币</w:t>
      </w:r>
      <w:r>
        <w:rPr>
          <w:rFonts w:hint="eastAsia" w:ascii="宋体" w:hAnsi="宋体"/>
          <w:color w:val="auto"/>
          <w:sz w:val="24"/>
          <w:szCs w:val="24"/>
          <w:highlight w:val="none"/>
          <w:u w:val="single"/>
          <w:lang w:val="en-US" w:eastAsia="zh-CN"/>
        </w:rPr>
        <w:t xml:space="preserve">    </w:t>
      </w:r>
      <w:r>
        <w:rPr>
          <w:rFonts w:hint="eastAsia" w:ascii="宋体" w:hAnsi="宋体" w:cs="仿宋"/>
          <w:iCs/>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bidi="ar-SA"/>
        </w:rPr>
        <w:t>，</w:t>
      </w:r>
      <w:r>
        <w:rPr>
          <w:rFonts w:hint="eastAsia" w:ascii="宋体" w:hAnsi="宋体" w:eastAsia="宋体" w:cs="宋体"/>
          <w:b/>
          <w:bCs/>
          <w:color w:val="auto"/>
          <w:sz w:val="24"/>
          <w:szCs w:val="24"/>
          <w:highlight w:val="none"/>
          <w:u w:val="single"/>
          <w:lang w:bidi="ar-SA"/>
        </w:rPr>
        <w:t>则每个</w:t>
      </w:r>
      <w:r>
        <w:rPr>
          <w:rFonts w:hint="eastAsia" w:ascii="宋体" w:hAnsi="宋体" w:cs="宋体"/>
          <w:b/>
          <w:bCs/>
          <w:color w:val="auto"/>
          <w:sz w:val="24"/>
          <w:szCs w:val="24"/>
          <w:highlight w:val="none"/>
          <w:u w:val="single"/>
          <w:lang w:eastAsia="zh-CN" w:bidi="ar-SA"/>
        </w:rPr>
        <w:t>季度</w:t>
      </w:r>
      <w:r>
        <w:rPr>
          <w:rFonts w:hint="eastAsia" w:ascii="宋体" w:hAnsi="宋体" w:eastAsia="宋体" w:cs="宋体"/>
          <w:b/>
          <w:bCs/>
          <w:color w:val="auto"/>
          <w:sz w:val="24"/>
          <w:szCs w:val="24"/>
          <w:highlight w:val="none"/>
          <w:u w:val="single"/>
          <w:lang w:bidi="ar-SA"/>
        </w:rPr>
        <w:t>的物业服务费为：</w:t>
      </w:r>
      <w:r>
        <w:rPr>
          <w:rFonts w:hint="eastAsia" w:ascii="宋体" w:hAnsi="宋体" w:eastAsia="宋体" w:cs="宋体"/>
          <w:b/>
          <w:bCs/>
          <w:color w:val="auto"/>
          <w:sz w:val="24"/>
          <w:szCs w:val="24"/>
          <w:highlight w:val="none"/>
          <w:u w:val="single"/>
          <w:lang w:val="en-US" w:eastAsia="zh-CN" w:bidi="ar-SA"/>
        </w:rPr>
        <w:t xml:space="preserve">   </w:t>
      </w:r>
      <w:r>
        <w:rPr>
          <w:rFonts w:hint="eastAsia" w:ascii="宋体" w:hAnsi="宋体" w:eastAsia="宋体" w:cs="宋体"/>
          <w:b/>
          <w:bCs/>
          <w:color w:val="auto"/>
          <w:sz w:val="24"/>
          <w:szCs w:val="24"/>
          <w:highlight w:val="none"/>
          <w:lang w:bidi="ar-SA"/>
        </w:rPr>
        <w:t>，</w:t>
      </w:r>
      <w:r>
        <w:rPr>
          <w:rFonts w:hint="eastAsia" w:ascii="宋体" w:hAnsi="宋体" w:eastAsia="宋体" w:cs="宋体"/>
          <w:color w:val="auto"/>
          <w:sz w:val="24"/>
          <w:szCs w:val="24"/>
          <w:highlight w:val="none"/>
          <w:lang w:bidi="ar-SA"/>
        </w:rPr>
        <w:t>乙方每</w:t>
      </w:r>
      <w:r>
        <w:rPr>
          <w:rFonts w:hint="eastAsia" w:ascii="宋体" w:hAnsi="宋体" w:cs="宋体"/>
          <w:color w:val="auto"/>
          <w:sz w:val="24"/>
          <w:szCs w:val="24"/>
          <w:highlight w:val="none"/>
          <w:lang w:eastAsia="zh-CN" w:bidi="ar-SA"/>
        </w:rPr>
        <w:t>季度结束后半个月内</w:t>
      </w:r>
      <w:r>
        <w:rPr>
          <w:rFonts w:hint="eastAsia" w:ascii="宋体" w:hAnsi="宋体" w:eastAsia="宋体" w:cs="宋体"/>
          <w:color w:val="auto"/>
          <w:sz w:val="24"/>
          <w:szCs w:val="24"/>
          <w:highlight w:val="none"/>
          <w:lang w:bidi="ar-SA"/>
        </w:rPr>
        <w:t>开具本月增值税发票，甲方收到发票后应在当月通过银行转账方式支付当月物业管理服务费到乙方指定的公司银行账号。</w:t>
      </w:r>
    </w:p>
    <w:p w14:paraId="10F88EA0">
      <w:pPr>
        <w:spacing w:line="360" w:lineRule="auto"/>
        <w:ind w:firstLine="561" w:firstLineChars="234"/>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乙方开户银行及账号</w:t>
      </w:r>
    </w:p>
    <w:p w14:paraId="519FEC18">
      <w:pPr>
        <w:spacing w:line="360" w:lineRule="auto"/>
        <w:ind w:firstLine="564" w:firstLineChars="234"/>
        <w:rPr>
          <w:rFonts w:hint="eastAsia" w:ascii="宋体" w:hAnsi="宋体" w:eastAsia="宋体" w:cs="宋体"/>
          <w:b/>
          <w:bCs/>
          <w:color w:val="auto"/>
          <w:sz w:val="24"/>
          <w:szCs w:val="24"/>
          <w:highlight w:val="none"/>
          <w:lang w:bidi="ar-SA"/>
        </w:rPr>
      </w:pPr>
      <w:r>
        <w:rPr>
          <w:rFonts w:hint="eastAsia" w:ascii="宋体" w:hAnsi="宋体" w:eastAsia="宋体" w:cs="宋体"/>
          <w:b/>
          <w:bCs/>
          <w:color w:val="auto"/>
          <w:sz w:val="24"/>
          <w:szCs w:val="24"/>
          <w:highlight w:val="none"/>
          <w:lang w:bidi="ar-SA"/>
        </w:rPr>
        <w:t>乙方收款户名：</w:t>
      </w:r>
    </w:p>
    <w:p w14:paraId="4EF8CC9A">
      <w:pPr>
        <w:spacing w:line="360" w:lineRule="auto"/>
        <w:ind w:firstLine="564" w:firstLineChars="234"/>
        <w:rPr>
          <w:rFonts w:hint="eastAsia" w:ascii="宋体" w:hAnsi="宋体" w:eastAsia="宋体" w:cs="宋体"/>
          <w:b/>
          <w:bCs/>
          <w:color w:val="auto"/>
          <w:sz w:val="24"/>
          <w:szCs w:val="24"/>
          <w:highlight w:val="none"/>
          <w:lang w:bidi="ar-SA"/>
        </w:rPr>
      </w:pPr>
      <w:r>
        <w:rPr>
          <w:rFonts w:hint="eastAsia" w:ascii="宋体" w:hAnsi="宋体" w:eastAsia="宋体" w:cs="宋体"/>
          <w:b/>
          <w:bCs/>
          <w:color w:val="auto"/>
          <w:sz w:val="24"/>
          <w:szCs w:val="24"/>
          <w:highlight w:val="none"/>
          <w:lang w:bidi="ar-SA"/>
        </w:rPr>
        <w:t>收款账号：</w:t>
      </w:r>
    </w:p>
    <w:p w14:paraId="77895CE1">
      <w:pPr>
        <w:spacing w:line="360" w:lineRule="auto"/>
        <w:ind w:firstLine="564" w:firstLineChars="234"/>
        <w:rPr>
          <w:rFonts w:hint="eastAsia"/>
          <w:color w:val="auto"/>
          <w:highlight w:val="none"/>
        </w:rPr>
      </w:pPr>
      <w:r>
        <w:rPr>
          <w:rFonts w:hint="eastAsia" w:ascii="宋体" w:hAnsi="宋体" w:eastAsia="宋体" w:cs="宋体"/>
          <w:b/>
          <w:bCs/>
          <w:color w:val="auto"/>
          <w:sz w:val="24"/>
          <w:szCs w:val="24"/>
          <w:highlight w:val="none"/>
          <w:lang w:bidi="ar-SA"/>
        </w:rPr>
        <w:t>开户银行：</w:t>
      </w:r>
    </w:p>
    <w:p w14:paraId="7419BFA8">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2、甲方支付此项费用外不再承担其它任何费用（包括个人），服务人员的薪金、福利、休假日补贴</w:t>
      </w:r>
      <w:r>
        <w:rPr>
          <w:rFonts w:hint="eastAsia" w:ascii="宋体" w:hAnsi="宋体"/>
          <w:color w:val="auto"/>
          <w:sz w:val="24"/>
          <w:szCs w:val="24"/>
          <w:highlight w:val="none"/>
          <w:lang w:eastAsia="zh-CN"/>
        </w:rPr>
        <w:t>、物业工作所需用具用品</w:t>
      </w:r>
      <w:r>
        <w:rPr>
          <w:rFonts w:hint="eastAsia" w:ascii="宋体" w:hAnsi="宋体"/>
          <w:color w:val="auto"/>
          <w:sz w:val="24"/>
          <w:szCs w:val="24"/>
          <w:highlight w:val="none"/>
        </w:rPr>
        <w:t>等</w:t>
      </w:r>
      <w:r>
        <w:rPr>
          <w:rFonts w:hint="eastAsia" w:ascii="宋体" w:hAnsi="宋体"/>
          <w:color w:val="auto"/>
          <w:sz w:val="24"/>
          <w:szCs w:val="24"/>
          <w:highlight w:val="none"/>
          <w:lang w:eastAsia="zh-CN"/>
        </w:rPr>
        <w:t>费用</w:t>
      </w:r>
      <w:r>
        <w:rPr>
          <w:rFonts w:hint="eastAsia" w:ascii="宋体" w:hAnsi="宋体"/>
          <w:color w:val="auto"/>
          <w:sz w:val="24"/>
          <w:szCs w:val="24"/>
          <w:highlight w:val="none"/>
        </w:rPr>
        <w:t>由乙方付给，与甲方无关。</w:t>
      </w:r>
    </w:p>
    <w:p w14:paraId="23CA5264">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3、确因甲方工作需要，乙方应无条件配合甲方完成一些突击工作。如：安排服务人员（内部）临时加班。</w:t>
      </w:r>
    </w:p>
    <w:p w14:paraId="536128E3">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4、若遇国家或地方政府政策性调整基础工资，双方另行协商。</w:t>
      </w:r>
    </w:p>
    <w:p w14:paraId="08BDCED6">
      <w:pPr>
        <w:snapToGrid w:val="0"/>
        <w:spacing w:line="440" w:lineRule="exact"/>
        <w:ind w:firstLine="480" w:firstLineChars="200"/>
        <w:rPr>
          <w:rFonts w:hint="default" w:eastAsia="宋体"/>
          <w:color w:val="auto"/>
          <w:highlight w:val="none"/>
          <w:lang w:val="en-US" w:eastAsia="zh-CN"/>
        </w:rPr>
      </w:pPr>
      <w:r>
        <w:rPr>
          <w:rFonts w:hint="eastAsia" w:ascii="宋体" w:hAnsi="宋体"/>
          <w:color w:val="auto"/>
          <w:sz w:val="24"/>
          <w:szCs w:val="24"/>
          <w:highlight w:val="none"/>
          <w:lang w:val="en-US" w:eastAsia="zh-CN"/>
        </w:rPr>
        <w:t>5、如乙方确有违约等不当行为的，甲方可以暂时推迟付款，待问题解决或协调商定后，在3天内如数支付。乙方收款后，应当优先支付员工工资，不得拖欠。</w:t>
      </w:r>
    </w:p>
    <w:p w14:paraId="39E51A83">
      <w:pPr>
        <w:spacing w:line="360" w:lineRule="auto"/>
        <w:ind w:firstLine="564" w:firstLineChars="234"/>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五、其它</w:t>
      </w:r>
    </w:p>
    <w:p w14:paraId="4BDEF3F8">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1、中标单位除应为秩序维护人员、保洁工人等相关人员提供必要的劳动保护条件外，还应为其办理作业时的人身安全保险</w:t>
      </w:r>
      <w:r>
        <w:rPr>
          <w:rFonts w:hint="eastAsia" w:ascii="宋体" w:hAnsi="宋体"/>
          <w:color w:val="auto"/>
          <w:sz w:val="24"/>
          <w:szCs w:val="24"/>
          <w:highlight w:val="none"/>
          <w:lang w:eastAsia="zh-CN"/>
        </w:rPr>
        <w:t>或</w:t>
      </w:r>
      <w:r>
        <w:rPr>
          <w:rFonts w:hint="eastAsia" w:ascii="宋体" w:hAnsi="宋体"/>
          <w:color w:val="auto"/>
          <w:sz w:val="24"/>
          <w:szCs w:val="24"/>
          <w:highlight w:val="none"/>
        </w:rPr>
        <w:t>意外伤害险。一切安全责任事故均由乙方负责（保险种类由乙方自行选择）。</w:t>
      </w:r>
    </w:p>
    <w:p w14:paraId="3D9A5E3A">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2、乙方应做好职工的安全生产教育，并配备一定的劳动保护必需品以供职工使用。</w:t>
      </w:r>
    </w:p>
    <w:p w14:paraId="12B16BDE">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3、本合同之附件均为合同有效组成部分，与本合同具有同等法律效力。</w:t>
      </w:r>
    </w:p>
    <w:p w14:paraId="7A0D543B">
      <w:pPr>
        <w:snapToGrid w:val="0"/>
        <w:spacing w:line="44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lang w:eastAsia="zh-CN"/>
        </w:rPr>
        <w:t>六</w:t>
      </w:r>
      <w:r>
        <w:rPr>
          <w:rFonts w:hint="eastAsia" w:ascii="宋体" w:hAnsi="宋体"/>
          <w:b/>
          <w:color w:val="auto"/>
          <w:sz w:val="24"/>
          <w:szCs w:val="24"/>
          <w:highlight w:val="none"/>
        </w:rPr>
        <w:t>、合同的生效及变更、终止与转让</w:t>
      </w:r>
    </w:p>
    <w:p w14:paraId="643DBE4F">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1、合同经双方法定代表人或授权代表签字并加盖单位公章后生效。</w:t>
      </w:r>
    </w:p>
    <w:p w14:paraId="77B3786B">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2、除《中华人民共和国政府采购法》第五十条规定的情形外，本合同一经签订，甲乙双方不得擅自变更、中止或终止。</w:t>
      </w:r>
    </w:p>
    <w:p w14:paraId="5CD965DC">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3、乙方不得擅自转让其应履行的合同义务。</w:t>
      </w:r>
    </w:p>
    <w:p w14:paraId="3D00B84B">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4、本合同未尽事宜，本合同未尽事宜应按《</w:t>
      </w:r>
      <w:r>
        <w:rPr>
          <w:rFonts w:hint="eastAsia" w:ascii="宋体" w:hAnsi="宋体"/>
          <w:color w:val="auto"/>
          <w:sz w:val="24"/>
          <w:szCs w:val="24"/>
          <w:highlight w:val="none"/>
          <w:lang w:eastAsia="zh-CN"/>
        </w:rPr>
        <w:t>中华人民共和国民法典</w:t>
      </w:r>
      <w:r>
        <w:rPr>
          <w:rFonts w:hint="eastAsia" w:ascii="宋体" w:hAnsi="宋体"/>
          <w:color w:val="auto"/>
          <w:sz w:val="24"/>
          <w:szCs w:val="24"/>
          <w:highlight w:val="none"/>
        </w:rPr>
        <w:t>》、《中华人民共和国政府采购法》以及其同相关法律、法规之规定解释。</w:t>
      </w:r>
    </w:p>
    <w:p w14:paraId="7F5971A1">
      <w:pPr>
        <w:snapToGrid w:val="0"/>
        <w:spacing w:line="440" w:lineRule="exact"/>
        <w:ind w:firstLine="482" w:firstLineChars="200"/>
        <w:rPr>
          <w:rFonts w:hint="eastAsia" w:ascii="宋体" w:hAnsi="宋体"/>
          <w:color w:val="auto"/>
          <w:sz w:val="24"/>
          <w:szCs w:val="24"/>
          <w:highlight w:val="none"/>
        </w:rPr>
      </w:pPr>
      <w:r>
        <w:rPr>
          <w:rFonts w:hint="eastAsia" w:ascii="宋体" w:hAnsi="宋体"/>
          <w:b/>
          <w:color w:val="auto"/>
          <w:sz w:val="24"/>
          <w:szCs w:val="24"/>
          <w:highlight w:val="none"/>
          <w:lang w:eastAsia="zh-CN"/>
        </w:rPr>
        <w:t>七</w:t>
      </w:r>
      <w:r>
        <w:rPr>
          <w:rFonts w:hint="eastAsia" w:ascii="宋体" w:hAnsi="宋体"/>
          <w:b/>
          <w:color w:val="auto"/>
          <w:sz w:val="24"/>
          <w:szCs w:val="24"/>
          <w:highlight w:val="none"/>
        </w:rPr>
        <w:t>、其他</w:t>
      </w:r>
    </w:p>
    <w:p w14:paraId="7F903285">
      <w:pPr>
        <w:snapToGrid w:val="0"/>
        <w:spacing w:line="440" w:lineRule="exact"/>
        <w:ind w:firstLine="480" w:firstLineChars="200"/>
        <w:rPr>
          <w:rFonts w:hint="eastAsia"/>
          <w:color w:val="auto"/>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、本合同之附件均为合同有效组成部分，与本合同具有同等法律效力。</w:t>
      </w:r>
    </w:p>
    <w:p w14:paraId="4A36A35C">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2、本合同一式五份，具有同等法律效力，甲方执正本两份，乙方执正本一份，政府采购监督管理部门副本一份，采购代理机构副本一份。</w:t>
      </w:r>
    </w:p>
    <w:p w14:paraId="1182C85A">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本合同甲乙双方签字盖章后生效。</w:t>
      </w:r>
    </w:p>
    <w:p w14:paraId="51CE3F5A">
      <w:pPr>
        <w:pStyle w:val="12"/>
        <w:rPr>
          <w:rFonts w:hint="eastAsia" w:ascii="宋体" w:hAnsi="宋体"/>
          <w:color w:val="auto"/>
          <w:sz w:val="24"/>
          <w:szCs w:val="24"/>
          <w:highlight w:val="none"/>
        </w:rPr>
      </w:pPr>
    </w:p>
    <w:p w14:paraId="003D4966">
      <w:pPr>
        <w:pStyle w:val="12"/>
        <w:rPr>
          <w:rFonts w:hint="eastAsia" w:ascii="宋体" w:hAnsi="宋体"/>
          <w:color w:val="auto"/>
          <w:sz w:val="24"/>
          <w:szCs w:val="24"/>
          <w:highlight w:val="none"/>
        </w:rPr>
      </w:pPr>
    </w:p>
    <w:p w14:paraId="28FC7028">
      <w:pPr>
        <w:pStyle w:val="12"/>
        <w:rPr>
          <w:rFonts w:hint="eastAsia" w:ascii="宋体" w:hAnsi="宋体"/>
          <w:color w:val="auto"/>
          <w:sz w:val="24"/>
          <w:szCs w:val="24"/>
          <w:highlight w:val="none"/>
        </w:rPr>
      </w:pPr>
    </w:p>
    <w:p w14:paraId="2307E6C2">
      <w:pPr>
        <w:pStyle w:val="12"/>
        <w:rPr>
          <w:rFonts w:hint="eastAsia" w:ascii="宋体" w:hAnsi="宋体"/>
          <w:color w:val="auto"/>
          <w:sz w:val="24"/>
          <w:szCs w:val="24"/>
          <w:highlight w:val="none"/>
        </w:rPr>
      </w:pPr>
    </w:p>
    <w:p w14:paraId="14873800">
      <w:pPr>
        <w:pStyle w:val="12"/>
        <w:rPr>
          <w:rFonts w:hint="eastAsia" w:ascii="宋体" w:hAnsi="宋体"/>
          <w:color w:val="auto"/>
          <w:sz w:val="24"/>
          <w:szCs w:val="24"/>
          <w:highlight w:val="none"/>
        </w:rPr>
      </w:pPr>
    </w:p>
    <w:p w14:paraId="01198D50">
      <w:pPr>
        <w:pStyle w:val="12"/>
        <w:rPr>
          <w:rFonts w:hint="eastAsia" w:ascii="宋体" w:hAnsi="宋体"/>
          <w:color w:val="auto"/>
          <w:sz w:val="24"/>
          <w:szCs w:val="24"/>
          <w:highlight w:val="none"/>
        </w:rPr>
      </w:pPr>
    </w:p>
    <w:p w14:paraId="2E462691">
      <w:pPr>
        <w:pStyle w:val="12"/>
        <w:rPr>
          <w:rFonts w:hint="eastAsia" w:ascii="宋体" w:hAnsi="宋体"/>
          <w:color w:val="auto"/>
          <w:sz w:val="24"/>
          <w:szCs w:val="24"/>
          <w:highlight w:val="none"/>
        </w:rPr>
      </w:pPr>
    </w:p>
    <w:p w14:paraId="03254922">
      <w:pPr>
        <w:pStyle w:val="12"/>
        <w:rPr>
          <w:rFonts w:hint="eastAsia" w:ascii="宋体" w:hAnsi="宋体"/>
          <w:color w:val="auto"/>
          <w:sz w:val="24"/>
          <w:szCs w:val="24"/>
          <w:highlight w:val="none"/>
        </w:rPr>
      </w:pPr>
    </w:p>
    <w:tbl>
      <w:tblPr>
        <w:tblStyle w:val="27"/>
        <w:tblpPr w:leftFromText="180" w:rightFromText="180" w:vertAnchor="text" w:horzAnchor="page" w:tblpXSpec="center" w:tblpY="3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55"/>
        <w:gridCol w:w="4396"/>
      </w:tblGrid>
      <w:tr w14:paraId="66D7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8" w:hRule="atLeast"/>
        </w:trPr>
        <w:tc>
          <w:tcPr>
            <w:tcW w:w="4655" w:type="dxa"/>
            <w:noWrap w:val="0"/>
            <w:vAlign w:val="center"/>
          </w:tcPr>
          <w:p w14:paraId="2C8E35BE">
            <w:pPr>
              <w:widowControl/>
              <w:ind w:right="5"/>
              <w:textAlignment w:val="center"/>
              <w:rPr>
                <w:rFonts w:hint="eastAsia" w:ascii="宋体" w:hAnsi="宋体"/>
                <w:color w:val="auto"/>
                <w:sz w:val="24"/>
                <w:szCs w:val="24"/>
                <w:highlight w:val="none"/>
              </w:rPr>
            </w:pPr>
            <w:r>
              <w:rPr>
                <w:rFonts w:hint="eastAsia" w:ascii="宋体" w:hAnsi="宋体"/>
                <w:color w:val="auto"/>
                <w:kern w:val="0"/>
                <w:sz w:val="24"/>
                <w:szCs w:val="24"/>
                <w:highlight w:val="none"/>
              </w:rPr>
              <w:t xml:space="preserve">甲方（章）  </w:t>
            </w:r>
            <w:r>
              <w:rPr>
                <w:rFonts w:hint="eastAsia" w:ascii="宋体" w:hAnsi="宋体"/>
                <w:color w:val="auto"/>
                <w:sz w:val="24"/>
                <w:szCs w:val="24"/>
                <w:highlight w:val="none"/>
              </w:rPr>
              <w:t>桂平市文化广电体育和旅游局</w:t>
            </w:r>
            <w:r>
              <w:rPr>
                <w:rFonts w:hint="eastAsia" w:ascii="宋体" w:hAnsi="宋体"/>
                <w:color w:val="auto"/>
                <w:kern w:val="0"/>
                <w:sz w:val="24"/>
                <w:szCs w:val="24"/>
                <w:highlight w:val="none"/>
              </w:rPr>
              <w:t xml:space="preserve">                 </w:t>
            </w:r>
          </w:p>
        </w:tc>
        <w:tc>
          <w:tcPr>
            <w:tcW w:w="4396" w:type="dxa"/>
            <w:noWrap w:val="0"/>
            <w:vAlign w:val="center"/>
          </w:tcPr>
          <w:p w14:paraId="7E075C96">
            <w:pPr>
              <w:widowControl/>
              <w:textAlignment w:val="center"/>
              <w:rPr>
                <w:rFonts w:hint="eastAsia" w:ascii="宋体" w:hAnsi="宋体"/>
                <w:color w:val="auto"/>
                <w:sz w:val="24"/>
                <w:szCs w:val="24"/>
                <w:highlight w:val="none"/>
              </w:rPr>
            </w:pPr>
            <w:r>
              <w:rPr>
                <w:rFonts w:hint="eastAsia" w:ascii="宋体" w:hAnsi="宋体"/>
                <w:color w:val="auto"/>
                <w:kern w:val="0"/>
                <w:sz w:val="24"/>
                <w:szCs w:val="24"/>
                <w:highlight w:val="none"/>
              </w:rPr>
              <w:t xml:space="preserve">乙方（章）            </w:t>
            </w:r>
          </w:p>
        </w:tc>
      </w:tr>
      <w:tr w14:paraId="436D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8" w:hRule="atLeast"/>
        </w:trPr>
        <w:tc>
          <w:tcPr>
            <w:tcW w:w="4655" w:type="dxa"/>
            <w:noWrap w:val="0"/>
            <w:vAlign w:val="center"/>
          </w:tcPr>
          <w:p w14:paraId="53D747C8">
            <w:pPr>
              <w:widowControl/>
              <w:ind w:right="5"/>
              <w:jc w:val="center"/>
              <w:textAlignment w:val="center"/>
              <w:rPr>
                <w:rFonts w:hint="eastAsia" w:ascii="宋体" w:hAnsi="宋体"/>
                <w:color w:val="auto"/>
                <w:sz w:val="24"/>
                <w:szCs w:val="24"/>
                <w:highlight w:val="none"/>
              </w:rPr>
            </w:pPr>
            <w:r>
              <w:rPr>
                <w:rFonts w:hint="eastAsia" w:ascii="宋体" w:hAnsi="宋体"/>
                <w:color w:val="auto"/>
                <w:kern w:val="0"/>
                <w:sz w:val="24"/>
                <w:szCs w:val="24"/>
                <w:highlight w:val="none"/>
                <w:lang w:val="en-US" w:eastAsia="zh-CN"/>
              </w:rPr>
              <w:t>2025</w:t>
            </w:r>
            <w:r>
              <w:rPr>
                <w:rFonts w:hint="eastAsia" w:ascii="宋体" w:hAnsi="宋体"/>
                <w:color w:val="auto"/>
                <w:kern w:val="0"/>
                <w:sz w:val="24"/>
                <w:szCs w:val="24"/>
                <w:highlight w:val="none"/>
              </w:rPr>
              <w:t>年</w:t>
            </w:r>
            <w:r>
              <w:rPr>
                <w:rFonts w:hint="eastAsia" w:ascii="宋体" w:hAnsi="宋体"/>
                <w:color w:val="auto"/>
                <w:kern w:val="0"/>
                <w:sz w:val="24"/>
                <w:szCs w:val="24"/>
                <w:highlight w:val="none"/>
                <w:lang w:val="en-US" w:eastAsia="zh-CN"/>
              </w:rPr>
              <w:t xml:space="preserve">   </w:t>
            </w:r>
            <w:r>
              <w:rPr>
                <w:rFonts w:hint="eastAsia" w:ascii="宋体" w:hAnsi="宋体"/>
                <w:color w:val="auto"/>
                <w:kern w:val="0"/>
                <w:sz w:val="24"/>
                <w:szCs w:val="24"/>
                <w:highlight w:val="none"/>
              </w:rPr>
              <w:t>月</w:t>
            </w:r>
            <w:r>
              <w:rPr>
                <w:rFonts w:hint="eastAsia" w:ascii="宋体" w:hAnsi="宋体"/>
                <w:color w:val="auto"/>
                <w:kern w:val="0"/>
                <w:sz w:val="24"/>
                <w:szCs w:val="24"/>
                <w:highlight w:val="none"/>
                <w:lang w:val="en-US" w:eastAsia="zh-CN"/>
              </w:rPr>
              <w:t xml:space="preserve">   </w:t>
            </w:r>
            <w:r>
              <w:rPr>
                <w:rFonts w:hint="eastAsia" w:ascii="宋体" w:hAnsi="宋体"/>
                <w:color w:val="auto"/>
                <w:kern w:val="0"/>
                <w:sz w:val="24"/>
                <w:szCs w:val="24"/>
                <w:highlight w:val="none"/>
              </w:rPr>
              <w:t>日</w:t>
            </w:r>
          </w:p>
        </w:tc>
        <w:tc>
          <w:tcPr>
            <w:tcW w:w="4396" w:type="dxa"/>
            <w:noWrap w:val="0"/>
            <w:vAlign w:val="center"/>
          </w:tcPr>
          <w:p w14:paraId="2FC81528">
            <w:pPr>
              <w:widowControl/>
              <w:jc w:val="center"/>
              <w:textAlignment w:val="center"/>
              <w:rPr>
                <w:rFonts w:hint="eastAsia" w:ascii="宋体" w:hAnsi="宋体"/>
                <w:color w:val="auto"/>
                <w:sz w:val="24"/>
                <w:szCs w:val="24"/>
                <w:highlight w:val="none"/>
              </w:rPr>
            </w:pPr>
            <w:r>
              <w:rPr>
                <w:rFonts w:hint="eastAsia" w:ascii="宋体" w:hAnsi="宋体"/>
                <w:color w:val="auto"/>
                <w:kern w:val="0"/>
                <w:sz w:val="24"/>
                <w:szCs w:val="24"/>
                <w:highlight w:val="none"/>
                <w:lang w:val="en-US" w:eastAsia="zh-CN"/>
              </w:rPr>
              <w:t>2025</w:t>
            </w:r>
            <w:r>
              <w:rPr>
                <w:rFonts w:hint="eastAsia" w:ascii="宋体" w:hAnsi="宋体"/>
                <w:color w:val="auto"/>
                <w:kern w:val="0"/>
                <w:sz w:val="24"/>
                <w:szCs w:val="24"/>
                <w:highlight w:val="none"/>
              </w:rPr>
              <w:t>年</w:t>
            </w:r>
            <w:r>
              <w:rPr>
                <w:rFonts w:hint="eastAsia" w:ascii="宋体" w:hAnsi="宋体"/>
                <w:color w:val="auto"/>
                <w:kern w:val="0"/>
                <w:sz w:val="24"/>
                <w:szCs w:val="24"/>
                <w:highlight w:val="none"/>
                <w:lang w:val="en-US" w:eastAsia="zh-CN"/>
              </w:rPr>
              <w:t xml:space="preserve">   </w:t>
            </w:r>
            <w:r>
              <w:rPr>
                <w:rFonts w:hint="eastAsia" w:ascii="宋体" w:hAnsi="宋体"/>
                <w:color w:val="auto"/>
                <w:kern w:val="0"/>
                <w:sz w:val="24"/>
                <w:szCs w:val="24"/>
                <w:highlight w:val="none"/>
              </w:rPr>
              <w:t>月</w:t>
            </w:r>
            <w:r>
              <w:rPr>
                <w:rFonts w:hint="eastAsia" w:ascii="宋体" w:hAnsi="宋体"/>
                <w:color w:val="auto"/>
                <w:kern w:val="0"/>
                <w:sz w:val="24"/>
                <w:szCs w:val="24"/>
                <w:highlight w:val="none"/>
                <w:lang w:val="en-US" w:eastAsia="zh-CN"/>
              </w:rPr>
              <w:t xml:space="preserve">   </w:t>
            </w:r>
            <w:r>
              <w:rPr>
                <w:rFonts w:hint="eastAsia" w:ascii="宋体" w:hAnsi="宋体"/>
                <w:color w:val="auto"/>
                <w:kern w:val="0"/>
                <w:sz w:val="24"/>
                <w:szCs w:val="24"/>
                <w:highlight w:val="none"/>
              </w:rPr>
              <w:t>日</w:t>
            </w:r>
          </w:p>
        </w:tc>
      </w:tr>
      <w:tr w14:paraId="620D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0" w:hRule="atLeast"/>
        </w:trPr>
        <w:tc>
          <w:tcPr>
            <w:tcW w:w="4655" w:type="dxa"/>
            <w:noWrap w:val="0"/>
            <w:vAlign w:val="center"/>
          </w:tcPr>
          <w:p w14:paraId="34AD5365">
            <w:pPr>
              <w:widowControl/>
              <w:ind w:right="5"/>
              <w:textAlignment w:val="center"/>
              <w:rPr>
                <w:rFonts w:hint="eastAsia" w:ascii="宋体" w:hAnsi="宋体"/>
                <w:color w:val="auto"/>
                <w:sz w:val="24"/>
                <w:szCs w:val="24"/>
                <w:highlight w:val="none"/>
              </w:rPr>
            </w:pPr>
            <w:r>
              <w:rPr>
                <w:rFonts w:hint="eastAsia" w:ascii="宋体" w:hAnsi="宋体" w:cs="Times New Roman"/>
                <w:color w:val="auto"/>
                <w:sz w:val="24"/>
                <w:szCs w:val="24"/>
                <w:highlight w:val="none"/>
                <w:lang w:bidi="ar-SA"/>
              </w:rPr>
              <w:t>单位地址：</w:t>
            </w:r>
            <w:r>
              <w:rPr>
                <w:rFonts w:hint="eastAsia"/>
                <w:color w:val="auto"/>
                <w:sz w:val="24"/>
                <w:highlight w:val="none"/>
              </w:rPr>
              <w:t>桂平市桂贵中路110号</w:t>
            </w:r>
          </w:p>
        </w:tc>
        <w:tc>
          <w:tcPr>
            <w:tcW w:w="4396" w:type="dxa"/>
            <w:noWrap w:val="0"/>
            <w:vAlign w:val="center"/>
          </w:tcPr>
          <w:p w14:paraId="02929312">
            <w:pPr>
              <w:widowControl/>
              <w:textAlignment w:val="center"/>
              <w:rPr>
                <w:rFonts w:hint="eastAsia" w:ascii="宋体" w:hAnsi="宋体"/>
                <w:color w:val="auto"/>
                <w:sz w:val="24"/>
                <w:szCs w:val="24"/>
                <w:highlight w:val="none"/>
              </w:rPr>
            </w:pPr>
            <w:r>
              <w:rPr>
                <w:rFonts w:hint="eastAsia" w:ascii="宋体" w:hAnsi="宋体"/>
                <w:color w:val="auto"/>
                <w:kern w:val="0"/>
                <w:sz w:val="24"/>
                <w:szCs w:val="24"/>
                <w:highlight w:val="none"/>
              </w:rPr>
              <w:t>单位地址：</w:t>
            </w:r>
          </w:p>
        </w:tc>
      </w:tr>
      <w:tr w14:paraId="6D69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7" w:hRule="atLeast"/>
        </w:trPr>
        <w:tc>
          <w:tcPr>
            <w:tcW w:w="4655" w:type="dxa"/>
            <w:noWrap w:val="0"/>
            <w:vAlign w:val="top"/>
          </w:tcPr>
          <w:p w14:paraId="7686CBDE">
            <w:pPr>
              <w:widowControl/>
              <w:ind w:right="1045"/>
              <w:jc w:val="both"/>
              <w:textAlignment w:val="center"/>
              <w:rPr>
                <w:rFonts w:hint="eastAsia" w:ascii="宋体" w:hAnsi="宋体" w:eastAsia="宋体"/>
                <w:color w:val="auto"/>
                <w:sz w:val="24"/>
                <w:szCs w:val="24"/>
                <w:highlight w:val="none"/>
                <w:lang w:eastAsia="zh-CN"/>
              </w:rPr>
            </w:pPr>
            <w:r>
              <w:rPr>
                <w:rFonts w:hint="eastAsia" w:ascii="宋体" w:hAnsi="宋体"/>
                <w:color w:val="auto"/>
                <w:kern w:val="0"/>
                <w:sz w:val="24"/>
                <w:szCs w:val="24"/>
                <w:highlight w:val="none"/>
              </w:rPr>
              <w:t>法人</w:t>
            </w:r>
            <w:r>
              <w:rPr>
                <w:rFonts w:hint="eastAsia" w:ascii="宋体" w:hAnsi="宋体"/>
                <w:color w:val="auto"/>
                <w:kern w:val="0"/>
                <w:sz w:val="24"/>
                <w:szCs w:val="24"/>
                <w:highlight w:val="none"/>
                <w:lang w:eastAsia="zh-CN"/>
              </w:rPr>
              <w:t>或</w:t>
            </w:r>
            <w:r>
              <w:rPr>
                <w:rFonts w:hint="eastAsia" w:ascii="宋体" w:hAnsi="宋体"/>
                <w:color w:val="auto"/>
                <w:kern w:val="0"/>
                <w:sz w:val="24"/>
                <w:szCs w:val="24"/>
                <w:highlight w:val="none"/>
              </w:rPr>
              <w:t>委托代理人</w:t>
            </w:r>
            <w:r>
              <w:rPr>
                <w:rFonts w:hint="eastAsia" w:ascii="宋体" w:hAnsi="宋体"/>
                <w:color w:val="auto"/>
                <w:kern w:val="0"/>
                <w:sz w:val="24"/>
                <w:szCs w:val="24"/>
                <w:highlight w:val="none"/>
                <w:lang w:eastAsia="zh-CN"/>
              </w:rPr>
              <w:t>（签字）</w:t>
            </w:r>
            <w:r>
              <w:rPr>
                <w:rFonts w:hint="eastAsia" w:ascii="宋体" w:hAnsi="宋体"/>
                <w:color w:val="auto"/>
                <w:kern w:val="0"/>
                <w:sz w:val="24"/>
                <w:szCs w:val="24"/>
                <w:highlight w:val="none"/>
              </w:rPr>
              <w:t>：</w:t>
            </w:r>
          </w:p>
        </w:tc>
        <w:tc>
          <w:tcPr>
            <w:tcW w:w="4396" w:type="dxa"/>
            <w:noWrap w:val="0"/>
            <w:vAlign w:val="top"/>
          </w:tcPr>
          <w:p w14:paraId="552021F1">
            <w:pPr>
              <w:widowControl/>
              <w:jc w:val="both"/>
              <w:textAlignment w:val="center"/>
              <w:rPr>
                <w:rFonts w:hint="eastAsia" w:ascii="宋体" w:hAnsi="宋体" w:eastAsia="宋体"/>
                <w:color w:val="auto"/>
                <w:sz w:val="24"/>
                <w:szCs w:val="24"/>
                <w:highlight w:val="none"/>
                <w:lang w:eastAsia="zh-CN"/>
              </w:rPr>
            </w:pPr>
            <w:r>
              <w:rPr>
                <w:rFonts w:hint="eastAsia" w:ascii="宋体" w:hAnsi="宋体"/>
                <w:color w:val="auto"/>
                <w:kern w:val="0"/>
                <w:sz w:val="24"/>
                <w:szCs w:val="24"/>
                <w:highlight w:val="none"/>
              </w:rPr>
              <w:t>法人</w:t>
            </w:r>
            <w:r>
              <w:rPr>
                <w:rFonts w:hint="eastAsia" w:ascii="宋体" w:hAnsi="宋体"/>
                <w:color w:val="auto"/>
                <w:kern w:val="0"/>
                <w:sz w:val="24"/>
                <w:szCs w:val="24"/>
                <w:highlight w:val="none"/>
                <w:lang w:eastAsia="zh-CN"/>
              </w:rPr>
              <w:t>或</w:t>
            </w:r>
            <w:r>
              <w:rPr>
                <w:rFonts w:hint="eastAsia" w:ascii="宋体" w:hAnsi="宋体"/>
                <w:color w:val="auto"/>
                <w:kern w:val="0"/>
                <w:sz w:val="24"/>
                <w:szCs w:val="24"/>
                <w:highlight w:val="none"/>
              </w:rPr>
              <w:t>委托代理人</w:t>
            </w:r>
            <w:r>
              <w:rPr>
                <w:rFonts w:hint="eastAsia" w:ascii="宋体" w:hAnsi="宋体"/>
                <w:color w:val="auto"/>
                <w:kern w:val="0"/>
                <w:sz w:val="24"/>
                <w:szCs w:val="24"/>
                <w:highlight w:val="none"/>
                <w:lang w:eastAsia="zh-CN"/>
              </w:rPr>
              <w:t>（签字）</w:t>
            </w:r>
            <w:r>
              <w:rPr>
                <w:rFonts w:hint="eastAsia" w:ascii="宋体" w:hAnsi="宋体"/>
                <w:color w:val="auto"/>
                <w:kern w:val="0"/>
                <w:sz w:val="24"/>
                <w:szCs w:val="24"/>
                <w:highlight w:val="none"/>
              </w:rPr>
              <w:t>：</w:t>
            </w:r>
          </w:p>
        </w:tc>
      </w:tr>
      <w:tr w14:paraId="1833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655" w:type="dxa"/>
            <w:noWrap w:val="0"/>
            <w:vAlign w:val="center"/>
          </w:tcPr>
          <w:p w14:paraId="6B4B0E99">
            <w:pPr>
              <w:widowControl/>
              <w:ind w:right="5"/>
              <w:textAlignment w:val="center"/>
              <w:rPr>
                <w:rFonts w:hint="eastAsia" w:ascii="宋体" w:hAnsi="宋体"/>
                <w:color w:val="auto"/>
                <w:sz w:val="24"/>
                <w:szCs w:val="24"/>
                <w:highlight w:val="none"/>
              </w:rPr>
            </w:pPr>
            <w:r>
              <w:rPr>
                <w:rFonts w:hint="eastAsia" w:ascii="宋体" w:hAnsi="宋体"/>
                <w:color w:val="auto"/>
                <w:kern w:val="0"/>
                <w:sz w:val="24"/>
                <w:szCs w:val="24"/>
                <w:highlight w:val="none"/>
              </w:rPr>
              <w:t>电话：</w:t>
            </w:r>
          </w:p>
        </w:tc>
        <w:tc>
          <w:tcPr>
            <w:tcW w:w="4396" w:type="dxa"/>
            <w:noWrap w:val="0"/>
            <w:vAlign w:val="center"/>
          </w:tcPr>
          <w:p w14:paraId="02804A0F">
            <w:pPr>
              <w:widowControl/>
              <w:textAlignment w:val="center"/>
              <w:rPr>
                <w:rFonts w:hint="eastAsia" w:ascii="宋体" w:hAnsi="宋体" w:eastAsia="宋体"/>
                <w:color w:val="auto"/>
                <w:sz w:val="24"/>
                <w:szCs w:val="24"/>
                <w:highlight w:val="none"/>
                <w:lang w:val="en-US" w:eastAsia="zh-CN"/>
              </w:rPr>
            </w:pPr>
            <w:r>
              <w:rPr>
                <w:rFonts w:hint="eastAsia" w:ascii="宋体" w:hAnsi="宋体"/>
                <w:color w:val="auto"/>
                <w:kern w:val="0"/>
                <w:sz w:val="24"/>
                <w:szCs w:val="24"/>
                <w:highlight w:val="none"/>
              </w:rPr>
              <w:t>电话：</w:t>
            </w:r>
          </w:p>
        </w:tc>
      </w:tr>
      <w:tr w14:paraId="33B92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655" w:type="dxa"/>
            <w:noWrap w:val="0"/>
            <w:vAlign w:val="center"/>
          </w:tcPr>
          <w:p w14:paraId="218142FC">
            <w:pPr>
              <w:widowControl/>
              <w:ind w:right="5"/>
              <w:textAlignment w:val="center"/>
              <w:rPr>
                <w:rFonts w:hint="eastAsia" w:ascii="宋体" w:hAnsi="宋体"/>
                <w:color w:val="auto"/>
                <w:sz w:val="24"/>
                <w:szCs w:val="24"/>
                <w:highlight w:val="none"/>
              </w:rPr>
            </w:pPr>
            <w:r>
              <w:rPr>
                <w:rFonts w:hint="eastAsia" w:ascii="宋体" w:hAnsi="宋体"/>
                <w:color w:val="auto"/>
                <w:kern w:val="0"/>
                <w:sz w:val="24"/>
                <w:szCs w:val="24"/>
                <w:highlight w:val="none"/>
              </w:rPr>
              <w:t>电子邮箱：</w:t>
            </w:r>
          </w:p>
        </w:tc>
        <w:tc>
          <w:tcPr>
            <w:tcW w:w="4396" w:type="dxa"/>
            <w:noWrap w:val="0"/>
            <w:vAlign w:val="center"/>
          </w:tcPr>
          <w:p w14:paraId="6A236822">
            <w:pPr>
              <w:widowControl/>
              <w:textAlignment w:val="center"/>
              <w:rPr>
                <w:rFonts w:hint="eastAsia" w:ascii="宋体" w:hAnsi="宋体"/>
                <w:color w:val="auto"/>
                <w:sz w:val="24"/>
                <w:szCs w:val="24"/>
                <w:highlight w:val="none"/>
              </w:rPr>
            </w:pPr>
            <w:r>
              <w:rPr>
                <w:rFonts w:hint="eastAsia" w:ascii="宋体" w:hAnsi="宋体"/>
                <w:color w:val="auto"/>
                <w:kern w:val="0"/>
                <w:sz w:val="24"/>
                <w:szCs w:val="24"/>
                <w:highlight w:val="none"/>
              </w:rPr>
              <w:t>电子邮箱：</w:t>
            </w:r>
          </w:p>
        </w:tc>
      </w:tr>
      <w:tr w14:paraId="779C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655" w:type="dxa"/>
            <w:noWrap w:val="0"/>
            <w:vAlign w:val="center"/>
          </w:tcPr>
          <w:p w14:paraId="57536611">
            <w:pPr>
              <w:widowControl/>
              <w:ind w:right="5"/>
              <w:textAlignment w:val="center"/>
              <w:rPr>
                <w:rFonts w:hint="eastAsia" w:ascii="宋体" w:hAnsi="宋体"/>
                <w:color w:val="auto"/>
                <w:sz w:val="24"/>
                <w:szCs w:val="24"/>
                <w:highlight w:val="none"/>
              </w:rPr>
            </w:pPr>
            <w:r>
              <w:rPr>
                <w:rFonts w:hint="eastAsia" w:ascii="宋体" w:hAnsi="宋体"/>
                <w:color w:val="auto"/>
                <w:kern w:val="0"/>
                <w:sz w:val="24"/>
                <w:szCs w:val="24"/>
                <w:highlight w:val="none"/>
              </w:rPr>
              <w:t>开户银行：</w:t>
            </w:r>
          </w:p>
        </w:tc>
        <w:tc>
          <w:tcPr>
            <w:tcW w:w="4396" w:type="dxa"/>
            <w:noWrap w:val="0"/>
            <w:vAlign w:val="center"/>
          </w:tcPr>
          <w:p w14:paraId="0A062641">
            <w:pPr>
              <w:widowControl/>
              <w:textAlignment w:val="center"/>
              <w:rPr>
                <w:rFonts w:hint="eastAsia" w:ascii="宋体" w:hAnsi="宋体"/>
                <w:color w:val="auto"/>
                <w:sz w:val="24"/>
                <w:szCs w:val="24"/>
                <w:highlight w:val="none"/>
              </w:rPr>
            </w:pPr>
            <w:r>
              <w:rPr>
                <w:rFonts w:hint="eastAsia" w:ascii="宋体" w:hAnsi="宋体"/>
                <w:color w:val="auto"/>
                <w:kern w:val="0"/>
                <w:sz w:val="24"/>
                <w:szCs w:val="24"/>
                <w:highlight w:val="none"/>
              </w:rPr>
              <w:t>开户银行：</w:t>
            </w:r>
            <w:r>
              <w:rPr>
                <w:rFonts w:hint="eastAsia" w:ascii="宋体" w:hAnsi="宋体" w:cs="Times New Roman"/>
                <w:color w:val="auto"/>
                <w:kern w:val="0"/>
                <w:sz w:val="24"/>
                <w:szCs w:val="24"/>
                <w:highlight w:val="none"/>
                <w:lang w:bidi="ar-SA"/>
              </w:rPr>
              <w:t xml:space="preserve">  </w:t>
            </w:r>
            <w:r>
              <w:rPr>
                <w:rFonts w:hint="eastAsia" w:ascii="宋体" w:hAnsi="宋体" w:eastAsia="宋体" w:cs="宋体"/>
                <w:color w:val="auto"/>
                <w:sz w:val="28"/>
                <w:szCs w:val="28"/>
                <w:highlight w:val="none"/>
                <w:lang w:bidi="ar-SA"/>
              </w:rPr>
              <w:t xml:space="preserve"> </w:t>
            </w:r>
          </w:p>
        </w:tc>
      </w:tr>
      <w:tr w14:paraId="2B54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655" w:type="dxa"/>
            <w:noWrap w:val="0"/>
            <w:vAlign w:val="center"/>
          </w:tcPr>
          <w:p w14:paraId="5B18240C">
            <w:pPr>
              <w:widowControl/>
              <w:ind w:right="5"/>
              <w:textAlignment w:val="center"/>
              <w:rPr>
                <w:rFonts w:hint="eastAsia" w:ascii="宋体" w:hAnsi="宋体"/>
                <w:color w:val="auto"/>
                <w:sz w:val="24"/>
                <w:szCs w:val="24"/>
                <w:highlight w:val="none"/>
              </w:rPr>
            </w:pPr>
            <w:r>
              <w:rPr>
                <w:rFonts w:hint="eastAsia" w:ascii="宋体" w:hAnsi="宋体"/>
                <w:color w:val="auto"/>
                <w:kern w:val="0"/>
                <w:sz w:val="24"/>
                <w:szCs w:val="24"/>
                <w:highlight w:val="none"/>
              </w:rPr>
              <w:t>账号：</w:t>
            </w:r>
          </w:p>
        </w:tc>
        <w:tc>
          <w:tcPr>
            <w:tcW w:w="4396" w:type="dxa"/>
            <w:noWrap w:val="0"/>
            <w:vAlign w:val="center"/>
          </w:tcPr>
          <w:p w14:paraId="69C011AD">
            <w:pPr>
              <w:widowControl/>
              <w:textAlignment w:val="center"/>
              <w:rPr>
                <w:rFonts w:hint="eastAsia" w:ascii="宋体" w:hAnsi="宋体"/>
                <w:color w:val="auto"/>
                <w:sz w:val="24"/>
                <w:szCs w:val="24"/>
                <w:highlight w:val="none"/>
              </w:rPr>
            </w:pPr>
            <w:r>
              <w:rPr>
                <w:rFonts w:hint="eastAsia" w:ascii="宋体" w:hAnsi="宋体"/>
                <w:color w:val="auto"/>
                <w:kern w:val="0"/>
                <w:sz w:val="24"/>
                <w:szCs w:val="24"/>
                <w:highlight w:val="none"/>
              </w:rPr>
              <w:t>账号：</w:t>
            </w:r>
            <w:r>
              <w:rPr>
                <w:rFonts w:hint="eastAsia" w:ascii="宋体" w:hAnsi="宋体" w:cs="Times New Roman"/>
                <w:color w:val="auto"/>
                <w:kern w:val="0"/>
                <w:sz w:val="24"/>
                <w:szCs w:val="24"/>
                <w:highlight w:val="none"/>
                <w:lang w:val="en-US" w:eastAsia="zh-CN" w:bidi="ar-SA"/>
              </w:rPr>
              <w:t xml:space="preserve"> </w:t>
            </w:r>
          </w:p>
        </w:tc>
      </w:tr>
      <w:tr w14:paraId="5343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655" w:type="dxa"/>
            <w:noWrap w:val="0"/>
            <w:vAlign w:val="center"/>
          </w:tcPr>
          <w:p w14:paraId="4BC34A0E">
            <w:pPr>
              <w:widowControl/>
              <w:ind w:right="5"/>
              <w:textAlignment w:val="center"/>
              <w:rPr>
                <w:rFonts w:hint="eastAsia" w:ascii="宋体" w:hAnsi="宋体"/>
                <w:color w:val="auto"/>
                <w:sz w:val="24"/>
                <w:szCs w:val="24"/>
                <w:highlight w:val="none"/>
              </w:rPr>
            </w:pPr>
            <w:r>
              <w:rPr>
                <w:rFonts w:hint="eastAsia" w:ascii="宋体" w:hAnsi="宋体"/>
                <w:color w:val="auto"/>
                <w:kern w:val="0"/>
                <w:sz w:val="24"/>
                <w:szCs w:val="24"/>
                <w:highlight w:val="none"/>
              </w:rPr>
              <w:t>邮政编码：</w:t>
            </w:r>
          </w:p>
        </w:tc>
        <w:tc>
          <w:tcPr>
            <w:tcW w:w="4396" w:type="dxa"/>
            <w:noWrap w:val="0"/>
            <w:vAlign w:val="center"/>
          </w:tcPr>
          <w:p w14:paraId="72A4E3DF">
            <w:pPr>
              <w:widowControl/>
              <w:textAlignment w:val="center"/>
              <w:rPr>
                <w:rFonts w:hint="eastAsia" w:ascii="宋体" w:hAnsi="宋体" w:eastAsia="宋体"/>
                <w:color w:val="auto"/>
                <w:sz w:val="24"/>
                <w:szCs w:val="24"/>
                <w:highlight w:val="none"/>
                <w:lang w:val="en-US" w:eastAsia="zh-CN"/>
              </w:rPr>
            </w:pPr>
            <w:r>
              <w:rPr>
                <w:rFonts w:hint="eastAsia" w:ascii="宋体" w:hAnsi="宋体"/>
                <w:color w:val="auto"/>
                <w:kern w:val="0"/>
                <w:sz w:val="24"/>
                <w:szCs w:val="24"/>
                <w:highlight w:val="none"/>
              </w:rPr>
              <w:t>邮政编码：</w:t>
            </w:r>
          </w:p>
        </w:tc>
      </w:tr>
    </w:tbl>
    <w:p w14:paraId="68CEDE92">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before="40" w:line="240" w:lineRule="auto"/>
        <w:jc w:val="left"/>
        <w:textAlignment w:val="baseline"/>
        <w:rPr>
          <w:color w:val="auto"/>
          <w:spacing w:val="9"/>
          <w:sz w:val="20"/>
          <w:szCs w:val="20"/>
          <w:highlight w:val="none"/>
          <w14:textOutline w14:w="3795" w14:cap="sq" w14:cmpd="sng">
            <w14:solidFill>
              <w14:srgbClr w14:val="000000"/>
            </w14:solidFill>
            <w14:prstDash w14:val="solid"/>
            <w14:bevel/>
          </w14:textOutline>
        </w:rPr>
        <w:sectPr>
          <w:footerReference r:id="rId8" w:type="default"/>
          <w:pgSz w:w="11910" w:h="16840"/>
          <w:pgMar w:top="1372" w:right="1230" w:bottom="975" w:left="1440" w:header="0" w:footer="930" w:gutter="0"/>
          <w:pgNumType w:fmt="decimal"/>
          <w:cols w:space="0" w:num="1"/>
          <w:rtlGutter w:val="0"/>
          <w:docGrid w:linePitch="0" w:charSpace="0"/>
        </w:sectPr>
      </w:pPr>
    </w:p>
    <w:p w14:paraId="15A9E3BC">
      <w:pPr>
        <w:pStyle w:val="12"/>
        <w:rPr>
          <w:color w:val="auto"/>
          <w:highlight w:val="none"/>
        </w:rPr>
      </w:pPr>
    </w:p>
    <w:p w14:paraId="6C434262">
      <w:pPr>
        <w:pStyle w:val="16"/>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color w:val="auto"/>
          <w:sz w:val="36"/>
          <w:szCs w:val="36"/>
          <w:highlight w:val="none"/>
        </w:rPr>
        <w:t>政府采购项目合同验收报告（格式）</w:t>
      </w:r>
    </w:p>
    <w:p w14:paraId="257DE3C1">
      <w:pPr>
        <w:widowControl/>
        <w:snapToGrid w:val="0"/>
        <w:spacing w:before="100" w:beforeAutospacing="1" w:after="100" w:afterAutospacing="1" w:line="440" w:lineRule="exact"/>
        <w:ind w:firstLine="659"/>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根据政府采购合同</w:t>
      </w:r>
      <w:r>
        <w:rPr>
          <w:rFonts w:hint="eastAsia" w:ascii="宋体" w:hAnsi="宋体" w:eastAsia="宋体" w:cs="宋体"/>
          <w:color w:val="auto"/>
          <w:kern w:val="0"/>
          <w:szCs w:val="21"/>
          <w:highlight w:val="none"/>
          <w:u w:val="single"/>
        </w:rPr>
        <w:t xml:space="preserve">（采购合同编号：    ）的约定，我单位对（项目名称）       政府采购项目成交供应商（公司名称）       </w:t>
      </w:r>
      <w:r>
        <w:rPr>
          <w:rFonts w:hint="eastAsia" w:ascii="宋体" w:hAnsi="宋体" w:eastAsia="宋体" w:cs="宋体"/>
          <w:color w:val="auto"/>
          <w:kern w:val="0"/>
          <w:szCs w:val="21"/>
          <w:highlight w:val="none"/>
        </w:rPr>
        <w:t>提供的或服务进行了验收，验收情况如下：</w:t>
      </w:r>
    </w:p>
    <w:tbl>
      <w:tblPr>
        <w:tblStyle w:val="27"/>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19"/>
        <w:gridCol w:w="1963"/>
        <w:gridCol w:w="1579"/>
        <w:gridCol w:w="1862"/>
        <w:gridCol w:w="660"/>
        <w:gridCol w:w="338"/>
        <w:gridCol w:w="1779"/>
      </w:tblGrid>
      <w:tr w14:paraId="412B3C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vAlign w:val="center"/>
          </w:tcPr>
          <w:p w14:paraId="44F43824">
            <w:pPr>
              <w:widowControl/>
              <w:snapToGrid w:val="0"/>
              <w:ind w:left="-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218" w:type="dxa"/>
            <w:gridSpan w:val="5"/>
            <w:vAlign w:val="center"/>
          </w:tcPr>
          <w:p w14:paraId="11660792">
            <w:pPr>
              <w:widowControl/>
              <w:snapToGrid w:val="0"/>
              <w:ind w:left="-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□联合验收</w:t>
            </w:r>
          </w:p>
        </w:tc>
      </w:tr>
      <w:tr w14:paraId="30114D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519" w:type="dxa"/>
            <w:vAlign w:val="center"/>
          </w:tcPr>
          <w:p w14:paraId="4CF6D289">
            <w:pPr>
              <w:widowControl/>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63" w:type="dxa"/>
            <w:vAlign w:val="center"/>
          </w:tcPr>
          <w:p w14:paraId="08846B22">
            <w:pPr>
              <w:widowControl/>
              <w:snapToGrid w:val="0"/>
              <w:ind w:left="-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3441" w:type="dxa"/>
            <w:gridSpan w:val="2"/>
            <w:vAlign w:val="center"/>
          </w:tcPr>
          <w:p w14:paraId="001A576E">
            <w:pPr>
              <w:widowControl/>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服务内容、标准</w:t>
            </w:r>
          </w:p>
        </w:tc>
        <w:tc>
          <w:tcPr>
            <w:tcW w:w="998" w:type="dxa"/>
            <w:gridSpan w:val="2"/>
            <w:vAlign w:val="center"/>
          </w:tcPr>
          <w:p w14:paraId="57A716E5">
            <w:pPr>
              <w:widowControl/>
              <w:snapToGrid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779" w:type="dxa"/>
            <w:vAlign w:val="center"/>
          </w:tcPr>
          <w:p w14:paraId="0100D9F9">
            <w:pPr>
              <w:widowControl/>
              <w:snapToGrid w:val="0"/>
              <w:ind w:left="-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与合同约定</w:t>
            </w:r>
          </w:p>
          <w:p w14:paraId="585075D4">
            <w:pPr>
              <w:widowControl/>
              <w:snapToGrid w:val="0"/>
              <w:ind w:left="-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是否一致</w:t>
            </w:r>
          </w:p>
        </w:tc>
      </w:tr>
      <w:tr w14:paraId="147566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561DE254">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63" w:type="dxa"/>
            <w:vAlign w:val="center"/>
          </w:tcPr>
          <w:p w14:paraId="1EED84BB">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41" w:type="dxa"/>
            <w:gridSpan w:val="2"/>
            <w:vAlign w:val="center"/>
          </w:tcPr>
          <w:p w14:paraId="2944FFDF">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98" w:type="dxa"/>
            <w:gridSpan w:val="2"/>
            <w:vAlign w:val="center"/>
          </w:tcPr>
          <w:p w14:paraId="0A3DB09A">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779" w:type="dxa"/>
            <w:vAlign w:val="center"/>
          </w:tcPr>
          <w:p w14:paraId="580A3837">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7CC15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376014C2">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63" w:type="dxa"/>
            <w:vAlign w:val="center"/>
          </w:tcPr>
          <w:p w14:paraId="6C53DC2E">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41" w:type="dxa"/>
            <w:gridSpan w:val="2"/>
            <w:vAlign w:val="center"/>
          </w:tcPr>
          <w:p w14:paraId="699346C8">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98" w:type="dxa"/>
            <w:gridSpan w:val="2"/>
            <w:vAlign w:val="center"/>
          </w:tcPr>
          <w:p w14:paraId="48929FE7">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779" w:type="dxa"/>
            <w:vAlign w:val="center"/>
          </w:tcPr>
          <w:p w14:paraId="394A4FD4">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492D71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5EE07C26">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63" w:type="dxa"/>
            <w:vAlign w:val="center"/>
          </w:tcPr>
          <w:p w14:paraId="10D9EE48">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41" w:type="dxa"/>
            <w:gridSpan w:val="2"/>
            <w:vAlign w:val="center"/>
          </w:tcPr>
          <w:p w14:paraId="53A45213">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98" w:type="dxa"/>
            <w:gridSpan w:val="2"/>
            <w:vAlign w:val="center"/>
          </w:tcPr>
          <w:p w14:paraId="6D4C33E3">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779" w:type="dxa"/>
            <w:vAlign w:val="center"/>
          </w:tcPr>
          <w:p w14:paraId="18B6621A">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625BA7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6625158C">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963" w:type="dxa"/>
            <w:vAlign w:val="center"/>
          </w:tcPr>
          <w:p w14:paraId="554F289D">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3441" w:type="dxa"/>
            <w:gridSpan w:val="2"/>
            <w:vAlign w:val="center"/>
          </w:tcPr>
          <w:p w14:paraId="04206330">
            <w:pPr>
              <w:widowControl/>
              <w:snapToGrid w:val="0"/>
              <w:ind w:left="-3" w:firstLine="57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998" w:type="dxa"/>
            <w:gridSpan w:val="2"/>
            <w:vAlign w:val="center"/>
          </w:tcPr>
          <w:p w14:paraId="50826979">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779" w:type="dxa"/>
            <w:vAlign w:val="center"/>
          </w:tcPr>
          <w:p w14:paraId="56C1986F">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B16AF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74F45127">
            <w:pPr>
              <w:widowControl/>
              <w:snapToGrid w:val="0"/>
              <w:ind w:left="-3" w:firstLine="576"/>
              <w:jc w:val="left"/>
              <w:rPr>
                <w:rFonts w:hint="eastAsia" w:ascii="宋体" w:hAnsi="宋体" w:eastAsia="宋体" w:cs="宋体"/>
                <w:color w:val="auto"/>
                <w:kern w:val="0"/>
                <w:szCs w:val="21"/>
                <w:highlight w:val="none"/>
              </w:rPr>
            </w:pPr>
          </w:p>
        </w:tc>
        <w:tc>
          <w:tcPr>
            <w:tcW w:w="1963" w:type="dxa"/>
            <w:vAlign w:val="center"/>
          </w:tcPr>
          <w:p w14:paraId="324475F4">
            <w:pPr>
              <w:widowControl/>
              <w:snapToGrid w:val="0"/>
              <w:ind w:left="-3" w:firstLine="576"/>
              <w:jc w:val="left"/>
              <w:rPr>
                <w:rFonts w:hint="eastAsia" w:ascii="宋体" w:hAnsi="宋体" w:eastAsia="宋体" w:cs="宋体"/>
                <w:color w:val="auto"/>
                <w:kern w:val="0"/>
                <w:szCs w:val="21"/>
                <w:highlight w:val="none"/>
              </w:rPr>
            </w:pPr>
          </w:p>
        </w:tc>
        <w:tc>
          <w:tcPr>
            <w:tcW w:w="3441" w:type="dxa"/>
            <w:gridSpan w:val="2"/>
            <w:vAlign w:val="center"/>
          </w:tcPr>
          <w:p w14:paraId="31B13060">
            <w:pPr>
              <w:widowControl/>
              <w:snapToGrid w:val="0"/>
              <w:ind w:left="-3" w:firstLine="576"/>
              <w:jc w:val="left"/>
              <w:rPr>
                <w:rFonts w:hint="eastAsia" w:ascii="宋体" w:hAnsi="宋体" w:eastAsia="宋体" w:cs="宋体"/>
                <w:color w:val="auto"/>
                <w:kern w:val="0"/>
                <w:szCs w:val="21"/>
                <w:highlight w:val="none"/>
              </w:rPr>
            </w:pPr>
          </w:p>
        </w:tc>
        <w:tc>
          <w:tcPr>
            <w:tcW w:w="998" w:type="dxa"/>
            <w:gridSpan w:val="2"/>
            <w:vAlign w:val="center"/>
          </w:tcPr>
          <w:p w14:paraId="678D2932">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c>
          <w:tcPr>
            <w:tcW w:w="1779" w:type="dxa"/>
            <w:vAlign w:val="center"/>
          </w:tcPr>
          <w:p w14:paraId="41AA9360">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r>
      <w:tr w14:paraId="72C5C0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01524DE7">
            <w:pPr>
              <w:widowControl/>
              <w:snapToGrid w:val="0"/>
              <w:ind w:left="-3" w:firstLine="576"/>
              <w:jc w:val="left"/>
              <w:rPr>
                <w:rFonts w:hint="eastAsia" w:ascii="宋体" w:hAnsi="宋体" w:eastAsia="宋体" w:cs="宋体"/>
                <w:color w:val="auto"/>
                <w:kern w:val="0"/>
                <w:szCs w:val="21"/>
                <w:highlight w:val="none"/>
              </w:rPr>
            </w:pPr>
          </w:p>
        </w:tc>
        <w:tc>
          <w:tcPr>
            <w:tcW w:w="1963" w:type="dxa"/>
            <w:vAlign w:val="center"/>
          </w:tcPr>
          <w:p w14:paraId="5478B40A">
            <w:pPr>
              <w:widowControl/>
              <w:snapToGrid w:val="0"/>
              <w:ind w:left="-3" w:firstLine="576"/>
              <w:jc w:val="left"/>
              <w:rPr>
                <w:rFonts w:hint="eastAsia" w:ascii="宋体" w:hAnsi="宋体" w:eastAsia="宋体" w:cs="宋体"/>
                <w:color w:val="auto"/>
                <w:kern w:val="0"/>
                <w:szCs w:val="21"/>
                <w:highlight w:val="none"/>
              </w:rPr>
            </w:pPr>
          </w:p>
        </w:tc>
        <w:tc>
          <w:tcPr>
            <w:tcW w:w="3441" w:type="dxa"/>
            <w:gridSpan w:val="2"/>
            <w:vAlign w:val="center"/>
          </w:tcPr>
          <w:p w14:paraId="569C81D5">
            <w:pPr>
              <w:widowControl/>
              <w:snapToGrid w:val="0"/>
              <w:ind w:left="-3" w:firstLine="576"/>
              <w:jc w:val="left"/>
              <w:rPr>
                <w:rFonts w:hint="eastAsia" w:ascii="宋体" w:hAnsi="宋体" w:eastAsia="宋体" w:cs="宋体"/>
                <w:color w:val="auto"/>
                <w:kern w:val="0"/>
                <w:szCs w:val="21"/>
                <w:highlight w:val="none"/>
              </w:rPr>
            </w:pPr>
          </w:p>
        </w:tc>
        <w:tc>
          <w:tcPr>
            <w:tcW w:w="998" w:type="dxa"/>
            <w:gridSpan w:val="2"/>
            <w:vAlign w:val="center"/>
          </w:tcPr>
          <w:p w14:paraId="5848DA0C">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c>
          <w:tcPr>
            <w:tcW w:w="1779" w:type="dxa"/>
            <w:vAlign w:val="center"/>
          </w:tcPr>
          <w:p w14:paraId="31C379C3">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r>
      <w:tr w14:paraId="54D28F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19" w:type="dxa"/>
            <w:vAlign w:val="center"/>
          </w:tcPr>
          <w:p w14:paraId="0336770C">
            <w:pPr>
              <w:widowControl/>
              <w:snapToGrid w:val="0"/>
              <w:ind w:left="-3" w:firstLine="576"/>
              <w:jc w:val="left"/>
              <w:rPr>
                <w:rFonts w:hint="eastAsia" w:ascii="宋体" w:hAnsi="宋体" w:eastAsia="宋体" w:cs="宋体"/>
                <w:color w:val="auto"/>
                <w:kern w:val="0"/>
                <w:szCs w:val="21"/>
                <w:highlight w:val="none"/>
              </w:rPr>
            </w:pPr>
          </w:p>
        </w:tc>
        <w:tc>
          <w:tcPr>
            <w:tcW w:w="1963" w:type="dxa"/>
            <w:vAlign w:val="center"/>
          </w:tcPr>
          <w:p w14:paraId="4CDA94E3">
            <w:pPr>
              <w:widowControl/>
              <w:snapToGrid w:val="0"/>
              <w:ind w:left="-3" w:firstLine="576"/>
              <w:jc w:val="left"/>
              <w:rPr>
                <w:rFonts w:hint="eastAsia" w:ascii="宋体" w:hAnsi="宋体" w:eastAsia="宋体" w:cs="宋体"/>
                <w:color w:val="auto"/>
                <w:kern w:val="0"/>
                <w:szCs w:val="21"/>
                <w:highlight w:val="none"/>
              </w:rPr>
            </w:pPr>
          </w:p>
        </w:tc>
        <w:tc>
          <w:tcPr>
            <w:tcW w:w="3441" w:type="dxa"/>
            <w:gridSpan w:val="2"/>
            <w:vAlign w:val="center"/>
          </w:tcPr>
          <w:p w14:paraId="093EED74">
            <w:pPr>
              <w:widowControl/>
              <w:snapToGrid w:val="0"/>
              <w:ind w:left="-3" w:firstLine="576"/>
              <w:jc w:val="left"/>
              <w:rPr>
                <w:rFonts w:hint="eastAsia" w:ascii="宋体" w:hAnsi="宋体" w:eastAsia="宋体" w:cs="宋体"/>
                <w:color w:val="auto"/>
                <w:kern w:val="0"/>
                <w:szCs w:val="21"/>
                <w:highlight w:val="none"/>
              </w:rPr>
            </w:pPr>
          </w:p>
        </w:tc>
        <w:tc>
          <w:tcPr>
            <w:tcW w:w="998" w:type="dxa"/>
            <w:gridSpan w:val="2"/>
            <w:vAlign w:val="center"/>
          </w:tcPr>
          <w:p w14:paraId="41C64701">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c>
          <w:tcPr>
            <w:tcW w:w="1779" w:type="dxa"/>
            <w:vAlign w:val="center"/>
          </w:tcPr>
          <w:p w14:paraId="063C681D">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r>
      <w:tr w14:paraId="482FB6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19" w:type="dxa"/>
            <w:vAlign w:val="center"/>
          </w:tcPr>
          <w:p w14:paraId="7066E94A">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3542" w:type="dxa"/>
            <w:gridSpan w:val="2"/>
            <w:vAlign w:val="center"/>
          </w:tcPr>
          <w:p w14:paraId="2EED2917">
            <w:pPr>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c>
          <w:tcPr>
            <w:tcW w:w="2522" w:type="dxa"/>
            <w:gridSpan w:val="2"/>
            <w:vAlign w:val="center"/>
          </w:tcPr>
          <w:p w14:paraId="31964997">
            <w:pPr>
              <w:snapToGrid w:val="0"/>
              <w:ind w:left="59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2117" w:type="dxa"/>
            <w:gridSpan w:val="2"/>
            <w:vAlign w:val="center"/>
          </w:tcPr>
          <w:p w14:paraId="1277654E">
            <w:pPr>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r>
      <w:tr w14:paraId="21F8F1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19" w:type="dxa"/>
            <w:tcMar>
              <w:top w:w="0" w:type="dxa"/>
              <w:left w:w="108" w:type="dxa"/>
              <w:bottom w:w="0" w:type="dxa"/>
              <w:right w:w="108" w:type="dxa"/>
            </w:tcMar>
            <w:vAlign w:val="center"/>
          </w:tcPr>
          <w:p w14:paraId="128475CC">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181" w:type="dxa"/>
            <w:gridSpan w:val="6"/>
            <w:tcMar>
              <w:top w:w="0" w:type="dxa"/>
              <w:left w:w="108" w:type="dxa"/>
              <w:bottom w:w="0" w:type="dxa"/>
              <w:right w:w="108" w:type="dxa"/>
            </w:tcMar>
            <w:vAlign w:val="center"/>
          </w:tcPr>
          <w:p w14:paraId="5BBA5D41">
            <w:pPr>
              <w:widowControl/>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(按招标采购文件及验收方案等。可附件)</w:t>
            </w:r>
          </w:p>
        </w:tc>
      </w:tr>
      <w:tr w14:paraId="6F9D54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519" w:type="dxa"/>
            <w:tcMar>
              <w:top w:w="0" w:type="dxa"/>
              <w:left w:w="108" w:type="dxa"/>
              <w:bottom w:w="0" w:type="dxa"/>
              <w:right w:w="108" w:type="dxa"/>
            </w:tcMar>
            <w:vAlign w:val="center"/>
          </w:tcPr>
          <w:p w14:paraId="79126E9C">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181" w:type="dxa"/>
            <w:gridSpan w:val="6"/>
            <w:vAlign w:val="center"/>
          </w:tcPr>
          <w:p w14:paraId="0543A1FB">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14:paraId="2AFA0225">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D675D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14:paraId="2ABAA09E">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55A44C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tcMar>
              <w:top w:w="0" w:type="dxa"/>
              <w:left w:w="108" w:type="dxa"/>
              <w:bottom w:w="0" w:type="dxa"/>
              <w:right w:w="108" w:type="dxa"/>
            </w:tcMar>
            <w:vAlign w:val="center"/>
          </w:tcPr>
          <w:p w14:paraId="5A6D38B0">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参与验收其他或监督人员签字：</w:t>
            </w:r>
          </w:p>
        </w:tc>
      </w:tr>
      <w:tr w14:paraId="71EA71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tcMar>
              <w:top w:w="0" w:type="dxa"/>
              <w:left w:w="108" w:type="dxa"/>
              <w:bottom w:w="0" w:type="dxa"/>
              <w:right w:w="108" w:type="dxa"/>
            </w:tcMar>
            <w:vAlign w:val="center"/>
          </w:tcPr>
          <w:p w14:paraId="5E0D825F">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供应商签字或盖章：</w:t>
            </w:r>
          </w:p>
          <w:p w14:paraId="7DFC3B6F">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         年 月 日</w:t>
            </w:r>
          </w:p>
        </w:tc>
        <w:tc>
          <w:tcPr>
            <w:tcW w:w="4639" w:type="dxa"/>
            <w:gridSpan w:val="4"/>
            <w:vAlign w:val="center"/>
          </w:tcPr>
          <w:p w14:paraId="0BA179C1">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采购单位盖章：</w:t>
            </w:r>
          </w:p>
          <w:p w14:paraId="3299F256">
            <w:pPr>
              <w:widowControl/>
              <w:ind w:firstLine="2119"/>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14:paraId="40DE8157">
      <w:pPr>
        <w:widowControl/>
        <w:jc w:val="left"/>
        <w:rPr>
          <w:rFonts w:hint="eastAsia" w:ascii="宋体" w:hAnsi="宋体" w:eastAsia="宋体" w:cs="宋体"/>
          <w:b/>
          <w:color w:val="auto"/>
          <w:kern w:val="0"/>
          <w:sz w:val="36"/>
          <w:szCs w:val="36"/>
          <w:highlight w:val="none"/>
        </w:rPr>
      </w:pPr>
      <w:r>
        <w:rPr>
          <w:rFonts w:hint="eastAsia" w:ascii="宋体" w:hAnsi="宋体" w:eastAsia="宋体" w:cs="宋体"/>
          <w:color w:val="auto"/>
          <w:spacing w:val="-20"/>
          <w:kern w:val="0"/>
          <w:szCs w:val="21"/>
          <w:highlight w:val="none"/>
        </w:rPr>
        <w:t xml:space="preserve">备注：本 报 告 单 一 式 4 份 （ 采 购 单 位 1 份 、 供 应 商 1 份 、 采 购 监 督 部 门 备 案 1 份 、 采 购 代 理 机 构 1 份 </w:t>
      </w:r>
      <w:r>
        <w:rPr>
          <w:rFonts w:hint="eastAsia" w:ascii="宋体" w:hAnsi="宋体" w:eastAsia="宋体" w:cs="宋体"/>
          <w:color w:val="auto"/>
          <w:kern w:val="0"/>
          <w:szCs w:val="21"/>
          <w:highlight w:val="none"/>
        </w:rPr>
        <w:t>）。</w:t>
      </w:r>
    </w:p>
    <w:p w14:paraId="0E6DE1C2">
      <w:pPr>
        <w:pStyle w:val="3"/>
        <w:jc w:val="both"/>
        <w:rPr>
          <w:rFonts w:hint="eastAsia" w:ascii="宋体" w:hAnsi="宋体" w:eastAsia="宋体" w:cs="宋体"/>
          <w:color w:val="auto"/>
          <w:highlight w:val="none"/>
        </w:rPr>
        <w:sectPr>
          <w:footerReference r:id="rId9" w:type="default"/>
          <w:pgSz w:w="11906" w:h="16838"/>
          <w:pgMar w:top="1440" w:right="1080" w:bottom="1440" w:left="1080" w:header="851" w:footer="992" w:gutter="0"/>
          <w:pgNumType w:fmt="decimal"/>
          <w:cols w:space="720" w:num="1"/>
          <w:docGrid w:type="lines" w:linePitch="312" w:charSpace="0"/>
        </w:sectPr>
      </w:pPr>
      <w:bookmarkStart w:id="43" w:name="_Toc18587"/>
    </w:p>
    <w:bookmarkEnd w:id="43"/>
    <w:p w14:paraId="5C4DC5B8">
      <w:pPr>
        <w:pStyle w:val="3"/>
        <w:spacing w:line="360" w:lineRule="auto"/>
        <w:rPr>
          <w:color w:val="auto"/>
          <w:highlight w:val="none"/>
        </w:rPr>
      </w:pPr>
      <w:bookmarkStart w:id="44" w:name="_Toc2492"/>
      <w:r>
        <w:rPr>
          <w:color w:val="auto"/>
          <w:highlight w:val="none"/>
        </w:rPr>
        <w:t>第六章 评标方法</w:t>
      </w:r>
      <w:bookmarkEnd w:id="44"/>
    </w:p>
    <w:p w14:paraId="751BEAAF">
      <w:pPr>
        <w:pStyle w:val="16"/>
        <w:spacing w:line="440" w:lineRule="exact"/>
        <w:rPr>
          <w:rFonts w:hAnsi="宋体" w:cs="宋体"/>
          <w:b/>
          <w:color w:val="auto"/>
          <w:sz w:val="24"/>
          <w:szCs w:val="24"/>
          <w:highlight w:val="none"/>
        </w:rPr>
      </w:pPr>
      <w:r>
        <w:rPr>
          <w:rFonts w:hint="eastAsia" w:hAnsi="宋体" w:cs="宋体"/>
          <w:b/>
          <w:color w:val="auto"/>
          <w:sz w:val="24"/>
          <w:szCs w:val="24"/>
          <w:highlight w:val="none"/>
        </w:rPr>
        <w:t>一、评标原则</w:t>
      </w:r>
    </w:p>
    <w:p w14:paraId="0CBC3411">
      <w:pPr>
        <w:keepNext w:val="0"/>
        <w:keepLines w:val="0"/>
        <w:pageBreakBefore w:val="0"/>
        <w:kinsoku/>
        <w:overflowPunct/>
        <w:topLinePunct w:val="0"/>
        <w:bidi w:val="0"/>
        <w:snapToGrid/>
        <w:spacing w:line="360" w:lineRule="auto"/>
        <w:ind w:firstLine="480" w:firstLineChars="200"/>
        <w:textAlignment w:val="auto"/>
        <w:rPr>
          <w:rFonts w:hint="eastAsia"/>
          <w:b w:val="0"/>
          <w:bCs w:val="0"/>
          <w:color w:val="auto"/>
          <w:sz w:val="24"/>
          <w:szCs w:val="24"/>
          <w:highlight w:val="none"/>
          <w:lang w:val="en-US" w:eastAsia="zh-CN"/>
        </w:rPr>
      </w:pPr>
      <w:r>
        <w:rPr>
          <w:rFonts w:hint="eastAsia" w:ascii="Arial" w:hAnsi="Arial" w:cs="Arial"/>
          <w:color w:val="auto"/>
          <w:sz w:val="24"/>
          <w:szCs w:val="24"/>
          <w:highlight w:val="none"/>
        </w:rPr>
        <w:t>(一)磋商小组的构成：本项目的磋商小组由采购人代表和评审专家组成，成员人数应当为三人以上（含三人）单数</w:t>
      </w:r>
      <w:r>
        <w:rPr>
          <w:rFonts w:hint="eastAsia" w:ascii="Arial" w:hAnsi="Arial" w:cs="Arial"/>
          <w:color w:val="auto"/>
          <w:sz w:val="21"/>
          <w:szCs w:val="21"/>
          <w:highlight w:val="none"/>
        </w:rPr>
        <w:t>，</w:t>
      </w:r>
      <w:r>
        <w:rPr>
          <w:rFonts w:hint="eastAsia"/>
          <w:b w:val="0"/>
          <w:bCs w:val="0"/>
          <w:color w:val="auto"/>
          <w:sz w:val="24"/>
          <w:szCs w:val="24"/>
          <w:highlight w:val="none"/>
          <w:lang w:val="en-US" w:eastAsia="zh-CN"/>
        </w:rPr>
        <w:t>其中评审专家人数不得少于成员总数的三分之二。</w:t>
      </w:r>
    </w:p>
    <w:p w14:paraId="065EB02B">
      <w:pPr>
        <w:keepNext w:val="0"/>
        <w:keepLines w:val="0"/>
        <w:pageBreakBefore w:val="0"/>
        <w:kinsoku/>
        <w:overflowPunct/>
        <w:topLinePunct w:val="0"/>
        <w:bidi w:val="0"/>
        <w:snapToGrid/>
        <w:spacing w:line="360" w:lineRule="auto"/>
        <w:ind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(二)评审依据：以磋商采购文件、响应文件为评审依据，对供应商的内容按百分制打分。</w:t>
      </w:r>
    </w:p>
    <w:p w14:paraId="0E9D12E8">
      <w:pPr>
        <w:keepNext w:val="0"/>
        <w:keepLines w:val="0"/>
        <w:pageBreakBefore w:val="0"/>
        <w:kinsoku/>
        <w:overflowPunct/>
        <w:topLinePunct w:val="0"/>
        <w:bidi w:val="0"/>
        <w:snapToGrid/>
        <w:spacing w:line="360" w:lineRule="auto"/>
        <w:ind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(三)评标方式：以封闭方式进行。</w:t>
      </w:r>
    </w:p>
    <w:p w14:paraId="290F33DF">
      <w:pPr>
        <w:keepNext w:val="0"/>
        <w:keepLines w:val="0"/>
        <w:pageBreakBefore w:val="0"/>
        <w:kinsoku/>
        <w:overflowPunct/>
        <w:topLinePunct w:val="0"/>
        <w:bidi w:val="0"/>
        <w:snapToGrid/>
        <w:spacing w:line="360" w:lineRule="auto"/>
        <w:ind w:firstLine="480" w:firstLineChars="200"/>
        <w:textAlignment w:val="auto"/>
        <w:rPr>
          <w:rFonts w:hAnsi="宋体" w:cs="宋体"/>
          <w:b w:val="0"/>
          <w:bCs w:val="0"/>
          <w:color w:val="auto"/>
          <w:sz w:val="24"/>
          <w:szCs w:val="24"/>
          <w:highlight w:val="none"/>
        </w:rPr>
      </w:pPr>
      <w:bookmarkStart w:id="45" w:name="_Toc40865100"/>
      <w:bookmarkStart w:id="46" w:name="_Toc40864708"/>
      <w:bookmarkStart w:id="47" w:name="_Toc40864984"/>
      <w:r>
        <w:rPr>
          <w:rFonts w:hint="eastAsia" w:hAnsi="宋体" w:cs="宋体"/>
          <w:b w:val="0"/>
          <w:bCs w:val="0"/>
          <w:color w:val="auto"/>
          <w:sz w:val="24"/>
          <w:szCs w:val="24"/>
          <w:highlight w:val="none"/>
        </w:rPr>
        <w:t>二、评标方法</w:t>
      </w:r>
      <w:bookmarkEnd w:id="45"/>
      <w:bookmarkEnd w:id="46"/>
      <w:bookmarkEnd w:id="47"/>
    </w:p>
    <w:p w14:paraId="31256BB4">
      <w:pPr>
        <w:pStyle w:val="16"/>
        <w:adjustRightInd w:val="0"/>
        <w:snapToGrid w:val="0"/>
        <w:spacing w:line="440" w:lineRule="exact"/>
        <w:ind w:firstLine="480" w:firstLineChars="200"/>
        <w:rPr>
          <w:rFonts w:hAnsi="宋体" w:cs="宋体"/>
          <w:color w:val="auto"/>
          <w:sz w:val="24"/>
          <w:szCs w:val="24"/>
          <w:highlight w:val="none"/>
        </w:rPr>
      </w:pPr>
      <w:bookmarkStart w:id="48" w:name="_Toc40865101"/>
      <w:bookmarkStart w:id="49" w:name="_Toc40864985"/>
      <w:bookmarkStart w:id="50" w:name="_Toc40864709"/>
      <w:r>
        <w:rPr>
          <w:rFonts w:hint="eastAsia" w:hAnsi="宋体" w:cs="宋体"/>
          <w:color w:val="auto"/>
          <w:sz w:val="24"/>
          <w:szCs w:val="24"/>
          <w:highlight w:val="none"/>
        </w:rPr>
        <w:t>（一）对进入详评的，采用百分制综合评分法。</w:t>
      </w:r>
      <w:bookmarkEnd w:id="48"/>
      <w:bookmarkEnd w:id="49"/>
      <w:bookmarkEnd w:id="50"/>
    </w:p>
    <w:p w14:paraId="368EFEB8">
      <w:pPr>
        <w:pStyle w:val="16"/>
        <w:adjustRightInd w:val="0"/>
        <w:snapToGrid w:val="0"/>
        <w:spacing w:line="440" w:lineRule="exact"/>
        <w:ind w:firstLine="480" w:firstLineChars="200"/>
        <w:rPr>
          <w:rFonts w:hAnsi="宋体" w:cs="宋体"/>
          <w:color w:val="auto"/>
          <w:sz w:val="24"/>
          <w:szCs w:val="24"/>
          <w:highlight w:val="none"/>
        </w:rPr>
      </w:pPr>
      <w:bookmarkStart w:id="51" w:name="_Toc40864986"/>
      <w:bookmarkStart w:id="52" w:name="_Toc40865102"/>
      <w:bookmarkStart w:id="53" w:name="_Toc40864710"/>
      <w:r>
        <w:rPr>
          <w:rFonts w:hint="eastAsia" w:hAnsi="宋体" w:cs="宋体"/>
          <w:color w:val="auto"/>
          <w:sz w:val="24"/>
          <w:szCs w:val="24"/>
          <w:highlight w:val="none"/>
        </w:rPr>
        <w:t>（二）计分办法（按四舍五入取至百分位）：</w:t>
      </w:r>
      <w:bookmarkEnd w:id="51"/>
      <w:bookmarkEnd w:id="52"/>
      <w:bookmarkEnd w:id="53"/>
    </w:p>
    <w:p w14:paraId="60B5C544">
      <w:pPr>
        <w:pStyle w:val="22"/>
        <w:snapToGrid w:val="0"/>
        <w:spacing w:line="440" w:lineRule="exact"/>
        <w:ind w:left="0" w:firstLine="482" w:firstLineChars="200"/>
        <w:rPr>
          <w:rFonts w:ascii="宋体" w:hAnsi="宋体" w:cs="宋体"/>
          <w:b/>
          <w:color w:val="auto"/>
          <w:sz w:val="24"/>
          <w:szCs w:val="24"/>
          <w:highlight w:val="none"/>
        </w:rPr>
      </w:pPr>
      <w:bookmarkStart w:id="54" w:name="_Toc40864711"/>
      <w:bookmarkStart w:id="55" w:name="_Toc40864987"/>
      <w:bookmarkStart w:id="56" w:name="_Toc40865103"/>
      <w:r>
        <w:rPr>
          <w:rFonts w:hint="eastAsia" w:ascii="宋体" w:hAnsi="宋体" w:cs="宋体"/>
          <w:b/>
          <w:color w:val="auto"/>
          <w:sz w:val="24"/>
          <w:szCs w:val="24"/>
          <w:highlight w:val="none"/>
        </w:rPr>
        <w:t>1、价格分………………………………………………………………………………10分</w:t>
      </w:r>
      <w:bookmarkEnd w:id="54"/>
      <w:bookmarkEnd w:id="55"/>
      <w:bookmarkEnd w:id="56"/>
    </w:p>
    <w:p w14:paraId="5F383903">
      <w:pPr>
        <w:spacing w:line="440" w:lineRule="exact"/>
        <w:ind w:firstLine="480" w:firstLineChars="200"/>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b/>
          <w:bCs w:val="0"/>
          <w:color w:val="auto"/>
          <w:sz w:val="24"/>
          <w:highlight w:val="none"/>
          <w:lang w:eastAsia="zh-CN"/>
        </w:rPr>
        <w:t>本项目属于专门面向中小企业采购的项目</w:t>
      </w:r>
      <w:r>
        <w:rPr>
          <w:rFonts w:hint="default" w:ascii="Times New Roman" w:hAnsi="Times New Roman" w:cs="Times New Roman"/>
          <w:b/>
          <w:color w:val="auto"/>
          <w:sz w:val="24"/>
          <w:szCs w:val="24"/>
          <w:highlight w:val="none"/>
          <w:lang w:eastAsia="zh-CN"/>
        </w:rPr>
        <w:t>，</w:t>
      </w:r>
      <w:r>
        <w:rPr>
          <w:rFonts w:hint="default" w:ascii="Times New Roman" w:hAnsi="Times New Roman" w:cs="Times New Roman"/>
          <w:color w:val="auto"/>
          <w:sz w:val="24"/>
          <w:szCs w:val="24"/>
          <w:highlight w:val="none"/>
        </w:rPr>
        <w:t>按照《政府采购促进中小企业发展暂行办法》（财库〔2020〕46号）的规定，</w:t>
      </w:r>
      <w:r>
        <w:rPr>
          <w:rFonts w:hint="default" w:ascii="Times New Roman" w:hAnsi="Times New Roman" w:cs="Times New Roman"/>
          <w:color w:val="auto"/>
          <w:sz w:val="24"/>
          <w:szCs w:val="24"/>
          <w:highlight w:val="none"/>
          <w:lang w:eastAsia="zh-CN"/>
        </w:rPr>
        <w:t>不再对供应商最后报价进行政策性扣除。</w:t>
      </w:r>
    </w:p>
    <w:p w14:paraId="6D24584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（2）评审价为供应商的最后报价，评审价只是作为评审时使用。最终成交供应商的成交金额等于最后报价（如有修正，以确认修正后的最后报价为准）。</w:t>
      </w:r>
    </w:p>
    <w:p w14:paraId="2D1830B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（3）评审价=最后报价</w:t>
      </w:r>
    </w:p>
    <w:p w14:paraId="616A4E2C">
      <w:pPr>
        <w:spacing w:line="440" w:lineRule="exact"/>
        <w:ind w:firstLine="480" w:firstLineChars="200"/>
        <w:rPr>
          <w:color w:val="auto"/>
          <w:sz w:val="24"/>
          <w:highlight w:val="none"/>
        </w:rPr>
      </w:pPr>
      <w:r>
        <w:rPr>
          <w:color w:val="auto"/>
          <w:sz w:val="24"/>
          <w:highlight w:val="none"/>
        </w:rPr>
        <w:t>（</w:t>
      </w:r>
      <w:r>
        <w:rPr>
          <w:rFonts w:hint="eastAsia"/>
          <w:color w:val="auto"/>
          <w:sz w:val="24"/>
          <w:highlight w:val="none"/>
        </w:rPr>
        <w:t>4</w:t>
      </w:r>
      <w:r>
        <w:rPr>
          <w:color w:val="auto"/>
          <w:sz w:val="24"/>
          <w:highlight w:val="none"/>
        </w:rPr>
        <w:t>）以进入综合评分的最低</w:t>
      </w:r>
      <w:r>
        <w:rPr>
          <w:rFonts w:hint="eastAsia"/>
          <w:color w:val="auto"/>
          <w:sz w:val="24"/>
          <w:highlight w:val="none"/>
        </w:rPr>
        <w:t>磋商</w:t>
      </w:r>
      <w:r>
        <w:rPr>
          <w:color w:val="auto"/>
          <w:sz w:val="24"/>
          <w:highlight w:val="none"/>
        </w:rPr>
        <w:t>报价作为</w:t>
      </w:r>
      <w:r>
        <w:rPr>
          <w:rFonts w:hint="eastAsia"/>
          <w:color w:val="auto"/>
          <w:sz w:val="24"/>
          <w:highlight w:val="none"/>
        </w:rPr>
        <w:t>磋商</w:t>
      </w:r>
      <w:r>
        <w:rPr>
          <w:color w:val="auto"/>
          <w:sz w:val="24"/>
          <w:highlight w:val="none"/>
        </w:rPr>
        <w:t>基准价；</w:t>
      </w:r>
    </w:p>
    <w:p w14:paraId="0B028610">
      <w:pPr>
        <w:spacing w:line="440" w:lineRule="exact"/>
        <w:ind w:firstLine="480" w:firstLineChars="200"/>
        <w:rPr>
          <w:color w:val="auto"/>
          <w:sz w:val="24"/>
          <w:highlight w:val="none"/>
        </w:rPr>
      </w:pPr>
      <w:r>
        <w:rPr>
          <w:color w:val="auto"/>
          <w:sz w:val="24"/>
          <w:highlight w:val="none"/>
        </w:rPr>
        <w:t>（</w:t>
      </w:r>
      <w:r>
        <w:rPr>
          <w:rFonts w:hint="eastAsia"/>
          <w:color w:val="auto"/>
          <w:sz w:val="24"/>
          <w:highlight w:val="none"/>
        </w:rPr>
        <w:t>5</w:t>
      </w:r>
      <w:r>
        <w:rPr>
          <w:color w:val="auto"/>
          <w:sz w:val="24"/>
          <w:highlight w:val="none"/>
        </w:rPr>
        <w:t>）以进入评标的最低的</w:t>
      </w:r>
      <w:r>
        <w:rPr>
          <w:rFonts w:hint="eastAsia"/>
          <w:color w:val="auto"/>
          <w:sz w:val="24"/>
          <w:highlight w:val="none"/>
        </w:rPr>
        <w:t>磋商</w:t>
      </w:r>
      <w:r>
        <w:rPr>
          <w:color w:val="auto"/>
          <w:sz w:val="24"/>
          <w:highlight w:val="none"/>
        </w:rPr>
        <w:t>报价为10分。</w:t>
      </w:r>
    </w:p>
    <w:p w14:paraId="66573B5D">
      <w:pPr>
        <w:spacing w:line="440" w:lineRule="exact"/>
        <w:ind w:firstLine="480" w:firstLineChars="200"/>
        <w:rPr>
          <w:color w:val="auto"/>
          <w:sz w:val="24"/>
          <w:highlight w:val="none"/>
        </w:rPr>
      </w:pPr>
      <w:r>
        <w:rPr>
          <w:color w:val="auto"/>
          <w:sz w:val="24"/>
          <w:highlight w:val="none"/>
        </w:rPr>
        <w:t>满足磋商文件要求且磋商价格最低的磋商报价为</w:t>
      </w:r>
      <w:r>
        <w:rPr>
          <w:rFonts w:hint="eastAsia"/>
          <w:color w:val="auto"/>
          <w:sz w:val="24"/>
          <w:highlight w:val="none"/>
        </w:rPr>
        <w:t>磋商</w:t>
      </w:r>
      <w:r>
        <w:rPr>
          <w:color w:val="auto"/>
          <w:sz w:val="24"/>
          <w:highlight w:val="none"/>
        </w:rPr>
        <w:t>基准价，其价格分为满分，其他供应商的价格分统一按照下列公式计算：</w:t>
      </w:r>
    </w:p>
    <w:p w14:paraId="5F7752F3">
      <w:pPr>
        <w:spacing w:line="440" w:lineRule="exact"/>
        <w:ind w:firstLine="3120" w:firstLineChars="1300"/>
        <w:rPr>
          <w:color w:val="auto"/>
          <w:sz w:val="24"/>
          <w:highlight w:val="none"/>
        </w:rPr>
      </w:pPr>
      <w:r>
        <w:rPr>
          <w:rFonts w:hint="eastAsia"/>
          <w:color w:val="auto"/>
          <w:sz w:val="24"/>
          <w:highlight w:val="none"/>
        </w:rPr>
        <w:t>磋商</w:t>
      </w:r>
      <w:r>
        <w:rPr>
          <w:color w:val="auto"/>
          <w:sz w:val="24"/>
          <w:highlight w:val="none"/>
        </w:rPr>
        <w:t>基准价</w:t>
      </w:r>
    </w:p>
    <w:p w14:paraId="3496CC49">
      <w:pPr>
        <w:spacing w:line="440" w:lineRule="exact"/>
        <w:ind w:firstLine="480" w:firstLineChars="200"/>
        <w:rPr>
          <w:color w:val="auto"/>
          <w:sz w:val="24"/>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1584325</wp:posOffset>
                </wp:positionH>
                <wp:positionV relativeFrom="paragraph">
                  <wp:posOffset>132715</wp:posOffset>
                </wp:positionV>
                <wp:extent cx="1519555"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151955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24.75pt;margin-top:10.45pt;height:0.05pt;width:119.65pt;z-index:251661312;mso-width-relative:page;mso-height-relative:page;" filled="f" stroked="t" coordsize="21600,21600" o:gfxdata="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op1WnXAAAACQEAAA8AAAAAAAAAAQAgAAAAIgAAAGRycy9kb3ducmV2LnhtbFBLAQIU&#10;ABQAAAAIAIdO4kArq9Le9AEAAOQDAAAOAAAAAAAAAAEAIAAAACYBAABkcnMvZTJvRG9jLnhtbFBL&#10;BQYAAAAABgAGAFkBAACMBQAAAAA=&#10;">
                <v:fill on="f" focussize="0,0"/>
                <v:stroke color="#000000" joinstyle="round"/>
                <v:imagedata o:title=""/>
                <o:lock v:ext="edit" aspectratio="f"/>
              </v:line>
            </w:pict>
          </mc:Fallback>
        </mc:AlternateContent>
      </w:r>
      <w:r>
        <w:rPr>
          <w:color w:val="auto"/>
          <w:sz w:val="24"/>
          <w:highlight w:val="none"/>
        </w:rPr>
        <w:t>磋商报价得分=                          ×10分</w:t>
      </w:r>
    </w:p>
    <w:p w14:paraId="5CA6D380">
      <w:pPr>
        <w:spacing w:line="440" w:lineRule="exact"/>
        <w:ind w:firstLine="3120" w:firstLineChars="1300"/>
        <w:rPr>
          <w:color w:val="auto"/>
          <w:sz w:val="24"/>
          <w:highlight w:val="none"/>
        </w:rPr>
      </w:pPr>
      <w:r>
        <w:rPr>
          <w:color w:val="auto"/>
          <w:sz w:val="24"/>
          <w:highlight w:val="none"/>
        </w:rPr>
        <w:t>某</w:t>
      </w:r>
      <w:r>
        <w:rPr>
          <w:rFonts w:hint="eastAsia"/>
          <w:color w:val="auto"/>
          <w:sz w:val="24"/>
          <w:highlight w:val="none"/>
        </w:rPr>
        <w:t>供应商</w:t>
      </w:r>
      <w:r>
        <w:rPr>
          <w:color w:val="auto"/>
          <w:sz w:val="24"/>
          <w:highlight w:val="none"/>
        </w:rPr>
        <w:t>报价</w:t>
      </w:r>
    </w:p>
    <w:p w14:paraId="432EDA05">
      <w:pPr>
        <w:spacing w:line="360" w:lineRule="auto"/>
        <w:rPr>
          <w:b/>
          <w:color w:val="auto"/>
          <w:sz w:val="28"/>
          <w:szCs w:val="28"/>
          <w:highlight w:val="none"/>
        </w:rPr>
      </w:pPr>
      <w:r>
        <w:rPr>
          <w:rFonts w:hint="eastAsia"/>
          <w:b/>
          <w:color w:val="auto"/>
          <w:sz w:val="28"/>
          <w:szCs w:val="28"/>
          <w:highlight w:val="none"/>
        </w:rPr>
        <w:t>2、</w:t>
      </w:r>
      <w:r>
        <w:rPr>
          <w:rFonts w:hint="eastAsia"/>
          <w:b/>
          <w:color w:val="auto"/>
          <w:sz w:val="28"/>
          <w:szCs w:val="28"/>
          <w:highlight w:val="none"/>
          <w:lang w:val="en-US" w:eastAsia="zh-CN"/>
        </w:rPr>
        <w:t>项目实施方案</w:t>
      </w:r>
      <w:r>
        <w:rPr>
          <w:rFonts w:hint="eastAsia"/>
          <w:b/>
          <w:color w:val="auto"/>
          <w:sz w:val="28"/>
          <w:szCs w:val="28"/>
          <w:highlight w:val="none"/>
        </w:rPr>
        <w:t>…………………………………………………………满分</w:t>
      </w:r>
      <w:r>
        <w:rPr>
          <w:rFonts w:hint="eastAsia"/>
          <w:b/>
          <w:color w:val="auto"/>
          <w:sz w:val="28"/>
          <w:szCs w:val="28"/>
          <w:highlight w:val="none"/>
          <w:lang w:val="en-US" w:eastAsia="zh-CN"/>
        </w:rPr>
        <w:t>70</w:t>
      </w:r>
      <w:r>
        <w:rPr>
          <w:rFonts w:hint="eastAsia"/>
          <w:b/>
          <w:color w:val="auto"/>
          <w:sz w:val="28"/>
          <w:szCs w:val="28"/>
          <w:highlight w:val="none"/>
        </w:rPr>
        <w:t>分</w:t>
      </w:r>
    </w:p>
    <w:p w14:paraId="5B703E94">
      <w:pPr>
        <w:spacing w:line="360" w:lineRule="auto"/>
        <w:ind w:firstLine="482" w:firstLineChars="200"/>
        <w:rPr>
          <w:rFonts w:hint="eastAsia"/>
          <w:b/>
          <w:color w:val="auto"/>
          <w:sz w:val="24"/>
          <w:szCs w:val="24"/>
          <w:highlight w:val="none"/>
        </w:rPr>
      </w:pPr>
      <w:r>
        <w:rPr>
          <w:rFonts w:hint="eastAsia"/>
          <w:b/>
          <w:color w:val="auto"/>
          <w:sz w:val="24"/>
          <w:szCs w:val="24"/>
          <w:highlight w:val="none"/>
        </w:rPr>
        <w:t>（1）</w:t>
      </w:r>
      <w:r>
        <w:rPr>
          <w:rStyle w:val="46"/>
          <w:rFonts w:hint="eastAsia" w:ascii="宋体" w:hAnsi="宋体" w:cs="宋体"/>
          <w:b/>
          <w:bCs/>
          <w:color w:val="auto"/>
          <w:sz w:val="24"/>
          <w:szCs w:val="24"/>
          <w:highlight w:val="none"/>
          <w:lang w:eastAsia="zh-CN"/>
        </w:rPr>
        <w:t>综合</w:t>
      </w:r>
      <w:r>
        <w:rPr>
          <w:rStyle w:val="46"/>
          <w:rFonts w:hint="eastAsia" w:ascii="宋体" w:hAnsi="宋体" w:cs="宋体"/>
          <w:b/>
          <w:bCs/>
          <w:color w:val="auto"/>
          <w:sz w:val="24"/>
          <w:szCs w:val="24"/>
          <w:highlight w:val="none"/>
        </w:rPr>
        <w:t>服务</w:t>
      </w:r>
      <w:r>
        <w:rPr>
          <w:rFonts w:hint="eastAsia" w:ascii="宋体" w:hAnsi="宋体" w:cs="宋体"/>
          <w:b/>
          <w:bCs/>
          <w:color w:val="auto"/>
          <w:sz w:val="24"/>
          <w:szCs w:val="24"/>
          <w:highlight w:val="none"/>
        </w:rPr>
        <w:t>方案分</w:t>
      </w:r>
      <w:r>
        <w:rPr>
          <w:rStyle w:val="46"/>
          <w:rFonts w:ascii="宋体" w:hAnsi="宋体" w:cs="宋体"/>
          <w:b/>
          <w:bCs/>
          <w:color w:val="auto"/>
          <w:sz w:val="24"/>
          <w:szCs w:val="24"/>
          <w:highlight w:val="none"/>
        </w:rPr>
        <w:t>（满</w:t>
      </w:r>
      <w:r>
        <w:rPr>
          <w:rStyle w:val="46"/>
          <w:rFonts w:hint="eastAsia" w:ascii="宋体" w:hAnsi="宋体" w:cs="宋体"/>
          <w:b/>
          <w:bCs/>
          <w:color w:val="auto"/>
          <w:sz w:val="24"/>
          <w:szCs w:val="24"/>
          <w:highlight w:val="none"/>
        </w:rPr>
        <w:t>2</w:t>
      </w:r>
      <w:r>
        <w:rPr>
          <w:rStyle w:val="46"/>
          <w:rFonts w:hint="eastAsia" w:ascii="宋体" w:hAnsi="宋体" w:cs="宋体"/>
          <w:b/>
          <w:bCs/>
          <w:color w:val="auto"/>
          <w:sz w:val="24"/>
          <w:szCs w:val="24"/>
          <w:highlight w:val="none"/>
          <w:lang w:val="en-US" w:eastAsia="zh-CN"/>
        </w:rPr>
        <w:t>2</w:t>
      </w:r>
      <w:r>
        <w:rPr>
          <w:rStyle w:val="46"/>
          <w:rFonts w:ascii="宋体" w:hAnsi="宋体" w:cs="宋体"/>
          <w:b/>
          <w:bCs/>
          <w:color w:val="auto"/>
          <w:sz w:val="24"/>
          <w:szCs w:val="24"/>
          <w:highlight w:val="none"/>
        </w:rPr>
        <w:t>分）</w:t>
      </w:r>
    </w:p>
    <w:p w14:paraId="2D829D87">
      <w:pPr>
        <w:spacing w:line="40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由评审小组成员根据响应文件中拟采取的管理方式（包含但不限于： 内部管理构架、管理运作机制、激励机制、监督机制、自我约束机制、 信息反馈处理机制等）、工作计划、以及项目服务工作的实施开展等方面进行独立评审打分：</w:t>
      </w:r>
    </w:p>
    <w:p w14:paraId="5778C981">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 w:val="0"/>
          <w:bCs/>
          <w:color w:val="auto"/>
          <w:sz w:val="24"/>
          <w:szCs w:val="24"/>
          <w:highlight w:val="none"/>
        </w:rPr>
        <w:t xml:space="preserve">一档 </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5</w:t>
      </w:r>
      <w:r>
        <w:rPr>
          <w:rFonts w:hint="eastAsia" w:ascii="宋体" w:hAnsi="宋体" w:cs="宋体"/>
          <w:b w:val="0"/>
          <w:bCs/>
          <w:color w:val="auto"/>
          <w:sz w:val="24"/>
          <w:szCs w:val="24"/>
          <w:highlight w:val="none"/>
        </w:rPr>
        <w:t>分</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w:t>
      </w:r>
      <w:r>
        <w:rPr>
          <w:rFonts w:hint="eastAsia" w:ascii="宋体" w:hAnsi="宋体" w:cs="宋体"/>
          <w:bCs/>
          <w:color w:val="auto"/>
          <w:sz w:val="24"/>
          <w:szCs w:val="24"/>
          <w:highlight w:val="none"/>
        </w:rPr>
        <w:t>服务实施方案简单，合理性、操作性低的。</w:t>
      </w:r>
    </w:p>
    <w:p w14:paraId="60BD99B4">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 w:val="0"/>
          <w:bCs/>
          <w:color w:val="auto"/>
          <w:sz w:val="24"/>
          <w:szCs w:val="24"/>
          <w:highlight w:val="none"/>
        </w:rPr>
        <w:t xml:space="preserve">二档 </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10</w:t>
      </w:r>
      <w:r>
        <w:rPr>
          <w:rFonts w:hint="eastAsia" w:ascii="宋体" w:hAnsi="宋体" w:cs="宋体"/>
          <w:b w:val="0"/>
          <w:bCs/>
          <w:color w:val="auto"/>
          <w:sz w:val="24"/>
          <w:szCs w:val="24"/>
          <w:highlight w:val="none"/>
        </w:rPr>
        <w:t>分</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w:t>
      </w:r>
      <w:r>
        <w:rPr>
          <w:rFonts w:hint="eastAsia" w:ascii="宋体" w:hAnsi="宋体" w:cs="宋体"/>
          <w:bCs/>
          <w:color w:val="auto"/>
          <w:sz w:val="24"/>
          <w:szCs w:val="24"/>
          <w:highlight w:val="none"/>
        </w:rPr>
        <w:t>服务实施方案简单，内容基本可行</w:t>
      </w:r>
      <w:r>
        <w:rPr>
          <w:rFonts w:hint="eastAsia" w:ascii="宋体" w:hAnsi="宋体" w:cs="宋体"/>
          <w:bCs/>
          <w:color w:val="auto"/>
          <w:sz w:val="24"/>
          <w:szCs w:val="24"/>
          <w:highlight w:val="none"/>
          <w:lang w:eastAsia="zh-CN"/>
        </w:rPr>
        <w:t>，</w:t>
      </w:r>
      <w:r>
        <w:rPr>
          <w:rFonts w:hint="eastAsia" w:ascii="宋体" w:hAnsi="宋体" w:eastAsia="宋体" w:cs="宋体"/>
          <w:color w:val="auto"/>
          <w:sz w:val="24"/>
          <w:szCs w:val="24"/>
          <w:highlight w:val="none"/>
        </w:rPr>
        <w:t>方案符合实际情况，有保证</w:t>
      </w:r>
      <w:r>
        <w:rPr>
          <w:rFonts w:hint="eastAsia" w:ascii="宋体" w:hAnsi="宋体" w:cs="宋体"/>
          <w:bCs/>
          <w:color w:val="auto"/>
          <w:sz w:val="24"/>
          <w:szCs w:val="24"/>
          <w:highlight w:val="none"/>
        </w:rPr>
        <w:t>。</w:t>
      </w:r>
    </w:p>
    <w:p w14:paraId="7AC7AF7E">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 w:val="0"/>
          <w:bCs/>
          <w:color w:val="auto"/>
          <w:sz w:val="24"/>
          <w:szCs w:val="24"/>
          <w:highlight w:val="none"/>
        </w:rPr>
        <w:t xml:space="preserve">三档 </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16</w:t>
      </w:r>
      <w:r>
        <w:rPr>
          <w:rFonts w:hint="eastAsia" w:ascii="宋体" w:hAnsi="宋体" w:cs="宋体"/>
          <w:b w:val="0"/>
          <w:bCs/>
          <w:color w:val="auto"/>
          <w:sz w:val="24"/>
          <w:szCs w:val="24"/>
          <w:highlight w:val="none"/>
        </w:rPr>
        <w:t xml:space="preserve"> 分</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w:t>
      </w:r>
      <w:r>
        <w:rPr>
          <w:rFonts w:hint="eastAsia" w:ascii="宋体" w:hAnsi="宋体" w:cs="宋体"/>
          <w:bCs/>
          <w:color w:val="auto"/>
          <w:sz w:val="24"/>
          <w:szCs w:val="24"/>
          <w:highlight w:val="none"/>
        </w:rPr>
        <w:t>服务实施方案详细，有简单的管理方式和工作计划，质量保证措施及进度保证措施基本可行。</w:t>
      </w:r>
    </w:p>
    <w:p w14:paraId="4C6614A1">
      <w:pPr>
        <w:spacing w:line="400" w:lineRule="exact"/>
        <w:ind w:firstLine="480" w:firstLineChars="200"/>
        <w:rPr>
          <w:rFonts w:hint="eastAsia" w:ascii="宋体" w:hAnsi="宋体" w:cs="宋体"/>
          <w:bCs/>
          <w:color w:val="auto"/>
          <w:sz w:val="24"/>
          <w:szCs w:val="24"/>
          <w:highlight w:val="none"/>
        </w:rPr>
      </w:pPr>
      <w:r>
        <w:rPr>
          <w:rFonts w:hint="eastAsia" w:ascii="宋体" w:hAnsi="宋体" w:cs="宋体"/>
          <w:b w:val="0"/>
          <w:bCs/>
          <w:color w:val="auto"/>
          <w:sz w:val="24"/>
          <w:szCs w:val="24"/>
          <w:highlight w:val="none"/>
        </w:rPr>
        <w:t xml:space="preserve">四档 </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22分</w:t>
      </w: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rPr>
        <w:t>：</w:t>
      </w:r>
      <w:r>
        <w:rPr>
          <w:rFonts w:hint="eastAsia" w:ascii="宋体" w:hAnsi="宋体" w:cs="宋体"/>
          <w:bCs/>
          <w:color w:val="auto"/>
          <w:sz w:val="24"/>
          <w:szCs w:val="24"/>
          <w:highlight w:val="none"/>
        </w:rPr>
        <w:t>服务实施方案详细且科学合理，有切实可行的拟采取的管理方式和切实际的工作计划，质量保证措施到位，整体规划技术路线清晰，思路合理，可操作性强。</w:t>
      </w:r>
    </w:p>
    <w:p w14:paraId="796CBDE9">
      <w:pPr>
        <w:spacing w:line="400" w:lineRule="exact"/>
        <w:rPr>
          <w:rFonts w:hint="eastAsia" w:eastAsia="宋体"/>
          <w:b/>
          <w:bCs/>
          <w:color w:val="auto"/>
          <w:sz w:val="24"/>
          <w:szCs w:val="24"/>
          <w:highlight w:val="none"/>
        </w:rPr>
      </w:pPr>
    </w:p>
    <w:p w14:paraId="501A8462">
      <w:pPr>
        <w:keepNext w:val="0"/>
        <w:keepLines w:val="0"/>
        <w:pageBreakBefore w:val="0"/>
        <w:kinsoku/>
        <w:overflowPunct/>
        <w:topLinePunct w:val="0"/>
        <w:bidi w:val="0"/>
        <w:snapToGrid/>
        <w:spacing w:line="360" w:lineRule="auto"/>
        <w:ind w:firstLine="482" w:firstLineChars="200"/>
        <w:textAlignment w:val="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（2）管理规章制度与档案建立制度分（满分</w:t>
      </w:r>
      <w:r>
        <w:rPr>
          <w:rFonts w:hint="eastAsia" w:cs="Times New Roman"/>
          <w:b/>
          <w:bCs/>
          <w:color w:val="auto"/>
          <w:sz w:val="24"/>
          <w:szCs w:val="24"/>
          <w:highlight w:val="none"/>
          <w:lang w:val="en-US" w:eastAsia="zh-CN"/>
        </w:rPr>
        <w:t>12</w:t>
      </w:r>
      <w:r>
        <w:rPr>
          <w:rFonts w:hint="eastAsia" w:ascii="Times New Roman" w:hAnsi="Times New Roman" w:eastAsia="宋体" w:cs="Times New Roman"/>
          <w:b/>
          <w:bCs/>
          <w:color w:val="auto"/>
          <w:sz w:val="24"/>
          <w:szCs w:val="24"/>
          <w:highlight w:val="none"/>
        </w:rPr>
        <w:t>分）</w:t>
      </w:r>
    </w:p>
    <w:p w14:paraId="01A95459">
      <w:pPr>
        <w:spacing w:line="360" w:lineRule="auto"/>
        <w:ind w:firstLine="480" w:firstLineChars="200"/>
        <w:rPr>
          <w:rStyle w:val="46"/>
          <w:rFonts w:ascii="宋体" w:cs="宋体"/>
          <w:bCs/>
          <w:color w:val="auto"/>
          <w:sz w:val="24"/>
          <w:szCs w:val="24"/>
          <w:highlight w:val="none"/>
        </w:rPr>
      </w:pPr>
      <w:r>
        <w:rPr>
          <w:rStyle w:val="46"/>
          <w:rFonts w:ascii="宋体" w:cs="宋体"/>
          <w:b w:val="0"/>
          <w:bCs/>
          <w:color w:val="auto"/>
          <w:sz w:val="24"/>
          <w:szCs w:val="24"/>
          <w:highlight w:val="none"/>
        </w:rPr>
        <w:t>一档</w:t>
      </w:r>
      <w:r>
        <w:rPr>
          <w:rStyle w:val="46"/>
          <w:rFonts w:hint="eastAsia" w:ascii="宋体" w:cs="宋体"/>
          <w:b w:val="0"/>
          <w:bCs/>
          <w:color w:val="auto"/>
          <w:sz w:val="24"/>
          <w:szCs w:val="24"/>
          <w:highlight w:val="none"/>
          <w:lang w:eastAsia="zh-CN"/>
        </w:rPr>
        <w:t>（</w:t>
      </w:r>
      <w:r>
        <w:rPr>
          <w:rStyle w:val="46"/>
          <w:rFonts w:hint="eastAsia" w:ascii="宋体" w:cs="宋体"/>
          <w:b w:val="0"/>
          <w:bCs/>
          <w:color w:val="auto"/>
          <w:sz w:val="24"/>
          <w:szCs w:val="24"/>
          <w:highlight w:val="none"/>
          <w:lang w:val="en-US" w:eastAsia="zh-CN"/>
        </w:rPr>
        <w:t>4</w:t>
      </w:r>
      <w:r>
        <w:rPr>
          <w:rStyle w:val="46"/>
          <w:rFonts w:ascii="宋体" w:cs="宋体"/>
          <w:b w:val="0"/>
          <w:bCs/>
          <w:color w:val="auto"/>
          <w:sz w:val="24"/>
          <w:szCs w:val="24"/>
          <w:highlight w:val="none"/>
        </w:rPr>
        <w:t>分</w:t>
      </w:r>
      <w:r>
        <w:rPr>
          <w:rStyle w:val="46"/>
          <w:rFonts w:hint="eastAsia" w:ascii="宋体" w:cs="宋体"/>
          <w:b w:val="0"/>
          <w:bCs/>
          <w:color w:val="auto"/>
          <w:sz w:val="24"/>
          <w:szCs w:val="24"/>
          <w:highlight w:val="none"/>
          <w:lang w:eastAsia="zh-CN"/>
        </w:rPr>
        <w:t>）</w:t>
      </w:r>
      <w:r>
        <w:rPr>
          <w:rStyle w:val="46"/>
          <w:rFonts w:ascii="宋体" w:cs="宋体"/>
          <w:b w:val="0"/>
          <w:bCs/>
          <w:color w:val="auto"/>
          <w:sz w:val="24"/>
          <w:szCs w:val="24"/>
          <w:highlight w:val="none"/>
        </w:rPr>
        <w:t>：</w:t>
      </w:r>
      <w:r>
        <w:rPr>
          <w:rStyle w:val="46"/>
          <w:rFonts w:ascii="宋体" w:cs="宋体"/>
          <w:bCs/>
          <w:color w:val="auto"/>
          <w:sz w:val="24"/>
          <w:szCs w:val="24"/>
          <w:highlight w:val="none"/>
        </w:rPr>
        <w:t>有基本的管理规章制度及档案建立制度，制度简单；</w:t>
      </w:r>
    </w:p>
    <w:p w14:paraId="1F100B9B">
      <w:pPr>
        <w:spacing w:line="360" w:lineRule="auto"/>
        <w:ind w:firstLine="480" w:firstLineChars="200"/>
        <w:rPr>
          <w:rStyle w:val="46"/>
          <w:rFonts w:ascii="宋体" w:cs="宋体"/>
          <w:bCs/>
          <w:color w:val="auto"/>
          <w:sz w:val="24"/>
          <w:szCs w:val="24"/>
          <w:highlight w:val="none"/>
        </w:rPr>
      </w:pPr>
      <w:r>
        <w:rPr>
          <w:rStyle w:val="46"/>
          <w:rFonts w:ascii="宋体" w:cs="宋体"/>
          <w:b w:val="0"/>
          <w:bCs/>
          <w:color w:val="auto"/>
          <w:sz w:val="24"/>
          <w:szCs w:val="24"/>
          <w:highlight w:val="none"/>
        </w:rPr>
        <w:t>二档</w:t>
      </w:r>
      <w:r>
        <w:rPr>
          <w:rStyle w:val="46"/>
          <w:rFonts w:hint="eastAsia" w:ascii="宋体" w:cs="宋体"/>
          <w:b w:val="0"/>
          <w:bCs/>
          <w:color w:val="auto"/>
          <w:sz w:val="24"/>
          <w:szCs w:val="24"/>
          <w:highlight w:val="none"/>
          <w:lang w:eastAsia="zh-CN"/>
        </w:rPr>
        <w:t>（</w:t>
      </w:r>
      <w:r>
        <w:rPr>
          <w:rStyle w:val="46"/>
          <w:rFonts w:hint="eastAsia" w:ascii="宋体" w:cs="宋体"/>
          <w:b w:val="0"/>
          <w:bCs/>
          <w:color w:val="auto"/>
          <w:sz w:val="24"/>
          <w:szCs w:val="24"/>
          <w:highlight w:val="none"/>
          <w:lang w:val="en-US" w:eastAsia="zh-CN"/>
        </w:rPr>
        <w:t>8</w:t>
      </w:r>
      <w:r>
        <w:rPr>
          <w:rStyle w:val="46"/>
          <w:rFonts w:ascii="宋体" w:cs="宋体"/>
          <w:b w:val="0"/>
          <w:bCs/>
          <w:color w:val="auto"/>
          <w:sz w:val="24"/>
          <w:szCs w:val="24"/>
          <w:highlight w:val="none"/>
        </w:rPr>
        <w:t>分</w:t>
      </w:r>
      <w:r>
        <w:rPr>
          <w:rStyle w:val="46"/>
          <w:rFonts w:hint="eastAsia" w:ascii="宋体" w:cs="宋体"/>
          <w:b w:val="0"/>
          <w:bCs/>
          <w:color w:val="auto"/>
          <w:sz w:val="24"/>
          <w:szCs w:val="24"/>
          <w:highlight w:val="none"/>
          <w:lang w:eastAsia="zh-CN"/>
        </w:rPr>
        <w:t>）</w:t>
      </w:r>
      <w:r>
        <w:rPr>
          <w:rStyle w:val="46"/>
          <w:rFonts w:ascii="宋体" w:cs="宋体"/>
          <w:b w:val="0"/>
          <w:bCs/>
          <w:color w:val="auto"/>
          <w:sz w:val="24"/>
          <w:szCs w:val="24"/>
          <w:highlight w:val="none"/>
        </w:rPr>
        <w:t>：</w:t>
      </w:r>
      <w:r>
        <w:rPr>
          <w:rStyle w:val="46"/>
          <w:rFonts w:ascii="宋体" w:cs="宋体"/>
          <w:bCs/>
          <w:color w:val="auto"/>
          <w:sz w:val="24"/>
          <w:szCs w:val="24"/>
          <w:highlight w:val="none"/>
        </w:rPr>
        <w:t>管理规章制度及档案建立制度较完善，</w:t>
      </w:r>
      <w:r>
        <w:rPr>
          <w:rStyle w:val="46"/>
          <w:rFonts w:hint="eastAsia" w:ascii="宋体" w:cs="宋体"/>
          <w:bCs/>
          <w:color w:val="auto"/>
          <w:sz w:val="24"/>
          <w:szCs w:val="24"/>
          <w:highlight w:val="none"/>
          <w:lang w:eastAsia="zh-CN"/>
        </w:rPr>
        <w:t>比较</w:t>
      </w:r>
      <w:r>
        <w:rPr>
          <w:rStyle w:val="46"/>
          <w:rFonts w:ascii="宋体" w:cs="宋体"/>
          <w:bCs/>
          <w:color w:val="auto"/>
          <w:sz w:val="24"/>
          <w:szCs w:val="24"/>
          <w:highlight w:val="none"/>
        </w:rPr>
        <w:t>切合实际情况。</w:t>
      </w:r>
    </w:p>
    <w:p w14:paraId="32627B2A">
      <w:pPr>
        <w:keepNext w:val="0"/>
        <w:keepLines w:val="0"/>
        <w:pageBreakBefore w:val="0"/>
        <w:numPr>
          <w:ilvl w:val="0"/>
          <w:numId w:val="0"/>
        </w:numPr>
        <w:kinsoku/>
        <w:overflowPunct/>
        <w:topLinePunct w:val="0"/>
        <w:bidi w:val="0"/>
        <w:snapToGrid/>
        <w:spacing w:line="360" w:lineRule="auto"/>
        <w:ind w:firstLine="480" w:firstLineChars="200"/>
        <w:textAlignment w:val="auto"/>
        <w:rPr>
          <w:rStyle w:val="46"/>
          <w:rFonts w:ascii="宋体" w:cs="宋体"/>
          <w:bCs/>
          <w:color w:val="auto"/>
          <w:sz w:val="24"/>
          <w:szCs w:val="24"/>
          <w:highlight w:val="none"/>
        </w:rPr>
      </w:pPr>
      <w:r>
        <w:rPr>
          <w:rStyle w:val="46"/>
          <w:rFonts w:ascii="宋体" w:cs="宋体"/>
          <w:b w:val="0"/>
          <w:bCs/>
          <w:color w:val="auto"/>
          <w:sz w:val="24"/>
          <w:szCs w:val="24"/>
          <w:highlight w:val="none"/>
        </w:rPr>
        <w:t>三档</w:t>
      </w:r>
      <w:r>
        <w:rPr>
          <w:rStyle w:val="46"/>
          <w:rFonts w:hint="eastAsia" w:ascii="宋体" w:cs="宋体"/>
          <w:b w:val="0"/>
          <w:bCs/>
          <w:color w:val="auto"/>
          <w:sz w:val="24"/>
          <w:szCs w:val="24"/>
          <w:highlight w:val="none"/>
          <w:lang w:eastAsia="zh-CN"/>
        </w:rPr>
        <w:t>（</w:t>
      </w:r>
      <w:r>
        <w:rPr>
          <w:rStyle w:val="46"/>
          <w:rFonts w:hint="eastAsia" w:ascii="宋体" w:cs="宋体"/>
          <w:b w:val="0"/>
          <w:bCs/>
          <w:color w:val="auto"/>
          <w:sz w:val="24"/>
          <w:szCs w:val="24"/>
          <w:highlight w:val="none"/>
          <w:lang w:val="en-US" w:eastAsia="zh-CN"/>
        </w:rPr>
        <w:t>12</w:t>
      </w:r>
      <w:r>
        <w:rPr>
          <w:rStyle w:val="46"/>
          <w:rFonts w:ascii="宋体" w:cs="宋体"/>
          <w:b w:val="0"/>
          <w:bCs/>
          <w:color w:val="auto"/>
          <w:sz w:val="24"/>
          <w:szCs w:val="24"/>
          <w:highlight w:val="none"/>
        </w:rPr>
        <w:t>分</w:t>
      </w:r>
      <w:r>
        <w:rPr>
          <w:rStyle w:val="46"/>
          <w:rFonts w:hint="eastAsia" w:ascii="宋体" w:cs="宋体"/>
          <w:b w:val="0"/>
          <w:bCs/>
          <w:color w:val="auto"/>
          <w:sz w:val="24"/>
          <w:szCs w:val="24"/>
          <w:highlight w:val="none"/>
          <w:lang w:eastAsia="zh-CN"/>
        </w:rPr>
        <w:t>）</w:t>
      </w:r>
      <w:r>
        <w:rPr>
          <w:rStyle w:val="46"/>
          <w:rFonts w:ascii="宋体" w:cs="宋体"/>
          <w:b w:val="0"/>
          <w:bCs/>
          <w:color w:val="auto"/>
          <w:sz w:val="24"/>
          <w:szCs w:val="24"/>
          <w:highlight w:val="none"/>
        </w:rPr>
        <w:t>：</w:t>
      </w:r>
      <w:r>
        <w:rPr>
          <w:rStyle w:val="46"/>
          <w:rFonts w:ascii="宋体" w:cs="宋体"/>
          <w:bCs/>
          <w:color w:val="auto"/>
          <w:sz w:val="24"/>
          <w:szCs w:val="24"/>
          <w:highlight w:val="none"/>
        </w:rPr>
        <w:t>管理规章制度及档案建立制度完善，切合实际情况，与本项目采购服务需求相符合。</w:t>
      </w:r>
    </w:p>
    <w:p w14:paraId="4EEB3358">
      <w:pPr>
        <w:keepNext w:val="0"/>
        <w:keepLines w:val="0"/>
        <w:pageBreakBefore w:val="0"/>
        <w:kinsoku/>
        <w:overflowPunct/>
        <w:topLinePunct w:val="0"/>
        <w:bidi w:val="0"/>
        <w:snapToGrid/>
        <w:spacing w:line="360" w:lineRule="auto"/>
        <w:ind w:firstLine="482" w:firstLineChars="200"/>
        <w:textAlignment w:val="auto"/>
        <w:rPr>
          <w:rFonts w:hint="eastAsia" w:ascii="Times New Roman" w:hAnsi="Times New Roman" w:eastAsia="宋体" w:cs="Times New Roman"/>
          <w:b/>
          <w:bCs/>
          <w:color w:val="auto"/>
          <w:sz w:val="24"/>
          <w:szCs w:val="24"/>
          <w:highlight w:val="none"/>
          <w:lang w:eastAsia="zh-CN"/>
        </w:rPr>
      </w:pPr>
    </w:p>
    <w:p w14:paraId="5DDA06FA">
      <w:pPr>
        <w:keepNext w:val="0"/>
        <w:keepLines w:val="0"/>
        <w:pageBreakBefore w:val="0"/>
        <w:kinsoku/>
        <w:overflowPunct/>
        <w:topLinePunct w:val="0"/>
        <w:bidi w:val="0"/>
        <w:snapToGrid/>
        <w:spacing w:line="360" w:lineRule="auto"/>
        <w:ind w:firstLine="482" w:firstLineChars="200"/>
        <w:textAlignment w:val="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lang w:val="en-US" w:eastAsia="zh-CN"/>
        </w:rPr>
        <w:t>3</w:t>
      </w:r>
      <w:r>
        <w:rPr>
          <w:rFonts w:hint="eastAsia" w:ascii="Times New Roman" w:hAnsi="Times New Roman" w:eastAsia="宋体" w:cs="Times New Roman"/>
          <w:b/>
          <w:bCs/>
          <w:color w:val="auto"/>
          <w:sz w:val="24"/>
          <w:szCs w:val="24"/>
          <w:highlight w:val="none"/>
          <w:lang w:eastAsia="zh-CN"/>
        </w:rPr>
        <w:t>）</w:t>
      </w:r>
      <w:r>
        <w:rPr>
          <w:rFonts w:hint="eastAsia" w:ascii="Times New Roman" w:hAnsi="Times New Roman" w:eastAsia="宋体" w:cs="Times New Roman"/>
          <w:b/>
          <w:bCs/>
          <w:color w:val="auto"/>
          <w:sz w:val="24"/>
          <w:szCs w:val="24"/>
          <w:highlight w:val="none"/>
          <w:lang w:val="en-US" w:eastAsia="zh-CN"/>
        </w:rPr>
        <w:t>应急预案及质量保证</w:t>
      </w:r>
      <w:r>
        <w:rPr>
          <w:rFonts w:hint="eastAsia" w:ascii="Times New Roman" w:hAnsi="Times New Roman" w:eastAsia="宋体" w:cs="Times New Roman"/>
          <w:b/>
          <w:bCs/>
          <w:color w:val="auto"/>
          <w:sz w:val="24"/>
          <w:szCs w:val="24"/>
          <w:highlight w:val="none"/>
        </w:rPr>
        <w:t>（满分</w:t>
      </w:r>
      <w:r>
        <w:rPr>
          <w:rFonts w:hint="eastAsia" w:cs="Times New Roman"/>
          <w:b/>
          <w:bCs/>
          <w:color w:val="auto"/>
          <w:sz w:val="24"/>
          <w:szCs w:val="24"/>
          <w:highlight w:val="none"/>
          <w:lang w:val="en-US" w:eastAsia="zh-CN"/>
        </w:rPr>
        <w:t>18</w:t>
      </w:r>
      <w:r>
        <w:rPr>
          <w:rFonts w:hint="eastAsia" w:ascii="Times New Roman" w:hAnsi="Times New Roman" w:eastAsia="宋体" w:cs="Times New Roman"/>
          <w:b/>
          <w:bCs/>
          <w:color w:val="auto"/>
          <w:sz w:val="24"/>
          <w:szCs w:val="24"/>
          <w:highlight w:val="none"/>
        </w:rPr>
        <w:t>分）</w:t>
      </w:r>
    </w:p>
    <w:p w14:paraId="5E3CEB49">
      <w:pPr>
        <w:keepNext w:val="0"/>
        <w:keepLines w:val="0"/>
        <w:pageBreakBefore w:val="0"/>
        <w:kinsoku/>
        <w:overflowPunct/>
        <w:topLinePunct w:val="0"/>
        <w:bidi w:val="0"/>
        <w:snapToGrid/>
        <w:spacing w:line="360" w:lineRule="auto"/>
        <w:ind w:firstLine="480" w:firstLineChars="200"/>
        <w:textAlignment w:val="auto"/>
        <w:rPr>
          <w:rFonts w:hint="eastAsia" w:eastAsia="宋体"/>
          <w:color w:val="auto"/>
          <w:sz w:val="24"/>
          <w:szCs w:val="24"/>
          <w:highlight w:val="none"/>
        </w:rPr>
      </w:pPr>
      <w:r>
        <w:rPr>
          <w:rFonts w:hint="eastAsia"/>
          <w:b w:val="0"/>
          <w:bCs w:val="0"/>
          <w:color w:val="auto"/>
          <w:sz w:val="24"/>
          <w:szCs w:val="24"/>
          <w:highlight w:val="none"/>
          <w:lang w:val="en-US" w:eastAsia="zh-CN"/>
        </w:rPr>
        <w:t>一</w:t>
      </w:r>
      <w:r>
        <w:rPr>
          <w:rFonts w:hint="eastAsia" w:eastAsia="宋体"/>
          <w:b w:val="0"/>
          <w:bCs w:val="0"/>
          <w:color w:val="auto"/>
          <w:sz w:val="24"/>
          <w:szCs w:val="24"/>
          <w:highlight w:val="none"/>
        </w:rPr>
        <w:t>档（</w:t>
      </w:r>
      <w:r>
        <w:rPr>
          <w:rFonts w:hint="eastAsia"/>
          <w:b w:val="0"/>
          <w:bCs w:val="0"/>
          <w:color w:val="auto"/>
          <w:sz w:val="24"/>
          <w:szCs w:val="24"/>
          <w:highlight w:val="none"/>
          <w:lang w:val="en-US" w:eastAsia="zh-CN"/>
        </w:rPr>
        <w:t>6</w:t>
      </w:r>
      <w:r>
        <w:rPr>
          <w:rFonts w:hint="eastAsia" w:eastAsia="宋体"/>
          <w:b w:val="0"/>
          <w:bCs w:val="0"/>
          <w:color w:val="auto"/>
          <w:sz w:val="24"/>
          <w:szCs w:val="24"/>
          <w:highlight w:val="none"/>
        </w:rPr>
        <w:t xml:space="preserve"> 分）：</w:t>
      </w:r>
      <w:r>
        <w:rPr>
          <w:rFonts w:hint="eastAsia" w:eastAsia="宋体"/>
          <w:color w:val="auto"/>
          <w:sz w:val="24"/>
          <w:szCs w:val="24"/>
          <w:highlight w:val="none"/>
        </w:rPr>
        <w:t>项目实施应急预案内容简单，服务意识一般，管理水平较差，可操作性不强；</w:t>
      </w:r>
    </w:p>
    <w:p w14:paraId="1669D261">
      <w:pPr>
        <w:keepNext w:val="0"/>
        <w:keepLines w:val="0"/>
        <w:pageBreakBefore w:val="0"/>
        <w:kinsoku/>
        <w:overflowPunct/>
        <w:topLinePunct w:val="0"/>
        <w:bidi w:val="0"/>
        <w:snapToGrid/>
        <w:spacing w:line="360" w:lineRule="auto"/>
        <w:ind w:firstLine="480" w:firstLineChars="200"/>
        <w:textAlignment w:val="auto"/>
        <w:rPr>
          <w:rFonts w:hint="eastAsia" w:eastAsia="宋体"/>
          <w:color w:val="auto"/>
          <w:sz w:val="24"/>
          <w:szCs w:val="24"/>
          <w:highlight w:val="none"/>
        </w:rPr>
      </w:pPr>
      <w:r>
        <w:rPr>
          <w:rFonts w:hint="eastAsia"/>
          <w:b w:val="0"/>
          <w:bCs w:val="0"/>
          <w:color w:val="auto"/>
          <w:sz w:val="24"/>
          <w:szCs w:val="24"/>
          <w:highlight w:val="none"/>
          <w:lang w:val="en-US" w:eastAsia="zh-CN"/>
        </w:rPr>
        <w:t>二</w:t>
      </w:r>
      <w:r>
        <w:rPr>
          <w:rFonts w:hint="eastAsia" w:eastAsia="宋体"/>
          <w:b w:val="0"/>
          <w:bCs w:val="0"/>
          <w:color w:val="auto"/>
          <w:sz w:val="24"/>
          <w:szCs w:val="24"/>
          <w:highlight w:val="none"/>
        </w:rPr>
        <w:t>档（</w:t>
      </w:r>
      <w:r>
        <w:rPr>
          <w:rFonts w:hint="eastAsia"/>
          <w:b w:val="0"/>
          <w:bCs w:val="0"/>
          <w:color w:val="auto"/>
          <w:sz w:val="24"/>
          <w:szCs w:val="24"/>
          <w:highlight w:val="none"/>
          <w:lang w:val="en-US" w:eastAsia="zh-CN"/>
        </w:rPr>
        <w:t>12</w:t>
      </w:r>
      <w:r>
        <w:rPr>
          <w:rFonts w:hint="eastAsia" w:eastAsia="宋体"/>
          <w:b w:val="0"/>
          <w:bCs w:val="0"/>
          <w:color w:val="auto"/>
          <w:sz w:val="24"/>
          <w:szCs w:val="24"/>
          <w:highlight w:val="none"/>
        </w:rPr>
        <w:t xml:space="preserve"> 分）</w:t>
      </w:r>
      <w:r>
        <w:rPr>
          <w:rFonts w:hint="eastAsia" w:eastAsia="宋体"/>
          <w:color w:val="auto"/>
          <w:sz w:val="24"/>
          <w:szCs w:val="24"/>
          <w:highlight w:val="none"/>
        </w:rPr>
        <w:t>：项目实施应急预案对突发事件能及时作出响应，服务意识较强，质量及进度控制保证措施实施步骤和要求描述基本可行，应急预案较合理，方案基本可行；</w:t>
      </w:r>
    </w:p>
    <w:p w14:paraId="4D3800F7">
      <w:pPr>
        <w:keepNext w:val="0"/>
        <w:keepLines w:val="0"/>
        <w:pageBreakBefore w:val="0"/>
        <w:kinsoku/>
        <w:overflowPunct/>
        <w:topLinePunct w:val="0"/>
        <w:bidi w:val="0"/>
        <w:snapToGrid/>
        <w:spacing w:line="360" w:lineRule="auto"/>
        <w:ind w:firstLine="480" w:firstLineChars="200"/>
        <w:textAlignment w:val="auto"/>
        <w:rPr>
          <w:rFonts w:hint="eastAsia" w:eastAsia="宋体"/>
          <w:color w:val="auto"/>
          <w:sz w:val="24"/>
          <w:szCs w:val="24"/>
          <w:highlight w:val="none"/>
        </w:rPr>
      </w:pPr>
      <w:r>
        <w:rPr>
          <w:rFonts w:hint="eastAsia"/>
          <w:b w:val="0"/>
          <w:bCs w:val="0"/>
          <w:color w:val="auto"/>
          <w:sz w:val="24"/>
          <w:szCs w:val="24"/>
          <w:highlight w:val="none"/>
          <w:lang w:val="en-US" w:eastAsia="zh-CN"/>
        </w:rPr>
        <w:t>三</w:t>
      </w:r>
      <w:r>
        <w:rPr>
          <w:rFonts w:hint="eastAsia" w:eastAsia="宋体"/>
          <w:b w:val="0"/>
          <w:bCs w:val="0"/>
          <w:color w:val="auto"/>
          <w:sz w:val="24"/>
          <w:szCs w:val="24"/>
          <w:highlight w:val="none"/>
        </w:rPr>
        <w:t>档（</w:t>
      </w:r>
      <w:r>
        <w:rPr>
          <w:rFonts w:hint="eastAsia"/>
          <w:b w:val="0"/>
          <w:bCs w:val="0"/>
          <w:color w:val="auto"/>
          <w:sz w:val="24"/>
          <w:szCs w:val="24"/>
          <w:highlight w:val="none"/>
          <w:lang w:val="en-US" w:eastAsia="zh-CN"/>
        </w:rPr>
        <w:t>18</w:t>
      </w:r>
      <w:r>
        <w:rPr>
          <w:rFonts w:hint="eastAsia" w:eastAsia="宋体"/>
          <w:b w:val="0"/>
          <w:bCs w:val="0"/>
          <w:color w:val="auto"/>
          <w:sz w:val="24"/>
          <w:szCs w:val="24"/>
          <w:highlight w:val="none"/>
        </w:rPr>
        <w:t xml:space="preserve"> 分）</w:t>
      </w:r>
      <w:r>
        <w:rPr>
          <w:rFonts w:hint="eastAsia"/>
          <w:b w:val="0"/>
          <w:bCs w:val="0"/>
          <w:color w:val="auto"/>
          <w:sz w:val="24"/>
          <w:szCs w:val="24"/>
          <w:highlight w:val="none"/>
          <w:lang w:eastAsia="zh-CN"/>
        </w:rPr>
        <w:t>：</w:t>
      </w:r>
      <w:r>
        <w:rPr>
          <w:rFonts w:hint="eastAsia" w:eastAsia="宋体"/>
          <w:color w:val="auto"/>
          <w:sz w:val="24"/>
          <w:szCs w:val="24"/>
          <w:highlight w:val="none"/>
        </w:rPr>
        <w:t>项目实施应急预案有针对性，应急预案具体实施步骤和分析描述全面到位，方案科学、详实，对突发事件即时响应；有具体的实施日程表，实施步骤和要求描述全面，职责分工明确，进度安排合理，服务意识强，管理水平高，质量及进度控制保证措施实施步骤和要求描述全面、合理，可行性高。</w:t>
      </w:r>
    </w:p>
    <w:p w14:paraId="2575566C">
      <w:pPr>
        <w:pStyle w:val="12"/>
        <w:rPr>
          <w:rFonts w:hint="eastAsia"/>
          <w:color w:val="auto"/>
          <w:highlight w:val="none"/>
        </w:rPr>
      </w:pPr>
    </w:p>
    <w:p w14:paraId="2D6B6E0B">
      <w:pPr>
        <w:pStyle w:val="12"/>
        <w:numPr>
          <w:ilvl w:val="0"/>
          <w:numId w:val="5"/>
        </w:numPr>
        <w:rPr>
          <w:rFonts w:hint="eastAsia"/>
          <w:b/>
          <w:bCs/>
          <w:color w:val="auto"/>
          <w:sz w:val="24"/>
          <w:szCs w:val="24"/>
          <w:highlight w:val="none"/>
          <w:lang w:val="en-US" w:eastAsia="zh-CN"/>
        </w:rPr>
      </w:pPr>
      <w:r>
        <w:rPr>
          <w:rFonts w:hint="eastAsia"/>
          <w:b/>
          <w:bCs/>
          <w:color w:val="auto"/>
          <w:sz w:val="24"/>
          <w:szCs w:val="24"/>
          <w:highlight w:val="none"/>
          <w:lang w:eastAsia="zh-CN"/>
        </w:rPr>
        <w:t>人员培训、管理分（满分</w:t>
      </w:r>
      <w:r>
        <w:rPr>
          <w:rFonts w:hint="eastAsia"/>
          <w:b/>
          <w:bCs/>
          <w:color w:val="auto"/>
          <w:sz w:val="24"/>
          <w:szCs w:val="24"/>
          <w:highlight w:val="none"/>
          <w:lang w:val="en-US" w:eastAsia="zh-CN"/>
        </w:rPr>
        <w:t>18分）</w:t>
      </w:r>
    </w:p>
    <w:p w14:paraId="7EC17B00">
      <w:pPr>
        <w:keepNext w:val="0"/>
        <w:keepLines w:val="0"/>
        <w:pageBreakBefore w:val="0"/>
        <w:kinsoku/>
        <w:overflowPunct/>
        <w:topLinePunct w:val="0"/>
        <w:bidi w:val="0"/>
        <w:snapToGrid/>
        <w:spacing w:line="360" w:lineRule="auto"/>
        <w:ind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一档（6分）：磋商人的培训方案优劣情况（包括对服务人员的培训计划、方式、目标及言行规范、仪表仪容、公众形象、人员录用及考核，淘汰机制，协调关系，服务意识，量化管理及标准化运作、日常管理制度等内容）方案比较简单，基本合理；</w:t>
      </w:r>
    </w:p>
    <w:p w14:paraId="4237E762">
      <w:pPr>
        <w:keepNext w:val="0"/>
        <w:keepLines w:val="0"/>
        <w:pageBreakBefore w:val="0"/>
        <w:kinsoku/>
        <w:overflowPunct/>
        <w:topLinePunct w:val="0"/>
        <w:bidi w:val="0"/>
        <w:snapToGrid/>
        <w:spacing w:line="360" w:lineRule="auto"/>
        <w:ind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二档（12分）：磋商人的培训方案优劣情况（包括对服务人员的培训计划、方式、目标及言行规范、仪表仪容、公众形象、人员录用及考核，淘汰机制，协调关系，服务意识，量化管理及标准化运作、日常管理制度等内容）方案比较详细，比较合理、完整，有针对性；</w:t>
      </w:r>
    </w:p>
    <w:p w14:paraId="2378ED8E">
      <w:pPr>
        <w:keepNext w:val="0"/>
        <w:keepLines w:val="0"/>
        <w:pageBreakBefore w:val="0"/>
        <w:kinsoku/>
        <w:overflowPunct/>
        <w:topLinePunct w:val="0"/>
        <w:bidi w:val="0"/>
        <w:snapToGrid/>
        <w:spacing w:line="360" w:lineRule="auto"/>
        <w:ind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三档（18分）：磋商人的培训方案优劣情况（包括对服务人员的培训计划、方式、目标及言行规范、仪表仪容、公众形象、人员录用及考核，淘汰机制，协调关系，服务意识，量化管理及标准化运作、日常管理制度等内容）方案详细、合理、完整、可行、比较有针对性。</w:t>
      </w:r>
    </w:p>
    <w:p w14:paraId="64FACDE8">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b/>
          <w:color w:val="auto"/>
          <w:sz w:val="24"/>
          <w:szCs w:val="24"/>
          <w:highlight w:val="none"/>
          <w:lang w:val="en-US" w:eastAsia="zh-CN"/>
        </w:rPr>
      </w:pPr>
    </w:p>
    <w:p w14:paraId="1B7FCD10">
      <w:pPr>
        <w:keepNext w:val="0"/>
        <w:keepLines w:val="0"/>
        <w:pageBreakBefore w:val="0"/>
        <w:kinsoku/>
        <w:overflowPunct/>
        <w:topLinePunct w:val="0"/>
        <w:autoSpaceDE/>
        <w:autoSpaceDN/>
        <w:bidi w:val="0"/>
        <w:adjustRightInd/>
        <w:spacing w:line="360" w:lineRule="auto"/>
        <w:ind w:firstLine="482" w:firstLineChars="200"/>
        <w:textAlignment w:val="auto"/>
        <w:rPr>
          <w:rFonts w:hint="eastAsia"/>
          <w:b/>
          <w:color w:val="auto"/>
          <w:sz w:val="24"/>
          <w:szCs w:val="24"/>
          <w:highlight w:val="none"/>
          <w:lang w:val="en-US" w:eastAsia="zh-CN"/>
        </w:rPr>
      </w:pPr>
      <w:r>
        <w:rPr>
          <w:rFonts w:hint="eastAsia"/>
          <w:b/>
          <w:color w:val="auto"/>
          <w:sz w:val="24"/>
          <w:szCs w:val="24"/>
          <w:highlight w:val="none"/>
          <w:lang w:val="en-US" w:eastAsia="zh-CN"/>
        </w:rPr>
        <w:t>3、服务承诺分</w:t>
      </w:r>
      <w:r>
        <w:rPr>
          <w:rFonts w:hint="eastAsia"/>
          <w:b/>
          <w:color w:val="auto"/>
          <w:sz w:val="24"/>
          <w:szCs w:val="24"/>
          <w:highlight w:val="none"/>
        </w:rPr>
        <w:t>…………………………………………………………满分</w:t>
      </w:r>
      <w:r>
        <w:rPr>
          <w:rFonts w:hint="eastAsia"/>
          <w:b/>
          <w:color w:val="auto"/>
          <w:sz w:val="24"/>
          <w:szCs w:val="24"/>
          <w:highlight w:val="none"/>
          <w:lang w:val="en-US" w:eastAsia="zh-CN"/>
        </w:rPr>
        <w:t>20</w:t>
      </w:r>
      <w:r>
        <w:rPr>
          <w:rFonts w:hint="eastAsia"/>
          <w:b/>
          <w:color w:val="auto"/>
          <w:sz w:val="24"/>
          <w:szCs w:val="24"/>
          <w:highlight w:val="none"/>
        </w:rPr>
        <w:t>分</w:t>
      </w:r>
    </w:p>
    <w:p w14:paraId="773AAA55">
      <w:pPr>
        <w:keepNext w:val="0"/>
        <w:keepLines w:val="0"/>
        <w:pageBreakBefore w:val="0"/>
        <w:kinsoku/>
        <w:overflowPunct/>
        <w:topLinePunct w:val="0"/>
        <w:bidi w:val="0"/>
        <w:snapToGrid/>
        <w:spacing w:line="360" w:lineRule="auto"/>
        <w:ind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一档（6分）：服务承诺详细，具有可操作性，对问题解决时间、服务热线、人员配置等作出承诺；</w:t>
      </w:r>
    </w:p>
    <w:p w14:paraId="7DBB4C11">
      <w:pPr>
        <w:keepNext w:val="0"/>
        <w:keepLines w:val="0"/>
        <w:pageBreakBefore w:val="0"/>
        <w:kinsoku/>
        <w:overflowPunct/>
        <w:topLinePunct w:val="0"/>
        <w:bidi w:val="0"/>
        <w:snapToGrid/>
        <w:spacing w:line="360" w:lineRule="auto"/>
        <w:ind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二档（12分）：服务承诺思路较清晰，可操作性较强，对问题解决的时间和方法、服务热线、人员配置、应急措施等作出承诺，较好满足招标人要求。</w:t>
      </w:r>
    </w:p>
    <w:p w14:paraId="3D153640">
      <w:pPr>
        <w:keepNext w:val="0"/>
        <w:keepLines w:val="0"/>
        <w:pageBreakBefore w:val="0"/>
        <w:kinsoku/>
        <w:overflowPunct/>
        <w:topLinePunct w:val="0"/>
        <w:bidi w:val="0"/>
        <w:snapToGrid/>
        <w:spacing w:line="360" w:lineRule="auto"/>
        <w:ind w:firstLine="480" w:firstLineChars="20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三档（20分）：服务承诺思路清晰，表述详细，可操作性强，对问题解决的时间和方法、服务热线、人员配置、应急措施等作出详细承诺，能充分考虑招标人服务需求并很好的满足。</w:t>
      </w:r>
    </w:p>
    <w:p w14:paraId="11A84F1C">
      <w:pPr>
        <w:keepNext w:val="0"/>
        <w:keepLines w:val="0"/>
        <w:pageBreakBefore w:val="0"/>
        <w:widowControl/>
        <w:suppressLineNumbers w:val="0"/>
        <w:kinsoku/>
        <w:overflowPunct/>
        <w:topLinePunct w:val="0"/>
        <w:autoSpaceDE/>
        <w:autoSpaceDN/>
        <w:bidi w:val="0"/>
        <w:adjustRightInd/>
        <w:spacing w:line="360" w:lineRule="auto"/>
        <w:jc w:val="left"/>
        <w:textAlignment w:val="auto"/>
        <w:rPr>
          <w:rFonts w:hint="eastAsia"/>
          <w:b/>
          <w:color w:val="auto"/>
          <w:sz w:val="24"/>
          <w:szCs w:val="24"/>
          <w:highlight w:val="none"/>
        </w:rPr>
      </w:pPr>
    </w:p>
    <w:p w14:paraId="764B056D">
      <w:pPr>
        <w:spacing w:line="360" w:lineRule="auto"/>
        <w:ind w:firstLine="562" w:firstLineChars="200"/>
        <w:rPr>
          <w:rFonts w:hint="default" w:ascii="宋体" w:hAnsi="宋体" w:eastAsia="宋体" w:cs="宋体"/>
          <w:b/>
          <w:color w:val="auto"/>
          <w:sz w:val="24"/>
          <w:highlight w:val="none"/>
          <w:lang w:val="en-US" w:eastAsia="zh-CN"/>
        </w:rPr>
      </w:pPr>
      <w:r>
        <w:rPr>
          <w:rFonts w:hint="eastAsia"/>
          <w:b/>
          <w:bCs/>
          <w:color w:val="auto"/>
          <w:sz w:val="28"/>
          <w:szCs w:val="28"/>
          <w:highlight w:val="none"/>
        </w:rPr>
        <w:t>总得分＝1+2+3</w:t>
      </w:r>
    </w:p>
    <w:p w14:paraId="3EE06B75">
      <w:pPr>
        <w:rPr>
          <w:color w:val="auto"/>
          <w:highlight w:val="none"/>
        </w:rPr>
      </w:pPr>
    </w:p>
    <w:p w14:paraId="02CA785E">
      <w:pPr>
        <w:pStyle w:val="16"/>
        <w:textAlignment w:val="baseline"/>
        <w:rPr>
          <w:rFonts w:ascii="Arial" w:hAnsi="Arial" w:cs="Arial"/>
          <w:b/>
          <w:bCs/>
          <w:color w:val="auto"/>
          <w:sz w:val="24"/>
          <w:szCs w:val="24"/>
          <w:highlight w:val="none"/>
        </w:rPr>
      </w:pPr>
    </w:p>
    <w:p w14:paraId="20BF18CE">
      <w:pPr>
        <w:pStyle w:val="16"/>
        <w:textAlignment w:val="baseline"/>
        <w:rPr>
          <w:rFonts w:ascii="Arial" w:hAnsi="Arial" w:cs="Arial"/>
          <w:b/>
          <w:bCs/>
          <w:color w:val="auto"/>
          <w:sz w:val="24"/>
          <w:szCs w:val="24"/>
          <w:highlight w:val="none"/>
        </w:rPr>
      </w:pPr>
      <w:r>
        <w:rPr>
          <w:rFonts w:hint="eastAsia" w:ascii="Arial" w:hAnsi="Arial" w:cs="Arial"/>
          <w:b/>
          <w:bCs/>
          <w:color w:val="auto"/>
          <w:sz w:val="24"/>
          <w:szCs w:val="24"/>
          <w:highlight w:val="none"/>
        </w:rPr>
        <w:t xml:space="preserve">三 </w:t>
      </w:r>
      <w:r>
        <w:rPr>
          <w:rFonts w:ascii="Arial" w:hAnsi="Arial" w:cs="Arial"/>
          <w:b/>
          <w:bCs/>
          <w:color w:val="auto"/>
          <w:sz w:val="24"/>
          <w:szCs w:val="24"/>
          <w:highlight w:val="none"/>
        </w:rPr>
        <w:t>、成交候选</w:t>
      </w:r>
      <w:r>
        <w:rPr>
          <w:rFonts w:hint="eastAsia" w:ascii="Arial" w:hAnsi="Arial" w:cs="Arial"/>
          <w:b/>
          <w:bCs/>
          <w:color w:val="auto"/>
          <w:sz w:val="24"/>
          <w:szCs w:val="24"/>
          <w:highlight w:val="none"/>
        </w:rPr>
        <w:t>人</w:t>
      </w:r>
      <w:r>
        <w:rPr>
          <w:rFonts w:ascii="Arial" w:hAnsi="Arial" w:cs="Arial"/>
          <w:b/>
          <w:bCs/>
          <w:color w:val="auto"/>
          <w:sz w:val="24"/>
          <w:szCs w:val="24"/>
          <w:highlight w:val="none"/>
        </w:rPr>
        <w:t>推荐原则</w:t>
      </w:r>
    </w:p>
    <w:p w14:paraId="6A93A3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竞争性磋商响应文件在技术和服务均能满足竞争性磋商文件实质性响应要求时磋商小组将根据得分由高到低排列次序并推荐</w:t>
      </w:r>
      <w:r>
        <w:rPr>
          <w:rFonts w:hint="eastAsia" w:ascii="宋体" w:hAnsi="宋体" w:cs="宋体"/>
          <w:color w:val="auto"/>
          <w:sz w:val="24"/>
          <w:highlight w:val="none"/>
          <w:lang w:val="en-US" w:eastAsia="zh-CN"/>
        </w:rPr>
        <w:t>三名</w:t>
      </w:r>
      <w:r>
        <w:rPr>
          <w:rFonts w:hint="eastAsia" w:ascii="宋体" w:hAnsi="宋体" w:cs="宋体"/>
          <w:color w:val="auto"/>
          <w:sz w:val="24"/>
          <w:highlight w:val="none"/>
        </w:rPr>
        <w:t xml:space="preserve">成交候选供应商。（得分相同时，以最后报价由低到高顺序排列；评审得分且最后报价相同的，按照技术指标优劣顺序推荐，由采购单位确定成交候选供应商）。排名第一的成交候选供应商放弃成交、因不可抗力提出不能履行协议的，或者竞争性磋商文件规定应当提交履约保证金而在规定的期限内未能提交的，采购单位可以确定排名第二的成交候选供应商为成交供应商，也可以重新组织开展采购活动。  </w:t>
      </w:r>
    </w:p>
    <w:p w14:paraId="7C6AF43F">
      <w:pPr>
        <w:rPr>
          <w:color w:val="auto"/>
          <w:highlight w:val="none"/>
        </w:rPr>
      </w:pPr>
      <w:r>
        <w:rPr>
          <w:color w:val="auto"/>
          <w:highlight w:val="none"/>
        </w:rPr>
        <w:br w:type="page"/>
      </w:r>
    </w:p>
    <w:p w14:paraId="32131279">
      <w:pPr>
        <w:rPr>
          <w:color w:val="auto"/>
          <w:highlight w:val="none"/>
        </w:rPr>
      </w:pPr>
    </w:p>
    <w:p w14:paraId="4DE4F0BA">
      <w:pPr>
        <w:spacing w:line="428" w:lineRule="exact"/>
        <w:ind w:left="119"/>
        <w:rPr>
          <w:bCs/>
          <w:color w:val="auto"/>
          <w:highlight w:val="none"/>
        </w:rPr>
      </w:pPr>
      <w:r>
        <w:rPr>
          <w:bCs/>
          <w:color w:val="auto"/>
          <w:highlight w:val="none"/>
        </w:rPr>
        <w:t>附件1：</w:t>
      </w:r>
    </w:p>
    <w:p w14:paraId="1DBA1963">
      <w:pPr>
        <w:spacing w:line="528" w:lineRule="exact"/>
        <w:ind w:left="1871"/>
        <w:rPr>
          <w:bCs/>
          <w:color w:val="auto"/>
          <w:highlight w:val="none"/>
        </w:rPr>
      </w:pPr>
      <w:r>
        <w:rPr>
          <w:bCs/>
          <w:color w:val="auto"/>
          <w:highlight w:val="none"/>
        </w:rPr>
        <w:t>中小微企业划型标准</w:t>
      </w:r>
    </w:p>
    <w:tbl>
      <w:tblPr>
        <w:tblStyle w:val="27"/>
        <w:tblW w:w="0" w:type="auto"/>
        <w:tblInd w:w="250" w:type="dxa"/>
        <w:tblLayout w:type="fixed"/>
        <w:tblCellMar>
          <w:top w:w="0" w:type="dxa"/>
          <w:left w:w="108" w:type="dxa"/>
          <w:bottom w:w="0" w:type="dxa"/>
          <w:right w:w="108" w:type="dxa"/>
        </w:tblCellMar>
      </w:tblPr>
      <w:tblGrid>
        <w:gridCol w:w="1949"/>
        <w:gridCol w:w="1586"/>
        <w:gridCol w:w="1285"/>
        <w:gridCol w:w="1842"/>
        <w:gridCol w:w="1701"/>
        <w:gridCol w:w="1276"/>
      </w:tblGrid>
      <w:tr w14:paraId="1B6CE16E">
        <w:tblPrEx>
          <w:tblCellMar>
            <w:top w:w="0" w:type="dxa"/>
            <w:left w:w="108" w:type="dxa"/>
            <w:bottom w:w="0" w:type="dxa"/>
            <w:right w:w="108" w:type="dxa"/>
          </w:tblCellMar>
        </w:tblPrEx>
        <w:trPr>
          <w:trHeight w:val="487" w:hRule="atLeast"/>
        </w:trPr>
        <w:tc>
          <w:tcPr>
            <w:tcW w:w="1949" w:type="dxa"/>
            <w:tcBorders>
              <w:top w:val="single" w:color="auto" w:sz="4" w:space="0"/>
              <w:left w:val="single" w:color="auto" w:sz="4" w:space="0"/>
              <w:bottom w:val="single" w:color="auto" w:sz="4" w:space="0"/>
              <w:right w:val="single" w:color="auto" w:sz="4" w:space="0"/>
            </w:tcBorders>
            <w:vAlign w:val="center"/>
          </w:tcPr>
          <w:p w14:paraId="5D65E93E">
            <w:pPr>
              <w:widowControl/>
              <w:jc w:val="center"/>
              <w:rPr>
                <w:bCs/>
                <w:color w:val="auto"/>
                <w:kern w:val="0"/>
                <w:sz w:val="22"/>
                <w:szCs w:val="22"/>
                <w:highlight w:val="none"/>
              </w:rPr>
            </w:pPr>
            <w:r>
              <w:rPr>
                <w:bCs/>
                <w:color w:val="auto"/>
                <w:kern w:val="0"/>
                <w:sz w:val="22"/>
                <w:szCs w:val="22"/>
                <w:highlight w:val="none"/>
              </w:rPr>
              <w:t>行业名称</w:t>
            </w:r>
          </w:p>
        </w:tc>
        <w:tc>
          <w:tcPr>
            <w:tcW w:w="1586" w:type="dxa"/>
            <w:tcBorders>
              <w:top w:val="single" w:color="auto" w:sz="4" w:space="0"/>
              <w:left w:val="nil"/>
              <w:bottom w:val="single" w:color="auto" w:sz="4" w:space="0"/>
              <w:right w:val="single" w:color="auto" w:sz="4" w:space="0"/>
            </w:tcBorders>
            <w:vAlign w:val="center"/>
          </w:tcPr>
          <w:p w14:paraId="5F8F39AE">
            <w:pPr>
              <w:widowControl/>
              <w:jc w:val="center"/>
              <w:rPr>
                <w:bCs/>
                <w:color w:val="auto"/>
                <w:kern w:val="0"/>
                <w:sz w:val="22"/>
                <w:szCs w:val="22"/>
                <w:highlight w:val="none"/>
              </w:rPr>
            </w:pPr>
            <w:r>
              <w:rPr>
                <w:bCs/>
                <w:color w:val="auto"/>
                <w:kern w:val="0"/>
                <w:sz w:val="22"/>
                <w:szCs w:val="22"/>
                <w:highlight w:val="none"/>
              </w:rPr>
              <w:t>指标名称</w:t>
            </w:r>
          </w:p>
        </w:tc>
        <w:tc>
          <w:tcPr>
            <w:tcW w:w="1285" w:type="dxa"/>
            <w:tcBorders>
              <w:top w:val="single" w:color="auto" w:sz="4" w:space="0"/>
              <w:left w:val="nil"/>
              <w:bottom w:val="single" w:color="auto" w:sz="4" w:space="0"/>
              <w:right w:val="single" w:color="auto" w:sz="4" w:space="0"/>
            </w:tcBorders>
            <w:vAlign w:val="center"/>
          </w:tcPr>
          <w:p w14:paraId="0807DB88">
            <w:pPr>
              <w:widowControl/>
              <w:jc w:val="center"/>
              <w:rPr>
                <w:bCs/>
                <w:color w:val="auto"/>
                <w:kern w:val="0"/>
                <w:sz w:val="22"/>
                <w:szCs w:val="22"/>
                <w:highlight w:val="none"/>
              </w:rPr>
            </w:pPr>
            <w:r>
              <w:rPr>
                <w:bCs/>
                <w:color w:val="auto"/>
                <w:kern w:val="0"/>
                <w:sz w:val="22"/>
                <w:szCs w:val="22"/>
                <w:highlight w:val="none"/>
              </w:rPr>
              <w:t>计量单位</w:t>
            </w:r>
          </w:p>
        </w:tc>
        <w:tc>
          <w:tcPr>
            <w:tcW w:w="1842" w:type="dxa"/>
            <w:tcBorders>
              <w:top w:val="single" w:color="auto" w:sz="4" w:space="0"/>
              <w:left w:val="nil"/>
              <w:bottom w:val="single" w:color="auto" w:sz="4" w:space="0"/>
              <w:right w:val="single" w:color="auto" w:sz="4" w:space="0"/>
            </w:tcBorders>
            <w:vAlign w:val="center"/>
          </w:tcPr>
          <w:p w14:paraId="5A9CC6BA">
            <w:pPr>
              <w:widowControl/>
              <w:jc w:val="center"/>
              <w:rPr>
                <w:bCs/>
                <w:color w:val="auto"/>
                <w:kern w:val="0"/>
                <w:sz w:val="22"/>
                <w:szCs w:val="22"/>
                <w:highlight w:val="none"/>
              </w:rPr>
            </w:pPr>
            <w:r>
              <w:rPr>
                <w:bCs/>
                <w:color w:val="auto"/>
                <w:kern w:val="0"/>
                <w:sz w:val="22"/>
                <w:szCs w:val="22"/>
                <w:highlight w:val="none"/>
              </w:rPr>
              <w:t>中型</w:t>
            </w:r>
          </w:p>
        </w:tc>
        <w:tc>
          <w:tcPr>
            <w:tcW w:w="1701" w:type="dxa"/>
            <w:tcBorders>
              <w:top w:val="single" w:color="auto" w:sz="4" w:space="0"/>
              <w:left w:val="nil"/>
              <w:bottom w:val="single" w:color="auto" w:sz="4" w:space="0"/>
              <w:right w:val="single" w:color="auto" w:sz="4" w:space="0"/>
            </w:tcBorders>
            <w:vAlign w:val="center"/>
          </w:tcPr>
          <w:p w14:paraId="39EB9213">
            <w:pPr>
              <w:widowControl/>
              <w:jc w:val="center"/>
              <w:rPr>
                <w:bCs/>
                <w:color w:val="auto"/>
                <w:kern w:val="0"/>
                <w:sz w:val="22"/>
                <w:szCs w:val="22"/>
                <w:highlight w:val="none"/>
              </w:rPr>
            </w:pPr>
            <w:r>
              <w:rPr>
                <w:bCs/>
                <w:color w:val="auto"/>
                <w:kern w:val="0"/>
                <w:sz w:val="22"/>
                <w:szCs w:val="22"/>
                <w:highlight w:val="none"/>
              </w:rPr>
              <w:t>小型</w:t>
            </w:r>
          </w:p>
        </w:tc>
        <w:tc>
          <w:tcPr>
            <w:tcW w:w="1276" w:type="dxa"/>
            <w:tcBorders>
              <w:top w:val="single" w:color="auto" w:sz="4" w:space="0"/>
              <w:left w:val="nil"/>
              <w:bottom w:val="single" w:color="auto" w:sz="4" w:space="0"/>
              <w:right w:val="single" w:color="auto" w:sz="4" w:space="0"/>
            </w:tcBorders>
            <w:vAlign w:val="center"/>
          </w:tcPr>
          <w:p w14:paraId="2A5DCFE0">
            <w:pPr>
              <w:widowControl/>
              <w:jc w:val="center"/>
              <w:rPr>
                <w:bCs/>
                <w:color w:val="auto"/>
                <w:kern w:val="0"/>
                <w:sz w:val="22"/>
                <w:szCs w:val="22"/>
                <w:highlight w:val="none"/>
              </w:rPr>
            </w:pPr>
            <w:r>
              <w:rPr>
                <w:bCs/>
                <w:color w:val="auto"/>
                <w:kern w:val="0"/>
                <w:sz w:val="22"/>
                <w:szCs w:val="22"/>
                <w:highlight w:val="none"/>
              </w:rPr>
              <w:t>微型</w:t>
            </w:r>
          </w:p>
        </w:tc>
      </w:tr>
      <w:tr w14:paraId="26E42A03">
        <w:tblPrEx>
          <w:tblCellMar>
            <w:top w:w="0" w:type="dxa"/>
            <w:left w:w="108" w:type="dxa"/>
            <w:bottom w:w="0" w:type="dxa"/>
            <w:right w:w="108" w:type="dxa"/>
          </w:tblCellMar>
        </w:tblPrEx>
        <w:trPr>
          <w:trHeight w:val="226" w:hRule="atLeast"/>
        </w:trPr>
        <w:tc>
          <w:tcPr>
            <w:tcW w:w="1949" w:type="dxa"/>
            <w:tcBorders>
              <w:top w:val="nil"/>
              <w:left w:val="single" w:color="auto" w:sz="4" w:space="0"/>
              <w:bottom w:val="single" w:color="auto" w:sz="4" w:space="0"/>
              <w:right w:val="single" w:color="auto" w:sz="4" w:space="0"/>
            </w:tcBorders>
            <w:vAlign w:val="center"/>
          </w:tcPr>
          <w:p w14:paraId="68B7ED73">
            <w:pPr>
              <w:widowControl/>
              <w:jc w:val="center"/>
              <w:rPr>
                <w:bCs/>
                <w:color w:val="auto"/>
                <w:kern w:val="0"/>
                <w:sz w:val="22"/>
                <w:szCs w:val="22"/>
                <w:highlight w:val="none"/>
              </w:rPr>
            </w:pPr>
            <w:r>
              <w:rPr>
                <w:bCs/>
                <w:color w:val="auto"/>
                <w:kern w:val="0"/>
                <w:sz w:val="22"/>
                <w:szCs w:val="22"/>
                <w:highlight w:val="none"/>
              </w:rPr>
              <w:t>农、林、牧、渔</w:t>
            </w:r>
          </w:p>
        </w:tc>
        <w:tc>
          <w:tcPr>
            <w:tcW w:w="1586" w:type="dxa"/>
            <w:tcBorders>
              <w:top w:val="nil"/>
              <w:left w:val="nil"/>
              <w:bottom w:val="single" w:color="auto" w:sz="4" w:space="0"/>
              <w:right w:val="single" w:color="auto" w:sz="4" w:space="0"/>
            </w:tcBorders>
            <w:vAlign w:val="center"/>
          </w:tcPr>
          <w:p w14:paraId="26052C7E">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46B6F943">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757A83CD">
            <w:pPr>
              <w:widowControl/>
              <w:jc w:val="center"/>
              <w:rPr>
                <w:bCs/>
                <w:color w:val="auto"/>
                <w:kern w:val="0"/>
                <w:sz w:val="22"/>
                <w:szCs w:val="22"/>
                <w:highlight w:val="none"/>
              </w:rPr>
            </w:pPr>
            <w:r>
              <w:rPr>
                <w:bCs/>
                <w:color w:val="auto"/>
                <w:kern w:val="0"/>
                <w:sz w:val="22"/>
                <w:szCs w:val="22"/>
                <w:highlight w:val="none"/>
              </w:rPr>
              <w:t>500≤Y＜20000</w:t>
            </w:r>
          </w:p>
        </w:tc>
        <w:tc>
          <w:tcPr>
            <w:tcW w:w="1701" w:type="dxa"/>
            <w:tcBorders>
              <w:top w:val="nil"/>
              <w:left w:val="nil"/>
              <w:bottom w:val="single" w:color="auto" w:sz="4" w:space="0"/>
              <w:right w:val="single" w:color="auto" w:sz="4" w:space="0"/>
            </w:tcBorders>
            <w:vAlign w:val="center"/>
          </w:tcPr>
          <w:p w14:paraId="5172EE9C">
            <w:pPr>
              <w:widowControl/>
              <w:jc w:val="center"/>
              <w:rPr>
                <w:bCs/>
                <w:color w:val="auto"/>
                <w:kern w:val="0"/>
                <w:sz w:val="22"/>
                <w:szCs w:val="22"/>
                <w:highlight w:val="none"/>
              </w:rPr>
            </w:pPr>
            <w:r>
              <w:rPr>
                <w:bCs/>
                <w:color w:val="auto"/>
                <w:kern w:val="0"/>
                <w:sz w:val="22"/>
                <w:szCs w:val="22"/>
                <w:highlight w:val="none"/>
              </w:rPr>
              <w:t>50≤Y＜500</w:t>
            </w:r>
          </w:p>
        </w:tc>
        <w:tc>
          <w:tcPr>
            <w:tcW w:w="1276" w:type="dxa"/>
            <w:tcBorders>
              <w:top w:val="nil"/>
              <w:left w:val="nil"/>
              <w:bottom w:val="single" w:color="auto" w:sz="4" w:space="0"/>
              <w:right w:val="single" w:color="auto" w:sz="4" w:space="0"/>
            </w:tcBorders>
            <w:vAlign w:val="center"/>
          </w:tcPr>
          <w:p w14:paraId="7DACA287">
            <w:pPr>
              <w:widowControl/>
              <w:jc w:val="center"/>
              <w:rPr>
                <w:bCs/>
                <w:color w:val="auto"/>
                <w:kern w:val="0"/>
                <w:sz w:val="22"/>
                <w:szCs w:val="22"/>
                <w:highlight w:val="none"/>
              </w:rPr>
            </w:pPr>
            <w:r>
              <w:rPr>
                <w:bCs/>
                <w:color w:val="auto"/>
                <w:kern w:val="0"/>
                <w:sz w:val="22"/>
                <w:szCs w:val="22"/>
                <w:highlight w:val="none"/>
              </w:rPr>
              <w:t>Y＜50</w:t>
            </w:r>
          </w:p>
        </w:tc>
      </w:tr>
      <w:tr w14:paraId="7BDD7903">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6DD6332E">
            <w:pPr>
              <w:widowControl/>
              <w:jc w:val="center"/>
              <w:rPr>
                <w:bCs/>
                <w:color w:val="auto"/>
                <w:kern w:val="0"/>
                <w:sz w:val="22"/>
                <w:szCs w:val="22"/>
                <w:highlight w:val="none"/>
              </w:rPr>
            </w:pPr>
            <w:r>
              <w:rPr>
                <w:bCs/>
                <w:color w:val="auto"/>
                <w:kern w:val="0"/>
                <w:sz w:val="22"/>
                <w:szCs w:val="22"/>
                <w:highlight w:val="none"/>
              </w:rPr>
              <w:t>工业</w:t>
            </w:r>
          </w:p>
        </w:tc>
        <w:tc>
          <w:tcPr>
            <w:tcW w:w="1586" w:type="dxa"/>
            <w:tcBorders>
              <w:top w:val="nil"/>
              <w:left w:val="nil"/>
              <w:bottom w:val="single" w:color="auto" w:sz="4" w:space="0"/>
              <w:right w:val="single" w:color="auto" w:sz="4" w:space="0"/>
            </w:tcBorders>
            <w:vAlign w:val="center"/>
          </w:tcPr>
          <w:p w14:paraId="330AC7BA">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55768F79">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1E9DC6A3">
            <w:pPr>
              <w:widowControl/>
              <w:jc w:val="center"/>
              <w:rPr>
                <w:bCs/>
                <w:color w:val="auto"/>
                <w:kern w:val="0"/>
                <w:sz w:val="22"/>
                <w:szCs w:val="22"/>
                <w:highlight w:val="none"/>
              </w:rPr>
            </w:pPr>
            <w:r>
              <w:rPr>
                <w:bCs/>
                <w:color w:val="auto"/>
                <w:kern w:val="0"/>
                <w:sz w:val="22"/>
                <w:szCs w:val="22"/>
                <w:highlight w:val="none"/>
              </w:rPr>
              <w:t>300≤X＜1000</w:t>
            </w:r>
          </w:p>
        </w:tc>
        <w:tc>
          <w:tcPr>
            <w:tcW w:w="1701" w:type="dxa"/>
            <w:tcBorders>
              <w:top w:val="nil"/>
              <w:left w:val="nil"/>
              <w:bottom w:val="single" w:color="auto" w:sz="4" w:space="0"/>
              <w:right w:val="single" w:color="auto" w:sz="4" w:space="0"/>
            </w:tcBorders>
            <w:vAlign w:val="center"/>
          </w:tcPr>
          <w:p w14:paraId="567E1A44">
            <w:pPr>
              <w:widowControl/>
              <w:jc w:val="center"/>
              <w:rPr>
                <w:bCs/>
                <w:color w:val="auto"/>
                <w:kern w:val="0"/>
                <w:sz w:val="22"/>
                <w:szCs w:val="22"/>
                <w:highlight w:val="none"/>
              </w:rPr>
            </w:pPr>
            <w:r>
              <w:rPr>
                <w:bCs/>
                <w:color w:val="auto"/>
                <w:kern w:val="0"/>
                <w:sz w:val="22"/>
                <w:szCs w:val="22"/>
                <w:highlight w:val="none"/>
              </w:rPr>
              <w:t>20≤X＜300</w:t>
            </w:r>
          </w:p>
        </w:tc>
        <w:tc>
          <w:tcPr>
            <w:tcW w:w="1276" w:type="dxa"/>
            <w:tcBorders>
              <w:top w:val="nil"/>
              <w:left w:val="nil"/>
              <w:bottom w:val="single" w:color="auto" w:sz="4" w:space="0"/>
              <w:right w:val="single" w:color="auto" w:sz="4" w:space="0"/>
            </w:tcBorders>
            <w:vAlign w:val="center"/>
          </w:tcPr>
          <w:p w14:paraId="46705471">
            <w:pPr>
              <w:widowControl/>
              <w:jc w:val="center"/>
              <w:rPr>
                <w:bCs/>
                <w:color w:val="auto"/>
                <w:kern w:val="0"/>
                <w:sz w:val="22"/>
                <w:szCs w:val="22"/>
                <w:highlight w:val="none"/>
              </w:rPr>
            </w:pPr>
            <w:r>
              <w:rPr>
                <w:bCs/>
                <w:color w:val="auto"/>
                <w:kern w:val="0"/>
                <w:sz w:val="22"/>
                <w:szCs w:val="22"/>
                <w:highlight w:val="none"/>
              </w:rPr>
              <w:t>X＜20</w:t>
            </w:r>
          </w:p>
        </w:tc>
      </w:tr>
      <w:tr w14:paraId="177AB4CC">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080E153C">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2EF581EC">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5DF9E58D">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7C2BF2A9">
            <w:pPr>
              <w:widowControl/>
              <w:jc w:val="center"/>
              <w:rPr>
                <w:bCs/>
                <w:color w:val="auto"/>
                <w:kern w:val="0"/>
                <w:sz w:val="22"/>
                <w:szCs w:val="22"/>
                <w:highlight w:val="none"/>
              </w:rPr>
            </w:pPr>
            <w:r>
              <w:rPr>
                <w:bCs/>
                <w:color w:val="auto"/>
                <w:kern w:val="0"/>
                <w:sz w:val="22"/>
                <w:szCs w:val="22"/>
                <w:highlight w:val="none"/>
              </w:rPr>
              <w:t>2000≤Y＜40000</w:t>
            </w:r>
          </w:p>
        </w:tc>
        <w:tc>
          <w:tcPr>
            <w:tcW w:w="1701" w:type="dxa"/>
            <w:tcBorders>
              <w:top w:val="nil"/>
              <w:left w:val="nil"/>
              <w:bottom w:val="single" w:color="auto" w:sz="4" w:space="0"/>
              <w:right w:val="single" w:color="auto" w:sz="4" w:space="0"/>
            </w:tcBorders>
            <w:vAlign w:val="center"/>
          </w:tcPr>
          <w:p w14:paraId="3A23E0F2">
            <w:pPr>
              <w:widowControl/>
              <w:jc w:val="center"/>
              <w:rPr>
                <w:bCs/>
                <w:color w:val="auto"/>
                <w:kern w:val="0"/>
                <w:sz w:val="22"/>
                <w:szCs w:val="22"/>
                <w:highlight w:val="none"/>
              </w:rPr>
            </w:pPr>
            <w:r>
              <w:rPr>
                <w:bCs/>
                <w:color w:val="auto"/>
                <w:kern w:val="0"/>
                <w:sz w:val="22"/>
                <w:szCs w:val="22"/>
                <w:highlight w:val="none"/>
              </w:rPr>
              <w:t>300≤Y＜2000</w:t>
            </w:r>
          </w:p>
        </w:tc>
        <w:tc>
          <w:tcPr>
            <w:tcW w:w="1276" w:type="dxa"/>
            <w:tcBorders>
              <w:top w:val="nil"/>
              <w:left w:val="nil"/>
              <w:bottom w:val="single" w:color="auto" w:sz="4" w:space="0"/>
              <w:right w:val="single" w:color="auto" w:sz="4" w:space="0"/>
            </w:tcBorders>
            <w:vAlign w:val="center"/>
          </w:tcPr>
          <w:p w14:paraId="455BC3C2">
            <w:pPr>
              <w:widowControl/>
              <w:jc w:val="center"/>
              <w:rPr>
                <w:bCs/>
                <w:color w:val="auto"/>
                <w:kern w:val="0"/>
                <w:sz w:val="22"/>
                <w:szCs w:val="22"/>
                <w:highlight w:val="none"/>
              </w:rPr>
            </w:pPr>
            <w:r>
              <w:rPr>
                <w:bCs/>
                <w:color w:val="auto"/>
                <w:kern w:val="0"/>
                <w:sz w:val="22"/>
                <w:szCs w:val="22"/>
                <w:highlight w:val="none"/>
              </w:rPr>
              <w:t>Y＜300</w:t>
            </w:r>
          </w:p>
        </w:tc>
      </w:tr>
      <w:tr w14:paraId="0D665FD2">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011CAF48">
            <w:pPr>
              <w:widowControl/>
              <w:jc w:val="center"/>
              <w:rPr>
                <w:bCs/>
                <w:color w:val="auto"/>
                <w:kern w:val="0"/>
                <w:sz w:val="22"/>
                <w:szCs w:val="22"/>
                <w:highlight w:val="none"/>
              </w:rPr>
            </w:pPr>
            <w:r>
              <w:rPr>
                <w:bCs/>
                <w:color w:val="auto"/>
                <w:kern w:val="0"/>
                <w:sz w:val="22"/>
                <w:szCs w:val="22"/>
                <w:highlight w:val="none"/>
              </w:rPr>
              <w:t>建筑业</w:t>
            </w:r>
          </w:p>
        </w:tc>
        <w:tc>
          <w:tcPr>
            <w:tcW w:w="1586" w:type="dxa"/>
            <w:tcBorders>
              <w:top w:val="nil"/>
              <w:left w:val="nil"/>
              <w:bottom w:val="single" w:color="auto" w:sz="4" w:space="0"/>
              <w:right w:val="single" w:color="auto" w:sz="4" w:space="0"/>
            </w:tcBorders>
            <w:vAlign w:val="center"/>
          </w:tcPr>
          <w:p w14:paraId="3A4A52B2">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2AEE1D06">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7EE6C0BA">
            <w:pPr>
              <w:widowControl/>
              <w:jc w:val="center"/>
              <w:rPr>
                <w:bCs/>
                <w:color w:val="auto"/>
                <w:kern w:val="0"/>
                <w:sz w:val="22"/>
                <w:szCs w:val="22"/>
                <w:highlight w:val="none"/>
              </w:rPr>
            </w:pPr>
            <w:r>
              <w:rPr>
                <w:bCs/>
                <w:color w:val="auto"/>
                <w:kern w:val="0"/>
                <w:sz w:val="22"/>
                <w:szCs w:val="22"/>
                <w:highlight w:val="none"/>
              </w:rPr>
              <w:t>6000≤Y＜80000</w:t>
            </w:r>
          </w:p>
        </w:tc>
        <w:tc>
          <w:tcPr>
            <w:tcW w:w="1701" w:type="dxa"/>
            <w:tcBorders>
              <w:top w:val="nil"/>
              <w:left w:val="nil"/>
              <w:bottom w:val="single" w:color="auto" w:sz="4" w:space="0"/>
              <w:right w:val="single" w:color="auto" w:sz="4" w:space="0"/>
            </w:tcBorders>
            <w:vAlign w:val="center"/>
          </w:tcPr>
          <w:p w14:paraId="4F0A6887">
            <w:pPr>
              <w:widowControl/>
              <w:jc w:val="center"/>
              <w:rPr>
                <w:bCs/>
                <w:color w:val="auto"/>
                <w:kern w:val="0"/>
                <w:sz w:val="22"/>
                <w:szCs w:val="22"/>
                <w:highlight w:val="none"/>
              </w:rPr>
            </w:pPr>
            <w:r>
              <w:rPr>
                <w:bCs/>
                <w:color w:val="auto"/>
                <w:kern w:val="0"/>
                <w:sz w:val="22"/>
                <w:szCs w:val="22"/>
                <w:highlight w:val="none"/>
              </w:rPr>
              <w:t>300≤Y＜6000</w:t>
            </w:r>
          </w:p>
        </w:tc>
        <w:tc>
          <w:tcPr>
            <w:tcW w:w="1276" w:type="dxa"/>
            <w:tcBorders>
              <w:top w:val="nil"/>
              <w:left w:val="nil"/>
              <w:bottom w:val="single" w:color="auto" w:sz="4" w:space="0"/>
              <w:right w:val="single" w:color="auto" w:sz="4" w:space="0"/>
            </w:tcBorders>
            <w:vAlign w:val="center"/>
          </w:tcPr>
          <w:p w14:paraId="19222A10">
            <w:pPr>
              <w:widowControl/>
              <w:jc w:val="center"/>
              <w:rPr>
                <w:bCs/>
                <w:color w:val="auto"/>
                <w:kern w:val="0"/>
                <w:sz w:val="22"/>
                <w:szCs w:val="22"/>
                <w:highlight w:val="none"/>
              </w:rPr>
            </w:pPr>
            <w:r>
              <w:rPr>
                <w:bCs/>
                <w:color w:val="auto"/>
                <w:kern w:val="0"/>
                <w:sz w:val="22"/>
                <w:szCs w:val="22"/>
                <w:highlight w:val="none"/>
              </w:rPr>
              <w:t>Y＜300</w:t>
            </w:r>
          </w:p>
        </w:tc>
      </w:tr>
      <w:tr w14:paraId="64574DD0">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2D819101">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66A9A0B9">
            <w:pPr>
              <w:widowControl/>
              <w:jc w:val="center"/>
              <w:rPr>
                <w:bCs/>
                <w:color w:val="auto"/>
                <w:kern w:val="0"/>
                <w:sz w:val="22"/>
                <w:szCs w:val="22"/>
                <w:highlight w:val="none"/>
              </w:rPr>
            </w:pPr>
            <w:r>
              <w:rPr>
                <w:bCs/>
                <w:color w:val="auto"/>
                <w:kern w:val="0"/>
                <w:sz w:val="22"/>
                <w:szCs w:val="22"/>
                <w:highlight w:val="none"/>
              </w:rPr>
              <w:t>资产总额（Z）</w:t>
            </w:r>
          </w:p>
        </w:tc>
        <w:tc>
          <w:tcPr>
            <w:tcW w:w="1285" w:type="dxa"/>
            <w:tcBorders>
              <w:top w:val="nil"/>
              <w:left w:val="nil"/>
              <w:bottom w:val="single" w:color="auto" w:sz="4" w:space="0"/>
              <w:right w:val="single" w:color="auto" w:sz="4" w:space="0"/>
            </w:tcBorders>
            <w:vAlign w:val="center"/>
          </w:tcPr>
          <w:p w14:paraId="0B670454">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4A7D0C44">
            <w:pPr>
              <w:widowControl/>
              <w:jc w:val="center"/>
              <w:rPr>
                <w:bCs/>
                <w:color w:val="auto"/>
                <w:kern w:val="0"/>
                <w:sz w:val="22"/>
                <w:szCs w:val="22"/>
                <w:highlight w:val="none"/>
              </w:rPr>
            </w:pPr>
            <w:r>
              <w:rPr>
                <w:bCs/>
                <w:color w:val="auto"/>
                <w:kern w:val="0"/>
                <w:sz w:val="22"/>
                <w:szCs w:val="22"/>
                <w:highlight w:val="none"/>
              </w:rPr>
              <w:t>5000≤Z＜80000</w:t>
            </w:r>
          </w:p>
        </w:tc>
        <w:tc>
          <w:tcPr>
            <w:tcW w:w="1701" w:type="dxa"/>
            <w:tcBorders>
              <w:top w:val="nil"/>
              <w:left w:val="nil"/>
              <w:bottom w:val="single" w:color="auto" w:sz="4" w:space="0"/>
              <w:right w:val="single" w:color="auto" w:sz="4" w:space="0"/>
            </w:tcBorders>
            <w:vAlign w:val="center"/>
          </w:tcPr>
          <w:p w14:paraId="49CA8611">
            <w:pPr>
              <w:widowControl/>
              <w:jc w:val="center"/>
              <w:rPr>
                <w:bCs/>
                <w:color w:val="auto"/>
                <w:kern w:val="0"/>
                <w:sz w:val="22"/>
                <w:szCs w:val="22"/>
                <w:highlight w:val="none"/>
              </w:rPr>
            </w:pPr>
            <w:r>
              <w:rPr>
                <w:bCs/>
                <w:color w:val="auto"/>
                <w:kern w:val="0"/>
                <w:sz w:val="22"/>
                <w:szCs w:val="22"/>
                <w:highlight w:val="none"/>
              </w:rPr>
              <w:t>300≤Z＜5000</w:t>
            </w:r>
          </w:p>
        </w:tc>
        <w:tc>
          <w:tcPr>
            <w:tcW w:w="1276" w:type="dxa"/>
            <w:tcBorders>
              <w:top w:val="nil"/>
              <w:left w:val="nil"/>
              <w:bottom w:val="single" w:color="auto" w:sz="4" w:space="0"/>
              <w:right w:val="single" w:color="auto" w:sz="4" w:space="0"/>
            </w:tcBorders>
            <w:vAlign w:val="center"/>
          </w:tcPr>
          <w:p w14:paraId="0B37E234">
            <w:pPr>
              <w:widowControl/>
              <w:jc w:val="center"/>
              <w:rPr>
                <w:bCs/>
                <w:color w:val="auto"/>
                <w:kern w:val="0"/>
                <w:sz w:val="22"/>
                <w:szCs w:val="22"/>
                <w:highlight w:val="none"/>
              </w:rPr>
            </w:pPr>
            <w:r>
              <w:rPr>
                <w:bCs/>
                <w:color w:val="auto"/>
                <w:kern w:val="0"/>
                <w:sz w:val="22"/>
                <w:szCs w:val="22"/>
                <w:highlight w:val="none"/>
              </w:rPr>
              <w:t>Z＜300</w:t>
            </w:r>
          </w:p>
        </w:tc>
      </w:tr>
      <w:tr w14:paraId="0FF76DAE">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4A7CD981">
            <w:pPr>
              <w:widowControl/>
              <w:jc w:val="center"/>
              <w:rPr>
                <w:bCs/>
                <w:color w:val="auto"/>
                <w:kern w:val="0"/>
                <w:sz w:val="22"/>
                <w:szCs w:val="22"/>
                <w:highlight w:val="none"/>
              </w:rPr>
            </w:pPr>
            <w:r>
              <w:rPr>
                <w:bCs/>
                <w:color w:val="auto"/>
                <w:kern w:val="0"/>
                <w:sz w:val="22"/>
                <w:szCs w:val="22"/>
                <w:highlight w:val="none"/>
              </w:rPr>
              <w:t>批发业</w:t>
            </w:r>
          </w:p>
        </w:tc>
        <w:tc>
          <w:tcPr>
            <w:tcW w:w="1586" w:type="dxa"/>
            <w:tcBorders>
              <w:top w:val="nil"/>
              <w:left w:val="nil"/>
              <w:bottom w:val="single" w:color="auto" w:sz="4" w:space="0"/>
              <w:right w:val="single" w:color="auto" w:sz="4" w:space="0"/>
            </w:tcBorders>
            <w:vAlign w:val="center"/>
          </w:tcPr>
          <w:p w14:paraId="69EE2592">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4BB1D5B5">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69A38061">
            <w:pPr>
              <w:widowControl/>
              <w:jc w:val="center"/>
              <w:rPr>
                <w:bCs/>
                <w:color w:val="auto"/>
                <w:kern w:val="0"/>
                <w:sz w:val="22"/>
                <w:szCs w:val="22"/>
                <w:highlight w:val="none"/>
              </w:rPr>
            </w:pPr>
            <w:r>
              <w:rPr>
                <w:bCs/>
                <w:color w:val="auto"/>
                <w:kern w:val="0"/>
                <w:sz w:val="22"/>
                <w:szCs w:val="22"/>
                <w:highlight w:val="none"/>
              </w:rPr>
              <w:t>20≤X＜200</w:t>
            </w:r>
          </w:p>
        </w:tc>
        <w:tc>
          <w:tcPr>
            <w:tcW w:w="1701" w:type="dxa"/>
            <w:tcBorders>
              <w:top w:val="nil"/>
              <w:left w:val="nil"/>
              <w:bottom w:val="single" w:color="auto" w:sz="4" w:space="0"/>
              <w:right w:val="single" w:color="auto" w:sz="4" w:space="0"/>
            </w:tcBorders>
            <w:vAlign w:val="center"/>
          </w:tcPr>
          <w:p w14:paraId="17A8ECB8">
            <w:pPr>
              <w:widowControl/>
              <w:jc w:val="center"/>
              <w:rPr>
                <w:bCs/>
                <w:color w:val="auto"/>
                <w:kern w:val="0"/>
                <w:sz w:val="22"/>
                <w:szCs w:val="22"/>
                <w:highlight w:val="none"/>
              </w:rPr>
            </w:pPr>
            <w:r>
              <w:rPr>
                <w:bCs/>
                <w:color w:val="auto"/>
                <w:kern w:val="0"/>
                <w:sz w:val="22"/>
                <w:szCs w:val="22"/>
                <w:highlight w:val="none"/>
              </w:rPr>
              <w:t>5≤X＜20</w:t>
            </w:r>
          </w:p>
        </w:tc>
        <w:tc>
          <w:tcPr>
            <w:tcW w:w="1276" w:type="dxa"/>
            <w:tcBorders>
              <w:top w:val="nil"/>
              <w:left w:val="nil"/>
              <w:bottom w:val="single" w:color="auto" w:sz="4" w:space="0"/>
              <w:right w:val="single" w:color="auto" w:sz="4" w:space="0"/>
            </w:tcBorders>
            <w:vAlign w:val="center"/>
          </w:tcPr>
          <w:p w14:paraId="5AE5075D">
            <w:pPr>
              <w:widowControl/>
              <w:jc w:val="center"/>
              <w:rPr>
                <w:bCs/>
                <w:color w:val="auto"/>
                <w:kern w:val="0"/>
                <w:sz w:val="22"/>
                <w:szCs w:val="22"/>
                <w:highlight w:val="none"/>
              </w:rPr>
            </w:pPr>
            <w:r>
              <w:rPr>
                <w:bCs/>
                <w:color w:val="auto"/>
                <w:kern w:val="0"/>
                <w:sz w:val="22"/>
                <w:szCs w:val="22"/>
                <w:highlight w:val="none"/>
              </w:rPr>
              <w:t>X＜5</w:t>
            </w:r>
          </w:p>
        </w:tc>
      </w:tr>
      <w:tr w14:paraId="6EB1850A">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247359F0">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36EB48DA">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383C7A04">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150225A7">
            <w:pPr>
              <w:widowControl/>
              <w:jc w:val="center"/>
              <w:rPr>
                <w:bCs/>
                <w:color w:val="auto"/>
                <w:kern w:val="0"/>
                <w:sz w:val="22"/>
                <w:szCs w:val="22"/>
                <w:highlight w:val="none"/>
              </w:rPr>
            </w:pPr>
            <w:r>
              <w:rPr>
                <w:bCs/>
                <w:color w:val="auto"/>
                <w:kern w:val="0"/>
                <w:sz w:val="22"/>
                <w:szCs w:val="22"/>
                <w:highlight w:val="none"/>
              </w:rPr>
              <w:t>5000≤Y＜40000</w:t>
            </w:r>
          </w:p>
        </w:tc>
        <w:tc>
          <w:tcPr>
            <w:tcW w:w="1701" w:type="dxa"/>
            <w:tcBorders>
              <w:top w:val="nil"/>
              <w:left w:val="nil"/>
              <w:bottom w:val="single" w:color="auto" w:sz="4" w:space="0"/>
              <w:right w:val="single" w:color="auto" w:sz="4" w:space="0"/>
            </w:tcBorders>
            <w:vAlign w:val="center"/>
          </w:tcPr>
          <w:p w14:paraId="36AD42E8">
            <w:pPr>
              <w:widowControl/>
              <w:jc w:val="center"/>
              <w:rPr>
                <w:bCs/>
                <w:color w:val="auto"/>
                <w:kern w:val="0"/>
                <w:sz w:val="22"/>
                <w:szCs w:val="22"/>
                <w:highlight w:val="none"/>
              </w:rPr>
            </w:pPr>
            <w:r>
              <w:rPr>
                <w:bCs/>
                <w:color w:val="auto"/>
                <w:kern w:val="0"/>
                <w:sz w:val="22"/>
                <w:szCs w:val="22"/>
                <w:highlight w:val="none"/>
              </w:rPr>
              <w:t>1000≤Y＜5000</w:t>
            </w:r>
          </w:p>
        </w:tc>
        <w:tc>
          <w:tcPr>
            <w:tcW w:w="1276" w:type="dxa"/>
            <w:tcBorders>
              <w:top w:val="nil"/>
              <w:left w:val="nil"/>
              <w:bottom w:val="single" w:color="auto" w:sz="4" w:space="0"/>
              <w:right w:val="single" w:color="auto" w:sz="4" w:space="0"/>
            </w:tcBorders>
            <w:vAlign w:val="center"/>
          </w:tcPr>
          <w:p w14:paraId="4FD89918">
            <w:pPr>
              <w:widowControl/>
              <w:jc w:val="center"/>
              <w:rPr>
                <w:bCs/>
                <w:color w:val="auto"/>
                <w:kern w:val="0"/>
                <w:sz w:val="22"/>
                <w:szCs w:val="22"/>
                <w:highlight w:val="none"/>
              </w:rPr>
            </w:pPr>
            <w:r>
              <w:rPr>
                <w:bCs/>
                <w:color w:val="auto"/>
                <w:kern w:val="0"/>
                <w:sz w:val="22"/>
                <w:szCs w:val="22"/>
                <w:highlight w:val="none"/>
              </w:rPr>
              <w:t>Y＜1000</w:t>
            </w:r>
          </w:p>
        </w:tc>
      </w:tr>
      <w:tr w14:paraId="138F4F03">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4C8C0E0D">
            <w:pPr>
              <w:widowControl/>
              <w:jc w:val="center"/>
              <w:rPr>
                <w:bCs/>
                <w:color w:val="auto"/>
                <w:kern w:val="0"/>
                <w:sz w:val="22"/>
                <w:szCs w:val="22"/>
                <w:highlight w:val="none"/>
              </w:rPr>
            </w:pPr>
            <w:r>
              <w:rPr>
                <w:bCs/>
                <w:color w:val="auto"/>
                <w:kern w:val="0"/>
                <w:sz w:val="22"/>
                <w:szCs w:val="22"/>
                <w:highlight w:val="none"/>
              </w:rPr>
              <w:t>零售业</w:t>
            </w:r>
          </w:p>
        </w:tc>
        <w:tc>
          <w:tcPr>
            <w:tcW w:w="1586" w:type="dxa"/>
            <w:tcBorders>
              <w:top w:val="nil"/>
              <w:left w:val="nil"/>
              <w:bottom w:val="single" w:color="auto" w:sz="4" w:space="0"/>
              <w:right w:val="single" w:color="auto" w:sz="4" w:space="0"/>
            </w:tcBorders>
            <w:vAlign w:val="center"/>
          </w:tcPr>
          <w:p w14:paraId="23F34B3C">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2CF12EBE">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70274B33">
            <w:pPr>
              <w:widowControl/>
              <w:jc w:val="center"/>
              <w:rPr>
                <w:bCs/>
                <w:color w:val="auto"/>
                <w:kern w:val="0"/>
                <w:sz w:val="22"/>
                <w:szCs w:val="22"/>
                <w:highlight w:val="none"/>
              </w:rPr>
            </w:pPr>
            <w:r>
              <w:rPr>
                <w:bCs/>
                <w:color w:val="auto"/>
                <w:kern w:val="0"/>
                <w:sz w:val="22"/>
                <w:szCs w:val="22"/>
                <w:highlight w:val="none"/>
              </w:rPr>
              <w:t>50≤X＜300</w:t>
            </w:r>
          </w:p>
        </w:tc>
        <w:tc>
          <w:tcPr>
            <w:tcW w:w="1701" w:type="dxa"/>
            <w:tcBorders>
              <w:top w:val="nil"/>
              <w:left w:val="nil"/>
              <w:bottom w:val="single" w:color="auto" w:sz="4" w:space="0"/>
              <w:right w:val="single" w:color="auto" w:sz="4" w:space="0"/>
            </w:tcBorders>
            <w:vAlign w:val="center"/>
          </w:tcPr>
          <w:p w14:paraId="4B288300">
            <w:pPr>
              <w:widowControl/>
              <w:jc w:val="center"/>
              <w:rPr>
                <w:bCs/>
                <w:color w:val="auto"/>
                <w:kern w:val="0"/>
                <w:sz w:val="22"/>
                <w:szCs w:val="22"/>
                <w:highlight w:val="none"/>
              </w:rPr>
            </w:pPr>
            <w:r>
              <w:rPr>
                <w:bCs/>
                <w:color w:val="auto"/>
                <w:kern w:val="0"/>
                <w:sz w:val="22"/>
                <w:szCs w:val="22"/>
                <w:highlight w:val="none"/>
              </w:rPr>
              <w:t>10≤X＜50</w:t>
            </w:r>
          </w:p>
        </w:tc>
        <w:tc>
          <w:tcPr>
            <w:tcW w:w="1276" w:type="dxa"/>
            <w:tcBorders>
              <w:top w:val="nil"/>
              <w:left w:val="nil"/>
              <w:bottom w:val="single" w:color="auto" w:sz="4" w:space="0"/>
              <w:right w:val="single" w:color="auto" w:sz="4" w:space="0"/>
            </w:tcBorders>
            <w:vAlign w:val="center"/>
          </w:tcPr>
          <w:p w14:paraId="0064850D">
            <w:pPr>
              <w:widowControl/>
              <w:jc w:val="center"/>
              <w:rPr>
                <w:bCs/>
                <w:color w:val="auto"/>
                <w:kern w:val="0"/>
                <w:sz w:val="22"/>
                <w:szCs w:val="22"/>
                <w:highlight w:val="none"/>
              </w:rPr>
            </w:pPr>
            <w:r>
              <w:rPr>
                <w:bCs/>
                <w:color w:val="auto"/>
                <w:kern w:val="0"/>
                <w:sz w:val="22"/>
                <w:szCs w:val="22"/>
                <w:highlight w:val="none"/>
              </w:rPr>
              <w:t>X＜10</w:t>
            </w:r>
          </w:p>
        </w:tc>
      </w:tr>
      <w:tr w14:paraId="11F52816">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2E3F26ED">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14EE0373">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0F5DE68F">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3375D1B0">
            <w:pPr>
              <w:widowControl/>
              <w:jc w:val="center"/>
              <w:rPr>
                <w:bCs/>
                <w:color w:val="auto"/>
                <w:kern w:val="0"/>
                <w:sz w:val="22"/>
                <w:szCs w:val="22"/>
                <w:highlight w:val="none"/>
              </w:rPr>
            </w:pPr>
            <w:r>
              <w:rPr>
                <w:bCs/>
                <w:color w:val="auto"/>
                <w:kern w:val="0"/>
                <w:sz w:val="22"/>
                <w:szCs w:val="22"/>
                <w:highlight w:val="none"/>
              </w:rPr>
              <w:t>500≤Y＜20000</w:t>
            </w:r>
          </w:p>
        </w:tc>
        <w:tc>
          <w:tcPr>
            <w:tcW w:w="1701" w:type="dxa"/>
            <w:tcBorders>
              <w:top w:val="nil"/>
              <w:left w:val="nil"/>
              <w:bottom w:val="single" w:color="auto" w:sz="4" w:space="0"/>
              <w:right w:val="single" w:color="auto" w:sz="4" w:space="0"/>
            </w:tcBorders>
            <w:vAlign w:val="center"/>
          </w:tcPr>
          <w:p w14:paraId="0CC6CABC">
            <w:pPr>
              <w:widowControl/>
              <w:jc w:val="center"/>
              <w:rPr>
                <w:bCs/>
                <w:color w:val="auto"/>
                <w:kern w:val="0"/>
                <w:sz w:val="22"/>
                <w:szCs w:val="22"/>
                <w:highlight w:val="none"/>
              </w:rPr>
            </w:pPr>
            <w:r>
              <w:rPr>
                <w:bCs/>
                <w:color w:val="auto"/>
                <w:kern w:val="0"/>
                <w:sz w:val="22"/>
                <w:szCs w:val="22"/>
                <w:highlight w:val="none"/>
              </w:rPr>
              <w:t>100≤Y＜500</w:t>
            </w:r>
          </w:p>
        </w:tc>
        <w:tc>
          <w:tcPr>
            <w:tcW w:w="1276" w:type="dxa"/>
            <w:tcBorders>
              <w:top w:val="nil"/>
              <w:left w:val="nil"/>
              <w:bottom w:val="single" w:color="auto" w:sz="4" w:space="0"/>
              <w:right w:val="single" w:color="auto" w:sz="4" w:space="0"/>
            </w:tcBorders>
            <w:vAlign w:val="center"/>
          </w:tcPr>
          <w:p w14:paraId="3E1AC030">
            <w:pPr>
              <w:widowControl/>
              <w:jc w:val="center"/>
              <w:rPr>
                <w:bCs/>
                <w:color w:val="auto"/>
                <w:kern w:val="0"/>
                <w:sz w:val="22"/>
                <w:szCs w:val="22"/>
                <w:highlight w:val="none"/>
              </w:rPr>
            </w:pPr>
            <w:r>
              <w:rPr>
                <w:bCs/>
                <w:color w:val="auto"/>
                <w:kern w:val="0"/>
                <w:sz w:val="22"/>
                <w:szCs w:val="22"/>
                <w:highlight w:val="none"/>
              </w:rPr>
              <w:t>Y＜100</w:t>
            </w:r>
          </w:p>
        </w:tc>
      </w:tr>
      <w:tr w14:paraId="6B63C3D0">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510D17A2">
            <w:pPr>
              <w:widowControl/>
              <w:jc w:val="center"/>
              <w:rPr>
                <w:bCs/>
                <w:color w:val="auto"/>
                <w:kern w:val="0"/>
                <w:sz w:val="22"/>
                <w:szCs w:val="22"/>
                <w:highlight w:val="none"/>
              </w:rPr>
            </w:pPr>
            <w:r>
              <w:rPr>
                <w:bCs/>
                <w:color w:val="auto"/>
                <w:kern w:val="0"/>
                <w:sz w:val="22"/>
                <w:szCs w:val="22"/>
                <w:highlight w:val="none"/>
              </w:rPr>
              <w:t>交通运输业</w:t>
            </w:r>
          </w:p>
        </w:tc>
        <w:tc>
          <w:tcPr>
            <w:tcW w:w="1586" w:type="dxa"/>
            <w:tcBorders>
              <w:top w:val="nil"/>
              <w:left w:val="nil"/>
              <w:bottom w:val="single" w:color="auto" w:sz="4" w:space="0"/>
              <w:right w:val="single" w:color="auto" w:sz="4" w:space="0"/>
            </w:tcBorders>
            <w:vAlign w:val="center"/>
          </w:tcPr>
          <w:p w14:paraId="2D2C1904">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6118D786">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3F951DA9">
            <w:pPr>
              <w:widowControl/>
              <w:jc w:val="center"/>
              <w:rPr>
                <w:bCs/>
                <w:color w:val="auto"/>
                <w:kern w:val="0"/>
                <w:sz w:val="22"/>
                <w:szCs w:val="22"/>
                <w:highlight w:val="none"/>
              </w:rPr>
            </w:pPr>
            <w:r>
              <w:rPr>
                <w:bCs/>
                <w:color w:val="auto"/>
                <w:kern w:val="0"/>
                <w:sz w:val="22"/>
                <w:szCs w:val="22"/>
                <w:highlight w:val="none"/>
              </w:rPr>
              <w:t>300≤X＜1000</w:t>
            </w:r>
          </w:p>
        </w:tc>
        <w:tc>
          <w:tcPr>
            <w:tcW w:w="1701" w:type="dxa"/>
            <w:tcBorders>
              <w:top w:val="nil"/>
              <w:left w:val="nil"/>
              <w:bottom w:val="single" w:color="auto" w:sz="4" w:space="0"/>
              <w:right w:val="single" w:color="auto" w:sz="4" w:space="0"/>
            </w:tcBorders>
            <w:vAlign w:val="center"/>
          </w:tcPr>
          <w:p w14:paraId="3AAE1152">
            <w:pPr>
              <w:widowControl/>
              <w:jc w:val="center"/>
              <w:rPr>
                <w:bCs/>
                <w:color w:val="auto"/>
                <w:kern w:val="0"/>
                <w:sz w:val="22"/>
                <w:szCs w:val="22"/>
                <w:highlight w:val="none"/>
              </w:rPr>
            </w:pPr>
            <w:r>
              <w:rPr>
                <w:bCs/>
                <w:color w:val="auto"/>
                <w:kern w:val="0"/>
                <w:sz w:val="22"/>
                <w:szCs w:val="22"/>
                <w:highlight w:val="none"/>
              </w:rPr>
              <w:t>20≤X＜300</w:t>
            </w:r>
          </w:p>
        </w:tc>
        <w:tc>
          <w:tcPr>
            <w:tcW w:w="1276" w:type="dxa"/>
            <w:tcBorders>
              <w:top w:val="nil"/>
              <w:left w:val="nil"/>
              <w:bottom w:val="single" w:color="auto" w:sz="4" w:space="0"/>
              <w:right w:val="single" w:color="auto" w:sz="4" w:space="0"/>
            </w:tcBorders>
            <w:vAlign w:val="center"/>
          </w:tcPr>
          <w:p w14:paraId="3172F76A">
            <w:pPr>
              <w:widowControl/>
              <w:jc w:val="center"/>
              <w:rPr>
                <w:bCs/>
                <w:color w:val="auto"/>
                <w:kern w:val="0"/>
                <w:sz w:val="22"/>
                <w:szCs w:val="22"/>
                <w:highlight w:val="none"/>
              </w:rPr>
            </w:pPr>
            <w:r>
              <w:rPr>
                <w:bCs/>
                <w:color w:val="auto"/>
                <w:kern w:val="0"/>
                <w:sz w:val="22"/>
                <w:szCs w:val="22"/>
                <w:highlight w:val="none"/>
              </w:rPr>
              <w:t>X＜20</w:t>
            </w:r>
          </w:p>
        </w:tc>
      </w:tr>
      <w:tr w14:paraId="2310C3C2">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69140B72">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67344676">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53EBA496">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19ADF023">
            <w:pPr>
              <w:widowControl/>
              <w:jc w:val="center"/>
              <w:rPr>
                <w:bCs/>
                <w:color w:val="auto"/>
                <w:kern w:val="0"/>
                <w:sz w:val="22"/>
                <w:szCs w:val="22"/>
                <w:highlight w:val="none"/>
              </w:rPr>
            </w:pPr>
            <w:r>
              <w:rPr>
                <w:bCs/>
                <w:color w:val="auto"/>
                <w:kern w:val="0"/>
                <w:sz w:val="22"/>
                <w:szCs w:val="22"/>
                <w:highlight w:val="none"/>
              </w:rPr>
              <w:t>3000≤Y＜30000</w:t>
            </w:r>
          </w:p>
        </w:tc>
        <w:tc>
          <w:tcPr>
            <w:tcW w:w="1701" w:type="dxa"/>
            <w:tcBorders>
              <w:top w:val="nil"/>
              <w:left w:val="nil"/>
              <w:bottom w:val="single" w:color="auto" w:sz="4" w:space="0"/>
              <w:right w:val="single" w:color="auto" w:sz="4" w:space="0"/>
            </w:tcBorders>
            <w:vAlign w:val="center"/>
          </w:tcPr>
          <w:p w14:paraId="3CD2D756">
            <w:pPr>
              <w:widowControl/>
              <w:jc w:val="center"/>
              <w:rPr>
                <w:bCs/>
                <w:color w:val="auto"/>
                <w:kern w:val="0"/>
                <w:sz w:val="22"/>
                <w:szCs w:val="22"/>
                <w:highlight w:val="none"/>
              </w:rPr>
            </w:pPr>
            <w:r>
              <w:rPr>
                <w:bCs/>
                <w:color w:val="auto"/>
                <w:kern w:val="0"/>
                <w:sz w:val="22"/>
                <w:szCs w:val="22"/>
                <w:highlight w:val="none"/>
              </w:rPr>
              <w:t>200≤Y＜3000</w:t>
            </w:r>
          </w:p>
        </w:tc>
        <w:tc>
          <w:tcPr>
            <w:tcW w:w="1276" w:type="dxa"/>
            <w:tcBorders>
              <w:top w:val="nil"/>
              <w:left w:val="nil"/>
              <w:bottom w:val="single" w:color="auto" w:sz="4" w:space="0"/>
              <w:right w:val="single" w:color="auto" w:sz="4" w:space="0"/>
            </w:tcBorders>
            <w:vAlign w:val="center"/>
          </w:tcPr>
          <w:p w14:paraId="0DDAB94D">
            <w:pPr>
              <w:widowControl/>
              <w:jc w:val="center"/>
              <w:rPr>
                <w:bCs/>
                <w:color w:val="auto"/>
                <w:kern w:val="0"/>
                <w:sz w:val="22"/>
                <w:szCs w:val="22"/>
                <w:highlight w:val="none"/>
              </w:rPr>
            </w:pPr>
            <w:r>
              <w:rPr>
                <w:bCs/>
                <w:color w:val="auto"/>
                <w:kern w:val="0"/>
                <w:sz w:val="22"/>
                <w:szCs w:val="22"/>
                <w:highlight w:val="none"/>
              </w:rPr>
              <w:t>Y＜200</w:t>
            </w:r>
          </w:p>
        </w:tc>
      </w:tr>
      <w:tr w14:paraId="371F9197">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2059CC1F">
            <w:pPr>
              <w:widowControl/>
              <w:jc w:val="center"/>
              <w:rPr>
                <w:bCs/>
                <w:color w:val="auto"/>
                <w:kern w:val="0"/>
                <w:sz w:val="22"/>
                <w:szCs w:val="22"/>
                <w:highlight w:val="none"/>
              </w:rPr>
            </w:pPr>
            <w:r>
              <w:rPr>
                <w:bCs/>
                <w:color w:val="auto"/>
                <w:kern w:val="0"/>
                <w:sz w:val="22"/>
                <w:szCs w:val="22"/>
                <w:highlight w:val="none"/>
              </w:rPr>
              <w:t>仓储业</w:t>
            </w:r>
          </w:p>
        </w:tc>
        <w:tc>
          <w:tcPr>
            <w:tcW w:w="1586" w:type="dxa"/>
            <w:tcBorders>
              <w:top w:val="nil"/>
              <w:left w:val="nil"/>
              <w:bottom w:val="single" w:color="auto" w:sz="4" w:space="0"/>
              <w:right w:val="single" w:color="auto" w:sz="4" w:space="0"/>
            </w:tcBorders>
            <w:vAlign w:val="center"/>
          </w:tcPr>
          <w:p w14:paraId="526CA1F6">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0A7A342D">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7E1A7963">
            <w:pPr>
              <w:widowControl/>
              <w:jc w:val="center"/>
              <w:rPr>
                <w:bCs/>
                <w:color w:val="auto"/>
                <w:kern w:val="0"/>
                <w:sz w:val="22"/>
                <w:szCs w:val="22"/>
                <w:highlight w:val="none"/>
              </w:rPr>
            </w:pPr>
            <w:r>
              <w:rPr>
                <w:bCs/>
                <w:color w:val="auto"/>
                <w:kern w:val="0"/>
                <w:sz w:val="22"/>
                <w:szCs w:val="22"/>
                <w:highlight w:val="none"/>
              </w:rPr>
              <w:t>100≤X＜200</w:t>
            </w:r>
          </w:p>
        </w:tc>
        <w:tc>
          <w:tcPr>
            <w:tcW w:w="1701" w:type="dxa"/>
            <w:tcBorders>
              <w:top w:val="nil"/>
              <w:left w:val="nil"/>
              <w:bottom w:val="single" w:color="auto" w:sz="4" w:space="0"/>
              <w:right w:val="single" w:color="auto" w:sz="4" w:space="0"/>
            </w:tcBorders>
            <w:vAlign w:val="center"/>
          </w:tcPr>
          <w:p w14:paraId="1DEBBD4C">
            <w:pPr>
              <w:widowControl/>
              <w:jc w:val="center"/>
              <w:rPr>
                <w:bCs/>
                <w:color w:val="auto"/>
                <w:kern w:val="0"/>
                <w:sz w:val="22"/>
                <w:szCs w:val="22"/>
                <w:highlight w:val="none"/>
              </w:rPr>
            </w:pPr>
            <w:r>
              <w:rPr>
                <w:bCs/>
                <w:color w:val="auto"/>
                <w:kern w:val="0"/>
                <w:sz w:val="22"/>
                <w:szCs w:val="22"/>
                <w:highlight w:val="none"/>
              </w:rPr>
              <w:t>20≤X＜100</w:t>
            </w:r>
          </w:p>
        </w:tc>
        <w:tc>
          <w:tcPr>
            <w:tcW w:w="1276" w:type="dxa"/>
            <w:tcBorders>
              <w:top w:val="nil"/>
              <w:left w:val="nil"/>
              <w:bottom w:val="single" w:color="auto" w:sz="4" w:space="0"/>
              <w:right w:val="single" w:color="auto" w:sz="4" w:space="0"/>
            </w:tcBorders>
            <w:vAlign w:val="center"/>
          </w:tcPr>
          <w:p w14:paraId="2B2C12CA">
            <w:pPr>
              <w:widowControl/>
              <w:jc w:val="center"/>
              <w:rPr>
                <w:bCs/>
                <w:color w:val="auto"/>
                <w:kern w:val="0"/>
                <w:sz w:val="22"/>
                <w:szCs w:val="22"/>
                <w:highlight w:val="none"/>
              </w:rPr>
            </w:pPr>
            <w:r>
              <w:rPr>
                <w:bCs/>
                <w:color w:val="auto"/>
                <w:kern w:val="0"/>
                <w:sz w:val="22"/>
                <w:szCs w:val="22"/>
                <w:highlight w:val="none"/>
              </w:rPr>
              <w:t>X＜20</w:t>
            </w:r>
          </w:p>
        </w:tc>
      </w:tr>
      <w:tr w14:paraId="1435FCB6">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25A4FB7B">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7D1F6526">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1766DFAA">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083E2588">
            <w:pPr>
              <w:widowControl/>
              <w:jc w:val="center"/>
              <w:rPr>
                <w:bCs/>
                <w:color w:val="auto"/>
                <w:kern w:val="0"/>
                <w:sz w:val="22"/>
                <w:szCs w:val="22"/>
                <w:highlight w:val="none"/>
              </w:rPr>
            </w:pPr>
            <w:r>
              <w:rPr>
                <w:bCs/>
                <w:color w:val="auto"/>
                <w:kern w:val="0"/>
                <w:sz w:val="22"/>
                <w:szCs w:val="22"/>
                <w:highlight w:val="none"/>
              </w:rPr>
              <w:t>1000≤Y＜30000</w:t>
            </w:r>
          </w:p>
        </w:tc>
        <w:tc>
          <w:tcPr>
            <w:tcW w:w="1701" w:type="dxa"/>
            <w:tcBorders>
              <w:top w:val="nil"/>
              <w:left w:val="nil"/>
              <w:bottom w:val="single" w:color="auto" w:sz="4" w:space="0"/>
              <w:right w:val="single" w:color="auto" w:sz="4" w:space="0"/>
            </w:tcBorders>
            <w:vAlign w:val="center"/>
          </w:tcPr>
          <w:p w14:paraId="3F2C6F90">
            <w:pPr>
              <w:widowControl/>
              <w:jc w:val="center"/>
              <w:rPr>
                <w:bCs/>
                <w:color w:val="auto"/>
                <w:kern w:val="0"/>
                <w:sz w:val="22"/>
                <w:szCs w:val="22"/>
                <w:highlight w:val="none"/>
              </w:rPr>
            </w:pPr>
            <w:r>
              <w:rPr>
                <w:bCs/>
                <w:color w:val="auto"/>
                <w:kern w:val="0"/>
                <w:sz w:val="22"/>
                <w:szCs w:val="22"/>
                <w:highlight w:val="none"/>
              </w:rPr>
              <w:t>100≤Y＜1000</w:t>
            </w:r>
          </w:p>
        </w:tc>
        <w:tc>
          <w:tcPr>
            <w:tcW w:w="1276" w:type="dxa"/>
            <w:tcBorders>
              <w:top w:val="nil"/>
              <w:left w:val="nil"/>
              <w:bottom w:val="single" w:color="auto" w:sz="4" w:space="0"/>
              <w:right w:val="single" w:color="auto" w:sz="4" w:space="0"/>
            </w:tcBorders>
            <w:vAlign w:val="center"/>
          </w:tcPr>
          <w:p w14:paraId="7A486732">
            <w:pPr>
              <w:widowControl/>
              <w:jc w:val="center"/>
              <w:rPr>
                <w:bCs/>
                <w:color w:val="auto"/>
                <w:kern w:val="0"/>
                <w:sz w:val="22"/>
                <w:szCs w:val="22"/>
                <w:highlight w:val="none"/>
              </w:rPr>
            </w:pPr>
            <w:r>
              <w:rPr>
                <w:bCs/>
                <w:color w:val="auto"/>
                <w:kern w:val="0"/>
                <w:sz w:val="22"/>
                <w:szCs w:val="22"/>
                <w:highlight w:val="none"/>
              </w:rPr>
              <w:t>Y＜100</w:t>
            </w:r>
          </w:p>
        </w:tc>
      </w:tr>
      <w:tr w14:paraId="778E57EE">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6B78B48D">
            <w:pPr>
              <w:widowControl/>
              <w:jc w:val="center"/>
              <w:rPr>
                <w:bCs/>
                <w:color w:val="auto"/>
                <w:kern w:val="0"/>
                <w:sz w:val="22"/>
                <w:szCs w:val="22"/>
                <w:highlight w:val="none"/>
              </w:rPr>
            </w:pPr>
            <w:r>
              <w:rPr>
                <w:bCs/>
                <w:color w:val="auto"/>
                <w:kern w:val="0"/>
                <w:sz w:val="22"/>
                <w:szCs w:val="22"/>
                <w:highlight w:val="none"/>
              </w:rPr>
              <w:t>邮政业</w:t>
            </w:r>
          </w:p>
        </w:tc>
        <w:tc>
          <w:tcPr>
            <w:tcW w:w="1586" w:type="dxa"/>
            <w:tcBorders>
              <w:top w:val="nil"/>
              <w:left w:val="nil"/>
              <w:bottom w:val="single" w:color="auto" w:sz="4" w:space="0"/>
              <w:right w:val="single" w:color="auto" w:sz="4" w:space="0"/>
            </w:tcBorders>
            <w:vAlign w:val="center"/>
          </w:tcPr>
          <w:p w14:paraId="277C2C64">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405D7059">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6CCBBF17">
            <w:pPr>
              <w:widowControl/>
              <w:jc w:val="center"/>
              <w:rPr>
                <w:bCs/>
                <w:color w:val="auto"/>
                <w:kern w:val="0"/>
                <w:sz w:val="22"/>
                <w:szCs w:val="22"/>
                <w:highlight w:val="none"/>
              </w:rPr>
            </w:pPr>
            <w:r>
              <w:rPr>
                <w:bCs/>
                <w:color w:val="auto"/>
                <w:kern w:val="0"/>
                <w:sz w:val="22"/>
                <w:szCs w:val="22"/>
                <w:highlight w:val="none"/>
              </w:rPr>
              <w:t>300≤X＜1000</w:t>
            </w:r>
          </w:p>
        </w:tc>
        <w:tc>
          <w:tcPr>
            <w:tcW w:w="1701" w:type="dxa"/>
            <w:tcBorders>
              <w:top w:val="nil"/>
              <w:left w:val="nil"/>
              <w:bottom w:val="single" w:color="auto" w:sz="4" w:space="0"/>
              <w:right w:val="single" w:color="auto" w:sz="4" w:space="0"/>
            </w:tcBorders>
            <w:vAlign w:val="center"/>
          </w:tcPr>
          <w:p w14:paraId="74DC71EB">
            <w:pPr>
              <w:widowControl/>
              <w:jc w:val="center"/>
              <w:rPr>
                <w:bCs/>
                <w:color w:val="auto"/>
                <w:kern w:val="0"/>
                <w:sz w:val="22"/>
                <w:szCs w:val="22"/>
                <w:highlight w:val="none"/>
              </w:rPr>
            </w:pPr>
            <w:r>
              <w:rPr>
                <w:bCs/>
                <w:color w:val="auto"/>
                <w:kern w:val="0"/>
                <w:sz w:val="22"/>
                <w:szCs w:val="22"/>
                <w:highlight w:val="none"/>
              </w:rPr>
              <w:t>20≤X＜300</w:t>
            </w:r>
          </w:p>
        </w:tc>
        <w:tc>
          <w:tcPr>
            <w:tcW w:w="1276" w:type="dxa"/>
            <w:tcBorders>
              <w:top w:val="nil"/>
              <w:left w:val="nil"/>
              <w:bottom w:val="single" w:color="auto" w:sz="4" w:space="0"/>
              <w:right w:val="single" w:color="auto" w:sz="4" w:space="0"/>
            </w:tcBorders>
            <w:vAlign w:val="center"/>
          </w:tcPr>
          <w:p w14:paraId="11C3012A">
            <w:pPr>
              <w:widowControl/>
              <w:jc w:val="center"/>
              <w:rPr>
                <w:bCs/>
                <w:color w:val="auto"/>
                <w:kern w:val="0"/>
                <w:sz w:val="22"/>
                <w:szCs w:val="22"/>
                <w:highlight w:val="none"/>
              </w:rPr>
            </w:pPr>
            <w:r>
              <w:rPr>
                <w:bCs/>
                <w:color w:val="auto"/>
                <w:kern w:val="0"/>
                <w:sz w:val="22"/>
                <w:szCs w:val="22"/>
                <w:highlight w:val="none"/>
              </w:rPr>
              <w:t>X＜20</w:t>
            </w:r>
          </w:p>
        </w:tc>
      </w:tr>
      <w:tr w14:paraId="494413B9">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641FE2A9">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03EA56D5">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5E56B1A9">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60DE695A">
            <w:pPr>
              <w:widowControl/>
              <w:jc w:val="center"/>
              <w:rPr>
                <w:bCs/>
                <w:color w:val="auto"/>
                <w:kern w:val="0"/>
                <w:sz w:val="22"/>
                <w:szCs w:val="22"/>
                <w:highlight w:val="none"/>
              </w:rPr>
            </w:pPr>
            <w:r>
              <w:rPr>
                <w:bCs/>
                <w:color w:val="auto"/>
                <w:kern w:val="0"/>
                <w:sz w:val="22"/>
                <w:szCs w:val="22"/>
                <w:highlight w:val="none"/>
              </w:rPr>
              <w:t>2000≤Y＜30000</w:t>
            </w:r>
          </w:p>
        </w:tc>
        <w:tc>
          <w:tcPr>
            <w:tcW w:w="1701" w:type="dxa"/>
            <w:tcBorders>
              <w:top w:val="nil"/>
              <w:left w:val="nil"/>
              <w:bottom w:val="single" w:color="auto" w:sz="4" w:space="0"/>
              <w:right w:val="single" w:color="auto" w:sz="4" w:space="0"/>
            </w:tcBorders>
            <w:vAlign w:val="center"/>
          </w:tcPr>
          <w:p w14:paraId="4BF41192">
            <w:pPr>
              <w:widowControl/>
              <w:jc w:val="center"/>
              <w:rPr>
                <w:bCs/>
                <w:color w:val="auto"/>
                <w:kern w:val="0"/>
                <w:sz w:val="22"/>
                <w:szCs w:val="22"/>
                <w:highlight w:val="none"/>
              </w:rPr>
            </w:pPr>
            <w:r>
              <w:rPr>
                <w:bCs/>
                <w:color w:val="auto"/>
                <w:kern w:val="0"/>
                <w:sz w:val="22"/>
                <w:szCs w:val="22"/>
                <w:highlight w:val="none"/>
              </w:rPr>
              <w:t>100≤Y＜2000</w:t>
            </w:r>
          </w:p>
        </w:tc>
        <w:tc>
          <w:tcPr>
            <w:tcW w:w="1276" w:type="dxa"/>
            <w:tcBorders>
              <w:top w:val="nil"/>
              <w:left w:val="nil"/>
              <w:bottom w:val="single" w:color="auto" w:sz="4" w:space="0"/>
              <w:right w:val="single" w:color="auto" w:sz="4" w:space="0"/>
            </w:tcBorders>
            <w:vAlign w:val="center"/>
          </w:tcPr>
          <w:p w14:paraId="4B86EA9B">
            <w:pPr>
              <w:widowControl/>
              <w:jc w:val="center"/>
              <w:rPr>
                <w:bCs/>
                <w:color w:val="auto"/>
                <w:kern w:val="0"/>
                <w:sz w:val="22"/>
                <w:szCs w:val="22"/>
                <w:highlight w:val="none"/>
              </w:rPr>
            </w:pPr>
            <w:r>
              <w:rPr>
                <w:bCs/>
                <w:color w:val="auto"/>
                <w:kern w:val="0"/>
                <w:sz w:val="22"/>
                <w:szCs w:val="22"/>
                <w:highlight w:val="none"/>
              </w:rPr>
              <w:t>Y＜100</w:t>
            </w:r>
          </w:p>
        </w:tc>
      </w:tr>
      <w:tr w14:paraId="14A6ED12">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4F0F7640">
            <w:pPr>
              <w:widowControl/>
              <w:jc w:val="center"/>
              <w:rPr>
                <w:bCs/>
                <w:color w:val="auto"/>
                <w:kern w:val="0"/>
                <w:sz w:val="22"/>
                <w:szCs w:val="22"/>
                <w:highlight w:val="none"/>
              </w:rPr>
            </w:pPr>
            <w:r>
              <w:rPr>
                <w:bCs/>
                <w:color w:val="auto"/>
                <w:kern w:val="0"/>
                <w:sz w:val="22"/>
                <w:szCs w:val="22"/>
                <w:highlight w:val="none"/>
              </w:rPr>
              <w:t>住宿业</w:t>
            </w:r>
          </w:p>
        </w:tc>
        <w:tc>
          <w:tcPr>
            <w:tcW w:w="1586" w:type="dxa"/>
            <w:tcBorders>
              <w:top w:val="nil"/>
              <w:left w:val="nil"/>
              <w:bottom w:val="single" w:color="auto" w:sz="4" w:space="0"/>
              <w:right w:val="single" w:color="auto" w:sz="4" w:space="0"/>
            </w:tcBorders>
            <w:vAlign w:val="center"/>
          </w:tcPr>
          <w:p w14:paraId="286954BE">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5734ADE6">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4842D603">
            <w:pPr>
              <w:widowControl/>
              <w:jc w:val="center"/>
              <w:rPr>
                <w:bCs/>
                <w:color w:val="auto"/>
                <w:kern w:val="0"/>
                <w:sz w:val="22"/>
                <w:szCs w:val="22"/>
                <w:highlight w:val="none"/>
              </w:rPr>
            </w:pPr>
            <w:r>
              <w:rPr>
                <w:bCs/>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14:paraId="5099EDF0">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14:paraId="03145EB5">
            <w:pPr>
              <w:widowControl/>
              <w:jc w:val="center"/>
              <w:rPr>
                <w:bCs/>
                <w:color w:val="auto"/>
                <w:kern w:val="0"/>
                <w:sz w:val="22"/>
                <w:szCs w:val="22"/>
                <w:highlight w:val="none"/>
              </w:rPr>
            </w:pPr>
            <w:r>
              <w:rPr>
                <w:bCs/>
                <w:color w:val="auto"/>
                <w:kern w:val="0"/>
                <w:sz w:val="22"/>
                <w:szCs w:val="22"/>
                <w:highlight w:val="none"/>
              </w:rPr>
              <w:t>X＜10</w:t>
            </w:r>
          </w:p>
        </w:tc>
      </w:tr>
      <w:tr w14:paraId="5E42FAF4">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6026BA4E">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597B8F97">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03672C5B">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556DEC1F">
            <w:pPr>
              <w:widowControl/>
              <w:jc w:val="center"/>
              <w:rPr>
                <w:bCs/>
                <w:color w:val="auto"/>
                <w:kern w:val="0"/>
                <w:sz w:val="22"/>
                <w:szCs w:val="22"/>
                <w:highlight w:val="none"/>
              </w:rPr>
            </w:pPr>
            <w:r>
              <w:rPr>
                <w:bCs/>
                <w:color w:val="auto"/>
                <w:kern w:val="0"/>
                <w:sz w:val="22"/>
                <w:szCs w:val="22"/>
                <w:highlight w:val="none"/>
              </w:rPr>
              <w:t>2000≤Y＜10000</w:t>
            </w:r>
          </w:p>
        </w:tc>
        <w:tc>
          <w:tcPr>
            <w:tcW w:w="1701" w:type="dxa"/>
            <w:tcBorders>
              <w:top w:val="nil"/>
              <w:left w:val="nil"/>
              <w:bottom w:val="single" w:color="auto" w:sz="4" w:space="0"/>
              <w:right w:val="single" w:color="auto" w:sz="4" w:space="0"/>
            </w:tcBorders>
            <w:vAlign w:val="center"/>
          </w:tcPr>
          <w:p w14:paraId="75B446D1">
            <w:pPr>
              <w:widowControl/>
              <w:jc w:val="center"/>
              <w:rPr>
                <w:bCs/>
                <w:color w:val="auto"/>
                <w:kern w:val="0"/>
                <w:sz w:val="22"/>
                <w:szCs w:val="22"/>
                <w:highlight w:val="none"/>
              </w:rPr>
            </w:pPr>
            <w:r>
              <w:rPr>
                <w:bCs/>
                <w:color w:val="auto"/>
                <w:kern w:val="0"/>
                <w:sz w:val="22"/>
                <w:szCs w:val="22"/>
                <w:highlight w:val="none"/>
              </w:rPr>
              <w:t>100≤Y＜2000</w:t>
            </w:r>
          </w:p>
        </w:tc>
        <w:tc>
          <w:tcPr>
            <w:tcW w:w="1276" w:type="dxa"/>
            <w:tcBorders>
              <w:top w:val="nil"/>
              <w:left w:val="nil"/>
              <w:bottom w:val="single" w:color="auto" w:sz="4" w:space="0"/>
              <w:right w:val="single" w:color="auto" w:sz="4" w:space="0"/>
            </w:tcBorders>
            <w:vAlign w:val="center"/>
          </w:tcPr>
          <w:p w14:paraId="7323DAE9">
            <w:pPr>
              <w:widowControl/>
              <w:jc w:val="center"/>
              <w:rPr>
                <w:bCs/>
                <w:color w:val="auto"/>
                <w:kern w:val="0"/>
                <w:sz w:val="22"/>
                <w:szCs w:val="22"/>
                <w:highlight w:val="none"/>
              </w:rPr>
            </w:pPr>
            <w:r>
              <w:rPr>
                <w:bCs/>
                <w:color w:val="auto"/>
                <w:kern w:val="0"/>
                <w:sz w:val="22"/>
                <w:szCs w:val="22"/>
                <w:highlight w:val="none"/>
              </w:rPr>
              <w:t>Y＜100</w:t>
            </w:r>
          </w:p>
        </w:tc>
      </w:tr>
      <w:tr w14:paraId="70096C9D">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75B95B8B">
            <w:pPr>
              <w:widowControl/>
              <w:jc w:val="center"/>
              <w:rPr>
                <w:bCs/>
                <w:color w:val="auto"/>
                <w:kern w:val="0"/>
                <w:sz w:val="22"/>
                <w:szCs w:val="22"/>
                <w:highlight w:val="none"/>
              </w:rPr>
            </w:pPr>
            <w:r>
              <w:rPr>
                <w:bCs/>
                <w:color w:val="auto"/>
                <w:kern w:val="0"/>
                <w:sz w:val="22"/>
                <w:szCs w:val="22"/>
                <w:highlight w:val="none"/>
              </w:rPr>
              <w:t>餐饮业</w:t>
            </w:r>
          </w:p>
        </w:tc>
        <w:tc>
          <w:tcPr>
            <w:tcW w:w="1586" w:type="dxa"/>
            <w:tcBorders>
              <w:top w:val="nil"/>
              <w:left w:val="nil"/>
              <w:bottom w:val="single" w:color="auto" w:sz="4" w:space="0"/>
              <w:right w:val="single" w:color="auto" w:sz="4" w:space="0"/>
            </w:tcBorders>
            <w:vAlign w:val="center"/>
          </w:tcPr>
          <w:p w14:paraId="298E269C">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5E6914FC">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7B188052">
            <w:pPr>
              <w:widowControl/>
              <w:jc w:val="center"/>
              <w:rPr>
                <w:bCs/>
                <w:color w:val="auto"/>
                <w:kern w:val="0"/>
                <w:sz w:val="22"/>
                <w:szCs w:val="22"/>
                <w:highlight w:val="none"/>
              </w:rPr>
            </w:pPr>
            <w:r>
              <w:rPr>
                <w:bCs/>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14:paraId="3ED46CD1">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14:paraId="24BC109E">
            <w:pPr>
              <w:widowControl/>
              <w:jc w:val="center"/>
              <w:rPr>
                <w:bCs/>
                <w:color w:val="auto"/>
                <w:kern w:val="0"/>
                <w:sz w:val="22"/>
                <w:szCs w:val="22"/>
                <w:highlight w:val="none"/>
              </w:rPr>
            </w:pPr>
            <w:r>
              <w:rPr>
                <w:bCs/>
                <w:color w:val="auto"/>
                <w:kern w:val="0"/>
                <w:sz w:val="22"/>
                <w:szCs w:val="22"/>
                <w:highlight w:val="none"/>
              </w:rPr>
              <w:t>X＜10</w:t>
            </w:r>
          </w:p>
        </w:tc>
      </w:tr>
      <w:tr w14:paraId="7014A4C1">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2007B475">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24BFF9D2">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6985515A">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27E60639">
            <w:pPr>
              <w:widowControl/>
              <w:jc w:val="center"/>
              <w:rPr>
                <w:bCs/>
                <w:color w:val="auto"/>
                <w:kern w:val="0"/>
                <w:sz w:val="22"/>
                <w:szCs w:val="22"/>
                <w:highlight w:val="none"/>
              </w:rPr>
            </w:pPr>
            <w:r>
              <w:rPr>
                <w:bCs/>
                <w:color w:val="auto"/>
                <w:kern w:val="0"/>
                <w:sz w:val="22"/>
                <w:szCs w:val="22"/>
                <w:highlight w:val="none"/>
              </w:rPr>
              <w:t>2000≤Y＜10000</w:t>
            </w:r>
          </w:p>
        </w:tc>
        <w:tc>
          <w:tcPr>
            <w:tcW w:w="1701" w:type="dxa"/>
            <w:tcBorders>
              <w:top w:val="nil"/>
              <w:left w:val="nil"/>
              <w:bottom w:val="single" w:color="auto" w:sz="4" w:space="0"/>
              <w:right w:val="single" w:color="auto" w:sz="4" w:space="0"/>
            </w:tcBorders>
            <w:vAlign w:val="center"/>
          </w:tcPr>
          <w:p w14:paraId="1DDBB1CA">
            <w:pPr>
              <w:widowControl/>
              <w:jc w:val="center"/>
              <w:rPr>
                <w:bCs/>
                <w:color w:val="auto"/>
                <w:kern w:val="0"/>
                <w:sz w:val="22"/>
                <w:szCs w:val="22"/>
                <w:highlight w:val="none"/>
              </w:rPr>
            </w:pPr>
            <w:r>
              <w:rPr>
                <w:bCs/>
                <w:color w:val="auto"/>
                <w:kern w:val="0"/>
                <w:sz w:val="22"/>
                <w:szCs w:val="22"/>
                <w:highlight w:val="none"/>
              </w:rPr>
              <w:t>100≤Y＜2000</w:t>
            </w:r>
          </w:p>
        </w:tc>
        <w:tc>
          <w:tcPr>
            <w:tcW w:w="1276" w:type="dxa"/>
            <w:tcBorders>
              <w:top w:val="nil"/>
              <w:left w:val="nil"/>
              <w:bottom w:val="single" w:color="auto" w:sz="4" w:space="0"/>
              <w:right w:val="single" w:color="auto" w:sz="4" w:space="0"/>
            </w:tcBorders>
            <w:vAlign w:val="center"/>
          </w:tcPr>
          <w:p w14:paraId="771A7063">
            <w:pPr>
              <w:widowControl/>
              <w:jc w:val="center"/>
              <w:rPr>
                <w:bCs/>
                <w:color w:val="auto"/>
                <w:kern w:val="0"/>
                <w:sz w:val="22"/>
                <w:szCs w:val="22"/>
                <w:highlight w:val="none"/>
              </w:rPr>
            </w:pPr>
            <w:r>
              <w:rPr>
                <w:bCs/>
                <w:color w:val="auto"/>
                <w:kern w:val="0"/>
                <w:sz w:val="22"/>
                <w:szCs w:val="22"/>
                <w:highlight w:val="none"/>
              </w:rPr>
              <w:t>Y＜100</w:t>
            </w:r>
          </w:p>
        </w:tc>
      </w:tr>
      <w:tr w14:paraId="6A286D78">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57D26BB2">
            <w:pPr>
              <w:widowControl/>
              <w:jc w:val="center"/>
              <w:rPr>
                <w:bCs/>
                <w:color w:val="auto"/>
                <w:kern w:val="0"/>
                <w:sz w:val="22"/>
                <w:szCs w:val="22"/>
                <w:highlight w:val="none"/>
              </w:rPr>
            </w:pPr>
            <w:r>
              <w:rPr>
                <w:bCs/>
                <w:color w:val="auto"/>
                <w:kern w:val="0"/>
                <w:sz w:val="22"/>
                <w:szCs w:val="22"/>
                <w:highlight w:val="none"/>
              </w:rPr>
              <w:t>信息传输业</w:t>
            </w:r>
          </w:p>
        </w:tc>
        <w:tc>
          <w:tcPr>
            <w:tcW w:w="1586" w:type="dxa"/>
            <w:tcBorders>
              <w:top w:val="nil"/>
              <w:left w:val="nil"/>
              <w:bottom w:val="single" w:color="auto" w:sz="4" w:space="0"/>
              <w:right w:val="single" w:color="auto" w:sz="4" w:space="0"/>
            </w:tcBorders>
            <w:vAlign w:val="center"/>
          </w:tcPr>
          <w:p w14:paraId="4A399984">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4F47BE6C">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70834FC9">
            <w:pPr>
              <w:widowControl/>
              <w:jc w:val="center"/>
              <w:rPr>
                <w:bCs/>
                <w:color w:val="auto"/>
                <w:kern w:val="0"/>
                <w:sz w:val="22"/>
                <w:szCs w:val="22"/>
                <w:highlight w:val="none"/>
              </w:rPr>
            </w:pPr>
            <w:r>
              <w:rPr>
                <w:bCs/>
                <w:color w:val="auto"/>
                <w:kern w:val="0"/>
                <w:sz w:val="22"/>
                <w:szCs w:val="22"/>
                <w:highlight w:val="none"/>
              </w:rPr>
              <w:t>100≤X＜2000</w:t>
            </w:r>
          </w:p>
        </w:tc>
        <w:tc>
          <w:tcPr>
            <w:tcW w:w="1701" w:type="dxa"/>
            <w:tcBorders>
              <w:top w:val="nil"/>
              <w:left w:val="nil"/>
              <w:bottom w:val="single" w:color="auto" w:sz="4" w:space="0"/>
              <w:right w:val="single" w:color="auto" w:sz="4" w:space="0"/>
            </w:tcBorders>
            <w:vAlign w:val="center"/>
          </w:tcPr>
          <w:p w14:paraId="0AC58157">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14:paraId="32D74DE8">
            <w:pPr>
              <w:widowControl/>
              <w:jc w:val="center"/>
              <w:rPr>
                <w:bCs/>
                <w:color w:val="auto"/>
                <w:kern w:val="0"/>
                <w:sz w:val="22"/>
                <w:szCs w:val="22"/>
                <w:highlight w:val="none"/>
              </w:rPr>
            </w:pPr>
            <w:r>
              <w:rPr>
                <w:bCs/>
                <w:color w:val="auto"/>
                <w:kern w:val="0"/>
                <w:sz w:val="22"/>
                <w:szCs w:val="22"/>
                <w:highlight w:val="none"/>
              </w:rPr>
              <w:t>X＜10</w:t>
            </w:r>
          </w:p>
        </w:tc>
      </w:tr>
      <w:tr w14:paraId="65DAF45A">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11CEEF83">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3668B44D">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7A630FDD">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157D0A13">
            <w:pPr>
              <w:widowControl/>
              <w:jc w:val="center"/>
              <w:rPr>
                <w:bCs/>
                <w:color w:val="auto"/>
                <w:kern w:val="0"/>
                <w:sz w:val="22"/>
                <w:szCs w:val="22"/>
                <w:highlight w:val="none"/>
              </w:rPr>
            </w:pPr>
            <w:r>
              <w:rPr>
                <w:bCs/>
                <w:color w:val="auto"/>
                <w:kern w:val="0"/>
                <w:sz w:val="22"/>
                <w:szCs w:val="22"/>
                <w:highlight w:val="none"/>
              </w:rPr>
              <w:t>1000≤Y＜100000</w:t>
            </w:r>
          </w:p>
        </w:tc>
        <w:tc>
          <w:tcPr>
            <w:tcW w:w="1701" w:type="dxa"/>
            <w:tcBorders>
              <w:top w:val="nil"/>
              <w:left w:val="nil"/>
              <w:bottom w:val="single" w:color="auto" w:sz="4" w:space="0"/>
              <w:right w:val="single" w:color="auto" w:sz="4" w:space="0"/>
            </w:tcBorders>
            <w:vAlign w:val="center"/>
          </w:tcPr>
          <w:p w14:paraId="7950E4FF">
            <w:pPr>
              <w:widowControl/>
              <w:jc w:val="center"/>
              <w:rPr>
                <w:bCs/>
                <w:color w:val="auto"/>
                <w:kern w:val="0"/>
                <w:sz w:val="22"/>
                <w:szCs w:val="22"/>
                <w:highlight w:val="none"/>
              </w:rPr>
            </w:pPr>
            <w:r>
              <w:rPr>
                <w:bCs/>
                <w:color w:val="auto"/>
                <w:kern w:val="0"/>
                <w:sz w:val="22"/>
                <w:szCs w:val="22"/>
                <w:highlight w:val="none"/>
              </w:rPr>
              <w:t>100≤Y＜1000</w:t>
            </w:r>
          </w:p>
        </w:tc>
        <w:tc>
          <w:tcPr>
            <w:tcW w:w="1276" w:type="dxa"/>
            <w:tcBorders>
              <w:top w:val="nil"/>
              <w:left w:val="nil"/>
              <w:bottom w:val="single" w:color="auto" w:sz="4" w:space="0"/>
              <w:right w:val="single" w:color="auto" w:sz="4" w:space="0"/>
            </w:tcBorders>
            <w:vAlign w:val="center"/>
          </w:tcPr>
          <w:p w14:paraId="30041905">
            <w:pPr>
              <w:widowControl/>
              <w:jc w:val="center"/>
              <w:rPr>
                <w:bCs/>
                <w:color w:val="auto"/>
                <w:kern w:val="0"/>
                <w:sz w:val="22"/>
                <w:szCs w:val="22"/>
                <w:highlight w:val="none"/>
              </w:rPr>
            </w:pPr>
            <w:r>
              <w:rPr>
                <w:bCs/>
                <w:color w:val="auto"/>
                <w:kern w:val="0"/>
                <w:sz w:val="22"/>
                <w:szCs w:val="22"/>
                <w:highlight w:val="none"/>
              </w:rPr>
              <w:t>Y＜100</w:t>
            </w:r>
          </w:p>
        </w:tc>
      </w:tr>
      <w:tr w14:paraId="0728AAAC">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19FE6812">
            <w:pPr>
              <w:widowControl/>
              <w:jc w:val="center"/>
              <w:rPr>
                <w:bCs/>
                <w:color w:val="auto"/>
                <w:kern w:val="0"/>
                <w:sz w:val="22"/>
                <w:szCs w:val="22"/>
                <w:highlight w:val="none"/>
              </w:rPr>
            </w:pPr>
            <w:r>
              <w:rPr>
                <w:bCs/>
                <w:color w:val="auto"/>
                <w:kern w:val="0"/>
                <w:sz w:val="22"/>
                <w:szCs w:val="22"/>
                <w:highlight w:val="none"/>
              </w:rPr>
              <w:t>软件和信息技术服务业</w:t>
            </w:r>
          </w:p>
        </w:tc>
        <w:tc>
          <w:tcPr>
            <w:tcW w:w="1586" w:type="dxa"/>
            <w:tcBorders>
              <w:top w:val="nil"/>
              <w:left w:val="nil"/>
              <w:bottom w:val="single" w:color="auto" w:sz="4" w:space="0"/>
              <w:right w:val="single" w:color="auto" w:sz="4" w:space="0"/>
            </w:tcBorders>
            <w:vAlign w:val="center"/>
          </w:tcPr>
          <w:p w14:paraId="51FB95C7">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39C892D8">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61FEEB83">
            <w:pPr>
              <w:widowControl/>
              <w:jc w:val="center"/>
              <w:rPr>
                <w:bCs/>
                <w:color w:val="auto"/>
                <w:kern w:val="0"/>
                <w:sz w:val="22"/>
                <w:szCs w:val="22"/>
                <w:highlight w:val="none"/>
              </w:rPr>
            </w:pPr>
            <w:r>
              <w:rPr>
                <w:bCs/>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14:paraId="3753AFE0">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14:paraId="3C4CFF88">
            <w:pPr>
              <w:widowControl/>
              <w:jc w:val="center"/>
              <w:rPr>
                <w:bCs/>
                <w:color w:val="auto"/>
                <w:kern w:val="0"/>
                <w:sz w:val="22"/>
                <w:szCs w:val="22"/>
                <w:highlight w:val="none"/>
              </w:rPr>
            </w:pPr>
            <w:r>
              <w:rPr>
                <w:bCs/>
                <w:color w:val="auto"/>
                <w:kern w:val="0"/>
                <w:sz w:val="22"/>
                <w:szCs w:val="22"/>
                <w:highlight w:val="none"/>
              </w:rPr>
              <w:t>X＜10</w:t>
            </w:r>
          </w:p>
        </w:tc>
      </w:tr>
      <w:tr w14:paraId="40E87F35">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30F81020">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383C4AE2">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3B85F7EB">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391EB9E8">
            <w:pPr>
              <w:widowControl/>
              <w:jc w:val="center"/>
              <w:rPr>
                <w:bCs/>
                <w:color w:val="auto"/>
                <w:kern w:val="0"/>
                <w:sz w:val="22"/>
                <w:szCs w:val="22"/>
                <w:highlight w:val="none"/>
              </w:rPr>
            </w:pPr>
            <w:r>
              <w:rPr>
                <w:bCs/>
                <w:color w:val="auto"/>
                <w:kern w:val="0"/>
                <w:sz w:val="22"/>
                <w:szCs w:val="22"/>
                <w:highlight w:val="none"/>
              </w:rPr>
              <w:t>1000≤Y＜10000</w:t>
            </w:r>
          </w:p>
        </w:tc>
        <w:tc>
          <w:tcPr>
            <w:tcW w:w="1701" w:type="dxa"/>
            <w:tcBorders>
              <w:top w:val="nil"/>
              <w:left w:val="nil"/>
              <w:bottom w:val="single" w:color="auto" w:sz="4" w:space="0"/>
              <w:right w:val="single" w:color="auto" w:sz="4" w:space="0"/>
            </w:tcBorders>
            <w:vAlign w:val="center"/>
          </w:tcPr>
          <w:p w14:paraId="141C1962">
            <w:pPr>
              <w:widowControl/>
              <w:jc w:val="center"/>
              <w:rPr>
                <w:bCs/>
                <w:color w:val="auto"/>
                <w:kern w:val="0"/>
                <w:sz w:val="22"/>
                <w:szCs w:val="22"/>
                <w:highlight w:val="none"/>
              </w:rPr>
            </w:pPr>
            <w:r>
              <w:rPr>
                <w:bCs/>
                <w:color w:val="auto"/>
                <w:kern w:val="0"/>
                <w:sz w:val="22"/>
                <w:szCs w:val="22"/>
                <w:highlight w:val="none"/>
              </w:rPr>
              <w:t>50≤Y＜1000</w:t>
            </w:r>
          </w:p>
        </w:tc>
        <w:tc>
          <w:tcPr>
            <w:tcW w:w="1276" w:type="dxa"/>
            <w:tcBorders>
              <w:top w:val="nil"/>
              <w:left w:val="nil"/>
              <w:bottom w:val="single" w:color="auto" w:sz="4" w:space="0"/>
              <w:right w:val="single" w:color="auto" w:sz="4" w:space="0"/>
            </w:tcBorders>
            <w:vAlign w:val="center"/>
          </w:tcPr>
          <w:p w14:paraId="052BF708">
            <w:pPr>
              <w:widowControl/>
              <w:jc w:val="center"/>
              <w:rPr>
                <w:bCs/>
                <w:color w:val="auto"/>
                <w:kern w:val="0"/>
                <w:sz w:val="22"/>
                <w:szCs w:val="22"/>
                <w:highlight w:val="none"/>
              </w:rPr>
            </w:pPr>
            <w:r>
              <w:rPr>
                <w:bCs/>
                <w:color w:val="auto"/>
                <w:kern w:val="0"/>
                <w:sz w:val="22"/>
                <w:szCs w:val="22"/>
                <w:highlight w:val="none"/>
              </w:rPr>
              <w:t>Y＜50</w:t>
            </w:r>
          </w:p>
        </w:tc>
      </w:tr>
      <w:tr w14:paraId="6FB2BE7D">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1114DC63">
            <w:pPr>
              <w:widowControl/>
              <w:jc w:val="center"/>
              <w:rPr>
                <w:bCs/>
                <w:color w:val="auto"/>
                <w:kern w:val="0"/>
                <w:sz w:val="22"/>
                <w:szCs w:val="22"/>
                <w:highlight w:val="none"/>
              </w:rPr>
            </w:pPr>
            <w:r>
              <w:rPr>
                <w:bCs/>
                <w:color w:val="auto"/>
                <w:kern w:val="0"/>
                <w:sz w:val="22"/>
                <w:szCs w:val="22"/>
                <w:highlight w:val="none"/>
              </w:rPr>
              <w:t>房地产开发经营</w:t>
            </w:r>
          </w:p>
        </w:tc>
        <w:tc>
          <w:tcPr>
            <w:tcW w:w="1586" w:type="dxa"/>
            <w:tcBorders>
              <w:top w:val="nil"/>
              <w:left w:val="nil"/>
              <w:bottom w:val="single" w:color="auto" w:sz="4" w:space="0"/>
              <w:right w:val="single" w:color="auto" w:sz="4" w:space="0"/>
            </w:tcBorders>
            <w:vAlign w:val="center"/>
          </w:tcPr>
          <w:p w14:paraId="54552494">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105E37E1">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18791B2F">
            <w:pPr>
              <w:widowControl/>
              <w:jc w:val="center"/>
              <w:rPr>
                <w:bCs/>
                <w:color w:val="auto"/>
                <w:kern w:val="0"/>
                <w:sz w:val="22"/>
                <w:szCs w:val="22"/>
                <w:highlight w:val="none"/>
              </w:rPr>
            </w:pPr>
            <w:r>
              <w:rPr>
                <w:bCs/>
                <w:color w:val="auto"/>
                <w:kern w:val="0"/>
                <w:sz w:val="22"/>
                <w:szCs w:val="22"/>
                <w:highlight w:val="none"/>
              </w:rPr>
              <w:t>1000≤Y＜200000</w:t>
            </w:r>
          </w:p>
        </w:tc>
        <w:tc>
          <w:tcPr>
            <w:tcW w:w="1701" w:type="dxa"/>
            <w:tcBorders>
              <w:top w:val="nil"/>
              <w:left w:val="nil"/>
              <w:bottom w:val="single" w:color="auto" w:sz="4" w:space="0"/>
              <w:right w:val="single" w:color="auto" w:sz="4" w:space="0"/>
            </w:tcBorders>
            <w:vAlign w:val="center"/>
          </w:tcPr>
          <w:p w14:paraId="3C4DDD86">
            <w:pPr>
              <w:widowControl/>
              <w:jc w:val="center"/>
              <w:rPr>
                <w:bCs/>
                <w:color w:val="auto"/>
                <w:kern w:val="0"/>
                <w:sz w:val="22"/>
                <w:szCs w:val="22"/>
                <w:highlight w:val="none"/>
              </w:rPr>
            </w:pPr>
            <w:r>
              <w:rPr>
                <w:bCs/>
                <w:color w:val="auto"/>
                <w:kern w:val="0"/>
                <w:sz w:val="22"/>
                <w:szCs w:val="22"/>
                <w:highlight w:val="none"/>
              </w:rPr>
              <w:t>100≤X＜1000</w:t>
            </w:r>
          </w:p>
        </w:tc>
        <w:tc>
          <w:tcPr>
            <w:tcW w:w="1276" w:type="dxa"/>
            <w:tcBorders>
              <w:top w:val="nil"/>
              <w:left w:val="nil"/>
              <w:bottom w:val="single" w:color="auto" w:sz="4" w:space="0"/>
              <w:right w:val="single" w:color="auto" w:sz="4" w:space="0"/>
            </w:tcBorders>
            <w:vAlign w:val="center"/>
          </w:tcPr>
          <w:p w14:paraId="016BE883">
            <w:pPr>
              <w:widowControl/>
              <w:jc w:val="center"/>
              <w:rPr>
                <w:bCs/>
                <w:color w:val="auto"/>
                <w:kern w:val="0"/>
                <w:sz w:val="22"/>
                <w:szCs w:val="22"/>
                <w:highlight w:val="none"/>
              </w:rPr>
            </w:pPr>
            <w:r>
              <w:rPr>
                <w:bCs/>
                <w:color w:val="auto"/>
                <w:kern w:val="0"/>
                <w:sz w:val="22"/>
                <w:szCs w:val="22"/>
                <w:highlight w:val="none"/>
              </w:rPr>
              <w:t>X＜100</w:t>
            </w:r>
          </w:p>
        </w:tc>
      </w:tr>
      <w:tr w14:paraId="79607015">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32021920">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625E2371">
            <w:pPr>
              <w:widowControl/>
              <w:jc w:val="center"/>
              <w:rPr>
                <w:bCs/>
                <w:color w:val="auto"/>
                <w:kern w:val="0"/>
                <w:sz w:val="22"/>
                <w:szCs w:val="22"/>
                <w:highlight w:val="none"/>
              </w:rPr>
            </w:pPr>
            <w:r>
              <w:rPr>
                <w:bCs/>
                <w:color w:val="auto"/>
                <w:kern w:val="0"/>
                <w:sz w:val="22"/>
                <w:szCs w:val="22"/>
                <w:highlight w:val="none"/>
              </w:rPr>
              <w:t>资产总额（Z）</w:t>
            </w:r>
          </w:p>
        </w:tc>
        <w:tc>
          <w:tcPr>
            <w:tcW w:w="1285" w:type="dxa"/>
            <w:tcBorders>
              <w:top w:val="nil"/>
              <w:left w:val="nil"/>
              <w:bottom w:val="single" w:color="auto" w:sz="4" w:space="0"/>
              <w:right w:val="single" w:color="auto" w:sz="4" w:space="0"/>
            </w:tcBorders>
            <w:vAlign w:val="center"/>
          </w:tcPr>
          <w:p w14:paraId="3102FDE9">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197F6C5E">
            <w:pPr>
              <w:widowControl/>
              <w:jc w:val="center"/>
              <w:rPr>
                <w:bCs/>
                <w:color w:val="auto"/>
                <w:kern w:val="0"/>
                <w:sz w:val="22"/>
                <w:szCs w:val="22"/>
                <w:highlight w:val="none"/>
              </w:rPr>
            </w:pPr>
            <w:r>
              <w:rPr>
                <w:bCs/>
                <w:color w:val="auto"/>
                <w:kern w:val="0"/>
                <w:sz w:val="22"/>
                <w:szCs w:val="22"/>
                <w:highlight w:val="none"/>
              </w:rPr>
              <w:t>5000≤Z＜10000</w:t>
            </w:r>
          </w:p>
        </w:tc>
        <w:tc>
          <w:tcPr>
            <w:tcW w:w="1701" w:type="dxa"/>
            <w:tcBorders>
              <w:top w:val="nil"/>
              <w:left w:val="nil"/>
              <w:bottom w:val="single" w:color="auto" w:sz="4" w:space="0"/>
              <w:right w:val="single" w:color="auto" w:sz="4" w:space="0"/>
            </w:tcBorders>
            <w:vAlign w:val="center"/>
          </w:tcPr>
          <w:p w14:paraId="3D88C4CD">
            <w:pPr>
              <w:widowControl/>
              <w:jc w:val="center"/>
              <w:rPr>
                <w:bCs/>
                <w:color w:val="auto"/>
                <w:kern w:val="0"/>
                <w:sz w:val="22"/>
                <w:szCs w:val="22"/>
                <w:highlight w:val="none"/>
              </w:rPr>
            </w:pPr>
            <w:r>
              <w:rPr>
                <w:bCs/>
                <w:color w:val="auto"/>
                <w:kern w:val="0"/>
                <w:sz w:val="22"/>
                <w:szCs w:val="22"/>
                <w:highlight w:val="none"/>
              </w:rPr>
              <w:t>2000≤Y＜5000</w:t>
            </w:r>
          </w:p>
        </w:tc>
        <w:tc>
          <w:tcPr>
            <w:tcW w:w="1276" w:type="dxa"/>
            <w:tcBorders>
              <w:top w:val="nil"/>
              <w:left w:val="nil"/>
              <w:bottom w:val="single" w:color="auto" w:sz="4" w:space="0"/>
              <w:right w:val="single" w:color="auto" w:sz="4" w:space="0"/>
            </w:tcBorders>
            <w:vAlign w:val="center"/>
          </w:tcPr>
          <w:p w14:paraId="17E5311C">
            <w:pPr>
              <w:widowControl/>
              <w:jc w:val="center"/>
              <w:rPr>
                <w:bCs/>
                <w:color w:val="auto"/>
                <w:kern w:val="0"/>
                <w:sz w:val="22"/>
                <w:szCs w:val="22"/>
                <w:highlight w:val="none"/>
              </w:rPr>
            </w:pPr>
            <w:r>
              <w:rPr>
                <w:bCs/>
                <w:color w:val="auto"/>
                <w:kern w:val="0"/>
                <w:sz w:val="22"/>
                <w:szCs w:val="22"/>
                <w:highlight w:val="none"/>
              </w:rPr>
              <w:t>Y＜2000</w:t>
            </w:r>
          </w:p>
        </w:tc>
      </w:tr>
      <w:tr w14:paraId="2BE9799F">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256466F4">
            <w:pPr>
              <w:widowControl/>
              <w:jc w:val="center"/>
              <w:rPr>
                <w:bCs/>
                <w:color w:val="auto"/>
                <w:kern w:val="0"/>
                <w:sz w:val="22"/>
                <w:szCs w:val="22"/>
                <w:highlight w:val="none"/>
              </w:rPr>
            </w:pPr>
            <w:r>
              <w:rPr>
                <w:bCs/>
                <w:color w:val="auto"/>
                <w:kern w:val="0"/>
                <w:sz w:val="22"/>
                <w:szCs w:val="22"/>
                <w:highlight w:val="none"/>
              </w:rPr>
              <w:t>物业管理</w:t>
            </w:r>
          </w:p>
        </w:tc>
        <w:tc>
          <w:tcPr>
            <w:tcW w:w="1586" w:type="dxa"/>
            <w:tcBorders>
              <w:top w:val="nil"/>
              <w:left w:val="nil"/>
              <w:bottom w:val="single" w:color="auto" w:sz="4" w:space="0"/>
              <w:right w:val="single" w:color="auto" w:sz="4" w:space="0"/>
            </w:tcBorders>
            <w:vAlign w:val="center"/>
          </w:tcPr>
          <w:p w14:paraId="6E7055BE">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2F081B34">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2D2A063B">
            <w:pPr>
              <w:widowControl/>
              <w:jc w:val="center"/>
              <w:rPr>
                <w:bCs/>
                <w:color w:val="auto"/>
                <w:kern w:val="0"/>
                <w:sz w:val="22"/>
                <w:szCs w:val="22"/>
                <w:highlight w:val="none"/>
              </w:rPr>
            </w:pPr>
            <w:r>
              <w:rPr>
                <w:bCs/>
                <w:color w:val="auto"/>
                <w:kern w:val="0"/>
                <w:sz w:val="22"/>
                <w:szCs w:val="22"/>
                <w:highlight w:val="none"/>
              </w:rPr>
              <w:t>300≤X＜1000</w:t>
            </w:r>
          </w:p>
        </w:tc>
        <w:tc>
          <w:tcPr>
            <w:tcW w:w="1701" w:type="dxa"/>
            <w:tcBorders>
              <w:top w:val="nil"/>
              <w:left w:val="nil"/>
              <w:bottom w:val="single" w:color="auto" w:sz="4" w:space="0"/>
              <w:right w:val="single" w:color="auto" w:sz="4" w:space="0"/>
            </w:tcBorders>
            <w:vAlign w:val="center"/>
          </w:tcPr>
          <w:p w14:paraId="4C23086A">
            <w:pPr>
              <w:widowControl/>
              <w:jc w:val="center"/>
              <w:rPr>
                <w:bCs/>
                <w:color w:val="auto"/>
                <w:kern w:val="0"/>
                <w:sz w:val="22"/>
                <w:szCs w:val="22"/>
                <w:highlight w:val="none"/>
              </w:rPr>
            </w:pPr>
            <w:r>
              <w:rPr>
                <w:bCs/>
                <w:color w:val="auto"/>
                <w:kern w:val="0"/>
                <w:sz w:val="22"/>
                <w:szCs w:val="22"/>
                <w:highlight w:val="none"/>
              </w:rPr>
              <w:t>100≤X＜300</w:t>
            </w:r>
          </w:p>
        </w:tc>
        <w:tc>
          <w:tcPr>
            <w:tcW w:w="1276" w:type="dxa"/>
            <w:tcBorders>
              <w:top w:val="nil"/>
              <w:left w:val="nil"/>
              <w:bottom w:val="single" w:color="auto" w:sz="4" w:space="0"/>
              <w:right w:val="single" w:color="auto" w:sz="4" w:space="0"/>
            </w:tcBorders>
            <w:vAlign w:val="center"/>
          </w:tcPr>
          <w:p w14:paraId="74AFECE4">
            <w:pPr>
              <w:widowControl/>
              <w:jc w:val="center"/>
              <w:rPr>
                <w:bCs/>
                <w:color w:val="auto"/>
                <w:kern w:val="0"/>
                <w:sz w:val="22"/>
                <w:szCs w:val="22"/>
                <w:highlight w:val="none"/>
              </w:rPr>
            </w:pPr>
            <w:r>
              <w:rPr>
                <w:bCs/>
                <w:color w:val="auto"/>
                <w:kern w:val="0"/>
                <w:sz w:val="22"/>
                <w:szCs w:val="22"/>
                <w:highlight w:val="none"/>
              </w:rPr>
              <w:t>X＜100</w:t>
            </w:r>
          </w:p>
        </w:tc>
      </w:tr>
      <w:tr w14:paraId="6DF03E7E">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58C2232B">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4CAD8185">
            <w:pPr>
              <w:widowControl/>
              <w:jc w:val="center"/>
              <w:rPr>
                <w:bCs/>
                <w:color w:val="auto"/>
                <w:kern w:val="0"/>
                <w:sz w:val="22"/>
                <w:szCs w:val="22"/>
                <w:highlight w:val="none"/>
              </w:rPr>
            </w:pPr>
            <w:r>
              <w:rPr>
                <w:bCs/>
                <w:color w:val="auto"/>
                <w:kern w:val="0"/>
                <w:sz w:val="22"/>
                <w:szCs w:val="22"/>
                <w:highlight w:val="none"/>
              </w:rPr>
              <w:t>营业收入（Y）</w:t>
            </w:r>
          </w:p>
        </w:tc>
        <w:tc>
          <w:tcPr>
            <w:tcW w:w="1285" w:type="dxa"/>
            <w:tcBorders>
              <w:top w:val="nil"/>
              <w:left w:val="nil"/>
              <w:bottom w:val="single" w:color="auto" w:sz="4" w:space="0"/>
              <w:right w:val="single" w:color="auto" w:sz="4" w:space="0"/>
            </w:tcBorders>
            <w:vAlign w:val="center"/>
          </w:tcPr>
          <w:p w14:paraId="1A80BC40">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743678AC">
            <w:pPr>
              <w:widowControl/>
              <w:jc w:val="center"/>
              <w:rPr>
                <w:bCs/>
                <w:color w:val="auto"/>
                <w:kern w:val="0"/>
                <w:sz w:val="22"/>
                <w:szCs w:val="22"/>
                <w:highlight w:val="none"/>
              </w:rPr>
            </w:pPr>
            <w:r>
              <w:rPr>
                <w:bCs/>
                <w:color w:val="auto"/>
                <w:kern w:val="0"/>
                <w:sz w:val="22"/>
                <w:szCs w:val="22"/>
                <w:highlight w:val="none"/>
              </w:rPr>
              <w:t>1000≤Y＜5000</w:t>
            </w:r>
          </w:p>
        </w:tc>
        <w:tc>
          <w:tcPr>
            <w:tcW w:w="1701" w:type="dxa"/>
            <w:tcBorders>
              <w:top w:val="nil"/>
              <w:left w:val="nil"/>
              <w:bottom w:val="single" w:color="auto" w:sz="4" w:space="0"/>
              <w:right w:val="single" w:color="auto" w:sz="4" w:space="0"/>
            </w:tcBorders>
            <w:vAlign w:val="center"/>
          </w:tcPr>
          <w:p w14:paraId="2D048F48">
            <w:pPr>
              <w:widowControl/>
              <w:jc w:val="center"/>
              <w:rPr>
                <w:bCs/>
                <w:color w:val="auto"/>
                <w:kern w:val="0"/>
                <w:sz w:val="22"/>
                <w:szCs w:val="22"/>
                <w:highlight w:val="none"/>
              </w:rPr>
            </w:pPr>
            <w:r>
              <w:rPr>
                <w:bCs/>
                <w:color w:val="auto"/>
                <w:kern w:val="0"/>
                <w:sz w:val="22"/>
                <w:szCs w:val="22"/>
                <w:highlight w:val="none"/>
              </w:rPr>
              <w:t>500≤Y＜1000</w:t>
            </w:r>
          </w:p>
        </w:tc>
        <w:tc>
          <w:tcPr>
            <w:tcW w:w="1276" w:type="dxa"/>
            <w:tcBorders>
              <w:top w:val="nil"/>
              <w:left w:val="nil"/>
              <w:bottom w:val="single" w:color="auto" w:sz="4" w:space="0"/>
              <w:right w:val="single" w:color="auto" w:sz="4" w:space="0"/>
            </w:tcBorders>
            <w:vAlign w:val="center"/>
          </w:tcPr>
          <w:p w14:paraId="3B13E62D">
            <w:pPr>
              <w:widowControl/>
              <w:jc w:val="center"/>
              <w:rPr>
                <w:bCs/>
                <w:color w:val="auto"/>
                <w:kern w:val="0"/>
                <w:sz w:val="22"/>
                <w:szCs w:val="22"/>
                <w:highlight w:val="none"/>
              </w:rPr>
            </w:pPr>
            <w:r>
              <w:rPr>
                <w:bCs/>
                <w:color w:val="auto"/>
                <w:kern w:val="0"/>
                <w:sz w:val="22"/>
                <w:szCs w:val="22"/>
                <w:highlight w:val="none"/>
              </w:rPr>
              <w:t>Y＜500</w:t>
            </w:r>
          </w:p>
        </w:tc>
      </w:tr>
      <w:tr w14:paraId="0C8F581B">
        <w:tblPrEx>
          <w:tblCellMar>
            <w:top w:w="0" w:type="dxa"/>
            <w:left w:w="108" w:type="dxa"/>
            <w:bottom w:w="0" w:type="dxa"/>
            <w:right w:w="108" w:type="dxa"/>
          </w:tblCellMar>
        </w:tblPrEx>
        <w:trPr>
          <w:trHeight w:val="226" w:hRule="atLeast"/>
        </w:trPr>
        <w:tc>
          <w:tcPr>
            <w:tcW w:w="1949" w:type="dxa"/>
            <w:vMerge w:val="restart"/>
            <w:tcBorders>
              <w:top w:val="nil"/>
              <w:left w:val="single" w:color="auto" w:sz="4" w:space="0"/>
              <w:bottom w:val="single" w:color="auto" w:sz="4" w:space="0"/>
              <w:right w:val="single" w:color="auto" w:sz="4" w:space="0"/>
            </w:tcBorders>
            <w:vAlign w:val="center"/>
          </w:tcPr>
          <w:p w14:paraId="1CFC50E2">
            <w:pPr>
              <w:widowControl/>
              <w:jc w:val="center"/>
              <w:rPr>
                <w:bCs/>
                <w:color w:val="auto"/>
                <w:kern w:val="0"/>
                <w:sz w:val="22"/>
                <w:szCs w:val="22"/>
                <w:highlight w:val="none"/>
              </w:rPr>
            </w:pPr>
            <w:r>
              <w:rPr>
                <w:bCs/>
                <w:color w:val="auto"/>
                <w:kern w:val="0"/>
                <w:sz w:val="22"/>
                <w:szCs w:val="22"/>
                <w:highlight w:val="none"/>
              </w:rPr>
              <w:t>租赁和商务服务业</w:t>
            </w:r>
          </w:p>
        </w:tc>
        <w:tc>
          <w:tcPr>
            <w:tcW w:w="1586" w:type="dxa"/>
            <w:tcBorders>
              <w:top w:val="nil"/>
              <w:left w:val="nil"/>
              <w:bottom w:val="single" w:color="auto" w:sz="4" w:space="0"/>
              <w:right w:val="single" w:color="auto" w:sz="4" w:space="0"/>
            </w:tcBorders>
            <w:vAlign w:val="center"/>
          </w:tcPr>
          <w:p w14:paraId="5C3059B8">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525BDBFB">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64C45F9E">
            <w:pPr>
              <w:widowControl/>
              <w:jc w:val="center"/>
              <w:rPr>
                <w:bCs/>
                <w:color w:val="auto"/>
                <w:kern w:val="0"/>
                <w:sz w:val="22"/>
                <w:szCs w:val="22"/>
                <w:highlight w:val="none"/>
              </w:rPr>
            </w:pPr>
            <w:r>
              <w:rPr>
                <w:bCs/>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14:paraId="3A00921E">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14:paraId="4190D725">
            <w:pPr>
              <w:widowControl/>
              <w:jc w:val="center"/>
              <w:rPr>
                <w:bCs/>
                <w:color w:val="auto"/>
                <w:kern w:val="0"/>
                <w:sz w:val="22"/>
                <w:szCs w:val="22"/>
                <w:highlight w:val="none"/>
              </w:rPr>
            </w:pPr>
            <w:r>
              <w:rPr>
                <w:bCs/>
                <w:color w:val="auto"/>
                <w:kern w:val="0"/>
                <w:sz w:val="22"/>
                <w:szCs w:val="22"/>
                <w:highlight w:val="none"/>
              </w:rPr>
              <w:t>X＜10</w:t>
            </w:r>
          </w:p>
        </w:tc>
      </w:tr>
      <w:tr w14:paraId="7287FB08">
        <w:tblPrEx>
          <w:tblCellMar>
            <w:top w:w="0" w:type="dxa"/>
            <w:left w:w="108" w:type="dxa"/>
            <w:bottom w:w="0" w:type="dxa"/>
            <w:right w:w="108" w:type="dxa"/>
          </w:tblCellMar>
        </w:tblPrEx>
        <w:trPr>
          <w:trHeight w:val="226" w:hRule="atLeast"/>
        </w:trPr>
        <w:tc>
          <w:tcPr>
            <w:tcW w:w="1949" w:type="dxa"/>
            <w:vMerge w:val="continue"/>
            <w:tcBorders>
              <w:top w:val="nil"/>
              <w:left w:val="single" w:color="auto" w:sz="4" w:space="0"/>
              <w:bottom w:val="single" w:color="auto" w:sz="4" w:space="0"/>
              <w:right w:val="single" w:color="auto" w:sz="4" w:space="0"/>
            </w:tcBorders>
            <w:vAlign w:val="center"/>
          </w:tcPr>
          <w:p w14:paraId="49B57004">
            <w:pPr>
              <w:widowControl/>
              <w:jc w:val="center"/>
              <w:rPr>
                <w:bCs/>
                <w:color w:val="auto"/>
                <w:kern w:val="0"/>
                <w:sz w:val="22"/>
                <w:szCs w:val="22"/>
                <w:highlight w:val="none"/>
              </w:rPr>
            </w:pPr>
          </w:p>
        </w:tc>
        <w:tc>
          <w:tcPr>
            <w:tcW w:w="1586" w:type="dxa"/>
            <w:tcBorders>
              <w:top w:val="nil"/>
              <w:left w:val="nil"/>
              <w:bottom w:val="single" w:color="auto" w:sz="4" w:space="0"/>
              <w:right w:val="single" w:color="auto" w:sz="4" w:space="0"/>
            </w:tcBorders>
            <w:vAlign w:val="center"/>
          </w:tcPr>
          <w:p w14:paraId="38B8EAFE">
            <w:pPr>
              <w:widowControl/>
              <w:jc w:val="center"/>
              <w:rPr>
                <w:bCs/>
                <w:color w:val="auto"/>
                <w:kern w:val="0"/>
                <w:sz w:val="22"/>
                <w:szCs w:val="22"/>
                <w:highlight w:val="none"/>
              </w:rPr>
            </w:pPr>
            <w:r>
              <w:rPr>
                <w:bCs/>
                <w:color w:val="auto"/>
                <w:kern w:val="0"/>
                <w:sz w:val="22"/>
                <w:szCs w:val="22"/>
                <w:highlight w:val="none"/>
              </w:rPr>
              <w:t>资产总额（Z）</w:t>
            </w:r>
          </w:p>
        </w:tc>
        <w:tc>
          <w:tcPr>
            <w:tcW w:w="1285" w:type="dxa"/>
            <w:tcBorders>
              <w:top w:val="nil"/>
              <w:left w:val="nil"/>
              <w:bottom w:val="single" w:color="auto" w:sz="4" w:space="0"/>
              <w:right w:val="single" w:color="auto" w:sz="4" w:space="0"/>
            </w:tcBorders>
            <w:vAlign w:val="center"/>
          </w:tcPr>
          <w:p w14:paraId="3AB4D13C">
            <w:pPr>
              <w:widowControl/>
              <w:jc w:val="center"/>
              <w:rPr>
                <w:bCs/>
                <w:color w:val="auto"/>
                <w:kern w:val="0"/>
                <w:sz w:val="22"/>
                <w:szCs w:val="22"/>
                <w:highlight w:val="none"/>
              </w:rPr>
            </w:pPr>
            <w:r>
              <w:rPr>
                <w:bCs/>
                <w:color w:val="auto"/>
                <w:kern w:val="0"/>
                <w:sz w:val="22"/>
                <w:szCs w:val="22"/>
                <w:highlight w:val="none"/>
              </w:rPr>
              <w:t>万元</w:t>
            </w:r>
          </w:p>
        </w:tc>
        <w:tc>
          <w:tcPr>
            <w:tcW w:w="1842" w:type="dxa"/>
            <w:tcBorders>
              <w:top w:val="nil"/>
              <w:left w:val="nil"/>
              <w:bottom w:val="single" w:color="auto" w:sz="4" w:space="0"/>
              <w:right w:val="single" w:color="auto" w:sz="4" w:space="0"/>
            </w:tcBorders>
            <w:vAlign w:val="center"/>
          </w:tcPr>
          <w:p w14:paraId="6A845B46">
            <w:pPr>
              <w:widowControl/>
              <w:jc w:val="center"/>
              <w:rPr>
                <w:bCs/>
                <w:color w:val="auto"/>
                <w:kern w:val="0"/>
                <w:sz w:val="22"/>
                <w:szCs w:val="22"/>
                <w:highlight w:val="none"/>
              </w:rPr>
            </w:pPr>
            <w:r>
              <w:rPr>
                <w:bCs/>
                <w:color w:val="auto"/>
                <w:kern w:val="0"/>
                <w:sz w:val="22"/>
                <w:szCs w:val="22"/>
                <w:highlight w:val="none"/>
              </w:rPr>
              <w:t>8000≤Z＜120000</w:t>
            </w:r>
          </w:p>
        </w:tc>
        <w:tc>
          <w:tcPr>
            <w:tcW w:w="1701" w:type="dxa"/>
            <w:tcBorders>
              <w:top w:val="nil"/>
              <w:left w:val="nil"/>
              <w:bottom w:val="single" w:color="auto" w:sz="4" w:space="0"/>
              <w:right w:val="single" w:color="auto" w:sz="4" w:space="0"/>
            </w:tcBorders>
            <w:vAlign w:val="center"/>
          </w:tcPr>
          <w:p w14:paraId="6C28E6EB">
            <w:pPr>
              <w:widowControl/>
              <w:jc w:val="center"/>
              <w:rPr>
                <w:bCs/>
                <w:color w:val="auto"/>
                <w:kern w:val="0"/>
                <w:sz w:val="22"/>
                <w:szCs w:val="22"/>
                <w:highlight w:val="none"/>
              </w:rPr>
            </w:pPr>
            <w:r>
              <w:rPr>
                <w:bCs/>
                <w:color w:val="auto"/>
                <w:kern w:val="0"/>
                <w:sz w:val="22"/>
                <w:szCs w:val="22"/>
                <w:highlight w:val="none"/>
              </w:rPr>
              <w:t>100≤Z＜8000</w:t>
            </w:r>
          </w:p>
        </w:tc>
        <w:tc>
          <w:tcPr>
            <w:tcW w:w="1276" w:type="dxa"/>
            <w:tcBorders>
              <w:top w:val="nil"/>
              <w:left w:val="nil"/>
              <w:bottom w:val="single" w:color="auto" w:sz="4" w:space="0"/>
              <w:right w:val="single" w:color="auto" w:sz="4" w:space="0"/>
            </w:tcBorders>
            <w:vAlign w:val="center"/>
          </w:tcPr>
          <w:p w14:paraId="25C4151F">
            <w:pPr>
              <w:widowControl/>
              <w:jc w:val="center"/>
              <w:rPr>
                <w:bCs/>
                <w:color w:val="auto"/>
                <w:kern w:val="0"/>
                <w:sz w:val="22"/>
                <w:szCs w:val="22"/>
                <w:highlight w:val="none"/>
              </w:rPr>
            </w:pPr>
            <w:r>
              <w:rPr>
                <w:bCs/>
                <w:color w:val="auto"/>
                <w:kern w:val="0"/>
                <w:sz w:val="22"/>
                <w:szCs w:val="22"/>
                <w:highlight w:val="none"/>
              </w:rPr>
              <w:t>Y＜100</w:t>
            </w:r>
          </w:p>
        </w:tc>
      </w:tr>
      <w:tr w14:paraId="38AF0071">
        <w:tblPrEx>
          <w:tblCellMar>
            <w:top w:w="0" w:type="dxa"/>
            <w:left w:w="108" w:type="dxa"/>
            <w:bottom w:w="0" w:type="dxa"/>
            <w:right w:w="108" w:type="dxa"/>
          </w:tblCellMar>
        </w:tblPrEx>
        <w:trPr>
          <w:trHeight w:val="226" w:hRule="atLeast"/>
        </w:trPr>
        <w:tc>
          <w:tcPr>
            <w:tcW w:w="1949" w:type="dxa"/>
            <w:tcBorders>
              <w:top w:val="nil"/>
              <w:left w:val="single" w:color="auto" w:sz="4" w:space="0"/>
              <w:bottom w:val="single" w:color="auto" w:sz="4" w:space="0"/>
              <w:right w:val="single" w:color="auto" w:sz="4" w:space="0"/>
            </w:tcBorders>
            <w:vAlign w:val="center"/>
          </w:tcPr>
          <w:p w14:paraId="3D5E6BB2">
            <w:pPr>
              <w:widowControl/>
              <w:jc w:val="center"/>
              <w:rPr>
                <w:rFonts w:hint="eastAsia" w:eastAsia="宋体"/>
                <w:bCs/>
                <w:color w:val="auto"/>
                <w:kern w:val="0"/>
                <w:sz w:val="22"/>
                <w:szCs w:val="22"/>
                <w:highlight w:val="none"/>
                <w:lang w:eastAsia="zh-CN"/>
              </w:rPr>
            </w:pPr>
            <w:r>
              <w:rPr>
                <w:bCs/>
                <w:color w:val="auto"/>
                <w:kern w:val="0"/>
                <w:sz w:val="22"/>
                <w:szCs w:val="22"/>
                <w:highlight w:val="none"/>
              </w:rPr>
              <w:t>其他未列明行业</w:t>
            </w:r>
          </w:p>
        </w:tc>
        <w:tc>
          <w:tcPr>
            <w:tcW w:w="1586" w:type="dxa"/>
            <w:tcBorders>
              <w:top w:val="nil"/>
              <w:left w:val="nil"/>
              <w:bottom w:val="single" w:color="auto" w:sz="4" w:space="0"/>
              <w:right w:val="single" w:color="auto" w:sz="4" w:space="0"/>
            </w:tcBorders>
            <w:vAlign w:val="center"/>
          </w:tcPr>
          <w:p w14:paraId="6813B666">
            <w:pPr>
              <w:widowControl/>
              <w:jc w:val="center"/>
              <w:rPr>
                <w:bCs/>
                <w:color w:val="auto"/>
                <w:kern w:val="0"/>
                <w:sz w:val="22"/>
                <w:szCs w:val="22"/>
                <w:highlight w:val="none"/>
              </w:rPr>
            </w:pPr>
            <w:r>
              <w:rPr>
                <w:bCs/>
                <w:color w:val="auto"/>
                <w:kern w:val="0"/>
                <w:sz w:val="22"/>
                <w:szCs w:val="22"/>
                <w:highlight w:val="none"/>
              </w:rPr>
              <w:t>从业人员（X）</w:t>
            </w:r>
          </w:p>
        </w:tc>
        <w:tc>
          <w:tcPr>
            <w:tcW w:w="1285" w:type="dxa"/>
            <w:tcBorders>
              <w:top w:val="nil"/>
              <w:left w:val="nil"/>
              <w:bottom w:val="single" w:color="auto" w:sz="4" w:space="0"/>
              <w:right w:val="single" w:color="auto" w:sz="4" w:space="0"/>
            </w:tcBorders>
            <w:vAlign w:val="center"/>
          </w:tcPr>
          <w:p w14:paraId="654A7882">
            <w:pPr>
              <w:widowControl/>
              <w:jc w:val="center"/>
              <w:rPr>
                <w:bCs/>
                <w:color w:val="auto"/>
                <w:kern w:val="0"/>
                <w:sz w:val="22"/>
                <w:szCs w:val="22"/>
                <w:highlight w:val="none"/>
              </w:rPr>
            </w:pPr>
            <w:r>
              <w:rPr>
                <w:bCs/>
                <w:color w:val="auto"/>
                <w:kern w:val="0"/>
                <w:sz w:val="22"/>
                <w:szCs w:val="22"/>
                <w:highlight w:val="none"/>
              </w:rPr>
              <w:t>人</w:t>
            </w:r>
          </w:p>
        </w:tc>
        <w:tc>
          <w:tcPr>
            <w:tcW w:w="1842" w:type="dxa"/>
            <w:tcBorders>
              <w:top w:val="nil"/>
              <w:left w:val="nil"/>
              <w:bottom w:val="single" w:color="auto" w:sz="4" w:space="0"/>
              <w:right w:val="single" w:color="auto" w:sz="4" w:space="0"/>
            </w:tcBorders>
            <w:vAlign w:val="center"/>
          </w:tcPr>
          <w:p w14:paraId="663BF1F2">
            <w:pPr>
              <w:widowControl/>
              <w:jc w:val="center"/>
              <w:rPr>
                <w:bCs/>
                <w:color w:val="auto"/>
                <w:kern w:val="0"/>
                <w:sz w:val="22"/>
                <w:szCs w:val="22"/>
                <w:highlight w:val="none"/>
              </w:rPr>
            </w:pPr>
            <w:r>
              <w:rPr>
                <w:bCs/>
                <w:color w:val="auto"/>
                <w:kern w:val="0"/>
                <w:sz w:val="22"/>
                <w:szCs w:val="22"/>
                <w:highlight w:val="none"/>
              </w:rPr>
              <w:t>100≤X＜300</w:t>
            </w:r>
          </w:p>
        </w:tc>
        <w:tc>
          <w:tcPr>
            <w:tcW w:w="1701" w:type="dxa"/>
            <w:tcBorders>
              <w:top w:val="nil"/>
              <w:left w:val="nil"/>
              <w:bottom w:val="single" w:color="auto" w:sz="4" w:space="0"/>
              <w:right w:val="single" w:color="auto" w:sz="4" w:space="0"/>
            </w:tcBorders>
            <w:vAlign w:val="center"/>
          </w:tcPr>
          <w:p w14:paraId="11BB355B">
            <w:pPr>
              <w:widowControl/>
              <w:jc w:val="center"/>
              <w:rPr>
                <w:bCs/>
                <w:color w:val="auto"/>
                <w:kern w:val="0"/>
                <w:sz w:val="22"/>
                <w:szCs w:val="22"/>
                <w:highlight w:val="none"/>
              </w:rPr>
            </w:pPr>
            <w:r>
              <w:rPr>
                <w:bCs/>
                <w:color w:val="auto"/>
                <w:kern w:val="0"/>
                <w:sz w:val="22"/>
                <w:szCs w:val="22"/>
                <w:highlight w:val="none"/>
              </w:rPr>
              <w:t>10≤X＜100</w:t>
            </w:r>
          </w:p>
        </w:tc>
        <w:tc>
          <w:tcPr>
            <w:tcW w:w="1276" w:type="dxa"/>
            <w:tcBorders>
              <w:top w:val="nil"/>
              <w:left w:val="nil"/>
              <w:bottom w:val="single" w:color="auto" w:sz="4" w:space="0"/>
              <w:right w:val="single" w:color="auto" w:sz="4" w:space="0"/>
            </w:tcBorders>
            <w:vAlign w:val="center"/>
          </w:tcPr>
          <w:p w14:paraId="73D48141">
            <w:pPr>
              <w:widowControl/>
              <w:jc w:val="center"/>
              <w:rPr>
                <w:bCs/>
                <w:color w:val="auto"/>
                <w:kern w:val="0"/>
                <w:sz w:val="22"/>
                <w:szCs w:val="22"/>
                <w:highlight w:val="none"/>
              </w:rPr>
            </w:pPr>
            <w:r>
              <w:rPr>
                <w:bCs/>
                <w:color w:val="auto"/>
                <w:kern w:val="0"/>
                <w:sz w:val="22"/>
                <w:szCs w:val="22"/>
                <w:highlight w:val="none"/>
              </w:rPr>
              <w:t>X＜10</w:t>
            </w:r>
          </w:p>
        </w:tc>
      </w:tr>
    </w:tbl>
    <w:p w14:paraId="653FA70B">
      <w:pPr>
        <w:spacing w:line="360" w:lineRule="auto"/>
        <w:ind w:firstLine="525" w:firstLineChars="250"/>
        <w:rPr>
          <w:bCs/>
          <w:color w:val="auto"/>
          <w:highlight w:val="none"/>
        </w:rPr>
      </w:pPr>
      <w:r>
        <w:rPr>
          <w:bCs/>
          <w:color w:val="auto"/>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61DE250">
      <w:pPr>
        <w:rPr>
          <w:color w:val="auto"/>
          <w:highlight w:val="none"/>
        </w:rPr>
      </w:pPr>
    </w:p>
    <w:p w14:paraId="63E07077">
      <w:pPr>
        <w:rPr>
          <w:color w:val="auto"/>
          <w:highlight w:val="none"/>
        </w:rPr>
      </w:pPr>
    </w:p>
    <w:p w14:paraId="4EC5253F">
      <w:pPr>
        <w:pStyle w:val="3"/>
        <w:spacing w:line="360" w:lineRule="auto"/>
        <w:rPr>
          <w:color w:val="auto"/>
          <w:highlight w:val="none"/>
        </w:rPr>
      </w:pPr>
      <w:bookmarkStart w:id="57" w:name="_Toc15846"/>
      <w:r>
        <w:rPr>
          <w:color w:val="auto"/>
          <w:highlight w:val="none"/>
        </w:rPr>
        <w:t>第七章  质疑书及投诉书（格式）</w:t>
      </w:r>
      <w:bookmarkEnd w:id="57"/>
    </w:p>
    <w:p w14:paraId="22C9E46B">
      <w:pPr>
        <w:tabs>
          <w:tab w:val="left" w:pos="606"/>
        </w:tabs>
        <w:jc w:val="center"/>
        <w:rPr>
          <w:b/>
          <w:color w:val="auto"/>
          <w:kern w:val="0"/>
          <w:sz w:val="36"/>
          <w:szCs w:val="36"/>
          <w:highlight w:val="none"/>
        </w:rPr>
      </w:pPr>
    </w:p>
    <w:p w14:paraId="3E1EA9CF">
      <w:pPr>
        <w:tabs>
          <w:tab w:val="left" w:pos="606"/>
        </w:tabs>
        <w:jc w:val="center"/>
        <w:rPr>
          <w:color w:val="auto"/>
          <w:highlight w:val="none"/>
        </w:rPr>
      </w:pPr>
      <w:r>
        <w:rPr>
          <w:b/>
          <w:color w:val="auto"/>
          <w:kern w:val="0"/>
          <w:sz w:val="36"/>
          <w:szCs w:val="36"/>
          <w:highlight w:val="none"/>
        </w:rPr>
        <w:t>质疑书格式</w:t>
      </w:r>
    </w:p>
    <w:p w14:paraId="3A737DAC">
      <w:pPr>
        <w:adjustRightInd w:val="0"/>
        <w:snapToGrid w:val="0"/>
        <w:spacing w:before="312" w:beforeLines="100" w:line="360" w:lineRule="auto"/>
        <w:rPr>
          <w:bCs/>
          <w:color w:val="auto"/>
          <w:sz w:val="24"/>
          <w:highlight w:val="none"/>
        </w:rPr>
      </w:pPr>
      <w:r>
        <w:rPr>
          <w:bCs/>
          <w:color w:val="auto"/>
          <w:sz w:val="24"/>
          <w:highlight w:val="none"/>
        </w:rPr>
        <w:t>一、质疑供应商基本信息</w:t>
      </w:r>
    </w:p>
    <w:p w14:paraId="55534657">
      <w:pPr>
        <w:adjustRightInd w:val="0"/>
        <w:snapToGrid w:val="0"/>
        <w:spacing w:line="360" w:lineRule="auto"/>
        <w:rPr>
          <w:color w:val="auto"/>
          <w:sz w:val="24"/>
          <w:highlight w:val="none"/>
          <w:u w:val="dotted"/>
        </w:rPr>
      </w:pPr>
      <w:r>
        <w:rPr>
          <w:color w:val="auto"/>
          <w:sz w:val="24"/>
          <w:highlight w:val="none"/>
        </w:rPr>
        <w:t>质疑供应商：</w:t>
      </w:r>
    </w:p>
    <w:p w14:paraId="4756EA35">
      <w:pPr>
        <w:adjustRightInd w:val="0"/>
        <w:snapToGrid w:val="0"/>
        <w:spacing w:line="360" w:lineRule="auto"/>
        <w:rPr>
          <w:color w:val="auto"/>
          <w:sz w:val="24"/>
          <w:highlight w:val="none"/>
        </w:rPr>
      </w:pPr>
      <w:r>
        <w:rPr>
          <w:color w:val="auto"/>
          <w:sz w:val="24"/>
          <w:highlight w:val="none"/>
        </w:rPr>
        <w:t>地址：              邮编：</w:t>
      </w:r>
    </w:p>
    <w:p w14:paraId="10C068D2">
      <w:pPr>
        <w:adjustRightInd w:val="0"/>
        <w:snapToGrid w:val="0"/>
        <w:spacing w:line="360" w:lineRule="auto"/>
        <w:rPr>
          <w:color w:val="auto"/>
          <w:sz w:val="24"/>
          <w:highlight w:val="none"/>
        </w:rPr>
      </w:pPr>
      <w:r>
        <w:rPr>
          <w:color w:val="auto"/>
          <w:sz w:val="24"/>
          <w:highlight w:val="none"/>
        </w:rPr>
        <w:t>联系人：            联系电话：</w:t>
      </w:r>
    </w:p>
    <w:p w14:paraId="3A943354">
      <w:pPr>
        <w:adjustRightInd w:val="0"/>
        <w:snapToGrid w:val="0"/>
        <w:spacing w:line="360" w:lineRule="auto"/>
        <w:rPr>
          <w:color w:val="auto"/>
          <w:sz w:val="24"/>
          <w:highlight w:val="none"/>
          <w:u w:val="dotted"/>
        </w:rPr>
      </w:pPr>
      <w:r>
        <w:rPr>
          <w:color w:val="auto"/>
          <w:sz w:val="24"/>
          <w:highlight w:val="none"/>
        </w:rPr>
        <w:t>授权代表：</w:t>
      </w:r>
    </w:p>
    <w:p w14:paraId="36155A79">
      <w:pPr>
        <w:tabs>
          <w:tab w:val="left" w:pos="3544"/>
        </w:tabs>
        <w:adjustRightInd w:val="0"/>
        <w:snapToGrid w:val="0"/>
        <w:spacing w:line="360" w:lineRule="auto"/>
        <w:rPr>
          <w:color w:val="auto"/>
          <w:sz w:val="24"/>
          <w:highlight w:val="none"/>
        </w:rPr>
      </w:pPr>
      <w:r>
        <w:rPr>
          <w:color w:val="auto"/>
          <w:sz w:val="24"/>
          <w:highlight w:val="none"/>
        </w:rPr>
        <w:t>联系电话：</w:t>
      </w:r>
    </w:p>
    <w:p w14:paraId="42BB84D2">
      <w:pPr>
        <w:adjustRightInd w:val="0"/>
        <w:snapToGrid w:val="0"/>
        <w:spacing w:line="360" w:lineRule="auto"/>
        <w:rPr>
          <w:color w:val="auto"/>
          <w:sz w:val="24"/>
          <w:highlight w:val="none"/>
        </w:rPr>
      </w:pPr>
      <w:r>
        <w:rPr>
          <w:color w:val="auto"/>
          <w:sz w:val="24"/>
          <w:highlight w:val="none"/>
        </w:rPr>
        <w:t>地址：               邮编：</w:t>
      </w:r>
    </w:p>
    <w:p w14:paraId="2D406A9D">
      <w:pPr>
        <w:adjustRightInd w:val="0"/>
        <w:snapToGrid w:val="0"/>
        <w:spacing w:line="360" w:lineRule="auto"/>
        <w:rPr>
          <w:bCs/>
          <w:color w:val="auto"/>
          <w:sz w:val="24"/>
          <w:highlight w:val="none"/>
        </w:rPr>
      </w:pPr>
      <w:r>
        <w:rPr>
          <w:bCs/>
          <w:color w:val="auto"/>
          <w:sz w:val="24"/>
          <w:highlight w:val="none"/>
        </w:rPr>
        <w:t>二、质疑项目基本情况</w:t>
      </w:r>
    </w:p>
    <w:p w14:paraId="124F6277">
      <w:pPr>
        <w:adjustRightInd w:val="0"/>
        <w:snapToGrid w:val="0"/>
        <w:spacing w:line="360" w:lineRule="auto"/>
        <w:rPr>
          <w:color w:val="auto"/>
          <w:sz w:val="24"/>
          <w:highlight w:val="none"/>
        </w:rPr>
      </w:pPr>
      <w:r>
        <w:rPr>
          <w:color w:val="auto"/>
          <w:sz w:val="24"/>
          <w:highlight w:val="none"/>
        </w:rPr>
        <w:t>质疑项目的名称：</w:t>
      </w:r>
    </w:p>
    <w:p w14:paraId="58AE3047">
      <w:pPr>
        <w:adjustRightInd w:val="0"/>
        <w:snapToGrid w:val="0"/>
        <w:spacing w:line="360" w:lineRule="auto"/>
        <w:rPr>
          <w:color w:val="auto"/>
          <w:sz w:val="24"/>
          <w:highlight w:val="none"/>
        </w:rPr>
      </w:pPr>
      <w:r>
        <w:rPr>
          <w:color w:val="auto"/>
          <w:sz w:val="24"/>
          <w:highlight w:val="none"/>
        </w:rPr>
        <w:t>质疑项目的编号：包号：</w:t>
      </w:r>
    </w:p>
    <w:p w14:paraId="23F6354F">
      <w:pPr>
        <w:adjustRightInd w:val="0"/>
        <w:snapToGrid w:val="0"/>
        <w:spacing w:line="360" w:lineRule="auto"/>
        <w:rPr>
          <w:color w:val="auto"/>
          <w:sz w:val="24"/>
          <w:highlight w:val="none"/>
          <w:u w:val="dotted"/>
        </w:rPr>
      </w:pPr>
      <w:r>
        <w:rPr>
          <w:color w:val="auto"/>
          <w:sz w:val="24"/>
          <w:highlight w:val="none"/>
        </w:rPr>
        <w:t>采购人名称：</w:t>
      </w:r>
    </w:p>
    <w:p w14:paraId="1F5D3D83">
      <w:pPr>
        <w:adjustRightInd w:val="0"/>
        <w:snapToGrid w:val="0"/>
        <w:spacing w:line="360" w:lineRule="auto"/>
        <w:rPr>
          <w:color w:val="auto"/>
          <w:sz w:val="24"/>
          <w:highlight w:val="none"/>
        </w:rPr>
      </w:pPr>
      <w:r>
        <w:rPr>
          <w:color w:val="auto"/>
          <w:sz w:val="24"/>
          <w:highlight w:val="none"/>
        </w:rPr>
        <w:t>采购文件获取日期：</w:t>
      </w:r>
    </w:p>
    <w:p w14:paraId="340C990F">
      <w:pPr>
        <w:adjustRightInd w:val="0"/>
        <w:snapToGrid w:val="0"/>
        <w:spacing w:line="360" w:lineRule="auto"/>
        <w:rPr>
          <w:bCs/>
          <w:color w:val="auto"/>
          <w:sz w:val="24"/>
          <w:highlight w:val="none"/>
        </w:rPr>
      </w:pPr>
      <w:r>
        <w:rPr>
          <w:bCs/>
          <w:color w:val="auto"/>
          <w:sz w:val="24"/>
          <w:highlight w:val="none"/>
        </w:rPr>
        <w:t>三、质疑事项具体内容</w:t>
      </w:r>
    </w:p>
    <w:p w14:paraId="41B59375">
      <w:pPr>
        <w:adjustRightInd w:val="0"/>
        <w:snapToGrid w:val="0"/>
        <w:spacing w:line="360" w:lineRule="auto"/>
        <w:rPr>
          <w:color w:val="auto"/>
          <w:sz w:val="24"/>
          <w:highlight w:val="none"/>
          <w:u w:val="dotted"/>
        </w:rPr>
      </w:pPr>
      <w:r>
        <w:rPr>
          <w:color w:val="auto"/>
          <w:sz w:val="24"/>
          <w:highlight w:val="none"/>
        </w:rPr>
        <w:t>质疑事项1：</w:t>
      </w:r>
    </w:p>
    <w:p w14:paraId="790EF0E7">
      <w:pPr>
        <w:adjustRightInd w:val="0"/>
        <w:snapToGrid w:val="0"/>
        <w:spacing w:line="360" w:lineRule="auto"/>
        <w:rPr>
          <w:color w:val="auto"/>
          <w:sz w:val="24"/>
          <w:highlight w:val="none"/>
          <w:u w:val="dotted"/>
        </w:rPr>
      </w:pPr>
      <w:r>
        <w:rPr>
          <w:color w:val="auto"/>
          <w:sz w:val="24"/>
          <w:highlight w:val="none"/>
        </w:rPr>
        <w:t>事实依据：</w:t>
      </w:r>
    </w:p>
    <w:p w14:paraId="3E5FA651">
      <w:pPr>
        <w:adjustRightInd w:val="0"/>
        <w:snapToGrid w:val="0"/>
        <w:spacing w:line="360" w:lineRule="auto"/>
        <w:rPr>
          <w:color w:val="auto"/>
          <w:sz w:val="24"/>
          <w:highlight w:val="none"/>
        </w:rPr>
      </w:pPr>
    </w:p>
    <w:p w14:paraId="254F13FE">
      <w:pPr>
        <w:adjustRightInd w:val="0"/>
        <w:snapToGrid w:val="0"/>
        <w:spacing w:line="360" w:lineRule="auto"/>
        <w:rPr>
          <w:color w:val="auto"/>
          <w:sz w:val="24"/>
          <w:highlight w:val="none"/>
          <w:u w:val="dotted"/>
        </w:rPr>
      </w:pPr>
      <w:r>
        <w:rPr>
          <w:color w:val="auto"/>
          <w:sz w:val="24"/>
          <w:highlight w:val="none"/>
        </w:rPr>
        <w:t>法律依据：</w:t>
      </w:r>
    </w:p>
    <w:p w14:paraId="5ABE04F5">
      <w:pPr>
        <w:adjustRightInd w:val="0"/>
        <w:snapToGrid w:val="0"/>
        <w:spacing w:line="360" w:lineRule="auto"/>
        <w:rPr>
          <w:color w:val="auto"/>
          <w:sz w:val="24"/>
          <w:highlight w:val="none"/>
          <w:u w:val="dotted"/>
        </w:rPr>
      </w:pPr>
    </w:p>
    <w:p w14:paraId="05D5AE6E">
      <w:pPr>
        <w:adjustRightInd w:val="0"/>
        <w:snapToGrid w:val="0"/>
        <w:spacing w:line="360" w:lineRule="auto"/>
        <w:rPr>
          <w:color w:val="auto"/>
          <w:sz w:val="24"/>
          <w:highlight w:val="none"/>
          <w:u w:val="dotted"/>
        </w:rPr>
      </w:pPr>
      <w:r>
        <w:rPr>
          <w:color w:val="auto"/>
          <w:sz w:val="24"/>
          <w:highlight w:val="none"/>
        </w:rPr>
        <w:t>质疑事项2</w:t>
      </w:r>
    </w:p>
    <w:p w14:paraId="0EB143A9">
      <w:pPr>
        <w:adjustRightInd w:val="0"/>
        <w:snapToGrid w:val="0"/>
        <w:spacing w:line="360" w:lineRule="auto"/>
        <w:rPr>
          <w:color w:val="auto"/>
          <w:sz w:val="24"/>
          <w:highlight w:val="none"/>
        </w:rPr>
      </w:pPr>
      <w:r>
        <w:rPr>
          <w:color w:val="auto"/>
          <w:sz w:val="24"/>
          <w:highlight w:val="none"/>
        </w:rPr>
        <w:t>……</w:t>
      </w:r>
    </w:p>
    <w:p w14:paraId="2C9F6126">
      <w:pPr>
        <w:adjustRightInd w:val="0"/>
        <w:snapToGrid w:val="0"/>
        <w:spacing w:line="360" w:lineRule="auto"/>
        <w:rPr>
          <w:bCs/>
          <w:color w:val="auto"/>
          <w:sz w:val="24"/>
          <w:highlight w:val="none"/>
        </w:rPr>
      </w:pPr>
      <w:r>
        <w:rPr>
          <w:bCs/>
          <w:color w:val="auto"/>
          <w:sz w:val="24"/>
          <w:highlight w:val="none"/>
        </w:rPr>
        <w:t>四、与质疑事项相关的质疑请求</w:t>
      </w:r>
    </w:p>
    <w:p w14:paraId="1D9B3509">
      <w:pPr>
        <w:adjustRightInd w:val="0"/>
        <w:snapToGrid w:val="0"/>
        <w:spacing w:line="360" w:lineRule="auto"/>
        <w:rPr>
          <w:color w:val="auto"/>
          <w:sz w:val="24"/>
          <w:highlight w:val="none"/>
          <w:u w:val="dotted"/>
        </w:rPr>
      </w:pPr>
      <w:r>
        <w:rPr>
          <w:color w:val="auto"/>
          <w:sz w:val="24"/>
          <w:highlight w:val="none"/>
        </w:rPr>
        <w:t>请求：</w:t>
      </w:r>
    </w:p>
    <w:p w14:paraId="5B32FBB2">
      <w:pPr>
        <w:rPr>
          <w:color w:val="auto"/>
          <w:sz w:val="24"/>
          <w:highlight w:val="none"/>
        </w:rPr>
      </w:pPr>
      <w:r>
        <w:rPr>
          <w:color w:val="auto"/>
          <w:sz w:val="24"/>
          <w:highlight w:val="none"/>
        </w:rPr>
        <w:t xml:space="preserve">签字(签章)：                   公章：                      </w:t>
      </w:r>
    </w:p>
    <w:p w14:paraId="74CC019C">
      <w:pPr>
        <w:rPr>
          <w:color w:val="auto"/>
          <w:sz w:val="24"/>
          <w:highlight w:val="none"/>
        </w:rPr>
      </w:pPr>
      <w:r>
        <w:rPr>
          <w:color w:val="auto"/>
          <w:sz w:val="24"/>
          <w:highlight w:val="none"/>
        </w:rPr>
        <w:t xml:space="preserve">日期：    </w:t>
      </w:r>
    </w:p>
    <w:p w14:paraId="5D8044FB">
      <w:pPr>
        <w:rPr>
          <w:b/>
          <w:color w:val="auto"/>
          <w:sz w:val="24"/>
          <w:highlight w:val="none"/>
        </w:rPr>
      </w:pPr>
    </w:p>
    <w:p w14:paraId="7314A436">
      <w:pPr>
        <w:pStyle w:val="18"/>
        <w:rPr>
          <w:rFonts w:ascii="Times New Roman" w:hAnsi="Times New Roman"/>
          <w:b/>
          <w:color w:val="auto"/>
          <w:sz w:val="24"/>
          <w:szCs w:val="24"/>
          <w:highlight w:val="none"/>
        </w:rPr>
      </w:pPr>
    </w:p>
    <w:p w14:paraId="615C89F7">
      <w:pPr>
        <w:pStyle w:val="34"/>
        <w:rPr>
          <w:rFonts w:ascii="Times New Roman"/>
          <w:b/>
          <w:color w:val="auto"/>
          <w:sz w:val="24"/>
          <w:highlight w:val="none"/>
        </w:rPr>
      </w:pPr>
    </w:p>
    <w:p w14:paraId="1186A3E8">
      <w:pPr>
        <w:pStyle w:val="17"/>
        <w:rPr>
          <w:b/>
          <w:color w:val="auto"/>
          <w:sz w:val="24"/>
          <w:highlight w:val="none"/>
        </w:rPr>
      </w:pPr>
    </w:p>
    <w:p w14:paraId="5A21F2EE">
      <w:pPr>
        <w:rPr>
          <w:b/>
          <w:color w:val="auto"/>
          <w:sz w:val="24"/>
          <w:highlight w:val="none"/>
        </w:rPr>
      </w:pPr>
    </w:p>
    <w:p w14:paraId="78D61F85">
      <w:pPr>
        <w:pStyle w:val="18"/>
        <w:rPr>
          <w:rFonts w:ascii="Times New Roman" w:hAnsi="Times New Roman"/>
          <w:color w:val="auto"/>
          <w:highlight w:val="none"/>
        </w:rPr>
      </w:pPr>
    </w:p>
    <w:p w14:paraId="12548169">
      <w:pPr>
        <w:rPr>
          <w:b/>
          <w:color w:val="auto"/>
          <w:sz w:val="24"/>
          <w:highlight w:val="none"/>
        </w:rPr>
      </w:pPr>
      <w:r>
        <w:rPr>
          <w:b/>
          <w:color w:val="auto"/>
          <w:sz w:val="24"/>
          <w:highlight w:val="none"/>
        </w:rPr>
        <w:t>质疑函制作说明：</w:t>
      </w:r>
    </w:p>
    <w:p w14:paraId="4C0E2D4B">
      <w:pPr>
        <w:widowControl/>
        <w:ind w:firstLine="480" w:firstLineChars="200"/>
        <w:jc w:val="left"/>
        <w:rPr>
          <w:color w:val="auto"/>
          <w:sz w:val="24"/>
          <w:highlight w:val="none"/>
        </w:rPr>
      </w:pPr>
      <w:r>
        <w:rPr>
          <w:color w:val="auto"/>
          <w:sz w:val="24"/>
          <w:highlight w:val="none"/>
        </w:rPr>
        <w:t>1.供应商提出质疑时，应提交质疑函和必要的证明材料。</w:t>
      </w:r>
    </w:p>
    <w:p w14:paraId="72159AFF">
      <w:pPr>
        <w:widowControl/>
        <w:ind w:firstLine="480" w:firstLineChars="200"/>
        <w:jc w:val="left"/>
        <w:rPr>
          <w:color w:val="auto"/>
          <w:sz w:val="24"/>
          <w:highlight w:val="none"/>
        </w:rPr>
      </w:pPr>
      <w:r>
        <w:rPr>
          <w:color w:val="auto"/>
          <w:sz w:val="24"/>
          <w:highlight w:val="none"/>
        </w:rPr>
        <w:t>2.质疑供应商若委托代理人进行质疑的，质疑函应按要求列明“授权代表”的有关内容，并在附件中提交由质疑</w:t>
      </w:r>
      <w:r>
        <w:rPr>
          <w:color w:val="auto"/>
          <w:kern w:val="0"/>
          <w:sz w:val="24"/>
          <w:highlight w:val="none"/>
        </w:rPr>
        <w:t>供应商签署的授权委托书。授权委托书应载明代理人的姓名或者名称、代理事项、具体权限、期限和相关事项。</w:t>
      </w:r>
    </w:p>
    <w:p w14:paraId="7822BC26">
      <w:pPr>
        <w:widowControl/>
        <w:ind w:firstLine="480" w:firstLineChars="200"/>
        <w:jc w:val="left"/>
        <w:rPr>
          <w:color w:val="auto"/>
          <w:sz w:val="24"/>
          <w:highlight w:val="none"/>
        </w:rPr>
      </w:pPr>
      <w:r>
        <w:rPr>
          <w:color w:val="auto"/>
          <w:sz w:val="24"/>
          <w:highlight w:val="none"/>
        </w:rPr>
        <w:t>3.质疑供应商若对项目的某一分包进行质疑，质疑函中应列明具体分包号。</w:t>
      </w:r>
    </w:p>
    <w:p w14:paraId="43A2C52A">
      <w:pPr>
        <w:widowControl/>
        <w:ind w:firstLine="480" w:firstLineChars="200"/>
        <w:jc w:val="left"/>
        <w:rPr>
          <w:color w:val="auto"/>
          <w:sz w:val="24"/>
          <w:highlight w:val="none"/>
        </w:rPr>
      </w:pPr>
      <w:r>
        <w:rPr>
          <w:color w:val="auto"/>
          <w:sz w:val="24"/>
          <w:highlight w:val="none"/>
        </w:rPr>
        <w:t>4.质疑函的质疑事项应具体、明确，并有必要的事实依据和法律依据。</w:t>
      </w:r>
    </w:p>
    <w:p w14:paraId="2B533E47">
      <w:pPr>
        <w:widowControl/>
        <w:ind w:firstLine="480" w:firstLineChars="200"/>
        <w:jc w:val="left"/>
        <w:rPr>
          <w:color w:val="auto"/>
          <w:sz w:val="24"/>
          <w:highlight w:val="none"/>
        </w:rPr>
      </w:pPr>
      <w:r>
        <w:rPr>
          <w:color w:val="auto"/>
          <w:sz w:val="24"/>
          <w:highlight w:val="none"/>
        </w:rPr>
        <w:t>5.质疑函的质疑请求应与质疑事项相关。</w:t>
      </w:r>
    </w:p>
    <w:p w14:paraId="7ACC0355">
      <w:pPr>
        <w:rPr>
          <w:color w:val="auto"/>
          <w:sz w:val="24"/>
          <w:highlight w:val="none"/>
        </w:rPr>
      </w:pPr>
      <w:r>
        <w:rPr>
          <w:color w:val="auto"/>
          <w:sz w:val="24"/>
          <w:highlight w:val="none"/>
        </w:rPr>
        <w:t>6.质疑供应商为自然人的，质疑函应由本人签字；质疑供应商为法人或者其他组织的，质疑函应由法定代表人、主要负责人，或者其授权代表签字或者盖章，并加盖公章。</w:t>
      </w:r>
    </w:p>
    <w:p w14:paraId="483C2992">
      <w:pPr>
        <w:rPr>
          <w:b/>
          <w:bCs/>
          <w:color w:val="auto"/>
          <w:sz w:val="24"/>
          <w:highlight w:val="none"/>
        </w:rPr>
      </w:pPr>
    </w:p>
    <w:p w14:paraId="650427F5">
      <w:pPr>
        <w:pStyle w:val="12"/>
        <w:rPr>
          <w:rFonts w:ascii="Times New Roman"/>
          <w:b/>
          <w:bCs/>
          <w:color w:val="auto"/>
          <w:sz w:val="24"/>
          <w:highlight w:val="none"/>
        </w:rPr>
      </w:pPr>
    </w:p>
    <w:p w14:paraId="6ABC41E4">
      <w:pPr>
        <w:jc w:val="center"/>
        <w:rPr>
          <w:b/>
          <w:color w:val="auto"/>
          <w:sz w:val="40"/>
          <w:szCs w:val="40"/>
          <w:highlight w:val="none"/>
        </w:rPr>
      </w:pPr>
    </w:p>
    <w:p w14:paraId="2AEBC16F">
      <w:pPr>
        <w:jc w:val="center"/>
        <w:rPr>
          <w:b/>
          <w:color w:val="auto"/>
          <w:sz w:val="40"/>
          <w:szCs w:val="40"/>
          <w:highlight w:val="none"/>
        </w:rPr>
      </w:pPr>
    </w:p>
    <w:p w14:paraId="58B5A3D8">
      <w:pPr>
        <w:jc w:val="center"/>
        <w:rPr>
          <w:b/>
          <w:color w:val="auto"/>
          <w:sz w:val="40"/>
          <w:szCs w:val="40"/>
          <w:highlight w:val="none"/>
        </w:rPr>
      </w:pPr>
    </w:p>
    <w:p w14:paraId="30C29A41">
      <w:pPr>
        <w:jc w:val="center"/>
        <w:rPr>
          <w:b/>
          <w:color w:val="auto"/>
          <w:sz w:val="40"/>
          <w:szCs w:val="40"/>
          <w:highlight w:val="none"/>
        </w:rPr>
      </w:pPr>
    </w:p>
    <w:p w14:paraId="44CDCD65">
      <w:pPr>
        <w:jc w:val="center"/>
        <w:rPr>
          <w:b/>
          <w:color w:val="auto"/>
          <w:sz w:val="40"/>
          <w:szCs w:val="40"/>
          <w:highlight w:val="none"/>
        </w:rPr>
      </w:pPr>
    </w:p>
    <w:p w14:paraId="3FE881B9">
      <w:pPr>
        <w:jc w:val="center"/>
        <w:rPr>
          <w:b/>
          <w:color w:val="auto"/>
          <w:sz w:val="40"/>
          <w:szCs w:val="40"/>
          <w:highlight w:val="none"/>
        </w:rPr>
      </w:pPr>
    </w:p>
    <w:p w14:paraId="4C0B27C3">
      <w:pPr>
        <w:jc w:val="center"/>
        <w:rPr>
          <w:b/>
          <w:color w:val="auto"/>
          <w:sz w:val="40"/>
          <w:szCs w:val="40"/>
          <w:highlight w:val="none"/>
        </w:rPr>
      </w:pPr>
    </w:p>
    <w:p w14:paraId="6AFBE07C">
      <w:pPr>
        <w:jc w:val="center"/>
        <w:rPr>
          <w:b/>
          <w:color w:val="auto"/>
          <w:sz w:val="40"/>
          <w:szCs w:val="40"/>
          <w:highlight w:val="none"/>
        </w:rPr>
      </w:pPr>
    </w:p>
    <w:p w14:paraId="4937BFBA">
      <w:pPr>
        <w:pStyle w:val="40"/>
        <w:rPr>
          <w:b/>
          <w:color w:val="auto"/>
          <w:sz w:val="40"/>
          <w:szCs w:val="40"/>
          <w:highlight w:val="none"/>
        </w:rPr>
      </w:pPr>
    </w:p>
    <w:p w14:paraId="187EA0CF">
      <w:pPr>
        <w:pStyle w:val="40"/>
        <w:rPr>
          <w:b/>
          <w:color w:val="auto"/>
          <w:sz w:val="40"/>
          <w:szCs w:val="40"/>
          <w:highlight w:val="none"/>
        </w:rPr>
      </w:pPr>
    </w:p>
    <w:p w14:paraId="1566BB31">
      <w:pPr>
        <w:pStyle w:val="40"/>
        <w:rPr>
          <w:b/>
          <w:color w:val="auto"/>
          <w:sz w:val="40"/>
          <w:szCs w:val="40"/>
          <w:highlight w:val="none"/>
        </w:rPr>
      </w:pPr>
    </w:p>
    <w:p w14:paraId="13DA98C4">
      <w:pPr>
        <w:pStyle w:val="40"/>
        <w:rPr>
          <w:b/>
          <w:color w:val="auto"/>
          <w:sz w:val="40"/>
          <w:szCs w:val="40"/>
          <w:highlight w:val="none"/>
        </w:rPr>
      </w:pPr>
    </w:p>
    <w:p w14:paraId="12443C47">
      <w:pPr>
        <w:pStyle w:val="40"/>
        <w:rPr>
          <w:b/>
          <w:color w:val="auto"/>
          <w:sz w:val="40"/>
          <w:szCs w:val="40"/>
          <w:highlight w:val="none"/>
        </w:rPr>
      </w:pPr>
    </w:p>
    <w:p w14:paraId="4271AB56">
      <w:pPr>
        <w:pStyle w:val="40"/>
        <w:rPr>
          <w:b/>
          <w:color w:val="auto"/>
          <w:sz w:val="40"/>
          <w:szCs w:val="40"/>
          <w:highlight w:val="none"/>
        </w:rPr>
      </w:pPr>
    </w:p>
    <w:p w14:paraId="5B6D628C">
      <w:pPr>
        <w:jc w:val="center"/>
        <w:rPr>
          <w:b/>
          <w:color w:val="auto"/>
          <w:sz w:val="40"/>
          <w:szCs w:val="40"/>
          <w:highlight w:val="none"/>
        </w:rPr>
      </w:pPr>
    </w:p>
    <w:p w14:paraId="3E21149E">
      <w:pPr>
        <w:rPr>
          <w:b/>
          <w:color w:val="auto"/>
          <w:sz w:val="40"/>
          <w:szCs w:val="40"/>
          <w:highlight w:val="none"/>
        </w:rPr>
      </w:pPr>
    </w:p>
    <w:p w14:paraId="5AAB6F8D">
      <w:pPr>
        <w:jc w:val="center"/>
        <w:rPr>
          <w:b/>
          <w:color w:val="auto"/>
          <w:sz w:val="40"/>
          <w:szCs w:val="40"/>
          <w:highlight w:val="none"/>
        </w:rPr>
      </w:pPr>
      <w:r>
        <w:rPr>
          <w:b/>
          <w:color w:val="auto"/>
          <w:sz w:val="40"/>
          <w:szCs w:val="40"/>
          <w:highlight w:val="none"/>
        </w:rPr>
        <w:t>投诉书范本</w:t>
      </w:r>
    </w:p>
    <w:p w14:paraId="1577D13B">
      <w:pPr>
        <w:rPr>
          <w:color w:val="auto"/>
          <w:sz w:val="24"/>
          <w:highlight w:val="none"/>
        </w:rPr>
      </w:pPr>
      <w:r>
        <w:rPr>
          <w:color w:val="auto"/>
          <w:sz w:val="24"/>
          <w:highlight w:val="none"/>
        </w:rPr>
        <w:t>一、投诉相关主体基本情况</w:t>
      </w:r>
    </w:p>
    <w:p w14:paraId="1EF37ECD">
      <w:pPr>
        <w:rPr>
          <w:color w:val="auto"/>
          <w:sz w:val="24"/>
          <w:highlight w:val="none"/>
          <w:u w:val="dotted"/>
        </w:rPr>
      </w:pPr>
      <w:r>
        <w:rPr>
          <w:color w:val="auto"/>
          <w:sz w:val="24"/>
          <w:highlight w:val="none"/>
        </w:rPr>
        <w:t>投诉人：</w:t>
      </w:r>
    </w:p>
    <w:p w14:paraId="713B39E9">
      <w:pPr>
        <w:rPr>
          <w:color w:val="auto"/>
          <w:sz w:val="24"/>
          <w:highlight w:val="none"/>
          <w:u w:val="single"/>
        </w:rPr>
      </w:pPr>
      <w:r>
        <w:rPr>
          <w:color w:val="auto"/>
          <w:sz w:val="24"/>
          <w:highlight w:val="none"/>
        </w:rPr>
        <w:t>地址：           邮编：</w:t>
      </w:r>
    </w:p>
    <w:p w14:paraId="7B485AE9">
      <w:pPr>
        <w:tabs>
          <w:tab w:val="left" w:pos="6510"/>
        </w:tabs>
        <w:jc w:val="left"/>
        <w:rPr>
          <w:color w:val="auto"/>
          <w:sz w:val="24"/>
          <w:highlight w:val="none"/>
        </w:rPr>
      </w:pPr>
      <w:r>
        <w:rPr>
          <w:color w:val="auto"/>
          <w:sz w:val="24"/>
          <w:highlight w:val="none"/>
        </w:rPr>
        <w:t>法定代表人/主要负责人：</w:t>
      </w:r>
    </w:p>
    <w:p w14:paraId="1FEC8FCB">
      <w:pPr>
        <w:tabs>
          <w:tab w:val="left" w:pos="6510"/>
        </w:tabs>
        <w:rPr>
          <w:color w:val="auto"/>
          <w:sz w:val="24"/>
          <w:highlight w:val="none"/>
          <w:u w:val="dotted"/>
        </w:rPr>
      </w:pPr>
      <w:r>
        <w:rPr>
          <w:color w:val="auto"/>
          <w:sz w:val="24"/>
          <w:highlight w:val="none"/>
        </w:rPr>
        <w:t>联系电话：</w:t>
      </w:r>
    </w:p>
    <w:p w14:paraId="3DEA1CBE">
      <w:pPr>
        <w:rPr>
          <w:color w:val="auto"/>
          <w:sz w:val="24"/>
          <w:highlight w:val="none"/>
        </w:rPr>
      </w:pPr>
      <w:r>
        <w:rPr>
          <w:color w:val="auto"/>
          <w:sz w:val="24"/>
          <w:highlight w:val="none"/>
        </w:rPr>
        <w:t>授权代表：        联系电话</w:t>
      </w:r>
    </w:p>
    <w:p w14:paraId="11E6A7FB">
      <w:pPr>
        <w:rPr>
          <w:color w:val="auto"/>
          <w:sz w:val="24"/>
          <w:highlight w:val="none"/>
          <w:u w:val="dotted"/>
        </w:rPr>
      </w:pPr>
      <w:r>
        <w:rPr>
          <w:color w:val="auto"/>
          <w:sz w:val="24"/>
          <w:highlight w:val="none"/>
        </w:rPr>
        <w:t>地址：            邮编：</w:t>
      </w:r>
    </w:p>
    <w:p w14:paraId="6716A5C6">
      <w:pPr>
        <w:rPr>
          <w:color w:val="auto"/>
          <w:sz w:val="24"/>
          <w:highlight w:val="none"/>
          <w:u w:val="single"/>
        </w:rPr>
      </w:pPr>
      <w:r>
        <w:rPr>
          <w:color w:val="auto"/>
          <w:sz w:val="24"/>
          <w:highlight w:val="none"/>
        </w:rPr>
        <w:t>被投诉人1：</w:t>
      </w:r>
    </w:p>
    <w:p w14:paraId="34324A64">
      <w:pPr>
        <w:rPr>
          <w:color w:val="auto"/>
          <w:sz w:val="24"/>
          <w:highlight w:val="none"/>
          <w:u w:val="single"/>
        </w:rPr>
      </w:pPr>
      <w:r>
        <w:rPr>
          <w:color w:val="auto"/>
          <w:sz w:val="24"/>
          <w:highlight w:val="none"/>
        </w:rPr>
        <w:t>地址：            邮编：</w:t>
      </w:r>
    </w:p>
    <w:p w14:paraId="18984046">
      <w:pPr>
        <w:rPr>
          <w:color w:val="auto"/>
          <w:sz w:val="24"/>
          <w:highlight w:val="none"/>
          <w:u w:val="single"/>
        </w:rPr>
      </w:pPr>
      <w:r>
        <w:rPr>
          <w:color w:val="auto"/>
          <w:sz w:val="24"/>
          <w:highlight w:val="none"/>
        </w:rPr>
        <w:t>联系人：          联系电话：</w:t>
      </w:r>
    </w:p>
    <w:p w14:paraId="00DFEE4A">
      <w:pPr>
        <w:rPr>
          <w:color w:val="auto"/>
          <w:sz w:val="24"/>
          <w:highlight w:val="none"/>
        </w:rPr>
      </w:pPr>
      <w:r>
        <w:rPr>
          <w:color w:val="auto"/>
          <w:sz w:val="24"/>
          <w:highlight w:val="none"/>
        </w:rPr>
        <w:t>被投诉人2</w:t>
      </w:r>
    </w:p>
    <w:p w14:paraId="676048B2">
      <w:pPr>
        <w:rPr>
          <w:color w:val="auto"/>
          <w:sz w:val="24"/>
          <w:highlight w:val="none"/>
          <w:u w:val="dotted"/>
        </w:rPr>
      </w:pPr>
      <w:r>
        <w:rPr>
          <w:color w:val="auto"/>
          <w:sz w:val="24"/>
          <w:highlight w:val="none"/>
        </w:rPr>
        <w:t>……</w:t>
      </w:r>
    </w:p>
    <w:p w14:paraId="6E5F82CC">
      <w:pPr>
        <w:rPr>
          <w:color w:val="auto"/>
          <w:sz w:val="24"/>
          <w:highlight w:val="none"/>
          <w:u w:val="single"/>
        </w:rPr>
      </w:pPr>
      <w:r>
        <w:rPr>
          <w:color w:val="auto"/>
          <w:sz w:val="24"/>
          <w:highlight w:val="none"/>
        </w:rPr>
        <w:t>相关供应商：</w:t>
      </w:r>
    </w:p>
    <w:p w14:paraId="439A2514">
      <w:pPr>
        <w:rPr>
          <w:color w:val="auto"/>
          <w:sz w:val="24"/>
          <w:highlight w:val="none"/>
          <w:u w:val="single"/>
        </w:rPr>
      </w:pPr>
      <w:r>
        <w:rPr>
          <w:color w:val="auto"/>
          <w:sz w:val="24"/>
          <w:highlight w:val="none"/>
        </w:rPr>
        <w:t>地址：            邮编：</w:t>
      </w:r>
    </w:p>
    <w:p w14:paraId="4682E74C">
      <w:pPr>
        <w:rPr>
          <w:color w:val="auto"/>
          <w:sz w:val="24"/>
          <w:highlight w:val="none"/>
          <w:u w:val="single"/>
        </w:rPr>
      </w:pPr>
      <w:r>
        <w:rPr>
          <w:color w:val="auto"/>
          <w:sz w:val="24"/>
          <w:highlight w:val="none"/>
        </w:rPr>
        <w:t>联系人：          联系电话：</w:t>
      </w:r>
    </w:p>
    <w:p w14:paraId="199E72BC">
      <w:pPr>
        <w:rPr>
          <w:color w:val="auto"/>
          <w:sz w:val="24"/>
          <w:highlight w:val="none"/>
        </w:rPr>
      </w:pPr>
      <w:r>
        <w:rPr>
          <w:color w:val="auto"/>
          <w:sz w:val="24"/>
          <w:highlight w:val="none"/>
        </w:rPr>
        <w:t>二、投诉项目基本情况</w:t>
      </w:r>
    </w:p>
    <w:p w14:paraId="219D9C63">
      <w:pPr>
        <w:rPr>
          <w:color w:val="auto"/>
          <w:sz w:val="24"/>
          <w:highlight w:val="none"/>
          <w:u w:val="dotted"/>
        </w:rPr>
      </w:pPr>
      <w:r>
        <w:rPr>
          <w:color w:val="auto"/>
          <w:sz w:val="24"/>
          <w:highlight w:val="none"/>
        </w:rPr>
        <w:t>采购项目名称：</w:t>
      </w:r>
    </w:p>
    <w:p w14:paraId="16A939F0">
      <w:pPr>
        <w:rPr>
          <w:color w:val="auto"/>
          <w:sz w:val="24"/>
          <w:highlight w:val="none"/>
          <w:u w:val="single"/>
        </w:rPr>
      </w:pPr>
      <w:r>
        <w:rPr>
          <w:color w:val="auto"/>
          <w:sz w:val="24"/>
          <w:highlight w:val="none"/>
        </w:rPr>
        <w:t>采购项目编号：包号：</w:t>
      </w:r>
    </w:p>
    <w:p w14:paraId="2B65899A">
      <w:pPr>
        <w:rPr>
          <w:color w:val="auto"/>
          <w:sz w:val="24"/>
          <w:highlight w:val="none"/>
        </w:rPr>
      </w:pPr>
      <w:r>
        <w:rPr>
          <w:color w:val="auto"/>
          <w:sz w:val="24"/>
          <w:highlight w:val="none"/>
        </w:rPr>
        <w:t>采购人名称：</w:t>
      </w:r>
    </w:p>
    <w:p w14:paraId="10A93B9E">
      <w:pPr>
        <w:rPr>
          <w:color w:val="auto"/>
          <w:sz w:val="24"/>
          <w:highlight w:val="none"/>
          <w:u w:val="single"/>
        </w:rPr>
      </w:pPr>
      <w:r>
        <w:rPr>
          <w:color w:val="auto"/>
          <w:sz w:val="24"/>
          <w:highlight w:val="none"/>
        </w:rPr>
        <w:t>代理机构名称：</w:t>
      </w:r>
    </w:p>
    <w:p w14:paraId="20C895A8">
      <w:pPr>
        <w:rPr>
          <w:color w:val="auto"/>
          <w:sz w:val="24"/>
          <w:highlight w:val="none"/>
          <w:u w:val="dotted"/>
        </w:rPr>
      </w:pPr>
      <w:r>
        <w:rPr>
          <w:color w:val="auto"/>
          <w:sz w:val="24"/>
          <w:highlight w:val="none"/>
        </w:rPr>
        <w:t>采购文件公告:</w:t>
      </w:r>
      <w:r>
        <w:rPr>
          <w:color w:val="auto"/>
          <w:sz w:val="24"/>
          <w:highlight w:val="none"/>
          <w:u w:val="dotted"/>
        </w:rPr>
        <w:t xml:space="preserve">是/否 </w:t>
      </w:r>
      <w:r>
        <w:rPr>
          <w:color w:val="auto"/>
          <w:sz w:val="24"/>
          <w:highlight w:val="none"/>
        </w:rPr>
        <w:t>公告期限：</w:t>
      </w:r>
    </w:p>
    <w:p w14:paraId="678337BD">
      <w:pPr>
        <w:rPr>
          <w:color w:val="auto"/>
          <w:sz w:val="24"/>
          <w:highlight w:val="none"/>
          <w:u w:val="single"/>
        </w:rPr>
      </w:pPr>
      <w:r>
        <w:rPr>
          <w:color w:val="auto"/>
          <w:sz w:val="24"/>
          <w:highlight w:val="none"/>
        </w:rPr>
        <w:t>采购结果公告:</w:t>
      </w:r>
      <w:r>
        <w:rPr>
          <w:color w:val="auto"/>
          <w:sz w:val="24"/>
          <w:highlight w:val="none"/>
          <w:u w:val="dotted"/>
        </w:rPr>
        <w:t xml:space="preserve">是/否 </w:t>
      </w:r>
      <w:r>
        <w:rPr>
          <w:color w:val="auto"/>
          <w:sz w:val="24"/>
          <w:highlight w:val="none"/>
        </w:rPr>
        <w:t>公告期限：</w:t>
      </w:r>
    </w:p>
    <w:p w14:paraId="1934522F">
      <w:pPr>
        <w:rPr>
          <w:color w:val="auto"/>
          <w:sz w:val="24"/>
          <w:highlight w:val="none"/>
        </w:rPr>
      </w:pPr>
      <w:r>
        <w:rPr>
          <w:color w:val="auto"/>
          <w:sz w:val="24"/>
          <w:highlight w:val="none"/>
        </w:rPr>
        <w:t>三、质疑基本情况</w:t>
      </w:r>
    </w:p>
    <w:p w14:paraId="1B4F75D8">
      <w:pPr>
        <w:ind w:firstLine="480" w:firstLineChars="200"/>
        <w:rPr>
          <w:color w:val="auto"/>
          <w:sz w:val="24"/>
          <w:highlight w:val="none"/>
          <w:u w:val="dotted"/>
        </w:rPr>
      </w:pPr>
      <w:r>
        <w:rPr>
          <w:color w:val="auto"/>
          <w:sz w:val="24"/>
          <w:highlight w:val="none"/>
        </w:rPr>
        <w:t>投诉人于年月日，向提出质疑，质疑事项为：</w:t>
      </w:r>
    </w:p>
    <w:p w14:paraId="28512104">
      <w:pPr>
        <w:rPr>
          <w:color w:val="auto"/>
          <w:sz w:val="24"/>
          <w:highlight w:val="none"/>
          <w:u w:val="dotted"/>
        </w:rPr>
      </w:pPr>
    </w:p>
    <w:p w14:paraId="7CBD5793">
      <w:pPr>
        <w:ind w:firstLine="360" w:firstLineChars="150"/>
        <w:rPr>
          <w:color w:val="auto"/>
          <w:sz w:val="24"/>
          <w:highlight w:val="none"/>
        </w:rPr>
      </w:pPr>
      <w:r>
        <w:rPr>
          <w:color w:val="auto"/>
          <w:sz w:val="24"/>
          <w:highlight w:val="none"/>
          <w:u w:val="dotted"/>
        </w:rPr>
        <w:t>采购人/代理机构</w:t>
      </w:r>
      <w:r>
        <w:rPr>
          <w:color w:val="auto"/>
          <w:sz w:val="24"/>
          <w:highlight w:val="none"/>
        </w:rPr>
        <w:t>于年月日，就质疑事项作出了答复/没有在法定期限内作出答复。</w:t>
      </w:r>
    </w:p>
    <w:p w14:paraId="46445238">
      <w:pPr>
        <w:rPr>
          <w:color w:val="auto"/>
          <w:sz w:val="24"/>
          <w:highlight w:val="none"/>
        </w:rPr>
      </w:pPr>
      <w:r>
        <w:rPr>
          <w:color w:val="auto"/>
          <w:sz w:val="24"/>
          <w:highlight w:val="none"/>
        </w:rPr>
        <w:t>四、投诉事项具体内容</w:t>
      </w:r>
    </w:p>
    <w:p w14:paraId="10209025">
      <w:pPr>
        <w:rPr>
          <w:color w:val="auto"/>
          <w:sz w:val="24"/>
          <w:highlight w:val="none"/>
          <w:u w:val="single"/>
        </w:rPr>
      </w:pPr>
      <w:r>
        <w:rPr>
          <w:color w:val="auto"/>
          <w:sz w:val="24"/>
          <w:highlight w:val="none"/>
        </w:rPr>
        <w:t>投诉事项 1：</w:t>
      </w:r>
    </w:p>
    <w:p w14:paraId="4200CEF8">
      <w:pPr>
        <w:rPr>
          <w:color w:val="auto"/>
          <w:sz w:val="24"/>
          <w:highlight w:val="none"/>
        </w:rPr>
      </w:pPr>
      <w:r>
        <w:rPr>
          <w:color w:val="auto"/>
          <w:sz w:val="24"/>
          <w:highlight w:val="none"/>
        </w:rPr>
        <w:t>事实依据：</w:t>
      </w:r>
    </w:p>
    <w:p w14:paraId="094E8A30">
      <w:pPr>
        <w:rPr>
          <w:color w:val="auto"/>
          <w:sz w:val="24"/>
          <w:highlight w:val="none"/>
          <w:u w:val="dotted"/>
        </w:rPr>
      </w:pPr>
    </w:p>
    <w:p w14:paraId="38B744F1">
      <w:pPr>
        <w:rPr>
          <w:color w:val="auto"/>
          <w:sz w:val="24"/>
          <w:highlight w:val="none"/>
          <w:u w:val="single"/>
        </w:rPr>
      </w:pPr>
      <w:r>
        <w:rPr>
          <w:color w:val="auto"/>
          <w:sz w:val="24"/>
          <w:highlight w:val="none"/>
        </w:rPr>
        <w:t>法律依据：</w:t>
      </w:r>
    </w:p>
    <w:p w14:paraId="57CCB247">
      <w:pPr>
        <w:rPr>
          <w:color w:val="auto"/>
          <w:sz w:val="24"/>
          <w:highlight w:val="none"/>
          <w:u w:val="dotted"/>
        </w:rPr>
      </w:pPr>
    </w:p>
    <w:p w14:paraId="1950DE73">
      <w:pPr>
        <w:rPr>
          <w:color w:val="auto"/>
          <w:sz w:val="24"/>
          <w:highlight w:val="none"/>
        </w:rPr>
      </w:pPr>
      <w:r>
        <w:rPr>
          <w:color w:val="auto"/>
          <w:sz w:val="24"/>
          <w:highlight w:val="none"/>
        </w:rPr>
        <w:t>投诉事项2</w:t>
      </w:r>
    </w:p>
    <w:p w14:paraId="030103F1">
      <w:pPr>
        <w:rPr>
          <w:color w:val="auto"/>
          <w:sz w:val="24"/>
          <w:highlight w:val="none"/>
          <w:u w:val="dotted"/>
        </w:rPr>
      </w:pPr>
      <w:r>
        <w:rPr>
          <w:color w:val="auto"/>
          <w:sz w:val="24"/>
          <w:highlight w:val="none"/>
        </w:rPr>
        <w:t>……</w:t>
      </w:r>
    </w:p>
    <w:p w14:paraId="3B1AA52A">
      <w:pPr>
        <w:rPr>
          <w:color w:val="auto"/>
          <w:sz w:val="24"/>
          <w:highlight w:val="none"/>
        </w:rPr>
      </w:pPr>
      <w:r>
        <w:rPr>
          <w:color w:val="auto"/>
          <w:sz w:val="24"/>
          <w:highlight w:val="none"/>
        </w:rPr>
        <w:t>五、与投诉事项相关的投诉请求</w:t>
      </w:r>
    </w:p>
    <w:p w14:paraId="19DDF7E0">
      <w:pPr>
        <w:rPr>
          <w:color w:val="auto"/>
          <w:sz w:val="24"/>
          <w:highlight w:val="none"/>
        </w:rPr>
      </w:pPr>
      <w:r>
        <w:rPr>
          <w:color w:val="auto"/>
          <w:sz w:val="24"/>
          <w:highlight w:val="none"/>
        </w:rPr>
        <w:t>请求：</w:t>
      </w:r>
    </w:p>
    <w:p w14:paraId="47C6D5D9">
      <w:pPr>
        <w:rPr>
          <w:color w:val="auto"/>
          <w:sz w:val="24"/>
          <w:highlight w:val="none"/>
          <w:u w:val="single"/>
        </w:rPr>
      </w:pPr>
    </w:p>
    <w:p w14:paraId="06FD93A3">
      <w:pPr>
        <w:rPr>
          <w:color w:val="auto"/>
          <w:sz w:val="24"/>
          <w:highlight w:val="none"/>
        </w:rPr>
      </w:pPr>
      <w:r>
        <w:rPr>
          <w:color w:val="auto"/>
          <w:sz w:val="24"/>
          <w:highlight w:val="none"/>
        </w:rPr>
        <w:t xml:space="preserve">签字(签章)：                   公章：                      </w:t>
      </w:r>
    </w:p>
    <w:p w14:paraId="4B2D00F9">
      <w:pPr>
        <w:rPr>
          <w:b/>
          <w:color w:val="auto"/>
          <w:sz w:val="24"/>
          <w:highlight w:val="none"/>
        </w:rPr>
      </w:pPr>
      <w:r>
        <w:rPr>
          <w:color w:val="auto"/>
          <w:sz w:val="24"/>
          <w:highlight w:val="none"/>
        </w:rPr>
        <w:t xml:space="preserve">日期：    </w:t>
      </w:r>
    </w:p>
    <w:p w14:paraId="54108F0E">
      <w:pPr>
        <w:pStyle w:val="8"/>
        <w:rPr>
          <w:color w:val="auto"/>
          <w:highlight w:val="none"/>
        </w:rPr>
      </w:pPr>
    </w:p>
    <w:p w14:paraId="2285B60F">
      <w:pPr>
        <w:rPr>
          <w:b/>
          <w:color w:val="auto"/>
          <w:sz w:val="24"/>
          <w:highlight w:val="none"/>
        </w:rPr>
      </w:pPr>
    </w:p>
    <w:p w14:paraId="7A146F6E">
      <w:pPr>
        <w:rPr>
          <w:b/>
          <w:color w:val="auto"/>
          <w:sz w:val="24"/>
          <w:highlight w:val="none"/>
        </w:rPr>
      </w:pPr>
    </w:p>
    <w:p w14:paraId="604BAFF5">
      <w:pPr>
        <w:rPr>
          <w:b/>
          <w:color w:val="auto"/>
          <w:sz w:val="24"/>
          <w:highlight w:val="none"/>
        </w:rPr>
      </w:pPr>
    </w:p>
    <w:p w14:paraId="2CCC4E10">
      <w:pPr>
        <w:rPr>
          <w:b/>
          <w:color w:val="auto"/>
          <w:sz w:val="24"/>
          <w:highlight w:val="none"/>
        </w:rPr>
      </w:pPr>
    </w:p>
    <w:p w14:paraId="1F0E3969">
      <w:pPr>
        <w:rPr>
          <w:b/>
          <w:color w:val="auto"/>
          <w:sz w:val="24"/>
          <w:highlight w:val="none"/>
        </w:rPr>
      </w:pPr>
      <w:r>
        <w:rPr>
          <w:b/>
          <w:color w:val="auto"/>
          <w:sz w:val="24"/>
          <w:highlight w:val="none"/>
        </w:rPr>
        <w:t>投诉书制作说明：</w:t>
      </w:r>
    </w:p>
    <w:p w14:paraId="4907B6AE">
      <w:pPr>
        <w:widowControl/>
        <w:ind w:firstLine="480" w:firstLineChars="200"/>
        <w:rPr>
          <w:color w:val="auto"/>
          <w:kern w:val="0"/>
          <w:sz w:val="24"/>
          <w:highlight w:val="none"/>
        </w:rPr>
      </w:pPr>
      <w:r>
        <w:rPr>
          <w:color w:val="auto"/>
          <w:sz w:val="24"/>
          <w:highlight w:val="none"/>
        </w:rPr>
        <w:t>1.投诉人提起投诉时，应当提交投诉书和必要的证明材料，并按照被投诉人和与投诉事项有关的供应商数量提供投诉书副本。</w:t>
      </w:r>
    </w:p>
    <w:p w14:paraId="6565C6FC">
      <w:pPr>
        <w:widowControl/>
        <w:ind w:firstLine="480" w:firstLineChars="200"/>
        <w:jc w:val="left"/>
        <w:rPr>
          <w:color w:val="auto"/>
          <w:kern w:val="0"/>
          <w:sz w:val="24"/>
          <w:highlight w:val="none"/>
        </w:rPr>
      </w:pPr>
      <w:r>
        <w:rPr>
          <w:color w:val="auto"/>
          <w:sz w:val="24"/>
          <w:highlight w:val="none"/>
        </w:rPr>
        <w:t>2.投诉人若委托代理人进行投诉的，投诉书应按照要求列明“授权代表”的有关内容，并在附件中提交由</w:t>
      </w:r>
      <w:r>
        <w:rPr>
          <w:color w:val="auto"/>
          <w:kern w:val="0"/>
          <w:sz w:val="24"/>
          <w:highlight w:val="none"/>
        </w:rPr>
        <w:t>投诉人签署的授权委托书。授权委托书应当载明代理人的姓名或者名称、代理事项、具体权限、期限和相关事项。</w:t>
      </w:r>
    </w:p>
    <w:p w14:paraId="3D5FAA08">
      <w:pPr>
        <w:widowControl/>
        <w:ind w:firstLine="480" w:firstLineChars="200"/>
        <w:jc w:val="left"/>
        <w:rPr>
          <w:color w:val="auto"/>
          <w:sz w:val="24"/>
          <w:highlight w:val="none"/>
        </w:rPr>
      </w:pPr>
      <w:r>
        <w:rPr>
          <w:color w:val="auto"/>
          <w:sz w:val="24"/>
          <w:highlight w:val="none"/>
        </w:rPr>
        <w:t>3.投诉人若对项目的某一分包进行投诉，投诉书应列明具体分包号。</w:t>
      </w:r>
    </w:p>
    <w:p w14:paraId="3DCF02C7">
      <w:pPr>
        <w:widowControl/>
        <w:ind w:firstLine="480" w:firstLineChars="200"/>
        <w:jc w:val="left"/>
        <w:rPr>
          <w:color w:val="auto"/>
          <w:sz w:val="24"/>
          <w:highlight w:val="none"/>
        </w:rPr>
      </w:pPr>
      <w:r>
        <w:rPr>
          <w:color w:val="auto"/>
          <w:sz w:val="24"/>
          <w:highlight w:val="none"/>
        </w:rPr>
        <w:t>4.投诉书应简要列明质疑事项，质疑函、质疑答复等作为附件材料提供。</w:t>
      </w:r>
    </w:p>
    <w:p w14:paraId="273EEECA">
      <w:pPr>
        <w:widowControl/>
        <w:ind w:firstLine="480" w:firstLineChars="200"/>
        <w:jc w:val="left"/>
        <w:rPr>
          <w:color w:val="auto"/>
          <w:sz w:val="24"/>
          <w:highlight w:val="none"/>
        </w:rPr>
      </w:pPr>
      <w:r>
        <w:rPr>
          <w:color w:val="auto"/>
          <w:sz w:val="24"/>
          <w:highlight w:val="none"/>
        </w:rPr>
        <w:t>5.投诉书的投诉事项应具体、明确，并有必要的事实依据和法律依据。</w:t>
      </w:r>
    </w:p>
    <w:p w14:paraId="7C5B7F9A">
      <w:pPr>
        <w:widowControl/>
        <w:ind w:firstLine="480" w:firstLineChars="200"/>
        <w:jc w:val="left"/>
        <w:rPr>
          <w:color w:val="auto"/>
          <w:sz w:val="24"/>
          <w:highlight w:val="none"/>
        </w:rPr>
      </w:pPr>
      <w:r>
        <w:rPr>
          <w:color w:val="auto"/>
          <w:sz w:val="24"/>
          <w:highlight w:val="none"/>
        </w:rPr>
        <w:t>6.投诉书的投诉请求应与投诉事项相关。</w:t>
      </w:r>
    </w:p>
    <w:p w14:paraId="2D97AF56">
      <w:pPr>
        <w:pStyle w:val="12"/>
        <w:ind w:firstLine="480" w:firstLineChars="200"/>
        <w:rPr>
          <w:rFonts w:ascii="Times New Roman"/>
          <w:color w:val="auto"/>
          <w:sz w:val="24"/>
          <w:szCs w:val="24"/>
          <w:highlight w:val="none"/>
        </w:rPr>
      </w:pPr>
      <w:r>
        <w:rPr>
          <w:rFonts w:ascii="Times New Roman"/>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78250D6E">
      <w:pPr>
        <w:rPr>
          <w:color w:val="auto"/>
          <w:highlight w:val="none"/>
        </w:rPr>
      </w:pPr>
    </w:p>
    <w:sectPr>
      <w:pgSz w:w="11906" w:h="16838"/>
      <w:pgMar w:top="1134"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0FA5D">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BAE58">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68BAE58">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4F9ED">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50797">
                          <w:pPr>
                            <w:pStyle w:val="1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AB50797">
                    <w:pPr>
                      <w:pStyle w:val="18"/>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63C87">
    <w:pPr>
      <w:spacing w:line="176" w:lineRule="auto"/>
      <w:ind w:left="44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5F21F">
                          <w:pPr>
                            <w:pStyle w:val="1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135F21F">
                    <w:pPr>
                      <w:pStyle w:val="1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B52F0">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25400">
                        <a:noFill/>
                      </a:ln>
                    </wps:spPr>
                    <wps:txbx>
                      <w:txbxContent>
                        <w:p w14:paraId="0E3C6A42">
                          <w:pPr>
                            <w:pStyle w:val="18"/>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ytFEdMAAAAFAQAADwAAAAAAAAABACAAAAAiAAAAZHJzL2Rvd25y&#10;ZXYueG1sUEsBAhQAFAAAAAgAh07iQNM1oRTKAQAAlwMAAA4AAAAAAAAAAQAgAAAAIgEAAGRycy9l&#10;Mm9Eb2MueG1sUEsFBgAAAAAGAAYAWQEAAF4FAAAAAA==&#10;">
              <v:fill on="f" focussize="0,0"/>
              <v:stroke on="f" weight="2pt"/>
              <v:imagedata o:title=""/>
              <o:lock v:ext="edit" aspectratio="f"/>
              <v:textbox inset="0mm,0mm,0mm,0mm" style="mso-fit-shape-to-text:t;">
                <w:txbxContent>
                  <w:p w14:paraId="0E3C6A42">
                    <w:pPr>
                      <w:pStyle w:val="18"/>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17E7B">
    <w:pPr>
      <w:pStyle w:val="20"/>
      <w:ind w:firstLine="180" w:firstLineChars="100"/>
      <w:jc w:val="both"/>
      <w:rPr>
        <w:rFonts w:eastAsia="等线"/>
      </w:rPr>
    </w:pPr>
    <w:r>
      <w:rPr>
        <w:rFonts w:hint="eastAsia"/>
        <w:lang w:eastAsia="zh-CN"/>
      </w:rPr>
      <w:t>广西创佳项目管理有限公司</w:t>
    </w:r>
    <w:r>
      <w:rPr>
        <w:rFonts w:hint="eastAsia"/>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1D9D4">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22FC1">
    <w:pPr>
      <w:pStyle w:val="20"/>
      <w:pBdr>
        <w:bottom w:val="single" w:color="auto" w:sz="6" w:space="0"/>
      </w:pBdr>
      <w:jc w:val="left"/>
      <w:rPr>
        <w:rFonts w:hint="eastAsia"/>
        <w:lang w:eastAsia="zh-CN"/>
      </w:rPr>
    </w:pPr>
  </w:p>
  <w:p w14:paraId="2034F559">
    <w:pPr>
      <w:pStyle w:val="20"/>
      <w:pBdr>
        <w:bottom w:val="single" w:color="auto" w:sz="6" w:space="0"/>
      </w:pBdr>
      <w:jc w:val="left"/>
      <w:rPr>
        <w:rFonts w:hint="eastAsia"/>
        <w:lang w:eastAsia="zh-CN"/>
      </w:rPr>
    </w:pPr>
  </w:p>
  <w:p w14:paraId="3E00A025">
    <w:pPr>
      <w:pStyle w:val="20"/>
      <w:pBdr>
        <w:bottom w:val="single" w:color="auto" w:sz="6" w:space="0"/>
      </w:pBdr>
      <w:jc w:val="left"/>
      <w:rPr>
        <w:rFonts w:hint="eastAsia"/>
        <w:lang w:eastAsia="zh-CN"/>
      </w:rPr>
    </w:pPr>
  </w:p>
  <w:p w14:paraId="5FDD314B">
    <w:pPr>
      <w:pStyle w:val="20"/>
      <w:pBdr>
        <w:bottom w:val="single" w:color="auto" w:sz="6" w:space="0"/>
      </w:pBdr>
      <w:jc w:val="left"/>
      <w:rPr>
        <w:rFonts w:hint="eastAsia"/>
        <w:lang w:eastAsia="zh-CN"/>
      </w:rPr>
    </w:pPr>
  </w:p>
  <w:p w14:paraId="1B01115A">
    <w:pPr>
      <w:pStyle w:val="20"/>
      <w:pBdr>
        <w:bottom w:val="single" w:color="auto" w:sz="6" w:space="0"/>
      </w:pBdr>
      <w:jc w:val="left"/>
    </w:pPr>
    <w:r>
      <w:rPr>
        <w:rFonts w:hint="eastAsia"/>
        <w:lang w:eastAsia="zh-CN"/>
      </w:rPr>
      <w:t>广西创佳项目管理有限公司</w:t>
    </w:r>
    <w:r>
      <w:rPr>
        <w:rFonts w:hint="eastAsia"/>
      </w:rPr>
      <w:t xml:space="preserve">                                                            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5A652"/>
    <w:multiLevelType w:val="singleLevel"/>
    <w:tmpl w:val="81C5A652"/>
    <w:lvl w:ilvl="0" w:tentative="0">
      <w:start w:val="7"/>
      <w:numFmt w:val="chineseCounting"/>
      <w:suff w:val="nothing"/>
      <w:lvlText w:val="%1、"/>
      <w:lvlJc w:val="left"/>
      <w:rPr>
        <w:rFonts w:hint="eastAsia"/>
      </w:rPr>
    </w:lvl>
  </w:abstractNum>
  <w:abstractNum w:abstractNumId="1">
    <w:nsid w:val="908592C8"/>
    <w:multiLevelType w:val="singleLevel"/>
    <w:tmpl w:val="908592C8"/>
    <w:lvl w:ilvl="0" w:tentative="0">
      <w:start w:val="3"/>
      <w:numFmt w:val="chineseCounting"/>
      <w:suff w:val="space"/>
      <w:lvlText w:val="第%1章"/>
      <w:lvlJc w:val="left"/>
      <w:rPr>
        <w:rFonts w:hint="eastAsia"/>
      </w:rPr>
    </w:lvl>
  </w:abstractNum>
  <w:abstractNum w:abstractNumId="2">
    <w:nsid w:val="9912EF37"/>
    <w:multiLevelType w:val="singleLevel"/>
    <w:tmpl w:val="9912EF37"/>
    <w:lvl w:ilvl="0" w:tentative="0">
      <w:start w:val="35"/>
      <w:numFmt w:val="decimal"/>
      <w:suff w:val="nothing"/>
      <w:lvlText w:val="%1、"/>
      <w:lvlJc w:val="left"/>
    </w:lvl>
  </w:abstractNum>
  <w:abstractNum w:abstractNumId="3">
    <w:nsid w:val="F826D4C1"/>
    <w:multiLevelType w:val="singleLevel"/>
    <w:tmpl w:val="F826D4C1"/>
    <w:lvl w:ilvl="0" w:tentative="0">
      <w:start w:val="4"/>
      <w:numFmt w:val="decimal"/>
      <w:suff w:val="nothing"/>
      <w:lvlText w:val="（%1）"/>
      <w:lvlJc w:val="left"/>
    </w:lvl>
  </w:abstractNum>
  <w:abstractNum w:abstractNumId="4">
    <w:nsid w:val="7A2DA844"/>
    <w:multiLevelType w:val="singleLevel"/>
    <w:tmpl w:val="7A2DA844"/>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YWVhY2FiN2M1MTI0MDJmOGRkZDNjZGJiOGJiMDEifQ=="/>
  </w:docVars>
  <w:rsids>
    <w:rsidRoot w:val="5B491A68"/>
    <w:rsid w:val="000A0742"/>
    <w:rsid w:val="0037417B"/>
    <w:rsid w:val="00437C59"/>
    <w:rsid w:val="00551570"/>
    <w:rsid w:val="005D6183"/>
    <w:rsid w:val="00A70F12"/>
    <w:rsid w:val="00B11F52"/>
    <w:rsid w:val="00B63452"/>
    <w:rsid w:val="00C45CDD"/>
    <w:rsid w:val="00F97A84"/>
    <w:rsid w:val="00FB3602"/>
    <w:rsid w:val="025856E6"/>
    <w:rsid w:val="02695D0E"/>
    <w:rsid w:val="02C1139B"/>
    <w:rsid w:val="02C40969"/>
    <w:rsid w:val="032C14E2"/>
    <w:rsid w:val="038F3F5E"/>
    <w:rsid w:val="04610B65"/>
    <w:rsid w:val="04763530"/>
    <w:rsid w:val="05D000AF"/>
    <w:rsid w:val="070B422D"/>
    <w:rsid w:val="07371890"/>
    <w:rsid w:val="090A1F14"/>
    <w:rsid w:val="0B0C6A06"/>
    <w:rsid w:val="0B9C6927"/>
    <w:rsid w:val="0D4A2FB6"/>
    <w:rsid w:val="0D674D12"/>
    <w:rsid w:val="0D6D712F"/>
    <w:rsid w:val="0D705975"/>
    <w:rsid w:val="0DEB7E66"/>
    <w:rsid w:val="0F4D1E97"/>
    <w:rsid w:val="0F827BE2"/>
    <w:rsid w:val="0F84395A"/>
    <w:rsid w:val="11734152"/>
    <w:rsid w:val="11FE238A"/>
    <w:rsid w:val="12F77E1B"/>
    <w:rsid w:val="143533EF"/>
    <w:rsid w:val="14BE790E"/>
    <w:rsid w:val="174D4B8D"/>
    <w:rsid w:val="179D2CA2"/>
    <w:rsid w:val="183028D1"/>
    <w:rsid w:val="183E4393"/>
    <w:rsid w:val="1B486183"/>
    <w:rsid w:val="1B493178"/>
    <w:rsid w:val="1BA4161A"/>
    <w:rsid w:val="1BD27F29"/>
    <w:rsid w:val="1BED1B33"/>
    <w:rsid w:val="1C9A5F1F"/>
    <w:rsid w:val="1CA94D9D"/>
    <w:rsid w:val="1DDD57C6"/>
    <w:rsid w:val="1E024F05"/>
    <w:rsid w:val="1E1007AF"/>
    <w:rsid w:val="1F6C499D"/>
    <w:rsid w:val="20C21A54"/>
    <w:rsid w:val="215663AA"/>
    <w:rsid w:val="21935128"/>
    <w:rsid w:val="21A07D31"/>
    <w:rsid w:val="21AC6F41"/>
    <w:rsid w:val="23522D91"/>
    <w:rsid w:val="23675615"/>
    <w:rsid w:val="24824EB2"/>
    <w:rsid w:val="252E10E7"/>
    <w:rsid w:val="25665B84"/>
    <w:rsid w:val="25C71437"/>
    <w:rsid w:val="26441A73"/>
    <w:rsid w:val="267E0CAB"/>
    <w:rsid w:val="26EF3957"/>
    <w:rsid w:val="27475541"/>
    <w:rsid w:val="27D71420"/>
    <w:rsid w:val="28153F35"/>
    <w:rsid w:val="282D63DA"/>
    <w:rsid w:val="28612632"/>
    <w:rsid w:val="28D87B5F"/>
    <w:rsid w:val="2942121D"/>
    <w:rsid w:val="29571A69"/>
    <w:rsid w:val="296F446F"/>
    <w:rsid w:val="297840D8"/>
    <w:rsid w:val="2A3959A1"/>
    <w:rsid w:val="2A99098F"/>
    <w:rsid w:val="2B12272C"/>
    <w:rsid w:val="2B5F386C"/>
    <w:rsid w:val="2B611FB9"/>
    <w:rsid w:val="2B766C5F"/>
    <w:rsid w:val="2BB46F1D"/>
    <w:rsid w:val="2BC113F7"/>
    <w:rsid w:val="2BC60AEE"/>
    <w:rsid w:val="2CC05C59"/>
    <w:rsid w:val="2CC10728"/>
    <w:rsid w:val="2E553989"/>
    <w:rsid w:val="2E632048"/>
    <w:rsid w:val="2F3847B8"/>
    <w:rsid w:val="2F6D08CF"/>
    <w:rsid w:val="305807BF"/>
    <w:rsid w:val="309D5269"/>
    <w:rsid w:val="32425B14"/>
    <w:rsid w:val="325B2C7D"/>
    <w:rsid w:val="340F2632"/>
    <w:rsid w:val="344B7AD8"/>
    <w:rsid w:val="344C4197"/>
    <w:rsid w:val="349B7F45"/>
    <w:rsid w:val="34ED4B52"/>
    <w:rsid w:val="358D4DED"/>
    <w:rsid w:val="36243007"/>
    <w:rsid w:val="36D22C1A"/>
    <w:rsid w:val="370933FE"/>
    <w:rsid w:val="3715740A"/>
    <w:rsid w:val="384635F3"/>
    <w:rsid w:val="389606E2"/>
    <w:rsid w:val="38BD1B07"/>
    <w:rsid w:val="3A5A397D"/>
    <w:rsid w:val="3A777A93"/>
    <w:rsid w:val="3AFB2473"/>
    <w:rsid w:val="3BA40D5C"/>
    <w:rsid w:val="3C3765FF"/>
    <w:rsid w:val="3DC2196D"/>
    <w:rsid w:val="3DCB25D0"/>
    <w:rsid w:val="3DE609BC"/>
    <w:rsid w:val="3DE6740A"/>
    <w:rsid w:val="3E171CB9"/>
    <w:rsid w:val="3F7D5B4C"/>
    <w:rsid w:val="3F850EA5"/>
    <w:rsid w:val="40E77DF5"/>
    <w:rsid w:val="418C7E34"/>
    <w:rsid w:val="421877CE"/>
    <w:rsid w:val="42675B56"/>
    <w:rsid w:val="430F1598"/>
    <w:rsid w:val="431542ED"/>
    <w:rsid w:val="43B954D0"/>
    <w:rsid w:val="443A225E"/>
    <w:rsid w:val="44D4283C"/>
    <w:rsid w:val="46511FB5"/>
    <w:rsid w:val="465D3E2D"/>
    <w:rsid w:val="46A51CD2"/>
    <w:rsid w:val="46F24D0B"/>
    <w:rsid w:val="47567105"/>
    <w:rsid w:val="49060960"/>
    <w:rsid w:val="494E0666"/>
    <w:rsid w:val="4A5A03D9"/>
    <w:rsid w:val="4A797655"/>
    <w:rsid w:val="4B06733D"/>
    <w:rsid w:val="4CB614C5"/>
    <w:rsid w:val="4D043409"/>
    <w:rsid w:val="4E0379B7"/>
    <w:rsid w:val="4E1E3790"/>
    <w:rsid w:val="4EEF526E"/>
    <w:rsid w:val="4F6C1739"/>
    <w:rsid w:val="5004478B"/>
    <w:rsid w:val="503C546A"/>
    <w:rsid w:val="5084003F"/>
    <w:rsid w:val="51165E00"/>
    <w:rsid w:val="51AC02FF"/>
    <w:rsid w:val="52466271"/>
    <w:rsid w:val="532449AB"/>
    <w:rsid w:val="537012F3"/>
    <w:rsid w:val="53DE489E"/>
    <w:rsid w:val="544C22DC"/>
    <w:rsid w:val="54735877"/>
    <w:rsid w:val="54DA6A6A"/>
    <w:rsid w:val="552D5135"/>
    <w:rsid w:val="55AC288F"/>
    <w:rsid w:val="57AF1A9D"/>
    <w:rsid w:val="580C1D0B"/>
    <w:rsid w:val="59587928"/>
    <w:rsid w:val="5B491A68"/>
    <w:rsid w:val="5BC14C20"/>
    <w:rsid w:val="5BC80C36"/>
    <w:rsid w:val="5C4A558E"/>
    <w:rsid w:val="5C6C0E59"/>
    <w:rsid w:val="5D5D0A45"/>
    <w:rsid w:val="5D76544C"/>
    <w:rsid w:val="5EC81A91"/>
    <w:rsid w:val="5ED555E7"/>
    <w:rsid w:val="5F67100F"/>
    <w:rsid w:val="60343BAD"/>
    <w:rsid w:val="61840B64"/>
    <w:rsid w:val="62467BC8"/>
    <w:rsid w:val="629E7A04"/>
    <w:rsid w:val="634850C5"/>
    <w:rsid w:val="63697CAA"/>
    <w:rsid w:val="63856995"/>
    <w:rsid w:val="65624D19"/>
    <w:rsid w:val="65AF2808"/>
    <w:rsid w:val="663C6F66"/>
    <w:rsid w:val="67B6759E"/>
    <w:rsid w:val="67E31201"/>
    <w:rsid w:val="681708C0"/>
    <w:rsid w:val="681E586F"/>
    <w:rsid w:val="683010FE"/>
    <w:rsid w:val="684C3B04"/>
    <w:rsid w:val="685A203D"/>
    <w:rsid w:val="69080A7B"/>
    <w:rsid w:val="69CB2AA3"/>
    <w:rsid w:val="6B9F0244"/>
    <w:rsid w:val="6BC95AF1"/>
    <w:rsid w:val="6BE66188"/>
    <w:rsid w:val="6C037A37"/>
    <w:rsid w:val="6C785B3D"/>
    <w:rsid w:val="6CB73B9C"/>
    <w:rsid w:val="6D231231"/>
    <w:rsid w:val="6D5C2995"/>
    <w:rsid w:val="6D82064E"/>
    <w:rsid w:val="6F5E0C47"/>
    <w:rsid w:val="6F695495"/>
    <w:rsid w:val="700358F1"/>
    <w:rsid w:val="701B08E6"/>
    <w:rsid w:val="70F749F0"/>
    <w:rsid w:val="71050DFC"/>
    <w:rsid w:val="720F6ADC"/>
    <w:rsid w:val="724265FE"/>
    <w:rsid w:val="728B0DD8"/>
    <w:rsid w:val="72AB5F51"/>
    <w:rsid w:val="735D42A5"/>
    <w:rsid w:val="73C3551C"/>
    <w:rsid w:val="74354524"/>
    <w:rsid w:val="749D3FBF"/>
    <w:rsid w:val="74F92760"/>
    <w:rsid w:val="75637E56"/>
    <w:rsid w:val="767102C3"/>
    <w:rsid w:val="76BA1F01"/>
    <w:rsid w:val="77004AE5"/>
    <w:rsid w:val="7725204A"/>
    <w:rsid w:val="772662AA"/>
    <w:rsid w:val="774D3A7A"/>
    <w:rsid w:val="77D73344"/>
    <w:rsid w:val="77EE0F37"/>
    <w:rsid w:val="79442C5B"/>
    <w:rsid w:val="79935991"/>
    <w:rsid w:val="79A4304B"/>
    <w:rsid w:val="7A4A011F"/>
    <w:rsid w:val="7B203F40"/>
    <w:rsid w:val="7B85224C"/>
    <w:rsid w:val="7BA66588"/>
    <w:rsid w:val="7CDF6FC6"/>
    <w:rsid w:val="7E445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qFormat="1" w:unhideWhenUsed="0" w:uiPriority="0"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autoRedefine/>
    <w:qFormat/>
    <w:uiPriority w:val="9"/>
    <w:pPr>
      <w:keepNext/>
      <w:spacing w:line="340" w:lineRule="exact"/>
      <w:jc w:val="center"/>
      <w:outlineLvl w:val="0"/>
    </w:pPr>
    <w:rPr>
      <w:b/>
      <w:bCs/>
      <w:sz w:val="32"/>
    </w:rPr>
  </w:style>
  <w:style w:type="paragraph" w:styleId="4">
    <w:name w:val="heading 2"/>
    <w:basedOn w:val="1"/>
    <w:next w:val="1"/>
    <w:autoRedefine/>
    <w:unhideWhenUsed/>
    <w:qFormat/>
    <w:uiPriority w:val="0"/>
    <w:pPr>
      <w:outlineLvl w:val="1"/>
    </w:pPr>
    <w:rPr>
      <w:sz w:val="30"/>
    </w:rPr>
  </w:style>
  <w:style w:type="paragraph" w:styleId="5">
    <w:name w:val="heading 3"/>
    <w:basedOn w:val="4"/>
    <w:next w:val="1"/>
    <w:autoRedefine/>
    <w:unhideWhenUsed/>
    <w:qFormat/>
    <w:uiPriority w:val="0"/>
    <w:pPr>
      <w:spacing w:before="100" w:beforeAutospacing="1" w:after="100" w:afterAutospacing="1"/>
      <w:jc w:val="left"/>
      <w:outlineLvl w:val="2"/>
    </w:pPr>
    <w:rPr>
      <w:rFonts w:hint="eastAsia" w:ascii="宋体" w:hAnsi="宋体"/>
      <w:kern w:val="0"/>
      <w:sz w:val="27"/>
      <w:szCs w:val="27"/>
    </w:rPr>
  </w:style>
  <w:style w:type="paragraph" w:styleId="6">
    <w:name w:val="heading 4"/>
    <w:basedOn w:val="1"/>
    <w:next w:val="1"/>
    <w:autoRedefine/>
    <w:qFormat/>
    <w:uiPriority w:val="0"/>
    <w:pPr>
      <w:keepLines/>
      <w:widowControl/>
      <w:spacing w:before="120" w:after="120" w:line="360" w:lineRule="auto"/>
      <w:jc w:val="center"/>
      <w:outlineLvl w:val="3"/>
    </w:pPr>
    <w:rPr>
      <w:rFonts w:ascii="Arial" w:hAnsi="Arial" w:eastAsia="黑体"/>
      <w:sz w:val="28"/>
    </w:rPr>
  </w:style>
  <w:style w:type="paragraph" w:styleId="7">
    <w:name w:val="heading 6"/>
    <w:basedOn w:val="1"/>
    <w:next w:val="1"/>
    <w:autoRedefine/>
    <w:qFormat/>
    <w:uiPriority w:val="0"/>
    <w:pPr>
      <w:keepNext/>
      <w:keepLines/>
      <w:spacing w:before="240" w:after="64" w:line="320" w:lineRule="auto"/>
      <w:outlineLvl w:val="5"/>
    </w:pPr>
    <w:rPr>
      <w:rFonts w:ascii="Arial" w:hAnsi="Arial" w:eastAsia="黑体"/>
      <w:b/>
      <w:sz w:val="24"/>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8">
    <w:name w:val="table of authorities"/>
    <w:basedOn w:val="1"/>
    <w:next w:val="1"/>
    <w:autoRedefine/>
    <w:unhideWhenUsed/>
    <w:qFormat/>
    <w:uiPriority w:val="99"/>
    <w:pPr>
      <w:ind w:left="420" w:leftChars="200"/>
    </w:pPr>
  </w:style>
  <w:style w:type="paragraph" w:styleId="9">
    <w:name w:val="index 8"/>
    <w:basedOn w:val="1"/>
    <w:next w:val="1"/>
    <w:autoRedefine/>
    <w:qFormat/>
    <w:uiPriority w:val="0"/>
    <w:pPr>
      <w:ind w:left="2940"/>
    </w:pPr>
  </w:style>
  <w:style w:type="paragraph" w:styleId="10">
    <w:name w:val="Normal Indent"/>
    <w:basedOn w:val="1"/>
    <w:autoRedefine/>
    <w:qFormat/>
    <w:uiPriority w:val="0"/>
    <w:pPr>
      <w:ind w:firstLine="420"/>
    </w:pPr>
    <w:rPr>
      <w:szCs w:val="20"/>
    </w:rPr>
  </w:style>
  <w:style w:type="paragraph" w:styleId="11">
    <w:name w:val="annotation text"/>
    <w:basedOn w:val="1"/>
    <w:autoRedefine/>
    <w:qFormat/>
    <w:uiPriority w:val="0"/>
    <w:rPr>
      <w:rFonts w:asciiTheme="minorHAnsi" w:hAnsiTheme="minorHAnsi" w:eastAsiaTheme="minorEastAsia" w:cstheme="minorBidi"/>
    </w:rPr>
  </w:style>
  <w:style w:type="paragraph" w:styleId="12">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3">
    <w:name w:val="Body Text Indent"/>
    <w:basedOn w:val="1"/>
    <w:autoRedefine/>
    <w:qFormat/>
    <w:uiPriority w:val="0"/>
    <w:pPr>
      <w:spacing w:line="200" w:lineRule="exact"/>
      <w:ind w:firstLine="301"/>
    </w:pPr>
    <w:rPr>
      <w:rFonts w:ascii="宋体" w:hAnsi="Courier New"/>
      <w:spacing w:val="-4"/>
      <w:sz w:val="18"/>
      <w:szCs w:val="20"/>
    </w:rPr>
  </w:style>
  <w:style w:type="paragraph" w:styleId="14">
    <w:name w:val="List 2"/>
    <w:basedOn w:val="1"/>
    <w:autoRedefine/>
    <w:qFormat/>
    <w:uiPriority w:val="0"/>
    <w:pPr>
      <w:ind w:left="100" w:leftChars="200" w:hanging="200" w:hangingChars="200"/>
    </w:pPr>
    <w:rPr>
      <w:sz w:val="28"/>
    </w:rPr>
  </w:style>
  <w:style w:type="paragraph" w:styleId="15">
    <w:name w:val="Block Text"/>
    <w:basedOn w:val="1"/>
    <w:next w:val="13"/>
    <w:autoRedefine/>
    <w:qFormat/>
    <w:uiPriority w:val="0"/>
    <w:pPr>
      <w:ind w:left="420" w:right="33" w:firstLine="3584"/>
    </w:pPr>
    <w:rPr>
      <w:sz w:val="20"/>
      <w:szCs w:val="20"/>
    </w:rPr>
  </w:style>
  <w:style w:type="paragraph" w:styleId="16">
    <w:name w:val="Plain Text"/>
    <w:basedOn w:val="1"/>
    <w:next w:val="1"/>
    <w:autoRedefine/>
    <w:qFormat/>
    <w:uiPriority w:val="0"/>
    <w:rPr>
      <w:rFonts w:ascii="宋体" w:hAnsi="Courier New"/>
      <w:szCs w:val="20"/>
    </w:rPr>
  </w:style>
  <w:style w:type="paragraph" w:styleId="17">
    <w:name w:val="toc 8"/>
    <w:basedOn w:val="1"/>
    <w:next w:val="1"/>
    <w:autoRedefine/>
    <w:qFormat/>
    <w:uiPriority w:val="0"/>
    <w:pPr>
      <w:wordWrap w:val="0"/>
      <w:ind w:left="2550"/>
    </w:pPr>
  </w:style>
  <w:style w:type="paragraph" w:styleId="18">
    <w:name w:val="footer"/>
    <w:basedOn w:val="1"/>
    <w:autoRedefine/>
    <w:qFormat/>
    <w:uiPriority w:val="0"/>
    <w:pPr>
      <w:tabs>
        <w:tab w:val="center" w:pos="4153"/>
        <w:tab w:val="right" w:pos="8306"/>
      </w:tabs>
      <w:snapToGrid w:val="0"/>
      <w:jc w:val="left"/>
    </w:pPr>
    <w:rPr>
      <w:rFonts w:ascii="宋体" w:hAnsi="Courier New"/>
      <w:sz w:val="18"/>
      <w:szCs w:val="20"/>
    </w:rPr>
  </w:style>
  <w:style w:type="paragraph" w:styleId="19">
    <w:name w:val="envelope return"/>
    <w:basedOn w:val="1"/>
    <w:autoRedefine/>
    <w:qFormat/>
    <w:uiPriority w:val="0"/>
    <w:pPr>
      <w:snapToGrid w:val="0"/>
    </w:pPr>
    <w:rPr>
      <w:rFonts w:ascii="Arial" w:hAnsi="Arial"/>
    </w:rPr>
  </w:style>
  <w:style w:type="paragraph" w:styleId="20">
    <w:name w:val="header"/>
    <w:basedOn w:val="1"/>
    <w:autoRedefine/>
    <w:qFormat/>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21">
    <w:name w:val="toc 6"/>
    <w:basedOn w:val="1"/>
    <w:next w:val="1"/>
    <w:autoRedefine/>
    <w:unhideWhenUsed/>
    <w:qFormat/>
    <w:uiPriority w:val="39"/>
    <w:pPr>
      <w:ind w:left="1200"/>
    </w:pPr>
    <w:rPr>
      <w:sz w:val="18"/>
      <w:szCs w:val="18"/>
    </w:rPr>
  </w:style>
  <w:style w:type="paragraph" w:styleId="22">
    <w:name w:val="toc 9"/>
    <w:basedOn w:val="1"/>
    <w:next w:val="1"/>
    <w:autoRedefine/>
    <w:qFormat/>
    <w:uiPriority w:val="39"/>
    <w:pPr>
      <w:tabs>
        <w:tab w:val="right" w:leader="dot" w:pos="9185"/>
      </w:tabs>
      <w:adjustRightInd w:val="0"/>
      <w:spacing w:line="312" w:lineRule="atLeast"/>
      <w:ind w:left="3360"/>
      <w:textAlignment w:val="baseline"/>
    </w:pPr>
    <w:rPr>
      <w:kern w:val="0"/>
      <w:szCs w:val="20"/>
    </w:rPr>
  </w:style>
  <w:style w:type="paragraph" w:styleId="23">
    <w:name w:val="List 4"/>
    <w:basedOn w:val="1"/>
    <w:autoRedefine/>
    <w:qFormat/>
    <w:uiPriority w:val="0"/>
    <w:pPr>
      <w:ind w:left="100" w:leftChars="600" w:hanging="200" w:hangingChars="200"/>
    </w:pPr>
  </w:style>
  <w:style w:type="paragraph" w:styleId="2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5">
    <w:name w:val="Body Text First Indent"/>
    <w:basedOn w:val="12"/>
    <w:next w:val="21"/>
    <w:autoRedefine/>
    <w:qFormat/>
    <w:uiPriority w:val="0"/>
    <w:pPr>
      <w:ind w:firstLine="420" w:firstLineChars="100"/>
      <w:jc w:val="both"/>
    </w:pPr>
    <w:rPr>
      <w:szCs w:val="22"/>
    </w:rPr>
  </w:style>
  <w:style w:type="paragraph" w:styleId="26">
    <w:name w:val="Body Text First Indent 2"/>
    <w:basedOn w:val="13"/>
    <w:next w:val="1"/>
    <w:autoRedefine/>
    <w:qFormat/>
    <w:uiPriority w:val="0"/>
    <w:pPr>
      <w:spacing w:after="120"/>
      <w:ind w:left="420" w:leftChars="200" w:firstLine="420" w:firstLineChars="200"/>
    </w:pPr>
    <w:rPr>
      <w:rFonts w:hint="eastAsia" w:hAnsi="Times New Roman"/>
      <w:kern w:val="0"/>
      <w:sz w:val="24"/>
    </w:rPr>
  </w:style>
  <w:style w:type="table" w:styleId="28">
    <w:name w:val="Table Grid"/>
    <w:basedOn w:val="2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basedOn w:val="29"/>
    <w:autoRedefine/>
    <w:qFormat/>
    <w:uiPriority w:val="0"/>
    <w:rPr>
      <w:color w:val="0088CC"/>
      <w:u w:val="none"/>
    </w:rPr>
  </w:style>
  <w:style w:type="character" w:styleId="31">
    <w:name w:val="annotation reference"/>
    <w:autoRedefine/>
    <w:qFormat/>
    <w:uiPriority w:val="0"/>
    <w:rPr>
      <w:sz w:val="21"/>
      <w:szCs w:val="21"/>
    </w:rPr>
  </w:style>
  <w:style w:type="paragraph" w:customStyle="1" w:styleId="32">
    <w:name w:val="目录 83"/>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styleId="33">
    <w:name w:val="Intense Quote"/>
    <w:next w:val="1"/>
    <w:autoRedefine/>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34">
    <w:name w:val="font5"/>
    <w:basedOn w:val="1"/>
    <w:next w:val="17"/>
    <w:autoRedefine/>
    <w:qFormat/>
    <w:uiPriority w:val="0"/>
    <w:pPr>
      <w:widowControl/>
      <w:spacing w:before="280" w:after="280"/>
    </w:pPr>
    <w:rPr>
      <w:rFonts w:ascii="宋体"/>
      <w:sz w:val="18"/>
    </w:rPr>
  </w:style>
  <w:style w:type="paragraph" w:customStyle="1" w:styleId="35">
    <w:name w:val="表格文字"/>
    <w:basedOn w:val="1"/>
    <w:autoRedefine/>
    <w:qFormat/>
    <w:uiPriority w:val="99"/>
    <w:pPr>
      <w:spacing w:before="25" w:after="25"/>
      <w:jc w:val="left"/>
    </w:pPr>
    <w:rPr>
      <w:bCs/>
      <w:spacing w:val="10"/>
      <w:kern w:val="0"/>
      <w:sz w:val="24"/>
    </w:rPr>
  </w:style>
  <w:style w:type="character" w:customStyle="1" w:styleId="36">
    <w:name w:val="标题 1 字符"/>
    <w:link w:val="3"/>
    <w:autoRedefine/>
    <w:qFormat/>
    <w:uiPriority w:val="9"/>
    <w:rPr>
      <w:rFonts w:ascii="Times New Roman" w:hAnsi="Times New Roman" w:eastAsia="宋体"/>
      <w:b/>
      <w:bCs/>
      <w:sz w:val="32"/>
    </w:rPr>
  </w:style>
  <w:style w:type="character" w:customStyle="1" w:styleId="37">
    <w:name w:val="15"/>
    <w:basedOn w:val="29"/>
    <w:autoRedefine/>
    <w:qFormat/>
    <w:uiPriority w:val="0"/>
    <w:rPr>
      <w:rFonts w:hint="default" w:ascii="Times New Roman" w:hAnsi="Times New Roman" w:cs="Times New Roman"/>
      <w:b/>
      <w:bCs/>
    </w:rPr>
  </w:style>
  <w:style w:type="paragraph" w:customStyle="1" w:styleId="38">
    <w:name w:val="Table Paragraph"/>
    <w:basedOn w:val="1"/>
    <w:autoRedefine/>
    <w:qFormat/>
    <w:uiPriority w:val="1"/>
    <w:rPr>
      <w:rFonts w:ascii="宋体" w:hAnsi="宋体" w:cs="宋体"/>
      <w:lang w:val="zh-CN" w:bidi="zh-CN"/>
    </w:rPr>
  </w:style>
  <w:style w:type="paragraph" w:customStyle="1" w:styleId="39">
    <w:name w:val="1"/>
    <w:basedOn w:val="1"/>
    <w:next w:val="16"/>
    <w:autoRedefine/>
    <w:qFormat/>
    <w:uiPriority w:val="0"/>
    <w:rPr>
      <w:rFonts w:ascii="宋体" w:hAnsi="Courier New"/>
      <w:szCs w:val="20"/>
    </w:rPr>
  </w:style>
  <w:style w:type="paragraph" w:customStyle="1" w:styleId="40">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_Style 0"/>
    <w:autoRedefine/>
    <w:qFormat/>
    <w:uiPriority w:val="99"/>
    <w:pPr>
      <w:ind w:firstLine="420" w:firstLineChars="200"/>
    </w:pPr>
    <w:rPr>
      <w:rFonts w:ascii="Times New Roman" w:hAnsi="Times New Roman" w:eastAsia="宋体" w:cs="Times New Roman"/>
      <w:lang w:val="en-US" w:eastAsia="zh-CN" w:bidi="ar-SA"/>
    </w:rPr>
  </w:style>
  <w:style w:type="paragraph" w:customStyle="1" w:styleId="42">
    <w:name w:val="默认段落字体 Para Char Char Char Char Char Char Char Char Char1 Char Char Char Char"/>
    <w:basedOn w:val="1"/>
    <w:autoRedefine/>
    <w:qFormat/>
    <w:uiPriority w:val="0"/>
    <w:rPr>
      <w:rFonts w:ascii="Tahoma" w:hAnsi="Tahoma"/>
      <w:sz w:val="24"/>
      <w:szCs w:val="20"/>
    </w:rPr>
  </w:style>
  <w:style w:type="paragraph" w:customStyle="1" w:styleId="43">
    <w:name w:val="toc 12"/>
    <w:next w:val="1"/>
    <w:autoRedefine/>
    <w:qFormat/>
    <w:uiPriority w:val="0"/>
    <w:pPr>
      <w:wordWrap w:val="0"/>
      <w:jc w:val="both"/>
    </w:pPr>
    <w:rPr>
      <w:rFonts w:ascii="宋体" w:hAnsi="宋体" w:eastAsia="宋体" w:cs="Times New Roman"/>
      <w:sz w:val="21"/>
      <w:lang w:val="en-US" w:eastAsia="zh-CN" w:bidi="ar-SA"/>
    </w:rPr>
  </w:style>
  <w:style w:type="paragraph" w:customStyle="1" w:styleId="44">
    <w:name w:val="正文段"/>
    <w:basedOn w:val="1"/>
    <w:autoRedefine/>
    <w:qFormat/>
    <w:uiPriority w:val="0"/>
    <w:pPr>
      <w:widowControl/>
      <w:snapToGrid w:val="0"/>
      <w:spacing w:after="156" w:afterLines="50"/>
      <w:ind w:firstLine="200" w:firstLineChars="200"/>
    </w:pPr>
    <w:rPr>
      <w:kern w:val="0"/>
      <w:sz w:val="24"/>
      <w:szCs w:val="20"/>
    </w:rPr>
  </w:style>
  <w:style w:type="table" w:customStyle="1" w:styleId="45">
    <w:name w:val="Table Normal"/>
    <w:autoRedefine/>
    <w:semiHidden/>
    <w:unhideWhenUsed/>
    <w:qFormat/>
    <w:uiPriority w:val="0"/>
    <w:tblPr>
      <w:tblCellMar>
        <w:top w:w="0" w:type="dxa"/>
        <w:left w:w="0" w:type="dxa"/>
        <w:bottom w:w="0" w:type="dxa"/>
        <w:right w:w="0" w:type="dxa"/>
      </w:tblCellMar>
    </w:tblPr>
  </w:style>
  <w:style w:type="character" w:customStyle="1" w:styleId="46">
    <w:name w:val="NormalCharacter"/>
    <w:link w:val="47"/>
    <w:autoRedefine/>
    <w:qFormat/>
    <w:uiPriority w:val="0"/>
  </w:style>
  <w:style w:type="paragraph" w:customStyle="1" w:styleId="47">
    <w:name w:val="样式"/>
    <w:basedOn w:val="1"/>
    <w:link w:val="46"/>
    <w:autoRedefine/>
    <w:qFormat/>
    <w:uiPriority w:val="0"/>
    <w:pPr>
      <w:widowControl/>
      <w:spacing w:after="160" w:line="240" w:lineRule="exact"/>
      <w:jc w:val="left"/>
      <w:textAlignment w:val="baseline"/>
    </w:pPr>
  </w:style>
  <w:style w:type="paragraph" w:customStyle="1" w:styleId="48">
    <w:name w:val="正文缩进1"/>
    <w:basedOn w:val="1"/>
    <w:next w:val="13"/>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49">
    <w:name w:val="Heading4"/>
    <w:basedOn w:val="1"/>
    <w:next w:val="1"/>
    <w:autoRedefine/>
    <w:qFormat/>
    <w:uiPriority w:val="0"/>
    <w:pPr>
      <w:keepNext/>
      <w:keepLines/>
      <w:widowControl/>
      <w:spacing w:line="360" w:lineRule="auto"/>
      <w:jc w:val="center"/>
      <w:textAlignment w:val="baseline"/>
    </w:pPr>
    <w:rPr>
      <w:rFonts w:ascii="Cambria" w:hAnsi="Cambria"/>
      <w:sz w:val="28"/>
      <w:szCs w:val="36"/>
    </w:rPr>
  </w:style>
  <w:style w:type="paragraph" w:customStyle="1" w:styleId="50">
    <w:name w:val="Table Text"/>
    <w:basedOn w:val="1"/>
    <w:autoRedefine/>
    <w:semiHidden/>
    <w:qFormat/>
    <w:uiPriority w:val="0"/>
    <w:rPr>
      <w:rFonts w:ascii="宋体" w:hAnsi="宋体" w:eastAsia="宋体" w:cs="宋体"/>
      <w:sz w:val="20"/>
      <w:szCs w:val="20"/>
      <w:lang w:val="en-US" w:eastAsia="en-US" w:bidi="ar-SA"/>
    </w:rPr>
  </w:style>
  <w:style w:type="paragraph" w:customStyle="1" w:styleId="5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28579</Words>
  <Characters>30650</Characters>
  <Lines>324</Lines>
  <Paragraphs>91</Paragraphs>
  <TotalTime>220</TotalTime>
  <ScaleCrop>false</ScaleCrop>
  <LinksUpToDate>false</LinksUpToDate>
  <CharactersWithSpaces>32558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2023-06-05T03:13:00Z</dcterms:created>
  <dc:creator>huawei</dc:creator>
  <cp:lastModifiedBy>唐～</cp:lastModifiedBy>
  <cp:lastPrinted>2024-02-29T03:06:00Z</cp:lastPrinted>
  <dcterms:modified xsi:type="dcterms:W3CDTF">2025-04-25T07:24:51Z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8B6AEC9A649F486090039F6CDA5865D8_13</vt:lpwstr>
  </property>
  <property fmtid="{D5CDD505-2E9C-101B-9397-08002B2CF9AE}" pid="4" name="KSOTemplateDocerSaveRecord">
    <vt:lpwstr>eyJoZGlkIjoiZmZkZWRiYTZlMzdkN2ZkZGJkNDNmMDQ5ZGZlNDRkNjAiLCJ1c2VySWQiOiIyNjk5MDgzNTIifQ==</vt:lpwstr>
  </property>
</Properties>
</file>