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bookmarkStart w:id="429" w:name="_GoBack"/>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608EFC69">
      <w:pPr>
        <w:rPr>
          <w:rFonts w:hint="eastAsia"/>
          <w:color w:val="auto"/>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桂平市石龙民族中学等6个学校食堂普通餐食品原材料联合采购配送服务项目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GGZC2025-G3-810038-GXZY</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7C96EA58">
      <w:pPr>
        <w:pStyle w:val="2"/>
        <w:rPr>
          <w:rFonts w:hint="eastAsia" w:ascii="宋体" w:hAnsi="宋体" w:eastAsia="宋体" w:cs="宋体"/>
          <w:b/>
          <w:bCs/>
          <w:color w:val="auto"/>
          <w:w w:val="95"/>
          <w:kern w:val="2"/>
          <w:sz w:val="30"/>
          <w:szCs w:val="30"/>
          <w:highlight w:val="none"/>
          <w:lang w:val="en-US" w:eastAsia="zh-CN" w:bidi="ar-SA"/>
        </w:rPr>
      </w:pPr>
    </w:p>
    <w:p w14:paraId="1DB5B80E">
      <w:pPr>
        <w:rPr>
          <w:rFonts w:hint="eastAsia"/>
          <w:color w:val="auto"/>
          <w:highlight w:val="none"/>
          <w:lang w:val="en-US" w:eastAsia="zh-CN"/>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left="2945" w:leftChars="800" w:hanging="1265" w:hangingChars="44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采购人：桂平市石龙民族中学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广西中燚招标代理有限公司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8707"/>
      <w:bookmarkStart w:id="2" w:name="_Toc18459"/>
      <w:bookmarkStart w:id="3" w:name="_Toc9949"/>
      <w:bookmarkStart w:id="4" w:name="_Toc19537"/>
      <w:bookmarkStart w:id="5" w:name="_Toc16222"/>
      <w:bookmarkStart w:id="6" w:name="_Toc11500"/>
      <w:bookmarkStart w:id="7" w:name="_Toc12228"/>
      <w:bookmarkStart w:id="8" w:name="_Toc8345"/>
      <w:bookmarkStart w:id="9" w:name="_Toc184"/>
      <w:bookmarkStart w:id="10" w:name="_Toc16576"/>
      <w:bookmarkStart w:id="11" w:name="_Toc2025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桂平市石龙民族中学等6个学校食堂普通餐食品原材料联合采购配送服务项目公开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桂平市石龙民族中学等6个学校食堂普通餐食品原材料联合采购配送服务项目</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28359002"/>
      <w:bookmarkStart w:id="15" w:name="_Toc35393790"/>
      <w:bookmarkStart w:id="16" w:name="_Toc35393621"/>
      <w:bookmarkStart w:id="17" w:name="_Toc28359079"/>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GGZC2025-G3-810038-GXZY</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桂平市石龙民族中学等6个学校食堂普通餐食品原材料联合采购配送服务项目</w:t>
      </w:r>
    </w:p>
    <w:p w14:paraId="27E8503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贰仟伍佰伍拾壹万柒仟壹佰贰拾元整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25517120.00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其中</w:t>
      </w:r>
      <w:r>
        <w:rPr>
          <w:rFonts w:hint="eastAsia" w:ascii="宋体" w:hAnsi="宋体" w:cs="Times New Roman"/>
          <w:color w:val="auto"/>
          <w:szCs w:val="21"/>
          <w:highlight w:val="none"/>
          <w:lang w:val="en-US" w:eastAsia="zh-CN"/>
        </w:rPr>
        <w:t>桂平市石龙民族中学为8800000.00元、桂平市石龙镇第一初级中学为6440000.00元、桂平市石龙镇第二初级中学为2000000.00元、桂平市石龙镇中心幼儿园为1000000.00元、桂平市厚禄乡初级中学为6920000.00元、桂平市厚禄乡中心幼儿园为357120.00万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石龙镇第一初级中学、桂平市石龙镇第二初级中学、桂平市石龙镇中心幼儿园、桂平市厚禄乡初级中学、桂平市厚禄乡中心幼儿园委托桂平市石龙民族中学办理本项目招标程序，桂平市石龙民族中学、桂平市石龙镇第一初级中学、桂平市石龙镇第二初级中学、桂平市石龙镇中心幼儿园、桂平市厚禄乡初级中学、桂平市厚禄乡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28359080"/>
      <w:bookmarkStart w:id="20" w:name="_Toc35393622"/>
      <w:bookmarkStart w:id="21" w:name="_Toc35393791"/>
      <w:bookmarkStart w:id="22"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81"/>
      <w:bookmarkStart w:id="24"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7" w:name="_Toc28359005"/>
      <w:bookmarkStart w:id="28" w:name="_Toc28359082"/>
      <w:bookmarkStart w:id="29" w:name="_Toc35393624"/>
      <w:bookmarkStart w:id="30"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28359007"/>
      <w:bookmarkStart w:id="33" w:name="_Toc35393625"/>
      <w:bookmarkStart w:id="34" w:name="_Toc28359084"/>
      <w:bookmarkStart w:id="35" w:name="_Toc3539379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626"/>
      <w:bookmarkStart w:id="37" w:name="_Toc35393795"/>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28359085"/>
      <w:bookmarkStart w:id="39" w:name="_Toc35393796"/>
      <w:bookmarkStart w:id="40" w:name="_Toc35393627"/>
      <w:bookmarkStart w:id="41" w:name="_Toc28359008"/>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Times New Roman"/>
          <w:color w:val="auto"/>
          <w:szCs w:val="21"/>
          <w:highlight w:val="none"/>
          <w:lang w:val="en-US" w:eastAsia="zh-CN"/>
        </w:rPr>
        <w:t>桂平市石龙民族中学</w:t>
      </w:r>
    </w:p>
    <w:p w14:paraId="46DBF9FC">
      <w:pPr>
        <w:shd w:val="clear" w:color="auto" w:fill="auto"/>
        <w:wordWrap w:val="0"/>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桂平市石龙</w:t>
      </w:r>
      <w:r>
        <w:rPr>
          <w:rFonts w:hint="eastAsia" w:ascii="宋体" w:hAnsi="宋体" w:cs="宋体"/>
          <w:color w:val="auto"/>
          <w:szCs w:val="21"/>
          <w:highlight w:val="none"/>
          <w:lang w:val="en-US" w:eastAsia="zh-CN"/>
        </w:rPr>
        <w:t>镇</w:t>
      </w:r>
    </w:p>
    <w:p w14:paraId="4E44653F">
      <w:pPr>
        <w:shd w:val="clear" w:color="auto" w:fill="auto"/>
        <w:wordWrap w:val="0"/>
        <w:spacing w:line="44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联系人：谢老师</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0775-3450111</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广西中燚招标代理有限公司</w:t>
      </w:r>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贵港市金港大道万豪丽城2栋3单元1202号</w:t>
      </w:r>
    </w:p>
    <w:p w14:paraId="1B2312DF">
      <w:pPr>
        <w:shd w:val="clear" w:color="auto" w:fill="auto"/>
        <w:wordWrap w:val="0"/>
        <w:spacing w:line="44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0775-4256166</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贾工 </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0775-4256166</w:t>
      </w: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广西中燚招标代理有限公司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2025年4月17日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937"/>
      <w:bookmarkStart w:id="44" w:name="_Toc8382"/>
      <w:bookmarkStart w:id="45" w:name="_Toc4483"/>
      <w:bookmarkStart w:id="46" w:name="_Toc13449"/>
      <w:bookmarkStart w:id="47" w:name="_Toc17621"/>
      <w:bookmarkStart w:id="48" w:name="_Toc21081"/>
      <w:bookmarkStart w:id="49" w:name="_Toc7337"/>
      <w:bookmarkStart w:id="50" w:name="_Toc24210"/>
      <w:bookmarkStart w:id="51" w:name="_Toc7686"/>
      <w:bookmarkStart w:id="52" w:name="_Toc28689"/>
      <w:bookmarkStart w:id="53" w:name="_Toc2299"/>
      <w:bookmarkStart w:id="54" w:name="_Toc22408"/>
      <w:bookmarkStart w:id="55" w:name="_Toc32573"/>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贰仟伍佰伍拾壹万柒仟壹佰贰拾元整（¥25517120.00元），其中桂平市石龙民族中学为8800000.00元、桂平市石龙镇第一初级中学为6440000.00元、桂平市石龙镇第二初级中学为2000000.00元、桂平市石龙镇中心幼儿园为1000000.00元、桂平市厚禄乡初级中学为6920000.00元、桂平市厚禄乡中心幼儿园为357120.00万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桂平市石龙民族中学、桂平市石龙镇第一初级中学、桂平市石龙镇第二初级中学、桂平市石龙镇中心幼儿园、桂平市厚禄乡初级中学、桂平市厚禄乡中心幼儿园。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、送货地点：桂平市石龙民族中学、桂平市石龙镇第一初级中学、桂平市石龙镇第二初级中学、桂平市石龙镇中心幼儿园、桂平市厚禄乡初级中学、桂平市厚禄乡中心幼儿园。</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2"/>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1"/>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4FEC1F2C">
      <w:pPr>
        <w:spacing w:line="428" w:lineRule="exact"/>
        <w:ind w:left="119"/>
        <w:rPr>
          <w:rFonts w:hint="eastAsia" w:ascii="宋体" w:hAnsi="宋体" w:eastAsia="宋体" w:cs="宋体"/>
          <w:color w:val="auto"/>
          <w:sz w:val="32"/>
          <w:szCs w:val="32"/>
          <w:highlight w:val="none"/>
        </w:rPr>
      </w:pPr>
    </w:p>
    <w:p w14:paraId="07DA756A">
      <w:pPr>
        <w:spacing w:line="428" w:lineRule="exact"/>
        <w:ind w:left="119"/>
        <w:rPr>
          <w:rFonts w:hint="eastAsia" w:ascii="宋体" w:hAnsi="宋体" w:eastAsia="宋体" w:cs="宋体"/>
          <w:color w:val="auto"/>
          <w:sz w:val="32"/>
          <w:szCs w:val="32"/>
          <w:highlight w:val="none"/>
        </w:rPr>
      </w:pPr>
    </w:p>
    <w:p w14:paraId="43953B00">
      <w:pPr>
        <w:spacing w:line="428" w:lineRule="exact"/>
        <w:ind w:left="119"/>
        <w:rPr>
          <w:rFonts w:hint="eastAsia" w:ascii="宋体" w:hAnsi="宋体" w:eastAsia="宋体" w:cs="宋体"/>
          <w:color w:val="auto"/>
          <w:sz w:val="32"/>
          <w:szCs w:val="32"/>
          <w:highlight w:val="none"/>
        </w:rPr>
      </w:pPr>
    </w:p>
    <w:p w14:paraId="3B1C61A6">
      <w:pPr>
        <w:spacing w:line="428" w:lineRule="exact"/>
        <w:ind w:left="119"/>
        <w:rPr>
          <w:rFonts w:hint="eastAsia" w:ascii="宋体" w:hAnsi="宋体" w:eastAsia="宋体" w:cs="宋体"/>
          <w:color w:val="auto"/>
          <w:sz w:val="32"/>
          <w:szCs w:val="32"/>
          <w:highlight w:val="none"/>
        </w:rPr>
      </w:pPr>
    </w:p>
    <w:p w14:paraId="371C66DC">
      <w:pPr>
        <w:spacing w:line="428" w:lineRule="exact"/>
        <w:rPr>
          <w:rFonts w:hint="eastAsia" w:ascii="宋体" w:hAnsi="宋体" w:eastAsia="宋体" w:cs="宋体"/>
          <w:color w:val="auto"/>
          <w:sz w:val="32"/>
          <w:szCs w:val="32"/>
          <w:highlight w:val="none"/>
        </w:rPr>
      </w:pPr>
    </w:p>
    <w:p w14:paraId="6E0CE65C">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6362"/>
      <w:bookmarkStart w:id="59" w:name="_Toc26039"/>
      <w:bookmarkStart w:id="60" w:name="_Toc29172"/>
      <w:bookmarkStart w:id="61" w:name="_Toc9063"/>
      <w:bookmarkStart w:id="62" w:name="_Toc8975"/>
      <w:bookmarkStart w:id="63" w:name="_Toc532545044"/>
      <w:bookmarkStart w:id="64" w:name="_Toc28587"/>
      <w:bookmarkStart w:id="65" w:name="_Toc496"/>
      <w:bookmarkStart w:id="66" w:name="_Toc24489"/>
      <w:bookmarkStart w:id="67" w:name="_Toc3325"/>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20953"/>
      <w:bookmarkStart w:id="69" w:name="_Toc20085"/>
      <w:bookmarkStart w:id="70" w:name="_Toc26044"/>
      <w:bookmarkStart w:id="71"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24714"/>
      <w:bookmarkStart w:id="73" w:name="_Toc1597"/>
      <w:bookmarkStart w:id="74" w:name="_Toc10039"/>
      <w:bookmarkStart w:id="75" w:name="_Toc11515"/>
      <w:bookmarkStart w:id="76" w:name="_Toc29813"/>
      <w:bookmarkStart w:id="77" w:name="_Toc4562"/>
      <w:bookmarkStart w:id="78" w:name="_Toc16388"/>
      <w:bookmarkStart w:id="79" w:name="_Toc29809"/>
      <w:bookmarkStart w:id="80" w:name="_Toc8769"/>
      <w:bookmarkStart w:id="81" w:name="_Toc32208"/>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9.2"/>
            <w:bookmarkEnd w:id="82"/>
            <w:bookmarkStart w:id="83" w:name="_5"/>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1"/>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1"/>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6"/>
            <w:bookmarkEnd w:id="96"/>
            <w:bookmarkStart w:id="97" w:name="_28.3"/>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1"/>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（1）名称：桂平市石龙民族中学（采购人）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联系电话：0775-3450111</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通讯地址：桂平市石龙</w:t>
            </w:r>
            <w:r>
              <w:rPr>
                <w:rFonts w:hint="eastAsia" w:ascii="宋体" w:hAnsi="宋体" w:cs="宋体"/>
                <w:color w:val="auto"/>
                <w:szCs w:val="21"/>
                <w:highlight w:val="none"/>
                <w:lang w:val="en-US" w:eastAsia="zh-CN"/>
              </w:rPr>
              <w:t>镇</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（2）名称：广西中燚招标代理有限公司（采购代理机构）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4256166</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通讯地址：贵港市金港大道万豪丽城2栋3单元1202号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2"/>
            <w:bookmarkEnd w:id="101"/>
            <w:bookmarkStart w:id="102" w:name="_41"/>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人支付</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cs="宋体"/>
                <w:color w:val="auto"/>
                <w:highlight w:val="none"/>
                <w:lang w:val="en-US" w:eastAsia="zh-CN"/>
              </w:rPr>
              <w:t>领中标通知书</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C3FFF5D">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A52BCB">
            <w:pPr>
              <w:ind w:firstLine="420" w:firstLineChars="200"/>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）收取，总代理服务费为各学校服务费累计之和。</w:t>
            </w:r>
          </w:p>
          <w:p w14:paraId="79C5FCB2">
            <w:pPr>
              <w:ind w:firstLine="420" w:firstLineChars="200"/>
              <w:rPr>
                <w:rFonts w:hint="default"/>
                <w:color w:val="auto"/>
                <w:highlight w:val="none"/>
                <w:lang w:val="en-US" w:eastAsia="zh-CN"/>
              </w:rPr>
            </w:pPr>
            <w:r>
              <w:rPr>
                <w:rFonts w:hint="eastAsia" w:ascii="宋体" w:hAnsi="宋体" w:eastAsia="宋体" w:cs="宋体"/>
                <w:color w:val="auto"/>
                <w:szCs w:val="20"/>
                <w:highlight w:val="none"/>
              </w:rPr>
              <w:t>采购代理收费：</w:t>
            </w:r>
            <w:r>
              <w:rPr>
                <w:rFonts w:hint="eastAsia" w:hAnsi="宋体" w:cs="宋体"/>
                <w:color w:val="auto"/>
                <w:szCs w:val="20"/>
                <w:highlight w:val="none"/>
                <w:u w:val="none"/>
                <w:lang w:val="en-US" w:eastAsia="zh-CN"/>
              </w:rPr>
              <w:t>例如某学校预算价为880万元，投标折扣率为98%，该校</w:t>
            </w:r>
            <w:r>
              <w:rPr>
                <w:rFonts w:hint="eastAsia" w:ascii="宋体" w:hAnsi="宋体" w:eastAsia="宋体" w:cs="宋体"/>
                <w:color w:val="auto"/>
                <w:highlight w:val="none"/>
                <w:u w:val="none"/>
                <w:lang w:val="en-US" w:eastAsia="zh-CN"/>
              </w:rPr>
              <w:t>中标服务费</w:t>
            </w:r>
            <w:r>
              <w:rPr>
                <w:rFonts w:hint="eastAsia" w:ascii="宋体" w:hAnsi="宋体" w:cs="宋体"/>
                <w:color w:val="auto"/>
                <w:highlight w:val="none"/>
                <w:u w:val="none"/>
                <w:lang w:val="en-US" w:eastAsia="zh-CN"/>
              </w:rPr>
              <w:t>为</w:t>
            </w:r>
            <w:r>
              <w:rPr>
                <w:rFonts w:hint="default"/>
                <w:color w:val="auto"/>
                <w:highlight w:val="none"/>
                <w:u w:val="none"/>
                <w:lang w:val="en-US" w:eastAsia="zh-CN"/>
              </w:rPr>
              <w:t>人民币</w:t>
            </w:r>
            <w:r>
              <w:rPr>
                <w:rFonts w:hint="eastAsia"/>
                <w:color w:val="auto"/>
                <w:highlight w:val="none"/>
                <w:u w:val="none"/>
                <w:lang w:val="en-US" w:eastAsia="zh-CN"/>
              </w:rPr>
              <w:t>陆万叁仟叁佰零捌元整</w:t>
            </w:r>
            <w:r>
              <w:rPr>
                <w:rFonts w:hint="default"/>
                <w:color w:val="auto"/>
                <w:highlight w:val="none"/>
                <w:u w:val="none"/>
                <w:lang w:val="en-US" w:eastAsia="zh-CN"/>
              </w:rPr>
              <w:t>（¥</w:t>
            </w:r>
            <w:r>
              <w:rPr>
                <w:rFonts w:hint="eastAsia"/>
                <w:color w:val="auto"/>
                <w:highlight w:val="none"/>
                <w:u w:val="none"/>
                <w:lang w:val="en-US" w:eastAsia="zh-CN"/>
              </w:rPr>
              <w:t>63308.00</w:t>
            </w:r>
            <w:r>
              <w:rPr>
                <w:rFonts w:hint="default"/>
                <w:color w:val="auto"/>
                <w:highlight w:val="none"/>
                <w:u w:val="none"/>
                <w:lang w:val="en-US" w:eastAsia="zh-CN"/>
              </w:rPr>
              <w:t>元），由中标人在领取中标通知书前一次性支付给采购代理机构。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8A75F8">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w:t>
            </w:r>
            <w:r>
              <w:rPr>
                <w:rFonts w:hint="eastAsia" w:hAnsi="宋体" w:cs="宋体"/>
                <w:color w:val="auto"/>
                <w:sz w:val="21"/>
                <w:szCs w:val="21"/>
                <w:highlight w:val="none"/>
                <w:lang w:eastAsia="zh-CN"/>
              </w:rPr>
              <w:t>广西中燚招标代理有限公司</w:t>
            </w:r>
          </w:p>
          <w:p w14:paraId="6F093AF2">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hAnsi="宋体" w:cs="宋体"/>
                <w:color w:val="auto"/>
                <w:sz w:val="21"/>
                <w:szCs w:val="21"/>
                <w:highlight w:val="none"/>
                <w:lang w:eastAsia="zh-CN"/>
              </w:rPr>
              <w:t>中国建设银行股份有限公司贵港港北支行</w:t>
            </w:r>
          </w:p>
          <w:p w14:paraId="6310F083">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hAnsi="宋体" w:cs="宋体"/>
                <w:color w:val="auto"/>
                <w:sz w:val="21"/>
                <w:szCs w:val="21"/>
                <w:highlight w:val="none"/>
                <w:lang w:eastAsia="zh-CN"/>
              </w:rPr>
              <w:t>45050175375000000406</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1"/>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1"/>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4"/>
        <w:jc w:val="center"/>
        <w:rPr>
          <w:rFonts w:cs="Times New Roman"/>
          <w:color w:val="auto"/>
          <w:highlight w:val="none"/>
        </w:rPr>
      </w:pPr>
      <w:bookmarkStart w:id="103" w:name="_Toc453"/>
      <w:bookmarkStart w:id="104" w:name="_Toc11336"/>
      <w:bookmarkStart w:id="105" w:name="_Toc1030"/>
      <w:bookmarkStart w:id="106" w:name="_Toc30841"/>
      <w:bookmarkStart w:id="107" w:name="_Toc24313"/>
      <w:bookmarkStart w:id="108" w:name="_Toc7784"/>
      <w:bookmarkStart w:id="109" w:name="_Toc13813"/>
      <w:bookmarkStart w:id="110" w:name="_Toc8807"/>
      <w:bookmarkStart w:id="111" w:name="_Toc25117"/>
      <w:bookmarkStart w:id="112" w:name="_Toc29311"/>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5"/>
        <w:keepNext w:val="0"/>
        <w:keepLines w:val="0"/>
        <w:spacing w:line="400" w:lineRule="exact"/>
        <w:jc w:val="center"/>
        <w:rPr>
          <w:rFonts w:ascii="Times New Roman" w:hAnsi="Times New Roman" w:eastAsia="宋体" w:cs="Times New Roman"/>
          <w:color w:val="auto"/>
          <w:highlight w:val="none"/>
        </w:rPr>
      </w:pPr>
      <w:bookmarkStart w:id="113" w:name="_Toc3607"/>
      <w:bookmarkStart w:id="114" w:name="_Toc15523"/>
      <w:bookmarkStart w:id="115" w:name="_Toc6594"/>
      <w:bookmarkStart w:id="116" w:name="_Toc18594"/>
      <w:bookmarkStart w:id="117" w:name="_Toc22266"/>
      <w:bookmarkStart w:id="118" w:name="_Toc30794"/>
      <w:bookmarkStart w:id="119" w:name="_Toc19454"/>
      <w:bookmarkStart w:id="120" w:name="_Toc21176"/>
      <w:bookmarkStart w:id="121" w:name="_Toc28360"/>
      <w:bookmarkStart w:id="122" w:name="_Toc3522"/>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672"/>
      <w:bookmarkStart w:id="133" w:name="_Toc254970531"/>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673"/>
      <w:bookmarkStart w:id="135" w:name="_Toc254970532"/>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5"/>
        <w:keepNext w:val="0"/>
        <w:keepLines w:val="0"/>
        <w:spacing w:line="400" w:lineRule="exact"/>
        <w:jc w:val="center"/>
        <w:rPr>
          <w:rFonts w:hint="eastAsia" w:ascii="Times New Roman" w:hAnsi="Times New Roman" w:eastAsia="宋体" w:cs="Times New Roman"/>
          <w:color w:val="auto"/>
          <w:highlight w:val="none"/>
        </w:rPr>
      </w:pPr>
      <w:bookmarkStart w:id="137" w:name="_Toc19016"/>
      <w:bookmarkStart w:id="138" w:name="_Toc25104"/>
      <w:bookmarkStart w:id="139" w:name="_Toc9988"/>
      <w:bookmarkStart w:id="140" w:name="_Toc254970675"/>
      <w:bookmarkStart w:id="141" w:name="_Toc254970534"/>
      <w:bookmarkStart w:id="142" w:name="_Toc128"/>
      <w:bookmarkStart w:id="143" w:name="_Toc6920"/>
      <w:bookmarkStart w:id="144" w:name="_Toc11054"/>
      <w:bookmarkStart w:id="145" w:name="_Toc18580"/>
      <w:bookmarkStart w:id="146" w:name="_Toc22911"/>
      <w:bookmarkStart w:id="147" w:name="_Toc17855"/>
      <w:bookmarkStart w:id="148" w:name="_Toc10320"/>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5"/>
        <w:keepNext w:val="0"/>
        <w:keepLines w:val="0"/>
        <w:spacing w:line="400" w:lineRule="exact"/>
        <w:jc w:val="center"/>
        <w:rPr>
          <w:rFonts w:ascii="Times New Roman" w:hAnsi="Times New Roman" w:eastAsia="宋体" w:cs="Times New Roman"/>
          <w:color w:val="auto"/>
          <w:highlight w:val="none"/>
        </w:rPr>
      </w:pPr>
      <w:bookmarkStart w:id="150" w:name="_Toc20"/>
      <w:bookmarkStart w:id="151" w:name="_Toc24872"/>
      <w:bookmarkStart w:id="152" w:name="_Toc254970535"/>
      <w:bookmarkStart w:id="153" w:name="_Toc32154"/>
      <w:bookmarkStart w:id="154" w:name="_Toc7841"/>
      <w:bookmarkStart w:id="155" w:name="_Toc254970676"/>
      <w:bookmarkStart w:id="156" w:name="_Toc27367"/>
      <w:bookmarkStart w:id="157" w:name="_Toc2635"/>
      <w:bookmarkStart w:id="158" w:name="_Toc16623"/>
      <w:bookmarkStart w:id="159" w:name="_Toc28419"/>
      <w:bookmarkStart w:id="160" w:name="_Toc12080"/>
      <w:bookmarkStart w:id="161" w:name="_Toc32499"/>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536"/>
      <w:bookmarkStart w:id="163"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2资格证明文件：具体材料见“投标人须知前附表”。"/>
      <w:bookmarkEnd w:id="164"/>
      <w:bookmarkStart w:id="165" w:name="_13.1报价文件:_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681"/>
      <w:bookmarkStart w:id="176"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5"/>
        <w:keepNext w:val="0"/>
        <w:keepLines w:val="0"/>
        <w:spacing w:line="400" w:lineRule="exact"/>
        <w:jc w:val="center"/>
        <w:rPr>
          <w:rFonts w:hint="eastAsia" w:ascii="Times New Roman" w:hAnsi="Times New Roman" w:eastAsia="宋体" w:cs="Times New Roman"/>
          <w:color w:val="auto"/>
          <w:highlight w:val="none"/>
        </w:rPr>
      </w:pPr>
      <w:bookmarkStart w:id="186" w:name="_Toc254970544"/>
      <w:bookmarkStart w:id="187" w:name="_Toc12790"/>
      <w:bookmarkStart w:id="188" w:name="_Toc22661"/>
      <w:bookmarkStart w:id="189" w:name="_Toc13250"/>
      <w:bookmarkStart w:id="190" w:name="_Toc27037"/>
      <w:bookmarkStart w:id="191" w:name="_Toc254970685"/>
      <w:bookmarkStart w:id="192" w:name="_Toc1586"/>
      <w:bookmarkStart w:id="193" w:name="_Toc1356"/>
      <w:bookmarkStart w:id="194" w:name="_Toc14091"/>
      <w:bookmarkStart w:id="195" w:name="_Toc32494"/>
      <w:bookmarkStart w:id="196" w:name="_Toc2573"/>
      <w:bookmarkStart w:id="197"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5"/>
        <w:keepNext w:val="0"/>
        <w:keepLines w:val="0"/>
        <w:spacing w:line="400" w:lineRule="exact"/>
        <w:jc w:val="center"/>
        <w:rPr>
          <w:rFonts w:hint="eastAsia" w:ascii="Times New Roman" w:hAnsi="Times New Roman" w:eastAsia="宋体" w:cs="Times New Roman"/>
          <w:color w:val="auto"/>
          <w:highlight w:val="none"/>
        </w:rPr>
      </w:pPr>
      <w:bookmarkStart w:id="199" w:name="_Toc6866"/>
      <w:bookmarkStart w:id="200" w:name="_Toc2575"/>
      <w:bookmarkStart w:id="201" w:name="_Toc22509"/>
      <w:bookmarkStart w:id="202" w:name="_Toc25053"/>
      <w:bookmarkStart w:id="203" w:name="_Toc8919"/>
      <w:bookmarkStart w:id="204" w:name="_Toc23512"/>
      <w:bookmarkStart w:id="205" w:name="_Toc29189"/>
      <w:bookmarkStart w:id="206" w:name="_Toc31994"/>
      <w:bookmarkStart w:id="207" w:name="_Toc1489"/>
      <w:bookmarkStart w:id="208" w:name="_Toc19053"/>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5"/>
        <w:keepNext w:val="0"/>
        <w:keepLines w:val="0"/>
        <w:spacing w:line="360" w:lineRule="auto"/>
        <w:jc w:val="center"/>
        <w:rPr>
          <w:rFonts w:hint="eastAsia" w:ascii="Times New Roman" w:hAnsi="Times New Roman" w:eastAsia="宋体" w:cs="Times New Roman"/>
          <w:color w:val="auto"/>
          <w:highlight w:val="none"/>
        </w:rPr>
      </w:pPr>
      <w:bookmarkStart w:id="210" w:name="_Toc19035"/>
      <w:bookmarkStart w:id="211" w:name="_Toc2770"/>
      <w:bookmarkStart w:id="212" w:name="_Toc11169"/>
      <w:bookmarkStart w:id="213" w:name="_Toc21152"/>
      <w:bookmarkStart w:id="214" w:name="_Toc20983"/>
      <w:bookmarkStart w:id="215" w:name="_Toc20446"/>
      <w:bookmarkStart w:id="216" w:name="_Toc3548"/>
      <w:bookmarkStart w:id="217" w:name="_Toc29412"/>
      <w:bookmarkStart w:id="218" w:name="_Toc15749"/>
      <w:bookmarkStart w:id="219" w:name="_Toc1454"/>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5"/>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10427"/>
      <w:bookmarkStart w:id="224" w:name="_Toc4688"/>
      <w:bookmarkStart w:id="225" w:name="_Toc2302"/>
      <w:bookmarkStart w:id="226" w:name="_Toc31226"/>
      <w:bookmarkStart w:id="227" w:name="_Toc31698"/>
      <w:bookmarkStart w:id="228" w:name="_Toc32339"/>
      <w:bookmarkStart w:id="229" w:name="_Toc10518"/>
      <w:bookmarkStart w:id="230" w:name="_Toc15452"/>
      <w:bookmarkStart w:id="231" w:name="_Toc24771"/>
      <w:bookmarkStart w:id="232" w:name="_Toc14661"/>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6583"/>
      <w:bookmarkStart w:id="238" w:name="_Toc14937"/>
      <w:bookmarkStart w:id="239" w:name="_Toc27653"/>
      <w:bookmarkStart w:id="240" w:name="_Toc8731"/>
      <w:bookmarkStart w:id="241" w:name="_Toc25946"/>
      <w:bookmarkStart w:id="242" w:name="_Toc29288"/>
      <w:bookmarkStart w:id="243" w:name="_Toc7828"/>
      <w:bookmarkStart w:id="244" w:name="_Toc13659"/>
      <w:bookmarkStart w:id="245" w:name="_Toc1756"/>
      <w:bookmarkStart w:id="246" w:name="_Toc23239"/>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5"/>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5795"/>
      <w:bookmarkStart w:id="249" w:name="_Toc28972"/>
      <w:bookmarkStart w:id="250" w:name="_Toc13612"/>
      <w:bookmarkStart w:id="251" w:name="_Toc31560"/>
      <w:bookmarkStart w:id="252" w:name="_Toc16509"/>
      <w:bookmarkStart w:id="253" w:name="_Toc24348"/>
      <w:bookmarkStart w:id="254" w:name="_Toc13217"/>
      <w:bookmarkStart w:id="255" w:name="_Toc27249"/>
      <w:bookmarkStart w:id="256" w:name="_Toc14814"/>
      <w:bookmarkStart w:id="257" w:name="_Toc32163"/>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1877ED6D">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C3E2A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32697E33">
      <w:pPr>
        <w:pStyle w:val="16"/>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26567"/>
      <w:bookmarkStart w:id="261" w:name="_Toc14666"/>
      <w:bookmarkStart w:id="262" w:name="_Toc24569"/>
      <w:bookmarkStart w:id="263" w:name="_Toc31952"/>
      <w:bookmarkStart w:id="264" w:name="_Toc11694"/>
      <w:bookmarkStart w:id="265" w:name="_Toc2789"/>
      <w:bookmarkStart w:id="266" w:name="_Toc18631"/>
      <w:bookmarkStart w:id="267" w:name="_Toc12751"/>
      <w:bookmarkStart w:id="268" w:name="_Toc19117"/>
      <w:bookmarkStart w:id="269" w:name="_Toc28468"/>
      <w:bookmarkStart w:id="270" w:name="_Toc10034"/>
      <w:bookmarkStart w:id="271" w:name="_Toc10118"/>
      <w:bookmarkStart w:id="272" w:name="_Toc358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9604"/>
      <w:bookmarkStart w:id="274" w:name="_Toc28074"/>
      <w:bookmarkStart w:id="275" w:name="_Toc20519"/>
      <w:bookmarkStart w:id="276" w:name="_Toc3574"/>
      <w:bookmarkStart w:id="277" w:name="_Toc29945"/>
      <w:bookmarkStart w:id="278" w:name="_Toc12345"/>
      <w:bookmarkStart w:id="279" w:name="_Toc5889"/>
      <w:bookmarkStart w:id="280" w:name="_Toc28945"/>
      <w:bookmarkStart w:id="281" w:name="_Toc6104"/>
      <w:bookmarkStart w:id="282" w:name="_Toc14342"/>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30114"/>
      <w:bookmarkStart w:id="284" w:name="_Toc24507"/>
      <w:bookmarkStart w:id="285" w:name="_Toc1643"/>
      <w:bookmarkStart w:id="286" w:name="_Toc588"/>
      <w:bookmarkStart w:id="287" w:name="_Toc9259"/>
      <w:bookmarkStart w:id="288" w:name="_Toc10545"/>
      <w:bookmarkStart w:id="289" w:name="_Toc23151"/>
      <w:bookmarkStart w:id="290" w:name="_Toc18477"/>
      <w:bookmarkStart w:id="291" w:name="_Toc4190"/>
      <w:bookmarkStart w:id="292" w:name="_Toc9023"/>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4"/>
        <w:jc w:val="center"/>
        <w:rPr>
          <w:rFonts w:cs="Times New Roman"/>
          <w:b w:val="0"/>
          <w:color w:val="auto"/>
          <w:sz w:val="36"/>
          <w:szCs w:val="36"/>
          <w:highlight w:val="none"/>
        </w:rPr>
      </w:pPr>
      <w:bookmarkStart w:id="293" w:name="_Toc22963"/>
      <w:bookmarkStart w:id="294" w:name="_Toc27331"/>
      <w:bookmarkStart w:id="295" w:name="_Toc5755"/>
      <w:bookmarkStart w:id="296" w:name="_Toc25728"/>
      <w:bookmarkStart w:id="297" w:name="_Toc17834"/>
      <w:bookmarkStart w:id="298" w:name="_Toc28193"/>
      <w:bookmarkStart w:id="299" w:name="_Toc19942"/>
      <w:bookmarkStart w:id="300" w:name="_Toc28829"/>
      <w:bookmarkStart w:id="301" w:name="_Toc4866"/>
      <w:bookmarkStart w:id="302" w:name="_Toc13548"/>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 xml:space="preserve">且保额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00 万元</w:t>
            </w:r>
            <w:r>
              <w:rPr>
                <w:rFonts w:hint="eastAsia" w:ascii="宋体" w:hAnsi="宋体" w:cs="宋体"/>
                <w:color w:val="auto"/>
                <w:szCs w:val="21"/>
                <w:highlight w:val="none"/>
                <w:shd w:val="clear" w:color="auto" w:fill="auto"/>
                <w:lang w:val="en-US" w:eastAsia="zh-CN"/>
              </w:rPr>
              <w:t>（含600万元）以上</w:t>
            </w:r>
            <w:r>
              <w:rPr>
                <w:rFonts w:hint="eastAsia" w:ascii="宋体" w:hAnsi="宋体" w:eastAsia="宋体" w:cs="宋体"/>
                <w:color w:val="auto"/>
                <w:szCs w:val="21"/>
                <w:highlight w:val="none"/>
                <w:shd w:val="clear" w:color="auto" w:fill="auto"/>
                <w:lang w:val="en-US" w:eastAsia="zh-CN"/>
              </w:rPr>
              <w:t>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4"/>
        <w:spacing w:before="0" w:after="0" w:line="360" w:lineRule="auto"/>
        <w:ind w:firstLine="600" w:firstLineChars="200"/>
        <w:jc w:val="center"/>
        <w:rPr>
          <w:rFonts w:hint="eastAsia" w:cs="Times New Roman"/>
          <w:b w:val="0"/>
          <w:color w:val="auto"/>
          <w:sz w:val="30"/>
          <w:szCs w:val="30"/>
          <w:highlight w:val="none"/>
        </w:rPr>
      </w:pPr>
      <w:bookmarkStart w:id="303" w:name="_Toc10751"/>
      <w:bookmarkStart w:id="304" w:name="_Toc12855"/>
      <w:bookmarkStart w:id="305" w:name="_Toc23906"/>
      <w:bookmarkStart w:id="306" w:name="_Toc20313"/>
      <w:bookmarkStart w:id="307" w:name="_Toc18582"/>
      <w:bookmarkStart w:id="308" w:name="_Toc11083"/>
      <w:bookmarkStart w:id="309" w:name="_Toc15061"/>
      <w:bookmarkStart w:id="310" w:name="_Toc2202"/>
      <w:bookmarkStart w:id="311" w:name="_Toc16466"/>
      <w:bookmarkStart w:id="312" w:name="_Toc9480"/>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9602"/>
      <w:bookmarkStart w:id="314" w:name="_Toc27419"/>
      <w:bookmarkStart w:id="315" w:name="_Toc13625"/>
      <w:bookmarkStart w:id="316" w:name="_Toc11073"/>
      <w:bookmarkStart w:id="317" w:name="_Toc29218"/>
      <w:bookmarkStart w:id="318" w:name="_Toc11545"/>
      <w:bookmarkStart w:id="319" w:name="_Toc7971"/>
      <w:bookmarkStart w:id="320" w:name="_Toc13808"/>
      <w:bookmarkStart w:id="321" w:name="_Toc22384"/>
      <w:bookmarkStart w:id="322" w:name="_Toc11695"/>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3422"/>
      <w:bookmarkStart w:id="324" w:name="_Toc26262"/>
      <w:bookmarkStart w:id="325" w:name="_Toc17049"/>
      <w:bookmarkStart w:id="326" w:name="_Toc3838"/>
      <w:bookmarkStart w:id="327" w:name="_Toc7167"/>
      <w:bookmarkStart w:id="328" w:name="_Toc20993"/>
      <w:bookmarkStart w:id="329" w:name="_Toc25572"/>
      <w:bookmarkStart w:id="330" w:name="_Toc32021"/>
      <w:bookmarkStart w:id="331" w:name="_Toc27014"/>
      <w:bookmarkStart w:id="332" w:name="_Toc9012"/>
      <w:bookmarkStart w:id="333" w:name="_Toc29347"/>
      <w:bookmarkStart w:id="334" w:name="_Toc31791"/>
      <w:bookmarkStart w:id="335" w:name="_Toc905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9"/>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0296"/>
      <w:bookmarkStart w:id="337" w:name="_Toc5736"/>
      <w:bookmarkStart w:id="338" w:name="_Toc11043"/>
      <w:bookmarkStart w:id="339" w:name="_Toc26884"/>
      <w:bookmarkStart w:id="340" w:name="_Toc2517"/>
      <w:bookmarkStart w:id="341" w:name="_Toc9123"/>
      <w:bookmarkStart w:id="342" w:name="_Toc26390"/>
      <w:bookmarkStart w:id="343" w:name="_Toc2377"/>
      <w:bookmarkStart w:id="344" w:name="_Toc32149"/>
      <w:bookmarkStart w:id="345" w:name="_Toc20832"/>
      <w:bookmarkStart w:id="346" w:name="_Toc19106"/>
      <w:bookmarkStart w:id="347" w:name="_Toc19350"/>
      <w:bookmarkStart w:id="348" w:name="_Toc24704"/>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21700"/>
      <w:bookmarkStart w:id="350" w:name="_Toc4270"/>
      <w:bookmarkStart w:id="351" w:name="_Toc11854"/>
      <w:bookmarkStart w:id="352" w:name="_Toc32370"/>
      <w:bookmarkStart w:id="353" w:name="_Toc20281"/>
      <w:bookmarkStart w:id="354" w:name="_Toc32508"/>
      <w:bookmarkStart w:id="355" w:name="_Toc23486"/>
      <w:bookmarkStart w:id="356" w:name="_Toc16890"/>
      <w:bookmarkStart w:id="357" w:name="_Toc7817"/>
      <w:bookmarkStart w:id="358" w:name="_Toc24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2"/>
        <w:rPr>
          <w:rFonts w:hint="eastAsia" w:ascii="宋体" w:hAnsi="宋体" w:cs="宋体"/>
          <w:b/>
          <w:color w:val="auto"/>
          <w:sz w:val="28"/>
          <w:szCs w:val="28"/>
          <w:highlight w:val="none"/>
          <w:lang w:val="en-US" w:eastAsia="zh-CN"/>
        </w:rPr>
      </w:pPr>
    </w:p>
    <w:p w14:paraId="646A20E3">
      <w:pPr>
        <w:pStyle w:val="2"/>
        <w:rPr>
          <w:rFonts w:hint="eastAsia" w:ascii="宋体" w:hAnsi="宋体" w:cs="宋体"/>
          <w:b/>
          <w:color w:val="auto"/>
          <w:sz w:val="28"/>
          <w:szCs w:val="28"/>
          <w:highlight w:val="none"/>
          <w:lang w:val="en-US" w:eastAsia="zh-CN"/>
        </w:rPr>
      </w:pPr>
    </w:p>
    <w:p w14:paraId="64CD473B">
      <w:pPr>
        <w:pStyle w:val="2"/>
        <w:rPr>
          <w:rFonts w:hint="eastAsia" w:ascii="宋体" w:hAnsi="宋体" w:cs="宋体"/>
          <w:b/>
          <w:color w:val="auto"/>
          <w:sz w:val="28"/>
          <w:szCs w:val="28"/>
          <w:highlight w:val="none"/>
          <w:lang w:val="en-US" w:eastAsia="zh-CN"/>
        </w:rPr>
      </w:pPr>
    </w:p>
    <w:p w14:paraId="72AB685D">
      <w:pPr>
        <w:pStyle w:val="2"/>
        <w:rPr>
          <w:rFonts w:hint="eastAsia" w:ascii="宋体" w:hAnsi="宋体" w:cs="宋体"/>
          <w:b/>
          <w:color w:val="auto"/>
          <w:sz w:val="28"/>
          <w:szCs w:val="28"/>
          <w:highlight w:val="none"/>
          <w:lang w:val="en-US" w:eastAsia="zh-CN"/>
        </w:rPr>
      </w:pPr>
    </w:p>
    <w:p w14:paraId="65C50A2F">
      <w:pPr>
        <w:pStyle w:val="2"/>
        <w:rPr>
          <w:rFonts w:hint="eastAsia" w:ascii="宋体" w:hAnsi="宋体" w:cs="宋体"/>
          <w:b/>
          <w:color w:val="auto"/>
          <w:sz w:val="28"/>
          <w:szCs w:val="28"/>
          <w:highlight w:val="none"/>
          <w:lang w:val="en-US" w:eastAsia="zh-CN"/>
        </w:rPr>
      </w:pPr>
    </w:p>
    <w:p w14:paraId="76C625FE">
      <w:pPr>
        <w:pStyle w:val="2"/>
        <w:rPr>
          <w:rFonts w:hint="eastAsia" w:ascii="宋体" w:hAnsi="宋体" w:cs="宋体"/>
          <w:b/>
          <w:color w:val="auto"/>
          <w:sz w:val="28"/>
          <w:szCs w:val="28"/>
          <w:highlight w:val="none"/>
          <w:lang w:val="en-US" w:eastAsia="zh-CN"/>
        </w:rPr>
      </w:pPr>
    </w:p>
    <w:p w14:paraId="3A77A2D9">
      <w:pPr>
        <w:pStyle w:val="2"/>
        <w:rPr>
          <w:rFonts w:hint="eastAsia" w:ascii="宋体" w:hAnsi="宋体" w:cs="宋体"/>
          <w:b/>
          <w:color w:val="auto"/>
          <w:sz w:val="28"/>
          <w:szCs w:val="28"/>
          <w:highlight w:val="none"/>
          <w:lang w:val="en-US" w:eastAsia="zh-CN"/>
        </w:rPr>
      </w:pPr>
    </w:p>
    <w:p w14:paraId="58178886">
      <w:pPr>
        <w:pStyle w:val="2"/>
        <w:rPr>
          <w:rFonts w:hint="eastAsia" w:ascii="宋体" w:hAnsi="宋体" w:cs="宋体"/>
          <w:b/>
          <w:color w:val="auto"/>
          <w:sz w:val="28"/>
          <w:szCs w:val="28"/>
          <w:highlight w:val="none"/>
          <w:lang w:val="en-US" w:eastAsia="zh-CN"/>
        </w:rPr>
      </w:pPr>
    </w:p>
    <w:p w14:paraId="4D746F41">
      <w:pPr>
        <w:pStyle w:val="2"/>
        <w:rPr>
          <w:rFonts w:hint="eastAsia" w:ascii="宋体" w:hAnsi="宋体" w:cs="宋体"/>
          <w:b/>
          <w:color w:val="auto"/>
          <w:sz w:val="28"/>
          <w:szCs w:val="28"/>
          <w:highlight w:val="none"/>
          <w:lang w:val="en-US" w:eastAsia="zh-CN"/>
        </w:rPr>
      </w:pPr>
    </w:p>
    <w:p w14:paraId="54043A81">
      <w:pPr>
        <w:pStyle w:val="2"/>
        <w:rPr>
          <w:rFonts w:hint="eastAsia" w:ascii="宋体" w:hAnsi="宋体" w:cs="宋体"/>
          <w:b/>
          <w:color w:val="auto"/>
          <w:sz w:val="28"/>
          <w:szCs w:val="28"/>
          <w:highlight w:val="none"/>
          <w:lang w:val="en-US" w:eastAsia="zh-CN"/>
        </w:rPr>
      </w:pPr>
    </w:p>
    <w:p w14:paraId="2A26A93B">
      <w:pPr>
        <w:pStyle w:val="2"/>
        <w:rPr>
          <w:rFonts w:hint="eastAsia" w:ascii="宋体" w:hAnsi="宋体" w:cs="宋体"/>
          <w:b/>
          <w:color w:val="auto"/>
          <w:sz w:val="28"/>
          <w:szCs w:val="28"/>
          <w:highlight w:val="none"/>
          <w:lang w:val="en-US" w:eastAsia="zh-CN"/>
        </w:rPr>
      </w:pPr>
    </w:p>
    <w:p w14:paraId="1A77FB35">
      <w:pPr>
        <w:pStyle w:val="2"/>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广西中燚招标代理有限公司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2566"/>
      <w:bookmarkStart w:id="360" w:name="_Toc8189"/>
      <w:bookmarkStart w:id="361" w:name="_Toc6839"/>
      <w:bookmarkStart w:id="362" w:name="_Toc31528"/>
      <w:bookmarkStart w:id="363" w:name="_Toc16062"/>
      <w:bookmarkStart w:id="364" w:name="_Toc24133"/>
      <w:bookmarkStart w:id="365" w:name="_Toc20777"/>
      <w:bookmarkStart w:id="366" w:name="_Toc19686838"/>
      <w:bookmarkStart w:id="367" w:name="_Toc3944"/>
      <w:bookmarkStart w:id="368" w:name="_Toc12624"/>
      <w:bookmarkStart w:id="369" w:name="_Toc13159"/>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2"/>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3"/>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广西中燚招标代理有限公司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19686839"/>
      <w:bookmarkStart w:id="371" w:name="_Toc585"/>
      <w:bookmarkStart w:id="372" w:name="_Toc24407"/>
      <w:bookmarkStart w:id="373" w:name="_Toc24098"/>
      <w:bookmarkStart w:id="374" w:name="_Toc27757"/>
      <w:bookmarkStart w:id="375" w:name="_Toc1161"/>
      <w:bookmarkStart w:id="376" w:name="_Toc8889"/>
      <w:bookmarkStart w:id="377" w:name="_Toc10435"/>
      <w:bookmarkStart w:id="378" w:name="_Toc10197"/>
      <w:bookmarkStart w:id="379" w:name="_Toc23685"/>
      <w:bookmarkStart w:id="380" w:name="_Toc1743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9"/>
        <w:rPr>
          <w:rFonts w:hint="eastAsia"/>
          <w:color w:val="auto"/>
          <w:highlight w:val="none"/>
        </w:rPr>
      </w:pPr>
    </w:p>
    <w:p w14:paraId="38652E71">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9"/>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30951"/>
      <w:bookmarkStart w:id="382" w:name="_Toc3481"/>
      <w:bookmarkStart w:id="383" w:name="_Toc12675"/>
      <w:bookmarkStart w:id="384" w:name="_Toc17719"/>
      <w:bookmarkStart w:id="385" w:name="_Toc12868"/>
      <w:bookmarkStart w:id="386" w:name="_Toc22926"/>
      <w:bookmarkStart w:id="387" w:name="_Toc31920"/>
      <w:bookmarkStart w:id="388" w:name="_Toc28617"/>
      <w:bookmarkStart w:id="389" w:name="_Toc9015"/>
      <w:bookmarkStart w:id="390" w:name="_Toc1343"/>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广西中燚招标代理有限公司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桂平市石龙民族中学等6个学校食堂普通餐食品原材料联合采购配送服务项目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2"/>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31310"/>
      <w:bookmarkStart w:id="393" w:name="_Toc32028"/>
      <w:bookmarkStart w:id="394" w:name="_Toc31429"/>
      <w:bookmarkStart w:id="395" w:name="_Toc25113"/>
      <w:bookmarkStart w:id="396" w:name="_Toc6635"/>
      <w:bookmarkStart w:id="397" w:name="_Toc2211"/>
      <w:bookmarkStart w:id="398" w:name="_Toc18173"/>
      <w:bookmarkStart w:id="399" w:name="_Toc7244"/>
      <w:bookmarkStart w:id="400" w:name="_Toc21753"/>
      <w:bookmarkStart w:id="401" w:name="_Toc17736"/>
      <w:bookmarkStart w:id="402" w:name="_Toc7254"/>
      <w:bookmarkStart w:id="403" w:name="_Toc11260"/>
      <w:bookmarkStart w:id="404" w:name="_Toc491"/>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4"/>
        <w:jc w:val="center"/>
        <w:rPr>
          <w:rFonts w:hint="eastAsia" w:ascii="宋体" w:hAnsi="宋体" w:cs="Times New Roman"/>
          <w:b w:val="0"/>
          <w:bCs w:val="0"/>
          <w:color w:val="auto"/>
          <w:highlight w:val="none"/>
        </w:rPr>
      </w:pPr>
      <w:bookmarkStart w:id="405" w:name="_Toc22595"/>
      <w:bookmarkStart w:id="406" w:name="_Toc31800"/>
      <w:bookmarkStart w:id="407" w:name="_Toc990"/>
      <w:bookmarkStart w:id="408" w:name="_Toc3458"/>
      <w:bookmarkStart w:id="409" w:name="_Toc12016"/>
      <w:bookmarkStart w:id="410" w:name="_Toc10944"/>
      <w:bookmarkStart w:id="411" w:name="_Toc25538"/>
      <w:bookmarkStart w:id="412" w:name="_Toc22540"/>
      <w:bookmarkStart w:id="413" w:name="_Toc15096"/>
      <w:bookmarkStart w:id="414" w:name="_Toc1761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4"/>
        <w:jc w:val="center"/>
        <w:rPr>
          <w:rFonts w:hint="eastAsia" w:ascii="宋体" w:hAnsi="宋体" w:cs="Times New Roman"/>
          <w:b w:val="0"/>
          <w:bCs w:val="0"/>
          <w:color w:val="auto"/>
          <w:highlight w:val="none"/>
        </w:rPr>
      </w:pPr>
      <w:bookmarkStart w:id="416" w:name="_Toc6551"/>
      <w:bookmarkStart w:id="417" w:name="_Toc24894"/>
      <w:bookmarkStart w:id="418" w:name="_Toc11428"/>
      <w:bookmarkStart w:id="419" w:name="_Toc8862"/>
      <w:bookmarkStart w:id="420" w:name="_Toc11984"/>
      <w:bookmarkStart w:id="421" w:name="_Toc1896"/>
      <w:bookmarkStart w:id="422" w:name="_Toc32540"/>
      <w:bookmarkStart w:id="423" w:name="_Toc24568"/>
      <w:bookmarkStart w:id="424" w:name="_Toc31203"/>
      <w:bookmarkStart w:id="425" w:name="_Toc7549"/>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5BD01AB">
      <w:pPr>
        <w:rPr>
          <w:color w:val="auto"/>
          <w:highlight w:val="none"/>
        </w:rPr>
      </w:pPr>
    </w:p>
    <w:bookmarkEnd w:id="429"/>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2E6D8B"/>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C0819"/>
    <w:rsid w:val="040F1BAA"/>
    <w:rsid w:val="04100994"/>
    <w:rsid w:val="041C7FB9"/>
    <w:rsid w:val="042C4A18"/>
    <w:rsid w:val="045C17AC"/>
    <w:rsid w:val="045D72C7"/>
    <w:rsid w:val="047475DC"/>
    <w:rsid w:val="047A5783"/>
    <w:rsid w:val="048E5308"/>
    <w:rsid w:val="04975296"/>
    <w:rsid w:val="049A7C20"/>
    <w:rsid w:val="04A171B4"/>
    <w:rsid w:val="04A57753"/>
    <w:rsid w:val="04C31FAE"/>
    <w:rsid w:val="04C50261"/>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7EC4BEA"/>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4C37F4"/>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0FE20680"/>
    <w:rsid w:val="101A621B"/>
    <w:rsid w:val="101C3B92"/>
    <w:rsid w:val="102F0E28"/>
    <w:rsid w:val="10390118"/>
    <w:rsid w:val="10484987"/>
    <w:rsid w:val="10A25EDA"/>
    <w:rsid w:val="10CC3E59"/>
    <w:rsid w:val="10D4339F"/>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584FAB"/>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53EBB"/>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8B0E8F"/>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46B21"/>
    <w:rsid w:val="2B770163"/>
    <w:rsid w:val="2B960D99"/>
    <w:rsid w:val="2B9E3F4D"/>
    <w:rsid w:val="2B9E7E17"/>
    <w:rsid w:val="2BB629A0"/>
    <w:rsid w:val="2BC453B2"/>
    <w:rsid w:val="2BCB247B"/>
    <w:rsid w:val="2C1068FE"/>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D92220"/>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561E0"/>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7A54BF"/>
    <w:rsid w:val="379C735C"/>
    <w:rsid w:val="37D50947"/>
    <w:rsid w:val="37FB3273"/>
    <w:rsid w:val="383967AA"/>
    <w:rsid w:val="38681113"/>
    <w:rsid w:val="38740160"/>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026F6A"/>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CF17FD1"/>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3A3CA4"/>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250647"/>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050B4"/>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6615BC"/>
    <w:rsid w:val="47720309"/>
    <w:rsid w:val="478009AC"/>
    <w:rsid w:val="47A42B87"/>
    <w:rsid w:val="47B03B4D"/>
    <w:rsid w:val="47B84B31"/>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DF5A21"/>
    <w:rsid w:val="4A187D2D"/>
    <w:rsid w:val="4A2C081E"/>
    <w:rsid w:val="4A800EF8"/>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06393C"/>
    <w:rsid w:val="501C5568"/>
    <w:rsid w:val="503F1F7D"/>
    <w:rsid w:val="50815D87"/>
    <w:rsid w:val="50875DDA"/>
    <w:rsid w:val="50A03A61"/>
    <w:rsid w:val="50A67405"/>
    <w:rsid w:val="50B52C6C"/>
    <w:rsid w:val="50BF7A86"/>
    <w:rsid w:val="50DE4C60"/>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BE0ACC"/>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8F76517"/>
    <w:rsid w:val="59043E01"/>
    <w:rsid w:val="590649AC"/>
    <w:rsid w:val="594D25DB"/>
    <w:rsid w:val="59A20BAC"/>
    <w:rsid w:val="59BB60CF"/>
    <w:rsid w:val="59C075F7"/>
    <w:rsid w:val="59D34D02"/>
    <w:rsid w:val="59D800F7"/>
    <w:rsid w:val="5A4E4EC1"/>
    <w:rsid w:val="5A4E7262"/>
    <w:rsid w:val="5A5654C0"/>
    <w:rsid w:val="5A791DEA"/>
    <w:rsid w:val="5A7C75A7"/>
    <w:rsid w:val="5A831B3A"/>
    <w:rsid w:val="5AEE72F1"/>
    <w:rsid w:val="5AF06681"/>
    <w:rsid w:val="5AFA22EF"/>
    <w:rsid w:val="5B196121"/>
    <w:rsid w:val="5B3550D5"/>
    <w:rsid w:val="5B397407"/>
    <w:rsid w:val="5B6E0955"/>
    <w:rsid w:val="5BC24B08"/>
    <w:rsid w:val="5BD6055D"/>
    <w:rsid w:val="5BE34185"/>
    <w:rsid w:val="5BF6728A"/>
    <w:rsid w:val="5C0056E3"/>
    <w:rsid w:val="5C083ADA"/>
    <w:rsid w:val="5C0B5200"/>
    <w:rsid w:val="5C237623"/>
    <w:rsid w:val="5C245875"/>
    <w:rsid w:val="5C3A57D3"/>
    <w:rsid w:val="5C5679F9"/>
    <w:rsid w:val="5C5E150A"/>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D938FD"/>
    <w:rsid w:val="61E15FB7"/>
    <w:rsid w:val="61E55ABD"/>
    <w:rsid w:val="61FB170E"/>
    <w:rsid w:val="62142D61"/>
    <w:rsid w:val="625978FB"/>
    <w:rsid w:val="625F34E7"/>
    <w:rsid w:val="62A00E16"/>
    <w:rsid w:val="62BC1CA7"/>
    <w:rsid w:val="62CD6428"/>
    <w:rsid w:val="62D14C9E"/>
    <w:rsid w:val="62F1737F"/>
    <w:rsid w:val="63302D52"/>
    <w:rsid w:val="6339488B"/>
    <w:rsid w:val="633F463B"/>
    <w:rsid w:val="63464323"/>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717A0E"/>
    <w:rsid w:val="6B8723B0"/>
    <w:rsid w:val="6B8B2B72"/>
    <w:rsid w:val="6BFD39ED"/>
    <w:rsid w:val="6C3170F0"/>
    <w:rsid w:val="6C3A254B"/>
    <w:rsid w:val="6C9C3C49"/>
    <w:rsid w:val="6CA8352E"/>
    <w:rsid w:val="6CB97733"/>
    <w:rsid w:val="6CD725ED"/>
    <w:rsid w:val="6CEA4165"/>
    <w:rsid w:val="6D376AFE"/>
    <w:rsid w:val="6D3B35C4"/>
    <w:rsid w:val="6D546223"/>
    <w:rsid w:val="6D8A305E"/>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2B3690"/>
    <w:rsid w:val="78492BFF"/>
    <w:rsid w:val="784A2834"/>
    <w:rsid w:val="78986C8F"/>
    <w:rsid w:val="78AF606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6A75DC"/>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9E1A38"/>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1C5F55"/>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9D28E2"/>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10800</Words>
  <Characters>11591</Characters>
  <Lines>0</Lines>
  <Paragraphs>0</Paragraphs>
  <TotalTime>32</TotalTime>
  <ScaleCrop>false</ScaleCrop>
  <LinksUpToDate>false</LinksUpToDate>
  <CharactersWithSpaces>11688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JJ</cp:lastModifiedBy>
  <cp:lastPrinted>2024-08-07T03:53:00Z</cp:lastPrinted>
  <dcterms:modified xsi:type="dcterms:W3CDTF">2025-04-17T02:06:03Z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eyJoZGlkIjoiYWI3M2RhZmY4MDM2M2M0ZmRjZjQ0ZDA1Nzk3ZWY3NGIiLCJ1c2VySWQiOiIxMTczNTYzMTE4In0=</vt:lpwstr>
  </property>
</Properties>
</file>