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04C7B">
      <w:pPr>
        <w:widowControl/>
        <w:jc w:val="center"/>
        <w:textAlignment w:val="baseline"/>
        <w:rPr>
          <w:rFonts w:hint="eastAsia" w:ascii="黑体" w:hAnsi="黑体" w:eastAsia="黑体"/>
          <w:b/>
          <w:bCs/>
          <w:sz w:val="72"/>
          <w:szCs w:val="72"/>
        </w:rPr>
      </w:pPr>
      <w:bookmarkStart w:id="0" w:name="_Toc434315322"/>
      <w:r>
        <w:rPr>
          <w:rFonts w:hint="eastAsia" w:ascii="宋体" w:hAnsi="宋体" w:eastAsia="黑体" w:cs="宋体"/>
          <w:b/>
          <w:bCs/>
          <w:sz w:val="66"/>
          <w:szCs w:val="66"/>
          <w14:shadow w14:blurRad="50800" w14:dist="38100" w14:dir="2700000" w14:sx="100000" w14:sy="100000" w14:kx="0" w14:ky="0" w14:algn="tl">
            <w14:srgbClr w14:val="000000">
              <w14:alpha w14:val="60000"/>
            </w14:srgbClr>
          </w14:shadow>
        </w:rPr>
        <w:t>广西荣胜项目管理有限公司</w:t>
      </w:r>
    </w:p>
    <w:p w14:paraId="2E72EBCB">
      <w:pPr>
        <w:pStyle w:val="10"/>
        <w:jc w:val="center"/>
        <w:rPr>
          <w:rFonts w:hint="eastAsia" w:ascii="方正小标宋简体" w:hAnsi="方正小标宋简体" w:eastAsia="方正小标宋简体" w:cs="方正小标宋简体"/>
          <w:sz w:val="32"/>
          <w:szCs w:val="32"/>
        </w:rPr>
      </w:pPr>
      <w:r>
        <w:rPr>
          <w:rFonts w:hint="eastAsia" w:hAnsi="宋体" w:cs="宋体"/>
          <w:sz w:val="20"/>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09CC9946">
      <w:pPr>
        <w:pStyle w:val="10"/>
        <w:tabs>
          <w:tab w:val="left" w:pos="7854"/>
        </w:tabs>
        <w:rPr>
          <w:rFonts w:hint="eastAsia" w:ascii="方正小标宋简体" w:hAnsi="方正小标宋简体" w:eastAsia="方正小标宋简体" w:cs="方正小标宋简体"/>
          <w:sz w:val="20"/>
        </w:rPr>
      </w:pPr>
    </w:p>
    <w:p w14:paraId="0920D3B2">
      <w:pPr>
        <w:tabs>
          <w:tab w:val="left" w:pos="1079"/>
          <w:tab w:val="left" w:pos="3240"/>
        </w:tabs>
        <w:spacing w:line="821" w:lineRule="exact"/>
        <w:ind w:right="138"/>
        <w:rPr>
          <w:rFonts w:hint="eastAsia" w:ascii="方正小标宋简体" w:hAnsi="方正小标宋简体" w:eastAsia="方正小标宋简体" w:cs="方正小标宋简体"/>
          <w:sz w:val="72"/>
        </w:rPr>
      </w:pPr>
    </w:p>
    <w:p w14:paraId="4B660F28">
      <w:pPr>
        <w:pStyle w:val="47"/>
        <w:rPr>
          <w:rFonts w:hint="eastAsia" w:ascii="方正小标宋简体" w:hAnsi="方正小标宋简体" w:eastAsia="方正小标宋简体" w:cs="方正小标宋简体"/>
          <w:color w:val="auto"/>
          <w:sz w:val="72"/>
        </w:rPr>
      </w:pPr>
    </w:p>
    <w:p w14:paraId="256053EA">
      <w:pPr>
        <w:tabs>
          <w:tab w:val="left" w:pos="1079"/>
          <w:tab w:val="left" w:pos="3240"/>
        </w:tabs>
        <w:spacing w:line="821" w:lineRule="exact"/>
        <w:ind w:right="138"/>
        <w:jc w:val="center"/>
        <w:rPr>
          <w:rFonts w:hint="eastAsia" w:ascii="方正小标宋简体" w:hAnsi="方正小标宋简体" w:eastAsia="方正小标宋简体" w:cs="方正小标宋简体"/>
          <w:sz w:val="72"/>
        </w:rPr>
      </w:pPr>
      <w:r>
        <w:rPr>
          <w:rFonts w:hint="eastAsia" w:ascii="方正小标宋简体" w:hAnsi="方正小标宋简体" w:eastAsia="方正小标宋简体" w:cs="方正小标宋简体"/>
          <w:sz w:val="72"/>
        </w:rPr>
        <w:t>竞争性磋商采购文件</w:t>
      </w:r>
    </w:p>
    <w:p w14:paraId="7B7FFE70">
      <w:pPr>
        <w:pStyle w:val="10"/>
        <w:rPr>
          <w:rFonts w:hint="eastAsia" w:ascii="方正小标宋简体" w:hAnsi="方正小标宋简体" w:eastAsia="方正小标宋简体" w:cs="方正小标宋简体"/>
          <w:sz w:val="68"/>
        </w:rPr>
      </w:pPr>
    </w:p>
    <w:p w14:paraId="785104FF">
      <w:pPr>
        <w:pStyle w:val="26"/>
        <w:rPr>
          <w:rFonts w:hint="eastAsia" w:ascii="方正小标宋简体" w:hAnsi="方正小标宋简体" w:eastAsia="方正小标宋简体" w:cs="方正小标宋简体"/>
          <w:sz w:val="68"/>
        </w:rPr>
      </w:pPr>
    </w:p>
    <w:p w14:paraId="5739A3A5"/>
    <w:p w14:paraId="5947D844">
      <w:pPr>
        <w:pStyle w:val="10"/>
        <w:rPr>
          <w:rFonts w:hint="eastAsia" w:ascii="方正小标宋简体" w:hAnsi="方正小标宋简体" w:eastAsia="方正小标宋简体" w:cs="方正小标宋简体"/>
          <w:sz w:val="20"/>
        </w:rPr>
      </w:pPr>
    </w:p>
    <w:p w14:paraId="3440950D">
      <w:pPr>
        <w:spacing w:after="317" w:afterLines="100"/>
        <w:ind w:left="2238" w:leftChars="304" w:hanging="1600" w:hangingChars="500"/>
        <w:rPr>
          <w:rFonts w:hint="eastAsia" w:ascii="宋体" w:hAnsi="宋体" w:cs="宋体"/>
          <w:sz w:val="32"/>
        </w:rPr>
      </w:pPr>
      <w:r>
        <w:rPr>
          <w:rFonts w:hint="eastAsia" w:ascii="宋体" w:hAnsi="宋体" w:cs="宋体"/>
          <w:sz w:val="32"/>
        </w:rPr>
        <w:t>项目名称：2025年石埇镇文昌村牛过埠大田角至韭菜湖农田水利工程</w:t>
      </w:r>
    </w:p>
    <w:p w14:paraId="2CA2E03A">
      <w:pPr>
        <w:ind w:firstLine="640" w:firstLineChars="200"/>
        <w:rPr>
          <w:rFonts w:hint="eastAsia" w:ascii="宋体" w:hAnsi="宋体" w:cs="宋体"/>
          <w:sz w:val="32"/>
          <w:szCs w:val="32"/>
        </w:rPr>
      </w:pPr>
      <w:r>
        <w:rPr>
          <w:rFonts w:hint="eastAsia" w:ascii="宋体" w:hAnsi="宋体" w:cs="宋体"/>
          <w:sz w:val="32"/>
          <w:szCs w:val="32"/>
        </w:rPr>
        <w:t>项目编号：QZZC2025-C2-220084-GXRS</w:t>
      </w:r>
    </w:p>
    <w:p w14:paraId="7F80D600"/>
    <w:p w14:paraId="0C9EC267">
      <w:pPr>
        <w:pStyle w:val="10"/>
        <w:rPr>
          <w:rFonts w:hint="eastAsia" w:ascii="方正小标宋简体" w:hAnsi="方正小标宋简体" w:eastAsia="方正小标宋简体" w:cs="方正小标宋简体"/>
          <w:sz w:val="20"/>
        </w:rPr>
      </w:pPr>
      <w:r>
        <w:rPr>
          <w:rFonts w:hint="eastAsia" w:hAnsi="宋体" w:cs="宋体"/>
          <w:sz w:val="20"/>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41949B65">
      <w:pPr>
        <w:pStyle w:val="10"/>
        <w:rPr>
          <w:rFonts w:hint="eastAsia" w:hAnsi="宋体" w:cs="宋体"/>
          <w:bCs/>
          <w:sz w:val="32"/>
          <w:szCs w:val="32"/>
        </w:rPr>
      </w:pPr>
      <w:r>
        <w:rPr>
          <w:rFonts w:hint="eastAsia" w:hAnsi="宋体" w:cs="宋体"/>
          <w:sz w:val="32"/>
          <w:szCs w:val="32"/>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sz w:val="32"/>
          <w:szCs w:val="32"/>
        </w:rPr>
        <w:t xml:space="preserve">            采购单位：浦北县石埇镇人民政府</w:t>
      </w:r>
    </w:p>
    <w:p w14:paraId="7D1A5172">
      <w:pPr>
        <w:spacing w:line="800" w:lineRule="exact"/>
        <w:rPr>
          <w:rFonts w:hint="eastAsia" w:ascii="宋体" w:hAnsi="宋体" w:cs="宋体"/>
          <w:sz w:val="32"/>
          <w:szCs w:val="32"/>
        </w:rPr>
      </w:pPr>
      <w:r>
        <w:rPr>
          <w:rFonts w:hint="eastAsia" w:ascii="宋体" w:hAnsi="宋体" w:cs="宋体"/>
          <w:sz w:val="32"/>
          <w:szCs w:val="32"/>
        </w:rPr>
        <w:t xml:space="preserve">            采购代理机构：广西荣胜项目管理有限公司</w:t>
      </w:r>
    </w:p>
    <w:p w14:paraId="75B387DC">
      <w:pPr>
        <w:spacing w:line="800" w:lineRule="exact"/>
        <w:jc w:val="center"/>
        <w:rPr>
          <w:rFonts w:hint="eastAsia" w:ascii="宋体" w:hAnsi="宋体" w:cs="宋体"/>
        </w:rPr>
      </w:pPr>
      <w:r>
        <w:rPr>
          <w:rFonts w:hint="eastAsia" w:ascii="宋体" w:hAnsi="宋体" w:cs="宋体"/>
          <w:sz w:val="32"/>
          <w:szCs w:val="32"/>
        </w:rPr>
        <w:t xml:space="preserve"> 2025年5月</w:t>
      </w:r>
    </w:p>
    <w:p w14:paraId="036FF019">
      <w:pPr>
        <w:spacing w:line="800" w:lineRule="exact"/>
        <w:rPr>
          <w:rFonts w:hint="eastAsia" w:ascii="宋体" w:hAnsi="宋体" w:cs="宋体"/>
        </w:rPr>
        <w:sectPr>
          <w:pgSz w:w="11906" w:h="16838"/>
          <w:pgMar w:top="1134" w:right="1134" w:bottom="1134" w:left="1417" w:header="850" w:footer="992" w:gutter="0"/>
          <w:cols w:space="720" w:num="1"/>
          <w:docGrid w:type="lines" w:linePitch="317" w:charSpace="0"/>
        </w:sectPr>
      </w:pPr>
    </w:p>
    <w:p w14:paraId="785A9538">
      <w:pPr>
        <w:pStyle w:val="47"/>
        <w:rPr>
          <w:rFonts w:hint="eastAsia"/>
          <w:color w:val="auto"/>
        </w:rPr>
      </w:pPr>
    </w:p>
    <w:sdt>
      <w:sdtPr>
        <w:rPr>
          <w:rFonts w:ascii="宋体" w:hAnsi="宋体"/>
          <w:sz w:val="28"/>
          <w:szCs w:val="36"/>
        </w:rPr>
        <w:id w:val="147475717"/>
        <w15:color w:val="DBDBDB"/>
        <w:docPartObj>
          <w:docPartGallery w:val="Table of Contents"/>
          <w:docPartUnique/>
        </w:docPartObj>
      </w:sdtPr>
      <w:sdtEndPr>
        <w:rPr>
          <w:rFonts w:ascii="宋体" w:hAnsi="宋体" w:cs="宋体"/>
          <w:sz w:val="28"/>
          <w:szCs w:val="40"/>
        </w:rPr>
      </w:sdtEndPr>
      <w:sdtContent>
        <w:p w14:paraId="461B70A4">
          <w:pPr>
            <w:spacing w:line="360" w:lineRule="auto"/>
            <w:jc w:val="center"/>
            <w:rPr>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14:paraId="25BD219D">
          <w:pPr>
            <w:pStyle w:val="20"/>
            <w:tabs>
              <w:tab w:val="right" w:leader="dot" w:pos="9799"/>
            </w:tabs>
            <w:rPr>
              <w:rFonts w:hint="eastAsia" w:ascii="宋体" w:hAnsi="宋体" w:cs="宋体"/>
              <w:sz w:val="28"/>
              <w:szCs w:val="36"/>
            </w:rPr>
          </w:pPr>
          <w:r>
            <w:rPr>
              <w:rFonts w:ascii="宋体" w:hAnsi="宋体" w:cs="宋体"/>
              <w:sz w:val="32"/>
              <w:szCs w:val="40"/>
            </w:rPr>
            <w:fldChar w:fldCharType="begin"/>
          </w:r>
          <w:r>
            <w:rPr>
              <w:rFonts w:ascii="宋体" w:hAnsi="宋体" w:cs="宋体"/>
              <w:sz w:val="32"/>
              <w:szCs w:val="40"/>
            </w:rPr>
            <w:instrText xml:space="preserve">TOC \o "1-1" \h \u </w:instrText>
          </w:r>
          <w:r>
            <w:rPr>
              <w:rFonts w:ascii="宋体" w:hAnsi="宋体" w:cs="宋体"/>
              <w:sz w:val="32"/>
              <w:szCs w:val="40"/>
            </w:rPr>
            <w:fldChar w:fldCharType="separate"/>
          </w:r>
        </w:p>
        <w:p w14:paraId="63BF5C4D">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"_Toc29312" </w:instrText>
          </w:r>
          <w:r>
            <w:fldChar w:fldCharType="separate"/>
          </w:r>
          <w:r>
            <w:rPr>
              <w:rFonts w:hint="eastAsia" w:ascii="宋体" w:hAnsi="宋体" w:cs="宋体"/>
              <w:sz w:val="24"/>
            </w:rPr>
            <w:t>第一章  竞争性磋商公告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_Toc29312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14:paraId="3F44CEC3">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"_Toc5416" </w:instrText>
          </w:r>
          <w:r>
            <w:fldChar w:fldCharType="separate"/>
          </w:r>
          <w:r>
            <w:rPr>
              <w:rFonts w:hint="eastAsia" w:ascii="宋体" w:hAnsi="宋体" w:cs="宋体"/>
              <w:bCs/>
              <w:kern w:val="0"/>
              <w:sz w:val="24"/>
            </w:rPr>
            <w:t>第二章   供应商须知前附表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_Toc5416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4DBCF20B">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"_Toc26558" </w:instrText>
          </w:r>
          <w:r>
            <w:fldChar w:fldCharType="separate"/>
          </w:r>
          <w:r>
            <w:rPr>
              <w:rFonts w:hint="eastAsia" w:ascii="宋体" w:hAnsi="宋体" w:cs="宋体"/>
              <w:bCs/>
              <w:kern w:val="0"/>
              <w:sz w:val="24"/>
            </w:rPr>
            <w:t>第三章   项目基本情况及要求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_Toc26558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649E7CB7">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"_Toc20069" </w:instrText>
          </w:r>
          <w:r>
            <w:fldChar w:fldCharType="separate"/>
          </w:r>
          <w:r>
            <w:rPr>
              <w:rFonts w:hint="eastAsia" w:ascii="宋体" w:hAnsi="宋体" w:cs="宋体"/>
              <w:bCs/>
              <w:kern w:val="0"/>
              <w:sz w:val="24"/>
            </w:rPr>
            <w:t>第四章  评审标准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_Toc20069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2F2367D3">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"_Toc15543" </w:instrText>
          </w:r>
          <w:r>
            <w:fldChar w:fldCharType="separate"/>
          </w:r>
          <w:r>
            <w:rPr>
              <w:rFonts w:hint="eastAsia" w:ascii="宋体" w:hAnsi="宋体" w:cs="宋体"/>
              <w:bCs/>
              <w:kern w:val="0"/>
              <w:sz w:val="24"/>
            </w:rPr>
            <w:t>第五章  响应文件（格式）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_Toc15543 \h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r>
            <w:rPr>
              <w:rFonts w:hint="eastAsia" w:ascii="宋体" w:hAnsi="宋体" w:cs="宋体"/>
              <w:sz w:val="24"/>
            </w:rPr>
            <w:fldChar w:fldCharType="end"/>
          </w:r>
        </w:p>
        <w:p w14:paraId="7C52E057">
          <w:pPr>
            <w:pStyle w:val="20"/>
            <w:tabs>
              <w:tab w:val="right" w:leader="dot" w:pos="9799"/>
            </w:tabs>
            <w:spacing w:line="700" w:lineRule="exact"/>
            <w:ind w:left="315" w:leftChars="150" w:right="210" w:rightChars="100"/>
            <w:rPr>
              <w:rFonts w:hint="eastAsia" w:ascii="宋体" w:hAnsi="宋体" w:cs="宋体"/>
              <w:sz w:val="24"/>
              <w:szCs w:val="32"/>
            </w:rPr>
          </w:pPr>
          <w:r>
            <w:fldChar w:fldCharType="begin"/>
          </w:r>
          <w:r>
            <w:instrText xml:space="preserve"> HYPERLINK \l "_Toc3612" </w:instrText>
          </w:r>
          <w:r>
            <w:fldChar w:fldCharType="separate"/>
          </w:r>
          <w:r>
            <w:rPr>
              <w:rFonts w:hint="eastAsia" w:ascii="宋体" w:hAnsi="宋体" w:cs="宋体"/>
              <w:kern w:val="0"/>
              <w:sz w:val="24"/>
            </w:rPr>
            <w:t>第六章   合同主要条款（参考格式）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_Toc3612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r>
            <w:rPr>
              <w:rFonts w:hint="eastAsia" w:ascii="宋体" w:hAnsi="宋体" w:cs="宋体"/>
              <w:sz w:val="24"/>
            </w:rPr>
            <w:fldChar w:fldCharType="end"/>
          </w:r>
        </w:p>
        <w:p w14:paraId="12756FE1">
          <w:pPr>
            <w:pStyle w:val="20"/>
            <w:tabs>
              <w:tab w:val="right" w:leader="dot" w:pos="9799"/>
            </w:tabs>
            <w:spacing w:line="360" w:lineRule="auto"/>
            <w:rPr>
              <w:sz w:val="20"/>
              <w:szCs w:val="22"/>
            </w:rPr>
          </w:pPr>
        </w:p>
        <w:p w14:paraId="3E51D165">
          <w:pPr>
            <w:pStyle w:val="20"/>
            <w:tabs>
              <w:tab w:val="center" w:pos="4899"/>
            </w:tabs>
            <w:spacing w:line="360" w:lineRule="auto"/>
            <w:rPr>
              <w:rFonts w:hint="eastAsia" w:ascii="宋体" w:hAnsi="宋体" w:cs="宋体"/>
              <w:sz w:val="32"/>
              <w:szCs w:val="40"/>
            </w:rPr>
          </w:pPr>
          <w:r>
            <w:rPr>
              <w:rFonts w:ascii="宋体" w:hAnsi="宋体" w:cs="宋体"/>
              <w:szCs w:val="40"/>
            </w:rPr>
            <w:fldChar w:fldCharType="end"/>
          </w:r>
          <w:r>
            <w:rPr>
              <w:rFonts w:hint="eastAsia" w:ascii="宋体" w:hAnsi="宋体" w:cs="宋体"/>
              <w:szCs w:val="40"/>
            </w:rPr>
            <w:tab/>
          </w:r>
        </w:p>
      </w:sdtContent>
    </w:sdt>
    <w:p w14:paraId="63DAF48B">
      <w:pPr>
        <w:pStyle w:val="10"/>
        <w:tabs>
          <w:tab w:val="left" w:pos="4386"/>
        </w:tabs>
        <w:autoSpaceDE/>
        <w:autoSpaceDN/>
        <w:adjustRightInd/>
        <w:spacing w:line="320" w:lineRule="exact"/>
        <w:rPr>
          <w:rFonts w:hint="eastAsia" w:hAnsi="宋体" w:cs="宋体"/>
          <w:b/>
          <w:bCs/>
          <w:sz w:val="36"/>
          <w:szCs w:val="36"/>
        </w:rPr>
      </w:pPr>
      <w:r>
        <w:rPr>
          <w:rFonts w:hint="eastAsia" w:hAnsi="宋体" w:cs="宋体"/>
          <w:b/>
          <w:bCs/>
          <w:sz w:val="36"/>
          <w:szCs w:val="36"/>
        </w:rPr>
        <w:tab/>
      </w:r>
    </w:p>
    <w:p w14:paraId="61E46511">
      <w:pPr>
        <w:tabs>
          <w:tab w:val="left" w:pos="6703"/>
        </w:tabs>
        <w:jc w:val="left"/>
        <w:sectPr>
          <w:headerReference r:id="rId3" w:type="default"/>
          <w:footerReference r:id="rId4" w:type="default"/>
          <w:pgSz w:w="11906" w:h="16838"/>
          <w:pgMar w:top="1440" w:right="1080" w:bottom="1440" w:left="460" w:header="851" w:footer="794" w:gutter="567"/>
          <w:pgNumType w:start="1"/>
          <w:cols w:space="720" w:num="1"/>
        </w:sectPr>
      </w:pPr>
      <w:r>
        <w:rPr>
          <w:rFonts w:hint="eastAsia"/>
        </w:rPr>
        <w:tab/>
      </w:r>
    </w:p>
    <w:p w14:paraId="12061E96">
      <w:pPr>
        <w:pStyle w:val="3"/>
        <w:spacing w:before="0" w:after="156" w:afterLines="50" w:line="520" w:lineRule="exact"/>
        <w:jc w:val="center"/>
        <w:rPr>
          <w:sz w:val="32"/>
          <w:szCs w:val="32"/>
        </w:rPr>
      </w:pPr>
      <w:bookmarkStart w:id="1" w:name="_Toc29312"/>
      <w:r>
        <w:rPr>
          <w:rFonts w:hint="eastAsia"/>
          <w:sz w:val="32"/>
          <w:szCs w:val="32"/>
        </w:rPr>
        <w:t>第一章</w:t>
      </w:r>
      <w:bookmarkEnd w:id="0"/>
      <w:bookmarkEnd w:id="1"/>
      <w:bookmarkStart w:id="2" w:name="_Toc434315323"/>
      <w:r>
        <w:rPr>
          <w:rFonts w:hint="eastAsia"/>
          <w:sz w:val="32"/>
          <w:szCs w:val="32"/>
        </w:rPr>
        <w:t xml:space="preserve">  竞争性磋商公告</w:t>
      </w:r>
    </w:p>
    <w:p w14:paraId="0FD01911">
      <w:pPr>
        <w:spacing w:after="156" w:afterLines="50" w:line="460" w:lineRule="exact"/>
        <w:jc w:val="center"/>
        <w:rPr>
          <w:sz w:val="30"/>
          <w:szCs w:val="30"/>
        </w:rPr>
      </w:pPr>
      <w:r>
        <w:rPr>
          <w:rFonts w:hint="eastAsia" w:ascii="宋体" w:hAnsi="宋体"/>
          <w:b/>
          <w:sz w:val="30"/>
          <w:szCs w:val="30"/>
        </w:rPr>
        <w:t>广西荣胜项目管理有限公司关于</w:t>
      </w:r>
      <w:bookmarkStart w:id="3" w:name="_Toc2948"/>
      <w:r>
        <w:rPr>
          <w:rFonts w:hint="eastAsia" w:ascii="宋体" w:hAnsi="宋体"/>
          <w:b/>
          <w:sz w:val="30"/>
          <w:szCs w:val="30"/>
        </w:rPr>
        <w:t>2025年石埇镇文昌村牛过埠大田角至韭菜湖农田水利工程（QZZC2025-C2-220084-GXRS）竞争性磋商公告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A84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D5E59F9">
            <w:pPr>
              <w:spacing w:line="400" w:lineRule="exact"/>
              <w:rPr>
                <w:rFonts w:hint="eastAsia" w:ascii="宋体" w:hAnsi="宋体" w:cs="宋体"/>
                <w:b/>
                <w:bCs/>
                <w:szCs w:val="21"/>
              </w:rPr>
            </w:pPr>
            <w:r>
              <w:rPr>
                <w:rFonts w:hint="eastAsia" w:ascii="宋体" w:hAnsi="宋体" w:cs="宋体"/>
                <w:b/>
                <w:bCs/>
                <w:szCs w:val="21"/>
              </w:rPr>
              <w:t>项目概况</w:t>
            </w:r>
          </w:p>
          <w:p w14:paraId="67AE7328">
            <w:pPr>
              <w:spacing w:line="400" w:lineRule="exact"/>
              <w:ind w:firstLine="420" w:firstLineChars="200"/>
            </w:pPr>
            <w:r>
              <w:rPr>
                <w:rFonts w:hint="eastAsia" w:ascii="宋体" w:hAnsi="宋体" w:cs="宋体"/>
                <w:szCs w:val="21"/>
                <w:u w:val="single"/>
              </w:rPr>
              <w:t>2025年石埇镇文昌村牛过埠大田角至韭菜湖农田水利工程</w:t>
            </w:r>
            <w:r>
              <w:rPr>
                <w:rFonts w:hint="eastAsia" w:ascii="宋体" w:hAnsi="宋体" w:cs="宋体"/>
                <w:szCs w:val="21"/>
              </w:rPr>
              <w:t>采购项目的潜在供应商应在</w:t>
            </w:r>
            <w:r>
              <w:rPr>
                <w:rFonts w:hint="eastAsia" w:ascii="宋体" w:hAnsi="宋体" w:cs="宋体"/>
                <w:szCs w:val="21"/>
                <w:u w:val="single"/>
              </w:rPr>
              <w:t>广西政府采购云平台（</w:t>
            </w:r>
            <w:r>
              <w:fldChar w:fldCharType="begin"/>
            </w:r>
            <w:r>
              <w:instrText xml:space="preserve"> HYPERLINK "https://www.gcy.zfcg.gxzf.gov.cn/）获取采购文件，并于2025年" </w:instrText>
            </w:r>
            <w:r>
              <w:fldChar w:fldCharType="separate"/>
            </w:r>
            <w:r>
              <w:rPr>
                <w:rStyle w:val="40"/>
                <w:rFonts w:hint="eastAsia" w:ascii="宋体" w:hAnsi="宋体" w:cs="宋体"/>
                <w:color w:val="auto"/>
                <w:szCs w:val="21"/>
              </w:rPr>
              <w:t>https://www.gcy.zfcg.gxzf.gov.cn/）获取</w:t>
            </w:r>
            <w:r>
              <w:rPr>
                <w:rStyle w:val="40"/>
                <w:rFonts w:hint="eastAsia" w:ascii="宋体" w:hAnsi="宋体" w:cs="宋体"/>
                <w:color w:val="auto"/>
              </w:rPr>
              <w:t>采购文件</w:t>
            </w:r>
            <w:r>
              <w:rPr>
                <w:rStyle w:val="40"/>
                <w:rFonts w:hint="eastAsia" w:ascii="宋体" w:hAnsi="宋体" w:cs="宋体"/>
                <w:color w:val="auto"/>
                <w:szCs w:val="21"/>
              </w:rPr>
              <w:t>，并于2025年</w:t>
            </w:r>
            <w:r>
              <w:rPr>
                <w:rStyle w:val="40"/>
                <w:rFonts w:hint="eastAsia" w:ascii="宋体" w:hAnsi="宋体" w:cs="宋体"/>
                <w:color w:val="auto"/>
                <w:szCs w:val="21"/>
              </w:rPr>
              <w:fldChar w:fldCharType="end"/>
            </w:r>
            <w:r>
              <w:rPr>
                <w:rFonts w:hint="eastAsia" w:ascii="宋体" w:hAnsi="宋体" w:cs="宋体"/>
                <w:szCs w:val="21"/>
                <w:u w:val="single"/>
              </w:rPr>
              <w:t>5月21日09时30分（北京时间）</w:t>
            </w:r>
            <w:r>
              <w:rPr>
                <w:rFonts w:hint="eastAsia" w:ascii="宋体" w:hAnsi="宋体" w:cs="宋体"/>
                <w:szCs w:val="21"/>
              </w:rPr>
              <w:t>前提交响应文件。</w:t>
            </w:r>
          </w:p>
        </w:tc>
      </w:tr>
    </w:tbl>
    <w:p w14:paraId="3EF69942">
      <w:pPr>
        <w:pStyle w:val="2"/>
        <w:spacing w:line="360" w:lineRule="auto"/>
        <w:ind w:firstLine="422" w:firstLineChars="200"/>
        <w:rPr>
          <w:rFonts w:hint="eastAsia" w:ascii="宋体" w:hAnsi="宋体" w:eastAsia="宋体" w:cs="宋体"/>
          <w:bCs w:val="0"/>
          <w:sz w:val="21"/>
          <w:szCs w:val="21"/>
        </w:rPr>
      </w:pPr>
      <w:bookmarkStart w:id="4" w:name="_Toc28359012"/>
      <w:bookmarkStart w:id="5" w:name="_Toc31859"/>
      <w:bookmarkStart w:id="6" w:name="_Toc9324"/>
      <w:bookmarkStart w:id="7" w:name="_Toc28359089"/>
      <w:bookmarkStart w:id="8" w:name="_Toc35393629"/>
      <w:bookmarkStart w:id="9" w:name="_Toc35393798"/>
      <w:r>
        <w:rPr>
          <w:rFonts w:hint="eastAsia" w:ascii="宋体" w:hAnsi="宋体" w:eastAsia="宋体" w:cs="宋体"/>
          <w:bCs w:val="0"/>
          <w:sz w:val="21"/>
          <w:szCs w:val="21"/>
        </w:rPr>
        <w:t>一、项目基本情况</w:t>
      </w:r>
      <w:bookmarkEnd w:id="4"/>
      <w:bookmarkEnd w:id="5"/>
      <w:bookmarkEnd w:id="6"/>
      <w:bookmarkEnd w:id="7"/>
      <w:bookmarkEnd w:id="8"/>
      <w:bookmarkEnd w:id="9"/>
    </w:p>
    <w:p w14:paraId="1562573D">
      <w:pPr>
        <w:spacing w:line="360" w:lineRule="auto"/>
        <w:ind w:firstLine="420" w:firstLineChars="200"/>
        <w:rPr>
          <w:rFonts w:hint="eastAsia" w:ascii="宋体" w:hAnsi="宋体" w:cs="宋体"/>
          <w:szCs w:val="21"/>
        </w:rPr>
      </w:pPr>
      <w:r>
        <w:rPr>
          <w:rFonts w:hint="eastAsia" w:ascii="宋体" w:hAnsi="宋体" w:cs="宋体"/>
          <w:szCs w:val="21"/>
        </w:rPr>
        <w:t xml:space="preserve">项目编号：QZZC2025-C2-220084-GXRS </w:t>
      </w:r>
    </w:p>
    <w:p w14:paraId="78B985F7">
      <w:pPr>
        <w:spacing w:line="360" w:lineRule="auto"/>
        <w:ind w:left="1470" w:leftChars="200" w:hanging="1050" w:hangingChars="500"/>
        <w:rPr>
          <w:rFonts w:hint="eastAsia" w:ascii="宋体" w:hAnsi="宋体" w:cs="宋体"/>
          <w:szCs w:val="21"/>
          <w:u w:val="single"/>
        </w:rPr>
      </w:pPr>
      <w:r>
        <w:rPr>
          <w:rFonts w:hint="eastAsia" w:ascii="宋体" w:hAnsi="宋体" w:cs="宋体"/>
          <w:szCs w:val="21"/>
        </w:rPr>
        <w:t>项目名称：2025年石埇镇文昌村牛过埠大田角至韭菜湖农田水利工程</w:t>
      </w:r>
    </w:p>
    <w:p w14:paraId="00554786">
      <w:pPr>
        <w:spacing w:line="360" w:lineRule="auto"/>
        <w:ind w:firstLine="420" w:firstLineChars="200"/>
        <w:rPr>
          <w:rFonts w:hint="eastAsia" w:ascii="宋体" w:hAnsi="宋体" w:cs="宋体"/>
          <w:szCs w:val="21"/>
        </w:rPr>
      </w:pPr>
      <w:r>
        <w:rPr>
          <w:rFonts w:hint="eastAsia" w:ascii="宋体" w:hAnsi="宋体" w:cs="宋体"/>
          <w:szCs w:val="21"/>
        </w:rPr>
        <w:t>采购方式：</w:t>
      </w:r>
      <w:r>
        <w:rPr>
          <w:rFonts w:hint="eastAsia" w:ascii="宋体" w:hAnsi="宋体" w:cs="宋体"/>
        </w:rPr>
        <w:t>竞争性磋商</w:t>
      </w:r>
    </w:p>
    <w:p w14:paraId="62A59DA5">
      <w:pPr>
        <w:spacing w:line="360" w:lineRule="auto"/>
        <w:ind w:firstLine="420" w:firstLineChars="200"/>
        <w:rPr>
          <w:rFonts w:hint="eastAsia" w:ascii="宋体" w:hAnsi="宋体" w:cs="宋体"/>
          <w:szCs w:val="21"/>
        </w:rPr>
      </w:pPr>
      <w:r>
        <w:rPr>
          <w:rFonts w:hint="eastAsia" w:ascii="宋体" w:hAnsi="宋体" w:cs="宋体"/>
          <w:szCs w:val="21"/>
        </w:rPr>
        <w:t>预算总金额（元）：780174.14元</w:t>
      </w:r>
    </w:p>
    <w:p w14:paraId="069DA51A">
      <w:pPr>
        <w:spacing w:line="360" w:lineRule="auto"/>
        <w:ind w:firstLine="420" w:firstLineChars="200"/>
        <w:rPr>
          <w:rFonts w:hint="eastAsia" w:ascii="宋体" w:hAnsi="宋体" w:cs="宋体"/>
          <w:szCs w:val="21"/>
        </w:rPr>
      </w:pPr>
      <w:r>
        <w:rPr>
          <w:rFonts w:hint="eastAsia" w:ascii="宋体" w:hAnsi="宋体" w:cs="宋体"/>
          <w:szCs w:val="21"/>
        </w:rPr>
        <w:t>采购需求：</w:t>
      </w:r>
    </w:p>
    <w:p w14:paraId="68D3965B">
      <w:pPr>
        <w:spacing w:line="360" w:lineRule="auto"/>
        <w:ind w:firstLine="420" w:firstLineChars="200"/>
        <w:rPr>
          <w:rFonts w:hint="eastAsia" w:ascii="宋体" w:hAnsi="宋体" w:cs="宋体"/>
          <w:szCs w:val="21"/>
        </w:rPr>
      </w:pPr>
      <w:r>
        <w:rPr>
          <w:rFonts w:hint="eastAsia" w:ascii="宋体" w:hAnsi="宋体" w:cs="宋体"/>
          <w:szCs w:val="21"/>
        </w:rPr>
        <w:t>标项名称：2025年石埇镇文昌村牛过埠大田角至韭菜湖农田水利工程</w:t>
      </w:r>
    </w:p>
    <w:p w14:paraId="183C1EF1">
      <w:pPr>
        <w:spacing w:line="360" w:lineRule="auto"/>
        <w:ind w:firstLine="420" w:firstLineChars="200"/>
        <w:rPr>
          <w:rFonts w:hint="eastAsia" w:ascii="宋体" w:hAnsi="宋体" w:cs="宋体"/>
          <w:szCs w:val="21"/>
        </w:rPr>
      </w:pPr>
      <w:r>
        <w:rPr>
          <w:rFonts w:hint="eastAsia" w:ascii="宋体" w:hAnsi="宋体" w:cs="宋体"/>
          <w:szCs w:val="21"/>
        </w:rPr>
        <w:t>数量：不限</w:t>
      </w:r>
    </w:p>
    <w:p w14:paraId="557BBD05">
      <w:pPr>
        <w:spacing w:line="360" w:lineRule="auto"/>
        <w:ind w:firstLine="420" w:firstLineChars="200"/>
        <w:rPr>
          <w:rFonts w:hint="eastAsia" w:ascii="宋体" w:hAnsi="宋体" w:cs="宋体"/>
          <w:szCs w:val="21"/>
        </w:rPr>
      </w:pPr>
      <w:r>
        <w:rPr>
          <w:rFonts w:hint="eastAsia" w:ascii="宋体" w:hAnsi="宋体" w:cs="宋体"/>
          <w:szCs w:val="21"/>
        </w:rPr>
        <w:t>预算金额（元）：780174.14元</w:t>
      </w:r>
    </w:p>
    <w:p w14:paraId="070F4EDF">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简要规格描述或项目基本概况介绍、用途：2025年石埇镇文昌村牛过埠大田角至韭菜湖农田水利工程</w:t>
      </w:r>
      <w:r>
        <w:rPr>
          <w:rFonts w:hint="eastAsia" w:asciiTheme="minorEastAsia" w:hAnsiTheme="minorEastAsia" w:eastAsiaTheme="minorEastAsia" w:cstheme="minorEastAsia"/>
          <w:szCs w:val="21"/>
        </w:rPr>
        <w:t>，</w:t>
      </w:r>
      <w:r>
        <w:rPr>
          <w:rFonts w:hint="eastAsia" w:ascii="宋体" w:hAnsi="宋体" w:cs="宋体"/>
          <w:szCs w:val="21"/>
        </w:rPr>
        <w:t>具体详见竞争性磋商文件、工程量清单及图纸。</w:t>
      </w:r>
    </w:p>
    <w:p w14:paraId="7151839F">
      <w:pPr>
        <w:spacing w:line="360" w:lineRule="auto"/>
        <w:ind w:firstLine="420" w:firstLineChars="200"/>
        <w:rPr>
          <w:rFonts w:hint="eastAsia" w:ascii="宋体" w:hAnsi="宋体" w:cs="宋体"/>
          <w:szCs w:val="21"/>
        </w:rPr>
      </w:pPr>
      <w:r>
        <w:rPr>
          <w:rFonts w:hint="eastAsia" w:ascii="宋体" w:hAnsi="宋体" w:cs="宋体"/>
          <w:szCs w:val="21"/>
        </w:rPr>
        <w:t>最高限价（元）：655858.47元</w:t>
      </w:r>
    </w:p>
    <w:p w14:paraId="5F3356F5">
      <w:pPr>
        <w:spacing w:line="360" w:lineRule="auto"/>
        <w:ind w:firstLine="420" w:firstLineChars="200"/>
        <w:rPr>
          <w:rFonts w:hint="eastAsia" w:ascii="宋体" w:hAnsi="宋体" w:cs="宋体"/>
          <w:szCs w:val="21"/>
        </w:rPr>
      </w:pPr>
      <w:r>
        <w:rPr>
          <w:rFonts w:hint="eastAsia" w:ascii="宋体" w:hAnsi="宋体" w:cs="宋体"/>
          <w:szCs w:val="21"/>
        </w:rPr>
        <w:t>合同履约期限：180日历天</w:t>
      </w:r>
    </w:p>
    <w:p w14:paraId="4F9BD9EF">
      <w:pPr>
        <w:spacing w:line="360" w:lineRule="auto"/>
        <w:ind w:firstLine="420" w:firstLineChars="200"/>
        <w:rPr>
          <w:rFonts w:hint="eastAsia" w:ascii="宋体" w:hAnsi="宋体" w:cs="宋体"/>
          <w:szCs w:val="21"/>
        </w:rPr>
      </w:pPr>
      <w:r>
        <w:rPr>
          <w:rFonts w:hint="eastAsia" w:ascii="宋体" w:hAnsi="宋体" w:cs="宋体"/>
          <w:szCs w:val="21"/>
        </w:rPr>
        <w:t>本标项（否）接受联合体竞标</w:t>
      </w:r>
    </w:p>
    <w:p w14:paraId="29047301">
      <w:pPr>
        <w:spacing w:line="360" w:lineRule="auto"/>
        <w:ind w:firstLine="420" w:firstLineChars="200"/>
        <w:rPr>
          <w:rFonts w:hint="eastAsia" w:ascii="宋体" w:hAnsi="宋体" w:cs="宋体"/>
          <w:szCs w:val="21"/>
        </w:rPr>
      </w:pPr>
      <w:r>
        <w:rPr>
          <w:rFonts w:hint="eastAsia" w:ascii="宋体" w:hAnsi="宋体" w:cs="宋体"/>
          <w:szCs w:val="21"/>
        </w:rPr>
        <w:t>备注：无</w:t>
      </w:r>
    </w:p>
    <w:p w14:paraId="2ABCA44A">
      <w:pPr>
        <w:pStyle w:val="2"/>
        <w:spacing w:line="360" w:lineRule="auto"/>
        <w:ind w:firstLine="422" w:firstLineChars="200"/>
        <w:rPr>
          <w:rFonts w:hint="eastAsia" w:ascii="宋体" w:hAnsi="宋体" w:eastAsia="宋体" w:cs="宋体"/>
          <w:bCs w:val="0"/>
          <w:sz w:val="21"/>
          <w:szCs w:val="21"/>
        </w:rPr>
      </w:pPr>
      <w:bookmarkStart w:id="10" w:name="_Toc35393799"/>
      <w:bookmarkStart w:id="11" w:name="_Toc21513"/>
      <w:bookmarkStart w:id="12" w:name="_Toc28359090"/>
      <w:bookmarkStart w:id="13" w:name="_Toc28359013"/>
      <w:bookmarkStart w:id="14" w:name="_Toc35393630"/>
      <w:r>
        <w:rPr>
          <w:rFonts w:hint="eastAsia" w:ascii="宋体" w:hAnsi="宋体" w:eastAsia="宋体" w:cs="宋体"/>
          <w:bCs w:val="0"/>
          <w:sz w:val="21"/>
          <w:szCs w:val="21"/>
        </w:rPr>
        <w:t>二、申请人的资格要求：</w:t>
      </w:r>
      <w:bookmarkEnd w:id="10"/>
      <w:bookmarkEnd w:id="11"/>
      <w:bookmarkEnd w:id="12"/>
      <w:bookmarkEnd w:id="13"/>
      <w:bookmarkEnd w:id="14"/>
    </w:p>
    <w:p w14:paraId="21F763D5">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1.符合《中华人民共和国政府采购法》第二十二条规定； </w:t>
      </w:r>
    </w:p>
    <w:p w14:paraId="2ABD97A8">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2.落实政府采购政策需满足的资格要求：本项目属于专门面向中小企业采购的项目，供应商须为中小企业或监狱企业或残疾人福利性单位。</w:t>
      </w:r>
    </w:p>
    <w:p w14:paraId="466FC120">
      <w:pPr>
        <w:pStyle w:val="10"/>
        <w:autoSpaceDE/>
        <w:autoSpaceDN/>
        <w:adjustRightInd/>
        <w:spacing w:after="0" w:line="360" w:lineRule="auto"/>
        <w:ind w:firstLine="420" w:firstLineChars="200"/>
        <w:rPr>
          <w:rFonts w:hint="eastAsia" w:hAnsi="宋体" w:cs="宋体"/>
          <w:sz w:val="21"/>
          <w:szCs w:val="21"/>
        </w:rPr>
      </w:pPr>
      <w:bookmarkStart w:id="15" w:name="_Toc28359014"/>
      <w:bookmarkStart w:id="16" w:name="_Toc28359091"/>
      <w:r>
        <w:rPr>
          <w:rFonts w:hint="eastAsia" w:hAnsi="宋体" w:cs="宋体"/>
          <w:sz w:val="21"/>
          <w:szCs w:val="21"/>
        </w:rPr>
        <w:t>3.本项目的特定资格要求：</w:t>
      </w:r>
      <w:bookmarkStart w:id="17" w:name="_Toc13777"/>
      <w:bookmarkStart w:id="18" w:name="_Toc35393631"/>
      <w:bookmarkStart w:id="19" w:name="_Toc35393800"/>
      <w:bookmarkStart w:id="20" w:name="_Toc9125"/>
    </w:p>
    <w:p w14:paraId="4850D233">
      <w:pPr>
        <w:pStyle w:val="10"/>
        <w:autoSpaceDE/>
        <w:autoSpaceDN/>
        <w:adjustRightInd/>
        <w:spacing w:after="0" w:line="360" w:lineRule="auto"/>
        <w:ind w:firstLine="420" w:firstLineChars="200"/>
        <w:rPr>
          <w:rFonts w:hint="eastAsia" w:hAnsi="宋体" w:cs="宋体"/>
          <w:kern w:val="2"/>
          <w:sz w:val="21"/>
          <w:szCs w:val="21"/>
        </w:rPr>
      </w:pPr>
      <w:r>
        <w:rPr>
          <w:rFonts w:hint="eastAsia" w:hAnsi="宋体" w:cs="宋体"/>
          <w:kern w:val="2"/>
          <w:sz w:val="21"/>
          <w:szCs w:val="21"/>
        </w:rPr>
        <w:t>（1）本项目供应商企业资质要求具备水利水电工程施工总承包叁级(含叁级)及以上资质，且具备省级及以上建设行政主管部门颁发的安全生产许可证。并在人员、设备、资金等方面具有相应的施工能力；</w:t>
      </w:r>
      <w:r>
        <w:rPr>
          <w:rFonts w:hint="eastAsia" w:hAnsi="宋体" w:cs="宋体"/>
          <w:kern w:val="2"/>
          <w:sz w:val="21"/>
          <w:szCs w:val="21"/>
        </w:rPr>
        <w:br w:type="textWrapping"/>
      </w:r>
      <w:r>
        <w:rPr>
          <w:rFonts w:hint="eastAsia" w:hAnsi="宋体" w:cs="宋体"/>
          <w:kern w:val="2"/>
          <w:sz w:val="21"/>
          <w:szCs w:val="21"/>
        </w:rPr>
        <w:t xml:space="preserve">    （2）拟投入本工程的项目经理必须具有水利水电工程专业贰级（含贰级）及以上注册建造师执业资格及安全生产考核合格证（B证），为供应商的在岗人员，且未担任其他在建项目或已中标未开工项目或已列为项目第一中标候选人项目的项目经理。</w:t>
      </w:r>
    </w:p>
    <w:p w14:paraId="5F9CC5BE">
      <w:pPr>
        <w:pStyle w:val="2"/>
        <w:spacing w:line="360" w:lineRule="auto"/>
        <w:ind w:firstLine="422" w:firstLineChars="200"/>
        <w:rPr>
          <w:rFonts w:hint="eastAsia" w:ascii="宋体" w:hAnsi="宋体" w:eastAsia="宋体" w:cs="宋体"/>
          <w:bCs w:val="0"/>
          <w:sz w:val="21"/>
          <w:szCs w:val="21"/>
        </w:rPr>
      </w:pPr>
      <w:r>
        <w:rPr>
          <w:rFonts w:hint="eastAsia" w:ascii="宋体" w:hAnsi="宋体" w:eastAsia="宋体" w:cs="宋体"/>
          <w:bCs w:val="0"/>
          <w:sz w:val="21"/>
          <w:szCs w:val="21"/>
        </w:rPr>
        <w:t>三、获取采购文件</w:t>
      </w:r>
      <w:bookmarkEnd w:id="15"/>
      <w:bookmarkEnd w:id="16"/>
      <w:bookmarkEnd w:id="17"/>
      <w:bookmarkEnd w:id="18"/>
      <w:bookmarkEnd w:id="19"/>
      <w:bookmarkEnd w:id="20"/>
    </w:p>
    <w:p w14:paraId="1C5AF459">
      <w:pPr>
        <w:spacing w:line="360" w:lineRule="auto"/>
        <w:ind w:firstLine="420" w:firstLineChars="200"/>
        <w:rPr>
          <w:rFonts w:hint="eastAsia" w:ascii="宋体" w:hAnsi="宋体" w:cs="宋体"/>
          <w:szCs w:val="21"/>
        </w:rPr>
      </w:pPr>
      <w:r>
        <w:rPr>
          <w:rFonts w:hint="eastAsia" w:ascii="宋体" w:hAnsi="宋体" w:cs="宋体"/>
          <w:szCs w:val="21"/>
        </w:rPr>
        <w:t>时间：2025年5月9日至2025年5月16日，每天上午00：00至12：00，下午12：00至23：59（北京时间，法定节假日除外）。</w:t>
      </w:r>
    </w:p>
    <w:p w14:paraId="685CCA81">
      <w:pPr>
        <w:spacing w:line="360" w:lineRule="auto"/>
        <w:ind w:firstLine="420" w:firstLineChars="200"/>
        <w:rPr>
          <w:rFonts w:hint="eastAsia" w:ascii="宋体" w:hAnsi="宋体"/>
          <w:szCs w:val="21"/>
        </w:rPr>
      </w:pPr>
      <w:r>
        <w:rPr>
          <w:rFonts w:hint="eastAsia" w:ascii="宋体" w:hAnsi="宋体" w:cs="宋体"/>
          <w:szCs w:val="21"/>
        </w:rPr>
        <w:t>地点（网址）：</w:t>
      </w:r>
      <w:r>
        <w:rPr>
          <w:rFonts w:hint="eastAsia" w:ascii="宋体" w:hAnsi="宋体"/>
          <w:szCs w:val="21"/>
        </w:rPr>
        <w:t>广西政府采购云平台（https://www.gcy.zfcg.gxzf.gov.cn/）</w:t>
      </w:r>
    </w:p>
    <w:p w14:paraId="4AD19E57">
      <w:pPr>
        <w:spacing w:line="360" w:lineRule="auto"/>
        <w:ind w:firstLine="420" w:firstLineChars="200"/>
      </w:pPr>
      <w:r>
        <w:rPr>
          <w:rFonts w:hint="eastAsia" w:ascii="宋体" w:hAnsi="宋体"/>
          <w:szCs w:val="21"/>
        </w:rPr>
        <w:t>方式：供应商登录广西政府采购云平台（https://www.gcy.zfcg.gxzf.gov.cn/）在线申请获取采购文件（进入“项目采购”应用，在获取采购文件菜单中选择项目，申请获取采购文件）。</w:t>
      </w:r>
    </w:p>
    <w:p w14:paraId="66B44386">
      <w:pPr>
        <w:pStyle w:val="2"/>
        <w:spacing w:line="360" w:lineRule="auto"/>
        <w:ind w:firstLine="422" w:firstLineChars="200"/>
        <w:rPr>
          <w:rFonts w:hint="eastAsia" w:ascii="宋体" w:hAnsi="宋体" w:eastAsia="宋体" w:cs="宋体"/>
          <w:bCs w:val="0"/>
          <w:sz w:val="21"/>
          <w:szCs w:val="21"/>
        </w:rPr>
      </w:pPr>
      <w:bookmarkStart w:id="21" w:name="_Toc28359092"/>
      <w:bookmarkStart w:id="22" w:name="_Toc28359015"/>
      <w:bookmarkStart w:id="23" w:name="_Toc28970"/>
      <w:bookmarkStart w:id="24" w:name="_Toc35393632"/>
      <w:bookmarkStart w:id="25" w:name="_Toc18110"/>
      <w:bookmarkStart w:id="26" w:name="_Toc35393801"/>
      <w:r>
        <w:rPr>
          <w:rFonts w:hint="eastAsia" w:ascii="宋体" w:hAnsi="宋体" w:eastAsia="宋体" w:cs="宋体"/>
          <w:bCs w:val="0"/>
          <w:sz w:val="21"/>
          <w:szCs w:val="21"/>
        </w:rPr>
        <w:t>四、响应文件提交</w:t>
      </w:r>
      <w:bookmarkEnd w:id="21"/>
      <w:bookmarkEnd w:id="22"/>
      <w:bookmarkEnd w:id="23"/>
      <w:bookmarkEnd w:id="24"/>
      <w:bookmarkEnd w:id="25"/>
      <w:bookmarkEnd w:id="26"/>
    </w:p>
    <w:p w14:paraId="2C8F564E">
      <w:pPr>
        <w:spacing w:line="360" w:lineRule="auto"/>
        <w:ind w:firstLine="420" w:firstLineChars="200"/>
        <w:rPr>
          <w:rFonts w:hint="eastAsia" w:ascii="宋体" w:hAnsi="宋体" w:cs="宋体"/>
          <w:szCs w:val="21"/>
        </w:rPr>
      </w:pPr>
      <w:r>
        <w:rPr>
          <w:rFonts w:hint="eastAsia" w:ascii="宋体" w:hAnsi="宋体"/>
          <w:bCs/>
          <w:szCs w:val="21"/>
        </w:rPr>
        <w:t>截止时间：</w:t>
      </w:r>
      <w:r>
        <w:rPr>
          <w:rFonts w:hint="eastAsia" w:ascii="宋体" w:hAnsi="宋体" w:cs="宋体"/>
          <w:szCs w:val="21"/>
        </w:rPr>
        <w:t>2025年5月21日09时30分</w:t>
      </w:r>
      <w:r>
        <w:rPr>
          <w:rFonts w:hint="eastAsia" w:ascii="宋体" w:hAnsi="宋体"/>
          <w:bCs/>
          <w:szCs w:val="21"/>
        </w:rPr>
        <w:t>（北京时间）</w:t>
      </w:r>
    </w:p>
    <w:p w14:paraId="11EEB406">
      <w:pPr>
        <w:spacing w:line="360" w:lineRule="auto"/>
        <w:ind w:firstLine="420" w:firstLineChars="200"/>
        <w:rPr>
          <w:rFonts w:hint="eastAsia" w:ascii="宋体" w:hAnsi="宋体" w:cs="宋体"/>
          <w:bCs/>
          <w:szCs w:val="21"/>
        </w:rPr>
      </w:pPr>
      <w:r>
        <w:rPr>
          <w:rFonts w:hint="eastAsia" w:ascii="宋体" w:hAnsi="宋体"/>
          <w:szCs w:val="21"/>
        </w:rPr>
        <w:t>地点（网址）：</w:t>
      </w:r>
      <w:r>
        <w:rPr>
          <w:rFonts w:hint="eastAsia" w:ascii="宋体" w:hAnsi="宋体" w:cs="宋体"/>
          <w:bCs/>
          <w:szCs w:val="21"/>
        </w:rPr>
        <w:t>通过</w:t>
      </w:r>
      <w:r>
        <w:rPr>
          <w:rFonts w:hint="eastAsia" w:ascii="宋体" w:hAnsi="宋体" w:cs="宋体"/>
        </w:rPr>
        <w:t>广西政府采购云平台（https://www.gcy.zfcg.gxzf.gov.cn/）</w:t>
      </w:r>
      <w:r>
        <w:rPr>
          <w:rFonts w:hint="eastAsia" w:ascii="宋体" w:hAnsi="宋体" w:cs="宋体"/>
          <w:szCs w:val="21"/>
        </w:rPr>
        <w:t>上传响应文件，并在线竞标。</w:t>
      </w:r>
    </w:p>
    <w:p w14:paraId="0D7CFAD0">
      <w:pPr>
        <w:pStyle w:val="2"/>
        <w:spacing w:line="360" w:lineRule="auto"/>
        <w:ind w:firstLine="422" w:firstLineChars="200"/>
        <w:rPr>
          <w:rFonts w:hint="eastAsia" w:ascii="宋体" w:hAnsi="宋体" w:eastAsia="宋体" w:cs="宋体"/>
          <w:bCs w:val="0"/>
          <w:sz w:val="21"/>
          <w:szCs w:val="21"/>
        </w:rPr>
      </w:pPr>
      <w:bookmarkStart w:id="27" w:name="_Toc28359016"/>
      <w:bookmarkStart w:id="28" w:name="_Toc28359093"/>
      <w:bookmarkStart w:id="29" w:name="_Toc24973"/>
      <w:bookmarkStart w:id="30" w:name="_Toc35393802"/>
      <w:bookmarkStart w:id="31" w:name="_Toc3197"/>
      <w:bookmarkStart w:id="32" w:name="_Toc35393633"/>
      <w:r>
        <w:rPr>
          <w:rFonts w:hint="eastAsia" w:ascii="宋体" w:hAnsi="宋体" w:eastAsia="宋体" w:cs="宋体"/>
          <w:bCs w:val="0"/>
          <w:sz w:val="21"/>
          <w:szCs w:val="21"/>
        </w:rPr>
        <w:t>五、响应文件开启</w:t>
      </w:r>
      <w:bookmarkEnd w:id="27"/>
      <w:bookmarkEnd w:id="28"/>
      <w:bookmarkEnd w:id="29"/>
      <w:bookmarkEnd w:id="30"/>
      <w:bookmarkEnd w:id="31"/>
      <w:bookmarkEnd w:id="32"/>
    </w:p>
    <w:p w14:paraId="0EAEAC9F">
      <w:pPr>
        <w:spacing w:line="360" w:lineRule="auto"/>
        <w:ind w:firstLine="420" w:firstLineChars="200"/>
        <w:rPr>
          <w:rFonts w:hint="eastAsia" w:ascii="宋体" w:hAnsi="宋体"/>
          <w:bCs/>
          <w:szCs w:val="21"/>
        </w:rPr>
      </w:pPr>
      <w:r>
        <w:rPr>
          <w:rFonts w:hint="eastAsia" w:ascii="宋体" w:hAnsi="宋体"/>
          <w:bCs/>
          <w:szCs w:val="21"/>
        </w:rPr>
        <w:t>开启时间：</w:t>
      </w:r>
      <w:r>
        <w:rPr>
          <w:rFonts w:hint="eastAsia" w:ascii="宋体" w:hAnsi="宋体" w:cs="宋体"/>
          <w:szCs w:val="21"/>
        </w:rPr>
        <w:t>2025年5月21</w:t>
      </w:r>
      <w:r>
        <w:rPr>
          <w:rFonts w:hint="eastAsia" w:ascii="宋体" w:hAnsi="宋体" w:cs="宋体"/>
          <w:szCs w:val="21"/>
          <w:lang w:eastAsia="zh-CN"/>
        </w:rPr>
        <w:t>日</w:t>
      </w:r>
      <w:r>
        <w:rPr>
          <w:rFonts w:hint="eastAsia" w:ascii="宋体" w:hAnsi="宋体" w:cs="宋体"/>
          <w:szCs w:val="21"/>
        </w:rPr>
        <w:t>09时30分</w:t>
      </w:r>
      <w:r>
        <w:rPr>
          <w:rFonts w:hint="eastAsia" w:ascii="宋体" w:hAnsi="宋体"/>
          <w:bCs/>
          <w:szCs w:val="21"/>
        </w:rPr>
        <w:t>（北京时间）</w:t>
      </w:r>
    </w:p>
    <w:p w14:paraId="5E2105EF">
      <w:pPr>
        <w:spacing w:line="360" w:lineRule="auto"/>
        <w:ind w:firstLine="420" w:firstLineChars="200"/>
        <w:rPr>
          <w:rFonts w:hint="eastAsia" w:ascii="宋体" w:hAnsi="宋体" w:cs="宋体"/>
          <w:bCs/>
          <w:szCs w:val="21"/>
        </w:rPr>
      </w:pPr>
      <w:r>
        <w:rPr>
          <w:rFonts w:hint="eastAsia" w:ascii="宋体" w:hAnsi="宋体"/>
          <w:bCs/>
          <w:szCs w:val="21"/>
        </w:rPr>
        <w:t>地点：广西政府采购云平台电子开标大厅在线解密开启。</w:t>
      </w:r>
    </w:p>
    <w:p w14:paraId="33ED882D">
      <w:pPr>
        <w:pStyle w:val="2"/>
        <w:spacing w:line="360" w:lineRule="auto"/>
        <w:ind w:firstLine="422" w:firstLineChars="200"/>
        <w:rPr>
          <w:rFonts w:hint="eastAsia" w:ascii="宋体" w:hAnsi="宋体" w:eastAsia="宋体" w:cs="宋体"/>
          <w:bCs w:val="0"/>
          <w:sz w:val="21"/>
          <w:szCs w:val="21"/>
        </w:rPr>
      </w:pPr>
      <w:bookmarkStart w:id="33" w:name="_Toc35393634"/>
      <w:bookmarkStart w:id="34" w:name="_Toc35393803"/>
      <w:bookmarkStart w:id="35" w:name="_Toc5452"/>
      <w:bookmarkStart w:id="36" w:name="_Toc17419"/>
      <w:bookmarkStart w:id="37" w:name="_Toc28359017"/>
      <w:bookmarkStart w:id="38" w:name="_Toc28359094"/>
      <w:r>
        <w:rPr>
          <w:rFonts w:hint="eastAsia" w:ascii="宋体" w:hAnsi="宋体" w:eastAsia="宋体" w:cs="宋体"/>
          <w:bCs w:val="0"/>
          <w:sz w:val="21"/>
          <w:szCs w:val="21"/>
        </w:rPr>
        <w:t>六、公告期限</w:t>
      </w:r>
      <w:bookmarkEnd w:id="33"/>
      <w:bookmarkEnd w:id="34"/>
      <w:bookmarkEnd w:id="35"/>
      <w:bookmarkEnd w:id="36"/>
      <w:bookmarkEnd w:id="37"/>
      <w:bookmarkEnd w:id="38"/>
      <w:bookmarkStart w:id="574" w:name="_GoBack"/>
      <w:bookmarkEnd w:id="574"/>
    </w:p>
    <w:p w14:paraId="3A8E04D5">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55C3B17">
      <w:pPr>
        <w:pStyle w:val="2"/>
        <w:spacing w:line="360" w:lineRule="auto"/>
        <w:ind w:firstLine="422" w:firstLineChars="200"/>
        <w:rPr>
          <w:rFonts w:hint="eastAsia" w:ascii="宋体" w:hAnsi="宋体" w:eastAsia="宋体" w:cs="宋体"/>
          <w:bCs w:val="0"/>
          <w:sz w:val="21"/>
          <w:szCs w:val="21"/>
        </w:rPr>
      </w:pPr>
      <w:bookmarkStart w:id="39" w:name="_Toc35393804"/>
      <w:bookmarkStart w:id="40" w:name="_Toc35393635"/>
      <w:bookmarkStart w:id="41" w:name="_Toc321"/>
      <w:bookmarkStart w:id="42" w:name="_Toc26297"/>
      <w:r>
        <w:rPr>
          <w:rFonts w:hint="eastAsia" w:ascii="宋体" w:hAnsi="宋体" w:eastAsia="宋体" w:cs="宋体"/>
          <w:bCs w:val="0"/>
          <w:sz w:val="21"/>
          <w:szCs w:val="21"/>
        </w:rPr>
        <w:t>七、其他补充事宜</w:t>
      </w:r>
      <w:bookmarkEnd w:id="39"/>
      <w:bookmarkEnd w:id="40"/>
      <w:bookmarkEnd w:id="41"/>
      <w:bookmarkEnd w:id="42"/>
    </w:p>
    <w:p w14:paraId="6E53C7C8">
      <w:pPr>
        <w:spacing w:line="360" w:lineRule="auto"/>
        <w:ind w:firstLine="420" w:firstLineChars="200"/>
        <w:jc w:val="left"/>
        <w:rPr>
          <w:rFonts w:hint="eastAsia" w:ascii="宋体" w:hAnsi="宋体" w:cs="宋体"/>
          <w:szCs w:val="21"/>
        </w:rPr>
      </w:pPr>
      <w:bookmarkStart w:id="43" w:name="_Toc28359095"/>
      <w:bookmarkStart w:id="44" w:name="_Toc35393805"/>
      <w:bookmarkStart w:id="45" w:name="_Toc28359018"/>
      <w:bookmarkStart w:id="46" w:name="_Toc35393636"/>
      <w:r>
        <w:rPr>
          <w:rFonts w:hint="eastAsia" w:ascii="宋体" w:hAnsi="宋体" w:cs="宋体"/>
          <w:szCs w:val="21"/>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szCs w:val="21"/>
        </w:rPr>
        <w:t>可致电广西政府采购云平台技术支持热线咨询</w:t>
      </w:r>
      <w:r>
        <w:rPr>
          <w:rFonts w:hint="eastAsia" w:ascii="宋体" w:hAnsi="宋体" w:cs="宋体"/>
          <w:szCs w:val="21"/>
        </w:rPr>
        <w:t>：</w:t>
      </w:r>
      <w:r>
        <w:rPr>
          <w:rFonts w:hint="eastAsia" w:ascii="宋体" w:hAnsi="宋体" w:cs="宋体"/>
          <w:kern w:val="0"/>
          <w:szCs w:val="21"/>
        </w:rPr>
        <w:t>95763</w:t>
      </w:r>
      <w:r>
        <w:rPr>
          <w:rFonts w:hint="eastAsia" w:ascii="宋体"/>
          <w:szCs w:val="21"/>
        </w:rPr>
        <w:t>。</w:t>
      </w:r>
    </w:p>
    <w:p w14:paraId="1F242930">
      <w:pPr>
        <w:spacing w:line="360" w:lineRule="auto"/>
        <w:ind w:firstLine="420" w:firstLineChars="200"/>
        <w:jc w:val="left"/>
        <w:rPr>
          <w:rFonts w:hint="eastAsia" w:ascii="宋体" w:hAnsi="宋体" w:cs="宋体"/>
          <w:szCs w:val="21"/>
        </w:rPr>
      </w:pPr>
      <w:r>
        <w:rPr>
          <w:rFonts w:hint="eastAsia" w:ascii="宋体" w:hAnsi="宋体" w:cs="宋体"/>
          <w:szCs w:val="21"/>
        </w:rPr>
        <w:t>（1）供应商应及时熟悉掌握电子标系统操作指南（见广西政府采购云平台电子卖场首页右上角—服务中心—帮助文档—项目采购）：https：//service.zcygov.cn/#/knowledges/tree?tag=AG1DtGwBFdiHxlNdhY0r。</w:t>
      </w:r>
    </w:p>
    <w:p w14:paraId="494CCEB5">
      <w:pPr>
        <w:spacing w:line="360" w:lineRule="auto"/>
        <w:ind w:firstLine="420" w:firstLineChars="200"/>
        <w:jc w:val="left"/>
        <w:rPr>
          <w:rFonts w:hint="eastAsia" w:ascii="宋体" w:hAnsi="宋体" w:cs="宋体"/>
          <w:szCs w:val="21"/>
        </w:rPr>
      </w:pPr>
      <w:r>
        <w:rPr>
          <w:rFonts w:hint="eastAsia" w:ascii="宋体" w:hAnsi="宋体" w:cs="宋体"/>
          <w:szCs w:val="21"/>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22A2DF68">
      <w:pPr>
        <w:spacing w:line="360" w:lineRule="auto"/>
        <w:ind w:firstLine="420" w:firstLineChars="200"/>
        <w:jc w:val="left"/>
        <w:rPr>
          <w:rFonts w:hint="eastAsia" w:ascii="宋体" w:hAnsi="宋体" w:cs="宋体"/>
          <w:szCs w:val="21"/>
        </w:rPr>
      </w:pPr>
      <w:r>
        <w:rPr>
          <w:rFonts w:hint="eastAsia" w:ascii="宋体" w:hAnsi="宋体" w:cs="宋体"/>
          <w:szCs w:val="21"/>
        </w:rPr>
        <w:t>（3）供应商须通过广西政府采购云平台供应商客户端软件制作电子响应文件，广西政府采购云平台供应商客户端软件请供应商自行前往下载并安装（</w:t>
      </w:r>
      <w:r>
        <w:rPr>
          <w:rFonts w:hint="eastAsia" w:ascii="宋体" w:hAnsi="宋体" w:cs="宋体"/>
          <w:kern w:val="0"/>
          <w:szCs w:val="21"/>
        </w:rPr>
        <w:t>客户端下载路径：广西政府采购网（访问地址http：//zfcg.gxzf.gov.cn/）—办事服务—下载专区-广西政府采购云平台新版客户端</w:t>
      </w:r>
      <w:r>
        <w:rPr>
          <w:rFonts w:hint="eastAsia" w:ascii="宋体" w:hAnsi="宋体" w:cs="宋体"/>
          <w:szCs w:val="21"/>
        </w:rPr>
        <w:t>）。</w:t>
      </w:r>
    </w:p>
    <w:p w14:paraId="5D61509A">
      <w:pPr>
        <w:spacing w:line="360" w:lineRule="auto"/>
        <w:ind w:firstLine="420" w:firstLineChars="200"/>
        <w:rPr>
          <w:rFonts w:hint="eastAsia" w:ascii="宋体" w:hAnsi="宋体" w:cs="宋体"/>
          <w:szCs w:val="21"/>
        </w:rPr>
      </w:pPr>
      <w:r>
        <w:rPr>
          <w:rFonts w:hint="eastAsia" w:ascii="宋体" w:hAnsi="宋体" w:cs="宋体"/>
          <w:szCs w:val="21"/>
        </w:rPr>
        <w:t>2.本项目需要落实的政府采购政策</w:t>
      </w:r>
    </w:p>
    <w:p w14:paraId="795E0A25">
      <w:pPr>
        <w:spacing w:line="360" w:lineRule="auto"/>
        <w:ind w:firstLine="420" w:firstLineChars="200"/>
        <w:rPr>
          <w:rFonts w:hint="eastAsia" w:ascii="宋体" w:hAnsi="宋体" w:cs="宋体"/>
          <w:szCs w:val="21"/>
        </w:rPr>
      </w:pPr>
      <w:r>
        <w:rPr>
          <w:rFonts w:hint="eastAsia" w:ascii="宋体" w:hAnsi="宋体" w:cs="宋体"/>
          <w:szCs w:val="21"/>
        </w:rPr>
        <w:t>（1）政府采购促进中小企业发展。</w:t>
      </w:r>
    </w:p>
    <w:p w14:paraId="27B8245B">
      <w:pPr>
        <w:spacing w:line="360" w:lineRule="auto"/>
        <w:ind w:firstLine="420" w:firstLineChars="200"/>
        <w:rPr>
          <w:rFonts w:hint="eastAsia" w:ascii="宋体" w:hAnsi="宋体" w:cs="宋体"/>
          <w:szCs w:val="21"/>
        </w:rPr>
      </w:pPr>
      <w:r>
        <w:rPr>
          <w:rFonts w:hint="eastAsia" w:ascii="宋体" w:hAnsi="宋体" w:cs="宋体"/>
          <w:szCs w:val="21"/>
        </w:rPr>
        <w:t>（2）政府采购支持采用本国产品的政策。</w:t>
      </w:r>
    </w:p>
    <w:p w14:paraId="5E5774B9">
      <w:pPr>
        <w:spacing w:line="360" w:lineRule="auto"/>
        <w:ind w:firstLine="420" w:firstLineChars="200"/>
        <w:rPr>
          <w:rFonts w:hint="eastAsia" w:ascii="宋体" w:hAnsi="宋体" w:cs="宋体"/>
          <w:szCs w:val="21"/>
        </w:rPr>
      </w:pPr>
      <w:r>
        <w:rPr>
          <w:rFonts w:hint="eastAsia" w:ascii="宋体" w:hAnsi="宋体" w:cs="宋体"/>
          <w:szCs w:val="21"/>
        </w:rPr>
        <w:t>（3）强制采购节能产品；优先采购节能产品、环境标志产品。</w:t>
      </w:r>
    </w:p>
    <w:p w14:paraId="5C25C9DA">
      <w:pPr>
        <w:spacing w:line="360" w:lineRule="auto"/>
        <w:ind w:firstLine="420" w:firstLineChars="200"/>
        <w:rPr>
          <w:rFonts w:hint="eastAsia" w:ascii="宋体" w:hAnsi="宋体" w:cs="宋体"/>
          <w:szCs w:val="21"/>
        </w:rPr>
      </w:pPr>
      <w:r>
        <w:rPr>
          <w:rFonts w:hint="eastAsia" w:ascii="宋体" w:hAnsi="宋体" w:cs="宋体"/>
          <w:szCs w:val="21"/>
        </w:rPr>
        <w:t>（4）政府采购促进残疾人就业政策。</w:t>
      </w:r>
    </w:p>
    <w:p w14:paraId="30BD9892">
      <w:pPr>
        <w:spacing w:line="360" w:lineRule="auto"/>
        <w:ind w:firstLine="420" w:firstLineChars="200"/>
        <w:rPr>
          <w:rFonts w:hint="eastAsia" w:ascii="宋体" w:hAnsi="宋体" w:cs="宋体"/>
          <w:szCs w:val="21"/>
        </w:rPr>
      </w:pPr>
      <w:r>
        <w:rPr>
          <w:rFonts w:hint="eastAsia" w:ascii="宋体" w:hAnsi="宋体" w:cs="宋体"/>
          <w:szCs w:val="21"/>
        </w:rPr>
        <w:t>（5）政府采购支持监狱企业发展。</w:t>
      </w:r>
    </w:p>
    <w:p w14:paraId="7492F3D9">
      <w:pPr>
        <w:spacing w:line="360" w:lineRule="auto"/>
        <w:ind w:firstLine="420" w:firstLineChars="200"/>
        <w:rPr>
          <w:rFonts w:hint="eastAsia" w:ascii="宋体" w:hAnsi="宋体" w:cs="宋体"/>
          <w:szCs w:val="21"/>
        </w:rPr>
      </w:pPr>
      <w:r>
        <w:rPr>
          <w:rFonts w:hint="eastAsia" w:ascii="宋体" w:hAnsi="宋体" w:cs="宋体"/>
          <w:szCs w:val="21"/>
        </w:rPr>
        <w:t>3.网上查询地址</w:t>
      </w:r>
    </w:p>
    <w:p w14:paraId="44A1D1BB">
      <w:pPr>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http：//zfcg.gxzf.gov.cn（广西政府采购网）、http：//www.ccgp.gov.cn/（中国政府采购网）、http：//ggzy.jgswj.gxzf.gov.cn/pbggzy/[全国公共资源交易平台（广西.浦北）]。</w:t>
      </w:r>
    </w:p>
    <w:p w14:paraId="0EF7BD31">
      <w:pPr>
        <w:widowControl/>
        <w:spacing w:line="360" w:lineRule="auto"/>
        <w:ind w:firstLine="420" w:firstLineChars="200"/>
        <w:jc w:val="left"/>
        <w:rPr>
          <w:rFonts w:hint="eastAsia" w:ascii="宋体" w:hAnsi="宋体" w:cs="宋体"/>
          <w:szCs w:val="21"/>
        </w:rPr>
      </w:pPr>
      <w:r>
        <w:rPr>
          <w:rFonts w:hint="eastAsia" w:ascii="宋体" w:hAnsi="宋体" w:cs="宋体"/>
          <w:szCs w:val="21"/>
        </w:rPr>
        <w:t>4.</w:t>
      </w:r>
      <w:r>
        <w:rPr>
          <w:rFonts w:hint="eastAsia" w:ascii="宋体" w:hAnsi="宋体" w:cs="宋体"/>
          <w:szCs w:val="21"/>
          <w:lang w:bidi="ar"/>
        </w:rPr>
        <w:t>监督部门：浦北县政府采购监督管理办公室   联系电话：0777-8314622</w:t>
      </w:r>
    </w:p>
    <w:p w14:paraId="5121B480">
      <w:pPr>
        <w:pStyle w:val="2"/>
        <w:spacing w:line="360" w:lineRule="auto"/>
        <w:ind w:firstLine="422" w:firstLineChars="200"/>
        <w:rPr>
          <w:rFonts w:hint="eastAsia" w:ascii="宋体" w:hAnsi="宋体" w:eastAsia="宋体" w:cs="宋体"/>
          <w:bCs w:val="0"/>
          <w:sz w:val="21"/>
          <w:szCs w:val="21"/>
        </w:rPr>
      </w:pPr>
      <w:bookmarkStart w:id="47" w:name="_Toc23726"/>
      <w:bookmarkStart w:id="48" w:name="_Toc227"/>
      <w:r>
        <w:rPr>
          <w:rFonts w:hint="eastAsia" w:ascii="宋体" w:hAnsi="宋体" w:eastAsia="宋体" w:cs="宋体"/>
          <w:bCs w:val="0"/>
          <w:sz w:val="21"/>
          <w:szCs w:val="21"/>
        </w:rPr>
        <w:t>八、凡对本次采购提出询问，请按以下方式联系</w:t>
      </w:r>
      <w:bookmarkEnd w:id="43"/>
      <w:bookmarkEnd w:id="44"/>
      <w:bookmarkEnd w:id="45"/>
      <w:bookmarkEnd w:id="46"/>
      <w:bookmarkEnd w:id="47"/>
      <w:bookmarkEnd w:id="48"/>
    </w:p>
    <w:p w14:paraId="15167914">
      <w:pPr>
        <w:pStyle w:val="2"/>
        <w:spacing w:line="360" w:lineRule="auto"/>
        <w:ind w:firstLine="420" w:firstLineChars="200"/>
        <w:rPr>
          <w:rFonts w:hint="eastAsia" w:asciiTheme="minorEastAsia" w:hAnsiTheme="minorEastAsia" w:eastAsiaTheme="minorEastAsia" w:cstheme="minorEastAsia"/>
          <w:b w:val="0"/>
          <w:bCs w:val="0"/>
          <w:kern w:val="0"/>
          <w:sz w:val="21"/>
          <w:szCs w:val="21"/>
        </w:rPr>
      </w:pPr>
      <w:bookmarkStart w:id="49" w:name="_Toc35393637"/>
      <w:bookmarkStart w:id="50" w:name="_Toc28359019"/>
      <w:bookmarkStart w:id="51" w:name="_Toc35393806"/>
      <w:bookmarkStart w:id="52" w:name="_Toc28359096"/>
      <w:r>
        <w:rPr>
          <w:rFonts w:hint="eastAsia" w:asciiTheme="minorEastAsia" w:hAnsiTheme="minorEastAsia" w:eastAsiaTheme="minorEastAsia" w:cstheme="minorEastAsia"/>
          <w:b w:val="0"/>
          <w:bCs w:val="0"/>
          <w:kern w:val="0"/>
          <w:sz w:val="21"/>
          <w:szCs w:val="21"/>
        </w:rPr>
        <w:t>1.采购人信息</w:t>
      </w:r>
      <w:bookmarkEnd w:id="49"/>
      <w:bookmarkEnd w:id="50"/>
      <w:bookmarkEnd w:id="51"/>
      <w:bookmarkEnd w:id="52"/>
    </w:p>
    <w:p w14:paraId="1A2FC14B">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名    称：浦北县石埇镇人民政府  </w:t>
      </w:r>
    </w:p>
    <w:p w14:paraId="35172999">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址：浦北县石埇镇越州路55号       </w:t>
      </w:r>
    </w:p>
    <w:p w14:paraId="54A393C5">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项目联系人：薛炳刊   </w:t>
      </w:r>
    </w:p>
    <w:p w14:paraId="2268C775">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项目联系方式：</w:t>
      </w:r>
      <w:r>
        <w:rPr>
          <w:rFonts w:asciiTheme="minorEastAsia" w:hAnsiTheme="minorEastAsia" w:eastAsiaTheme="minorEastAsia" w:cstheme="minorEastAsia"/>
          <w:kern w:val="0"/>
          <w:szCs w:val="21"/>
        </w:rPr>
        <w:t>0777</w:t>
      </w:r>
      <w:r>
        <w:rPr>
          <w:rFonts w:hint="eastAsia" w:asciiTheme="minorEastAsia" w:hAnsiTheme="minorEastAsia" w:eastAsiaTheme="minorEastAsia" w:cstheme="minorEastAsia"/>
          <w:kern w:val="0"/>
          <w:szCs w:val="21"/>
        </w:rPr>
        <w:t>-</w:t>
      </w:r>
      <w:r>
        <w:rPr>
          <w:rFonts w:asciiTheme="minorEastAsia" w:hAnsiTheme="minorEastAsia" w:eastAsiaTheme="minorEastAsia" w:cstheme="minorEastAsia"/>
          <w:kern w:val="0"/>
          <w:szCs w:val="21"/>
        </w:rPr>
        <w:t>8618003</w:t>
      </w:r>
      <w:r>
        <w:rPr>
          <w:rFonts w:hint="eastAsia" w:asciiTheme="minorEastAsia" w:hAnsiTheme="minorEastAsia" w:eastAsiaTheme="minorEastAsia" w:cstheme="minorEastAsia"/>
          <w:kern w:val="0"/>
          <w:szCs w:val="21"/>
        </w:rPr>
        <w:t xml:space="preserve">   </w:t>
      </w:r>
    </w:p>
    <w:p w14:paraId="28B893A5">
      <w:pPr>
        <w:pStyle w:val="2"/>
        <w:spacing w:line="360" w:lineRule="auto"/>
        <w:ind w:firstLine="420" w:firstLineChars="200"/>
        <w:rPr>
          <w:rFonts w:hint="eastAsia" w:asciiTheme="minorEastAsia" w:hAnsiTheme="minorEastAsia" w:eastAsiaTheme="minorEastAsia" w:cstheme="minorEastAsia"/>
          <w:b w:val="0"/>
          <w:bCs w:val="0"/>
          <w:kern w:val="0"/>
          <w:sz w:val="21"/>
          <w:szCs w:val="21"/>
        </w:rPr>
      </w:pPr>
      <w:bookmarkStart w:id="53" w:name="_Toc28359097"/>
      <w:bookmarkStart w:id="54" w:name="_Toc35393638"/>
      <w:bookmarkStart w:id="55" w:name="_Toc35393807"/>
      <w:bookmarkStart w:id="56" w:name="_Toc28359020"/>
      <w:r>
        <w:rPr>
          <w:rFonts w:hint="eastAsia" w:asciiTheme="minorEastAsia" w:hAnsiTheme="minorEastAsia" w:eastAsiaTheme="minorEastAsia" w:cstheme="minorEastAsia"/>
          <w:b w:val="0"/>
          <w:bCs w:val="0"/>
          <w:kern w:val="0"/>
          <w:sz w:val="21"/>
          <w:szCs w:val="21"/>
        </w:rPr>
        <w:t>2.采购代理机构信息</w:t>
      </w:r>
      <w:bookmarkEnd w:id="53"/>
      <w:bookmarkEnd w:id="54"/>
      <w:bookmarkEnd w:id="55"/>
      <w:bookmarkEnd w:id="56"/>
    </w:p>
    <w:p w14:paraId="4C04E700">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    称：广西荣胜项目管理有限公司　</w:t>
      </w:r>
    </w:p>
    <w:p w14:paraId="731EBE78">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bookmarkStart w:id="57" w:name="_Toc35393639"/>
      <w:bookmarkStart w:id="58" w:name="_Toc35393808"/>
      <w:bookmarkStart w:id="59" w:name="_Toc28359098"/>
      <w:bookmarkStart w:id="60" w:name="_Toc28359021"/>
      <w:r>
        <w:rPr>
          <w:rFonts w:hint="eastAsia" w:asciiTheme="minorEastAsia" w:hAnsiTheme="minorEastAsia" w:eastAsiaTheme="minorEastAsia" w:cstheme="minorEastAsia"/>
          <w:kern w:val="0"/>
          <w:szCs w:val="21"/>
        </w:rPr>
        <w:t>钦州市蓬莱大道鸿亭街333号皇庭天麓湖小区183栋203室       </w:t>
      </w:r>
    </w:p>
    <w:p w14:paraId="7D7DE8C4">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项目联系人：黄洁</w:t>
      </w:r>
      <w:r>
        <w:rPr>
          <w:rFonts w:hint="eastAsia" w:asciiTheme="minorEastAsia" w:hAnsiTheme="minorEastAsia" w:eastAsiaTheme="minorEastAsia" w:cstheme="minorEastAsia"/>
          <w:kern w:val="0"/>
          <w:szCs w:val="21"/>
        </w:rPr>
        <w:tab/>
      </w:r>
    </w:p>
    <w:p w14:paraId="6257AC0D">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项目联系方式：</w:t>
      </w:r>
      <w:bookmarkEnd w:id="57"/>
      <w:bookmarkEnd w:id="58"/>
      <w:bookmarkEnd w:id="59"/>
      <w:bookmarkEnd w:id="60"/>
      <w:r>
        <w:rPr>
          <w:rFonts w:hint="eastAsia" w:asciiTheme="minorEastAsia" w:hAnsiTheme="minorEastAsia" w:eastAsiaTheme="minorEastAsia" w:cstheme="minorEastAsia"/>
          <w:kern w:val="0"/>
          <w:szCs w:val="21"/>
        </w:rPr>
        <w:t>0777-5512166</w:t>
      </w:r>
    </w:p>
    <w:p w14:paraId="58704A82">
      <w:pPr>
        <w:pStyle w:val="47"/>
        <w:spacing w:line="360" w:lineRule="auto"/>
        <w:rPr>
          <w:rFonts w:hint="eastAsia"/>
          <w:color w:val="auto"/>
        </w:rPr>
      </w:pPr>
    </w:p>
    <w:p w14:paraId="66E74A9F">
      <w:pPr>
        <w:spacing w:line="360" w:lineRule="auto"/>
        <w:rPr>
          <w:rFonts w:hint="eastAsia" w:asciiTheme="minorEastAsia" w:hAnsiTheme="minorEastAsia" w:eastAsiaTheme="minorEastAsia" w:cstheme="minorEastAsia"/>
          <w:kern w:val="0"/>
          <w:szCs w:val="21"/>
        </w:rPr>
      </w:pPr>
    </w:p>
    <w:p w14:paraId="52269718">
      <w:pPr>
        <w:spacing w:line="360" w:lineRule="auto"/>
        <w:ind w:firstLine="420" w:firstLineChars="200"/>
        <w:jc w:val="center"/>
        <w:rPr>
          <w:rFonts w:hint="eastAsia" w:ascii="宋体" w:hAnsi="宋体" w:cs="宋体"/>
        </w:rPr>
      </w:pPr>
      <w:r>
        <w:rPr>
          <w:rFonts w:hint="eastAsia" w:ascii="宋体" w:hAnsi="宋体" w:cs="宋体"/>
        </w:rPr>
        <w:t xml:space="preserve">                                                       广西荣胜项目管理有限公司</w:t>
      </w:r>
    </w:p>
    <w:p w14:paraId="2D7F4BB0">
      <w:pPr>
        <w:pStyle w:val="10"/>
        <w:spacing w:after="0" w:line="360" w:lineRule="auto"/>
        <w:ind w:left="210" w:leftChars="100" w:firstLine="6930" w:firstLineChars="3300"/>
        <w:rPr>
          <w:rFonts w:hint="eastAsia" w:hAnsi="宋体" w:cs="宋体"/>
          <w:b/>
          <w:bCs/>
          <w:sz w:val="28"/>
          <w:szCs w:val="28"/>
        </w:rPr>
      </w:pPr>
      <w:r>
        <w:rPr>
          <w:rFonts w:hint="eastAsia" w:hAnsi="宋体" w:cs="宋体"/>
          <w:kern w:val="2"/>
          <w:sz w:val="21"/>
          <w:szCs w:val="24"/>
        </w:rPr>
        <w:t>2025年5月9日</w:t>
      </w:r>
    </w:p>
    <w:p w14:paraId="07875BDC">
      <w:pPr>
        <w:pStyle w:val="47"/>
        <w:rPr>
          <w:rFonts w:hint="eastAsia" w:asciiTheme="minorEastAsia" w:hAnsiTheme="minorEastAsia" w:eastAsiaTheme="minorEastAsia" w:cstheme="minorEastAsia"/>
          <w:color w:val="auto"/>
          <w:szCs w:val="21"/>
        </w:rPr>
      </w:pPr>
    </w:p>
    <w:p w14:paraId="6EDBADE2">
      <w:pPr>
        <w:pStyle w:val="47"/>
        <w:rPr>
          <w:rFonts w:hint="eastAsia" w:ascii="宋体" w:hAnsi="宋体" w:eastAsia="宋体" w:cs="宋体"/>
          <w:color w:val="auto"/>
          <w:szCs w:val="21"/>
        </w:rPr>
      </w:pPr>
    </w:p>
    <w:p w14:paraId="7CAAA252">
      <w:pPr>
        <w:pStyle w:val="47"/>
        <w:rPr>
          <w:rFonts w:hint="eastAsia" w:ascii="宋体" w:hAnsi="宋体" w:eastAsia="宋体" w:cs="宋体"/>
          <w:color w:val="auto"/>
          <w:szCs w:val="21"/>
        </w:rPr>
      </w:pPr>
    </w:p>
    <w:p w14:paraId="3922214B">
      <w:pPr>
        <w:pStyle w:val="47"/>
        <w:rPr>
          <w:rFonts w:hint="eastAsia" w:ascii="宋体" w:hAnsi="宋体" w:eastAsia="宋体" w:cs="宋体"/>
          <w:color w:val="auto"/>
          <w:szCs w:val="21"/>
        </w:rPr>
      </w:pPr>
    </w:p>
    <w:p w14:paraId="6D641DAC">
      <w:pPr>
        <w:pStyle w:val="47"/>
        <w:rPr>
          <w:rFonts w:hint="eastAsia" w:ascii="宋体" w:hAnsi="宋体" w:eastAsia="宋体" w:cs="宋体"/>
          <w:color w:val="auto"/>
          <w:szCs w:val="21"/>
        </w:rPr>
      </w:pPr>
    </w:p>
    <w:p w14:paraId="34D3511D">
      <w:pPr>
        <w:pStyle w:val="47"/>
        <w:rPr>
          <w:rFonts w:hint="eastAsia" w:ascii="宋体" w:hAnsi="宋体" w:eastAsia="宋体" w:cs="宋体"/>
          <w:color w:val="auto"/>
          <w:szCs w:val="21"/>
        </w:rPr>
      </w:pPr>
    </w:p>
    <w:p w14:paraId="29DB824E">
      <w:pPr>
        <w:pStyle w:val="47"/>
        <w:rPr>
          <w:rFonts w:hint="eastAsia" w:ascii="宋体" w:hAnsi="宋体" w:eastAsia="宋体" w:cs="宋体"/>
          <w:color w:val="auto"/>
          <w:szCs w:val="21"/>
        </w:rPr>
      </w:pPr>
    </w:p>
    <w:p w14:paraId="6522A9B9">
      <w:pPr>
        <w:numPr>
          <w:ilvl w:val="0"/>
          <w:numId w:val="1"/>
        </w:numPr>
        <w:jc w:val="center"/>
        <w:outlineLvl w:val="0"/>
        <w:rPr>
          <w:rFonts w:hint="eastAsia" w:ascii="宋体" w:hAnsi="宋体" w:cs="宋体"/>
          <w:b/>
          <w:bCs/>
          <w:kern w:val="0"/>
          <w:sz w:val="36"/>
          <w:szCs w:val="36"/>
        </w:rPr>
      </w:pPr>
      <w:bookmarkStart w:id="61" w:name="_Toc5416"/>
      <w:r>
        <w:rPr>
          <w:rFonts w:hint="eastAsia" w:ascii="宋体" w:hAnsi="宋体" w:cs="宋体"/>
          <w:b/>
          <w:bCs/>
          <w:kern w:val="0"/>
          <w:sz w:val="36"/>
          <w:szCs w:val="36"/>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EF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7DD611AB">
            <w:pPr>
              <w:spacing w:line="360" w:lineRule="auto"/>
              <w:jc w:val="center"/>
              <w:rPr>
                <w:rFonts w:hint="eastAsia" w:ascii="宋体" w:hAnsi="宋体" w:cs="宋体"/>
                <w:szCs w:val="21"/>
              </w:rPr>
            </w:pPr>
            <w:r>
              <w:rPr>
                <w:rFonts w:hint="eastAsia" w:ascii="宋体" w:hAnsi="宋体" w:cs="宋体"/>
                <w:szCs w:val="21"/>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1870C9CE">
            <w:pPr>
              <w:spacing w:line="360" w:lineRule="auto"/>
              <w:jc w:val="center"/>
              <w:rPr>
                <w:rFonts w:hint="eastAsia" w:ascii="宋体" w:hAnsi="宋体" w:cs="宋体"/>
                <w:szCs w:val="21"/>
              </w:rPr>
            </w:pPr>
            <w:r>
              <w:rPr>
                <w:rFonts w:hint="eastAsia" w:ascii="宋体" w:hAnsi="宋体" w:cs="宋体"/>
                <w:szCs w:val="21"/>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9FAA0E7">
            <w:pPr>
              <w:spacing w:line="360" w:lineRule="auto"/>
              <w:jc w:val="center"/>
              <w:rPr>
                <w:rFonts w:hint="eastAsia" w:ascii="宋体" w:hAnsi="宋体" w:cs="宋体"/>
                <w:szCs w:val="21"/>
              </w:rPr>
            </w:pPr>
            <w:r>
              <w:rPr>
                <w:rFonts w:hint="eastAsia" w:ascii="宋体" w:hAnsi="宋体" w:cs="宋体"/>
                <w:szCs w:val="21"/>
              </w:rPr>
              <w:t>内容</w:t>
            </w:r>
          </w:p>
        </w:tc>
      </w:tr>
      <w:tr w14:paraId="572C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75305CB0">
            <w:pPr>
              <w:spacing w:line="360" w:lineRule="auto"/>
              <w:jc w:val="center"/>
              <w:rPr>
                <w:rFonts w:hint="eastAsia" w:ascii="宋体" w:hAnsi="宋体" w:cs="宋体"/>
                <w:szCs w:val="21"/>
              </w:rPr>
            </w:pPr>
            <w:r>
              <w:rPr>
                <w:rFonts w:hint="eastAsia" w:ascii="宋体" w:hAnsi="宋体" w:cs="宋体"/>
                <w:szCs w:val="21"/>
              </w:rPr>
              <w:t>1</w:t>
            </w:r>
          </w:p>
        </w:tc>
        <w:tc>
          <w:tcPr>
            <w:tcW w:w="1602" w:type="dxa"/>
            <w:tcBorders>
              <w:top w:val="single" w:color="auto" w:sz="4" w:space="0"/>
              <w:left w:val="single" w:color="auto" w:sz="4" w:space="0"/>
              <w:bottom w:val="single" w:color="auto" w:sz="4" w:space="0"/>
              <w:right w:val="single" w:color="auto" w:sz="4" w:space="0"/>
            </w:tcBorders>
            <w:vAlign w:val="center"/>
          </w:tcPr>
          <w:p w14:paraId="5B60CA1E">
            <w:pPr>
              <w:spacing w:line="360" w:lineRule="auto"/>
              <w:jc w:val="center"/>
              <w:rPr>
                <w:rFonts w:hint="eastAsia" w:ascii="宋体" w:hAnsi="宋体" w:cs="宋体"/>
                <w:szCs w:val="21"/>
              </w:rPr>
            </w:pPr>
            <w:r>
              <w:rPr>
                <w:rFonts w:hint="eastAsia" w:ascii="宋体" w:hAnsi="宋体" w:cs="宋体"/>
                <w:szCs w:val="21"/>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B36B63E">
            <w:pPr>
              <w:spacing w:line="360" w:lineRule="auto"/>
              <w:jc w:val="left"/>
              <w:rPr>
                <w:rFonts w:hint="eastAsia" w:ascii="宋体" w:hAnsi="宋体" w:cs="宋体"/>
                <w:szCs w:val="21"/>
              </w:rPr>
            </w:pPr>
            <w:r>
              <w:rPr>
                <w:rFonts w:hint="eastAsia" w:ascii="宋体" w:hAnsi="宋体" w:cs="宋体"/>
                <w:szCs w:val="21"/>
              </w:rPr>
              <w:t>项目名称：2025年石埇镇文昌村牛过埠大田角至韭菜湖农田水利工程</w:t>
            </w:r>
          </w:p>
          <w:p w14:paraId="6CFA3E17">
            <w:pPr>
              <w:spacing w:line="360" w:lineRule="auto"/>
              <w:jc w:val="left"/>
              <w:rPr>
                <w:rFonts w:hint="eastAsia" w:ascii="宋体" w:hAnsi="宋体" w:cs="宋体"/>
                <w:szCs w:val="21"/>
                <w:u w:val="single"/>
              </w:rPr>
            </w:pPr>
            <w:r>
              <w:rPr>
                <w:rFonts w:hint="eastAsia" w:ascii="宋体" w:hAnsi="宋体" w:cs="宋体"/>
                <w:szCs w:val="21"/>
              </w:rPr>
              <w:t xml:space="preserve">项目编号：QZZC2025-C2-220084-GXRS </w:t>
            </w:r>
          </w:p>
        </w:tc>
      </w:tr>
      <w:tr w14:paraId="57B0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7006BD33">
            <w:pPr>
              <w:spacing w:line="360" w:lineRule="auto"/>
              <w:jc w:val="center"/>
              <w:rPr>
                <w:rFonts w:hint="eastAsia" w:ascii="宋体" w:hAnsi="宋体" w:cs="宋体"/>
                <w:szCs w:val="21"/>
              </w:rPr>
            </w:pPr>
            <w:r>
              <w:rPr>
                <w:rFonts w:hint="eastAsia" w:ascii="宋体" w:hAnsi="宋体" w:cs="宋体"/>
                <w:szCs w:val="21"/>
              </w:rPr>
              <w:t>2</w:t>
            </w:r>
          </w:p>
        </w:tc>
        <w:tc>
          <w:tcPr>
            <w:tcW w:w="1602" w:type="dxa"/>
            <w:tcBorders>
              <w:top w:val="single" w:color="auto" w:sz="4" w:space="0"/>
              <w:left w:val="single" w:color="auto" w:sz="4" w:space="0"/>
              <w:bottom w:val="single" w:color="auto" w:sz="4" w:space="0"/>
              <w:right w:val="single" w:color="auto" w:sz="4" w:space="0"/>
            </w:tcBorders>
            <w:vAlign w:val="center"/>
          </w:tcPr>
          <w:p w14:paraId="4D9533BB">
            <w:pPr>
              <w:pStyle w:val="13"/>
              <w:spacing w:line="360" w:lineRule="auto"/>
              <w:jc w:val="center"/>
              <w:rPr>
                <w:rFonts w:hint="eastAsia" w:hAnsi="宋体" w:cs="宋体"/>
              </w:rPr>
            </w:pPr>
            <w:r>
              <w:rPr>
                <w:rFonts w:hint="eastAsia"/>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6FEE5D7B">
            <w:pPr>
              <w:spacing w:line="360" w:lineRule="auto"/>
              <w:jc w:val="left"/>
              <w:rPr>
                <w:b/>
                <w:bCs/>
              </w:rPr>
            </w:pPr>
            <w:bookmarkStart w:id="62" w:name="OLE_LINK8"/>
            <w:r>
              <w:rPr>
                <w:rFonts w:hint="eastAsia"/>
                <w:b/>
                <w:bCs/>
              </w:rPr>
              <w:t>供应商资格要求：</w:t>
            </w:r>
          </w:p>
          <w:bookmarkEnd w:id="62"/>
          <w:p w14:paraId="26851BA4">
            <w:pPr>
              <w:snapToGrid w:val="0"/>
              <w:spacing w:line="360" w:lineRule="auto"/>
              <w:rPr>
                <w:rFonts w:hint="eastAsia" w:ascii="宋体" w:hAnsi="宋体" w:cs="宋体"/>
                <w:szCs w:val="21"/>
              </w:rPr>
            </w:pPr>
            <w:r>
              <w:rPr>
                <w:rFonts w:hint="eastAsia" w:ascii="宋体" w:hAnsi="宋体" w:cs="宋体"/>
                <w:szCs w:val="21"/>
              </w:rPr>
              <w:t xml:space="preserve">1.符合《中华人民共和国政府采购法》第二十二条规定。 </w:t>
            </w:r>
          </w:p>
          <w:p w14:paraId="5B82220B">
            <w:pPr>
              <w:spacing w:line="360" w:lineRule="auto"/>
              <w:rPr>
                <w:rFonts w:hint="eastAsia" w:ascii="宋体" w:hAnsi="宋体" w:cs="宋体"/>
                <w:szCs w:val="21"/>
              </w:rPr>
            </w:pPr>
            <w:r>
              <w:rPr>
                <w:rFonts w:hint="eastAsia" w:ascii="宋体" w:hAnsi="宋体" w:cs="宋体"/>
                <w:szCs w:val="21"/>
              </w:rPr>
              <w:t>2.落实政府采购政策需满足的资格要求：本项目属于专门面向中小企业采购的项目，供应商须为中小企业或监狱企业或残疾人福利性单位。</w:t>
            </w:r>
          </w:p>
          <w:p w14:paraId="2A60D411">
            <w:pPr>
              <w:pStyle w:val="10"/>
              <w:autoSpaceDE/>
              <w:autoSpaceDN/>
              <w:adjustRightInd/>
              <w:spacing w:after="0" w:line="360" w:lineRule="auto"/>
              <w:rPr>
                <w:rFonts w:hint="eastAsia" w:hAnsi="宋体" w:cs="宋体"/>
                <w:sz w:val="21"/>
                <w:szCs w:val="21"/>
              </w:rPr>
            </w:pPr>
            <w:r>
              <w:rPr>
                <w:rFonts w:hint="eastAsia" w:hAnsi="宋体" w:cs="宋体"/>
                <w:sz w:val="21"/>
                <w:szCs w:val="21"/>
              </w:rPr>
              <w:t>3.本项目的特定资格要求：</w:t>
            </w:r>
          </w:p>
          <w:p w14:paraId="5FB4625F">
            <w:pPr>
              <w:pStyle w:val="10"/>
              <w:autoSpaceDE/>
              <w:autoSpaceDN/>
              <w:adjustRightInd/>
              <w:spacing w:after="0" w:line="360" w:lineRule="auto"/>
              <w:ind w:firstLine="420" w:firstLineChars="200"/>
              <w:rPr>
                <w:rFonts w:hint="eastAsia" w:hAnsi="宋体" w:cs="宋体"/>
                <w:kern w:val="2"/>
                <w:sz w:val="21"/>
                <w:szCs w:val="21"/>
              </w:rPr>
            </w:pPr>
            <w:r>
              <w:rPr>
                <w:rFonts w:hint="eastAsia" w:hAnsi="宋体" w:cs="宋体"/>
                <w:kern w:val="2"/>
                <w:sz w:val="21"/>
                <w:szCs w:val="21"/>
              </w:rPr>
              <w:t>（1）本项目供应商企业资质要求具备水利水电工程施工总承包叁级(含叁级)及以上资质，且具备省级及以上建设行政主管部门颁发的安全生产许可证。并在人员、设备、资金等方面具有相应的施工能力；</w:t>
            </w:r>
            <w:r>
              <w:rPr>
                <w:rFonts w:hint="eastAsia" w:hAnsi="宋体" w:cs="宋体"/>
                <w:kern w:val="2"/>
                <w:sz w:val="21"/>
                <w:szCs w:val="21"/>
              </w:rPr>
              <w:br w:type="textWrapping"/>
            </w:r>
            <w:r>
              <w:rPr>
                <w:rFonts w:hint="eastAsia" w:hAnsi="宋体" w:cs="宋体"/>
                <w:kern w:val="2"/>
                <w:sz w:val="21"/>
                <w:szCs w:val="21"/>
              </w:rPr>
              <w:t xml:space="preserve">    （2）拟投入本工程的项目经理必须具有水利水电工程专业贰级（含贰级）及以上注册建造师执业资格及安全生产考核合格证（B证），为供应商的在岗人员，且未担任其他在建项目或已中标未开工项目或已列为项目第一中标候选人项目的项目经理。</w:t>
            </w:r>
          </w:p>
          <w:p w14:paraId="262EBA51">
            <w:pPr>
              <w:spacing w:line="360" w:lineRule="auto"/>
              <w:rPr>
                <w:rFonts w:hint="eastAsia" w:ascii="宋体" w:hAnsi="宋体" w:cs="宋体"/>
                <w:b/>
                <w:szCs w:val="21"/>
              </w:rPr>
            </w:pPr>
            <w:r>
              <w:rPr>
                <w:rFonts w:hint="eastAsia" w:ascii="宋体" w:hAnsi="宋体" w:cs="宋体"/>
                <w:b/>
                <w:szCs w:val="21"/>
              </w:rPr>
              <w:t>供应商出现下列情形之一的，不得参加政府采购活动：</w:t>
            </w:r>
          </w:p>
          <w:p w14:paraId="69AE8D2A">
            <w:pPr>
              <w:spacing w:line="360" w:lineRule="auto"/>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6A78FE">
            <w:pPr>
              <w:spacing w:line="360" w:lineRule="auto"/>
              <w:rPr>
                <w:rFonts w:hint="eastAsia" w:ascii="宋体" w:hAnsi="宋体" w:cs="宋体"/>
                <w:szCs w:val="21"/>
              </w:rPr>
            </w:pPr>
            <w:r>
              <w:rPr>
                <w:rFonts w:hint="eastAsia" w:ascii="宋体" w:hAnsi="宋体" w:cs="宋体"/>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E2F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2F366241">
            <w:pPr>
              <w:spacing w:line="360" w:lineRule="auto"/>
              <w:jc w:val="center"/>
              <w:rPr>
                <w:rFonts w:hint="eastAsia" w:ascii="宋体" w:hAnsi="宋体" w:cs="宋体"/>
                <w:szCs w:val="21"/>
              </w:rPr>
            </w:pPr>
            <w:r>
              <w:rPr>
                <w:rFonts w:hint="eastAsia" w:ascii="宋体" w:hAnsi="宋体" w:cs="宋体"/>
                <w:szCs w:val="21"/>
              </w:rPr>
              <w:t>3</w:t>
            </w:r>
          </w:p>
        </w:tc>
        <w:tc>
          <w:tcPr>
            <w:tcW w:w="1602" w:type="dxa"/>
            <w:tcBorders>
              <w:top w:val="single" w:color="auto" w:sz="4" w:space="0"/>
              <w:left w:val="single" w:color="auto" w:sz="4" w:space="0"/>
              <w:bottom w:val="single" w:color="auto" w:sz="4" w:space="0"/>
              <w:right w:val="single" w:color="auto" w:sz="4" w:space="0"/>
            </w:tcBorders>
            <w:vAlign w:val="center"/>
          </w:tcPr>
          <w:p w14:paraId="546412E1">
            <w:pPr>
              <w:spacing w:line="360" w:lineRule="auto"/>
              <w:jc w:val="center"/>
              <w:rPr>
                <w:rFonts w:hint="eastAsia" w:ascii="宋体" w:hAnsi="宋体" w:cs="宋体"/>
                <w:szCs w:val="21"/>
              </w:rPr>
            </w:pPr>
            <w:r>
              <w:rPr>
                <w:rFonts w:hint="eastAsia" w:ascii="宋体" w:hAnsi="宋体" w:cs="宋体"/>
                <w:szCs w:val="21"/>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1E353594">
            <w:pPr>
              <w:spacing w:line="360" w:lineRule="auto"/>
              <w:jc w:val="left"/>
              <w:rPr>
                <w:rFonts w:hint="eastAsia" w:ascii="宋体" w:hAnsi="宋体" w:cs="宋体"/>
              </w:rPr>
            </w:pPr>
            <w:r>
              <w:rPr>
                <w:rFonts w:hint="eastAsia" w:ascii="宋体" w:hAnsi="宋体" w:cs="宋体"/>
              </w:rPr>
              <w:t>竞标报价：</w:t>
            </w:r>
          </w:p>
          <w:p w14:paraId="7A55418F">
            <w:pPr>
              <w:spacing w:line="360" w:lineRule="auto"/>
              <w:jc w:val="left"/>
              <w:rPr>
                <w:rFonts w:hint="eastAsia" w:ascii="宋体" w:hAnsi="宋体" w:cs="宋体"/>
              </w:rPr>
            </w:pPr>
            <w:r>
              <w:rPr>
                <w:rFonts w:hint="eastAsia" w:ascii="宋体" w:hAnsi="宋体" w:cs="宋体"/>
              </w:rPr>
              <w:t xml:space="preserve">1.供应商必须就所投项目的全部内容作完整唯一报价，漏项报价的或有选择的或有条件的报价，其磋商将视为无效。                        </w:t>
            </w:r>
          </w:p>
          <w:p w14:paraId="33C10023">
            <w:pPr>
              <w:spacing w:line="360" w:lineRule="auto"/>
              <w:jc w:val="left"/>
              <w:rPr>
                <w:rFonts w:hint="eastAsia" w:ascii="宋体" w:hAnsi="宋体" w:cs="宋体"/>
                <w:szCs w:val="21"/>
              </w:rPr>
            </w:pPr>
            <w:r>
              <w:rPr>
                <w:rFonts w:hint="eastAsia" w:ascii="宋体" w:hAnsi="宋体" w:cs="宋体"/>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4515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04C4B91">
            <w:pPr>
              <w:spacing w:line="360" w:lineRule="auto"/>
              <w:jc w:val="center"/>
              <w:rPr>
                <w:rFonts w:hint="eastAsia" w:ascii="宋体" w:hAnsi="宋体" w:cs="宋体"/>
                <w:szCs w:val="21"/>
              </w:rPr>
            </w:pPr>
            <w:r>
              <w:rPr>
                <w:rFonts w:hint="eastAsia" w:ascii="宋体" w:hAnsi="宋体" w:cs="宋体"/>
                <w:szCs w:val="21"/>
              </w:rPr>
              <w:t>4</w:t>
            </w:r>
          </w:p>
        </w:tc>
        <w:tc>
          <w:tcPr>
            <w:tcW w:w="1602" w:type="dxa"/>
            <w:tcBorders>
              <w:top w:val="single" w:color="auto" w:sz="4" w:space="0"/>
              <w:left w:val="single" w:color="auto" w:sz="4" w:space="0"/>
              <w:bottom w:val="single" w:color="auto" w:sz="4" w:space="0"/>
              <w:right w:val="single" w:color="auto" w:sz="4" w:space="0"/>
            </w:tcBorders>
            <w:vAlign w:val="center"/>
          </w:tcPr>
          <w:p w14:paraId="49FBDD8E">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5E6F6F4B">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740D80DC">
            <w:pPr>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.响应文件电子版密封方式：电子响应文件通过平台有效CA加密后在广西政府采购云平台递交。</w:t>
            </w:r>
          </w:p>
        </w:tc>
      </w:tr>
      <w:tr w14:paraId="42A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63B6D50F">
            <w:pPr>
              <w:spacing w:line="360" w:lineRule="auto"/>
              <w:jc w:val="center"/>
              <w:rPr>
                <w:rFonts w:hint="eastAsia" w:ascii="宋体" w:hAnsi="宋体" w:cs="宋体"/>
                <w:szCs w:val="21"/>
              </w:rPr>
            </w:pPr>
            <w:r>
              <w:rPr>
                <w:rFonts w:hint="eastAsia" w:ascii="宋体" w:hAnsi="宋体" w:cs="宋体"/>
                <w:szCs w:val="21"/>
              </w:rPr>
              <w:t>5</w:t>
            </w:r>
          </w:p>
        </w:tc>
        <w:tc>
          <w:tcPr>
            <w:tcW w:w="1602" w:type="dxa"/>
            <w:tcBorders>
              <w:top w:val="single" w:color="auto" w:sz="4" w:space="0"/>
              <w:left w:val="single" w:color="auto" w:sz="4" w:space="0"/>
              <w:bottom w:val="single" w:color="auto" w:sz="4" w:space="0"/>
              <w:right w:val="single" w:color="auto" w:sz="4" w:space="0"/>
            </w:tcBorders>
            <w:vAlign w:val="center"/>
          </w:tcPr>
          <w:p w14:paraId="78187B69">
            <w:pPr>
              <w:spacing w:line="360" w:lineRule="auto"/>
              <w:jc w:val="center"/>
              <w:rPr>
                <w:rFonts w:hint="eastAsia" w:ascii="宋体" w:hAnsi="宋体" w:cs="宋体"/>
                <w:szCs w:val="21"/>
              </w:rPr>
            </w:pPr>
            <w:r>
              <w:rPr>
                <w:rFonts w:hint="eastAsia" w:ascii="宋体" w:hAnsi="宋体" w:cs="宋体"/>
                <w:szCs w:val="21"/>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5E43589D">
            <w:pPr>
              <w:pStyle w:val="9"/>
              <w:spacing w:line="360" w:lineRule="auto"/>
              <w:rPr>
                <w:rFonts w:hint="eastAsia" w:ascii="宋体" w:hAnsi="宋体"/>
                <w:szCs w:val="21"/>
              </w:rPr>
            </w:pPr>
            <w:r>
              <w:rPr>
                <w:rFonts w:hint="eastAsia" w:ascii="宋体" w:hAnsi="宋体"/>
                <w:szCs w:val="21"/>
              </w:rPr>
              <w:t>☑本项目不接受</w:t>
            </w:r>
            <w:r>
              <w:t>电子备份响应文件</w:t>
            </w:r>
            <w:r>
              <w:rPr>
                <w:rFonts w:hint="eastAsia"/>
              </w:rPr>
              <w:t>。</w:t>
            </w:r>
          </w:p>
          <w:p w14:paraId="58AB6769">
            <w:pPr>
              <w:pStyle w:val="9"/>
              <w:spacing w:line="360" w:lineRule="auto"/>
              <w:rPr>
                <w:rFonts w:hint="eastAsia" w:ascii="宋体" w:hAnsi="宋体" w:cs="宋体"/>
                <w:szCs w:val="21"/>
              </w:rPr>
            </w:pPr>
            <w:r>
              <w:rPr>
                <w:rFonts w:hint="eastAsia" w:ascii="宋体" w:hAnsi="宋体"/>
                <w:szCs w:val="21"/>
              </w:rPr>
              <w:t>□本项目接受</w:t>
            </w:r>
            <w:r>
              <w:t>电子备份响应文件</w:t>
            </w:r>
            <w:r>
              <w:rPr>
                <w:rFonts w:hint="eastAsia" w:ascii="宋体" w:hAnsi="宋体"/>
                <w:szCs w:val="21"/>
              </w:rPr>
              <w:t>。</w:t>
            </w:r>
          </w:p>
        </w:tc>
      </w:tr>
      <w:tr w14:paraId="6F00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576F38A">
            <w:pPr>
              <w:spacing w:line="360" w:lineRule="auto"/>
              <w:jc w:val="center"/>
              <w:rPr>
                <w:rFonts w:hint="eastAsia" w:ascii="宋体" w:hAnsi="宋体" w:cs="宋体"/>
                <w:szCs w:val="21"/>
              </w:rPr>
            </w:pPr>
            <w:r>
              <w:rPr>
                <w:rFonts w:hint="eastAsia" w:ascii="宋体" w:hAnsi="宋体" w:cs="宋体"/>
                <w:szCs w:val="21"/>
              </w:rPr>
              <w:t>6</w:t>
            </w:r>
          </w:p>
        </w:tc>
        <w:tc>
          <w:tcPr>
            <w:tcW w:w="1602" w:type="dxa"/>
            <w:tcBorders>
              <w:top w:val="single" w:color="auto" w:sz="4" w:space="0"/>
              <w:left w:val="single" w:color="auto" w:sz="4" w:space="0"/>
              <w:bottom w:val="single" w:color="auto" w:sz="4" w:space="0"/>
              <w:right w:val="single" w:color="auto" w:sz="4" w:space="0"/>
            </w:tcBorders>
            <w:vAlign w:val="center"/>
          </w:tcPr>
          <w:p w14:paraId="2F69BF50">
            <w:pPr>
              <w:spacing w:line="360" w:lineRule="auto"/>
              <w:jc w:val="center"/>
            </w:pPr>
            <w:r>
              <w:rPr>
                <w:rFonts w:hint="eastAsia"/>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06DD3329">
            <w:pPr>
              <w:spacing w:line="360" w:lineRule="auto"/>
              <w:jc w:val="left"/>
              <w:rPr>
                <w:rFonts w:hint="eastAsia" w:ascii="宋体" w:hAnsi="宋体" w:cs="宋体"/>
                <w:szCs w:val="21"/>
              </w:rPr>
            </w:pPr>
            <w:r>
              <w:rPr>
                <w:rFonts w:hint="eastAsia"/>
              </w:rPr>
              <w:t>竞</w:t>
            </w:r>
            <w:r>
              <w:rPr>
                <w:rFonts w:hint="eastAsia" w:ascii="宋体" w:hAnsi="宋体" w:cs="宋体"/>
                <w:szCs w:val="21"/>
              </w:rPr>
              <w:t>标有效期：</w:t>
            </w:r>
            <w:r>
              <w:rPr>
                <w:rFonts w:hint="eastAsia"/>
              </w:rPr>
              <w:t>竞</w:t>
            </w:r>
            <w:r>
              <w:rPr>
                <w:rFonts w:hint="eastAsia" w:ascii="宋体" w:hAnsi="宋体" w:cs="宋体"/>
                <w:szCs w:val="21"/>
              </w:rPr>
              <w:t>标截止日期后60天</w:t>
            </w:r>
          </w:p>
        </w:tc>
      </w:tr>
      <w:tr w14:paraId="1F47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7EDE5415">
            <w:pPr>
              <w:spacing w:line="360" w:lineRule="auto"/>
              <w:jc w:val="center"/>
              <w:rPr>
                <w:rFonts w:hint="eastAsia" w:ascii="宋体" w:hAnsi="宋体" w:cs="宋体"/>
                <w:szCs w:val="21"/>
              </w:rPr>
            </w:pPr>
            <w:r>
              <w:rPr>
                <w:rFonts w:hint="eastAsia" w:ascii="宋体" w:hAnsi="宋体" w:cs="宋体"/>
                <w:szCs w:val="21"/>
              </w:rPr>
              <w:t>7</w:t>
            </w:r>
          </w:p>
        </w:tc>
        <w:tc>
          <w:tcPr>
            <w:tcW w:w="1602" w:type="dxa"/>
            <w:tcBorders>
              <w:top w:val="single" w:color="auto" w:sz="4" w:space="0"/>
              <w:left w:val="single" w:color="auto" w:sz="4" w:space="0"/>
              <w:bottom w:val="single" w:color="auto" w:sz="4" w:space="0"/>
              <w:right w:val="single" w:color="auto" w:sz="4" w:space="0"/>
            </w:tcBorders>
            <w:vAlign w:val="center"/>
          </w:tcPr>
          <w:p w14:paraId="324CA2F0">
            <w:pPr>
              <w:spacing w:line="360" w:lineRule="auto"/>
              <w:jc w:val="center"/>
              <w:rPr>
                <w:rFonts w:hint="eastAsia" w:ascii="宋体" w:hAnsi="宋体" w:cs="宋体"/>
                <w:szCs w:val="21"/>
              </w:rPr>
            </w:pPr>
            <w:r>
              <w:rPr>
                <w:rFonts w:hint="eastAsia" w:ascii="宋体" w:hAnsi="宋体" w:cs="宋体"/>
                <w:szCs w:val="21"/>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4113AE06">
            <w:pPr>
              <w:pStyle w:val="13"/>
              <w:spacing w:line="360" w:lineRule="auto"/>
              <w:rPr>
                <w:rFonts w:hint="eastAsia" w:hAnsi="宋体" w:cs="宋体"/>
                <w:kern w:val="0"/>
              </w:rPr>
            </w:pPr>
            <w:r>
              <w:rPr>
                <w:rFonts w:hint="eastAsia" w:hAnsi="宋体" w:cs="宋体"/>
                <w:kern w:val="0"/>
              </w:rPr>
              <w:t>本项目是否要求收取磋商保证金：不要求</w:t>
            </w:r>
          </w:p>
          <w:p w14:paraId="2B07F80B">
            <w:pPr>
              <w:pStyle w:val="13"/>
              <w:spacing w:line="360" w:lineRule="auto"/>
              <w:rPr>
                <w:rFonts w:hint="eastAsia" w:hAnsi="宋体" w:cs="宋体"/>
                <w:kern w:val="0"/>
              </w:rPr>
            </w:pPr>
            <w:r>
              <w:rPr>
                <w:rFonts w:hint="eastAsia" w:hAnsi="宋体" w:cs="宋体"/>
                <w:kern w:val="0"/>
              </w:rPr>
              <w:t>磋商保证金：</w:t>
            </w:r>
            <w:r>
              <w:rPr>
                <w:rFonts w:hint="eastAsia" w:hAnsi="宋体"/>
                <w:u w:val="single"/>
              </w:rPr>
              <w:t xml:space="preserve">  / </w:t>
            </w:r>
            <w:r>
              <w:rPr>
                <w:rFonts w:hint="eastAsia" w:hAnsi="宋体"/>
              </w:rPr>
              <w:t>元整</w:t>
            </w:r>
            <w:r>
              <w:rPr>
                <w:rFonts w:hint="eastAsia" w:hAnsi="宋体" w:cs="宋体"/>
                <w:kern w:val="0"/>
              </w:rPr>
              <w:t>。</w:t>
            </w:r>
          </w:p>
          <w:p w14:paraId="6BC38BFE">
            <w:pPr>
              <w:pStyle w:val="13"/>
              <w:spacing w:line="360" w:lineRule="auto"/>
              <w:rPr>
                <w:rFonts w:hint="eastAsia" w:hAnsi="宋体" w:cs="宋体"/>
                <w:kern w:val="0"/>
              </w:rPr>
            </w:pPr>
            <w:r>
              <w:rPr>
                <w:rFonts w:hint="eastAsia" w:hAnsi="宋体"/>
              </w:rPr>
              <w:t>磋商保证金缴纳形式：银行转账、支票、汇票、本票或者银行、保险机构出具的保函、保险单，禁止采用现钞方式。</w:t>
            </w:r>
          </w:p>
          <w:p w14:paraId="47DE92D9">
            <w:pPr>
              <w:pStyle w:val="13"/>
              <w:spacing w:line="360" w:lineRule="auto"/>
              <w:rPr>
                <w:rFonts w:hint="eastAsia" w:hAnsi="宋体" w:cs="宋体"/>
                <w:kern w:val="0"/>
              </w:rPr>
            </w:pPr>
            <w:r>
              <w:rPr>
                <w:rFonts w:hint="eastAsia" w:hAnsi="宋体" w:cs="宋体"/>
                <w:kern w:val="0"/>
              </w:rPr>
              <w:t>采用银行转账方式的，竞标人将磋商保证金从竞标人基本账户转出交至以下指定的磋商保证金专用账户，且提交到指定账户时间不得迟于响应文件提交截止时间（以到账为准）：</w:t>
            </w:r>
          </w:p>
          <w:p w14:paraId="40B4672C">
            <w:pPr>
              <w:pStyle w:val="13"/>
              <w:spacing w:line="360" w:lineRule="auto"/>
              <w:rPr>
                <w:rFonts w:hint="eastAsia" w:hAnsi="宋体" w:cs="宋体"/>
                <w:kern w:val="0"/>
              </w:rPr>
            </w:pPr>
            <w:r>
              <w:rPr>
                <w:rFonts w:hint="eastAsia" w:hAnsi="宋体" w:cs="宋体"/>
                <w:kern w:val="0"/>
              </w:rPr>
              <w:t>开户行：</w:t>
            </w:r>
            <w:r>
              <w:rPr>
                <w:rFonts w:hint="eastAsia" w:hAnsi="宋体"/>
              </w:rPr>
              <w:t>/</w:t>
            </w:r>
          </w:p>
          <w:p w14:paraId="63E6E2BE">
            <w:pPr>
              <w:pStyle w:val="13"/>
              <w:spacing w:line="360" w:lineRule="auto"/>
              <w:rPr>
                <w:rFonts w:hint="eastAsia" w:hAnsi="宋体" w:cs="宋体"/>
                <w:kern w:val="0"/>
              </w:rPr>
            </w:pPr>
            <w:r>
              <w:rPr>
                <w:rFonts w:hint="eastAsia" w:hAnsi="宋体" w:cs="宋体"/>
                <w:kern w:val="0"/>
              </w:rPr>
              <w:t>户名：</w:t>
            </w:r>
            <w:r>
              <w:rPr>
                <w:rFonts w:hint="eastAsia" w:hAnsi="宋体"/>
              </w:rPr>
              <w:t>/</w:t>
            </w:r>
          </w:p>
          <w:p w14:paraId="2B95721C">
            <w:pPr>
              <w:pStyle w:val="13"/>
              <w:spacing w:line="360" w:lineRule="auto"/>
            </w:pPr>
            <w:r>
              <w:rPr>
                <w:rFonts w:hint="eastAsia" w:hAnsi="宋体" w:cs="宋体"/>
                <w:kern w:val="0"/>
              </w:rPr>
              <w:t xml:space="preserve">账号： </w:t>
            </w:r>
            <w:r>
              <w:rPr>
                <w:rFonts w:hint="eastAsia" w:hAnsi="宋体"/>
              </w:rPr>
              <w:t>/</w:t>
            </w:r>
          </w:p>
        </w:tc>
      </w:tr>
      <w:tr w14:paraId="59D0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0AA23BE">
            <w:pPr>
              <w:spacing w:line="360" w:lineRule="auto"/>
              <w:jc w:val="center"/>
              <w:rPr>
                <w:rFonts w:hint="eastAsia" w:ascii="宋体" w:hAnsi="宋体" w:cs="宋体"/>
                <w:szCs w:val="21"/>
              </w:rPr>
            </w:pPr>
            <w:r>
              <w:rPr>
                <w:rFonts w:hint="eastAsia" w:ascii="宋体" w:hAnsi="宋体" w:cs="宋体"/>
                <w:szCs w:val="21"/>
              </w:rPr>
              <w:t>8</w:t>
            </w:r>
          </w:p>
        </w:tc>
        <w:tc>
          <w:tcPr>
            <w:tcW w:w="1602" w:type="dxa"/>
            <w:tcBorders>
              <w:top w:val="single" w:color="auto" w:sz="4" w:space="0"/>
              <w:left w:val="single" w:color="auto" w:sz="4" w:space="0"/>
              <w:bottom w:val="single" w:color="auto" w:sz="4" w:space="0"/>
              <w:right w:val="single" w:color="auto" w:sz="4" w:space="0"/>
            </w:tcBorders>
            <w:vAlign w:val="center"/>
          </w:tcPr>
          <w:p w14:paraId="6A29F21C">
            <w:pPr>
              <w:spacing w:line="360" w:lineRule="auto"/>
              <w:jc w:val="center"/>
              <w:rPr>
                <w:rFonts w:hint="eastAsia" w:ascii="宋体" w:hAnsi="宋体" w:cs="宋体"/>
                <w:szCs w:val="21"/>
              </w:rPr>
            </w:pPr>
            <w:r>
              <w:rPr>
                <w:rFonts w:hint="eastAsia" w:hAnsi="宋体" w:cs="宋体"/>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639FDF4">
            <w:pPr>
              <w:spacing w:line="360" w:lineRule="auto"/>
              <w:jc w:val="left"/>
              <w:rPr>
                <w:rFonts w:hint="eastAsia" w:ascii="宋体" w:hAnsi="宋体" w:cs="宋体"/>
                <w:szCs w:val="21"/>
              </w:rPr>
            </w:pPr>
            <w:r>
              <w:rPr>
                <w:rFonts w:hint="eastAsia" w:ascii="宋体" w:hAnsi="宋体" w:cs="宋体"/>
                <w:szCs w:val="21"/>
              </w:rPr>
              <w:t>详见竞争性磋商公告</w:t>
            </w:r>
          </w:p>
        </w:tc>
      </w:tr>
      <w:tr w14:paraId="6985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85BC4A4">
            <w:pPr>
              <w:spacing w:line="360" w:lineRule="auto"/>
              <w:jc w:val="center"/>
              <w:rPr>
                <w:rFonts w:hint="eastAsia" w:ascii="宋体" w:hAnsi="宋体" w:cs="宋体"/>
                <w:szCs w:val="21"/>
              </w:rPr>
            </w:pPr>
            <w:r>
              <w:rPr>
                <w:rFonts w:hint="eastAsia" w:ascii="宋体" w:hAnsi="宋体" w:cs="宋体"/>
                <w:szCs w:val="21"/>
              </w:rPr>
              <w:t>9</w:t>
            </w:r>
          </w:p>
        </w:tc>
        <w:tc>
          <w:tcPr>
            <w:tcW w:w="1602" w:type="dxa"/>
            <w:tcBorders>
              <w:top w:val="single" w:color="auto" w:sz="4" w:space="0"/>
              <w:left w:val="single" w:color="auto" w:sz="4" w:space="0"/>
              <w:bottom w:val="single" w:color="auto" w:sz="4" w:space="0"/>
              <w:right w:val="single" w:color="auto" w:sz="4" w:space="0"/>
            </w:tcBorders>
            <w:vAlign w:val="center"/>
          </w:tcPr>
          <w:p w14:paraId="63939726">
            <w:pPr>
              <w:spacing w:line="360" w:lineRule="auto"/>
              <w:jc w:val="center"/>
              <w:rPr>
                <w:rFonts w:hint="eastAsia" w:ascii="宋体" w:hAnsi="宋体" w:cs="宋体"/>
                <w:szCs w:val="21"/>
              </w:rPr>
            </w:pPr>
            <w:r>
              <w:rPr>
                <w:rFonts w:hint="eastAsia" w:ascii="宋体" w:hAnsi="宋体" w:cs="宋体"/>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301A8943">
            <w:pPr>
              <w:pStyle w:val="13"/>
              <w:spacing w:line="360" w:lineRule="auto"/>
              <w:jc w:val="left"/>
              <w:rPr>
                <w:rFonts w:hint="eastAsia" w:hAnsi="宋体" w:cs="宋体"/>
              </w:rPr>
            </w:pPr>
            <w:r>
              <w:rPr>
                <w:rFonts w:hint="eastAsia" w:hAnsi="宋体" w:cs="宋体"/>
              </w:rPr>
              <w:t>评标委员会构成：3人，其中采购单位委托代表1人，专家2人；</w:t>
            </w:r>
          </w:p>
          <w:p w14:paraId="05109DDE">
            <w:pPr>
              <w:spacing w:line="360" w:lineRule="auto"/>
              <w:jc w:val="left"/>
              <w:rPr>
                <w:rFonts w:hint="eastAsia" w:ascii="宋体" w:hAnsi="宋体" w:cs="宋体"/>
                <w:szCs w:val="21"/>
              </w:rPr>
            </w:pPr>
            <w:r>
              <w:rPr>
                <w:rFonts w:hint="eastAsia" w:ascii="宋体" w:hAnsi="宋体" w:cs="宋体"/>
                <w:szCs w:val="21"/>
              </w:rPr>
              <w:t>评标专家确定方式：随机抽取。</w:t>
            </w:r>
          </w:p>
        </w:tc>
      </w:tr>
      <w:tr w14:paraId="40F8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099E281">
            <w:pPr>
              <w:spacing w:line="360" w:lineRule="auto"/>
              <w:jc w:val="center"/>
              <w:rPr>
                <w:rFonts w:hint="eastAsia" w:ascii="宋体" w:hAnsi="宋体" w:cs="宋体"/>
                <w:szCs w:val="21"/>
              </w:rPr>
            </w:pPr>
            <w:r>
              <w:rPr>
                <w:rFonts w:hint="eastAsia" w:ascii="宋体" w:hAnsi="宋体" w:cs="宋体"/>
                <w:szCs w:val="21"/>
              </w:rPr>
              <w:t>10</w:t>
            </w:r>
          </w:p>
        </w:tc>
        <w:tc>
          <w:tcPr>
            <w:tcW w:w="1602" w:type="dxa"/>
            <w:tcBorders>
              <w:top w:val="single" w:color="auto" w:sz="4" w:space="0"/>
              <w:left w:val="single" w:color="auto" w:sz="4" w:space="0"/>
              <w:bottom w:val="single" w:color="auto" w:sz="4" w:space="0"/>
              <w:right w:val="single" w:color="auto" w:sz="4" w:space="0"/>
            </w:tcBorders>
            <w:vAlign w:val="center"/>
          </w:tcPr>
          <w:p w14:paraId="1A932AE2">
            <w:pPr>
              <w:spacing w:line="360" w:lineRule="auto"/>
              <w:jc w:val="center"/>
              <w:rPr>
                <w:rFonts w:hint="eastAsia" w:ascii="宋体" w:hAnsi="宋体" w:cs="宋体"/>
                <w:szCs w:val="21"/>
              </w:rPr>
            </w:pPr>
            <w:r>
              <w:rPr>
                <w:rFonts w:hint="eastAsia" w:ascii="宋体" w:hAnsi="宋体" w:cs="宋体"/>
                <w:szCs w:val="21"/>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1AE0E689">
            <w:pPr>
              <w:spacing w:line="360" w:lineRule="auto"/>
              <w:jc w:val="left"/>
              <w:rPr>
                <w:rFonts w:hint="eastAsia" w:ascii="宋体" w:hAnsi="宋体" w:cs="宋体"/>
                <w:szCs w:val="21"/>
              </w:rPr>
            </w:pPr>
            <w:r>
              <w:rPr>
                <w:rFonts w:hint="eastAsia" w:ascii="宋体" w:hAnsi="宋体" w:cs="宋体"/>
                <w:szCs w:val="21"/>
              </w:rPr>
              <w:t>详见竞争性磋商公告</w:t>
            </w:r>
          </w:p>
        </w:tc>
      </w:tr>
      <w:tr w14:paraId="4A88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791966B">
            <w:pPr>
              <w:spacing w:line="360" w:lineRule="auto"/>
              <w:jc w:val="center"/>
              <w:rPr>
                <w:rFonts w:hint="eastAsia" w:ascii="宋体" w:hAnsi="宋体" w:cs="宋体"/>
                <w:szCs w:val="21"/>
              </w:rPr>
            </w:pPr>
            <w:r>
              <w:rPr>
                <w:rFonts w:hint="eastAsia" w:ascii="宋体" w:hAnsi="宋体" w:cs="宋体"/>
                <w:szCs w:val="21"/>
              </w:rPr>
              <w:t>11</w:t>
            </w:r>
          </w:p>
        </w:tc>
        <w:tc>
          <w:tcPr>
            <w:tcW w:w="1602" w:type="dxa"/>
            <w:tcBorders>
              <w:top w:val="single" w:color="auto" w:sz="4" w:space="0"/>
              <w:left w:val="single" w:color="auto" w:sz="4" w:space="0"/>
              <w:bottom w:val="single" w:color="auto" w:sz="4" w:space="0"/>
              <w:right w:val="single" w:color="auto" w:sz="4" w:space="0"/>
            </w:tcBorders>
            <w:vAlign w:val="center"/>
          </w:tcPr>
          <w:p w14:paraId="174440CB">
            <w:pPr>
              <w:spacing w:line="360" w:lineRule="auto"/>
              <w:jc w:val="center"/>
              <w:rPr>
                <w:rFonts w:hint="eastAsia" w:ascii="宋体" w:hAnsi="宋体" w:cs="宋体"/>
                <w:szCs w:val="21"/>
              </w:rPr>
            </w:pPr>
            <w:r>
              <w:rPr>
                <w:rFonts w:hint="eastAsia" w:ascii="宋体" w:hAnsi="宋体" w:cs="宋体"/>
                <w:szCs w:val="21"/>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30766EE2">
            <w:pPr>
              <w:spacing w:line="360" w:lineRule="auto"/>
              <w:jc w:val="left"/>
              <w:rPr>
                <w:rFonts w:hint="eastAsia" w:ascii="宋体" w:hAnsi="宋体" w:cs="宋体"/>
                <w:szCs w:val="21"/>
              </w:rPr>
            </w:pPr>
            <w:r>
              <w:rPr>
                <w:rFonts w:hint="eastAsia" w:ascii="宋体" w:hAnsi="宋体"/>
                <w:szCs w:val="21"/>
              </w:rPr>
              <w:t>评标方法：</w:t>
            </w:r>
            <w:r>
              <w:rPr>
                <w:rFonts w:hint="eastAsia"/>
              </w:rPr>
              <w:t>综合评分法</w:t>
            </w:r>
          </w:p>
        </w:tc>
      </w:tr>
      <w:tr w14:paraId="6394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7715D8C6">
            <w:pPr>
              <w:spacing w:line="360" w:lineRule="auto"/>
              <w:jc w:val="center"/>
              <w:rPr>
                <w:rFonts w:hint="eastAsia" w:ascii="宋体" w:hAnsi="宋体" w:cs="宋体"/>
                <w:szCs w:val="21"/>
              </w:rPr>
            </w:pPr>
            <w:r>
              <w:rPr>
                <w:rFonts w:hint="eastAsia" w:ascii="宋体" w:hAnsi="宋体" w:cs="宋体"/>
                <w:szCs w:val="21"/>
              </w:rPr>
              <w:t>12</w:t>
            </w:r>
          </w:p>
        </w:tc>
        <w:tc>
          <w:tcPr>
            <w:tcW w:w="1602" w:type="dxa"/>
            <w:tcBorders>
              <w:top w:val="single" w:color="auto" w:sz="4" w:space="0"/>
              <w:left w:val="single" w:color="auto" w:sz="4" w:space="0"/>
              <w:bottom w:val="single" w:color="auto" w:sz="4" w:space="0"/>
              <w:right w:val="single" w:color="auto" w:sz="4" w:space="0"/>
            </w:tcBorders>
            <w:vAlign w:val="center"/>
          </w:tcPr>
          <w:p w14:paraId="1C2A1A18">
            <w:pPr>
              <w:spacing w:line="360" w:lineRule="auto"/>
              <w:jc w:val="center"/>
              <w:rPr>
                <w:rFonts w:hint="eastAsia" w:ascii="宋体" w:hAnsi="宋体" w:cs="宋体"/>
                <w:szCs w:val="21"/>
              </w:rPr>
            </w:pPr>
            <w:r>
              <w:rPr>
                <w:rFonts w:hint="eastAsia" w:ascii="宋体" w:hAnsi="宋体" w:cs="宋体"/>
                <w:szCs w:val="21"/>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1637CF6E">
            <w:pPr>
              <w:snapToGrid w:val="0"/>
              <w:spacing w:line="360" w:lineRule="auto"/>
              <w:rPr>
                <w:rFonts w:hint="eastAsia" w:ascii="宋体" w:hAnsi="宋体" w:cs="宋体"/>
                <w:szCs w:val="21"/>
              </w:rPr>
            </w:pPr>
            <w:r>
              <w:rPr>
                <w:rFonts w:hint="eastAsia" w:ascii="宋体" w:hAnsi="宋体" w:cs="宋体"/>
                <w:szCs w:val="21"/>
              </w:rPr>
              <w:t>商务条款评审中允许负偏离的非实质性条款数为</w:t>
            </w:r>
            <w:r>
              <w:rPr>
                <w:rFonts w:hint="eastAsia" w:ascii="宋体" w:hAnsi="宋体" w:cs="宋体"/>
                <w:szCs w:val="21"/>
                <w:u w:val="single"/>
              </w:rPr>
              <w:t xml:space="preserve"> 0 </w:t>
            </w:r>
            <w:r>
              <w:rPr>
                <w:rFonts w:hint="eastAsia" w:ascii="宋体" w:hAnsi="宋体" w:cs="宋体"/>
                <w:szCs w:val="21"/>
              </w:rPr>
              <w:t>项。</w:t>
            </w:r>
          </w:p>
          <w:p w14:paraId="761D7817">
            <w:pPr>
              <w:snapToGrid w:val="0"/>
              <w:spacing w:line="360" w:lineRule="auto"/>
              <w:rPr>
                <w:rFonts w:hint="eastAsia" w:ascii="宋体" w:hAnsi="宋体"/>
                <w:szCs w:val="21"/>
              </w:rPr>
            </w:pPr>
            <w:r>
              <w:rPr>
                <w:rFonts w:hint="eastAsia" w:ascii="宋体" w:hAnsi="宋体" w:cs="宋体"/>
                <w:szCs w:val="21"/>
              </w:rPr>
              <w:t>服务需求评审中允许负偏离的非实质性条款数为</w:t>
            </w:r>
            <w:r>
              <w:rPr>
                <w:rFonts w:hint="eastAsia" w:ascii="宋体" w:hAnsi="宋体" w:cs="宋体"/>
                <w:szCs w:val="21"/>
                <w:u w:val="single"/>
              </w:rPr>
              <w:t xml:space="preserve"> 0 </w:t>
            </w:r>
            <w:r>
              <w:rPr>
                <w:rFonts w:hint="eastAsia" w:ascii="宋体" w:hAnsi="宋体" w:cs="宋体"/>
                <w:szCs w:val="21"/>
              </w:rPr>
              <w:t>项。</w:t>
            </w:r>
          </w:p>
        </w:tc>
      </w:tr>
      <w:tr w14:paraId="4678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3A11149">
            <w:pPr>
              <w:spacing w:line="360" w:lineRule="auto"/>
              <w:jc w:val="center"/>
              <w:rPr>
                <w:rFonts w:hint="eastAsia" w:ascii="宋体" w:hAnsi="宋体" w:cs="宋体"/>
                <w:szCs w:val="21"/>
              </w:rPr>
            </w:pPr>
            <w:r>
              <w:rPr>
                <w:rFonts w:hint="eastAsia" w:ascii="宋体" w:hAnsi="宋体" w:cs="宋体"/>
                <w:szCs w:val="21"/>
              </w:rPr>
              <w:t>13</w:t>
            </w:r>
          </w:p>
        </w:tc>
        <w:tc>
          <w:tcPr>
            <w:tcW w:w="1602" w:type="dxa"/>
            <w:tcBorders>
              <w:top w:val="single" w:color="auto" w:sz="4" w:space="0"/>
              <w:left w:val="single" w:color="auto" w:sz="4" w:space="0"/>
              <w:bottom w:val="single" w:color="auto" w:sz="4" w:space="0"/>
              <w:right w:val="single" w:color="auto" w:sz="4" w:space="0"/>
            </w:tcBorders>
            <w:vAlign w:val="center"/>
          </w:tcPr>
          <w:p w14:paraId="35211242">
            <w:pPr>
              <w:spacing w:line="360" w:lineRule="auto"/>
              <w:jc w:val="center"/>
              <w:rPr>
                <w:rFonts w:hint="eastAsia" w:ascii="宋体" w:hAnsi="宋体" w:cs="宋体"/>
                <w:szCs w:val="21"/>
              </w:rPr>
            </w:pPr>
            <w:r>
              <w:rPr>
                <w:rFonts w:hint="eastAsia" w:ascii="宋体" w:hAnsi="宋体" w:cs="宋体"/>
                <w:szCs w:val="21"/>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50C647AA">
            <w:pPr>
              <w:autoSpaceDE w:val="0"/>
              <w:autoSpaceDN w:val="0"/>
              <w:snapToGrid w:val="0"/>
              <w:spacing w:line="360" w:lineRule="auto"/>
              <w:rPr>
                <w:rFonts w:hint="eastAsia" w:ascii="宋体" w:hAnsi="宋体"/>
                <w:szCs w:val="21"/>
              </w:rPr>
            </w:pPr>
            <w:r>
              <w:rPr>
                <w:rFonts w:hint="eastAsia" w:ascii="宋体" w:hAnsi="宋体"/>
                <w:szCs w:val="21"/>
              </w:rPr>
              <w:t>□本项目不收取履约保证金。</w:t>
            </w:r>
          </w:p>
          <w:p w14:paraId="61B82EDB">
            <w:pPr>
              <w:autoSpaceDE w:val="0"/>
              <w:autoSpaceDN w:val="0"/>
              <w:snapToGrid w:val="0"/>
              <w:spacing w:line="360" w:lineRule="auto"/>
              <w:rPr>
                <w:rFonts w:hint="eastAsia" w:ascii="宋体" w:hAnsi="宋体"/>
                <w:szCs w:val="21"/>
              </w:rPr>
            </w:pPr>
            <w:r>
              <w:rPr>
                <w:rFonts w:hint="eastAsia" w:ascii="宋体" w:hAnsi="宋体"/>
                <w:szCs w:val="21"/>
              </w:rPr>
              <w:t>☑本项目收取履约保证金，具体规定如下：</w:t>
            </w:r>
          </w:p>
          <w:p w14:paraId="71EA6930">
            <w:pPr>
              <w:spacing w:line="360" w:lineRule="auto"/>
              <w:contextualSpacing/>
              <w:rPr>
                <w:rFonts w:hint="eastAsia"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2</w:t>
            </w:r>
            <w:r>
              <w:rPr>
                <w:rFonts w:hint="eastAsia" w:ascii="宋体" w:hAnsi="宋体" w:cs="宋体"/>
                <w:szCs w:val="21"/>
              </w:rPr>
              <w:t>%。</w:t>
            </w:r>
            <w:r>
              <w:rPr>
                <w:rFonts w:hint="eastAsia" w:ascii="宋体" w:hAnsi="宋体" w:cs="宋体"/>
                <w:b/>
                <w:szCs w:val="21"/>
              </w:rPr>
              <w:t>（注：履约保证金不超过</w:t>
            </w:r>
            <w:r>
              <w:rPr>
                <w:rFonts w:hint="eastAsia"/>
                <w:b/>
              </w:rPr>
              <w:t>政府采购合同金额的</w:t>
            </w:r>
            <w:r>
              <w:rPr>
                <w:rFonts w:ascii="宋体" w:hAnsi="宋体" w:cs="宋体"/>
                <w:b/>
                <w:szCs w:val="21"/>
              </w:rPr>
              <w:t>5</w:t>
            </w:r>
            <w:r>
              <w:rPr>
                <w:rFonts w:hint="eastAsia" w:ascii="宋体" w:hAnsi="宋体" w:cs="宋体"/>
                <w:b/>
                <w:szCs w:val="21"/>
              </w:rPr>
              <w:t>%，对中小企业收取的履约保证金数额不得超过政府采购合同金额的2%。采购人可根据供应商的资信等情况减免履约保证金。）</w:t>
            </w:r>
          </w:p>
          <w:p w14:paraId="48D24A47">
            <w:pPr>
              <w:spacing w:line="360" w:lineRule="auto"/>
              <w:contextualSpacing/>
              <w:rPr>
                <w:rFonts w:hint="eastAsia" w:ascii="宋体" w:hAnsi="宋体" w:cs="宋体"/>
                <w:szCs w:val="21"/>
              </w:rPr>
            </w:pPr>
            <w:r>
              <w:rPr>
                <w:rFonts w:hint="eastAsia" w:ascii="宋体" w:hAnsi="宋体" w:cs="宋体"/>
                <w:szCs w:val="21"/>
              </w:rPr>
              <w:t>履约保证金提交方式：银行转账、支票、汇票、本票或者银行、保险机构出具的保函、保险单等非现金方式。</w:t>
            </w:r>
          </w:p>
        </w:tc>
      </w:tr>
      <w:tr w14:paraId="2A87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11F1276D">
            <w:pPr>
              <w:spacing w:line="360" w:lineRule="auto"/>
              <w:jc w:val="center"/>
              <w:rPr>
                <w:rFonts w:hint="eastAsia" w:ascii="宋体" w:hAnsi="宋体" w:cs="宋体"/>
                <w:szCs w:val="21"/>
              </w:rPr>
            </w:pPr>
            <w:r>
              <w:rPr>
                <w:rFonts w:hint="eastAsia" w:ascii="宋体" w:hAnsi="宋体" w:cs="宋体"/>
                <w:szCs w:val="21"/>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B822F20">
            <w:pPr>
              <w:spacing w:line="360" w:lineRule="auto"/>
              <w:jc w:val="center"/>
              <w:rPr>
                <w:rFonts w:hint="eastAsia" w:ascii="宋体" w:hAnsi="宋体" w:cs="宋体"/>
                <w:szCs w:val="21"/>
              </w:rPr>
            </w:pPr>
            <w:r>
              <w:rPr>
                <w:rFonts w:hint="eastAsia" w:ascii="宋体" w:hAnsi="宋体" w:cs="宋体"/>
                <w:szCs w:val="21"/>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7C56D71B">
            <w:pPr>
              <w:spacing w:line="360" w:lineRule="auto"/>
              <w:jc w:val="left"/>
              <w:rPr>
                <w:rFonts w:hint="eastAsia" w:ascii="宋体" w:hAnsi="宋体" w:cs="宋体"/>
                <w:szCs w:val="21"/>
              </w:rPr>
            </w:pPr>
            <w:r>
              <w:rPr>
                <w:rFonts w:hint="eastAsia" w:ascii="宋体" w:hAnsi="宋体" w:cs="宋体"/>
                <w:szCs w:val="21"/>
              </w:rPr>
              <w:t>本项目采购预算价：</w:t>
            </w:r>
            <w:r>
              <w:rPr>
                <w:rFonts w:hint="eastAsia"/>
              </w:rPr>
              <w:t xml:space="preserve"> </w:t>
            </w:r>
            <w:r>
              <w:rPr>
                <w:rFonts w:hint="eastAsia" w:ascii="宋体" w:hAnsi="宋体" w:cs="宋体"/>
                <w:szCs w:val="21"/>
              </w:rPr>
              <w:t>780174.14元</w:t>
            </w:r>
          </w:p>
        </w:tc>
      </w:tr>
      <w:tr w14:paraId="6FAB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E636AAA">
            <w:pPr>
              <w:spacing w:line="360" w:lineRule="auto"/>
              <w:jc w:val="center"/>
              <w:rPr>
                <w:rFonts w:hint="eastAsia" w:ascii="宋体" w:hAnsi="宋体" w:cs="宋体"/>
                <w:szCs w:val="21"/>
              </w:rPr>
            </w:pPr>
            <w:r>
              <w:rPr>
                <w:rFonts w:hint="eastAsia" w:ascii="宋体" w:hAnsi="宋体" w:cs="宋体"/>
                <w:szCs w:val="21"/>
              </w:rPr>
              <w:t>15</w:t>
            </w:r>
          </w:p>
        </w:tc>
        <w:tc>
          <w:tcPr>
            <w:tcW w:w="1602" w:type="dxa"/>
            <w:tcBorders>
              <w:top w:val="single" w:color="auto" w:sz="4" w:space="0"/>
              <w:left w:val="single" w:color="auto" w:sz="4" w:space="0"/>
              <w:bottom w:val="single" w:color="auto" w:sz="4" w:space="0"/>
              <w:right w:val="single" w:color="auto" w:sz="4" w:space="0"/>
            </w:tcBorders>
            <w:vAlign w:val="center"/>
          </w:tcPr>
          <w:p w14:paraId="66FFD0B9">
            <w:pPr>
              <w:spacing w:line="360" w:lineRule="auto"/>
              <w:jc w:val="center"/>
              <w:rPr>
                <w:rFonts w:hint="eastAsia" w:ascii="宋体" w:hAnsi="宋体" w:cs="宋体"/>
                <w:szCs w:val="21"/>
              </w:rPr>
            </w:pPr>
            <w:r>
              <w:rPr>
                <w:rFonts w:hint="eastAsia" w:ascii="宋体" w:hAnsi="宋体"/>
                <w:szCs w:val="21"/>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7EF748A8">
            <w:pPr>
              <w:snapToGrid w:val="0"/>
              <w:spacing w:line="360" w:lineRule="auto"/>
              <w:rPr>
                <w:rFonts w:hint="eastAsia" w:ascii="宋体" w:hAnsi="宋体" w:cs="宋体"/>
                <w:szCs w:val="21"/>
              </w:rPr>
            </w:pPr>
            <w:r>
              <w:rPr>
                <w:rFonts w:hint="eastAsia" w:ascii="宋体" w:hAnsi="宋体"/>
                <w:szCs w:val="21"/>
              </w:rPr>
              <w:t>以书面形式</w:t>
            </w:r>
          </w:p>
        </w:tc>
      </w:tr>
      <w:tr w14:paraId="316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AC69269">
            <w:pPr>
              <w:spacing w:line="360" w:lineRule="auto"/>
              <w:jc w:val="center"/>
              <w:rPr>
                <w:rFonts w:hint="eastAsia" w:ascii="宋体" w:hAnsi="宋体" w:cs="宋体"/>
                <w:szCs w:val="21"/>
              </w:rPr>
            </w:pPr>
            <w:r>
              <w:rPr>
                <w:rFonts w:hint="eastAsia" w:ascii="宋体" w:hAnsi="宋体" w:cs="宋体"/>
                <w:szCs w:val="21"/>
              </w:rPr>
              <w:t>16</w:t>
            </w:r>
          </w:p>
        </w:tc>
        <w:tc>
          <w:tcPr>
            <w:tcW w:w="1602" w:type="dxa"/>
            <w:tcBorders>
              <w:top w:val="single" w:color="auto" w:sz="4" w:space="0"/>
              <w:left w:val="single" w:color="auto" w:sz="4" w:space="0"/>
              <w:bottom w:val="single" w:color="auto" w:sz="4" w:space="0"/>
              <w:right w:val="single" w:color="auto" w:sz="4" w:space="0"/>
            </w:tcBorders>
            <w:vAlign w:val="center"/>
          </w:tcPr>
          <w:p w14:paraId="4EEB90B3">
            <w:pPr>
              <w:spacing w:line="360" w:lineRule="auto"/>
              <w:jc w:val="center"/>
              <w:rPr>
                <w:rFonts w:hint="eastAsia" w:ascii="宋体" w:hAnsi="宋体" w:cs="宋体"/>
                <w:szCs w:val="21"/>
              </w:rPr>
            </w:pPr>
            <w:r>
              <w:rPr>
                <w:rFonts w:hint="eastAsia" w:ascii="宋体" w:hAnsi="宋体"/>
                <w:szCs w:val="21"/>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3E1AF29A">
            <w:pPr>
              <w:snapToGrid w:val="0"/>
              <w:spacing w:line="360" w:lineRule="auto"/>
              <w:rPr>
                <w:rFonts w:hint="eastAsia" w:ascii="宋体" w:hAnsi="宋体"/>
                <w:szCs w:val="21"/>
              </w:rPr>
            </w:pPr>
            <w:r>
              <w:rPr>
                <w:rFonts w:hint="eastAsia" w:ascii="宋体" w:hAnsi="宋体"/>
                <w:szCs w:val="21"/>
              </w:rPr>
              <w:t>广西荣胜项目管理有限公司</w:t>
            </w:r>
          </w:p>
          <w:p w14:paraId="2AD9D40A">
            <w:pPr>
              <w:snapToGrid w:val="0"/>
              <w:spacing w:line="360" w:lineRule="auto"/>
              <w:rPr>
                <w:rFonts w:hint="eastAsia" w:ascii="宋体" w:hAnsi="宋体"/>
                <w:szCs w:val="21"/>
              </w:rPr>
            </w:pPr>
            <w:r>
              <w:rPr>
                <w:rFonts w:ascii="宋体" w:hAnsi="宋体"/>
                <w:szCs w:val="21"/>
              </w:rPr>
              <w:t>联系电话</w:t>
            </w:r>
            <w:r>
              <w:rPr>
                <w:rFonts w:hint="eastAsia" w:ascii="宋体" w:hAnsi="宋体"/>
                <w:szCs w:val="21"/>
              </w:rPr>
              <w:t>：0777-5512166</w:t>
            </w:r>
          </w:p>
          <w:p w14:paraId="01A85229">
            <w:pPr>
              <w:snapToGrid w:val="0"/>
              <w:spacing w:line="360" w:lineRule="auto"/>
              <w:rPr>
                <w:rFonts w:hint="eastAsia" w:hAnsi="宋体"/>
                <w:b/>
              </w:rPr>
            </w:pPr>
            <w:r>
              <w:rPr>
                <w:rFonts w:ascii="宋体" w:hAnsi="宋体"/>
                <w:szCs w:val="21"/>
              </w:rPr>
              <w:t>通讯地址</w:t>
            </w:r>
            <w:r>
              <w:rPr>
                <w:rFonts w:hint="eastAsia" w:ascii="宋体" w:hAnsi="宋体" w:cs="Helvetica"/>
                <w:szCs w:val="21"/>
              </w:rPr>
              <w:t>：</w:t>
            </w:r>
            <w:r>
              <w:rPr>
                <w:rFonts w:hint="eastAsia" w:ascii="宋体" w:hAnsi="宋体"/>
                <w:szCs w:val="21"/>
              </w:rPr>
              <w:t>钦州市蓬莱大道鸿亭街333号皇庭天麓湖小区183栋203室</w:t>
            </w:r>
          </w:p>
        </w:tc>
      </w:tr>
      <w:tr w14:paraId="3708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7EC6D063">
            <w:pPr>
              <w:spacing w:line="360" w:lineRule="auto"/>
              <w:jc w:val="center"/>
              <w:rPr>
                <w:rFonts w:hint="eastAsia" w:ascii="宋体" w:hAnsi="宋体" w:cs="宋体"/>
                <w:szCs w:val="21"/>
              </w:rPr>
            </w:pPr>
            <w:r>
              <w:rPr>
                <w:rFonts w:hint="eastAsia" w:ascii="宋体" w:hAnsi="宋体" w:cs="宋体"/>
                <w:szCs w:val="21"/>
              </w:rPr>
              <w:t>17</w:t>
            </w:r>
          </w:p>
        </w:tc>
        <w:tc>
          <w:tcPr>
            <w:tcW w:w="1602" w:type="dxa"/>
            <w:tcBorders>
              <w:top w:val="single" w:color="auto" w:sz="4" w:space="0"/>
              <w:left w:val="single" w:color="auto" w:sz="4" w:space="0"/>
              <w:bottom w:val="single" w:color="auto" w:sz="4" w:space="0"/>
              <w:right w:val="single" w:color="auto" w:sz="4" w:space="0"/>
            </w:tcBorders>
            <w:vAlign w:val="center"/>
          </w:tcPr>
          <w:p w14:paraId="2C3553D9">
            <w:pPr>
              <w:spacing w:line="360" w:lineRule="auto"/>
              <w:jc w:val="center"/>
              <w:rPr>
                <w:rFonts w:hint="eastAsia" w:ascii="宋体" w:hAnsi="宋体" w:cs="宋体"/>
                <w:szCs w:val="21"/>
              </w:rPr>
            </w:pPr>
            <w:r>
              <w:rPr>
                <w:rFonts w:hint="eastAsia" w:hAnsi="宋体"/>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14DE8107">
            <w:pPr>
              <w:snapToGrid w:val="0"/>
              <w:spacing w:line="360" w:lineRule="auto"/>
              <w:rPr>
                <w:rFonts w:hint="eastAsia" w:hAnsi="宋体"/>
                <w:b/>
              </w:rPr>
            </w:pPr>
            <w:r>
              <w:rPr>
                <w:rFonts w:hint="eastAsia" w:hAnsi="宋体"/>
              </w:rPr>
              <w:t>质疑期内每个工作日</w:t>
            </w:r>
            <w:r>
              <w:rPr>
                <w:rFonts w:hint="eastAsia" w:hAnsi="宋体"/>
                <w:u w:val="single"/>
              </w:rPr>
              <w:t>08</w:t>
            </w:r>
            <w:r>
              <w:rPr>
                <w:rFonts w:hint="eastAsia" w:hAnsi="宋体"/>
              </w:rPr>
              <w:t>时</w:t>
            </w:r>
            <w:r>
              <w:rPr>
                <w:rFonts w:hint="eastAsia" w:hAnsi="宋体"/>
                <w:u w:val="single"/>
              </w:rPr>
              <w:t>00</w:t>
            </w:r>
            <w:r>
              <w:rPr>
                <w:rFonts w:hint="eastAsia" w:hAnsi="宋体"/>
              </w:rPr>
              <w:t>分到</w:t>
            </w:r>
            <w:r>
              <w:rPr>
                <w:rFonts w:hint="eastAsia" w:hAnsi="宋体"/>
                <w:u w:val="single"/>
              </w:rPr>
              <w:t>12</w:t>
            </w:r>
            <w:r>
              <w:rPr>
                <w:rFonts w:hint="eastAsia" w:hAnsi="宋体"/>
              </w:rPr>
              <w:t>时</w:t>
            </w:r>
            <w:r>
              <w:rPr>
                <w:rFonts w:hint="eastAsia" w:hAnsi="宋体"/>
                <w:u w:val="single"/>
              </w:rPr>
              <w:t>00</w:t>
            </w:r>
            <w:r>
              <w:rPr>
                <w:rFonts w:hint="eastAsia" w:hAnsi="宋体"/>
              </w:rPr>
              <w:t>分，</w:t>
            </w:r>
            <w:r>
              <w:rPr>
                <w:rFonts w:hint="eastAsia" w:hAnsi="宋体"/>
                <w:u w:val="single"/>
              </w:rPr>
              <w:t>15</w:t>
            </w:r>
            <w:r>
              <w:rPr>
                <w:rFonts w:hint="eastAsia" w:hAnsi="宋体"/>
              </w:rPr>
              <w:t>时</w:t>
            </w:r>
            <w:r>
              <w:rPr>
                <w:rFonts w:hint="eastAsia" w:hAnsi="宋体"/>
                <w:u w:val="single"/>
              </w:rPr>
              <w:t>00</w:t>
            </w:r>
            <w:r>
              <w:rPr>
                <w:rFonts w:hint="eastAsia" w:hAnsi="宋体"/>
              </w:rPr>
              <w:t>分到</w:t>
            </w:r>
            <w:r>
              <w:rPr>
                <w:rFonts w:hint="eastAsia" w:hAnsi="宋体"/>
                <w:u w:val="single"/>
              </w:rPr>
              <w:t>18</w:t>
            </w:r>
            <w:r>
              <w:rPr>
                <w:rFonts w:hint="eastAsia" w:hAnsi="宋体"/>
              </w:rPr>
              <w:t>时</w:t>
            </w:r>
            <w:r>
              <w:rPr>
                <w:rFonts w:hint="eastAsia" w:hAnsi="宋体"/>
                <w:u w:val="single"/>
              </w:rPr>
              <w:t>00</w:t>
            </w:r>
            <w:r>
              <w:rPr>
                <w:rFonts w:hint="eastAsia" w:hAnsi="宋体"/>
              </w:rPr>
              <w:t>分</w:t>
            </w:r>
          </w:p>
        </w:tc>
      </w:tr>
      <w:tr w14:paraId="1A4C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381D7B3">
            <w:pPr>
              <w:spacing w:line="360" w:lineRule="auto"/>
              <w:jc w:val="center"/>
              <w:rPr>
                <w:rFonts w:hint="eastAsia" w:ascii="宋体" w:hAnsi="宋体" w:cs="宋体"/>
                <w:szCs w:val="21"/>
              </w:rPr>
            </w:pPr>
            <w:r>
              <w:rPr>
                <w:rFonts w:hint="eastAsia" w:ascii="宋体" w:hAnsi="宋体" w:cs="宋体"/>
                <w:szCs w:val="21"/>
              </w:rPr>
              <w:t>18</w:t>
            </w:r>
          </w:p>
        </w:tc>
        <w:tc>
          <w:tcPr>
            <w:tcW w:w="1602" w:type="dxa"/>
            <w:tcBorders>
              <w:top w:val="single" w:color="auto" w:sz="4" w:space="0"/>
              <w:left w:val="single" w:color="auto" w:sz="4" w:space="0"/>
              <w:bottom w:val="single" w:color="auto" w:sz="4" w:space="0"/>
              <w:right w:val="single" w:color="auto" w:sz="4" w:space="0"/>
            </w:tcBorders>
            <w:vAlign w:val="center"/>
          </w:tcPr>
          <w:p w14:paraId="073CCB64">
            <w:pPr>
              <w:spacing w:line="360" w:lineRule="auto"/>
              <w:jc w:val="center"/>
              <w:rPr>
                <w:rFonts w:hint="eastAsia" w:hAnsi="宋体"/>
              </w:rPr>
            </w:pPr>
            <w:r>
              <w:rPr>
                <w:rFonts w:hint="eastAsia" w:ascii="宋体" w:hAnsi="宋体" w:cs="宋体"/>
                <w:szCs w:val="21"/>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42537B3E">
            <w:pPr>
              <w:pStyle w:val="13"/>
              <w:snapToGrid w:val="0"/>
              <w:spacing w:line="360" w:lineRule="auto"/>
              <w:rPr>
                <w:rFonts w:hint="eastAsia" w:hAnsi="宋体" w:cs="宋体"/>
              </w:rPr>
            </w:pPr>
            <w:r>
              <w:rPr>
                <w:rFonts w:hint="eastAsia" w:hAnsi="宋体" w:cs="宋体"/>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14:paraId="17ABD10B">
            <w:pPr>
              <w:pStyle w:val="13"/>
              <w:snapToGrid w:val="0"/>
              <w:spacing w:line="360" w:lineRule="auto"/>
              <w:rPr>
                <w:rFonts w:hint="eastAsia" w:hAnsi="宋体" w:cs="宋体"/>
              </w:rPr>
            </w:pPr>
            <w:r>
              <w:rPr>
                <w:rFonts w:hint="eastAsia" w:hAnsi="宋体" w:cs="宋体"/>
              </w:rPr>
              <w:t>2. 代理服务费收取银行账户：</w:t>
            </w:r>
          </w:p>
          <w:p w14:paraId="357F4C78">
            <w:pPr>
              <w:pStyle w:val="13"/>
              <w:snapToGrid w:val="0"/>
              <w:spacing w:line="360" w:lineRule="auto"/>
              <w:rPr>
                <w:rFonts w:hint="eastAsia" w:hAnsi="宋体" w:cs="宋体"/>
              </w:rPr>
            </w:pPr>
            <w:r>
              <w:rPr>
                <w:rFonts w:hint="eastAsia" w:hAnsi="宋体" w:cs="宋体"/>
              </w:rPr>
              <w:t>开户名称：广西荣胜项目管理有限公司灵山分公司</w:t>
            </w:r>
          </w:p>
          <w:p w14:paraId="6FA55748">
            <w:pPr>
              <w:pStyle w:val="13"/>
              <w:snapToGrid w:val="0"/>
              <w:spacing w:line="360" w:lineRule="auto"/>
              <w:rPr>
                <w:rFonts w:hint="eastAsia" w:hAnsi="宋体" w:cs="宋体"/>
              </w:rPr>
            </w:pPr>
            <w:r>
              <w:rPr>
                <w:rFonts w:hint="eastAsia" w:hAnsi="宋体" w:cs="宋体"/>
              </w:rPr>
              <w:t>账  号：811712010121967396</w:t>
            </w:r>
          </w:p>
          <w:p w14:paraId="35124E22">
            <w:pPr>
              <w:pStyle w:val="13"/>
              <w:snapToGrid w:val="0"/>
              <w:spacing w:line="360" w:lineRule="auto"/>
              <w:rPr>
                <w:rFonts w:hint="eastAsia" w:hAnsi="宋体"/>
              </w:rPr>
            </w:pPr>
            <w:r>
              <w:rPr>
                <w:rFonts w:hint="eastAsia" w:hAnsi="宋体" w:cs="宋体"/>
              </w:rPr>
              <w:t>开户行：灵山县农村信用合作联社平山信用社</w:t>
            </w:r>
          </w:p>
        </w:tc>
      </w:tr>
      <w:tr w14:paraId="7151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87DB3DF">
            <w:pPr>
              <w:spacing w:line="360" w:lineRule="auto"/>
              <w:jc w:val="center"/>
              <w:rPr>
                <w:rFonts w:hint="eastAsia" w:ascii="宋体" w:hAnsi="宋体" w:cs="宋体"/>
                <w:szCs w:val="21"/>
              </w:rPr>
            </w:pPr>
            <w:r>
              <w:rPr>
                <w:rFonts w:hint="eastAsia" w:ascii="宋体" w:hAnsi="宋体" w:cs="宋体"/>
                <w:szCs w:val="21"/>
              </w:rPr>
              <w:t>19</w:t>
            </w:r>
          </w:p>
        </w:tc>
        <w:tc>
          <w:tcPr>
            <w:tcW w:w="1602" w:type="dxa"/>
            <w:tcBorders>
              <w:top w:val="single" w:color="auto" w:sz="4" w:space="0"/>
              <w:left w:val="single" w:color="auto" w:sz="4" w:space="0"/>
              <w:bottom w:val="single" w:color="auto" w:sz="4" w:space="0"/>
              <w:right w:val="single" w:color="auto" w:sz="4" w:space="0"/>
            </w:tcBorders>
            <w:vAlign w:val="center"/>
          </w:tcPr>
          <w:p w14:paraId="096A616F">
            <w:pPr>
              <w:spacing w:line="360" w:lineRule="auto"/>
              <w:jc w:val="center"/>
              <w:rPr>
                <w:rFonts w:hint="eastAsia" w:ascii="宋体" w:hAnsi="宋体" w:cs="宋体"/>
                <w:szCs w:val="21"/>
              </w:rPr>
            </w:pPr>
            <w:r>
              <w:rPr>
                <w:rFonts w:hint="eastAsia" w:hAnsi="宋体"/>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512896B2">
            <w:pPr>
              <w:pStyle w:val="13"/>
              <w:snapToGrid w:val="0"/>
              <w:spacing w:line="360" w:lineRule="auto"/>
              <w:rPr>
                <w:rFonts w:hint="eastAsia" w:hAnsi="宋体" w:cs="宋体"/>
                <w:b/>
              </w:rPr>
            </w:pPr>
            <w:r>
              <w:rPr>
                <w:rFonts w:hint="eastAsia" w:hAnsi="宋体" w:cs="宋体"/>
                <w:b/>
              </w:rPr>
              <w:t>解释权：</w:t>
            </w:r>
            <w:r>
              <w:rPr>
                <w:rFonts w:hAnsi="宋体" w:cs="宋体"/>
              </w:rPr>
              <w:t>构成本</w:t>
            </w:r>
            <w:r>
              <w:rPr>
                <w:rFonts w:hint="eastAsia" w:hAnsi="宋体" w:cs="宋体"/>
              </w:rPr>
              <w:t>磋商文件</w:t>
            </w:r>
            <w:r>
              <w:rPr>
                <w:rFonts w:hAnsi="宋体" w:cs="宋体"/>
              </w:rPr>
              <w:t>的各个组成文件应互为解释，互为说明；除</w:t>
            </w:r>
            <w:r>
              <w:rPr>
                <w:rFonts w:hint="eastAsia" w:hAnsi="宋体" w:cs="宋体"/>
              </w:rPr>
              <w:t>磋商文件</w:t>
            </w:r>
            <w:r>
              <w:rPr>
                <w:rFonts w:hAnsi="宋体" w:cs="宋体"/>
              </w:rPr>
              <w:t>中有特别规定外，仅适用于</w:t>
            </w:r>
            <w:r>
              <w:rPr>
                <w:rFonts w:hint="eastAsia" w:hAnsi="宋体" w:cs="宋体"/>
              </w:rPr>
              <w:t>竞标</w:t>
            </w:r>
            <w:r>
              <w:rPr>
                <w:rFonts w:hAnsi="宋体" w:cs="宋体"/>
              </w:rPr>
              <w:t>阶段的规定，按</w:t>
            </w:r>
            <w:r>
              <w:rPr>
                <w:rFonts w:hint="eastAsia" w:hAnsi="宋体" w:cs="宋体"/>
              </w:rPr>
              <w:t>更正公告（澄清公告）</w:t>
            </w:r>
            <w:r>
              <w:rPr>
                <w:rFonts w:hAnsi="宋体" w:cs="宋体"/>
              </w:rPr>
              <w:t>、</w:t>
            </w:r>
            <w:r>
              <w:rPr>
                <w:rFonts w:hint="eastAsia" w:hAnsi="宋体" w:cs="宋体"/>
              </w:rPr>
              <w:t>竞争性磋商</w:t>
            </w:r>
            <w:r>
              <w:rPr>
                <w:rFonts w:hAnsi="宋体" w:cs="宋体"/>
              </w:rPr>
              <w:t>公告、</w:t>
            </w:r>
            <w:r>
              <w:rPr>
                <w:rFonts w:hint="eastAsia" w:hAnsi="宋体" w:cs="宋体"/>
              </w:rPr>
              <w:t>供应商</w:t>
            </w:r>
            <w:r>
              <w:rPr>
                <w:rFonts w:hAnsi="宋体" w:cs="宋体"/>
              </w:rPr>
              <w:t>须知</w:t>
            </w:r>
            <w:r>
              <w:rPr>
                <w:rFonts w:hint="eastAsia" w:hAnsi="宋体" w:cs="宋体"/>
              </w:rPr>
              <w:t>、采购需求</w:t>
            </w:r>
            <w:r>
              <w:rPr>
                <w:rFonts w:hAnsi="宋体" w:cs="宋体"/>
              </w:rPr>
              <w:t>、</w:t>
            </w:r>
            <w:r>
              <w:rPr>
                <w:rFonts w:hint="eastAsia" w:hAnsi="宋体" w:cs="宋体"/>
              </w:rPr>
              <w:t>评审程序、评审方法和评审标准</w:t>
            </w:r>
            <w:r>
              <w:rPr>
                <w:rFonts w:hAnsi="宋体" w:cs="宋体"/>
              </w:rPr>
              <w:t>、</w:t>
            </w:r>
            <w:r>
              <w:rPr>
                <w:rFonts w:hint="eastAsia" w:hAnsi="宋体" w:cs="宋体"/>
              </w:rPr>
              <w:t>响应</w:t>
            </w:r>
            <w:r>
              <w:rPr>
                <w:rFonts w:hAnsi="宋体" w:cs="宋体"/>
              </w:rPr>
              <w:t>文件格式</w:t>
            </w:r>
            <w:r>
              <w:rPr>
                <w:rFonts w:hint="eastAsia" w:hAnsi="宋体" w:cs="宋体"/>
              </w:rPr>
              <w:t>、合同文本</w:t>
            </w:r>
            <w:r>
              <w:rPr>
                <w:rFonts w:hAnsi="宋体" w:cs="宋体"/>
              </w:rPr>
              <w:t>的先后顺序解释；同一组成文件中就同一事项的规定或者约定不一致的，以编排顺序在后者为准；同一组成文件不同版本之间有不一致的，以形成时间在后者为准；</w:t>
            </w:r>
            <w:r>
              <w:rPr>
                <w:rFonts w:hint="eastAsia" w:hAnsi="宋体" w:cs="宋体"/>
              </w:rPr>
              <w:t>更正公告（澄清公告）</w:t>
            </w:r>
            <w:r>
              <w:rPr>
                <w:rFonts w:hAnsi="宋体" w:cs="宋体"/>
              </w:rPr>
              <w:t>与同步更新的</w:t>
            </w:r>
            <w:r>
              <w:rPr>
                <w:rFonts w:hint="eastAsia" w:hAnsi="宋体" w:cs="宋体"/>
              </w:rPr>
              <w:t>磋商文件</w:t>
            </w:r>
            <w:r>
              <w:rPr>
                <w:rFonts w:hAnsi="宋体" w:cs="宋体"/>
              </w:rPr>
              <w:t>不一致时以</w:t>
            </w:r>
            <w:r>
              <w:rPr>
                <w:rFonts w:hint="eastAsia" w:hAnsi="宋体" w:cs="宋体"/>
              </w:rPr>
              <w:t>更正公告（澄清公告）</w:t>
            </w:r>
            <w:r>
              <w:rPr>
                <w:rFonts w:hAnsi="宋体" w:cs="宋体"/>
              </w:rPr>
              <w:t>为准。按本款前述规定仍不能形成结论的，</w:t>
            </w:r>
            <w:r>
              <w:rPr>
                <w:rFonts w:hAnsi="宋体" w:cs="宋体"/>
                <w:b/>
              </w:rPr>
              <w:t>由</w:t>
            </w:r>
            <w:r>
              <w:rPr>
                <w:rFonts w:hint="eastAsia" w:hAnsi="宋体" w:cs="宋体"/>
                <w:b/>
              </w:rPr>
              <w:t>采购</w:t>
            </w:r>
            <w:r>
              <w:rPr>
                <w:rFonts w:hAnsi="宋体" w:cs="宋体"/>
                <w:b/>
              </w:rPr>
              <w:t>人</w:t>
            </w:r>
            <w:r>
              <w:rPr>
                <w:rFonts w:hint="eastAsia" w:hAnsi="宋体" w:cs="宋体"/>
                <w:b/>
              </w:rPr>
              <w:t>或者采购代理机构</w:t>
            </w:r>
            <w:r>
              <w:rPr>
                <w:rFonts w:hAnsi="宋体" w:cs="宋体"/>
                <w:b/>
              </w:rPr>
              <w:t>负责解释。</w:t>
            </w:r>
          </w:p>
          <w:p w14:paraId="1D2A0D6C">
            <w:pPr>
              <w:pStyle w:val="13"/>
              <w:snapToGrid w:val="0"/>
              <w:spacing w:line="360" w:lineRule="auto"/>
              <w:rPr>
                <w:rFonts w:hint="eastAsia" w:hAnsi="宋体" w:cs="宋体"/>
              </w:rPr>
            </w:pPr>
            <w:r>
              <w:rPr>
                <w:rFonts w:hint="eastAsia" w:hAnsi="宋体" w:cs="宋体"/>
                <w:b/>
              </w:rPr>
              <w:t>法律责任：</w:t>
            </w:r>
            <w:r>
              <w:rPr>
                <w:rFonts w:hint="eastAsia" w:hAnsi="宋体" w:cs="宋体"/>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50E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51F8C25">
            <w:pPr>
              <w:spacing w:line="360" w:lineRule="auto"/>
              <w:jc w:val="center"/>
              <w:rPr>
                <w:rFonts w:hint="eastAsia" w:ascii="宋体" w:hAnsi="宋体" w:cs="宋体"/>
                <w:szCs w:val="21"/>
              </w:rPr>
            </w:pPr>
            <w:r>
              <w:rPr>
                <w:rFonts w:hint="eastAsia" w:ascii="宋体" w:hAnsi="宋体" w:cs="宋体"/>
                <w:szCs w:val="21"/>
              </w:rPr>
              <w:t>20</w:t>
            </w:r>
          </w:p>
        </w:tc>
        <w:tc>
          <w:tcPr>
            <w:tcW w:w="1602" w:type="dxa"/>
            <w:tcBorders>
              <w:top w:val="single" w:color="auto" w:sz="4" w:space="0"/>
              <w:left w:val="single" w:color="auto" w:sz="4" w:space="0"/>
              <w:bottom w:val="single" w:color="auto" w:sz="4" w:space="0"/>
              <w:right w:val="single" w:color="auto" w:sz="4" w:space="0"/>
            </w:tcBorders>
            <w:vAlign w:val="center"/>
          </w:tcPr>
          <w:p w14:paraId="06506241">
            <w:pPr>
              <w:spacing w:line="360" w:lineRule="auto"/>
              <w:jc w:val="center"/>
              <w:rPr>
                <w:rFonts w:hint="eastAsia" w:ascii="宋体" w:hAnsi="宋体" w:cs="宋体"/>
                <w:szCs w:val="21"/>
              </w:rPr>
            </w:pPr>
            <w:r>
              <w:rPr>
                <w:rFonts w:hint="eastAsia" w:ascii="宋体" w:hAnsi="宋体" w:cs="宋体"/>
                <w:szCs w:val="21"/>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54D5FFEC">
            <w:pPr>
              <w:pStyle w:val="13"/>
              <w:spacing w:line="360" w:lineRule="auto"/>
              <w:rPr>
                <w:rFonts w:hint="eastAsia" w:hAnsi="宋体" w:cs="宋体"/>
              </w:rPr>
            </w:pPr>
            <w:r>
              <w:rPr>
                <w:rFonts w:hint="eastAsia" w:hAnsi="宋体" w:cs="宋体"/>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0C7F64C">
            <w:pPr>
              <w:pStyle w:val="13"/>
              <w:spacing w:line="360" w:lineRule="auto"/>
              <w:rPr>
                <w:rFonts w:hint="eastAsia" w:hAnsi="宋体" w:cs="宋体"/>
              </w:rPr>
            </w:pPr>
            <w:r>
              <w:rPr>
                <w:rFonts w:hint="eastAsia" w:hAnsi="宋体" w:cs="宋体"/>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02409B3A">
            <w:pPr>
              <w:pStyle w:val="13"/>
              <w:spacing w:line="360" w:lineRule="auto"/>
              <w:rPr>
                <w:rFonts w:hint="eastAsia" w:hAnsi="宋体" w:cs="宋体"/>
              </w:rPr>
            </w:pPr>
            <w:r>
              <w:rPr>
                <w:rFonts w:hint="eastAsia" w:hAnsi="宋体" w:cs="宋体"/>
              </w:rPr>
              <w:t>3.本磋商文件中描述供应商的“签字”是指供应商的法定代表人或者委托代理人亲自在文件规定签署处亲笔写上个人的名字的行为，私章、签字章、印鉴、影印等其他形式均不能代替亲笔签字。</w:t>
            </w:r>
          </w:p>
          <w:p w14:paraId="038FBCD7">
            <w:pPr>
              <w:pStyle w:val="13"/>
              <w:spacing w:line="360" w:lineRule="auto"/>
              <w:rPr>
                <w:rFonts w:hint="eastAsia" w:hAnsi="宋体" w:cs="宋体"/>
              </w:rPr>
            </w:pPr>
            <w:r>
              <w:rPr>
                <w:rFonts w:hint="eastAsia" w:hAnsi="宋体" w:cs="宋体"/>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C4C437F">
            <w:pPr>
              <w:pStyle w:val="13"/>
              <w:spacing w:line="360" w:lineRule="auto"/>
              <w:rPr>
                <w:rFonts w:hint="eastAsia" w:hAnsi="宋体" w:cs="宋体"/>
              </w:rPr>
            </w:pPr>
            <w:r>
              <w:rPr>
                <w:rFonts w:hint="eastAsia" w:hAnsi="宋体" w:cs="宋体"/>
              </w:rPr>
              <w:t>5</w:t>
            </w:r>
            <w:r>
              <w:rPr>
                <w:rFonts w:hAnsi="宋体" w:cs="宋体"/>
              </w:rPr>
              <w:t>.</w:t>
            </w:r>
            <w:r>
              <w:rPr>
                <w:rFonts w:hint="eastAsia" w:hAnsi="宋体" w:cs="宋体"/>
              </w:rPr>
              <w:t>自然人竞标的，磋商文件规定盖公章处由自然人摁手指指印。</w:t>
            </w:r>
          </w:p>
          <w:p w14:paraId="54C6433B">
            <w:pPr>
              <w:pStyle w:val="13"/>
              <w:spacing w:line="360" w:lineRule="auto"/>
              <w:rPr>
                <w:rFonts w:hint="eastAsia" w:hAnsi="宋体" w:cs="宋体"/>
              </w:rPr>
            </w:pPr>
            <w:r>
              <w:rPr>
                <w:rFonts w:hint="eastAsia" w:hAnsi="宋体" w:cs="宋体"/>
              </w:rPr>
              <w:t>6</w:t>
            </w:r>
            <w:r>
              <w:rPr>
                <w:rFonts w:hAnsi="宋体" w:cs="宋体"/>
              </w:rPr>
              <w:t>.</w:t>
            </w:r>
            <w:r>
              <w:rPr>
                <w:rFonts w:hint="eastAsia" w:hAnsi="宋体" w:cs="宋体"/>
              </w:rPr>
              <w:t>本磋商文件所称的“以上”“以下”“以内”“届满”，包括本数；所称的“不满”“超过”“以外”，不包括本数。</w:t>
            </w:r>
          </w:p>
        </w:tc>
      </w:tr>
      <w:tr w14:paraId="44A1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17F2A500">
            <w:pPr>
              <w:spacing w:line="360" w:lineRule="auto"/>
              <w:jc w:val="center"/>
              <w:rPr>
                <w:rFonts w:hint="eastAsia" w:ascii="宋体" w:hAnsi="宋体" w:cs="宋体"/>
                <w:szCs w:val="21"/>
              </w:rPr>
            </w:pPr>
            <w:r>
              <w:rPr>
                <w:rFonts w:hint="eastAsia" w:ascii="宋体" w:hAnsi="宋体" w:cs="宋体"/>
                <w:szCs w:val="21"/>
              </w:rPr>
              <w:t>21</w:t>
            </w:r>
          </w:p>
        </w:tc>
        <w:tc>
          <w:tcPr>
            <w:tcW w:w="1602" w:type="dxa"/>
            <w:tcBorders>
              <w:top w:val="single" w:color="auto" w:sz="4" w:space="0"/>
              <w:left w:val="single" w:color="auto" w:sz="4" w:space="0"/>
              <w:bottom w:val="single" w:color="auto" w:sz="4" w:space="0"/>
              <w:right w:val="single" w:color="auto" w:sz="4" w:space="0"/>
            </w:tcBorders>
            <w:vAlign w:val="center"/>
          </w:tcPr>
          <w:p w14:paraId="52B0A287">
            <w:pPr>
              <w:spacing w:line="360" w:lineRule="auto"/>
              <w:jc w:val="center"/>
              <w:rPr>
                <w:rFonts w:hint="eastAsia" w:ascii="宋体" w:hAnsi="宋体" w:cs="宋体"/>
                <w:szCs w:val="21"/>
              </w:rPr>
            </w:pPr>
            <w:r>
              <w:rPr>
                <w:rFonts w:hint="eastAsia" w:ascii="宋体" w:hAnsi="宋体" w:cs="宋体"/>
                <w:b/>
                <w:szCs w:val="21"/>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D57F15A">
            <w:pPr>
              <w:pStyle w:val="13"/>
              <w:spacing w:line="360" w:lineRule="auto"/>
              <w:jc w:val="left"/>
            </w:pPr>
            <w:r>
              <w:rPr>
                <w:rFonts w:hint="eastAsia"/>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11D30182">
            <w:pPr>
              <w:pStyle w:val="13"/>
              <w:spacing w:line="360" w:lineRule="auto"/>
              <w:jc w:val="left"/>
            </w:pPr>
            <w:r>
              <w:rPr>
                <w:rFonts w:hint="eastAsia"/>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6ED9CB5">
            <w:pPr>
              <w:pStyle w:val="46"/>
              <w:spacing w:before="0" w:after="0" w:line="360" w:lineRule="auto"/>
              <w:ind w:firstLine="0" w:firstLineChars="0"/>
              <w:rPr>
                <w:spacing w:val="0"/>
              </w:rPr>
            </w:pPr>
            <w:r>
              <w:rPr>
                <w:rFonts w:hint="eastAsia" w:ascii="Times New Roman" w:eastAsia="宋体"/>
                <w:bCs w:val="0"/>
                <w:spacing w:val="0"/>
                <w:kern w:val="2"/>
                <w:sz w:val="21"/>
                <w:szCs w:val="24"/>
              </w:rPr>
              <w:t>（3）补充事项：成交供应商需在确定成交3日内打印盖章响应文件（一式三份）提供给代理机构，作为成果文件装订使用。</w:t>
            </w:r>
          </w:p>
        </w:tc>
      </w:tr>
      <w:tr w14:paraId="74E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0E370663">
            <w:pPr>
              <w:spacing w:line="360" w:lineRule="auto"/>
              <w:jc w:val="center"/>
              <w:rPr>
                <w:rFonts w:hint="eastAsia" w:ascii="宋体" w:hAnsi="宋体" w:cs="宋体"/>
                <w:szCs w:val="21"/>
              </w:rPr>
            </w:pPr>
            <w:bookmarkStart w:id="63" w:name="_Toc8441"/>
            <w:bookmarkStart w:id="64" w:name="_Toc16298"/>
            <w:r>
              <w:rPr>
                <w:rFonts w:hint="eastAsia" w:ascii="宋体" w:hAnsi="宋体" w:cs="宋体"/>
                <w:szCs w:val="21"/>
              </w:rPr>
              <w:t>22</w:t>
            </w:r>
          </w:p>
        </w:tc>
        <w:tc>
          <w:tcPr>
            <w:tcW w:w="1602" w:type="dxa"/>
            <w:tcBorders>
              <w:top w:val="single" w:color="auto" w:sz="4" w:space="0"/>
              <w:left w:val="single" w:color="auto" w:sz="4" w:space="0"/>
              <w:bottom w:val="single" w:color="auto" w:sz="4" w:space="0"/>
              <w:right w:val="single" w:color="auto" w:sz="4" w:space="0"/>
            </w:tcBorders>
            <w:vAlign w:val="center"/>
          </w:tcPr>
          <w:p w14:paraId="6FFCB424">
            <w:pPr>
              <w:spacing w:line="360" w:lineRule="auto"/>
              <w:jc w:val="center"/>
              <w:rPr>
                <w:rFonts w:hint="eastAsia" w:ascii="宋体" w:hAnsi="宋体" w:cs="宋体"/>
                <w:b/>
                <w:szCs w:val="21"/>
              </w:rPr>
            </w:pPr>
            <w:r>
              <w:rPr>
                <w:rFonts w:hint="eastAsia" w:ascii="宋体" w:hAnsi="宋体" w:cs="宋体"/>
                <w:b/>
                <w:szCs w:val="21"/>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4C97C16A">
            <w:pPr>
              <w:pStyle w:val="46"/>
              <w:spacing w:before="0" w:after="0" w:line="360" w:lineRule="auto"/>
              <w:ind w:firstLine="0" w:firstLineChars="0"/>
              <w:rPr>
                <w:rFonts w:ascii="Times New Roman" w:eastAsia="宋体"/>
                <w:bCs w:val="0"/>
                <w:spacing w:val="0"/>
                <w:kern w:val="2"/>
                <w:sz w:val="21"/>
                <w:szCs w:val="24"/>
              </w:rPr>
            </w:pPr>
            <w:r>
              <w:rPr>
                <w:rFonts w:hint="eastAsia" w:ascii="Times New Roman" w:eastAsia="宋体"/>
                <w:bCs w:val="0"/>
                <w:spacing w:val="0"/>
                <w:kern w:val="2"/>
                <w:sz w:val="21"/>
                <w:szCs w:val="24"/>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62780FA0"/>
    <w:p w14:paraId="32FC58A6">
      <w:pPr>
        <w:pStyle w:val="15"/>
        <w:ind w:left="420"/>
      </w:pPr>
    </w:p>
    <w:p w14:paraId="15E1A4E2">
      <w:pPr>
        <w:pStyle w:val="3"/>
        <w:spacing w:before="156" w:beforeLines="50" w:after="0" w:line="600" w:lineRule="exact"/>
        <w:jc w:val="center"/>
        <w:rPr>
          <w:rFonts w:hint="eastAsia" w:ascii="宋体" w:hAnsi="宋体" w:cs="宋体"/>
          <w:bCs w:val="0"/>
          <w:sz w:val="32"/>
          <w:szCs w:val="32"/>
        </w:rPr>
      </w:pPr>
    </w:p>
    <w:p w14:paraId="0C7F3E02">
      <w:pPr>
        <w:sectPr>
          <w:pgSz w:w="11906" w:h="16838"/>
          <w:pgMar w:top="1247" w:right="1417" w:bottom="1247" w:left="1417" w:header="851" w:footer="992" w:gutter="0"/>
          <w:cols w:space="0" w:num="1"/>
          <w:docGrid w:type="lines" w:linePitch="312" w:charSpace="0"/>
        </w:sectPr>
      </w:pPr>
    </w:p>
    <w:p w14:paraId="087A8648">
      <w:pPr>
        <w:pStyle w:val="3"/>
        <w:spacing w:before="156" w:beforeLines="50" w:after="0" w:line="600" w:lineRule="exact"/>
        <w:jc w:val="center"/>
        <w:rPr>
          <w:rFonts w:hint="eastAsia" w:ascii="宋体" w:hAnsi="宋体" w:cs="宋体"/>
          <w:bCs w:val="0"/>
          <w:szCs w:val="21"/>
        </w:rPr>
      </w:pPr>
      <w:r>
        <w:rPr>
          <w:rFonts w:hint="eastAsia" w:ascii="宋体" w:hAnsi="宋体" w:cs="宋体"/>
          <w:bCs w:val="0"/>
          <w:sz w:val="32"/>
          <w:szCs w:val="32"/>
        </w:rPr>
        <w:t>供应商须知</w:t>
      </w:r>
      <w:bookmarkEnd w:id="63"/>
      <w:bookmarkEnd w:id="64"/>
    </w:p>
    <w:p w14:paraId="5F7E2A6E">
      <w:pPr>
        <w:spacing w:line="360" w:lineRule="auto"/>
        <w:rPr>
          <w:rFonts w:hint="eastAsia" w:ascii="宋体" w:hAnsi="宋体" w:cs="宋体"/>
          <w:b/>
          <w:szCs w:val="21"/>
        </w:rPr>
      </w:pPr>
      <w:r>
        <w:rPr>
          <w:rFonts w:hint="eastAsia" w:ascii="宋体" w:hAnsi="宋体" w:cs="宋体"/>
          <w:b/>
          <w:szCs w:val="21"/>
        </w:rPr>
        <w:t>一、总则</w:t>
      </w:r>
    </w:p>
    <w:p w14:paraId="062EB999">
      <w:pPr>
        <w:spacing w:line="360" w:lineRule="auto"/>
        <w:rPr>
          <w:rFonts w:hint="eastAsia" w:ascii="宋体" w:hAnsi="宋体" w:cs="宋体"/>
          <w:szCs w:val="21"/>
        </w:rPr>
      </w:pPr>
      <w:r>
        <w:rPr>
          <w:rFonts w:hint="eastAsia" w:ascii="宋体" w:hAnsi="宋体" w:cs="宋体"/>
          <w:szCs w:val="21"/>
        </w:rPr>
        <w:t>1.适用范围</w:t>
      </w:r>
    </w:p>
    <w:p w14:paraId="4992CAD1">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F7BA286">
      <w:pPr>
        <w:spacing w:line="360" w:lineRule="auto"/>
        <w:ind w:firstLine="420" w:firstLineChars="200"/>
        <w:rPr>
          <w:rFonts w:hint="eastAsia" w:ascii="宋体" w:hAnsi="宋体" w:cs="宋体"/>
          <w:szCs w:val="21"/>
        </w:rPr>
      </w:pPr>
      <w:r>
        <w:rPr>
          <w:rFonts w:hint="eastAsia" w:ascii="宋体" w:hAnsi="宋体" w:cs="宋体"/>
          <w:szCs w:val="21"/>
        </w:rPr>
        <w:t>1.2本竞争性磋商文件适用于本项目的所有采购程序和环节（法律、法规另有规定的，从其规定）。</w:t>
      </w:r>
    </w:p>
    <w:p w14:paraId="6516A60D">
      <w:pPr>
        <w:spacing w:line="360" w:lineRule="auto"/>
        <w:rPr>
          <w:rFonts w:hint="eastAsia" w:ascii="宋体" w:hAnsi="宋体" w:cs="宋体"/>
          <w:szCs w:val="21"/>
        </w:rPr>
      </w:pPr>
      <w:r>
        <w:rPr>
          <w:rFonts w:hint="eastAsia" w:ascii="宋体" w:hAnsi="宋体" w:cs="宋体"/>
          <w:szCs w:val="21"/>
        </w:rPr>
        <w:t>2.定义</w:t>
      </w:r>
    </w:p>
    <w:p w14:paraId="30ED237B">
      <w:pPr>
        <w:spacing w:line="360" w:lineRule="auto"/>
        <w:ind w:firstLine="420" w:firstLineChars="200"/>
        <w:rPr>
          <w:rFonts w:hint="eastAsia" w:ascii="宋体" w:hAnsi="宋体" w:cs="宋体"/>
          <w:szCs w:val="21"/>
        </w:rPr>
      </w:pPr>
      <w:r>
        <w:rPr>
          <w:rFonts w:hint="eastAsia" w:ascii="宋体" w:hAnsi="宋体" w:cs="宋体"/>
          <w:szCs w:val="21"/>
        </w:rPr>
        <w:t>2.1“采购人”是指依法进行采购的国家机关、事业单位、团体组织。</w:t>
      </w:r>
    </w:p>
    <w:p w14:paraId="1476E899">
      <w:pPr>
        <w:spacing w:line="360" w:lineRule="auto"/>
        <w:ind w:firstLine="420" w:firstLineChars="200"/>
        <w:rPr>
          <w:rFonts w:hint="eastAsia" w:ascii="宋体" w:hAnsi="宋体" w:cs="宋体"/>
          <w:szCs w:val="21"/>
        </w:rPr>
      </w:pPr>
      <w:r>
        <w:rPr>
          <w:rFonts w:hint="eastAsia" w:ascii="宋体" w:hAnsi="宋体" w:cs="宋体"/>
          <w:szCs w:val="21"/>
        </w:rPr>
        <w:t>2.2“采购代理机构”是指政府采购代理机构（以下简称采购代理机构）是指集中采购机构以外、受采购人委托从事政府采购代理业务的社会中介机构。</w:t>
      </w:r>
    </w:p>
    <w:p w14:paraId="30C5F0ED">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34B8888B">
      <w:pPr>
        <w:spacing w:line="360" w:lineRule="auto"/>
        <w:ind w:firstLine="420" w:firstLineChars="200"/>
        <w:rPr>
          <w:rFonts w:hint="eastAsia" w:ascii="宋体" w:hAnsi="宋体" w:cs="宋体"/>
          <w:szCs w:val="21"/>
        </w:rPr>
      </w:pPr>
      <w:r>
        <w:rPr>
          <w:rFonts w:hint="eastAsia" w:ascii="宋体" w:hAnsi="宋体" w:cs="宋体"/>
          <w:szCs w:val="21"/>
        </w:rPr>
        <w:t>2.4“工程”是指建设工程，包括建筑物和构筑物的新建、改建、扩建、装修、拆除、修缮等。</w:t>
      </w:r>
    </w:p>
    <w:p w14:paraId="265B0B2C">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2.5“竞标”是指供应商按照本项目竞争性磋商公告规定的方式获取竞争性磋商文件、提交响应文件并希望获得标的的行为。</w:t>
      </w:r>
    </w:p>
    <w:p w14:paraId="0DC86630">
      <w:pPr>
        <w:spacing w:line="360" w:lineRule="auto"/>
        <w:ind w:firstLine="420" w:firstLineChars="200"/>
        <w:rPr>
          <w:rFonts w:hint="eastAsia" w:ascii="宋体" w:hAnsi="宋体" w:cs="宋体"/>
          <w:szCs w:val="21"/>
        </w:rPr>
      </w:pPr>
      <w:r>
        <w:rPr>
          <w:rFonts w:hint="eastAsia" w:ascii="宋体" w:hAnsi="宋体" w:cs="宋体"/>
          <w:szCs w:val="21"/>
        </w:rPr>
        <w:t>2.6“响应文件”是指：供应商根据本竞争性磋商文件要求，编制包含资格证明、报价商务技术等所有内容的文件。</w:t>
      </w:r>
    </w:p>
    <w:p w14:paraId="5C04F2B0">
      <w:pPr>
        <w:spacing w:line="360" w:lineRule="auto"/>
        <w:ind w:firstLine="420" w:firstLineChars="200"/>
        <w:rPr>
          <w:rFonts w:hint="eastAsia" w:ascii="宋体" w:hAnsi="宋体" w:cs="宋体"/>
          <w:szCs w:val="21"/>
        </w:rPr>
      </w:pPr>
      <w:r>
        <w:rPr>
          <w:rFonts w:hint="eastAsia" w:ascii="宋体" w:hAnsi="宋体" w:cs="宋体"/>
          <w:szCs w:val="21"/>
        </w:rPr>
        <w:t>2.7“实质性要求”是指竞争性磋商文件中已经指明不满足则响应文件按无效响应处理的条款，或不能负偏离的条款，或采购需求中带“▲”的条款。</w:t>
      </w:r>
    </w:p>
    <w:p w14:paraId="44DF2D11">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2.8“正偏离”，是指响应文件对竞争性磋商文件“采购需求”中有关条款作出的响应优于条款要求并有利于采购人的情形。</w:t>
      </w:r>
    </w:p>
    <w:p w14:paraId="40D0CAEE">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2.9“负偏离”，是指响应文件对竞争性磋商文件“采购需求”中有关条款作出的响应不满足条款要求导致采购人要求不能得到满足的情形。</w:t>
      </w:r>
    </w:p>
    <w:p w14:paraId="2505D990">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14:paraId="6C783FA1">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5C2DE6EB">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14:paraId="6800A0B5">
      <w:pPr>
        <w:spacing w:line="360" w:lineRule="auto"/>
        <w:ind w:firstLine="420" w:firstLineChars="200"/>
        <w:rPr>
          <w:rFonts w:hint="eastAsia" w:ascii="宋体" w:hAnsi="宋体" w:cs="宋体"/>
          <w:szCs w:val="21"/>
        </w:rPr>
      </w:pPr>
      <w:r>
        <w:rPr>
          <w:rFonts w:hint="eastAsia" w:ascii="宋体" w:hAnsi="宋体" w:cs="宋体"/>
          <w:szCs w:val="21"/>
        </w:rPr>
        <w:t>2.13“评审价”是指供应商提交的最后报价并经修正和政策功能价格扣除后的价格。</w:t>
      </w:r>
    </w:p>
    <w:p w14:paraId="7B2229B3">
      <w:pPr>
        <w:spacing w:line="360" w:lineRule="auto"/>
        <w:rPr>
          <w:rFonts w:hint="eastAsia" w:ascii="宋体" w:hAnsi="宋体" w:cs="宋体"/>
          <w:szCs w:val="21"/>
        </w:rPr>
      </w:pPr>
      <w:r>
        <w:rPr>
          <w:rFonts w:hint="eastAsia" w:ascii="宋体" w:hAnsi="宋体" w:cs="宋体"/>
          <w:szCs w:val="21"/>
        </w:rPr>
        <w:t>3.供应商的资格条件</w:t>
      </w:r>
    </w:p>
    <w:p w14:paraId="68A6B215">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5E0ACBC9">
      <w:pPr>
        <w:spacing w:line="360" w:lineRule="auto"/>
        <w:rPr>
          <w:rFonts w:hint="eastAsia" w:ascii="宋体" w:hAnsi="宋体" w:cs="宋体"/>
          <w:szCs w:val="21"/>
        </w:rPr>
      </w:pPr>
      <w:r>
        <w:rPr>
          <w:rFonts w:hint="eastAsia" w:ascii="宋体" w:hAnsi="宋体" w:cs="宋体"/>
          <w:szCs w:val="21"/>
        </w:rPr>
        <w:t>4.竞标费用</w:t>
      </w:r>
    </w:p>
    <w:p w14:paraId="5F38B708">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供应商应承担参与本次采购活动有关的所有费用，包括但不限于获取磋商文件、勘查现场、编制和提交响应文件、参加磋商与应答、签订合同等，不论磋商结果如何，均应自行承担。</w:t>
      </w:r>
    </w:p>
    <w:p w14:paraId="1DD2A605">
      <w:pPr>
        <w:spacing w:line="360" w:lineRule="auto"/>
        <w:ind w:firstLine="420" w:firstLineChars="200"/>
        <w:rPr>
          <w:rFonts w:hint="eastAsia" w:ascii="宋体" w:hAnsi="宋体" w:cs="宋体"/>
          <w:szCs w:val="21"/>
        </w:rPr>
      </w:pPr>
      <w:r>
        <w:rPr>
          <w:rFonts w:hint="eastAsia" w:ascii="宋体" w:hAnsi="宋体" w:cs="宋体"/>
          <w:szCs w:val="21"/>
        </w:rPr>
        <w:t>5.联合体竞标</w:t>
      </w:r>
    </w:p>
    <w:p w14:paraId="3537C7D0">
      <w:pPr>
        <w:spacing w:line="360" w:lineRule="auto"/>
        <w:ind w:firstLine="420" w:firstLineChars="200"/>
        <w:rPr>
          <w:rFonts w:hint="eastAsia" w:ascii="宋体" w:hAnsi="宋体" w:cs="宋体"/>
          <w:szCs w:val="21"/>
        </w:rPr>
      </w:pPr>
      <w:r>
        <w:rPr>
          <w:rFonts w:hint="eastAsia" w:ascii="宋体" w:hAnsi="宋体" w:cs="宋体"/>
          <w:szCs w:val="21"/>
        </w:rPr>
        <w:t>5.1本项目不接受联合体竞标。</w:t>
      </w:r>
    </w:p>
    <w:p w14:paraId="37F940AB">
      <w:pPr>
        <w:spacing w:line="360" w:lineRule="auto"/>
        <w:rPr>
          <w:rFonts w:hint="eastAsia" w:ascii="宋体" w:hAnsi="宋体" w:cs="宋体"/>
          <w:szCs w:val="21"/>
        </w:rPr>
      </w:pPr>
      <w:r>
        <w:rPr>
          <w:rFonts w:hint="eastAsia" w:ascii="宋体" w:hAnsi="宋体" w:cs="宋体"/>
          <w:szCs w:val="21"/>
        </w:rPr>
        <w:t>6.转包与分包</w:t>
      </w:r>
    </w:p>
    <w:p w14:paraId="7032AC3F">
      <w:pPr>
        <w:spacing w:line="360" w:lineRule="auto"/>
        <w:ind w:firstLine="420" w:firstLineChars="200"/>
        <w:rPr>
          <w:rFonts w:hint="eastAsia" w:ascii="宋体" w:hAnsi="宋体" w:cs="宋体"/>
          <w:szCs w:val="21"/>
        </w:rPr>
      </w:pPr>
      <w:r>
        <w:rPr>
          <w:rFonts w:hint="eastAsia" w:ascii="宋体" w:hAnsi="宋体" w:cs="宋体"/>
          <w:szCs w:val="21"/>
        </w:rPr>
        <w:t>6.1本项目不允许转包。</w:t>
      </w:r>
    </w:p>
    <w:p w14:paraId="6306DBB4">
      <w:pPr>
        <w:spacing w:line="360" w:lineRule="auto"/>
        <w:rPr>
          <w:rFonts w:hint="eastAsia" w:ascii="宋体" w:hAnsi="宋体" w:cs="宋体"/>
          <w:szCs w:val="21"/>
        </w:rPr>
      </w:pPr>
      <w:r>
        <w:rPr>
          <w:rFonts w:hint="eastAsia" w:ascii="宋体" w:hAnsi="宋体" w:cs="宋体"/>
          <w:szCs w:val="21"/>
        </w:rPr>
        <w:t>7.特别说明</w:t>
      </w:r>
    </w:p>
    <w:p w14:paraId="19277B1C">
      <w:pPr>
        <w:spacing w:line="360" w:lineRule="auto"/>
        <w:ind w:firstLine="420" w:firstLineChars="200"/>
        <w:rPr>
          <w:rFonts w:hint="eastAsia" w:ascii="宋体" w:hAnsi="宋体" w:cs="宋体"/>
          <w:szCs w:val="21"/>
        </w:rPr>
      </w:pPr>
      <w:r>
        <w:rPr>
          <w:rFonts w:hint="eastAsia" w:ascii="宋体" w:hAnsi="宋体" w:cs="宋体"/>
          <w:szCs w:val="21"/>
        </w:rPr>
        <w:t>7.1如果本磋商文件要求供应商提供资格、信誉、荣誉、业绩与企业认证等材料的，则供应商所提供的以上材料必须为供应商所拥有。</w:t>
      </w:r>
    </w:p>
    <w:p w14:paraId="1AAA982C">
      <w:pPr>
        <w:spacing w:line="360" w:lineRule="auto"/>
        <w:ind w:firstLine="420" w:firstLineChars="200"/>
        <w:rPr>
          <w:rFonts w:hint="eastAsia" w:ascii="宋体" w:hAnsi="宋体" w:cs="宋体"/>
          <w:szCs w:val="21"/>
        </w:rPr>
      </w:pPr>
      <w:r>
        <w:rPr>
          <w:rFonts w:hint="eastAsia" w:ascii="宋体" w:hAnsi="宋体" w:cs="宋体"/>
          <w:szCs w:val="21"/>
        </w:rPr>
        <w:t>7.2供应商应仔细阅读竞争性磋商文件的所有内容，按照竞争性磋商文件的要求提交响应文件，并对所提供的全部资料的真实性承担法律责任。</w:t>
      </w:r>
    </w:p>
    <w:p w14:paraId="1D9C8FE7">
      <w:pPr>
        <w:spacing w:line="360" w:lineRule="auto"/>
        <w:ind w:firstLine="420" w:firstLineChars="200"/>
        <w:rPr>
          <w:rFonts w:hint="eastAsia" w:ascii="宋体" w:hAnsi="宋体" w:cs="宋体"/>
          <w:szCs w:val="21"/>
        </w:rPr>
      </w:pPr>
      <w:r>
        <w:rPr>
          <w:rFonts w:hint="eastAsia" w:ascii="宋体" w:hAnsi="宋体" w:cs="宋体"/>
          <w:szCs w:val="21"/>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1A494213">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07788C60">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36ADFE91">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4C0BC349">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7A4FB3B6">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（4）与供应商的法定代表人或负责人有夫妻、直系血亲、三代以内旁系血亲或者近姻亲关系；</w:t>
      </w:r>
    </w:p>
    <w:p w14:paraId="5EAE5868">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61828165">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6AAE3F2">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14:paraId="44F7961A">
      <w:pPr>
        <w:spacing w:line="360" w:lineRule="auto"/>
        <w:ind w:firstLine="420" w:firstLineChars="200"/>
        <w:rPr>
          <w:rFonts w:hint="eastAsia" w:ascii="宋体" w:hAnsi="宋体" w:cs="宋体"/>
          <w:szCs w:val="21"/>
        </w:rPr>
      </w:pPr>
      <w:r>
        <w:rPr>
          <w:rFonts w:hint="eastAsia" w:ascii="宋体" w:hAnsi="宋体" w:cs="宋体"/>
          <w:szCs w:val="21"/>
        </w:rPr>
        <w:t>（1）不同供应商的响应文件由同一单位或者个人编制；或者不同供应商报名的IP地址一致的；</w:t>
      </w:r>
    </w:p>
    <w:p w14:paraId="69463F74">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（2）不同供应商委托同一单位或者个人办理磋商事宜；</w:t>
      </w:r>
    </w:p>
    <w:p w14:paraId="46FD4771">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7DAA8F04">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133D8BE9">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3B2D1C12">
      <w:pPr>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p>
    <w:p w14:paraId="4C9AC1BE">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w:t>
      </w:r>
    </w:p>
    <w:p w14:paraId="680782BE">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032FA25F">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5574C6D7">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7BFD0603">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34DCA51D">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0FB7257A">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002567EE">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3610C830">
      <w:pPr>
        <w:spacing w:line="360" w:lineRule="auto"/>
        <w:ind w:firstLine="420" w:firstLineChars="200"/>
        <w:rPr>
          <w:rFonts w:hint="eastAsia" w:ascii="宋体" w:hAnsi="宋体" w:cs="宋体"/>
          <w:szCs w:val="21"/>
        </w:rPr>
      </w:pPr>
      <w:r>
        <w:rPr>
          <w:rFonts w:hint="eastAsia" w:ascii="宋体" w:hAnsi="宋体" w:cs="宋体"/>
          <w:szCs w:val="21"/>
        </w:rPr>
        <w:t>7.7关联供应商不得参加同一合同项下政府采购活动，否则响应文件将被视为无效：</w:t>
      </w:r>
    </w:p>
    <w:p w14:paraId="3CDCB228">
      <w:pPr>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（1）单位负责人为同一人或者存在直接控股、管理关系的不同的供应商，不得参加同一合同项下的政府采购活动。</w:t>
      </w:r>
    </w:p>
    <w:p w14:paraId="79AB6CCA">
      <w:pPr>
        <w:spacing w:line="360" w:lineRule="auto"/>
        <w:rPr>
          <w:rFonts w:hint="eastAsia" w:ascii="宋体" w:hAnsi="宋体" w:cs="宋体"/>
          <w:b/>
          <w:bCs/>
          <w:szCs w:val="21"/>
        </w:rPr>
      </w:pPr>
      <w:r>
        <w:rPr>
          <w:rFonts w:hint="eastAsia" w:ascii="宋体" w:hAnsi="宋体" w:cs="宋体"/>
          <w:b/>
          <w:bCs/>
          <w:szCs w:val="21"/>
        </w:rPr>
        <w:t>二、响应文件的编制</w:t>
      </w:r>
    </w:p>
    <w:p w14:paraId="40796D6E">
      <w:pPr>
        <w:spacing w:line="360" w:lineRule="auto"/>
        <w:ind w:firstLine="420" w:firstLineChars="200"/>
        <w:rPr>
          <w:rFonts w:hint="eastAsia" w:ascii="宋体" w:hAnsi="宋体" w:cs="宋体"/>
          <w:bCs/>
          <w:szCs w:val="21"/>
        </w:rPr>
      </w:pPr>
      <w:r>
        <w:rPr>
          <w:rFonts w:hint="eastAsia" w:ascii="宋体" w:hAnsi="宋体" w:cs="宋体"/>
          <w:bCs/>
          <w:szCs w:val="21"/>
        </w:rPr>
        <w:t>8.响应文件的编制原则</w:t>
      </w:r>
    </w:p>
    <w:p w14:paraId="0D67EC1B">
      <w:pPr>
        <w:spacing w:line="360" w:lineRule="auto"/>
        <w:ind w:firstLine="420" w:firstLineChars="200"/>
        <w:rPr>
          <w:rFonts w:hint="eastAsia" w:ascii="宋体" w:hAnsi="宋体" w:cs="宋体"/>
          <w:bCs/>
          <w:szCs w:val="21"/>
        </w:rPr>
      </w:pPr>
      <w:r>
        <w:rPr>
          <w:rFonts w:hint="eastAsia" w:ascii="宋体" w:hAnsi="宋体" w:cs="宋体"/>
          <w:bCs/>
          <w:szCs w:val="21"/>
        </w:rPr>
        <w:t>供应商应当按照竞争性磋商文件的要求编制响应文件，并对其提交的响应文件的真实性、合法性承担法律责任。响应文件应当对竞争性磋商文件作出实质性响应。</w:t>
      </w:r>
    </w:p>
    <w:p w14:paraId="66D984CC">
      <w:pPr>
        <w:spacing w:line="360" w:lineRule="auto"/>
        <w:ind w:firstLine="420" w:firstLineChars="200"/>
        <w:rPr>
          <w:rFonts w:hint="eastAsia" w:ascii="宋体" w:hAnsi="宋体" w:cs="宋体"/>
          <w:bCs/>
          <w:szCs w:val="21"/>
        </w:rPr>
      </w:pPr>
      <w:r>
        <w:rPr>
          <w:rFonts w:hint="eastAsia" w:ascii="宋体" w:hAnsi="宋体" w:cs="宋体"/>
          <w:bCs/>
          <w:szCs w:val="21"/>
        </w:rPr>
        <w:t>9.响应文件编制基本要求</w:t>
      </w:r>
    </w:p>
    <w:p w14:paraId="41C880C4">
      <w:pPr>
        <w:spacing w:line="360" w:lineRule="auto"/>
        <w:ind w:firstLine="420" w:firstLineChars="200"/>
        <w:jc w:val="distribute"/>
        <w:rPr>
          <w:rFonts w:hint="eastAsia" w:ascii="宋体" w:hAnsi="宋体" w:cs="宋体"/>
          <w:bCs/>
          <w:szCs w:val="21"/>
        </w:rPr>
      </w:pPr>
      <w:r>
        <w:rPr>
          <w:rFonts w:hint="eastAsia" w:ascii="宋体" w:hAnsi="宋体" w:cs="宋体"/>
          <w:bCs/>
          <w:szCs w:val="21"/>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4400C64E">
      <w:pPr>
        <w:spacing w:line="360" w:lineRule="auto"/>
        <w:ind w:firstLine="420" w:firstLineChars="200"/>
        <w:rPr>
          <w:rFonts w:hint="eastAsia" w:ascii="宋体" w:hAnsi="宋体" w:cs="宋体"/>
          <w:bCs/>
          <w:szCs w:val="21"/>
        </w:rPr>
      </w:pPr>
      <w:r>
        <w:rPr>
          <w:rFonts w:hint="eastAsia" w:ascii="宋体" w:hAnsi="宋体" w:cs="宋体"/>
          <w:bCs/>
          <w:szCs w:val="21"/>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6CC475C6">
      <w:pPr>
        <w:spacing w:line="360" w:lineRule="auto"/>
        <w:ind w:firstLine="420" w:firstLineChars="200"/>
        <w:rPr>
          <w:rFonts w:hint="eastAsia" w:ascii="宋体" w:hAnsi="宋体" w:cs="宋体"/>
          <w:bCs/>
          <w:szCs w:val="21"/>
        </w:rPr>
      </w:pPr>
      <w:r>
        <w:rPr>
          <w:rFonts w:hint="eastAsia" w:ascii="宋体" w:hAnsi="宋体" w:cs="宋体"/>
          <w:bCs/>
          <w:szCs w:val="21"/>
        </w:rPr>
        <w:t>9.3供应商应认真阅读、并充分理解本文件的全部内容（包括所有的补充、修改内容），承诺并履行本文件中各项条款规定及要求。</w:t>
      </w:r>
    </w:p>
    <w:p w14:paraId="47E72C28">
      <w:pPr>
        <w:spacing w:line="360" w:lineRule="auto"/>
        <w:ind w:firstLine="420" w:firstLineChars="200"/>
        <w:rPr>
          <w:rFonts w:hint="eastAsia" w:ascii="宋体" w:hAnsi="宋体" w:cs="宋体"/>
          <w:bCs/>
          <w:szCs w:val="21"/>
        </w:rPr>
      </w:pPr>
      <w:r>
        <w:rPr>
          <w:rFonts w:hint="eastAsia" w:ascii="宋体" w:hAnsi="宋体" w:cs="宋体"/>
          <w:bCs/>
          <w:szCs w:val="21"/>
        </w:rPr>
        <w:t>9.4竞争性磋商响应文件必须按本文件的全部内容，包括所有的补充通知及附件进行编制。</w:t>
      </w:r>
    </w:p>
    <w:p w14:paraId="0A95E4DC">
      <w:pPr>
        <w:spacing w:line="360" w:lineRule="auto"/>
        <w:ind w:firstLine="420" w:firstLineChars="200"/>
        <w:rPr>
          <w:rFonts w:hint="eastAsia" w:ascii="宋体" w:hAnsi="宋体" w:cs="宋体"/>
          <w:bCs/>
          <w:szCs w:val="21"/>
        </w:rPr>
      </w:pPr>
      <w:r>
        <w:rPr>
          <w:rFonts w:hint="eastAsia" w:ascii="宋体" w:hAnsi="宋体" w:cs="宋体"/>
          <w:bCs/>
          <w:szCs w:val="21"/>
        </w:rPr>
        <w:t>9.5如因供应商只填写和提供了本文件要求的部分内容和附件，而给评审造成困难，其可能导致的结果和责任由供应商自行承担。</w:t>
      </w:r>
    </w:p>
    <w:p w14:paraId="337975BC">
      <w:pPr>
        <w:spacing w:line="360" w:lineRule="auto"/>
        <w:ind w:firstLine="420" w:firstLineChars="200"/>
        <w:rPr>
          <w:rFonts w:hint="eastAsia" w:ascii="宋体" w:hAnsi="宋体" w:cs="宋体"/>
          <w:b/>
          <w:szCs w:val="21"/>
        </w:rPr>
      </w:pPr>
      <w:r>
        <w:rPr>
          <w:rFonts w:hint="eastAsia" w:ascii="宋体" w:hAnsi="宋体" w:cs="宋体"/>
          <w:bCs/>
          <w:szCs w:val="21"/>
        </w:rPr>
        <w:t>9.6响应文件的组成：响应文件应分为资格证明文件、报价文件、商务技术文件三个部分组成。</w:t>
      </w:r>
      <w:r>
        <w:rPr>
          <w:rFonts w:hint="eastAsia" w:ascii="宋体" w:hAnsi="宋体" w:cs="宋体"/>
          <w:b/>
          <w:szCs w:val="21"/>
        </w:rPr>
        <w:t>以下注明“</w:t>
      </w:r>
      <w:r>
        <w:rPr>
          <w:rFonts w:hint="eastAsia" w:ascii="宋体" w:hAnsi="宋体" w:cs="宋体"/>
          <w:szCs w:val="21"/>
        </w:rPr>
        <w:t>▲</w:t>
      </w:r>
      <w:r>
        <w:rPr>
          <w:rFonts w:hint="eastAsia" w:ascii="宋体" w:hAnsi="宋体" w:cs="宋体"/>
          <w:b/>
          <w:szCs w:val="21"/>
        </w:rPr>
        <w:t>”的必须提供，否则竞标无效。</w:t>
      </w:r>
    </w:p>
    <w:p w14:paraId="55A66E69">
      <w:pPr>
        <w:spacing w:line="360" w:lineRule="auto"/>
        <w:rPr>
          <w:rFonts w:hint="eastAsia" w:ascii="宋体" w:hAnsi="宋体" w:cs="宋体"/>
          <w:b/>
          <w:szCs w:val="21"/>
        </w:rPr>
      </w:pPr>
      <w:r>
        <w:rPr>
          <w:rFonts w:hint="eastAsia" w:ascii="宋体" w:hAnsi="宋体" w:cs="宋体"/>
          <w:b/>
          <w:szCs w:val="21"/>
        </w:rPr>
        <w:t>1.资格证明文件</w:t>
      </w:r>
    </w:p>
    <w:p w14:paraId="6CE68610">
      <w:pPr>
        <w:pStyle w:val="9"/>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bCs/>
          <w:szCs w:val="21"/>
        </w:rPr>
        <w:t>（1）</w:t>
      </w:r>
      <w:r>
        <w:rPr>
          <w:rFonts w:hint="eastAsia" w:ascii="宋体" w:hAnsi="宋体" w:cs="宋体"/>
          <w:szCs w:val="21"/>
        </w:rPr>
        <w:t>供应商为法人或者其他组织的提供其营业执照等证明文件复印件（如营业执照或者事业单位法人证书或者执业许可证或者登记证书等）；</w:t>
      </w:r>
    </w:p>
    <w:p w14:paraId="62B1FE6F">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（2）</w:t>
      </w:r>
      <w:r>
        <w:rPr>
          <w:rFonts w:hint="eastAsia" w:ascii="宋体" w:hAnsi="宋体" w:cs="宋体"/>
          <w:szCs w:val="21"/>
        </w:rPr>
        <w:t>供应商依法缴纳税收的相关材料（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10</w:t>
      </w:r>
      <w:r>
        <w:rPr>
          <w:rFonts w:hint="eastAsia" w:ascii="宋体" w:hAnsi="宋体" w:cs="宋体"/>
          <w:szCs w:val="21"/>
        </w:rPr>
        <w:t>月以来任意</w:t>
      </w:r>
      <w:r>
        <w:rPr>
          <w:rFonts w:hint="eastAsia" w:ascii="宋体" w:hAnsi="宋体" w:cs="宋体"/>
          <w:szCs w:val="21"/>
          <w:u w:val="single"/>
        </w:rPr>
        <w:t>1</w:t>
      </w:r>
      <w:r>
        <w:rPr>
          <w:rFonts w:hint="eastAsia" w:ascii="宋体" w:hAnsi="宋体" w:cs="宋体"/>
          <w:szCs w:val="21"/>
        </w:rPr>
        <w:t>个月的依法缴纳税收的凭据复印件；</w:t>
      </w:r>
      <w:r>
        <w:rPr>
          <w:rFonts w:hint="eastAsia" w:ascii="宋体" w:hAnsi="宋体" w:cs="宋体"/>
        </w:rPr>
        <w:t>依法免税的，必须提供相应文件证明其依法免税。</w:t>
      </w:r>
      <w:r>
        <w:rPr>
          <w:rFonts w:hint="eastAsia" w:ascii="宋体" w:hAnsi="宋体" w:cs="宋体"/>
          <w:szCs w:val="21"/>
        </w:rPr>
        <w:t>从成立之日起到响应文件提交截止时间止不足要求月数的，只需提供从成立之日起的依法缴纳税收</w:t>
      </w:r>
      <w:r>
        <w:rPr>
          <w:rFonts w:hint="eastAsia" w:ascii="宋体" w:hAnsi="宋体" w:cs="宋体"/>
        </w:rPr>
        <w:t>相应证明文件</w:t>
      </w:r>
      <w:r>
        <w:rPr>
          <w:rFonts w:hint="eastAsia" w:ascii="宋体" w:hAnsi="宋体" w:cs="宋体"/>
          <w:szCs w:val="21"/>
        </w:rPr>
        <w:t>）；</w:t>
      </w:r>
    </w:p>
    <w:p w14:paraId="617AD472">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（3）</w:t>
      </w:r>
      <w:r>
        <w:rPr>
          <w:rFonts w:hint="eastAsia" w:ascii="宋体" w:hAnsi="宋体" w:cs="宋体"/>
          <w:szCs w:val="21"/>
        </w:rPr>
        <w:t>供应商依法缴纳社会保障资金的相关材料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10</w:t>
      </w:r>
      <w:r>
        <w:rPr>
          <w:rFonts w:hint="eastAsia" w:ascii="宋体" w:hAnsi="宋体" w:cs="宋体"/>
          <w:szCs w:val="21"/>
        </w:rPr>
        <w:t>月以来任意</w:t>
      </w:r>
      <w:r>
        <w:rPr>
          <w:rFonts w:hint="eastAsia" w:ascii="宋体" w:hAnsi="宋体" w:cs="宋体"/>
          <w:szCs w:val="21"/>
          <w:u w:val="single"/>
        </w:rPr>
        <w:t>1</w:t>
      </w:r>
      <w:r>
        <w:rPr>
          <w:rFonts w:hint="eastAsia" w:ascii="宋体" w:hAnsi="宋体" w:cs="宋体"/>
          <w:szCs w:val="21"/>
        </w:rPr>
        <w:t>个月的依法缴纳社会保障资金的缴费凭证复印件；</w:t>
      </w:r>
      <w:r>
        <w:rPr>
          <w:rFonts w:hint="eastAsia" w:ascii="宋体" w:hAnsi="宋体" w:cs="宋体"/>
        </w:rPr>
        <w:t>依法不需要缴纳社会保障资金的，必须提供相应文件证明不需要缴纳社会保障资金。</w:t>
      </w:r>
      <w:r>
        <w:rPr>
          <w:rFonts w:hint="eastAsia" w:ascii="宋体" w:hAnsi="宋体" w:cs="宋体"/>
          <w:szCs w:val="21"/>
        </w:rPr>
        <w:t>从成立之日起到响应文件提交截止时间止不足要求月数的只需提供从成立之日起的依法缴纳社会保障资金的</w:t>
      </w:r>
      <w:r>
        <w:rPr>
          <w:rFonts w:hint="eastAsia" w:ascii="宋体" w:hAnsi="宋体" w:cs="宋体"/>
        </w:rPr>
        <w:t>相应证明文件</w:t>
      </w:r>
      <w:r>
        <w:rPr>
          <w:rFonts w:hint="eastAsia" w:ascii="宋体" w:hAnsi="宋体" w:cs="宋体"/>
          <w:szCs w:val="21"/>
        </w:rPr>
        <w:t>]；</w:t>
      </w:r>
    </w:p>
    <w:p w14:paraId="4034F760">
      <w:pPr>
        <w:spacing w:line="360" w:lineRule="auto"/>
        <w:ind w:firstLine="420" w:firstLineChars="200"/>
        <w:contextualSpacing/>
        <w:jc w:val="left"/>
        <w:rPr>
          <w:rFonts w:hint="eastAsia" w:ascii="宋体" w:hAnsi="宋体" w:cs="宋体"/>
          <w:b/>
          <w:szCs w:val="21"/>
        </w:rPr>
      </w:pPr>
      <w:r>
        <w:rPr>
          <w:rFonts w:hint="eastAsia" w:ascii="宋体" w:hAnsi="宋体" w:cs="宋体"/>
          <w:szCs w:val="21"/>
        </w:rPr>
        <w:t>▲</w:t>
      </w:r>
      <w:r>
        <w:rPr>
          <w:rFonts w:hint="eastAsia" w:ascii="宋体" w:hAnsi="宋体" w:cs="宋体"/>
          <w:bCs/>
          <w:szCs w:val="21"/>
        </w:rPr>
        <w:t>（4）投标人财务状况报告：[2023年度或2024年度]财务状况报告复印件；供应商成立不满一年的应按提供截标之日上一个月的财务状况报告复印件。</w:t>
      </w:r>
    </w:p>
    <w:p w14:paraId="4B02EF2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（5）</w:t>
      </w:r>
      <w:r>
        <w:rPr>
          <w:rFonts w:hint="eastAsia" w:ascii="宋体" w:hAnsi="宋体" w:cs="宋体"/>
          <w:szCs w:val="21"/>
        </w:rPr>
        <w:t>竞标声明（格式后附）；</w:t>
      </w:r>
    </w:p>
    <w:p w14:paraId="4A9E47E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（6）</w:t>
      </w:r>
      <w:r>
        <w:rPr>
          <w:rFonts w:hint="eastAsia" w:ascii="宋体" w:hAnsi="宋体" w:cs="宋体"/>
          <w:szCs w:val="21"/>
        </w:rPr>
        <w:t>供应商直接控股、管理关系信息表（格式后附）；</w:t>
      </w:r>
    </w:p>
    <w:p w14:paraId="3538FF06">
      <w:pPr>
        <w:snapToGrid w:val="0"/>
        <w:spacing w:line="360" w:lineRule="auto"/>
        <w:ind w:firstLine="420" w:firstLineChars="200"/>
        <w:jc w:val="left"/>
        <w:rPr>
          <w:rFonts w:hint="eastAsia" w:ascii="宋体" w:hAnsi="宋体" w:cs="宋体"/>
          <w:bCs/>
          <w:szCs w:val="21"/>
        </w:rPr>
      </w:pPr>
      <w:r>
        <w:rPr>
          <w:rFonts w:hint="eastAsia" w:ascii="宋体" w:hAnsi="宋体" w:cs="宋体"/>
          <w:szCs w:val="21"/>
        </w:rPr>
        <w:t>▲</w:t>
      </w:r>
      <w:r>
        <w:rPr>
          <w:rFonts w:hint="eastAsia" w:ascii="宋体" w:hAnsi="宋体" w:cs="宋体"/>
          <w:bCs/>
          <w:szCs w:val="21"/>
        </w:rPr>
        <w:t>（7）拟派的项目经理无在建项目承诺书（格式自拟）</w:t>
      </w:r>
    </w:p>
    <w:p w14:paraId="669C530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（8）</w:t>
      </w:r>
      <w:r>
        <w:rPr>
          <w:rFonts w:hint="eastAsia" w:ascii="宋体" w:hAnsi="宋体" w:cs="宋体"/>
          <w:szCs w:val="21"/>
        </w:rPr>
        <w:t>本项目属于专门面向中小企业采购的项目，供应商须为中小企业或监狱企业或残疾人福利性单位。[供应商必须在响应文件中提供《</w:t>
      </w:r>
      <w:r>
        <w:rPr>
          <w:rFonts w:hint="eastAsia" w:ascii="宋体" w:hAnsi="宋体" w:cs="宋体"/>
          <w:bCs/>
          <w:szCs w:val="21"/>
        </w:rPr>
        <w:t>中小企业声明函（工程）</w:t>
      </w:r>
      <w:r>
        <w:rPr>
          <w:rFonts w:hint="eastAsia" w:ascii="宋体" w:hAnsi="宋体" w:cs="宋体"/>
          <w:szCs w:val="21"/>
        </w:rPr>
        <w:t>》</w:t>
      </w:r>
      <w:r>
        <w:rPr>
          <w:rFonts w:hint="eastAsia" w:ascii="宋体" w:hAnsi="宋体" w:cs="宋体"/>
          <w:szCs w:val="22"/>
        </w:rPr>
        <w:t>或残疾人福利性单位声明函或监狱企业证明材料]；</w:t>
      </w:r>
    </w:p>
    <w:p w14:paraId="162B440A">
      <w:pPr>
        <w:pStyle w:val="10"/>
        <w:autoSpaceDE/>
        <w:autoSpaceDN/>
        <w:adjustRightInd/>
        <w:spacing w:after="0" w:line="360" w:lineRule="auto"/>
        <w:ind w:firstLine="420" w:firstLineChars="200"/>
        <w:rPr>
          <w:rFonts w:hint="eastAsia" w:hAnsi="宋体" w:cs="宋体"/>
          <w:kern w:val="2"/>
          <w:sz w:val="21"/>
          <w:szCs w:val="21"/>
        </w:rPr>
      </w:pPr>
      <w:r>
        <w:rPr>
          <w:rFonts w:hint="eastAsia" w:hAnsi="宋体" w:cs="宋体"/>
          <w:kern w:val="2"/>
          <w:sz w:val="21"/>
          <w:szCs w:val="21"/>
        </w:rPr>
        <w:t>▲（9）本项目的特定资格要求：</w:t>
      </w:r>
    </w:p>
    <w:p w14:paraId="14DDE217">
      <w:pPr>
        <w:pStyle w:val="10"/>
        <w:autoSpaceDE/>
        <w:autoSpaceDN/>
        <w:adjustRightInd/>
        <w:spacing w:after="0" w:line="360" w:lineRule="auto"/>
        <w:ind w:firstLine="420" w:firstLineChars="200"/>
        <w:rPr>
          <w:rFonts w:hint="eastAsia" w:hAnsi="宋体" w:cs="宋体"/>
          <w:bCs/>
          <w:szCs w:val="21"/>
        </w:rPr>
      </w:pPr>
      <w:r>
        <w:rPr>
          <w:rFonts w:hint="eastAsia" w:hAnsi="宋体" w:cs="宋体"/>
          <w:kern w:val="2"/>
          <w:sz w:val="21"/>
          <w:szCs w:val="21"/>
        </w:rPr>
        <w:t>（1）本项目供应商企业资质要求具备水利水电工程施工总承包叁级(含叁级)及以上资质，且具备省级及以上建设行政主管部门颁发的安全生产许可证。并在人员、设备、资金等方面具有相应的施工能力；</w:t>
      </w:r>
      <w:r>
        <w:rPr>
          <w:rFonts w:hint="eastAsia" w:hAnsi="宋体" w:cs="宋体"/>
          <w:kern w:val="2"/>
          <w:sz w:val="21"/>
          <w:szCs w:val="21"/>
        </w:rPr>
        <w:br w:type="textWrapping"/>
      </w:r>
      <w:r>
        <w:rPr>
          <w:rFonts w:hint="eastAsia" w:hAnsi="宋体" w:cs="宋体"/>
          <w:kern w:val="2"/>
          <w:sz w:val="21"/>
          <w:szCs w:val="21"/>
        </w:rPr>
        <w:t xml:space="preserve">    （2）拟投入本工程的项目经理必须具有水利水电工程专业贰级（含贰级）及以上注册建造师执业资格及安全生产考核合格证（B证），为供应商的在岗人员，且未担任其他在建项目或已中标未开工项目或已列为项目第一中标候选人项目的项目经理。</w:t>
      </w:r>
    </w:p>
    <w:p w14:paraId="1F375783">
      <w:pPr>
        <w:spacing w:line="360" w:lineRule="auto"/>
        <w:rPr>
          <w:rFonts w:hint="eastAsia" w:ascii="宋体" w:hAnsi="宋体" w:cs="宋体"/>
          <w:bCs/>
          <w:szCs w:val="21"/>
        </w:rPr>
      </w:pPr>
      <w:r>
        <w:rPr>
          <w:rFonts w:hint="eastAsia" w:ascii="宋体" w:hAnsi="宋体" w:cs="宋体"/>
          <w:bCs/>
          <w:szCs w:val="21"/>
        </w:rPr>
        <w:t>（10）供应商针对资格证明需要说明的其他证明文件和说明。（格式自拟）</w:t>
      </w:r>
    </w:p>
    <w:p w14:paraId="2924F72F">
      <w:pPr>
        <w:spacing w:line="360" w:lineRule="auto"/>
        <w:rPr>
          <w:rFonts w:hint="eastAsia" w:ascii="宋体" w:hAnsi="宋体" w:cs="宋体"/>
          <w:b/>
          <w:szCs w:val="21"/>
        </w:rPr>
      </w:pPr>
      <w:r>
        <w:rPr>
          <w:rFonts w:hint="eastAsia" w:ascii="宋体" w:hAnsi="宋体" w:cs="宋体"/>
          <w:b/>
          <w:szCs w:val="21"/>
        </w:rPr>
        <w:t>2.报价文件</w:t>
      </w:r>
    </w:p>
    <w:p w14:paraId="0A2BA191">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（1）磋商函；</w:t>
      </w:r>
    </w:p>
    <w:p w14:paraId="46E1E2D6">
      <w:pPr>
        <w:spacing w:line="360" w:lineRule="auto"/>
        <w:ind w:firstLine="420" w:firstLineChars="200"/>
        <w:rPr>
          <w:rFonts w:hint="eastAsia" w:ascii="宋体" w:hAnsi="宋体" w:cs="宋体"/>
          <w:b/>
          <w:szCs w:val="21"/>
        </w:rPr>
      </w:pPr>
      <w:r>
        <w:rPr>
          <w:rFonts w:hint="eastAsia" w:ascii="宋体" w:hAnsi="宋体" w:cs="宋体"/>
          <w:szCs w:val="21"/>
        </w:rPr>
        <w:t>▲</w:t>
      </w:r>
      <w:r>
        <w:rPr>
          <w:rFonts w:hint="eastAsia" w:ascii="宋体" w:hAnsi="宋体" w:cs="宋体"/>
          <w:bCs/>
          <w:szCs w:val="21"/>
        </w:rPr>
        <w:t>（2）磋商函附录</w:t>
      </w:r>
      <w:r>
        <w:rPr>
          <w:rFonts w:hint="eastAsia" w:ascii="宋体" w:hAnsi="宋体" w:cs="宋体"/>
          <w:b/>
          <w:szCs w:val="21"/>
        </w:rPr>
        <w:t>；</w:t>
      </w:r>
    </w:p>
    <w:p w14:paraId="62C7F731">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（3）竞标报价表；</w:t>
      </w:r>
    </w:p>
    <w:p w14:paraId="2C630FA2">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（4）已标价工程量清单；</w:t>
      </w:r>
    </w:p>
    <w:p w14:paraId="6F5B84DA">
      <w:pPr>
        <w:spacing w:line="360" w:lineRule="auto"/>
        <w:ind w:firstLine="420" w:firstLineChars="200"/>
        <w:rPr>
          <w:rFonts w:hint="eastAsia" w:ascii="宋体" w:hAnsi="宋体" w:cs="宋体"/>
          <w:b/>
          <w:szCs w:val="21"/>
        </w:rPr>
      </w:pPr>
      <w:r>
        <w:rPr>
          <w:rFonts w:hint="eastAsia" w:ascii="宋体" w:hAnsi="宋体" w:cs="宋体"/>
          <w:bCs/>
          <w:szCs w:val="21"/>
        </w:rPr>
        <w:t>（5）供应商针对报价需要说明的其他文件和说明（格式自拟）。</w:t>
      </w:r>
    </w:p>
    <w:p w14:paraId="25049895">
      <w:pPr>
        <w:spacing w:line="360" w:lineRule="auto"/>
        <w:rPr>
          <w:rFonts w:hint="eastAsia" w:ascii="宋体" w:hAnsi="宋体" w:cs="宋体"/>
          <w:b/>
          <w:szCs w:val="21"/>
        </w:rPr>
      </w:pPr>
      <w:r>
        <w:rPr>
          <w:rFonts w:hint="eastAsia" w:ascii="宋体" w:hAnsi="宋体" w:cs="宋体"/>
          <w:b/>
          <w:szCs w:val="21"/>
        </w:rPr>
        <w:t>3.商务技术文件</w:t>
      </w:r>
    </w:p>
    <w:p w14:paraId="3C5E497F">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（1）无串通竞标行为的承诺函（格式后附）；</w:t>
      </w:r>
    </w:p>
    <w:p w14:paraId="08365DEA">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（2）法定代表人身份证明书及法定代表人有效身份证正反面复印件（格式后附）；</w:t>
      </w:r>
    </w:p>
    <w:p w14:paraId="28BD8624">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（3）授权委托书及委托代理人有效身份证正反面复印件（格式后附）；</w:t>
      </w:r>
      <w:r>
        <w:rPr>
          <w:rFonts w:hint="eastAsia" w:ascii="宋体" w:hAnsi="宋体" w:cs="宋体"/>
          <w:b/>
          <w:szCs w:val="21"/>
        </w:rPr>
        <w:t>（委托时必须提供）</w:t>
      </w:r>
    </w:p>
    <w:p w14:paraId="09CFEC65">
      <w:pPr>
        <w:spacing w:line="360" w:lineRule="auto"/>
        <w:ind w:firstLine="420" w:firstLineChars="200"/>
        <w:rPr>
          <w:rFonts w:hint="eastAsia" w:ascii="宋体" w:hAnsi="宋体" w:cs="宋体"/>
          <w:b/>
          <w:szCs w:val="21"/>
        </w:rPr>
      </w:pPr>
      <w:r>
        <w:rPr>
          <w:rFonts w:hint="eastAsia" w:ascii="宋体" w:hAnsi="宋体" w:cs="宋体"/>
          <w:szCs w:val="21"/>
        </w:rPr>
        <w:t>▲</w:t>
      </w:r>
      <w:r>
        <w:rPr>
          <w:rFonts w:hint="eastAsia" w:ascii="宋体" w:hAnsi="宋体" w:cs="宋体"/>
          <w:bCs/>
          <w:szCs w:val="21"/>
        </w:rPr>
        <w:t>（4）施工组织设计；</w:t>
      </w:r>
    </w:p>
    <w:p w14:paraId="08ACA5F4">
      <w:pPr>
        <w:spacing w:line="360" w:lineRule="auto"/>
        <w:ind w:firstLine="420" w:firstLineChars="200"/>
        <w:rPr>
          <w:rFonts w:hint="eastAsia" w:ascii="宋体" w:hAnsi="宋体" w:cs="宋体"/>
          <w:bCs/>
          <w:szCs w:val="21"/>
        </w:rPr>
      </w:pPr>
      <w:r>
        <w:rPr>
          <w:rFonts w:hint="eastAsia" w:ascii="宋体" w:hAnsi="宋体" w:cs="宋体"/>
          <w:bCs/>
          <w:szCs w:val="21"/>
        </w:rPr>
        <w:t>（5）项目管理机构配备情况表；</w:t>
      </w:r>
    </w:p>
    <w:p w14:paraId="62672B26">
      <w:pPr>
        <w:spacing w:line="360" w:lineRule="auto"/>
        <w:ind w:firstLine="420" w:firstLineChars="200"/>
        <w:rPr>
          <w:rFonts w:hint="eastAsia" w:ascii="宋体" w:hAnsi="宋体" w:cs="宋体"/>
          <w:bCs/>
          <w:szCs w:val="21"/>
        </w:rPr>
      </w:pPr>
      <w:r>
        <w:rPr>
          <w:rFonts w:hint="eastAsia" w:ascii="宋体" w:hAnsi="宋体" w:cs="宋体"/>
          <w:bCs/>
          <w:szCs w:val="21"/>
        </w:rPr>
        <w:t>（6）供应商针对商务技术需要说明的其他文件和说明（格式自拟）；</w:t>
      </w:r>
    </w:p>
    <w:p w14:paraId="2AEF42C6">
      <w:pPr>
        <w:spacing w:line="360" w:lineRule="auto"/>
        <w:ind w:firstLine="422" w:firstLineChars="200"/>
        <w:rPr>
          <w:rFonts w:hint="eastAsia" w:ascii="宋体" w:hAnsi="宋体" w:cs="宋体"/>
          <w:b/>
          <w:szCs w:val="21"/>
        </w:rPr>
      </w:pPr>
      <w:r>
        <w:rPr>
          <w:rFonts w:hint="eastAsia" w:ascii="宋体" w:hAnsi="宋体" w:cs="宋体"/>
          <w:b/>
          <w:szCs w:val="21"/>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7E163F9">
      <w:pPr>
        <w:spacing w:line="360" w:lineRule="auto"/>
        <w:ind w:firstLine="422" w:firstLineChars="200"/>
        <w:rPr>
          <w:rFonts w:hint="eastAsia" w:ascii="宋体" w:hAnsi="宋体" w:cs="宋体"/>
          <w:b/>
          <w:szCs w:val="21"/>
        </w:rPr>
      </w:pPr>
      <w:r>
        <w:rPr>
          <w:rFonts w:hint="eastAsia" w:ascii="宋体" w:hAnsi="宋体" w:cs="宋体"/>
          <w:b/>
          <w:szCs w:val="21"/>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CC50A37">
      <w:pPr>
        <w:spacing w:line="360" w:lineRule="auto"/>
        <w:ind w:firstLine="422" w:firstLineChars="200"/>
        <w:rPr>
          <w:rFonts w:hint="eastAsia" w:ascii="宋体" w:hAnsi="宋体" w:cs="宋体"/>
          <w:b/>
          <w:szCs w:val="21"/>
        </w:rPr>
      </w:pPr>
      <w:r>
        <w:rPr>
          <w:rFonts w:hint="eastAsia" w:ascii="宋体" w:hAnsi="宋体" w:cs="宋体"/>
          <w:b/>
          <w:szCs w:val="21"/>
        </w:rPr>
        <w:t>③竞争性磋商采购文件要求提供的各种复印件，须加盖供应商CA签章，否则其磋商无效。</w:t>
      </w:r>
    </w:p>
    <w:p w14:paraId="0E25DA1E">
      <w:pPr>
        <w:spacing w:line="360" w:lineRule="auto"/>
        <w:ind w:firstLine="420" w:firstLineChars="200"/>
        <w:rPr>
          <w:rFonts w:hint="eastAsia" w:ascii="宋体" w:hAnsi="宋体" w:cs="宋体"/>
          <w:bCs/>
          <w:szCs w:val="21"/>
        </w:rPr>
      </w:pPr>
      <w:r>
        <w:rPr>
          <w:rFonts w:hint="eastAsia" w:ascii="宋体" w:hAnsi="宋体" w:cs="宋体"/>
          <w:bCs/>
          <w:szCs w:val="21"/>
        </w:rPr>
        <w:t>9.7响应文件有效期：见供应商须知前附表。</w:t>
      </w:r>
    </w:p>
    <w:p w14:paraId="5D2D6738">
      <w:pPr>
        <w:spacing w:line="360" w:lineRule="auto"/>
        <w:ind w:firstLine="420" w:firstLineChars="200"/>
        <w:rPr>
          <w:rFonts w:hint="eastAsia" w:ascii="宋体" w:hAnsi="宋体" w:cs="宋体"/>
          <w:bCs/>
          <w:szCs w:val="21"/>
        </w:rPr>
      </w:pPr>
      <w:r>
        <w:rPr>
          <w:rFonts w:hint="eastAsia" w:ascii="宋体" w:hAnsi="宋体" w:cs="宋体"/>
          <w:bCs/>
          <w:szCs w:val="21"/>
        </w:rPr>
        <w:t>9.8磋商保证金：见供应商须知前附表。</w:t>
      </w:r>
    </w:p>
    <w:p w14:paraId="31DDC3A2">
      <w:pPr>
        <w:spacing w:line="360" w:lineRule="auto"/>
        <w:ind w:firstLine="420" w:firstLineChars="200"/>
        <w:rPr>
          <w:rFonts w:hint="eastAsia" w:ascii="宋体" w:hAnsi="宋体" w:cs="宋体"/>
          <w:bCs/>
          <w:szCs w:val="21"/>
        </w:rPr>
      </w:pPr>
      <w:r>
        <w:rPr>
          <w:rFonts w:hint="eastAsia" w:ascii="宋体" w:hAnsi="宋体" w:cs="宋体"/>
          <w:bCs/>
          <w:szCs w:val="21"/>
        </w:rPr>
        <w:t>10.计量单位</w:t>
      </w:r>
    </w:p>
    <w:p w14:paraId="23A6F419">
      <w:pPr>
        <w:spacing w:line="360" w:lineRule="auto"/>
        <w:ind w:firstLine="420" w:firstLineChars="200"/>
        <w:rPr>
          <w:rFonts w:hint="eastAsia" w:ascii="宋体" w:hAnsi="宋体" w:cs="宋体"/>
          <w:bCs/>
          <w:szCs w:val="21"/>
        </w:rPr>
      </w:pPr>
      <w:r>
        <w:rPr>
          <w:rFonts w:hint="eastAsia" w:ascii="宋体" w:hAnsi="宋体" w:cs="宋体"/>
          <w:bCs/>
          <w:szCs w:val="21"/>
        </w:rPr>
        <w:t>10.1磋商文件已有明确规定的，使用磋商文件规定的计量单位；磋商文件没有规定的，应采用国家法定计量单位，货币种类为人民币，否则视同未响应。</w:t>
      </w:r>
    </w:p>
    <w:p w14:paraId="56EF192E">
      <w:pPr>
        <w:spacing w:line="360" w:lineRule="auto"/>
        <w:rPr>
          <w:rFonts w:hint="eastAsia" w:ascii="宋体" w:hAnsi="宋体" w:cs="宋体"/>
          <w:b/>
          <w:szCs w:val="21"/>
        </w:rPr>
      </w:pPr>
      <w:r>
        <w:rPr>
          <w:rFonts w:hint="eastAsia" w:ascii="宋体" w:hAnsi="宋体" w:cs="宋体"/>
          <w:b/>
          <w:szCs w:val="21"/>
        </w:rPr>
        <w:t>三、磋商报价及采购预算</w:t>
      </w:r>
    </w:p>
    <w:p w14:paraId="2DA5D919">
      <w:pPr>
        <w:spacing w:line="360" w:lineRule="auto"/>
        <w:ind w:firstLine="420" w:firstLineChars="200"/>
        <w:rPr>
          <w:rFonts w:hint="eastAsia" w:ascii="宋体" w:hAnsi="宋体" w:cs="宋体"/>
          <w:bCs/>
          <w:szCs w:val="21"/>
        </w:rPr>
      </w:pPr>
      <w:r>
        <w:rPr>
          <w:rFonts w:hint="eastAsia" w:ascii="宋体" w:hAnsi="宋体" w:cs="宋体"/>
          <w:bCs/>
          <w:szCs w:val="21"/>
        </w:rPr>
        <w:t>11.1对于本文件中未列明，而供应商认为必需的费用也需列入总报价。在合同实施时，采购人将不予支付成交供应商没有列入的项目费用，并认为此项目的费用已包括在总报价中。</w:t>
      </w:r>
    </w:p>
    <w:p w14:paraId="4E865053">
      <w:pPr>
        <w:spacing w:line="360" w:lineRule="auto"/>
        <w:ind w:firstLine="420" w:firstLineChars="200"/>
        <w:rPr>
          <w:rFonts w:hint="eastAsia" w:ascii="宋体" w:hAnsi="宋体" w:cs="宋体"/>
          <w:bCs/>
          <w:szCs w:val="21"/>
        </w:rPr>
      </w:pPr>
      <w:r>
        <w:rPr>
          <w:rFonts w:hint="eastAsia" w:ascii="宋体" w:hAnsi="宋体" w:cs="宋体"/>
          <w:bCs/>
          <w:szCs w:val="21"/>
        </w:rPr>
        <w:t>11.2供应商必须就所磋商的采购项目的全部内容作完整唯一报价，漏项报价的或有选择的或有条件的报价，其竞标将视为无效。</w:t>
      </w:r>
    </w:p>
    <w:p w14:paraId="11C45B7E">
      <w:pPr>
        <w:spacing w:line="360" w:lineRule="auto"/>
        <w:ind w:firstLine="420" w:firstLineChars="200"/>
        <w:rPr>
          <w:rFonts w:hint="eastAsia" w:ascii="宋体" w:hAnsi="宋体" w:cs="宋体"/>
          <w:bCs/>
          <w:szCs w:val="21"/>
        </w:rPr>
      </w:pPr>
      <w:r>
        <w:rPr>
          <w:rFonts w:hint="eastAsia" w:ascii="宋体" w:hAnsi="宋体" w:cs="宋体"/>
          <w:bCs/>
          <w:szCs w:val="21"/>
        </w:rPr>
        <w:t>11.3本项目磋商报价费用指按照采购需求完成该项目的所有服务工作的费用总和。</w:t>
      </w:r>
    </w:p>
    <w:p w14:paraId="34F6B45C">
      <w:pPr>
        <w:spacing w:line="360" w:lineRule="auto"/>
        <w:ind w:firstLine="420" w:firstLineChars="200"/>
        <w:rPr>
          <w:rFonts w:hint="eastAsia" w:ascii="宋体" w:hAnsi="宋体" w:cs="宋体"/>
          <w:bCs/>
          <w:szCs w:val="21"/>
        </w:rPr>
      </w:pPr>
      <w:r>
        <w:rPr>
          <w:rFonts w:hint="eastAsia" w:ascii="宋体" w:hAnsi="宋体" w:cs="宋体"/>
          <w:bCs/>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772011D">
      <w:pPr>
        <w:spacing w:line="360" w:lineRule="auto"/>
        <w:rPr>
          <w:rFonts w:hint="eastAsia" w:ascii="宋体" w:hAnsi="宋体" w:cs="宋体"/>
          <w:b/>
          <w:szCs w:val="21"/>
        </w:rPr>
      </w:pPr>
      <w:r>
        <w:rPr>
          <w:rFonts w:hint="eastAsia" w:ascii="宋体" w:hAnsi="宋体" w:cs="宋体"/>
          <w:b/>
          <w:szCs w:val="21"/>
        </w:rPr>
        <w:t>四、响应文件的份数、封装和递交</w:t>
      </w:r>
    </w:p>
    <w:p w14:paraId="6BA1B19D">
      <w:pPr>
        <w:spacing w:line="360" w:lineRule="auto"/>
        <w:ind w:firstLine="420" w:firstLineChars="200"/>
        <w:rPr>
          <w:rFonts w:hint="eastAsia" w:ascii="宋体" w:hAnsi="宋体" w:cs="宋体"/>
          <w:bCs/>
          <w:szCs w:val="21"/>
        </w:rPr>
      </w:pPr>
      <w:r>
        <w:rPr>
          <w:rFonts w:hint="eastAsia" w:ascii="宋体" w:hAnsi="宋体" w:cs="宋体"/>
          <w:bCs/>
          <w:szCs w:val="21"/>
        </w:rPr>
        <w:t>12.竞争性磋商响应文件的份数：电子加密响应文件一份。</w:t>
      </w:r>
    </w:p>
    <w:p w14:paraId="3527CC72">
      <w:pPr>
        <w:spacing w:line="360" w:lineRule="auto"/>
        <w:ind w:firstLine="420" w:firstLineChars="200"/>
        <w:rPr>
          <w:rFonts w:hint="eastAsia" w:ascii="宋体" w:hAnsi="宋体" w:cs="宋体"/>
          <w:bCs/>
          <w:szCs w:val="21"/>
        </w:rPr>
      </w:pPr>
      <w:r>
        <w:rPr>
          <w:rFonts w:hint="eastAsia" w:ascii="宋体" w:hAnsi="宋体" w:cs="宋体"/>
          <w:bCs/>
          <w:szCs w:val="21"/>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2DB075B">
      <w:pPr>
        <w:spacing w:line="360" w:lineRule="auto"/>
        <w:ind w:firstLine="420" w:firstLineChars="200"/>
        <w:rPr>
          <w:rFonts w:hint="eastAsia" w:ascii="宋体" w:hAnsi="宋体" w:cs="宋体"/>
          <w:bCs/>
          <w:szCs w:val="21"/>
        </w:rPr>
      </w:pPr>
      <w:r>
        <w:rPr>
          <w:rFonts w:hint="eastAsia" w:ascii="宋体" w:hAnsi="宋体" w:cs="宋体"/>
          <w:bCs/>
          <w:szCs w:val="21"/>
        </w:rPr>
        <w:t>13.响应文件的递交</w:t>
      </w:r>
    </w:p>
    <w:p w14:paraId="37B61503">
      <w:pPr>
        <w:spacing w:line="360" w:lineRule="auto"/>
        <w:ind w:firstLine="420" w:firstLineChars="200"/>
        <w:rPr>
          <w:rFonts w:hint="eastAsia" w:ascii="宋体" w:hAnsi="宋体" w:cs="宋体"/>
          <w:bCs/>
          <w:szCs w:val="21"/>
        </w:rPr>
      </w:pPr>
      <w:r>
        <w:rPr>
          <w:rFonts w:hint="eastAsia" w:ascii="宋体" w:hAnsi="宋体" w:cs="宋体"/>
          <w:bCs/>
          <w:szCs w:val="21"/>
        </w:rPr>
        <w:t>13.1所有竞争性响应文件应于“第二章磋商须知及前附表”中规定的截止时间前递交到规定地点。</w:t>
      </w:r>
    </w:p>
    <w:p w14:paraId="5F50DD98">
      <w:pPr>
        <w:spacing w:line="360" w:lineRule="auto"/>
        <w:ind w:firstLine="420" w:firstLineChars="200"/>
        <w:rPr>
          <w:rFonts w:hint="eastAsia" w:ascii="宋体" w:hAnsi="宋体" w:cs="宋体"/>
          <w:bCs/>
          <w:szCs w:val="21"/>
        </w:rPr>
      </w:pPr>
      <w:r>
        <w:rPr>
          <w:rFonts w:hint="eastAsia" w:ascii="宋体" w:hAnsi="宋体" w:cs="宋体"/>
          <w:bCs/>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3C51F154">
      <w:pPr>
        <w:spacing w:line="360" w:lineRule="auto"/>
        <w:ind w:firstLine="420" w:firstLineChars="200"/>
        <w:rPr>
          <w:rFonts w:hint="eastAsia" w:ascii="宋体" w:hAnsi="宋体" w:cs="宋体"/>
          <w:bCs/>
          <w:szCs w:val="21"/>
        </w:rPr>
      </w:pPr>
      <w:r>
        <w:rPr>
          <w:rFonts w:hint="eastAsia" w:ascii="宋体" w:hAnsi="宋体" w:cs="宋体"/>
          <w:bCs/>
          <w:szCs w:val="21"/>
        </w:rPr>
        <w:t>13.2迟交的响应文件</w:t>
      </w:r>
    </w:p>
    <w:p w14:paraId="2EA3E694">
      <w:pPr>
        <w:spacing w:line="360" w:lineRule="auto"/>
        <w:ind w:firstLine="420" w:firstLineChars="200"/>
        <w:rPr>
          <w:rFonts w:hint="eastAsia" w:ascii="宋体" w:hAnsi="宋体" w:cs="宋体"/>
          <w:bCs/>
          <w:szCs w:val="21"/>
        </w:rPr>
      </w:pPr>
      <w:r>
        <w:rPr>
          <w:rFonts w:hint="eastAsia" w:ascii="宋体" w:hAnsi="宋体" w:cs="宋体"/>
          <w:bCs/>
          <w:szCs w:val="21"/>
        </w:rPr>
        <w:t>采购人或采购代理人按照规定有权拒绝或原封退回在其规定的递交响应文件截止时间之后收到的任何响应文件。</w:t>
      </w:r>
    </w:p>
    <w:p w14:paraId="60D1850B">
      <w:pPr>
        <w:spacing w:line="360" w:lineRule="auto"/>
        <w:rPr>
          <w:rFonts w:hint="eastAsia" w:ascii="宋体" w:hAnsi="宋体" w:cs="宋体"/>
          <w:b/>
          <w:szCs w:val="21"/>
        </w:rPr>
      </w:pPr>
      <w:r>
        <w:rPr>
          <w:rFonts w:hint="eastAsia" w:ascii="宋体" w:hAnsi="宋体" w:cs="宋体"/>
          <w:b/>
          <w:szCs w:val="21"/>
        </w:rPr>
        <w:t>五、竞争性磋商（简称磋商）与评审</w:t>
      </w:r>
    </w:p>
    <w:p w14:paraId="60E9E98F">
      <w:pPr>
        <w:spacing w:line="360" w:lineRule="auto"/>
        <w:ind w:firstLine="420" w:firstLineChars="200"/>
        <w:rPr>
          <w:rFonts w:hint="eastAsia" w:ascii="宋体" w:hAnsi="宋体" w:cs="宋体"/>
          <w:bCs/>
          <w:szCs w:val="21"/>
        </w:rPr>
      </w:pPr>
      <w:r>
        <w:rPr>
          <w:rFonts w:hint="eastAsia" w:ascii="宋体" w:hAnsi="宋体" w:cs="宋体"/>
          <w:bCs/>
          <w:szCs w:val="21"/>
        </w:rPr>
        <w:t>14.磋商小组成立及响应文件的开启</w:t>
      </w:r>
    </w:p>
    <w:p w14:paraId="08B208BD">
      <w:pPr>
        <w:spacing w:line="360" w:lineRule="auto"/>
        <w:ind w:firstLine="420" w:firstLineChars="200"/>
        <w:rPr>
          <w:rFonts w:hint="eastAsia" w:ascii="宋体" w:hAnsi="宋体" w:cs="宋体"/>
          <w:bCs/>
          <w:szCs w:val="21"/>
        </w:rPr>
      </w:pPr>
      <w:r>
        <w:rPr>
          <w:rFonts w:hint="eastAsia" w:ascii="宋体" w:hAnsi="宋体" w:cs="宋体"/>
          <w:bCs/>
          <w:szCs w:val="21"/>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10602D1">
      <w:pPr>
        <w:spacing w:line="360" w:lineRule="auto"/>
        <w:ind w:firstLine="420" w:firstLineChars="200"/>
        <w:rPr>
          <w:rFonts w:hint="eastAsia" w:ascii="宋体" w:hAnsi="宋体" w:cs="宋体"/>
          <w:bCs/>
          <w:szCs w:val="21"/>
        </w:rPr>
      </w:pPr>
      <w:r>
        <w:rPr>
          <w:rFonts w:hint="eastAsia" w:ascii="宋体" w:hAnsi="宋体" w:cs="宋体"/>
          <w:bCs/>
          <w:szCs w:val="21"/>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EA6E2B1">
      <w:pPr>
        <w:spacing w:line="360" w:lineRule="auto"/>
        <w:ind w:firstLine="420" w:firstLineChars="200"/>
        <w:rPr>
          <w:rFonts w:hint="eastAsia" w:ascii="宋体" w:hAnsi="宋体" w:cs="宋体"/>
          <w:bCs/>
          <w:szCs w:val="21"/>
        </w:rPr>
      </w:pPr>
      <w:r>
        <w:rPr>
          <w:rFonts w:hint="eastAsia" w:ascii="宋体" w:hAnsi="宋体" w:cs="宋体"/>
          <w:bCs/>
          <w:szCs w:val="21"/>
        </w:rPr>
        <w:t>14.3响应文件的开启：具体详见“供应商须知前附表”。</w:t>
      </w:r>
    </w:p>
    <w:p w14:paraId="7353872D">
      <w:pPr>
        <w:spacing w:line="360" w:lineRule="auto"/>
        <w:ind w:firstLine="420" w:firstLineChars="200"/>
        <w:rPr>
          <w:rFonts w:hint="eastAsia" w:ascii="宋体" w:hAnsi="宋体" w:cs="宋体"/>
          <w:bCs/>
          <w:szCs w:val="21"/>
        </w:rPr>
      </w:pPr>
      <w:r>
        <w:rPr>
          <w:rFonts w:hint="eastAsia" w:ascii="宋体" w:hAnsi="宋体" w:cs="宋体"/>
          <w:bCs/>
          <w:szCs w:val="21"/>
        </w:rPr>
        <w:t>15.响应文件评审程序</w:t>
      </w:r>
    </w:p>
    <w:p w14:paraId="6675B23F">
      <w:pPr>
        <w:spacing w:line="360" w:lineRule="auto"/>
        <w:ind w:firstLine="420" w:firstLineChars="200"/>
        <w:rPr>
          <w:rFonts w:hint="eastAsia" w:ascii="宋体" w:hAnsi="宋体" w:cs="宋体"/>
          <w:bCs/>
          <w:szCs w:val="21"/>
        </w:rPr>
      </w:pPr>
      <w:r>
        <w:rPr>
          <w:rFonts w:hint="eastAsia" w:ascii="宋体" w:hAnsi="宋体" w:cs="宋体"/>
          <w:bCs/>
          <w:szCs w:val="21"/>
        </w:rPr>
        <w:t>15.1资格审查</w:t>
      </w:r>
    </w:p>
    <w:p w14:paraId="4C44001D">
      <w:pPr>
        <w:spacing w:line="360" w:lineRule="auto"/>
        <w:ind w:firstLine="420" w:firstLineChars="200"/>
        <w:rPr>
          <w:rFonts w:hint="eastAsia" w:ascii="宋体" w:hAnsi="宋体" w:cs="宋体"/>
          <w:bCs/>
          <w:szCs w:val="21"/>
        </w:rPr>
      </w:pPr>
      <w:r>
        <w:rPr>
          <w:rFonts w:hint="eastAsia" w:ascii="宋体" w:hAnsi="宋体" w:cs="宋体"/>
          <w:bCs/>
          <w:szCs w:val="21"/>
        </w:rPr>
        <w:t>15.1.1响应文件开启后，由磋商小组依法对供应商的资格证明文件进行审查。</w:t>
      </w:r>
    </w:p>
    <w:p w14:paraId="67C54195">
      <w:pPr>
        <w:spacing w:line="360" w:lineRule="auto"/>
        <w:ind w:firstLine="420" w:firstLineChars="200"/>
        <w:rPr>
          <w:rFonts w:hint="eastAsia" w:ascii="宋体" w:hAnsi="宋体" w:cs="宋体"/>
          <w:bCs/>
          <w:szCs w:val="21"/>
        </w:rPr>
      </w:pPr>
      <w:r>
        <w:rPr>
          <w:rFonts w:hint="eastAsia" w:ascii="宋体" w:hAnsi="宋体" w:cs="宋体"/>
          <w:bCs/>
          <w:szCs w:val="21"/>
        </w:rPr>
        <w:t>15.1.2通过资格审查的合格供应商不足3家的，不得进入符合性审查环节，采购人或采购代理机构应当重新开展采购活动。</w:t>
      </w:r>
    </w:p>
    <w:p w14:paraId="1571E44C">
      <w:pPr>
        <w:spacing w:line="360" w:lineRule="auto"/>
        <w:ind w:firstLine="420" w:firstLineChars="200"/>
        <w:rPr>
          <w:rFonts w:hint="eastAsia" w:ascii="宋体" w:hAnsi="宋体" w:cs="宋体"/>
          <w:bCs/>
          <w:szCs w:val="21"/>
        </w:rPr>
      </w:pPr>
      <w:r>
        <w:rPr>
          <w:rFonts w:hint="eastAsia" w:ascii="宋体" w:hAnsi="宋体" w:cs="宋体"/>
          <w:bCs/>
          <w:szCs w:val="21"/>
        </w:rPr>
        <w:t>15.2符合性审查</w:t>
      </w:r>
    </w:p>
    <w:p w14:paraId="4D4FF20E">
      <w:pPr>
        <w:spacing w:line="360" w:lineRule="auto"/>
        <w:ind w:firstLine="420" w:firstLineChars="200"/>
        <w:rPr>
          <w:rFonts w:hint="eastAsia" w:ascii="宋体" w:hAnsi="宋体" w:cs="宋体"/>
          <w:bCs/>
          <w:szCs w:val="21"/>
        </w:rPr>
      </w:pPr>
      <w:r>
        <w:rPr>
          <w:rFonts w:hint="eastAsia" w:ascii="宋体" w:hAnsi="宋体" w:cs="宋体"/>
          <w:bCs/>
          <w:szCs w:val="21"/>
        </w:rPr>
        <w:t>15.2.1由磋商小组通过资格审查的合格供应商的响应文件的竞标报价、商务、技术等实质性要求进行符合性审查，以确定其是否满足竞争性磋商文件的实质性要求。</w:t>
      </w:r>
    </w:p>
    <w:p w14:paraId="0F05D0A4">
      <w:pPr>
        <w:spacing w:line="360" w:lineRule="auto"/>
        <w:ind w:firstLine="420" w:firstLineChars="200"/>
        <w:rPr>
          <w:rFonts w:hint="eastAsia" w:ascii="宋体" w:hAnsi="宋体" w:cs="宋体"/>
          <w:bCs/>
          <w:szCs w:val="21"/>
        </w:rPr>
      </w:pPr>
      <w:r>
        <w:rPr>
          <w:rFonts w:hint="eastAsia" w:ascii="宋体" w:hAnsi="宋体" w:cs="宋体"/>
          <w:bCs/>
          <w:szCs w:val="21"/>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21D6FA">
      <w:pPr>
        <w:spacing w:line="360" w:lineRule="auto"/>
        <w:ind w:firstLine="420" w:firstLineChars="200"/>
        <w:rPr>
          <w:rFonts w:hint="eastAsia" w:ascii="宋体" w:hAnsi="宋体" w:cs="宋体"/>
          <w:bCs/>
          <w:szCs w:val="21"/>
        </w:rPr>
      </w:pPr>
      <w:r>
        <w:rPr>
          <w:rFonts w:hint="eastAsia" w:ascii="宋体" w:hAnsi="宋体" w:cs="宋体"/>
          <w:bCs/>
          <w:szCs w:val="21"/>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64125E3">
      <w:pPr>
        <w:spacing w:line="360" w:lineRule="auto"/>
        <w:ind w:firstLine="420" w:firstLineChars="200"/>
        <w:rPr>
          <w:rFonts w:hint="eastAsia" w:ascii="宋体" w:hAnsi="宋体" w:cs="宋体"/>
          <w:bCs/>
          <w:szCs w:val="21"/>
        </w:rPr>
      </w:pPr>
      <w:r>
        <w:rPr>
          <w:rFonts w:hint="eastAsia" w:ascii="宋体" w:hAnsi="宋体" w:cs="宋体"/>
          <w:bCs/>
          <w:szCs w:val="21"/>
        </w:rPr>
        <w:t>15.2.4首次响应文件中报价出现前后不一致的，按照下列规定修正：</w:t>
      </w:r>
    </w:p>
    <w:p w14:paraId="4C57530D">
      <w:pPr>
        <w:spacing w:line="360" w:lineRule="auto"/>
        <w:ind w:firstLine="420" w:firstLineChars="200"/>
        <w:rPr>
          <w:rFonts w:hint="eastAsia" w:ascii="宋体" w:hAnsi="宋体" w:cs="宋体"/>
          <w:bCs/>
          <w:szCs w:val="21"/>
        </w:rPr>
      </w:pPr>
      <w:r>
        <w:rPr>
          <w:rFonts w:hint="eastAsia" w:ascii="宋体" w:hAnsi="宋体" w:cs="宋体"/>
          <w:bCs/>
          <w:szCs w:val="21"/>
        </w:rPr>
        <w:t>（1）响应文件中报价表内容与响应文件中相应内容不一致的，以报价表为准；</w:t>
      </w:r>
    </w:p>
    <w:p w14:paraId="4D19EE8A">
      <w:pPr>
        <w:spacing w:line="360" w:lineRule="auto"/>
        <w:ind w:firstLine="420" w:firstLineChars="200"/>
        <w:rPr>
          <w:rFonts w:hint="eastAsia" w:ascii="宋体" w:hAnsi="宋体" w:cs="宋体"/>
          <w:bCs/>
          <w:szCs w:val="21"/>
        </w:rPr>
      </w:pPr>
      <w:r>
        <w:rPr>
          <w:rFonts w:hint="eastAsia" w:ascii="宋体" w:hAnsi="宋体" w:cs="宋体"/>
          <w:bCs/>
          <w:szCs w:val="21"/>
        </w:rPr>
        <w:t>（2）大写金额和小写金额不一致的，以大写金额为准；</w:t>
      </w:r>
    </w:p>
    <w:p w14:paraId="76E115A5">
      <w:pPr>
        <w:spacing w:line="360" w:lineRule="auto"/>
        <w:ind w:firstLine="420" w:firstLineChars="200"/>
        <w:rPr>
          <w:rFonts w:hint="eastAsia" w:ascii="宋体" w:hAnsi="宋体" w:cs="宋体"/>
          <w:bCs/>
          <w:szCs w:val="21"/>
        </w:rPr>
      </w:pPr>
      <w:r>
        <w:rPr>
          <w:rFonts w:hint="eastAsia" w:ascii="宋体" w:hAnsi="宋体" w:cs="宋体"/>
          <w:bCs/>
          <w:szCs w:val="21"/>
        </w:rPr>
        <w:t>（3）单价金额小数点或者百分比有明显错位的，以报价表的总价为准，并修改单价；</w:t>
      </w:r>
    </w:p>
    <w:p w14:paraId="34086243">
      <w:pPr>
        <w:spacing w:line="360" w:lineRule="auto"/>
        <w:ind w:firstLine="420" w:firstLineChars="200"/>
        <w:rPr>
          <w:rFonts w:hint="eastAsia" w:ascii="宋体" w:hAnsi="宋体" w:cs="宋体"/>
          <w:bCs/>
          <w:szCs w:val="21"/>
        </w:rPr>
      </w:pPr>
      <w:r>
        <w:rPr>
          <w:rFonts w:hint="eastAsia" w:ascii="宋体" w:hAnsi="宋体" w:cs="宋体"/>
          <w:bCs/>
          <w:szCs w:val="21"/>
        </w:rPr>
        <w:t>（4）总价金额与按单价汇总金额不一致的，以单价金额计算结果为准。</w:t>
      </w:r>
    </w:p>
    <w:p w14:paraId="40AE7FFA">
      <w:pPr>
        <w:spacing w:line="360" w:lineRule="auto"/>
        <w:ind w:firstLine="420" w:firstLineChars="200"/>
        <w:rPr>
          <w:rFonts w:hint="eastAsia" w:ascii="宋体" w:hAnsi="宋体" w:cs="宋体"/>
          <w:bCs/>
          <w:szCs w:val="21"/>
        </w:rPr>
      </w:pPr>
      <w:r>
        <w:rPr>
          <w:rFonts w:hint="eastAsia" w:ascii="宋体" w:hAnsi="宋体" w:cs="宋体"/>
          <w:bCs/>
          <w:szCs w:val="21"/>
        </w:rPr>
        <w:t>同时出现两种以上不一致的，按照以上（1）-（4）规定的顺序逐条进行修正。修正后的报价经供应商确认后产生约束力，供应商不确认的，其响应文件按无效响应处理。</w:t>
      </w:r>
    </w:p>
    <w:p w14:paraId="01707948">
      <w:pPr>
        <w:spacing w:line="360" w:lineRule="auto"/>
        <w:ind w:firstLine="420" w:firstLineChars="200"/>
        <w:rPr>
          <w:rFonts w:hint="eastAsia" w:ascii="宋体" w:hAnsi="宋体" w:cs="宋体"/>
          <w:bCs/>
          <w:szCs w:val="21"/>
        </w:rPr>
      </w:pPr>
      <w:r>
        <w:rPr>
          <w:rFonts w:hint="eastAsia" w:ascii="宋体" w:hAnsi="宋体" w:cs="宋体"/>
          <w:bCs/>
          <w:szCs w:val="21"/>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52E9825E">
      <w:pPr>
        <w:spacing w:line="360" w:lineRule="auto"/>
        <w:ind w:firstLine="420" w:firstLineChars="200"/>
        <w:rPr>
          <w:rFonts w:hint="eastAsia" w:ascii="宋体" w:hAnsi="宋体" w:cs="宋体"/>
          <w:bCs/>
          <w:szCs w:val="21"/>
        </w:rPr>
      </w:pPr>
      <w:r>
        <w:rPr>
          <w:rFonts w:hint="eastAsia" w:ascii="宋体" w:hAnsi="宋体" w:cs="宋体"/>
          <w:bCs/>
          <w:szCs w:val="21"/>
        </w:rPr>
        <w:t>15.2.6通过符合性审查的合格供应商不足3家的，不得进入磋商环节，采购人或采购代理机构应当重新开展采购活动。</w:t>
      </w:r>
    </w:p>
    <w:p w14:paraId="633B275D">
      <w:pPr>
        <w:spacing w:line="360" w:lineRule="auto"/>
        <w:ind w:firstLine="420" w:firstLineChars="200"/>
        <w:rPr>
          <w:rFonts w:hint="eastAsia" w:ascii="宋体" w:hAnsi="宋体" w:cs="宋体"/>
          <w:bCs/>
          <w:szCs w:val="21"/>
        </w:rPr>
      </w:pPr>
      <w:r>
        <w:rPr>
          <w:rFonts w:hint="eastAsia" w:ascii="宋体" w:hAnsi="宋体" w:cs="宋体"/>
          <w:bCs/>
          <w:szCs w:val="21"/>
        </w:rPr>
        <w:t>16.磋商</w:t>
      </w:r>
    </w:p>
    <w:p w14:paraId="6F621092">
      <w:pPr>
        <w:spacing w:line="360" w:lineRule="auto"/>
        <w:ind w:firstLine="420" w:firstLineChars="200"/>
        <w:rPr>
          <w:rFonts w:hint="eastAsia" w:ascii="宋体" w:hAnsi="宋体" w:cs="宋体"/>
          <w:bCs/>
          <w:szCs w:val="21"/>
        </w:rPr>
      </w:pPr>
      <w:r>
        <w:rPr>
          <w:rFonts w:hint="eastAsia" w:ascii="宋体" w:hAnsi="宋体" w:cs="宋体"/>
          <w:bCs/>
          <w:szCs w:val="21"/>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szCs w:val="21"/>
        </w:rPr>
        <w:tab/>
      </w:r>
      <w:r>
        <w:rPr>
          <w:rFonts w:hint="eastAsia" w:ascii="宋体" w:hAnsi="宋体" w:cs="宋体"/>
          <w:bCs/>
          <w:szCs w:val="21"/>
        </w:rPr>
        <w:t>（https://www.gcy.zfcg.gxzf.gov.cn/）开标信息，在接到磋商通知后规定时间内参加磋商，未在规定时间内参加磋商的视同放弃参加磋商权利，其响应文件按无效响应处理。</w:t>
      </w:r>
    </w:p>
    <w:p w14:paraId="20229F90">
      <w:pPr>
        <w:spacing w:line="360" w:lineRule="auto"/>
        <w:ind w:firstLine="420" w:firstLineChars="200"/>
        <w:rPr>
          <w:rFonts w:hint="eastAsia" w:ascii="宋体" w:hAnsi="宋体" w:cs="宋体"/>
          <w:bCs/>
          <w:szCs w:val="21"/>
        </w:rPr>
      </w:pPr>
      <w:r>
        <w:rPr>
          <w:rFonts w:hint="eastAsia" w:ascii="宋体" w:hAnsi="宋体" w:cs="宋体"/>
          <w:bCs/>
          <w:szCs w:val="21"/>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B5007CA">
      <w:pPr>
        <w:spacing w:line="360" w:lineRule="auto"/>
        <w:ind w:firstLine="420" w:firstLineChars="200"/>
        <w:rPr>
          <w:rFonts w:hint="eastAsia" w:ascii="宋体" w:hAnsi="宋体" w:cs="宋体"/>
          <w:bCs/>
          <w:szCs w:val="21"/>
        </w:rPr>
      </w:pPr>
      <w:r>
        <w:rPr>
          <w:rFonts w:hint="eastAsia" w:ascii="宋体" w:hAnsi="宋体" w:cs="宋体"/>
          <w:bCs/>
          <w:szCs w:val="21"/>
        </w:rPr>
        <w:t>16.3对竞争性磋商文件作出的实质性变动是竞争性磋商文件的有效组成部分，由磋商小组及时以书面形式同时通知所有参加磋商的供应商。</w:t>
      </w:r>
    </w:p>
    <w:p w14:paraId="7847BE39">
      <w:pPr>
        <w:spacing w:line="360" w:lineRule="auto"/>
        <w:ind w:firstLine="420" w:firstLineChars="200"/>
        <w:rPr>
          <w:rFonts w:hint="eastAsia" w:ascii="宋体" w:hAnsi="宋体" w:cs="宋体"/>
          <w:bCs/>
          <w:szCs w:val="21"/>
        </w:rPr>
      </w:pPr>
      <w:r>
        <w:rPr>
          <w:rFonts w:hint="eastAsia" w:ascii="宋体" w:hAnsi="宋体" w:cs="宋体"/>
          <w:bCs/>
          <w:szCs w:val="21"/>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3599BFF">
      <w:pPr>
        <w:spacing w:line="360" w:lineRule="auto"/>
        <w:ind w:firstLine="420" w:firstLineChars="200"/>
        <w:rPr>
          <w:rFonts w:hint="eastAsia" w:ascii="宋体" w:hAnsi="宋体" w:cs="宋体"/>
          <w:bCs/>
          <w:szCs w:val="21"/>
        </w:rPr>
      </w:pPr>
      <w:r>
        <w:rPr>
          <w:rFonts w:hint="eastAsia" w:ascii="宋体" w:hAnsi="宋体" w:cs="宋体"/>
          <w:bCs/>
          <w:szCs w:val="21"/>
        </w:rPr>
        <w:t>16.5磋商中，磋商的任何一方不得透露与磋商有关的其他供应商的技术资料、价格和其他信息。</w:t>
      </w:r>
    </w:p>
    <w:p w14:paraId="4FC27940">
      <w:pPr>
        <w:spacing w:line="360" w:lineRule="auto"/>
        <w:ind w:firstLine="420" w:firstLineChars="200"/>
        <w:rPr>
          <w:rFonts w:hint="eastAsia" w:ascii="宋体" w:hAnsi="宋体" w:cs="宋体"/>
          <w:bCs/>
          <w:szCs w:val="21"/>
        </w:rPr>
      </w:pPr>
      <w:r>
        <w:rPr>
          <w:rFonts w:hint="eastAsia" w:ascii="宋体" w:hAnsi="宋体" w:cs="宋体"/>
          <w:bCs/>
          <w:szCs w:val="21"/>
        </w:rPr>
        <w:t>16.6采购代理机构对磋商过程和重要磋商内容进行记录，磋商双方应在记录上签字确认。</w:t>
      </w:r>
    </w:p>
    <w:p w14:paraId="72B27094">
      <w:pPr>
        <w:spacing w:line="360" w:lineRule="auto"/>
        <w:ind w:firstLine="420" w:firstLineChars="200"/>
        <w:rPr>
          <w:rFonts w:hint="eastAsia" w:ascii="宋体" w:hAnsi="宋体" w:cs="宋体"/>
          <w:bCs/>
          <w:szCs w:val="21"/>
        </w:rPr>
      </w:pPr>
      <w:r>
        <w:rPr>
          <w:rFonts w:hint="eastAsia" w:ascii="宋体" w:hAnsi="宋体" w:cs="宋体"/>
          <w:bCs/>
          <w:szCs w:val="21"/>
        </w:rPr>
        <w:t>16.7磋商过程中重新提交的响应文件，供应商可以在开启前补充、修改。</w:t>
      </w:r>
    </w:p>
    <w:p w14:paraId="4295BFEC">
      <w:pPr>
        <w:spacing w:line="360" w:lineRule="auto"/>
        <w:ind w:firstLine="420" w:firstLineChars="200"/>
        <w:rPr>
          <w:rFonts w:hint="eastAsia" w:ascii="宋体" w:hAnsi="宋体" w:cs="宋体"/>
          <w:bCs/>
          <w:szCs w:val="21"/>
        </w:rPr>
      </w:pPr>
      <w:r>
        <w:rPr>
          <w:rFonts w:hint="eastAsia" w:ascii="宋体" w:hAnsi="宋体" w:cs="宋体"/>
          <w:bCs/>
          <w:szCs w:val="21"/>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5F098C7">
      <w:pPr>
        <w:spacing w:line="360" w:lineRule="auto"/>
        <w:ind w:firstLine="420" w:firstLineChars="200"/>
        <w:rPr>
          <w:rFonts w:hint="eastAsia" w:ascii="宋体" w:hAnsi="宋体" w:cs="宋体"/>
          <w:bCs/>
          <w:szCs w:val="21"/>
        </w:rPr>
      </w:pPr>
      <w:r>
        <w:rPr>
          <w:rFonts w:hint="eastAsia" w:ascii="宋体" w:hAnsi="宋体" w:cs="宋体"/>
          <w:bCs/>
          <w:szCs w:val="21"/>
        </w:rPr>
        <w:t>16.9对磋商过程提交的响应文件进行有效性、完整性和响应程度审查，通过审查的合格供应商不足3家的，除本须知正文第16.8条的情形外，采购人或采购代理机构应当重新开展采购活动。</w:t>
      </w:r>
    </w:p>
    <w:p w14:paraId="7A21CE2D">
      <w:pPr>
        <w:spacing w:line="360" w:lineRule="auto"/>
        <w:ind w:firstLine="420" w:firstLineChars="200"/>
        <w:rPr>
          <w:rFonts w:hint="eastAsia" w:ascii="宋体" w:hAnsi="宋体" w:cs="宋体"/>
          <w:bCs/>
          <w:szCs w:val="21"/>
        </w:rPr>
      </w:pPr>
      <w:r>
        <w:rPr>
          <w:rFonts w:hint="eastAsia" w:ascii="宋体" w:hAnsi="宋体" w:cs="宋体"/>
          <w:bCs/>
          <w:szCs w:val="21"/>
        </w:rPr>
        <w:t>16.10本项目所有响应文件的首次报价及所有磋商报价均不公布。最后磋商结束后，磋商小组不得再与供应商进行任何形式的商谈。</w:t>
      </w:r>
    </w:p>
    <w:p w14:paraId="7DEF83EA">
      <w:pPr>
        <w:spacing w:line="360" w:lineRule="auto"/>
        <w:ind w:firstLine="420" w:firstLineChars="200"/>
        <w:rPr>
          <w:rFonts w:hint="eastAsia" w:ascii="宋体" w:hAnsi="宋体" w:cs="宋体"/>
          <w:bCs/>
          <w:szCs w:val="21"/>
        </w:rPr>
      </w:pPr>
      <w:r>
        <w:rPr>
          <w:rFonts w:hint="eastAsia" w:ascii="宋体" w:hAnsi="宋体" w:cs="宋体"/>
          <w:bCs/>
          <w:szCs w:val="21"/>
        </w:rPr>
        <w:t>17.最后报价</w:t>
      </w:r>
    </w:p>
    <w:p w14:paraId="68A493AD">
      <w:pPr>
        <w:spacing w:line="360" w:lineRule="auto"/>
        <w:ind w:firstLine="420" w:firstLineChars="200"/>
        <w:rPr>
          <w:rFonts w:hint="eastAsia" w:ascii="宋体" w:hAnsi="宋体" w:cs="宋体"/>
          <w:bCs/>
          <w:szCs w:val="21"/>
        </w:rPr>
      </w:pPr>
      <w:r>
        <w:rPr>
          <w:rFonts w:hint="eastAsia" w:ascii="宋体" w:hAnsi="宋体" w:cs="宋体"/>
          <w:bCs/>
          <w:szCs w:val="21"/>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0CC254CD">
      <w:pPr>
        <w:spacing w:line="360" w:lineRule="auto"/>
        <w:ind w:firstLine="420" w:firstLineChars="200"/>
        <w:rPr>
          <w:rFonts w:hint="eastAsia" w:ascii="宋体" w:hAnsi="宋体" w:cs="宋体"/>
          <w:bCs/>
          <w:szCs w:val="21"/>
        </w:rPr>
      </w:pPr>
      <w:r>
        <w:rPr>
          <w:rFonts w:hint="eastAsia" w:ascii="宋体" w:hAnsi="宋体" w:cs="宋体"/>
          <w:bCs/>
          <w:szCs w:val="21"/>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163C071B">
      <w:pPr>
        <w:spacing w:line="360" w:lineRule="auto"/>
        <w:ind w:firstLine="420" w:firstLineChars="200"/>
        <w:rPr>
          <w:rFonts w:hint="eastAsia" w:ascii="宋体" w:hAnsi="宋体" w:cs="宋体"/>
          <w:bCs/>
          <w:szCs w:val="21"/>
        </w:rPr>
      </w:pPr>
      <w:r>
        <w:rPr>
          <w:rFonts w:hint="eastAsia" w:ascii="宋体" w:hAnsi="宋体" w:cs="宋体"/>
          <w:bCs/>
          <w:szCs w:val="21"/>
        </w:rPr>
        <w:t>①最后报价与首次报价相比无调整的：供应商提交的最后报价只须注明与首次报价相同。</w:t>
      </w:r>
    </w:p>
    <w:p w14:paraId="17E946FE">
      <w:pPr>
        <w:spacing w:line="360" w:lineRule="auto"/>
        <w:ind w:firstLine="420" w:firstLineChars="200"/>
        <w:rPr>
          <w:rFonts w:hint="eastAsia" w:ascii="宋体" w:hAnsi="宋体" w:cs="宋体"/>
          <w:bCs/>
          <w:szCs w:val="21"/>
        </w:rPr>
      </w:pPr>
      <w:r>
        <w:rPr>
          <w:rFonts w:hint="eastAsia" w:ascii="宋体" w:hAnsi="宋体" w:cs="宋体"/>
          <w:bCs/>
          <w:szCs w:val="21"/>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6B5529E1">
      <w:pPr>
        <w:spacing w:line="360" w:lineRule="auto"/>
        <w:ind w:firstLine="420" w:firstLineChars="200"/>
        <w:rPr>
          <w:rFonts w:hint="eastAsia" w:ascii="宋体" w:hAnsi="宋体" w:cs="宋体"/>
          <w:bCs/>
          <w:szCs w:val="21"/>
        </w:rPr>
      </w:pPr>
      <w:r>
        <w:rPr>
          <w:rFonts w:hint="eastAsia" w:ascii="宋体" w:hAnsi="宋体" w:cs="宋体"/>
          <w:bCs/>
          <w:szCs w:val="21"/>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D349200">
      <w:pPr>
        <w:spacing w:line="360" w:lineRule="auto"/>
        <w:ind w:firstLine="420" w:firstLineChars="200"/>
        <w:rPr>
          <w:rFonts w:hint="eastAsia" w:ascii="宋体" w:hAnsi="宋体" w:cs="宋体"/>
          <w:bCs/>
          <w:szCs w:val="21"/>
        </w:rPr>
      </w:pPr>
      <w:r>
        <w:rPr>
          <w:rFonts w:hint="eastAsia" w:ascii="宋体" w:hAnsi="宋体" w:cs="宋体"/>
          <w:bCs/>
          <w:szCs w:val="21"/>
        </w:rPr>
        <w:t>17.4已经提交响应文件的供应商，在提交最后报价之前，可以根据磋商情况退出磋商，退出磋商的供应商的响应文件按无效响应处理。采购人、采购代理机构将退还退出磋商的供应商的保证金。</w:t>
      </w:r>
    </w:p>
    <w:p w14:paraId="24D1EE2E">
      <w:pPr>
        <w:spacing w:line="360" w:lineRule="auto"/>
        <w:ind w:firstLine="420" w:firstLineChars="200"/>
        <w:rPr>
          <w:rFonts w:hint="eastAsia" w:ascii="宋体" w:hAnsi="宋体" w:cs="宋体"/>
          <w:bCs/>
          <w:szCs w:val="21"/>
        </w:rPr>
      </w:pPr>
      <w:r>
        <w:rPr>
          <w:rFonts w:hint="eastAsia" w:ascii="宋体" w:hAnsi="宋体" w:cs="宋体"/>
          <w:bCs/>
          <w:szCs w:val="21"/>
        </w:rPr>
        <w:t>17.5供应商未在规定时间内提交最后报价的，视同退出磋商。</w:t>
      </w:r>
    </w:p>
    <w:p w14:paraId="24AB2EEF">
      <w:pPr>
        <w:spacing w:line="360" w:lineRule="auto"/>
        <w:ind w:firstLine="420" w:firstLineChars="200"/>
        <w:rPr>
          <w:rFonts w:hint="eastAsia" w:ascii="宋体" w:hAnsi="宋体" w:cs="宋体"/>
          <w:bCs/>
          <w:szCs w:val="21"/>
        </w:rPr>
      </w:pPr>
      <w:r>
        <w:rPr>
          <w:rFonts w:hint="eastAsia" w:ascii="宋体" w:hAnsi="宋体" w:cs="宋体"/>
          <w:bCs/>
          <w:szCs w:val="21"/>
        </w:rPr>
        <w:t>17.6磋商小组收齐某一分标最后报价后统一开启，磋商小组对最后报价进行有效性、完整性和响应程度的审查。</w:t>
      </w:r>
    </w:p>
    <w:p w14:paraId="56344098">
      <w:pPr>
        <w:spacing w:line="360" w:lineRule="auto"/>
        <w:ind w:firstLine="420" w:firstLineChars="200"/>
        <w:rPr>
          <w:rFonts w:hint="eastAsia" w:ascii="宋体" w:hAnsi="宋体" w:cs="宋体"/>
          <w:bCs/>
          <w:szCs w:val="21"/>
        </w:rPr>
      </w:pPr>
      <w:r>
        <w:rPr>
          <w:rFonts w:hint="eastAsia" w:ascii="宋体" w:hAnsi="宋体" w:cs="宋体"/>
          <w:bCs/>
          <w:szCs w:val="21"/>
        </w:rPr>
        <w:t>17.7响应文件最后报价出现前后不一致的，按照本正文第25.2.4条的规定修正。</w:t>
      </w:r>
    </w:p>
    <w:p w14:paraId="2D9EE2C8">
      <w:pPr>
        <w:spacing w:line="360" w:lineRule="auto"/>
        <w:ind w:firstLine="420" w:firstLineChars="200"/>
        <w:rPr>
          <w:rFonts w:hint="eastAsia" w:ascii="宋体" w:hAnsi="宋体" w:cs="宋体"/>
          <w:bCs/>
          <w:szCs w:val="21"/>
        </w:rPr>
      </w:pPr>
      <w:r>
        <w:rPr>
          <w:rFonts w:hint="eastAsia" w:ascii="宋体" w:hAnsi="宋体" w:cs="宋体"/>
          <w:bCs/>
          <w:szCs w:val="21"/>
        </w:rPr>
        <w:t>17.8修正后的报价出现下列情形的，按无效响应处理：</w:t>
      </w:r>
    </w:p>
    <w:p w14:paraId="436EEB26">
      <w:pPr>
        <w:spacing w:line="360" w:lineRule="auto"/>
        <w:ind w:firstLine="420" w:firstLineChars="200"/>
        <w:rPr>
          <w:rFonts w:hint="eastAsia" w:ascii="宋体" w:hAnsi="宋体" w:cs="宋体"/>
          <w:bCs/>
          <w:szCs w:val="21"/>
        </w:rPr>
      </w:pPr>
      <w:r>
        <w:rPr>
          <w:rFonts w:hint="eastAsia" w:ascii="宋体" w:hAnsi="宋体" w:cs="宋体"/>
          <w:bCs/>
          <w:szCs w:val="21"/>
        </w:rPr>
        <w:t>（1）供应商不确认的；</w:t>
      </w:r>
    </w:p>
    <w:p w14:paraId="113FD824">
      <w:pPr>
        <w:spacing w:line="360" w:lineRule="auto"/>
        <w:ind w:firstLine="420" w:firstLineChars="200"/>
        <w:rPr>
          <w:rFonts w:hint="eastAsia" w:ascii="宋体" w:hAnsi="宋体" w:cs="宋体"/>
          <w:bCs/>
          <w:szCs w:val="21"/>
        </w:rPr>
      </w:pPr>
      <w:r>
        <w:rPr>
          <w:rFonts w:hint="eastAsia" w:ascii="宋体" w:hAnsi="宋体" w:cs="宋体"/>
          <w:bCs/>
          <w:szCs w:val="21"/>
        </w:rPr>
        <w:t>（2）经供应商确认修正后的竞标报价（包含首次报价、最后报价）超过所竞标规定的采购预算金额或者最高限价的（如本项目公布了最高限价）；</w:t>
      </w:r>
    </w:p>
    <w:p w14:paraId="59538D8E">
      <w:pPr>
        <w:spacing w:line="360" w:lineRule="auto"/>
        <w:ind w:firstLine="420" w:firstLineChars="200"/>
        <w:rPr>
          <w:rFonts w:hint="eastAsia" w:ascii="宋体" w:hAnsi="宋体" w:cs="宋体"/>
          <w:bCs/>
          <w:szCs w:val="21"/>
        </w:rPr>
      </w:pPr>
      <w:r>
        <w:rPr>
          <w:rFonts w:hint="eastAsia" w:ascii="宋体" w:hAnsi="宋体" w:cs="宋体"/>
          <w:bCs/>
          <w:szCs w:val="21"/>
        </w:rPr>
        <w:t>（3）经供应商确认修正后的竞标报价（包含首次报价、最后报价）超过分项采购预算金额或者最高限价的（如本项目公布了最高限价）。</w:t>
      </w:r>
    </w:p>
    <w:p w14:paraId="756A6E6E">
      <w:pPr>
        <w:spacing w:line="360" w:lineRule="auto"/>
        <w:ind w:firstLine="420" w:firstLineChars="200"/>
        <w:rPr>
          <w:rFonts w:hint="eastAsia" w:ascii="宋体" w:hAnsi="宋体" w:cs="宋体"/>
          <w:bCs/>
          <w:szCs w:val="21"/>
        </w:rPr>
      </w:pPr>
      <w:r>
        <w:rPr>
          <w:rFonts w:hint="eastAsia" w:ascii="宋体" w:hAnsi="宋体" w:cs="宋体"/>
          <w:bCs/>
          <w:szCs w:val="21"/>
        </w:rPr>
        <w:t>17.9经供应商确认修正后的最后报价作为评审及签订合同的依据。</w:t>
      </w:r>
    </w:p>
    <w:p w14:paraId="0F1B56BE">
      <w:pPr>
        <w:spacing w:line="360" w:lineRule="auto"/>
        <w:ind w:firstLine="420" w:firstLineChars="200"/>
        <w:rPr>
          <w:rFonts w:hint="eastAsia" w:ascii="宋体" w:hAnsi="宋体" w:cs="宋体"/>
          <w:bCs/>
          <w:szCs w:val="21"/>
        </w:rPr>
      </w:pPr>
      <w:r>
        <w:rPr>
          <w:rFonts w:hint="eastAsia" w:ascii="宋体" w:hAnsi="宋体" w:cs="宋体"/>
          <w:bCs/>
          <w:szCs w:val="21"/>
        </w:rPr>
        <w:t>17.10最后报价结束后，磋商小组不得再与供应商进行任何形式的商谈。</w:t>
      </w:r>
    </w:p>
    <w:p w14:paraId="26DB7657">
      <w:pPr>
        <w:spacing w:line="360" w:lineRule="auto"/>
        <w:ind w:firstLine="420" w:firstLineChars="200"/>
        <w:rPr>
          <w:rFonts w:hint="eastAsia" w:ascii="宋体" w:hAnsi="宋体" w:cs="宋体"/>
          <w:bCs/>
          <w:szCs w:val="21"/>
        </w:rPr>
      </w:pPr>
      <w:r>
        <w:rPr>
          <w:rFonts w:hint="eastAsia" w:ascii="宋体" w:hAnsi="宋体" w:cs="宋体"/>
          <w:bCs/>
          <w:szCs w:val="21"/>
        </w:rPr>
        <w:t>18.比较与评价</w:t>
      </w:r>
    </w:p>
    <w:p w14:paraId="4C57ADBD">
      <w:pPr>
        <w:spacing w:line="360" w:lineRule="auto"/>
        <w:ind w:firstLine="420" w:firstLineChars="200"/>
        <w:rPr>
          <w:rFonts w:hint="eastAsia" w:ascii="宋体" w:hAnsi="宋体" w:cs="宋体"/>
          <w:bCs/>
          <w:szCs w:val="21"/>
        </w:rPr>
      </w:pPr>
      <w:r>
        <w:rPr>
          <w:rFonts w:hint="eastAsia" w:ascii="宋体" w:hAnsi="宋体" w:cs="宋体"/>
          <w:bCs/>
          <w:szCs w:val="21"/>
        </w:rPr>
        <w:t>18.1评审方法：综合评分法。</w:t>
      </w:r>
    </w:p>
    <w:p w14:paraId="5AB10619">
      <w:pPr>
        <w:spacing w:line="360" w:lineRule="auto"/>
        <w:ind w:firstLine="420" w:firstLineChars="200"/>
        <w:rPr>
          <w:rFonts w:hint="eastAsia" w:ascii="宋体" w:hAnsi="宋体" w:cs="宋体"/>
          <w:bCs/>
          <w:szCs w:val="21"/>
        </w:rPr>
      </w:pPr>
      <w:r>
        <w:rPr>
          <w:rFonts w:hint="eastAsia" w:ascii="宋体" w:hAnsi="宋体" w:cs="宋体"/>
          <w:bCs/>
          <w:szCs w:val="21"/>
        </w:rPr>
        <w:t>18.2经磋商确定最终采购需求和提交最后报价的供应商后，由磋商小组采用综合评分法对提交最后报价的供应商的响应文件和最后报价进行综合评分。详见第四章“评审程序、评审方法和评审标准”。</w:t>
      </w:r>
    </w:p>
    <w:p w14:paraId="5443D023">
      <w:pPr>
        <w:spacing w:line="360" w:lineRule="auto"/>
        <w:ind w:firstLine="420" w:firstLineChars="200"/>
        <w:rPr>
          <w:rFonts w:hint="eastAsia" w:ascii="宋体" w:hAnsi="宋体" w:cs="宋体"/>
          <w:bCs/>
          <w:szCs w:val="21"/>
        </w:rPr>
      </w:pPr>
      <w:r>
        <w:rPr>
          <w:rFonts w:hint="eastAsia" w:ascii="宋体" w:hAnsi="宋体" w:cs="宋体"/>
          <w:bCs/>
          <w:szCs w:val="21"/>
        </w:rPr>
        <w:t>18.3评审时，磋商小组各成员应当独立对每个有效的响应文件进行评价、打分，然后汇总每个供应商每项评分因素的得分。</w:t>
      </w:r>
    </w:p>
    <w:p w14:paraId="4894AD80">
      <w:pPr>
        <w:spacing w:line="360" w:lineRule="auto"/>
        <w:ind w:firstLine="420" w:firstLineChars="200"/>
        <w:rPr>
          <w:rFonts w:hint="eastAsia" w:ascii="宋体" w:hAnsi="宋体" w:cs="宋体"/>
          <w:bCs/>
          <w:szCs w:val="21"/>
        </w:rPr>
      </w:pPr>
      <w:r>
        <w:rPr>
          <w:rFonts w:hint="eastAsia" w:ascii="宋体" w:hAnsi="宋体" w:cs="宋体"/>
          <w:bCs/>
          <w:szCs w:val="21"/>
        </w:rPr>
        <w:t>（1）磋商小组按照竞争性磋商文件中规定的评审标准计算各供应商的报价得分。项目评审过程中，不得去掉最后报价中的最高报价和最低报价。</w:t>
      </w:r>
    </w:p>
    <w:p w14:paraId="0AD0D8BA">
      <w:pPr>
        <w:spacing w:line="360" w:lineRule="auto"/>
        <w:ind w:firstLine="420" w:firstLineChars="200"/>
        <w:rPr>
          <w:rFonts w:hint="eastAsia" w:ascii="宋体" w:hAnsi="宋体" w:cs="宋体"/>
          <w:bCs/>
          <w:szCs w:val="21"/>
        </w:rPr>
      </w:pPr>
      <w:r>
        <w:rPr>
          <w:rFonts w:hint="eastAsia" w:ascii="宋体" w:hAnsi="宋体" w:cs="宋体"/>
          <w:bCs/>
          <w:szCs w:val="21"/>
        </w:rPr>
        <w:t>（2）各供应商的得分为磋商小组所有成员的有效评分的算术平均数。</w:t>
      </w:r>
    </w:p>
    <w:p w14:paraId="09170727">
      <w:pPr>
        <w:spacing w:line="360" w:lineRule="auto"/>
        <w:ind w:firstLine="420" w:firstLineChars="200"/>
        <w:rPr>
          <w:rFonts w:hint="eastAsia" w:ascii="宋体" w:hAnsi="宋体" w:cs="宋体"/>
          <w:bCs/>
          <w:szCs w:val="21"/>
        </w:rPr>
      </w:pPr>
      <w:r>
        <w:rPr>
          <w:rFonts w:hint="eastAsia" w:ascii="宋体" w:hAnsi="宋体" w:cs="宋体"/>
          <w:bCs/>
          <w:szCs w:val="21"/>
        </w:rPr>
        <w:t>18.4评审价为供应商的最后报价进行政策性扣除后的价格，评审价只是作为评审时使用。最终成交供应商的成交金额等于最后报价（如有修正，以确认修正后的最后报价为准）。</w:t>
      </w:r>
    </w:p>
    <w:p w14:paraId="537A23C1">
      <w:pPr>
        <w:spacing w:line="360" w:lineRule="auto"/>
        <w:ind w:firstLine="420" w:firstLineChars="200"/>
        <w:rPr>
          <w:rFonts w:hint="eastAsia" w:ascii="宋体" w:hAnsi="宋体" w:cs="宋体"/>
          <w:bCs/>
          <w:szCs w:val="21"/>
        </w:rPr>
      </w:pPr>
      <w:r>
        <w:rPr>
          <w:rFonts w:hint="eastAsia" w:ascii="宋体" w:hAnsi="宋体" w:cs="宋体"/>
          <w:bCs/>
          <w:szCs w:val="21"/>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FBA92FC">
      <w:pPr>
        <w:spacing w:line="360" w:lineRule="auto"/>
        <w:ind w:firstLine="420" w:firstLineChars="200"/>
        <w:rPr>
          <w:rFonts w:hint="eastAsia" w:ascii="宋体" w:hAnsi="宋体" w:cs="宋体"/>
          <w:bCs/>
          <w:szCs w:val="21"/>
        </w:rPr>
      </w:pPr>
      <w:r>
        <w:rPr>
          <w:rFonts w:hint="eastAsia" w:ascii="宋体" w:hAnsi="宋体" w:cs="宋体"/>
          <w:bCs/>
          <w:szCs w:val="21"/>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3A5884B">
      <w:pPr>
        <w:spacing w:line="360" w:lineRule="auto"/>
        <w:ind w:firstLine="420" w:firstLineChars="200"/>
        <w:rPr>
          <w:rFonts w:hint="eastAsia" w:ascii="宋体" w:hAnsi="宋体" w:cs="宋体"/>
          <w:bCs/>
          <w:szCs w:val="21"/>
        </w:rPr>
      </w:pPr>
      <w:r>
        <w:rPr>
          <w:rFonts w:hint="eastAsia" w:ascii="宋体" w:hAnsi="宋体" w:cs="宋体"/>
          <w:bCs/>
          <w:szCs w:val="21"/>
        </w:rPr>
        <w:t>特别说明：广西政府采购云平台公司如对电子化磋商及评审程序有调整的，按调整后的程序操作。</w:t>
      </w:r>
    </w:p>
    <w:p w14:paraId="006A6850">
      <w:pPr>
        <w:spacing w:line="360" w:lineRule="auto"/>
        <w:ind w:firstLine="420" w:firstLineChars="200"/>
        <w:rPr>
          <w:rFonts w:hint="eastAsia" w:ascii="宋体" w:hAnsi="宋体" w:cs="宋体"/>
          <w:bCs/>
          <w:szCs w:val="21"/>
        </w:rPr>
      </w:pPr>
      <w:r>
        <w:rPr>
          <w:rFonts w:hint="eastAsia" w:ascii="宋体" w:hAnsi="宋体" w:cs="宋体"/>
          <w:bCs/>
          <w:szCs w:val="21"/>
        </w:rPr>
        <w:t>18.6采购过程中出现以下情形，导致电子交易平台无法正常运行，或者无法保证电子交易的公平、公正和安全时，采购组织机构可中止电子交易活动：</w:t>
      </w:r>
    </w:p>
    <w:p w14:paraId="0D3067FC">
      <w:pPr>
        <w:spacing w:line="360" w:lineRule="auto"/>
        <w:ind w:firstLine="420" w:firstLineChars="200"/>
        <w:rPr>
          <w:rFonts w:hint="eastAsia" w:ascii="宋体" w:hAnsi="宋体" w:cs="宋体"/>
          <w:bCs/>
          <w:szCs w:val="21"/>
        </w:rPr>
      </w:pPr>
      <w:r>
        <w:rPr>
          <w:rFonts w:hint="eastAsia" w:ascii="宋体" w:hAnsi="宋体" w:cs="宋体"/>
          <w:bCs/>
          <w:szCs w:val="21"/>
        </w:rPr>
        <w:t>18.6.1电子交易平台发生故障而无法登录访问的；</w:t>
      </w:r>
    </w:p>
    <w:p w14:paraId="1511D464">
      <w:pPr>
        <w:spacing w:line="360" w:lineRule="auto"/>
        <w:ind w:firstLine="420" w:firstLineChars="200"/>
        <w:rPr>
          <w:rFonts w:hint="eastAsia" w:ascii="宋体" w:hAnsi="宋体" w:cs="宋体"/>
          <w:bCs/>
          <w:szCs w:val="21"/>
        </w:rPr>
      </w:pPr>
      <w:r>
        <w:rPr>
          <w:rFonts w:hint="eastAsia" w:ascii="宋体" w:hAnsi="宋体" w:cs="宋体"/>
          <w:bCs/>
          <w:szCs w:val="21"/>
        </w:rPr>
        <w:t>18.6.2电子交易平台应用或数据库出现错误，不能进行正常操作的；</w:t>
      </w:r>
    </w:p>
    <w:p w14:paraId="680DB4E3">
      <w:pPr>
        <w:spacing w:line="360" w:lineRule="auto"/>
        <w:ind w:firstLine="420" w:firstLineChars="200"/>
        <w:rPr>
          <w:rFonts w:hint="eastAsia" w:ascii="宋体" w:hAnsi="宋体" w:cs="宋体"/>
          <w:bCs/>
          <w:szCs w:val="21"/>
        </w:rPr>
      </w:pPr>
      <w:r>
        <w:rPr>
          <w:rFonts w:hint="eastAsia" w:ascii="宋体" w:hAnsi="宋体" w:cs="宋体"/>
          <w:bCs/>
          <w:szCs w:val="21"/>
        </w:rPr>
        <w:t>18.6.3电子交易平台发现严重安全漏洞，有潜在泄密危险的；</w:t>
      </w:r>
    </w:p>
    <w:p w14:paraId="70E165A1">
      <w:pPr>
        <w:spacing w:line="360" w:lineRule="auto"/>
        <w:ind w:firstLine="420" w:firstLineChars="200"/>
        <w:rPr>
          <w:rFonts w:hint="eastAsia" w:ascii="宋体" w:hAnsi="宋体" w:cs="宋体"/>
          <w:bCs/>
          <w:szCs w:val="21"/>
        </w:rPr>
      </w:pPr>
      <w:r>
        <w:rPr>
          <w:rFonts w:hint="eastAsia" w:ascii="宋体" w:hAnsi="宋体" w:cs="宋体"/>
          <w:bCs/>
          <w:szCs w:val="21"/>
        </w:rPr>
        <w:t>18.6.4病毒发作导致不能进行正常操作的；</w:t>
      </w:r>
    </w:p>
    <w:p w14:paraId="1204CF12">
      <w:pPr>
        <w:spacing w:line="360" w:lineRule="auto"/>
        <w:ind w:firstLine="420" w:firstLineChars="200"/>
        <w:rPr>
          <w:rFonts w:hint="eastAsia" w:ascii="宋体" w:hAnsi="宋体" w:cs="宋体"/>
          <w:bCs/>
          <w:szCs w:val="21"/>
        </w:rPr>
      </w:pPr>
      <w:r>
        <w:rPr>
          <w:rFonts w:hint="eastAsia" w:ascii="宋体" w:hAnsi="宋体" w:cs="宋体"/>
          <w:bCs/>
          <w:szCs w:val="21"/>
        </w:rPr>
        <w:t>18.6.5其他无法保证电子交易的公平、公正和安全的情况。</w:t>
      </w:r>
    </w:p>
    <w:p w14:paraId="5D88A97F">
      <w:pPr>
        <w:spacing w:line="360" w:lineRule="auto"/>
        <w:ind w:firstLine="420" w:firstLineChars="200"/>
        <w:rPr>
          <w:rFonts w:hint="eastAsia" w:ascii="宋体" w:hAnsi="宋体" w:cs="宋体"/>
          <w:bCs/>
          <w:szCs w:val="21"/>
        </w:rPr>
      </w:pPr>
      <w:r>
        <w:rPr>
          <w:rFonts w:hint="eastAsia" w:ascii="宋体" w:hAnsi="宋体" w:cs="宋体"/>
          <w:bCs/>
          <w:szCs w:val="21"/>
        </w:rPr>
        <w:t>18.6.6出现前款规定情形，不影响采购公平、公正性的，采购组织机构可以待上述情形消除后继续组织电子交易活动，也可以决定某些环节以纸质形式进行；影响或可能影响采购公平、公正性的，应当重新采购。</w:t>
      </w:r>
    </w:p>
    <w:p w14:paraId="5EDB63AC">
      <w:pPr>
        <w:spacing w:line="360" w:lineRule="auto"/>
        <w:rPr>
          <w:rFonts w:hint="eastAsia" w:ascii="宋体" w:hAnsi="宋体" w:cs="宋体"/>
          <w:b/>
          <w:szCs w:val="21"/>
        </w:rPr>
      </w:pPr>
      <w:r>
        <w:rPr>
          <w:rFonts w:hint="eastAsia" w:ascii="宋体" w:hAnsi="宋体" w:cs="宋体"/>
          <w:b/>
          <w:szCs w:val="21"/>
        </w:rPr>
        <w:t>六、确定成交供应商办法及结果公告</w:t>
      </w:r>
    </w:p>
    <w:p w14:paraId="218BA4F6">
      <w:pPr>
        <w:spacing w:line="360" w:lineRule="auto"/>
        <w:ind w:firstLine="420" w:firstLineChars="200"/>
        <w:rPr>
          <w:rFonts w:hint="eastAsia" w:ascii="宋体" w:hAnsi="宋体" w:cs="宋体"/>
          <w:bCs/>
          <w:szCs w:val="21"/>
        </w:rPr>
      </w:pPr>
      <w:r>
        <w:rPr>
          <w:rFonts w:hint="eastAsia" w:ascii="宋体" w:hAnsi="宋体" w:cs="宋体"/>
          <w:bCs/>
          <w:szCs w:val="21"/>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44454A">
      <w:pPr>
        <w:spacing w:line="360" w:lineRule="auto"/>
        <w:ind w:firstLine="420" w:firstLineChars="200"/>
        <w:rPr>
          <w:rFonts w:hint="eastAsia" w:ascii="宋体" w:hAnsi="宋体" w:cs="宋体"/>
          <w:bCs/>
          <w:szCs w:val="21"/>
        </w:rPr>
      </w:pPr>
      <w:r>
        <w:rPr>
          <w:rFonts w:hint="eastAsia" w:ascii="宋体" w:hAnsi="宋体" w:cs="宋体"/>
          <w:bCs/>
          <w:szCs w:val="21"/>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722EC25">
      <w:pPr>
        <w:spacing w:line="360" w:lineRule="auto"/>
        <w:ind w:firstLine="420" w:firstLineChars="200"/>
        <w:rPr>
          <w:rFonts w:hint="eastAsia" w:ascii="宋体" w:hAnsi="宋体" w:cs="宋体"/>
          <w:bCs/>
          <w:szCs w:val="21"/>
        </w:rPr>
      </w:pPr>
      <w:r>
        <w:rPr>
          <w:rFonts w:hint="eastAsia" w:ascii="宋体" w:hAnsi="宋体" w:cs="宋体"/>
          <w:bCs/>
          <w:szCs w:val="21"/>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1CA0D21">
      <w:pPr>
        <w:spacing w:line="360" w:lineRule="auto"/>
        <w:ind w:firstLine="420" w:firstLineChars="200"/>
        <w:rPr>
          <w:rFonts w:hint="eastAsia" w:ascii="宋体" w:hAnsi="宋体" w:cs="宋体"/>
          <w:bCs/>
          <w:szCs w:val="21"/>
        </w:rPr>
      </w:pPr>
      <w:r>
        <w:rPr>
          <w:rFonts w:hint="eastAsia" w:ascii="宋体" w:hAnsi="宋体" w:cs="宋体"/>
          <w:bCs/>
          <w:szCs w:val="21"/>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F665B9E">
      <w:pPr>
        <w:spacing w:line="360" w:lineRule="auto"/>
        <w:rPr>
          <w:rFonts w:hint="eastAsia" w:ascii="宋体" w:hAnsi="宋体" w:cs="宋体"/>
          <w:b/>
          <w:szCs w:val="21"/>
        </w:rPr>
      </w:pPr>
      <w:r>
        <w:rPr>
          <w:rFonts w:hint="eastAsia" w:ascii="宋体" w:hAnsi="宋体" w:cs="宋体"/>
          <w:b/>
          <w:szCs w:val="21"/>
        </w:rPr>
        <w:t>七、履约保证金</w:t>
      </w:r>
    </w:p>
    <w:p w14:paraId="54D591D1">
      <w:pPr>
        <w:spacing w:line="360" w:lineRule="auto"/>
        <w:ind w:firstLine="420" w:firstLineChars="200"/>
        <w:rPr>
          <w:rFonts w:hint="eastAsia" w:ascii="宋体" w:hAnsi="宋体" w:cs="宋体"/>
          <w:bCs/>
          <w:szCs w:val="21"/>
        </w:rPr>
      </w:pPr>
      <w:r>
        <w:rPr>
          <w:rFonts w:hint="eastAsia" w:ascii="宋体" w:hAnsi="宋体" w:cs="宋体"/>
          <w:bCs/>
          <w:szCs w:val="21"/>
        </w:rPr>
        <w:t>20.履约保证金：详见须知前附表。</w:t>
      </w:r>
    </w:p>
    <w:p w14:paraId="2047F278">
      <w:pPr>
        <w:spacing w:line="360" w:lineRule="auto"/>
        <w:rPr>
          <w:rFonts w:hint="eastAsia" w:ascii="宋体" w:hAnsi="宋体" w:cs="宋体"/>
          <w:b/>
          <w:szCs w:val="21"/>
        </w:rPr>
      </w:pPr>
      <w:r>
        <w:rPr>
          <w:rFonts w:hint="eastAsia" w:ascii="宋体" w:hAnsi="宋体" w:cs="宋体"/>
          <w:b/>
          <w:szCs w:val="21"/>
        </w:rPr>
        <w:t>八、签订合同</w:t>
      </w:r>
    </w:p>
    <w:p w14:paraId="032D9C85">
      <w:pPr>
        <w:spacing w:line="360" w:lineRule="auto"/>
        <w:ind w:firstLine="420" w:firstLineChars="200"/>
        <w:rPr>
          <w:rFonts w:hint="eastAsia" w:ascii="宋体" w:hAnsi="宋体" w:cs="宋体"/>
        </w:rPr>
      </w:pPr>
      <w:r>
        <w:rPr>
          <w:rFonts w:hint="eastAsia" w:ascii="宋体" w:hAnsi="宋体" w:cs="宋体"/>
          <w:bCs/>
          <w:szCs w:val="21"/>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07DA5344">
      <w:pPr>
        <w:spacing w:line="360" w:lineRule="auto"/>
        <w:ind w:firstLine="420" w:firstLineChars="200"/>
        <w:rPr>
          <w:rFonts w:hint="eastAsia" w:ascii="宋体" w:hAnsi="宋体" w:cs="宋体"/>
          <w:bCs/>
          <w:szCs w:val="21"/>
        </w:rPr>
      </w:pPr>
      <w:r>
        <w:rPr>
          <w:rFonts w:hint="eastAsia" w:ascii="宋体" w:hAnsi="宋体" w:cs="宋体"/>
          <w:bCs/>
          <w:szCs w:val="21"/>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5DB90CFA">
      <w:pPr>
        <w:spacing w:line="360" w:lineRule="auto"/>
        <w:rPr>
          <w:rFonts w:hint="eastAsia" w:ascii="宋体" w:hAnsi="宋体" w:cs="宋体"/>
          <w:b/>
          <w:szCs w:val="21"/>
        </w:rPr>
      </w:pPr>
      <w:r>
        <w:rPr>
          <w:rFonts w:hint="eastAsia" w:ascii="宋体" w:hAnsi="宋体" w:cs="宋体"/>
          <w:b/>
          <w:szCs w:val="21"/>
        </w:rPr>
        <w:t>九、政府采购合同公告</w:t>
      </w:r>
    </w:p>
    <w:p w14:paraId="1F33C946">
      <w:pPr>
        <w:spacing w:line="360" w:lineRule="auto"/>
        <w:ind w:firstLine="420" w:firstLineChars="200"/>
        <w:rPr>
          <w:rFonts w:hint="eastAsia" w:ascii="宋体" w:hAnsi="宋体" w:cs="宋体"/>
          <w:bCs/>
          <w:szCs w:val="21"/>
        </w:rPr>
      </w:pPr>
      <w:r>
        <w:rPr>
          <w:rFonts w:hint="eastAsia" w:ascii="宋体" w:hAnsi="宋体" w:cs="宋体"/>
          <w:bCs/>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0BD53A7">
      <w:pPr>
        <w:spacing w:line="360" w:lineRule="auto"/>
        <w:rPr>
          <w:rFonts w:hint="eastAsia" w:ascii="宋体" w:hAnsi="宋体" w:cs="宋体"/>
          <w:b/>
          <w:szCs w:val="21"/>
        </w:rPr>
      </w:pPr>
      <w:r>
        <w:rPr>
          <w:rFonts w:hint="eastAsia" w:ascii="宋体" w:hAnsi="宋体" w:cs="宋体"/>
          <w:b/>
          <w:szCs w:val="21"/>
        </w:rPr>
        <w:t>十、适用法律</w:t>
      </w:r>
    </w:p>
    <w:p w14:paraId="1A3F039D">
      <w:pPr>
        <w:spacing w:line="360" w:lineRule="auto"/>
        <w:ind w:firstLine="420" w:firstLineChars="200"/>
        <w:jc w:val="distribute"/>
        <w:rPr>
          <w:rFonts w:hint="eastAsia" w:ascii="宋体" w:hAnsi="宋体" w:cs="宋体"/>
          <w:bCs/>
          <w:szCs w:val="21"/>
        </w:rPr>
      </w:pPr>
      <w:r>
        <w:rPr>
          <w:rFonts w:hint="eastAsia" w:ascii="宋体" w:hAnsi="宋体" w:cs="宋体"/>
          <w:bCs/>
          <w:szCs w:val="21"/>
        </w:rPr>
        <w:t>23.本项目适用于《中华人民共和国政府采购法》《中华人民共和国政府采购法实施条例》</w:t>
      </w:r>
    </w:p>
    <w:p w14:paraId="7E7A5E9F">
      <w:pPr>
        <w:spacing w:line="360" w:lineRule="auto"/>
        <w:rPr>
          <w:rFonts w:hint="eastAsia" w:ascii="宋体" w:hAnsi="宋体" w:cs="宋体"/>
          <w:bCs/>
          <w:szCs w:val="21"/>
        </w:rPr>
      </w:pPr>
      <w:r>
        <w:rPr>
          <w:rFonts w:hint="eastAsia" w:ascii="宋体" w:hAnsi="宋体" w:cs="宋体"/>
          <w:bCs/>
          <w:szCs w:val="21"/>
        </w:rPr>
        <w:t>《政府采购竞争性磋商采购方式管理暂行办法》《财政部关于政府采购竞争性磋商采购方式管理暂行办法有关问题的补充通知》及本项目本级和上级财政部门政府采购有关规定。</w:t>
      </w:r>
    </w:p>
    <w:p w14:paraId="378CE9A1">
      <w:pPr>
        <w:spacing w:line="360" w:lineRule="auto"/>
        <w:rPr>
          <w:rFonts w:hint="eastAsia" w:ascii="宋体" w:hAnsi="宋体" w:cs="宋体"/>
          <w:b/>
          <w:szCs w:val="21"/>
        </w:rPr>
      </w:pPr>
      <w:r>
        <w:rPr>
          <w:rFonts w:hint="eastAsia" w:ascii="宋体" w:hAnsi="宋体" w:cs="宋体"/>
          <w:b/>
          <w:szCs w:val="21"/>
        </w:rPr>
        <w:t>十一、其他事项</w:t>
      </w:r>
    </w:p>
    <w:p w14:paraId="33EBA6AC">
      <w:pPr>
        <w:spacing w:line="360" w:lineRule="auto"/>
        <w:ind w:firstLine="420" w:firstLineChars="200"/>
        <w:rPr>
          <w:rFonts w:hint="eastAsia" w:ascii="宋体" w:hAnsi="宋体" w:cs="宋体"/>
          <w:bCs/>
          <w:szCs w:val="21"/>
        </w:rPr>
      </w:pPr>
      <w:r>
        <w:rPr>
          <w:rFonts w:hint="eastAsia" w:ascii="宋体" w:hAnsi="宋体" w:cs="宋体"/>
          <w:bCs/>
          <w:szCs w:val="21"/>
        </w:rPr>
        <w:t>24.1招标代理服务费</w:t>
      </w:r>
    </w:p>
    <w:p w14:paraId="7265DE83">
      <w:pPr>
        <w:pStyle w:val="13"/>
        <w:snapToGrid w:val="0"/>
        <w:spacing w:line="360" w:lineRule="auto"/>
        <w:ind w:firstLine="420" w:firstLineChars="200"/>
        <w:rPr>
          <w:rFonts w:hint="eastAsia" w:hAnsi="宋体" w:cs="宋体"/>
          <w:bCs/>
        </w:rPr>
      </w:pPr>
      <w:r>
        <w:rPr>
          <w:rFonts w:hint="eastAsia" w:hAnsi="宋体" w:cs="宋体"/>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rPr>
        <w:t>。</w:t>
      </w:r>
    </w:p>
    <w:p w14:paraId="4916331D">
      <w:pPr>
        <w:pStyle w:val="13"/>
        <w:snapToGrid w:val="0"/>
        <w:spacing w:line="360" w:lineRule="auto"/>
        <w:ind w:firstLine="420" w:firstLineChars="200"/>
        <w:rPr>
          <w:rFonts w:hint="eastAsia" w:hAnsi="宋体" w:cs="宋体"/>
          <w:bCs/>
        </w:rPr>
      </w:pPr>
      <w:r>
        <w:rPr>
          <w:rFonts w:hint="eastAsia" w:hAnsi="宋体" w:cs="宋体"/>
          <w:bCs/>
        </w:rPr>
        <w:t>代理服务费专用账户：</w:t>
      </w:r>
    </w:p>
    <w:p w14:paraId="73B3AC2F">
      <w:pPr>
        <w:pStyle w:val="13"/>
        <w:snapToGrid w:val="0"/>
        <w:spacing w:line="360" w:lineRule="auto"/>
        <w:rPr>
          <w:rFonts w:hint="eastAsia" w:hAnsi="宋体" w:cs="宋体"/>
        </w:rPr>
      </w:pPr>
      <w:r>
        <w:rPr>
          <w:rFonts w:hint="eastAsia" w:hAnsi="宋体" w:cs="宋体"/>
        </w:rPr>
        <w:t>开户名称：广西荣胜项目管理有限公司灵山分公司</w:t>
      </w:r>
    </w:p>
    <w:p w14:paraId="4EE1804F">
      <w:pPr>
        <w:pStyle w:val="13"/>
        <w:snapToGrid w:val="0"/>
        <w:spacing w:line="360" w:lineRule="auto"/>
        <w:rPr>
          <w:rFonts w:hint="eastAsia" w:hAnsi="宋体" w:cs="宋体"/>
        </w:rPr>
      </w:pPr>
      <w:r>
        <w:rPr>
          <w:rFonts w:hint="eastAsia" w:hAnsi="宋体" w:cs="宋体"/>
        </w:rPr>
        <w:t>账  号：811712010121967396</w:t>
      </w:r>
    </w:p>
    <w:p w14:paraId="3C042CA4">
      <w:pPr>
        <w:pStyle w:val="13"/>
        <w:snapToGrid w:val="0"/>
        <w:spacing w:line="360" w:lineRule="auto"/>
        <w:rPr>
          <w:rFonts w:hint="eastAsia" w:hAnsi="宋体" w:cs="宋体"/>
          <w:szCs w:val="24"/>
        </w:rPr>
      </w:pPr>
      <w:r>
        <w:rPr>
          <w:rFonts w:hint="eastAsia" w:hAnsi="宋体" w:cs="宋体"/>
        </w:rPr>
        <w:t>开户行：灵山县农村信用合作联社平山信用社</w:t>
      </w:r>
    </w:p>
    <w:p w14:paraId="07317689">
      <w:pPr>
        <w:pStyle w:val="13"/>
        <w:snapToGrid w:val="0"/>
        <w:spacing w:line="360" w:lineRule="auto"/>
        <w:ind w:firstLine="420" w:firstLineChars="200"/>
        <w:rPr>
          <w:rFonts w:hint="eastAsia" w:hAnsi="宋体" w:cs="宋体"/>
          <w:bCs/>
        </w:rPr>
      </w:pPr>
      <w:r>
        <w:rPr>
          <w:rFonts w:hint="eastAsia" w:hAnsi="宋体" w:cs="宋体"/>
          <w:bCs/>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31139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0F9D08EA">
            <w:pPr>
              <w:spacing w:line="360" w:lineRule="auto"/>
              <w:ind w:left="1702"/>
              <w:jc w:val="center"/>
              <w:rPr>
                <w:rFonts w:hint="eastAsia" w:ascii="宋体" w:hAnsi="宋体" w:cs="宋体"/>
                <w:szCs w:val="21"/>
              </w:rPr>
            </w:pPr>
            <w:r>
              <w:rPr>
                <w:rFonts w:ascii="宋体" w:hAnsi="宋体" w:cs="宋体"/>
                <w:szCs w:val="21"/>
              </w:rPr>
              <w:t>费率</w:t>
            </w:r>
          </w:p>
          <w:p w14:paraId="166BB3C1">
            <w:pPr>
              <w:spacing w:line="360" w:lineRule="auto"/>
              <w:ind w:left="118"/>
              <w:jc w:val="center"/>
              <w:rPr>
                <w:rFonts w:hint="eastAsia" w:ascii="宋体" w:hAnsi="宋体" w:cs="宋体"/>
                <w:szCs w:val="21"/>
              </w:rPr>
            </w:pPr>
            <w:r>
              <w:rPr>
                <w:rFonts w:ascii="宋体" w:hAnsi="宋体" w:cs="宋体"/>
                <w:szCs w:val="21"/>
              </w:rPr>
              <w:t>金额</w:t>
            </w:r>
          </w:p>
        </w:tc>
        <w:tc>
          <w:tcPr>
            <w:tcW w:w="1591" w:type="dxa"/>
            <w:vAlign w:val="center"/>
          </w:tcPr>
          <w:p w14:paraId="3CDBB62D">
            <w:pPr>
              <w:spacing w:line="360" w:lineRule="auto"/>
              <w:ind w:left="578"/>
              <w:rPr>
                <w:rFonts w:hint="eastAsia" w:ascii="宋体" w:hAnsi="宋体" w:cs="宋体"/>
                <w:szCs w:val="21"/>
              </w:rPr>
            </w:pPr>
            <w:r>
              <w:rPr>
                <w:rFonts w:ascii="宋体" w:hAnsi="宋体" w:cs="宋体"/>
                <w:szCs w:val="21"/>
              </w:rPr>
              <w:t>货物类</w:t>
            </w:r>
          </w:p>
        </w:tc>
        <w:tc>
          <w:tcPr>
            <w:tcW w:w="1591" w:type="dxa"/>
            <w:vAlign w:val="center"/>
          </w:tcPr>
          <w:p w14:paraId="53E8A5A0">
            <w:pPr>
              <w:spacing w:line="360" w:lineRule="auto"/>
              <w:ind w:left="458"/>
              <w:rPr>
                <w:rFonts w:hint="eastAsia" w:ascii="宋体" w:hAnsi="宋体" w:cs="宋体"/>
                <w:szCs w:val="21"/>
              </w:rPr>
            </w:pPr>
            <w:r>
              <w:rPr>
                <w:rFonts w:ascii="宋体" w:hAnsi="宋体" w:cs="宋体"/>
                <w:szCs w:val="21"/>
              </w:rPr>
              <w:t>服务类</w:t>
            </w:r>
          </w:p>
        </w:tc>
        <w:tc>
          <w:tcPr>
            <w:tcW w:w="1593" w:type="dxa"/>
            <w:vAlign w:val="center"/>
          </w:tcPr>
          <w:p w14:paraId="1F26DDB1">
            <w:pPr>
              <w:spacing w:line="360" w:lineRule="auto"/>
              <w:ind w:left="468"/>
              <w:rPr>
                <w:rFonts w:hint="eastAsia" w:ascii="宋体" w:hAnsi="宋体" w:cs="宋体"/>
                <w:szCs w:val="21"/>
              </w:rPr>
            </w:pPr>
            <w:r>
              <w:rPr>
                <w:rFonts w:ascii="宋体" w:hAnsi="宋体" w:cs="宋体"/>
                <w:szCs w:val="21"/>
              </w:rPr>
              <w:t>工程类</w:t>
            </w:r>
          </w:p>
        </w:tc>
      </w:tr>
      <w:tr w14:paraId="07B7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8BD0DBA">
            <w:pPr>
              <w:spacing w:line="360" w:lineRule="auto"/>
              <w:ind w:left="131"/>
              <w:jc w:val="center"/>
              <w:rPr>
                <w:rFonts w:hint="eastAsia" w:ascii="宋体" w:hAnsi="宋体" w:cs="宋体"/>
                <w:szCs w:val="21"/>
              </w:rPr>
            </w:pPr>
            <w:r>
              <w:rPr>
                <w:rFonts w:ascii="宋体" w:hAnsi="宋体" w:cs="宋体"/>
                <w:szCs w:val="21"/>
              </w:rPr>
              <w:t>100万元以下</w:t>
            </w:r>
          </w:p>
        </w:tc>
        <w:tc>
          <w:tcPr>
            <w:tcW w:w="1591" w:type="dxa"/>
            <w:vAlign w:val="center"/>
          </w:tcPr>
          <w:p w14:paraId="67C46F56">
            <w:pPr>
              <w:spacing w:line="360" w:lineRule="auto"/>
              <w:ind w:left="339"/>
              <w:jc w:val="center"/>
              <w:rPr>
                <w:rFonts w:hint="eastAsia" w:ascii="宋体" w:hAnsi="宋体" w:cs="宋体"/>
                <w:szCs w:val="21"/>
              </w:rPr>
            </w:pPr>
            <w:r>
              <w:rPr>
                <w:rFonts w:ascii="宋体" w:hAnsi="宋体" w:cs="宋体"/>
                <w:szCs w:val="21"/>
              </w:rPr>
              <w:t>1.5%</w:t>
            </w:r>
          </w:p>
        </w:tc>
        <w:tc>
          <w:tcPr>
            <w:tcW w:w="1591" w:type="dxa"/>
            <w:vAlign w:val="center"/>
          </w:tcPr>
          <w:p w14:paraId="75F01D1E">
            <w:pPr>
              <w:spacing w:line="360" w:lineRule="auto"/>
              <w:ind w:left="339"/>
              <w:jc w:val="center"/>
              <w:rPr>
                <w:rFonts w:hint="eastAsia" w:ascii="宋体" w:hAnsi="宋体" w:cs="宋体"/>
                <w:szCs w:val="21"/>
              </w:rPr>
            </w:pPr>
            <w:r>
              <w:rPr>
                <w:rFonts w:ascii="宋体" w:hAnsi="宋体" w:cs="宋体"/>
                <w:szCs w:val="21"/>
              </w:rPr>
              <w:t>1.5%</w:t>
            </w:r>
          </w:p>
        </w:tc>
        <w:tc>
          <w:tcPr>
            <w:tcW w:w="1593" w:type="dxa"/>
            <w:vAlign w:val="center"/>
          </w:tcPr>
          <w:p w14:paraId="1799F0CD">
            <w:pPr>
              <w:spacing w:line="360" w:lineRule="auto"/>
              <w:ind w:left="342"/>
              <w:jc w:val="center"/>
              <w:rPr>
                <w:rFonts w:hint="eastAsia" w:ascii="宋体" w:hAnsi="宋体" w:cs="宋体"/>
                <w:szCs w:val="21"/>
              </w:rPr>
            </w:pPr>
            <w:r>
              <w:rPr>
                <w:rFonts w:ascii="宋体" w:hAnsi="宋体" w:cs="宋体"/>
                <w:szCs w:val="21"/>
              </w:rPr>
              <w:t>1.0%</w:t>
            </w:r>
          </w:p>
        </w:tc>
      </w:tr>
      <w:tr w14:paraId="07BF8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2B9B774B">
            <w:pPr>
              <w:spacing w:line="360" w:lineRule="auto"/>
              <w:ind w:left="131"/>
              <w:jc w:val="center"/>
              <w:rPr>
                <w:rFonts w:hint="eastAsia" w:ascii="宋体" w:hAnsi="宋体" w:cs="宋体"/>
                <w:szCs w:val="21"/>
              </w:rPr>
            </w:pPr>
            <w:r>
              <w:rPr>
                <w:rFonts w:ascii="宋体" w:hAnsi="宋体" w:cs="宋体"/>
                <w:szCs w:val="21"/>
              </w:rPr>
              <w:t>100</w:t>
            </w:r>
            <w:r>
              <w:rPr>
                <w:rFonts w:hint="eastAsia" w:ascii="宋体" w:hAnsi="宋体" w:cs="宋体"/>
                <w:szCs w:val="21"/>
              </w:rPr>
              <w:t>～</w:t>
            </w:r>
            <w:r>
              <w:rPr>
                <w:rFonts w:ascii="宋体" w:hAnsi="宋体" w:cs="宋体"/>
                <w:szCs w:val="21"/>
              </w:rPr>
              <w:t>500万元</w:t>
            </w:r>
          </w:p>
        </w:tc>
        <w:tc>
          <w:tcPr>
            <w:tcW w:w="1591" w:type="dxa"/>
            <w:vAlign w:val="center"/>
          </w:tcPr>
          <w:p w14:paraId="063C450D">
            <w:pPr>
              <w:spacing w:line="360" w:lineRule="auto"/>
              <w:ind w:left="339"/>
              <w:jc w:val="center"/>
              <w:rPr>
                <w:rFonts w:hint="eastAsia" w:ascii="宋体" w:hAnsi="宋体" w:cs="宋体"/>
                <w:szCs w:val="21"/>
              </w:rPr>
            </w:pPr>
            <w:r>
              <w:rPr>
                <w:rFonts w:ascii="宋体" w:hAnsi="宋体" w:cs="宋体"/>
                <w:szCs w:val="21"/>
              </w:rPr>
              <w:t>1.1%</w:t>
            </w:r>
          </w:p>
        </w:tc>
        <w:tc>
          <w:tcPr>
            <w:tcW w:w="1591" w:type="dxa"/>
            <w:vAlign w:val="center"/>
          </w:tcPr>
          <w:p w14:paraId="5131BE2A">
            <w:pPr>
              <w:spacing w:line="360" w:lineRule="auto"/>
              <w:ind w:left="326"/>
              <w:jc w:val="center"/>
              <w:rPr>
                <w:rFonts w:hint="eastAsia" w:ascii="宋体" w:hAnsi="宋体" w:cs="宋体"/>
                <w:szCs w:val="21"/>
              </w:rPr>
            </w:pPr>
            <w:r>
              <w:rPr>
                <w:rFonts w:ascii="宋体" w:hAnsi="宋体" w:cs="宋体"/>
                <w:szCs w:val="21"/>
              </w:rPr>
              <w:t>0.8%</w:t>
            </w:r>
          </w:p>
        </w:tc>
        <w:tc>
          <w:tcPr>
            <w:tcW w:w="1593" w:type="dxa"/>
            <w:vAlign w:val="center"/>
          </w:tcPr>
          <w:p w14:paraId="7C59452B">
            <w:pPr>
              <w:spacing w:line="360" w:lineRule="auto"/>
              <w:ind w:left="328"/>
              <w:jc w:val="center"/>
              <w:rPr>
                <w:rFonts w:hint="eastAsia" w:ascii="宋体" w:hAnsi="宋体" w:cs="宋体"/>
                <w:szCs w:val="21"/>
              </w:rPr>
            </w:pPr>
            <w:r>
              <w:rPr>
                <w:rFonts w:ascii="宋体" w:hAnsi="宋体" w:cs="宋体"/>
                <w:szCs w:val="21"/>
              </w:rPr>
              <w:t>0.7%</w:t>
            </w:r>
          </w:p>
        </w:tc>
      </w:tr>
      <w:tr w14:paraId="71007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907CA9A">
            <w:pPr>
              <w:spacing w:line="360" w:lineRule="auto"/>
              <w:ind w:left="120"/>
              <w:jc w:val="center"/>
              <w:rPr>
                <w:rFonts w:hint="eastAsia" w:ascii="宋体" w:hAnsi="宋体" w:cs="宋体"/>
                <w:szCs w:val="21"/>
              </w:rPr>
            </w:pPr>
            <w:r>
              <w:rPr>
                <w:rFonts w:ascii="宋体" w:hAnsi="宋体" w:cs="宋体"/>
                <w:szCs w:val="21"/>
              </w:rPr>
              <w:t>500</w:t>
            </w:r>
            <w:r>
              <w:rPr>
                <w:rFonts w:hint="eastAsia" w:ascii="宋体" w:hAnsi="宋体" w:cs="宋体"/>
                <w:szCs w:val="21"/>
              </w:rPr>
              <w:t>～</w:t>
            </w:r>
            <w:r>
              <w:rPr>
                <w:rFonts w:ascii="宋体" w:hAnsi="宋体" w:cs="宋体"/>
                <w:szCs w:val="21"/>
              </w:rPr>
              <w:t>1000万元</w:t>
            </w:r>
          </w:p>
        </w:tc>
        <w:tc>
          <w:tcPr>
            <w:tcW w:w="1591" w:type="dxa"/>
            <w:vAlign w:val="center"/>
          </w:tcPr>
          <w:p w14:paraId="1AF46165">
            <w:pPr>
              <w:spacing w:line="360" w:lineRule="auto"/>
              <w:ind w:left="325"/>
              <w:jc w:val="center"/>
              <w:rPr>
                <w:rFonts w:hint="eastAsia" w:ascii="宋体" w:hAnsi="宋体" w:cs="宋体"/>
                <w:szCs w:val="21"/>
              </w:rPr>
            </w:pPr>
            <w:r>
              <w:rPr>
                <w:rFonts w:ascii="宋体" w:hAnsi="宋体" w:cs="宋体"/>
                <w:szCs w:val="21"/>
              </w:rPr>
              <w:t>0.8%</w:t>
            </w:r>
          </w:p>
        </w:tc>
        <w:tc>
          <w:tcPr>
            <w:tcW w:w="1591" w:type="dxa"/>
            <w:vAlign w:val="center"/>
          </w:tcPr>
          <w:p w14:paraId="2C49254D">
            <w:pPr>
              <w:spacing w:line="360" w:lineRule="auto"/>
              <w:ind w:left="326"/>
              <w:jc w:val="center"/>
              <w:rPr>
                <w:rFonts w:hint="eastAsia" w:ascii="宋体" w:hAnsi="宋体" w:cs="宋体"/>
                <w:szCs w:val="21"/>
              </w:rPr>
            </w:pPr>
            <w:r>
              <w:rPr>
                <w:rFonts w:ascii="宋体" w:hAnsi="宋体" w:cs="宋体"/>
                <w:szCs w:val="21"/>
              </w:rPr>
              <w:t>0.45%</w:t>
            </w:r>
          </w:p>
        </w:tc>
        <w:tc>
          <w:tcPr>
            <w:tcW w:w="1593" w:type="dxa"/>
            <w:vAlign w:val="center"/>
          </w:tcPr>
          <w:p w14:paraId="0D28CB00">
            <w:pPr>
              <w:spacing w:line="360" w:lineRule="auto"/>
              <w:ind w:left="328"/>
              <w:jc w:val="center"/>
              <w:rPr>
                <w:rFonts w:hint="eastAsia" w:ascii="宋体" w:hAnsi="宋体" w:cs="宋体"/>
                <w:szCs w:val="21"/>
              </w:rPr>
            </w:pPr>
            <w:r>
              <w:rPr>
                <w:rFonts w:ascii="宋体" w:hAnsi="宋体" w:cs="宋体"/>
                <w:szCs w:val="21"/>
              </w:rPr>
              <w:t>0.55%</w:t>
            </w:r>
          </w:p>
        </w:tc>
      </w:tr>
      <w:tr w14:paraId="7CC8D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9290483">
            <w:pPr>
              <w:spacing w:line="360" w:lineRule="auto"/>
              <w:ind w:left="131"/>
              <w:jc w:val="center"/>
              <w:rPr>
                <w:rFonts w:hint="eastAsia" w:ascii="宋体" w:hAnsi="宋体" w:cs="宋体"/>
                <w:szCs w:val="21"/>
              </w:rPr>
            </w:pPr>
            <w:r>
              <w:rPr>
                <w:rFonts w:ascii="宋体" w:hAnsi="宋体" w:cs="宋体"/>
                <w:szCs w:val="21"/>
              </w:rPr>
              <w:t>1000</w:t>
            </w:r>
            <w:r>
              <w:rPr>
                <w:rFonts w:hint="eastAsia" w:ascii="宋体" w:hAnsi="宋体" w:cs="宋体"/>
                <w:szCs w:val="21"/>
              </w:rPr>
              <w:t>～</w:t>
            </w:r>
            <w:r>
              <w:rPr>
                <w:rFonts w:ascii="宋体" w:hAnsi="宋体" w:cs="宋体"/>
                <w:szCs w:val="21"/>
              </w:rPr>
              <w:t>5000万元</w:t>
            </w:r>
          </w:p>
        </w:tc>
        <w:tc>
          <w:tcPr>
            <w:tcW w:w="1591" w:type="dxa"/>
            <w:vAlign w:val="center"/>
          </w:tcPr>
          <w:p w14:paraId="759ED93F">
            <w:pPr>
              <w:spacing w:line="360" w:lineRule="auto"/>
              <w:ind w:left="325"/>
              <w:jc w:val="center"/>
              <w:rPr>
                <w:rFonts w:hint="eastAsia" w:ascii="宋体" w:hAnsi="宋体" w:cs="宋体"/>
                <w:szCs w:val="21"/>
              </w:rPr>
            </w:pPr>
            <w:r>
              <w:rPr>
                <w:rFonts w:ascii="宋体" w:hAnsi="宋体" w:cs="宋体"/>
                <w:szCs w:val="21"/>
              </w:rPr>
              <w:t>0.5%</w:t>
            </w:r>
          </w:p>
        </w:tc>
        <w:tc>
          <w:tcPr>
            <w:tcW w:w="1591" w:type="dxa"/>
            <w:vAlign w:val="center"/>
          </w:tcPr>
          <w:p w14:paraId="6A0146E9">
            <w:pPr>
              <w:spacing w:line="360" w:lineRule="auto"/>
              <w:ind w:left="326"/>
              <w:jc w:val="center"/>
              <w:rPr>
                <w:rFonts w:hint="eastAsia" w:ascii="宋体" w:hAnsi="宋体" w:cs="宋体"/>
                <w:szCs w:val="21"/>
              </w:rPr>
            </w:pPr>
            <w:r>
              <w:rPr>
                <w:rFonts w:ascii="宋体" w:hAnsi="宋体" w:cs="宋体"/>
                <w:szCs w:val="21"/>
              </w:rPr>
              <w:t>0.25%</w:t>
            </w:r>
          </w:p>
        </w:tc>
        <w:tc>
          <w:tcPr>
            <w:tcW w:w="1593" w:type="dxa"/>
            <w:vAlign w:val="center"/>
          </w:tcPr>
          <w:p w14:paraId="4E0A50C1">
            <w:pPr>
              <w:spacing w:line="360" w:lineRule="auto"/>
              <w:ind w:left="328"/>
              <w:jc w:val="center"/>
              <w:rPr>
                <w:rFonts w:hint="eastAsia" w:ascii="宋体" w:hAnsi="宋体" w:cs="宋体"/>
                <w:szCs w:val="21"/>
              </w:rPr>
            </w:pPr>
            <w:r>
              <w:rPr>
                <w:rFonts w:ascii="宋体" w:hAnsi="宋体" w:cs="宋体"/>
                <w:szCs w:val="21"/>
              </w:rPr>
              <w:t>0.35%</w:t>
            </w:r>
          </w:p>
        </w:tc>
      </w:tr>
      <w:tr w14:paraId="5E4E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40BED810">
            <w:pPr>
              <w:spacing w:line="360" w:lineRule="auto"/>
              <w:ind w:left="120"/>
              <w:jc w:val="center"/>
              <w:rPr>
                <w:rFonts w:hint="eastAsia" w:ascii="宋体" w:hAnsi="宋体" w:cs="宋体"/>
                <w:szCs w:val="21"/>
              </w:rPr>
            </w:pPr>
            <w:r>
              <w:rPr>
                <w:rFonts w:ascii="宋体" w:hAnsi="宋体" w:cs="宋体"/>
                <w:szCs w:val="21"/>
              </w:rPr>
              <w:t>5000万元</w:t>
            </w:r>
            <w:r>
              <w:rPr>
                <w:rFonts w:hint="eastAsia" w:ascii="宋体" w:hAnsi="宋体" w:cs="宋体"/>
                <w:szCs w:val="21"/>
              </w:rPr>
              <w:t>～</w:t>
            </w:r>
            <w:r>
              <w:rPr>
                <w:rFonts w:ascii="宋体" w:hAnsi="宋体" w:cs="宋体"/>
                <w:szCs w:val="21"/>
              </w:rPr>
              <w:t>1亿元</w:t>
            </w:r>
          </w:p>
        </w:tc>
        <w:tc>
          <w:tcPr>
            <w:tcW w:w="1591" w:type="dxa"/>
            <w:vAlign w:val="center"/>
          </w:tcPr>
          <w:p w14:paraId="7473AA03">
            <w:pPr>
              <w:spacing w:line="360" w:lineRule="auto"/>
              <w:ind w:left="325"/>
              <w:jc w:val="center"/>
              <w:rPr>
                <w:rFonts w:hint="eastAsia" w:ascii="宋体" w:hAnsi="宋体" w:cs="宋体"/>
                <w:szCs w:val="21"/>
              </w:rPr>
            </w:pPr>
            <w:r>
              <w:rPr>
                <w:rFonts w:ascii="宋体" w:hAnsi="宋体" w:cs="宋体"/>
                <w:szCs w:val="21"/>
              </w:rPr>
              <w:t>0.25%</w:t>
            </w:r>
          </w:p>
        </w:tc>
        <w:tc>
          <w:tcPr>
            <w:tcW w:w="1591" w:type="dxa"/>
            <w:vAlign w:val="center"/>
          </w:tcPr>
          <w:p w14:paraId="144E2AE1">
            <w:pPr>
              <w:spacing w:line="360" w:lineRule="auto"/>
              <w:ind w:left="326"/>
              <w:jc w:val="center"/>
              <w:rPr>
                <w:rFonts w:hint="eastAsia" w:ascii="宋体" w:hAnsi="宋体" w:cs="宋体"/>
                <w:szCs w:val="21"/>
              </w:rPr>
            </w:pPr>
            <w:r>
              <w:rPr>
                <w:rFonts w:ascii="宋体" w:hAnsi="宋体" w:cs="宋体"/>
                <w:szCs w:val="21"/>
              </w:rPr>
              <w:t>0.1%</w:t>
            </w:r>
          </w:p>
        </w:tc>
        <w:tc>
          <w:tcPr>
            <w:tcW w:w="1593" w:type="dxa"/>
            <w:vAlign w:val="center"/>
          </w:tcPr>
          <w:p w14:paraId="15CFC1E6">
            <w:pPr>
              <w:spacing w:line="360" w:lineRule="auto"/>
              <w:ind w:left="328"/>
              <w:jc w:val="center"/>
              <w:rPr>
                <w:rFonts w:hint="eastAsia" w:ascii="宋体" w:hAnsi="宋体" w:cs="宋体"/>
                <w:szCs w:val="21"/>
              </w:rPr>
            </w:pPr>
            <w:r>
              <w:rPr>
                <w:rFonts w:ascii="宋体" w:hAnsi="宋体" w:cs="宋体"/>
                <w:szCs w:val="21"/>
              </w:rPr>
              <w:t>0.2%</w:t>
            </w:r>
          </w:p>
        </w:tc>
      </w:tr>
      <w:tr w14:paraId="0DC9C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7BB851E1">
            <w:pPr>
              <w:spacing w:line="360" w:lineRule="auto"/>
              <w:ind w:left="131"/>
              <w:jc w:val="center"/>
              <w:rPr>
                <w:rFonts w:hint="eastAsia"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5亿元</w:t>
            </w:r>
          </w:p>
        </w:tc>
        <w:tc>
          <w:tcPr>
            <w:tcW w:w="1591" w:type="dxa"/>
            <w:vAlign w:val="center"/>
          </w:tcPr>
          <w:p w14:paraId="692A0DA3">
            <w:pPr>
              <w:spacing w:line="360" w:lineRule="auto"/>
              <w:ind w:left="325"/>
              <w:jc w:val="center"/>
              <w:rPr>
                <w:rFonts w:hint="eastAsia" w:ascii="宋体" w:hAnsi="宋体" w:cs="宋体"/>
                <w:szCs w:val="21"/>
              </w:rPr>
            </w:pPr>
            <w:r>
              <w:rPr>
                <w:rFonts w:ascii="宋体" w:hAnsi="宋体" w:cs="宋体"/>
                <w:szCs w:val="21"/>
              </w:rPr>
              <w:t>0.05%</w:t>
            </w:r>
          </w:p>
        </w:tc>
        <w:tc>
          <w:tcPr>
            <w:tcW w:w="1591" w:type="dxa"/>
            <w:vAlign w:val="center"/>
          </w:tcPr>
          <w:p w14:paraId="0D5A0B72">
            <w:pPr>
              <w:spacing w:line="360" w:lineRule="auto"/>
              <w:ind w:left="326"/>
              <w:jc w:val="center"/>
              <w:rPr>
                <w:rFonts w:hint="eastAsia" w:ascii="宋体" w:hAnsi="宋体" w:cs="宋体"/>
                <w:szCs w:val="21"/>
              </w:rPr>
            </w:pPr>
            <w:r>
              <w:rPr>
                <w:rFonts w:ascii="宋体" w:hAnsi="宋体" w:cs="宋体"/>
                <w:szCs w:val="21"/>
              </w:rPr>
              <w:t>0.05%</w:t>
            </w:r>
          </w:p>
        </w:tc>
        <w:tc>
          <w:tcPr>
            <w:tcW w:w="1593" w:type="dxa"/>
            <w:vAlign w:val="center"/>
          </w:tcPr>
          <w:p w14:paraId="5275D719">
            <w:pPr>
              <w:spacing w:line="360" w:lineRule="auto"/>
              <w:ind w:left="328"/>
              <w:jc w:val="center"/>
              <w:rPr>
                <w:rFonts w:hint="eastAsia" w:ascii="宋体" w:hAnsi="宋体" w:cs="宋体"/>
                <w:szCs w:val="21"/>
              </w:rPr>
            </w:pPr>
            <w:r>
              <w:rPr>
                <w:rFonts w:ascii="宋体" w:hAnsi="宋体" w:cs="宋体"/>
                <w:szCs w:val="21"/>
              </w:rPr>
              <w:t>0.05%</w:t>
            </w:r>
          </w:p>
        </w:tc>
      </w:tr>
      <w:tr w14:paraId="0EA5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11D3CAB2">
            <w:pPr>
              <w:spacing w:line="360" w:lineRule="auto"/>
              <w:ind w:left="120"/>
              <w:jc w:val="center"/>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10亿元</w:t>
            </w:r>
          </w:p>
        </w:tc>
        <w:tc>
          <w:tcPr>
            <w:tcW w:w="1591" w:type="dxa"/>
            <w:vAlign w:val="center"/>
          </w:tcPr>
          <w:p w14:paraId="0513DC38">
            <w:pPr>
              <w:spacing w:line="360" w:lineRule="auto"/>
              <w:ind w:left="220"/>
              <w:jc w:val="center"/>
              <w:rPr>
                <w:rFonts w:hint="eastAsia" w:ascii="宋体" w:hAnsi="宋体" w:cs="宋体"/>
                <w:szCs w:val="21"/>
              </w:rPr>
            </w:pPr>
            <w:r>
              <w:rPr>
                <w:rFonts w:ascii="宋体" w:hAnsi="宋体" w:cs="宋体"/>
                <w:szCs w:val="21"/>
              </w:rPr>
              <w:t>0.035%</w:t>
            </w:r>
          </w:p>
        </w:tc>
        <w:tc>
          <w:tcPr>
            <w:tcW w:w="1591" w:type="dxa"/>
            <w:vAlign w:val="center"/>
          </w:tcPr>
          <w:p w14:paraId="65F403BE">
            <w:pPr>
              <w:spacing w:line="360" w:lineRule="auto"/>
              <w:ind w:left="326"/>
              <w:jc w:val="center"/>
              <w:rPr>
                <w:rFonts w:hint="eastAsia" w:ascii="宋体" w:hAnsi="宋体" w:cs="宋体"/>
                <w:szCs w:val="21"/>
              </w:rPr>
            </w:pPr>
            <w:r>
              <w:rPr>
                <w:rFonts w:ascii="宋体" w:hAnsi="宋体" w:cs="宋体"/>
                <w:szCs w:val="21"/>
              </w:rPr>
              <w:t>0.035%</w:t>
            </w:r>
          </w:p>
        </w:tc>
        <w:tc>
          <w:tcPr>
            <w:tcW w:w="1593" w:type="dxa"/>
            <w:vAlign w:val="center"/>
          </w:tcPr>
          <w:p w14:paraId="5D408117">
            <w:pPr>
              <w:spacing w:line="360" w:lineRule="auto"/>
              <w:ind w:left="223"/>
              <w:jc w:val="center"/>
              <w:rPr>
                <w:rFonts w:hint="eastAsia" w:ascii="宋体" w:hAnsi="宋体" w:cs="宋体"/>
                <w:szCs w:val="21"/>
              </w:rPr>
            </w:pPr>
            <w:r>
              <w:rPr>
                <w:rFonts w:ascii="宋体" w:hAnsi="宋体" w:cs="宋体"/>
                <w:szCs w:val="21"/>
              </w:rPr>
              <w:t>0.035%</w:t>
            </w:r>
          </w:p>
        </w:tc>
      </w:tr>
    </w:tbl>
    <w:p w14:paraId="71B70E7F">
      <w:pPr>
        <w:spacing w:line="360" w:lineRule="auto"/>
        <w:ind w:firstLine="420" w:firstLineChars="200"/>
        <w:rPr>
          <w:rFonts w:hint="eastAsia" w:ascii="宋体" w:hAnsi="宋体" w:cs="宋体"/>
          <w:bCs/>
          <w:szCs w:val="21"/>
        </w:rPr>
      </w:pPr>
      <w:r>
        <w:rPr>
          <w:rFonts w:hint="eastAsia" w:ascii="宋体" w:hAnsi="宋体" w:cs="宋体"/>
          <w:bCs/>
          <w:szCs w:val="21"/>
        </w:rPr>
        <w:t>注：招标代理服务收费按差额定率累进法计算。</w:t>
      </w:r>
    </w:p>
    <w:p w14:paraId="16B413C7">
      <w:pPr>
        <w:spacing w:line="360" w:lineRule="auto"/>
        <w:ind w:firstLine="420" w:firstLineChars="200"/>
        <w:rPr>
          <w:rFonts w:hint="eastAsia" w:ascii="宋体" w:hAnsi="宋体" w:cs="宋体"/>
          <w:bCs/>
          <w:szCs w:val="21"/>
        </w:rPr>
      </w:pPr>
      <w:r>
        <w:rPr>
          <w:rFonts w:hint="eastAsia" w:ascii="宋体" w:hAnsi="宋体" w:cs="宋体"/>
          <w:bCs/>
          <w:szCs w:val="21"/>
        </w:rPr>
        <w:t>24.2.解释权</w:t>
      </w:r>
    </w:p>
    <w:p w14:paraId="156773AA">
      <w:pPr>
        <w:spacing w:line="360" w:lineRule="auto"/>
        <w:ind w:firstLine="420" w:firstLineChars="200"/>
        <w:rPr>
          <w:rFonts w:hint="eastAsia" w:ascii="宋体" w:hAnsi="宋体" w:cs="宋体"/>
          <w:bCs/>
          <w:szCs w:val="21"/>
        </w:rPr>
      </w:pPr>
      <w:r>
        <w:rPr>
          <w:rFonts w:hint="eastAsia" w:ascii="宋体" w:hAnsi="宋体" w:cs="宋体"/>
          <w:bCs/>
          <w:szCs w:val="21"/>
        </w:rPr>
        <w:t>解释权属本采购代理机构。</w:t>
      </w:r>
    </w:p>
    <w:p w14:paraId="3CCD0757">
      <w:pPr>
        <w:spacing w:line="360" w:lineRule="auto"/>
        <w:ind w:firstLine="420" w:firstLineChars="200"/>
        <w:rPr>
          <w:rFonts w:hint="eastAsia" w:ascii="宋体" w:hAnsi="宋体" w:cs="宋体"/>
          <w:bCs/>
          <w:szCs w:val="21"/>
        </w:rPr>
      </w:pPr>
      <w:r>
        <w:rPr>
          <w:rFonts w:hint="eastAsia" w:ascii="宋体" w:hAnsi="宋体" w:cs="宋体"/>
          <w:bCs/>
          <w:szCs w:val="21"/>
        </w:rPr>
        <w:t>24.3询问、质疑和投诉</w:t>
      </w:r>
    </w:p>
    <w:p w14:paraId="209F727E">
      <w:pPr>
        <w:spacing w:line="360" w:lineRule="auto"/>
        <w:ind w:firstLine="420" w:firstLineChars="200"/>
        <w:rPr>
          <w:rFonts w:hint="eastAsia" w:ascii="宋体" w:hAnsi="宋体" w:cs="宋体"/>
          <w:bCs/>
          <w:szCs w:val="21"/>
        </w:rPr>
      </w:pPr>
      <w:r>
        <w:rPr>
          <w:rFonts w:hint="eastAsia" w:ascii="宋体" w:hAnsi="宋体" w:cs="宋体"/>
          <w:bCs/>
          <w:szCs w:val="21"/>
        </w:rPr>
        <w:t>24.3.1供应商对政府采购活动事项有疑问的，可以向采购人、采购代理机构提出询问，采购人或者采购代理机构应当在3个工作日内对供应商依法提出的询问作出答复。</w:t>
      </w:r>
    </w:p>
    <w:p w14:paraId="1FF8161B">
      <w:pPr>
        <w:spacing w:line="360" w:lineRule="auto"/>
        <w:ind w:firstLine="420" w:firstLineChars="200"/>
        <w:rPr>
          <w:rFonts w:hint="eastAsia" w:ascii="宋体" w:hAnsi="宋体" w:cs="宋体"/>
          <w:bCs/>
          <w:szCs w:val="21"/>
        </w:rPr>
      </w:pPr>
      <w:r>
        <w:rPr>
          <w:rFonts w:hint="eastAsia" w:ascii="宋体" w:hAnsi="宋体" w:cs="宋体"/>
          <w:bCs/>
          <w:szCs w:val="21"/>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0B74C47B">
      <w:pPr>
        <w:spacing w:line="360" w:lineRule="auto"/>
        <w:ind w:firstLine="420" w:firstLineChars="200"/>
        <w:rPr>
          <w:rFonts w:hint="eastAsia" w:ascii="宋体" w:hAnsi="宋体" w:cs="宋体"/>
          <w:bCs/>
          <w:szCs w:val="21"/>
        </w:rPr>
      </w:pPr>
      <w:r>
        <w:rPr>
          <w:rFonts w:hint="eastAsia" w:ascii="宋体" w:hAnsi="宋体" w:cs="宋体"/>
          <w:bCs/>
          <w:szCs w:val="21"/>
        </w:rPr>
        <w:t>（1）对可以质疑的竞争性磋商文件提出质疑的，为收到竞争性磋商文件之日或竞争性磋商公告期限届满之日；</w:t>
      </w:r>
    </w:p>
    <w:p w14:paraId="19A25EC7">
      <w:pPr>
        <w:spacing w:line="360" w:lineRule="auto"/>
        <w:ind w:firstLine="420" w:firstLineChars="200"/>
        <w:rPr>
          <w:rFonts w:hint="eastAsia" w:ascii="宋体" w:hAnsi="宋体" w:cs="宋体"/>
          <w:bCs/>
          <w:szCs w:val="21"/>
        </w:rPr>
      </w:pPr>
      <w:r>
        <w:rPr>
          <w:rFonts w:hint="eastAsia" w:ascii="宋体" w:hAnsi="宋体" w:cs="宋体"/>
          <w:bCs/>
          <w:szCs w:val="21"/>
        </w:rPr>
        <w:t>（2）对采购过程提出质疑的，为各采购程序环节结束之日；</w:t>
      </w:r>
    </w:p>
    <w:p w14:paraId="051AC5B3">
      <w:pPr>
        <w:spacing w:line="360" w:lineRule="auto"/>
        <w:ind w:firstLine="420" w:firstLineChars="200"/>
        <w:rPr>
          <w:rFonts w:hint="eastAsia" w:ascii="宋体" w:hAnsi="宋体" w:cs="宋体"/>
          <w:bCs/>
          <w:szCs w:val="21"/>
        </w:rPr>
      </w:pPr>
      <w:r>
        <w:rPr>
          <w:rFonts w:hint="eastAsia" w:ascii="宋体" w:hAnsi="宋体" w:cs="宋体"/>
          <w:bCs/>
          <w:szCs w:val="21"/>
        </w:rPr>
        <w:t>（3）对成交结果提出质疑的，为成交结果公告期限届满之日。</w:t>
      </w:r>
    </w:p>
    <w:p w14:paraId="6F1F097D">
      <w:pPr>
        <w:spacing w:line="360" w:lineRule="auto"/>
        <w:ind w:firstLine="420" w:firstLineChars="200"/>
        <w:rPr>
          <w:rFonts w:hint="eastAsia" w:ascii="宋体" w:hAnsi="宋体" w:cs="宋体"/>
          <w:bCs/>
          <w:szCs w:val="21"/>
        </w:rPr>
      </w:pPr>
      <w:r>
        <w:rPr>
          <w:rFonts w:hint="eastAsia" w:ascii="宋体" w:hAnsi="宋体" w:cs="宋体"/>
          <w:bCs/>
          <w:szCs w:val="21"/>
        </w:rPr>
        <w:t>供应商对采购人或采购代理机构的质疑答复不满意或者采购人或采购代理机构未在规定时间内作出答复的，可以在答复期满后十五个工作日内向同级采购监管部门投诉。</w:t>
      </w:r>
    </w:p>
    <w:p w14:paraId="14BBF9B9">
      <w:pPr>
        <w:spacing w:line="360" w:lineRule="auto"/>
        <w:ind w:firstLine="420" w:firstLineChars="200"/>
        <w:rPr>
          <w:rFonts w:hint="eastAsia" w:ascii="宋体" w:hAnsi="宋体" w:cs="宋体"/>
          <w:bCs/>
          <w:szCs w:val="21"/>
        </w:rPr>
      </w:pPr>
      <w:r>
        <w:rPr>
          <w:rFonts w:hint="eastAsia" w:ascii="宋体" w:hAnsi="宋体" w:cs="宋体"/>
          <w:bCs/>
          <w:szCs w:val="21"/>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0A67E4AF">
      <w:pPr>
        <w:spacing w:line="360" w:lineRule="auto"/>
        <w:ind w:firstLine="420" w:firstLineChars="200"/>
        <w:rPr>
          <w:rFonts w:hint="eastAsia" w:ascii="宋体" w:hAnsi="宋体" w:cs="宋体"/>
          <w:bCs/>
          <w:szCs w:val="21"/>
        </w:rPr>
      </w:pPr>
      <w:r>
        <w:rPr>
          <w:rFonts w:hint="eastAsia" w:ascii="宋体" w:hAnsi="宋体" w:cs="宋体"/>
          <w:bCs/>
          <w:szCs w:val="21"/>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EBCC313">
      <w:pPr>
        <w:spacing w:line="360" w:lineRule="auto"/>
        <w:ind w:firstLine="420" w:firstLineChars="200"/>
        <w:rPr>
          <w:rFonts w:hint="eastAsia" w:ascii="宋体" w:hAnsi="宋体" w:cs="宋体"/>
          <w:bCs/>
          <w:szCs w:val="21"/>
        </w:rPr>
      </w:pPr>
      <w:r>
        <w:rPr>
          <w:rFonts w:hint="eastAsia" w:ascii="宋体" w:hAnsi="宋体" w:cs="宋体"/>
          <w:bCs/>
          <w:szCs w:val="21"/>
        </w:rPr>
        <w:t>供应商提出质疑应当提交质疑函和必要的证明材料，针对同一采购程序环节的质疑必须在法定质疑期内一次性提出。质疑函应当包括下列内容：</w:t>
      </w:r>
    </w:p>
    <w:p w14:paraId="3A947DE7">
      <w:pPr>
        <w:spacing w:line="360" w:lineRule="auto"/>
        <w:ind w:firstLine="420" w:firstLineChars="200"/>
        <w:rPr>
          <w:rFonts w:hint="eastAsia" w:ascii="宋体" w:hAnsi="宋体" w:cs="宋体"/>
          <w:bCs/>
          <w:szCs w:val="21"/>
        </w:rPr>
      </w:pPr>
      <w:r>
        <w:rPr>
          <w:rFonts w:hint="eastAsia" w:ascii="宋体" w:hAnsi="宋体" w:cs="宋体"/>
          <w:bCs/>
          <w:szCs w:val="21"/>
        </w:rPr>
        <w:t>（1）供应商的姓名或者名称、地址、邮编、联系人及联系电话；</w:t>
      </w:r>
    </w:p>
    <w:p w14:paraId="6DAEE420">
      <w:pPr>
        <w:spacing w:line="360" w:lineRule="auto"/>
        <w:ind w:firstLine="420" w:firstLineChars="200"/>
        <w:rPr>
          <w:rFonts w:hint="eastAsia" w:ascii="宋体" w:hAnsi="宋体" w:cs="宋体"/>
          <w:bCs/>
          <w:szCs w:val="21"/>
        </w:rPr>
      </w:pPr>
      <w:r>
        <w:rPr>
          <w:rFonts w:hint="eastAsia" w:ascii="宋体" w:hAnsi="宋体" w:cs="宋体"/>
          <w:bCs/>
          <w:szCs w:val="21"/>
        </w:rPr>
        <w:t>（2）质疑项目的名称、编号；</w:t>
      </w:r>
    </w:p>
    <w:p w14:paraId="69729E54">
      <w:pPr>
        <w:spacing w:line="360" w:lineRule="auto"/>
        <w:ind w:firstLine="420" w:firstLineChars="200"/>
        <w:rPr>
          <w:rFonts w:hint="eastAsia" w:ascii="宋体" w:hAnsi="宋体" w:cs="宋体"/>
          <w:bCs/>
          <w:szCs w:val="21"/>
        </w:rPr>
      </w:pPr>
      <w:r>
        <w:rPr>
          <w:rFonts w:hint="eastAsia" w:ascii="宋体" w:hAnsi="宋体" w:cs="宋体"/>
          <w:bCs/>
          <w:szCs w:val="21"/>
        </w:rPr>
        <w:t>（3）具体、明确的质疑事项和与质疑事项相关的请求；</w:t>
      </w:r>
    </w:p>
    <w:p w14:paraId="6D30DC59">
      <w:pPr>
        <w:spacing w:line="360" w:lineRule="auto"/>
        <w:ind w:firstLine="420" w:firstLineChars="200"/>
        <w:rPr>
          <w:rFonts w:hint="eastAsia" w:ascii="宋体" w:hAnsi="宋体" w:cs="宋体"/>
          <w:bCs/>
          <w:szCs w:val="21"/>
        </w:rPr>
      </w:pPr>
      <w:r>
        <w:rPr>
          <w:rFonts w:hint="eastAsia" w:ascii="宋体" w:hAnsi="宋体" w:cs="宋体"/>
          <w:bCs/>
          <w:szCs w:val="21"/>
        </w:rPr>
        <w:t>（4）事实依据；</w:t>
      </w:r>
    </w:p>
    <w:p w14:paraId="06822863">
      <w:pPr>
        <w:spacing w:line="360" w:lineRule="auto"/>
        <w:ind w:firstLine="420" w:firstLineChars="200"/>
        <w:rPr>
          <w:rFonts w:hint="eastAsia" w:ascii="宋体" w:hAnsi="宋体" w:cs="宋体"/>
          <w:bCs/>
          <w:szCs w:val="21"/>
        </w:rPr>
      </w:pPr>
      <w:r>
        <w:rPr>
          <w:rFonts w:hint="eastAsia" w:ascii="宋体" w:hAnsi="宋体" w:cs="宋体"/>
          <w:bCs/>
          <w:szCs w:val="21"/>
        </w:rPr>
        <w:t>（5）必要的法律依据；</w:t>
      </w:r>
    </w:p>
    <w:p w14:paraId="4A5420BA">
      <w:pPr>
        <w:spacing w:line="360" w:lineRule="auto"/>
        <w:ind w:firstLine="420" w:firstLineChars="200"/>
        <w:rPr>
          <w:rFonts w:hint="eastAsia" w:ascii="宋体" w:hAnsi="宋体" w:cs="宋体"/>
          <w:bCs/>
          <w:szCs w:val="21"/>
        </w:rPr>
      </w:pPr>
      <w:r>
        <w:rPr>
          <w:rFonts w:hint="eastAsia" w:ascii="宋体" w:hAnsi="宋体" w:cs="宋体"/>
          <w:bCs/>
          <w:szCs w:val="21"/>
        </w:rPr>
        <w:t>（6）提出质疑的日期。</w:t>
      </w:r>
    </w:p>
    <w:p w14:paraId="18785358">
      <w:pPr>
        <w:spacing w:line="360" w:lineRule="auto"/>
        <w:ind w:firstLine="420" w:firstLineChars="200"/>
        <w:rPr>
          <w:rFonts w:hint="eastAsia" w:ascii="宋体" w:hAnsi="宋体" w:cs="宋体"/>
          <w:bCs/>
          <w:szCs w:val="21"/>
        </w:rPr>
      </w:pPr>
      <w:r>
        <w:rPr>
          <w:rFonts w:hint="eastAsia" w:ascii="宋体" w:hAnsi="宋体" w:cs="宋体"/>
          <w:bCs/>
          <w:szCs w:val="21"/>
        </w:rPr>
        <w:t>供应商为自然人的，应当由本人签字；供应商为法人或者其他组织的，应当由法定代表人、主要负责人，或者其委托代理人签字或者盖章，并加盖公章。</w:t>
      </w:r>
    </w:p>
    <w:p w14:paraId="5B220D4A">
      <w:pPr>
        <w:spacing w:line="360" w:lineRule="auto"/>
        <w:ind w:firstLine="420" w:firstLineChars="200"/>
        <w:rPr>
          <w:rFonts w:hint="eastAsia" w:ascii="宋体" w:hAnsi="宋体" w:cs="宋体"/>
          <w:bCs/>
          <w:szCs w:val="21"/>
        </w:rPr>
      </w:pPr>
      <w:r>
        <w:rPr>
          <w:rFonts w:hint="eastAsia" w:ascii="宋体" w:hAnsi="宋体" w:cs="宋体"/>
          <w:bCs/>
          <w:szCs w:val="21"/>
        </w:rPr>
        <w:t>24.3.5采购人、采购代理机构认为供应商质疑不成立，或者成立但未对成交结果构成影响的，继续开展采购活动；认为供应商质疑成立且影响或者可能影响成交结果的，按照下列情况处理：</w:t>
      </w:r>
    </w:p>
    <w:p w14:paraId="4464C42C">
      <w:pPr>
        <w:spacing w:line="360" w:lineRule="auto"/>
        <w:ind w:firstLine="420" w:firstLineChars="200"/>
        <w:rPr>
          <w:rFonts w:hint="eastAsia" w:ascii="宋体" w:hAnsi="宋体" w:cs="宋体"/>
          <w:bCs/>
          <w:szCs w:val="21"/>
        </w:rPr>
      </w:pPr>
      <w:r>
        <w:rPr>
          <w:rFonts w:hint="eastAsia" w:ascii="宋体" w:hAnsi="宋体" w:cs="宋体"/>
          <w:bCs/>
          <w:szCs w:val="21"/>
        </w:rPr>
        <w:t>（1）对竞争性磋商文件提出的质疑，依法通过澄清或者修改可以继续开展采购活动的，澄清或者修改竞争性磋商文件后继续开展采购活动；否则应当在修改竞争性磋商文件后重新开展采购活动。</w:t>
      </w:r>
    </w:p>
    <w:p w14:paraId="68C6A23A">
      <w:pPr>
        <w:spacing w:line="360" w:lineRule="auto"/>
        <w:ind w:firstLine="420" w:firstLineChars="200"/>
        <w:rPr>
          <w:rFonts w:hint="eastAsia" w:ascii="宋体" w:hAnsi="宋体" w:cs="宋体"/>
          <w:bCs/>
          <w:szCs w:val="21"/>
        </w:rPr>
      </w:pPr>
      <w:r>
        <w:rPr>
          <w:rFonts w:hint="eastAsia" w:ascii="宋体" w:hAnsi="宋体" w:cs="宋体"/>
          <w:bCs/>
          <w:szCs w:val="21"/>
        </w:rPr>
        <w:t>（2）对采购过程、成交结果提出的质疑，合格供应商符合法定数量时，可以从合格的成交候选人中另行确定成交供应商的，应当依法另行确定成交供应商；否则应当重新开展采购活动。</w:t>
      </w:r>
    </w:p>
    <w:p w14:paraId="274A6789">
      <w:pPr>
        <w:spacing w:line="360" w:lineRule="auto"/>
        <w:ind w:firstLine="420" w:firstLineChars="200"/>
        <w:rPr>
          <w:rFonts w:hint="eastAsia" w:ascii="宋体" w:hAnsi="宋体" w:cs="宋体"/>
          <w:bCs/>
          <w:szCs w:val="21"/>
        </w:rPr>
      </w:pPr>
      <w:r>
        <w:rPr>
          <w:rFonts w:hint="eastAsia" w:ascii="宋体" w:hAnsi="宋体" w:cs="宋体"/>
          <w:bCs/>
          <w:szCs w:val="21"/>
        </w:rPr>
        <w:t>质疑答复导致成交结果改变的，采购人或者采购代理机构应当将有关情况书面报告本级财政部门。</w:t>
      </w:r>
    </w:p>
    <w:p w14:paraId="6C72ABCA">
      <w:pPr>
        <w:spacing w:line="360" w:lineRule="auto"/>
        <w:ind w:firstLine="420" w:firstLineChars="200"/>
        <w:rPr>
          <w:rFonts w:hint="eastAsia" w:ascii="宋体" w:hAnsi="宋体" w:cs="宋体"/>
          <w:bCs/>
          <w:szCs w:val="21"/>
        </w:rPr>
      </w:pPr>
      <w:r>
        <w:rPr>
          <w:rFonts w:hint="eastAsia" w:ascii="宋体" w:hAnsi="宋体" w:cs="宋体"/>
          <w:bCs/>
          <w:szCs w:val="21"/>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63546FE">
      <w:pPr>
        <w:spacing w:line="360" w:lineRule="auto"/>
        <w:ind w:firstLine="420" w:firstLineChars="200"/>
        <w:rPr>
          <w:rFonts w:hint="eastAsia" w:ascii="宋体" w:hAnsi="宋体" w:cs="宋体"/>
          <w:bCs/>
          <w:szCs w:val="21"/>
        </w:rPr>
      </w:pPr>
      <w:r>
        <w:rPr>
          <w:rFonts w:hint="eastAsia" w:ascii="宋体" w:hAnsi="宋体" w:cs="宋体"/>
          <w:bCs/>
          <w:szCs w:val="21"/>
        </w:rPr>
        <w:t>所有与本磋商文件有关的函件请按下列通讯地址联系：</w:t>
      </w:r>
    </w:p>
    <w:p w14:paraId="44F1333F">
      <w:pPr>
        <w:spacing w:line="360" w:lineRule="auto"/>
        <w:ind w:firstLine="420" w:firstLineChars="200"/>
        <w:rPr>
          <w:rFonts w:hint="eastAsia" w:ascii="宋体" w:hAnsi="宋体" w:cs="宋体"/>
          <w:bCs/>
          <w:szCs w:val="21"/>
        </w:rPr>
      </w:pPr>
      <w:r>
        <w:rPr>
          <w:rFonts w:hint="eastAsia" w:ascii="宋体" w:hAnsi="宋体" w:cs="宋体"/>
          <w:bCs/>
          <w:szCs w:val="21"/>
        </w:rPr>
        <w:t>通讯地址：钦州市蓬莱大道鸿亭街333号皇庭天麓湖小区183栋203室</w:t>
      </w:r>
    </w:p>
    <w:p w14:paraId="7447E1D5">
      <w:pPr>
        <w:spacing w:line="360" w:lineRule="auto"/>
        <w:ind w:firstLine="420" w:firstLineChars="200"/>
        <w:rPr>
          <w:rFonts w:hint="eastAsia" w:ascii="宋体" w:hAnsi="宋体" w:cs="宋体"/>
          <w:bCs/>
          <w:szCs w:val="21"/>
        </w:rPr>
      </w:pPr>
      <w:r>
        <w:rPr>
          <w:rFonts w:hint="eastAsia" w:ascii="宋体" w:hAnsi="宋体" w:cs="宋体"/>
          <w:bCs/>
          <w:szCs w:val="21"/>
        </w:rPr>
        <w:t>电话：0777-5512166</w:t>
      </w:r>
    </w:p>
    <w:p w14:paraId="04AFA271">
      <w:pPr>
        <w:spacing w:line="360" w:lineRule="auto"/>
        <w:ind w:firstLine="420" w:firstLineChars="200"/>
        <w:rPr>
          <w:rFonts w:hint="eastAsia" w:ascii="宋体" w:hAnsi="宋体" w:cs="宋体"/>
          <w:bCs/>
          <w:szCs w:val="21"/>
        </w:rPr>
      </w:pPr>
    </w:p>
    <w:p w14:paraId="60F7787B">
      <w:pPr>
        <w:pStyle w:val="15"/>
        <w:ind w:left="420"/>
        <w:rPr>
          <w:rFonts w:hint="eastAsia" w:ascii="宋体" w:hAnsi="宋体" w:cs="宋体"/>
          <w:bCs/>
          <w:szCs w:val="21"/>
        </w:rPr>
      </w:pPr>
    </w:p>
    <w:p w14:paraId="10D5DFB4">
      <w:pPr>
        <w:pStyle w:val="15"/>
        <w:ind w:left="420"/>
        <w:rPr>
          <w:rFonts w:hint="eastAsia" w:ascii="宋体" w:hAnsi="宋体" w:cs="宋体"/>
          <w:bCs/>
          <w:szCs w:val="21"/>
        </w:rPr>
      </w:pPr>
    </w:p>
    <w:p w14:paraId="77F3A7C5">
      <w:pPr>
        <w:pStyle w:val="15"/>
        <w:ind w:left="420"/>
        <w:rPr>
          <w:rFonts w:hint="eastAsia" w:ascii="宋体" w:hAnsi="宋体" w:cs="宋体"/>
          <w:bCs/>
          <w:szCs w:val="21"/>
        </w:rPr>
      </w:pPr>
    </w:p>
    <w:p w14:paraId="59783749">
      <w:pPr>
        <w:pStyle w:val="15"/>
        <w:ind w:left="420"/>
        <w:rPr>
          <w:rFonts w:hint="eastAsia" w:ascii="宋体" w:hAnsi="宋体" w:cs="宋体"/>
          <w:bCs/>
          <w:szCs w:val="21"/>
        </w:rPr>
      </w:pPr>
    </w:p>
    <w:p w14:paraId="73EDDC22">
      <w:pPr>
        <w:pStyle w:val="15"/>
        <w:ind w:left="420"/>
        <w:rPr>
          <w:rFonts w:hint="eastAsia" w:ascii="宋体" w:hAnsi="宋体" w:cs="宋体"/>
          <w:bCs/>
          <w:szCs w:val="21"/>
        </w:rPr>
      </w:pPr>
    </w:p>
    <w:p w14:paraId="072304C8">
      <w:pPr>
        <w:pStyle w:val="15"/>
        <w:ind w:left="420"/>
        <w:rPr>
          <w:rFonts w:hint="eastAsia" w:ascii="宋体" w:hAnsi="宋体" w:cs="宋体"/>
          <w:bCs/>
          <w:szCs w:val="21"/>
        </w:rPr>
      </w:pPr>
    </w:p>
    <w:p w14:paraId="657B2D05">
      <w:pPr>
        <w:jc w:val="center"/>
        <w:outlineLvl w:val="0"/>
        <w:rPr>
          <w:rFonts w:hint="eastAsia" w:ascii="宋体" w:hAnsi="宋体" w:cs="宋体"/>
          <w:b/>
          <w:bCs/>
          <w:kern w:val="0"/>
          <w:sz w:val="36"/>
          <w:szCs w:val="36"/>
        </w:rPr>
      </w:pPr>
      <w:bookmarkStart w:id="65" w:name="_Toc26558"/>
      <w:r>
        <w:rPr>
          <w:rFonts w:hint="eastAsia" w:ascii="宋体" w:hAnsi="宋体" w:cs="宋体"/>
          <w:b/>
          <w:bCs/>
          <w:kern w:val="0"/>
          <w:sz w:val="36"/>
          <w:szCs w:val="36"/>
        </w:rPr>
        <w:t>第三章  项目基本情况及要求</w:t>
      </w:r>
      <w:bookmarkEnd w:id="65"/>
    </w:p>
    <w:p w14:paraId="417AF3C8">
      <w:pPr>
        <w:pStyle w:val="46"/>
        <w:ind w:firstLine="845"/>
        <w:rPr>
          <w:spacing w:val="0"/>
        </w:rPr>
      </w:pPr>
    </w:p>
    <w:p w14:paraId="24E706C4">
      <w:pPr>
        <w:spacing w:line="360" w:lineRule="auto"/>
        <w:jc w:val="left"/>
        <w:rPr>
          <w:rFonts w:hint="eastAsia" w:ascii="宋体" w:hAnsi="宋体" w:cs="宋体"/>
          <w:szCs w:val="21"/>
        </w:rPr>
      </w:pPr>
      <w:r>
        <w:rPr>
          <w:rFonts w:hint="eastAsia" w:ascii="宋体" w:hAnsi="宋体" w:cs="宋体"/>
          <w:szCs w:val="21"/>
        </w:rPr>
        <w:t>说明：</w:t>
      </w:r>
    </w:p>
    <w:p w14:paraId="4DFB4F24">
      <w:pPr>
        <w:spacing w:line="360" w:lineRule="auto"/>
        <w:ind w:firstLine="424" w:firstLineChars="202"/>
        <w:jc w:val="left"/>
        <w:rPr>
          <w:rFonts w:hint="eastAsia" w:ascii="宋体" w:hAnsi="宋体" w:cs="宋体"/>
          <w:szCs w:val="21"/>
        </w:rPr>
      </w:pPr>
      <w:r>
        <w:rPr>
          <w:rFonts w:hint="eastAsia" w:ascii="宋体" w:hAnsi="宋体" w:cs="宋体"/>
          <w:szCs w:val="21"/>
        </w:rPr>
        <w:t>1.商务条款评审中允许负偏离的非实质性条款数为 0 项。</w:t>
      </w:r>
    </w:p>
    <w:p w14:paraId="3D17EBEC">
      <w:pPr>
        <w:spacing w:line="360" w:lineRule="auto"/>
        <w:ind w:firstLine="424" w:firstLineChars="202"/>
        <w:jc w:val="left"/>
        <w:rPr>
          <w:rFonts w:hint="eastAsia" w:ascii="宋体" w:hAnsi="宋体" w:cs="宋体"/>
          <w:szCs w:val="21"/>
        </w:rPr>
      </w:pPr>
      <w:r>
        <w:rPr>
          <w:rFonts w:hint="eastAsia" w:ascii="宋体" w:hAnsi="宋体" w:cs="宋体"/>
          <w:szCs w:val="21"/>
        </w:rPr>
        <w:t>2.服务需求评审中允许负偏离的非实质性条款数为 0 项。</w:t>
      </w:r>
    </w:p>
    <w:p w14:paraId="59C2A063">
      <w:pPr>
        <w:spacing w:line="360" w:lineRule="auto"/>
        <w:ind w:firstLine="424" w:firstLineChars="202"/>
        <w:jc w:val="left"/>
        <w:rPr>
          <w:rFonts w:hint="eastAsia" w:ascii="宋体" w:hAnsi="宋体" w:cs="宋体"/>
          <w:szCs w:val="21"/>
        </w:rPr>
      </w:pPr>
      <w:r>
        <w:rPr>
          <w:rFonts w:hint="eastAsia" w:ascii="宋体" w:hAnsi="宋体" w:cs="宋体"/>
          <w:szCs w:val="21"/>
        </w:rPr>
        <w:t>3.供应商必须自行为其竞标产品侵犯他人的知识产权或者专利成果的行为承担相应法律责任。</w:t>
      </w:r>
    </w:p>
    <w:p w14:paraId="1A8FE623">
      <w:pPr>
        <w:spacing w:line="360" w:lineRule="auto"/>
        <w:ind w:firstLine="424" w:firstLineChars="202"/>
        <w:jc w:val="left"/>
        <w:rPr>
          <w:rFonts w:hint="eastAsia" w:ascii="宋体" w:hAnsi="宋体" w:cs="宋体"/>
          <w:szCs w:val="21"/>
        </w:rPr>
      </w:pPr>
      <w:bookmarkStart w:id="66" w:name="_Toc20069"/>
      <w:r>
        <w:rPr>
          <w:rFonts w:hint="eastAsia" w:ascii="宋体" w:hAnsi="宋体" w:cs="宋体"/>
          <w:szCs w:val="21"/>
        </w:rPr>
        <w:t>4、采购范围详见：工程量清单及图纸（另册）。</w:t>
      </w:r>
    </w:p>
    <w:p w14:paraId="1D7C7CF9">
      <w:pPr>
        <w:spacing w:line="360" w:lineRule="auto"/>
        <w:ind w:firstLine="424" w:firstLineChars="202"/>
        <w:jc w:val="left"/>
        <w:rPr>
          <w:rFonts w:hint="eastAsia" w:ascii="宋体" w:hAnsi="宋体" w:cs="宋体"/>
          <w:szCs w:val="21"/>
        </w:rPr>
      </w:pPr>
      <w:r>
        <w:rPr>
          <w:rFonts w:hint="eastAsia" w:ascii="宋体" w:hAnsi="宋体" w:cs="宋体"/>
          <w:szCs w:val="21"/>
        </w:rPr>
        <w:t>▲5、商务条款：</w:t>
      </w:r>
    </w:p>
    <w:p w14:paraId="4BD30F09">
      <w:pPr>
        <w:spacing w:line="360" w:lineRule="auto"/>
        <w:ind w:firstLine="424" w:firstLineChars="202"/>
        <w:jc w:val="left"/>
        <w:rPr>
          <w:rFonts w:hint="eastAsia" w:ascii="宋体" w:hAnsi="宋体" w:cs="宋体"/>
          <w:szCs w:val="21"/>
        </w:rPr>
      </w:pPr>
      <w:r>
        <w:rPr>
          <w:rFonts w:hint="eastAsia" w:ascii="宋体" w:hAnsi="宋体" w:cs="宋体"/>
          <w:szCs w:val="21"/>
        </w:rPr>
        <w:t>质量标准：达到合格标准；</w:t>
      </w:r>
    </w:p>
    <w:p w14:paraId="7AF4970B">
      <w:pPr>
        <w:spacing w:line="360" w:lineRule="auto"/>
        <w:ind w:firstLine="424" w:firstLineChars="202"/>
        <w:jc w:val="left"/>
        <w:rPr>
          <w:rFonts w:hint="eastAsia" w:ascii="宋体" w:hAnsi="宋体" w:cs="宋体"/>
          <w:szCs w:val="21"/>
        </w:rPr>
      </w:pPr>
      <w:r>
        <w:rPr>
          <w:rFonts w:hint="eastAsia" w:ascii="宋体" w:hAnsi="宋体" w:cs="宋体"/>
          <w:szCs w:val="21"/>
        </w:rPr>
        <w:t>工期要求：180个日历天；</w:t>
      </w:r>
    </w:p>
    <w:p w14:paraId="14538BD7">
      <w:pPr>
        <w:spacing w:line="360" w:lineRule="auto"/>
        <w:ind w:firstLine="424" w:firstLineChars="202"/>
        <w:jc w:val="left"/>
        <w:rPr>
          <w:rFonts w:hint="eastAsia" w:ascii="宋体" w:hAnsi="宋体" w:cs="宋体"/>
          <w:szCs w:val="21"/>
        </w:rPr>
      </w:pPr>
      <w:r>
        <w:rPr>
          <w:rFonts w:hint="eastAsia" w:ascii="宋体" w:hAnsi="宋体" w:cs="宋体"/>
          <w:szCs w:val="21"/>
        </w:rPr>
        <w:t>质保期：竣工验收后1年；</w:t>
      </w:r>
    </w:p>
    <w:p w14:paraId="642880E8">
      <w:pPr>
        <w:spacing w:line="360" w:lineRule="auto"/>
        <w:ind w:firstLine="424" w:firstLineChars="202"/>
        <w:jc w:val="left"/>
        <w:rPr>
          <w:rFonts w:hint="eastAsia" w:ascii="宋体" w:hAnsi="宋体" w:cs="宋体"/>
          <w:szCs w:val="21"/>
        </w:rPr>
      </w:pPr>
      <w:r>
        <w:rPr>
          <w:rFonts w:hint="eastAsia" w:ascii="宋体" w:hAnsi="宋体" w:cs="宋体"/>
          <w:szCs w:val="21"/>
        </w:rPr>
        <w:t>付款方式：工程款原则上按月支付，合同内进度款支付限额为已完成工程量的90%，工程变更部分进度款支付限额为已完成工程量的60%。工程完工验收达到质量要求， 结算经有资质审计机构审定后，承包人缴纳结算金额3%的质量保证金后，工程款支付至结算总价的100%（含已支付的）。每次支付款项前，承包人需提供相应金额的增值税发票，否则，发包人有权相应顺延当期的付款时间。</w:t>
      </w:r>
    </w:p>
    <w:p w14:paraId="00E64144">
      <w:pPr>
        <w:spacing w:line="360" w:lineRule="auto"/>
        <w:ind w:firstLine="424" w:firstLineChars="202"/>
        <w:jc w:val="left"/>
        <w:rPr>
          <w:rFonts w:hint="eastAsia" w:ascii="宋体" w:hAnsi="宋体" w:cs="宋体"/>
          <w:szCs w:val="21"/>
        </w:rPr>
      </w:pPr>
      <w:r>
        <w:rPr>
          <w:rFonts w:hint="eastAsia" w:ascii="宋体" w:hAnsi="宋体" w:cs="宋体"/>
          <w:szCs w:val="21"/>
        </w:rPr>
        <w:t>报价方式：工程量清单报价；</w:t>
      </w:r>
    </w:p>
    <w:p w14:paraId="1C628048">
      <w:pPr>
        <w:spacing w:line="360" w:lineRule="auto"/>
        <w:ind w:firstLine="424" w:firstLineChars="202"/>
        <w:jc w:val="left"/>
        <w:rPr>
          <w:rFonts w:hint="eastAsia" w:ascii="宋体" w:hAnsi="宋体" w:cs="宋体"/>
          <w:szCs w:val="21"/>
        </w:rPr>
      </w:pPr>
      <w:r>
        <w:rPr>
          <w:rFonts w:hint="eastAsia" w:ascii="宋体" w:hAnsi="宋体" w:cs="宋体"/>
          <w:szCs w:val="21"/>
        </w:rPr>
        <w:t>合同签订期：中标通知书发出之日起25日内；</w:t>
      </w:r>
    </w:p>
    <w:p w14:paraId="09E014F1">
      <w:pPr>
        <w:spacing w:line="360" w:lineRule="auto"/>
        <w:ind w:firstLine="424" w:firstLineChars="202"/>
        <w:jc w:val="left"/>
        <w:rPr>
          <w:rFonts w:hint="eastAsia" w:ascii="宋体" w:hAnsi="宋体" w:cs="宋体"/>
          <w:szCs w:val="21"/>
        </w:rPr>
      </w:pPr>
      <w:r>
        <w:rPr>
          <w:rFonts w:hint="eastAsia" w:ascii="宋体" w:hAnsi="宋体" w:cs="宋体"/>
          <w:szCs w:val="21"/>
        </w:rPr>
        <w:t>项目地址：浦北县；</w:t>
      </w:r>
    </w:p>
    <w:p w14:paraId="749004CD">
      <w:pPr>
        <w:spacing w:line="360" w:lineRule="auto"/>
        <w:ind w:firstLine="424" w:firstLineChars="202"/>
        <w:jc w:val="left"/>
        <w:rPr>
          <w:rFonts w:hint="eastAsia" w:ascii="宋体" w:hAnsi="宋体" w:cs="宋体"/>
          <w:szCs w:val="21"/>
        </w:rPr>
      </w:pPr>
      <w:r>
        <w:rPr>
          <w:rFonts w:hint="eastAsia" w:ascii="宋体" w:hAnsi="宋体" w:cs="宋体"/>
          <w:szCs w:val="21"/>
        </w:rPr>
        <w:t>3、本项目所属行业：建筑业</w:t>
      </w:r>
    </w:p>
    <w:p w14:paraId="54152B37">
      <w:pPr>
        <w:pStyle w:val="13"/>
        <w:spacing w:line="360" w:lineRule="auto"/>
        <w:outlineLvl w:val="0"/>
        <w:rPr>
          <w:rFonts w:hint="eastAsia" w:ascii="黑体" w:hAnsi="宋体" w:eastAsia="黑体" w:cs="Times New Roman"/>
          <w:b/>
          <w:bCs/>
          <w:kern w:val="0"/>
          <w:sz w:val="36"/>
          <w:szCs w:val="36"/>
        </w:rPr>
      </w:pPr>
    </w:p>
    <w:p w14:paraId="4B27AD14">
      <w:pPr>
        <w:pStyle w:val="13"/>
        <w:spacing w:line="360" w:lineRule="auto"/>
        <w:jc w:val="center"/>
        <w:outlineLvl w:val="0"/>
        <w:rPr>
          <w:rFonts w:hint="eastAsia" w:ascii="黑体" w:hAnsi="宋体" w:eastAsia="黑体" w:cs="Times New Roman"/>
          <w:b/>
          <w:bCs/>
          <w:kern w:val="0"/>
          <w:sz w:val="36"/>
          <w:szCs w:val="36"/>
        </w:rPr>
      </w:pPr>
    </w:p>
    <w:p w14:paraId="4C27B8C6">
      <w:pPr>
        <w:pStyle w:val="13"/>
        <w:spacing w:line="360" w:lineRule="auto"/>
        <w:jc w:val="center"/>
        <w:outlineLvl w:val="0"/>
        <w:rPr>
          <w:rFonts w:hint="eastAsia" w:ascii="黑体" w:hAnsi="宋体" w:eastAsia="黑体" w:cs="Times New Roman"/>
          <w:b/>
          <w:bCs/>
          <w:kern w:val="0"/>
          <w:sz w:val="36"/>
          <w:szCs w:val="36"/>
        </w:rPr>
      </w:pPr>
    </w:p>
    <w:p w14:paraId="2AE85BF9">
      <w:pPr>
        <w:pStyle w:val="13"/>
        <w:spacing w:line="360" w:lineRule="auto"/>
        <w:jc w:val="center"/>
        <w:outlineLvl w:val="0"/>
        <w:rPr>
          <w:rFonts w:hint="eastAsia" w:ascii="黑体" w:hAnsi="宋体" w:eastAsia="黑体" w:cs="Times New Roman"/>
          <w:b/>
          <w:bCs/>
          <w:kern w:val="0"/>
          <w:sz w:val="36"/>
          <w:szCs w:val="36"/>
        </w:rPr>
      </w:pPr>
    </w:p>
    <w:p w14:paraId="2F1D2358">
      <w:pPr>
        <w:pStyle w:val="13"/>
        <w:spacing w:line="360" w:lineRule="auto"/>
        <w:jc w:val="center"/>
        <w:outlineLvl w:val="0"/>
        <w:rPr>
          <w:rFonts w:hint="eastAsia" w:ascii="黑体" w:hAnsi="宋体" w:eastAsia="黑体" w:cs="Times New Roman"/>
          <w:b/>
          <w:bCs/>
          <w:kern w:val="0"/>
          <w:sz w:val="36"/>
          <w:szCs w:val="36"/>
        </w:rPr>
      </w:pPr>
    </w:p>
    <w:p w14:paraId="0BE1B02D">
      <w:pPr>
        <w:pStyle w:val="13"/>
        <w:spacing w:line="360" w:lineRule="auto"/>
        <w:jc w:val="center"/>
        <w:outlineLvl w:val="0"/>
        <w:rPr>
          <w:rFonts w:hint="eastAsia" w:ascii="黑体" w:hAnsi="宋体" w:eastAsia="黑体" w:cs="Times New Roman"/>
          <w:b/>
          <w:bCs/>
          <w:kern w:val="0"/>
          <w:sz w:val="36"/>
          <w:szCs w:val="36"/>
        </w:rPr>
      </w:pPr>
    </w:p>
    <w:p w14:paraId="6C307394">
      <w:pPr>
        <w:pStyle w:val="13"/>
        <w:spacing w:line="360" w:lineRule="auto"/>
        <w:jc w:val="center"/>
        <w:outlineLvl w:val="0"/>
        <w:rPr>
          <w:rFonts w:hint="eastAsia" w:ascii="黑体" w:hAnsi="宋体" w:eastAsia="黑体" w:cs="Times New Roman"/>
          <w:b/>
          <w:bCs/>
          <w:kern w:val="0"/>
          <w:sz w:val="36"/>
          <w:szCs w:val="36"/>
        </w:rPr>
      </w:pPr>
    </w:p>
    <w:p w14:paraId="19CEEEAD">
      <w:pPr>
        <w:spacing w:line="360" w:lineRule="auto"/>
        <w:jc w:val="center"/>
        <w:rPr>
          <w:rFonts w:hint="eastAsia" w:ascii="宋体" w:hAnsi="宋体" w:cs="方正小标宋简体"/>
          <w:b/>
          <w:bCs/>
          <w:sz w:val="32"/>
          <w:szCs w:val="32"/>
        </w:rPr>
      </w:pPr>
      <w:r>
        <w:rPr>
          <w:rFonts w:hint="eastAsia" w:ascii="宋体" w:hAnsi="宋体" w:cs="方正小标宋简体"/>
          <w:b/>
          <w:bCs/>
          <w:sz w:val="32"/>
          <w:szCs w:val="32"/>
        </w:rPr>
        <w:t>附件1：最后报价表（格式）</w:t>
      </w:r>
    </w:p>
    <w:p w14:paraId="32A72AB4">
      <w:pPr>
        <w:spacing w:line="440" w:lineRule="exact"/>
        <w:jc w:val="center"/>
        <w:rPr>
          <w:rFonts w:hint="eastAsia" w:ascii="方正小标宋简体" w:hAnsi="方正小标宋简体" w:eastAsia="方正小标宋简体" w:cs="方正小标宋简体"/>
          <w:bCs/>
          <w:sz w:val="32"/>
          <w:szCs w:val="32"/>
        </w:rPr>
      </w:pPr>
    </w:p>
    <w:p w14:paraId="521E1CA6">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6B6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3DDD4D">
            <w:pPr>
              <w:spacing w:line="360" w:lineRule="auto"/>
              <w:contextualSpacing/>
              <w:jc w:val="center"/>
              <w:rPr>
                <w:rFonts w:hint="eastAsia"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85FBA60">
            <w:pPr>
              <w:spacing w:line="360" w:lineRule="auto"/>
              <w:contextualSpacing/>
              <w:jc w:val="center"/>
              <w:rPr>
                <w:rFonts w:hint="eastAsia" w:ascii="宋体" w:hAnsi="宋体" w:cs="仿宋_GB2312"/>
                <w:sz w:val="24"/>
              </w:rPr>
            </w:pPr>
            <w:r>
              <w:rPr>
                <w:rFonts w:hint="eastAsia" w:ascii="宋体" w:hAnsi="宋体" w:cs="仿宋_GB2312"/>
                <w:sz w:val="24"/>
              </w:rPr>
              <w:t>标的</w:t>
            </w:r>
            <w:r>
              <w:rPr>
                <w:rFonts w:ascii="宋体" w:hAnsi="宋体" w:cs="仿宋_GB2312"/>
                <w:sz w:val="24"/>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7B7DC1D3">
            <w:pPr>
              <w:spacing w:line="360" w:lineRule="auto"/>
              <w:contextualSpacing/>
              <w:jc w:val="center"/>
              <w:rPr>
                <w:rFonts w:hint="eastAsia" w:ascii="宋体" w:hAnsi="宋体" w:cs="仿宋_GB2312"/>
                <w:sz w:val="24"/>
              </w:rPr>
            </w:pPr>
            <w:r>
              <w:rPr>
                <w:rFonts w:hint="eastAsia" w:ascii="宋体" w:hAnsi="宋体" w:cs="仿宋_GB2312"/>
                <w:sz w:val="24"/>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2281AA66">
            <w:pPr>
              <w:spacing w:line="360" w:lineRule="auto"/>
              <w:contextualSpacing/>
              <w:jc w:val="center"/>
              <w:rPr>
                <w:rFonts w:hint="eastAsia" w:ascii="宋体" w:hAnsi="宋体" w:cs="仿宋_GB2312"/>
                <w:sz w:val="24"/>
              </w:rPr>
            </w:pPr>
            <w:r>
              <w:rPr>
                <w:rFonts w:hint="eastAsia" w:ascii="宋体" w:hAnsi="宋体" w:cs="仿宋_GB2312"/>
                <w:sz w:val="24"/>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6372D083">
            <w:pPr>
              <w:spacing w:line="360" w:lineRule="auto"/>
              <w:contextualSpacing/>
              <w:jc w:val="center"/>
              <w:rPr>
                <w:rFonts w:hint="eastAsia" w:ascii="宋体" w:hAnsi="宋体" w:cs="仿宋_GB2312"/>
                <w:sz w:val="24"/>
              </w:rPr>
            </w:pPr>
            <w:r>
              <w:rPr>
                <w:rFonts w:ascii="宋体" w:hAnsi="宋体" w:cs="仿宋_GB2312"/>
                <w:sz w:val="24"/>
              </w:rPr>
              <w:t>备注</w:t>
            </w:r>
          </w:p>
        </w:tc>
      </w:tr>
      <w:tr w14:paraId="441E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311D36A">
            <w:pPr>
              <w:spacing w:line="360" w:lineRule="auto"/>
              <w:contextualSpacing/>
              <w:jc w:val="center"/>
              <w:rPr>
                <w:rFonts w:hint="eastAsia"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6DE864EB">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07747C4B">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1AD0F289">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5CF52877">
            <w:pPr>
              <w:spacing w:line="360" w:lineRule="auto"/>
              <w:contextualSpacing/>
              <w:rPr>
                <w:rFonts w:hint="eastAsia" w:ascii="宋体" w:hAnsi="宋体" w:cs="仿宋_GB2312"/>
                <w:sz w:val="24"/>
              </w:rPr>
            </w:pPr>
          </w:p>
        </w:tc>
      </w:tr>
      <w:tr w14:paraId="72AF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9A317A3">
            <w:pPr>
              <w:spacing w:line="360" w:lineRule="auto"/>
              <w:contextualSpacing/>
              <w:jc w:val="center"/>
              <w:rPr>
                <w:rFonts w:hint="eastAsia" w:ascii="宋体" w:hAnsi="宋体" w:cs="仿宋_GB2312"/>
                <w:sz w:val="24"/>
              </w:rPr>
            </w:pPr>
            <w:r>
              <w:rPr>
                <w:rFonts w:hint="eastAsia" w:ascii="宋体" w:hAnsi="宋体" w:cs="仿宋_GB2312"/>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60CEA68C">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72D83CFF">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6CA8F14E">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283E221E">
            <w:pPr>
              <w:spacing w:line="360" w:lineRule="auto"/>
              <w:contextualSpacing/>
              <w:rPr>
                <w:rFonts w:hint="eastAsia" w:ascii="宋体" w:hAnsi="宋体" w:cs="仿宋_GB2312"/>
                <w:sz w:val="24"/>
              </w:rPr>
            </w:pPr>
          </w:p>
        </w:tc>
      </w:tr>
      <w:tr w14:paraId="2761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56F3C1D">
            <w:pPr>
              <w:spacing w:line="360" w:lineRule="auto"/>
              <w:contextualSpacing/>
              <w:rPr>
                <w:rFonts w:hint="eastAsia" w:ascii="宋体" w:hAnsi="宋体" w:cs="仿宋_GB2312"/>
                <w:sz w:val="24"/>
              </w:rPr>
            </w:pPr>
            <w:r>
              <w:rPr>
                <w:rFonts w:hint="eastAsia" w:ascii="宋体" w:hAnsi="宋体" w:cs="仿宋_GB2312"/>
                <w:sz w:val="24"/>
              </w:rPr>
              <w:t>合计金额（人民币）</w:t>
            </w:r>
            <w:r>
              <w:rPr>
                <w:rFonts w:hint="eastAsia" w:ascii="宋体" w:hAnsi="宋体" w:cs="仿宋_GB2312"/>
                <w:sz w:val="24"/>
                <w:u w:val="single"/>
              </w:rPr>
              <w:t xml:space="preserve">大写：                      </w:t>
            </w:r>
            <w:r>
              <w:rPr>
                <w:rFonts w:hint="eastAsia" w:ascii="宋体" w:hAnsi="宋体" w:cs="仿宋_GB2312"/>
                <w:sz w:val="24"/>
              </w:rPr>
              <w:t>（</w:t>
            </w:r>
            <w:r>
              <w:rPr>
                <w:rFonts w:ascii="Arial" w:hAnsi="Arial" w:cs="Arial"/>
                <w:sz w:val="24"/>
              </w:rPr>
              <w:t>¥</w:t>
            </w:r>
            <w:r>
              <w:rPr>
                <w:rFonts w:hint="eastAsia" w:ascii="宋体" w:hAnsi="宋体" w:cs="仿宋_GB2312"/>
                <w:sz w:val="24"/>
                <w:u w:val="single"/>
              </w:rPr>
              <w:t xml:space="preserve">                </w:t>
            </w:r>
            <w:r>
              <w:rPr>
                <w:rFonts w:hint="eastAsia" w:ascii="宋体" w:hAnsi="宋体" w:cs="仿宋_GB2312"/>
                <w:sz w:val="24"/>
              </w:rPr>
              <w:t>）</w:t>
            </w:r>
          </w:p>
        </w:tc>
      </w:tr>
    </w:tbl>
    <w:p w14:paraId="757F7982">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36657560">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供应商的最后报价表必须加盖供应商电子签章并由法定代表人或者委托代理人签字或者电子签名，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6D54B52B">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最后报价一经涂改，应在涂改处加盖供应商公章或者加盖电子签章或者由法定代表人或者授权委托人签字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65B735E5">
      <w:pPr>
        <w:spacing w:line="360" w:lineRule="auto"/>
        <w:ind w:firstLine="643" w:firstLineChars="200"/>
        <w:contextualSpacing/>
        <w:jc w:val="left"/>
        <w:rPr>
          <w:rFonts w:hint="eastAsia" w:ascii="宋体" w:hAnsi="宋体" w:cs="仿宋_GB2312"/>
          <w:b/>
          <w:bCs/>
          <w:sz w:val="32"/>
          <w:szCs w:val="32"/>
        </w:rPr>
      </w:pPr>
      <w:r>
        <w:rPr>
          <w:rFonts w:hint="eastAsia" w:ascii="宋体" w:hAnsi="宋体" w:cs="仿宋_GB2312"/>
          <w:b/>
          <w:bCs/>
          <w:sz w:val="32"/>
          <w:szCs w:val="32"/>
        </w:rPr>
        <w:t>3.</w:t>
      </w:r>
      <w:r>
        <w:rPr>
          <w:rFonts w:hint="eastAsia" w:ascii="宋体" w:hAnsi="宋体" w:cs="宋体"/>
          <w:b/>
          <w:bCs/>
          <w:sz w:val="32"/>
          <w:szCs w:val="32"/>
        </w:rPr>
        <w:t>在广西政府采购云平台评审过程中，</w:t>
      </w:r>
      <w:r>
        <w:rPr>
          <w:rFonts w:hint="eastAsia" w:ascii="宋体" w:hAnsi="宋体" w:cs="宋体"/>
          <w:b/>
          <w:bCs/>
          <w:sz w:val="32"/>
          <w:szCs w:val="32"/>
          <w:u w:val="single"/>
        </w:rPr>
        <w:t>供应商提交的</w:t>
      </w:r>
      <w:r>
        <w:rPr>
          <w:rFonts w:hint="eastAsia" w:ascii="宋体" w:hAnsi="宋体" w:cs="仿宋_GB2312"/>
          <w:b/>
          <w:bCs/>
          <w:sz w:val="32"/>
          <w:szCs w:val="32"/>
          <w:u w:val="single"/>
        </w:rPr>
        <w:t>最后报价与首次报价相比有调整的，必须同时上传相对应的“已标价的工程量清单”作为附件</w:t>
      </w:r>
      <w:r>
        <w:rPr>
          <w:rFonts w:hint="eastAsia" w:ascii="宋体" w:hAnsi="宋体" w:cs="仿宋_GB2312"/>
          <w:b/>
          <w:bCs/>
          <w:sz w:val="32"/>
          <w:szCs w:val="32"/>
        </w:rPr>
        <w:t>，否则其响应文件按无效处理。</w:t>
      </w:r>
    </w:p>
    <w:p w14:paraId="409B7506">
      <w:pPr>
        <w:spacing w:line="360" w:lineRule="auto"/>
        <w:ind w:right="-817" w:rightChars="-389"/>
        <w:contextualSpacing/>
        <w:rPr>
          <w:rFonts w:hint="eastAsia" w:ascii="宋体" w:hAnsi="宋体" w:cs="仿宋_GB2312"/>
          <w:sz w:val="24"/>
        </w:rPr>
      </w:pPr>
    </w:p>
    <w:p w14:paraId="26E53110">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4197EA09">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7BFA3016">
      <w:pPr>
        <w:spacing w:line="36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4813AD82">
      <w:pPr>
        <w:pStyle w:val="13"/>
        <w:spacing w:line="360" w:lineRule="auto"/>
        <w:jc w:val="center"/>
        <w:outlineLvl w:val="0"/>
        <w:rPr>
          <w:rFonts w:hint="eastAsia" w:ascii="黑体" w:hAnsi="宋体" w:eastAsia="黑体" w:cs="Times New Roman"/>
          <w:b/>
          <w:bCs/>
          <w:kern w:val="0"/>
          <w:sz w:val="36"/>
          <w:szCs w:val="36"/>
        </w:rPr>
        <w:sectPr>
          <w:pgSz w:w="11906" w:h="16838"/>
          <w:pgMar w:top="1247" w:right="1417" w:bottom="1247" w:left="1417" w:header="851" w:footer="992" w:gutter="0"/>
          <w:cols w:space="0" w:num="1"/>
          <w:docGrid w:type="lines" w:linePitch="312" w:charSpace="0"/>
        </w:sectPr>
      </w:pPr>
    </w:p>
    <w:p w14:paraId="35F43542">
      <w:pPr>
        <w:pStyle w:val="13"/>
        <w:spacing w:line="360" w:lineRule="auto"/>
        <w:jc w:val="center"/>
        <w:outlineLvl w:val="0"/>
        <w:rPr>
          <w:rFonts w:hint="eastAsia" w:ascii="黑体" w:hAnsi="宋体" w:eastAsia="黑体" w:cs="Times New Roman"/>
          <w:b/>
          <w:bCs/>
          <w:kern w:val="0"/>
          <w:sz w:val="36"/>
          <w:szCs w:val="36"/>
        </w:rPr>
      </w:pPr>
      <w:r>
        <w:rPr>
          <w:rFonts w:hint="eastAsia" w:ascii="黑体" w:hAnsi="宋体" w:eastAsia="黑体" w:cs="Times New Roman"/>
          <w:b/>
          <w:bCs/>
          <w:kern w:val="0"/>
          <w:sz w:val="36"/>
          <w:szCs w:val="36"/>
        </w:rPr>
        <w:t>第四章 评审标准</w:t>
      </w:r>
      <w:bookmarkEnd w:id="66"/>
    </w:p>
    <w:p w14:paraId="74AC076E">
      <w:pPr>
        <w:pStyle w:val="5"/>
        <w:spacing w:line="360" w:lineRule="auto"/>
        <w:ind w:left="0"/>
        <w:jc w:val="both"/>
        <w:rPr>
          <w:rFonts w:hint="eastAsia"/>
          <w:sz w:val="24"/>
          <w:szCs w:val="24"/>
        </w:rPr>
      </w:pPr>
      <w:r>
        <w:rPr>
          <w:rFonts w:hint="eastAsia"/>
          <w:sz w:val="24"/>
          <w:szCs w:val="24"/>
        </w:rPr>
        <w:t>一、评审程序和评审方法</w:t>
      </w:r>
    </w:p>
    <w:p w14:paraId="06A5FABB">
      <w:pPr>
        <w:spacing w:line="360" w:lineRule="auto"/>
        <w:ind w:firstLine="422" w:firstLineChars="200"/>
        <w:rPr>
          <w:b/>
          <w:bCs/>
        </w:rPr>
      </w:pPr>
      <w:r>
        <w:rPr>
          <w:rFonts w:hint="eastAsia"/>
          <w:b/>
          <w:bCs/>
        </w:rPr>
        <w:t>1.资格审查</w:t>
      </w:r>
    </w:p>
    <w:p w14:paraId="28907D79">
      <w:pPr>
        <w:spacing w:line="360" w:lineRule="auto"/>
        <w:ind w:firstLine="420" w:firstLineChars="200"/>
      </w:pPr>
      <w:r>
        <w:rPr>
          <w:rFonts w:hint="eastAsia"/>
        </w:rPr>
        <w:t>1.1响应文件开启后，磋商小组依法对供应商的资格证明文件进行审查。</w:t>
      </w:r>
    </w:p>
    <w:p w14:paraId="4A2A64DF">
      <w:pPr>
        <w:spacing w:line="360" w:lineRule="auto"/>
        <w:ind w:firstLine="420" w:firstLineChars="200"/>
      </w:pPr>
      <w:r>
        <w:rPr>
          <w:rFonts w:hint="eastAsia"/>
        </w:rPr>
        <w:t>注：采购人或者采购代理机构在资格审查结束前，对供应商进行信用查询。</w:t>
      </w:r>
    </w:p>
    <w:p w14:paraId="576C97A7">
      <w:pPr>
        <w:spacing w:line="360" w:lineRule="auto"/>
        <w:ind w:firstLine="420" w:firstLineChars="200"/>
      </w:pPr>
      <w:r>
        <w:rPr>
          <w:rFonts w:hint="eastAsia"/>
        </w:rPr>
        <w:t>（1）查询渠道：“信用中国”网站（www.creditchina.gov.cn）、中国政府采购网（www.ccgp.gov.cn）。</w:t>
      </w:r>
    </w:p>
    <w:p w14:paraId="7C02B6EF">
      <w:pPr>
        <w:spacing w:line="360" w:lineRule="auto"/>
        <w:ind w:firstLine="420" w:firstLineChars="200"/>
      </w:pPr>
      <w:r>
        <w:rPr>
          <w:rFonts w:hint="eastAsia"/>
        </w:rPr>
        <w:t>（2）信用查询截止时点：资格审查结束前。</w:t>
      </w:r>
    </w:p>
    <w:p w14:paraId="0F30E3CA">
      <w:pPr>
        <w:spacing w:line="360" w:lineRule="auto"/>
        <w:ind w:firstLine="420" w:firstLineChars="200"/>
      </w:pPr>
      <w:r>
        <w:rPr>
          <w:rFonts w:hint="eastAsia"/>
        </w:rPr>
        <w:t>查询记录和证据留存方式：在查询网站中直接打印查询记录，打印材料作为评审资料保存。</w:t>
      </w:r>
    </w:p>
    <w:p w14:paraId="619F84B0">
      <w:pPr>
        <w:spacing w:line="360" w:lineRule="auto"/>
        <w:ind w:firstLine="420" w:firstLineChars="200"/>
      </w:pPr>
      <w:r>
        <w:rPr>
          <w:rFonts w:hint="eastAsia"/>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3FB238A4">
      <w:pPr>
        <w:spacing w:line="360" w:lineRule="auto"/>
        <w:ind w:firstLine="420" w:firstLineChars="200"/>
      </w:pPr>
      <w:r>
        <w:rPr>
          <w:rFonts w:hint="eastAsia"/>
        </w:rPr>
        <w:t>1.2资格审查标准为本磋商文件中载明对供应商资格要求的条件。资格审查采用合格制，凡符合磋商文件规定的供应商资格要求的响应文件均通过资格审查。</w:t>
      </w:r>
    </w:p>
    <w:p w14:paraId="3333CA37">
      <w:pPr>
        <w:spacing w:line="360" w:lineRule="auto"/>
        <w:ind w:firstLine="420" w:firstLineChars="200"/>
      </w:pPr>
      <w:r>
        <w:rPr>
          <w:rFonts w:hint="eastAsia"/>
        </w:rPr>
        <w:t>1.3供应商有下列情形之一的，资格审查不通过，其响应文件按无效响应处理：</w:t>
      </w:r>
    </w:p>
    <w:p w14:paraId="64E16344">
      <w:pPr>
        <w:spacing w:line="360" w:lineRule="auto"/>
        <w:ind w:firstLine="420" w:firstLineChars="200"/>
      </w:pPr>
      <w:r>
        <w:rPr>
          <w:rFonts w:hint="eastAsia"/>
        </w:rPr>
        <w:t>（1）不具备磋商文件中规定的资格要求的；</w:t>
      </w:r>
    </w:p>
    <w:p w14:paraId="35AA05E4">
      <w:pPr>
        <w:spacing w:line="360" w:lineRule="auto"/>
        <w:ind w:firstLine="420" w:firstLineChars="200"/>
      </w:pPr>
      <w:r>
        <w:rPr>
          <w:rFonts w:hint="eastAsia"/>
        </w:rPr>
        <w:t>（2）响应文件未提供任一项“供应商须知前附表”资格证明文件规定的“必须提供”的文件资料的；</w:t>
      </w:r>
    </w:p>
    <w:p w14:paraId="56B0BBAA">
      <w:pPr>
        <w:spacing w:line="360" w:lineRule="auto"/>
        <w:ind w:firstLine="420" w:firstLineChars="200"/>
      </w:pPr>
      <w:r>
        <w:rPr>
          <w:rFonts w:hint="eastAsia"/>
        </w:rPr>
        <w:t>（3）响应文件提供的资格证明文件出现任一项不符合“供应商须知前附表”资格证明文件规定的“必须提供”的文件资料要求或者无效的。</w:t>
      </w:r>
    </w:p>
    <w:p w14:paraId="551C5FAB">
      <w:pPr>
        <w:spacing w:line="360" w:lineRule="auto"/>
        <w:ind w:firstLine="420" w:firstLineChars="200"/>
      </w:pPr>
      <w:r>
        <w:rPr>
          <w:rFonts w:hint="eastAsia"/>
        </w:rPr>
        <w:t>1.4通过资格审查的合格供应商不足3家的，不得进入符合性审查环节，采购人或者采购代理机构应当重新开展采购活动。</w:t>
      </w:r>
    </w:p>
    <w:p w14:paraId="3C8F0713">
      <w:pPr>
        <w:spacing w:line="360" w:lineRule="auto"/>
        <w:ind w:firstLine="420" w:firstLineChars="200"/>
      </w:pPr>
      <w:r>
        <w:rPr>
          <w:rFonts w:hint="eastAsia"/>
        </w:rPr>
        <w:t>2.符合性审查</w:t>
      </w:r>
    </w:p>
    <w:p w14:paraId="560F4994">
      <w:pPr>
        <w:spacing w:line="360" w:lineRule="auto"/>
        <w:ind w:firstLine="420" w:firstLineChars="200"/>
      </w:pPr>
      <w:r>
        <w:rPr>
          <w:rFonts w:hint="eastAsia"/>
        </w:rPr>
        <w:t>2.1由磋商小组对通过资格审查的合格供应商的响应文件的竞标报价、商务、技术等实质性要求进行符合性审查，以确定其是否满足磋商文件的实质性要求。</w:t>
      </w:r>
    </w:p>
    <w:p w14:paraId="23869F44">
      <w:pPr>
        <w:spacing w:line="360" w:lineRule="auto"/>
        <w:ind w:firstLine="420" w:firstLineChars="200"/>
      </w:pPr>
      <w:r>
        <w:rPr>
          <w:rFonts w:hint="eastAsia"/>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98A7C6">
      <w:pPr>
        <w:spacing w:line="360" w:lineRule="auto"/>
        <w:ind w:firstLine="420" w:firstLineChars="200"/>
      </w:pPr>
      <w:r>
        <w:rPr>
          <w:rFonts w:hint="eastAsia"/>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1696059">
      <w:pPr>
        <w:spacing w:line="360" w:lineRule="auto"/>
        <w:ind w:firstLine="420" w:firstLineChars="200"/>
      </w:pPr>
      <w:r>
        <w:rPr>
          <w:rFonts w:hint="eastAsia"/>
        </w:rPr>
        <w:t>2.4首次响应文件报价出现前后不一致的，按照下列规定修正：</w:t>
      </w:r>
    </w:p>
    <w:p w14:paraId="02A21545">
      <w:pPr>
        <w:spacing w:line="360" w:lineRule="auto"/>
        <w:ind w:firstLine="420" w:firstLineChars="200"/>
      </w:pPr>
      <w:r>
        <w:rPr>
          <w:rFonts w:hint="eastAsia"/>
        </w:rPr>
        <w:t>（1）响应文件中报价表内容与响应文件中相应内容不一致的，以报价表为准；</w:t>
      </w:r>
    </w:p>
    <w:p w14:paraId="1F16B0DD">
      <w:pPr>
        <w:spacing w:line="360" w:lineRule="auto"/>
        <w:ind w:firstLine="420" w:firstLineChars="200"/>
      </w:pPr>
      <w:r>
        <w:rPr>
          <w:rFonts w:hint="eastAsia"/>
        </w:rPr>
        <w:t>（2）大写金额和小写金额不一致的，以大写金额为准；</w:t>
      </w:r>
    </w:p>
    <w:p w14:paraId="448BDBFD">
      <w:pPr>
        <w:spacing w:line="360" w:lineRule="auto"/>
        <w:ind w:firstLine="420" w:firstLineChars="200"/>
      </w:pPr>
      <w:r>
        <w:rPr>
          <w:rFonts w:hint="eastAsia"/>
        </w:rPr>
        <w:t>（3）单价金额小数点或者百分比有明显错位的，以报价表的总价为准，并修改单价；</w:t>
      </w:r>
    </w:p>
    <w:p w14:paraId="44835140">
      <w:pPr>
        <w:spacing w:line="360" w:lineRule="auto"/>
        <w:ind w:firstLine="420" w:firstLineChars="200"/>
      </w:pPr>
      <w:r>
        <w:rPr>
          <w:rFonts w:hint="eastAsia"/>
        </w:rPr>
        <w:t>（4）总价金额与按单价汇总金额不一致的，以单价金额计算结果为准。</w:t>
      </w:r>
    </w:p>
    <w:p w14:paraId="7CD0E401">
      <w:pPr>
        <w:spacing w:line="360" w:lineRule="auto"/>
        <w:ind w:firstLine="420" w:firstLineChars="200"/>
      </w:pPr>
      <w:r>
        <w:rPr>
          <w:rFonts w:hint="eastAsia"/>
        </w:rPr>
        <w:t>同时出现两种以上不一致的，按照以上（1）-（4）规定的顺序逐条进行修正。修正后的报价经供应商确认后产生约束力，供应商不确认的，其响应文件按无效响应处理。</w:t>
      </w:r>
    </w:p>
    <w:p w14:paraId="74C7FFCF">
      <w:pPr>
        <w:spacing w:line="360" w:lineRule="auto"/>
        <w:ind w:firstLine="420" w:firstLineChars="200"/>
      </w:pPr>
      <w:r>
        <w:rPr>
          <w:rFonts w:hint="eastAsia"/>
        </w:rPr>
        <w:t>2.5商务技术报价评审</w:t>
      </w:r>
    </w:p>
    <w:p w14:paraId="37AD955F">
      <w:pPr>
        <w:spacing w:line="360" w:lineRule="auto"/>
        <w:ind w:firstLine="420" w:firstLineChars="200"/>
      </w:pPr>
      <w:r>
        <w:rPr>
          <w:rFonts w:hint="eastAsia"/>
        </w:rPr>
        <w:t>在评审时，如发现下列情形之一的，将被视为响应文件无效处理：</w:t>
      </w:r>
    </w:p>
    <w:p w14:paraId="19482A04">
      <w:pPr>
        <w:spacing w:line="360" w:lineRule="auto"/>
        <w:ind w:firstLine="420" w:firstLineChars="200"/>
      </w:pPr>
      <w:r>
        <w:rPr>
          <w:rFonts w:hint="eastAsia"/>
        </w:rPr>
        <w:t>（1）商务技术评审</w:t>
      </w:r>
    </w:p>
    <w:p w14:paraId="0080A064">
      <w:pPr>
        <w:spacing w:line="360" w:lineRule="auto"/>
        <w:ind w:firstLine="420" w:firstLineChars="200"/>
      </w:pPr>
      <w:r>
        <w:rPr>
          <w:rFonts w:hint="eastAsia"/>
        </w:rPr>
        <w:t>1）响应文件未按磋商文件要求签署、盖章；</w:t>
      </w:r>
    </w:p>
    <w:p w14:paraId="6195D400">
      <w:pPr>
        <w:spacing w:line="360" w:lineRule="auto"/>
        <w:ind w:firstLine="420" w:firstLineChars="200"/>
      </w:pPr>
      <w:r>
        <w:rPr>
          <w:rFonts w:hint="eastAsia"/>
        </w:rPr>
        <w:t>2）委托代理人未能出具有效身份证明或者出具的身份证明与授权委托书中的信息不符；</w:t>
      </w:r>
    </w:p>
    <w:p w14:paraId="4BF2DC44">
      <w:pPr>
        <w:spacing w:line="360" w:lineRule="auto"/>
        <w:ind w:firstLine="420" w:firstLineChars="200"/>
      </w:pPr>
      <w:r>
        <w:rPr>
          <w:rFonts w:hint="eastAsia"/>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3EF900F5">
      <w:pPr>
        <w:spacing w:line="360" w:lineRule="auto"/>
        <w:ind w:firstLine="420" w:firstLineChars="200"/>
      </w:pPr>
      <w:r>
        <w:rPr>
          <w:rFonts w:hint="eastAsia"/>
        </w:rPr>
        <w:t>4）商务条款中标“▲”的条款发生负偏离的或者允许负偏离的条款数超过“供应商须知前附表”规定项数的或者标明实质性的要求发生负偏离；</w:t>
      </w:r>
    </w:p>
    <w:p w14:paraId="71A69230">
      <w:pPr>
        <w:spacing w:line="360" w:lineRule="auto"/>
        <w:ind w:firstLine="420" w:firstLineChars="200"/>
      </w:pPr>
      <w:r>
        <w:rPr>
          <w:rFonts w:hint="eastAsia"/>
        </w:rPr>
        <w:t>5）未对竞标有效期作出响应或者响应文件承诺的竞标有效期不满足磋商文件要求；</w:t>
      </w:r>
    </w:p>
    <w:p w14:paraId="1E433DD1">
      <w:pPr>
        <w:spacing w:line="360" w:lineRule="auto"/>
        <w:ind w:firstLine="420" w:firstLineChars="200"/>
      </w:pPr>
      <w:r>
        <w:rPr>
          <w:rFonts w:hint="eastAsia"/>
        </w:rPr>
        <w:t>6）响应文件的实质性内容未使用中文表述、使用计量单位不符合磋商文件要求；</w:t>
      </w:r>
    </w:p>
    <w:p w14:paraId="14A73081">
      <w:pPr>
        <w:spacing w:line="360" w:lineRule="auto"/>
        <w:ind w:firstLine="420" w:firstLineChars="200"/>
      </w:pPr>
      <w:r>
        <w:rPr>
          <w:rFonts w:hint="eastAsia"/>
        </w:rPr>
        <w:t>7）响应文件中的文件资料因填写不齐全或者内容虚假或者出现其他情形而导致被磋商小组认定无效；</w:t>
      </w:r>
    </w:p>
    <w:p w14:paraId="6CFC7377">
      <w:pPr>
        <w:spacing w:line="360" w:lineRule="auto"/>
        <w:ind w:firstLine="420" w:firstLineChars="200"/>
      </w:pPr>
      <w:r>
        <w:rPr>
          <w:rFonts w:hint="eastAsia"/>
        </w:rPr>
        <w:t>8）响应文件含有采购人不能接受的附加条件；</w:t>
      </w:r>
    </w:p>
    <w:p w14:paraId="2BE69BAF">
      <w:pPr>
        <w:spacing w:line="360" w:lineRule="auto"/>
        <w:ind w:firstLine="420" w:firstLineChars="200"/>
      </w:pPr>
      <w:r>
        <w:rPr>
          <w:rFonts w:hint="eastAsia"/>
        </w:rPr>
        <w:t>9）属于“供应商须知正文”第7.7条情形；</w:t>
      </w:r>
    </w:p>
    <w:p w14:paraId="48EF615D">
      <w:pPr>
        <w:spacing w:line="360" w:lineRule="auto"/>
        <w:ind w:firstLine="420" w:firstLineChars="200"/>
      </w:pPr>
      <w:r>
        <w:rPr>
          <w:rFonts w:hint="eastAsia"/>
        </w:rPr>
        <w:t>10）技术需求允许负偏离的条款数超过“供应商须知前附表”规定项数；</w:t>
      </w:r>
    </w:p>
    <w:p w14:paraId="22770FFE">
      <w:pPr>
        <w:spacing w:line="360" w:lineRule="auto"/>
        <w:ind w:firstLine="420" w:firstLineChars="200"/>
      </w:pPr>
      <w:r>
        <w:rPr>
          <w:rFonts w:hint="eastAsia"/>
        </w:rPr>
        <w:t>11）虚假竞标，或者出现其他情形而导致被磋商小组认定无效；</w:t>
      </w:r>
    </w:p>
    <w:p w14:paraId="4CAD49A1">
      <w:pPr>
        <w:spacing w:line="360" w:lineRule="auto"/>
        <w:ind w:firstLine="420" w:firstLineChars="200"/>
      </w:pPr>
      <w:r>
        <w:rPr>
          <w:rFonts w:hint="eastAsia"/>
        </w:rPr>
        <w:t>12）竞标技术方案不明确，磋商文件未允许但响应文件中存在一个或者一个以上备选（替代）竞标方案；</w:t>
      </w:r>
    </w:p>
    <w:p w14:paraId="2EEE94D5">
      <w:pPr>
        <w:spacing w:line="360" w:lineRule="auto"/>
        <w:ind w:firstLine="420" w:firstLineChars="200"/>
      </w:pPr>
      <w:r>
        <w:rPr>
          <w:rFonts w:hint="eastAsia"/>
        </w:rPr>
        <w:t>13）响应文件标注的项目名称或者项目编号与竞争性磋商文件标注的项目名称或者项目编号不一致的；</w:t>
      </w:r>
    </w:p>
    <w:p w14:paraId="11D08613">
      <w:pPr>
        <w:spacing w:line="360" w:lineRule="auto"/>
        <w:ind w:firstLine="420" w:firstLineChars="200"/>
      </w:pPr>
      <w:r>
        <w:rPr>
          <w:rFonts w:hint="eastAsia"/>
        </w:rPr>
        <w:t>14）未响应磋商文件实质性要求；</w:t>
      </w:r>
    </w:p>
    <w:p w14:paraId="07B44073">
      <w:pPr>
        <w:spacing w:line="360" w:lineRule="auto"/>
        <w:ind w:firstLine="420" w:firstLineChars="200"/>
      </w:pPr>
      <w:r>
        <w:rPr>
          <w:rFonts w:hint="eastAsia"/>
        </w:rPr>
        <w:t>15）法律、法规和磋商文件规定的其他无效情形。</w:t>
      </w:r>
    </w:p>
    <w:p w14:paraId="29194270">
      <w:pPr>
        <w:spacing w:line="360" w:lineRule="auto"/>
        <w:ind w:firstLine="420" w:firstLineChars="200"/>
      </w:pPr>
      <w:r>
        <w:rPr>
          <w:rFonts w:hint="eastAsia"/>
        </w:rPr>
        <w:t>（2）报价评审</w:t>
      </w:r>
    </w:p>
    <w:p w14:paraId="4916812D">
      <w:pPr>
        <w:spacing w:line="360" w:lineRule="auto"/>
        <w:ind w:firstLine="420" w:firstLineChars="200"/>
      </w:pPr>
      <w:r>
        <w:rPr>
          <w:rFonts w:hint="eastAsia"/>
        </w:rPr>
        <w:t>1）响应文件未提供“供应商须知前附表”报价商务技术文件中规定的；</w:t>
      </w:r>
    </w:p>
    <w:p w14:paraId="7F6687EA">
      <w:pPr>
        <w:spacing w:line="360" w:lineRule="auto"/>
        <w:ind w:firstLine="420" w:firstLineChars="200"/>
      </w:pPr>
      <w:r>
        <w:rPr>
          <w:rFonts w:hint="eastAsia"/>
        </w:rPr>
        <w:t>2）未采用人民币报价或者未按照磋商文件标明的币种报价；</w:t>
      </w:r>
    </w:p>
    <w:p w14:paraId="1B7923C8">
      <w:pPr>
        <w:spacing w:line="360" w:lineRule="auto"/>
        <w:ind w:firstLine="420" w:firstLineChars="200"/>
      </w:pPr>
      <w:r>
        <w:rPr>
          <w:rFonts w:hint="eastAsia"/>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115E683B">
      <w:pPr>
        <w:spacing w:line="360" w:lineRule="auto"/>
        <w:ind w:firstLine="420" w:firstLineChars="200"/>
      </w:pPr>
      <w:r>
        <w:rPr>
          <w:rFonts w:hint="eastAsia"/>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6DD1583A">
      <w:pPr>
        <w:spacing w:line="360" w:lineRule="auto"/>
        <w:ind w:firstLine="420" w:firstLineChars="200"/>
      </w:pPr>
      <w:r>
        <w:rPr>
          <w:rFonts w:hint="eastAsia"/>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13329D23">
      <w:pPr>
        <w:spacing w:line="360" w:lineRule="auto"/>
        <w:ind w:firstLine="420" w:firstLineChars="200"/>
      </w:pPr>
      <w:r>
        <w:rPr>
          <w:rFonts w:hint="eastAsia"/>
        </w:rPr>
        <w:t>6）响应文件响应的标的数量及单位与竞争性磋商采购文件要求实质性不一致的。</w:t>
      </w:r>
    </w:p>
    <w:p w14:paraId="17C30921">
      <w:pPr>
        <w:spacing w:line="360" w:lineRule="auto"/>
        <w:ind w:firstLine="420" w:firstLineChars="200"/>
      </w:pPr>
      <w:r>
        <w:rPr>
          <w:rFonts w:hint="eastAsia"/>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042006B">
      <w:pPr>
        <w:spacing w:line="360" w:lineRule="auto"/>
        <w:ind w:firstLine="420" w:firstLineChars="200"/>
      </w:pPr>
      <w:r>
        <w:rPr>
          <w:rFonts w:hint="eastAsia"/>
        </w:rPr>
        <w:t>2.7通过符合性审查的合格供应商不足3家的，不得进入磋商环节，采购人或者采购代理机构应当重新开展采购活动。</w:t>
      </w:r>
    </w:p>
    <w:p w14:paraId="6F16E302">
      <w:pPr>
        <w:spacing w:line="360" w:lineRule="auto"/>
        <w:ind w:firstLine="420" w:firstLineChars="200"/>
      </w:pPr>
      <w:r>
        <w:rPr>
          <w:rFonts w:hint="eastAsia"/>
        </w:rPr>
        <w:t>3.磋商程序</w:t>
      </w:r>
    </w:p>
    <w:p w14:paraId="5C0FB145">
      <w:pPr>
        <w:spacing w:line="360" w:lineRule="auto"/>
        <w:ind w:firstLine="420" w:firstLineChars="200"/>
      </w:pPr>
      <w:r>
        <w:rPr>
          <w:rFonts w:hint="eastAsia"/>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6110937C">
      <w:pPr>
        <w:spacing w:line="360" w:lineRule="auto"/>
        <w:ind w:firstLine="420" w:firstLineChars="200"/>
      </w:pPr>
      <w:r>
        <w:rPr>
          <w:rFonts w:hint="eastAsia"/>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3F6D9B5">
      <w:pPr>
        <w:spacing w:line="360" w:lineRule="auto"/>
        <w:ind w:firstLine="420" w:firstLineChars="200"/>
      </w:pPr>
      <w:r>
        <w:rPr>
          <w:rFonts w:hint="eastAsia"/>
        </w:rPr>
        <w:t>3.3对磋商文件作出的实质性变动是磋商文件的有效组成部分，由磋商小组及时以书面形式同时通知所有参加磋商的供应商。</w:t>
      </w:r>
    </w:p>
    <w:p w14:paraId="400AD08B">
      <w:pPr>
        <w:spacing w:line="360" w:lineRule="auto"/>
        <w:ind w:firstLine="420" w:firstLineChars="200"/>
      </w:pPr>
      <w:r>
        <w:rPr>
          <w:rFonts w:hint="eastAsia"/>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9EF2B86">
      <w:pPr>
        <w:spacing w:line="360" w:lineRule="auto"/>
        <w:ind w:firstLine="420" w:firstLineChars="200"/>
      </w:pPr>
      <w:r>
        <w:rPr>
          <w:rFonts w:hint="eastAsia"/>
        </w:rPr>
        <w:t>3.5磋商中，磋商的任何一方不得透露与磋商有关的其他供应商的技术资料、价格和其他信息。</w:t>
      </w:r>
    </w:p>
    <w:p w14:paraId="6765BB5F">
      <w:pPr>
        <w:spacing w:line="360" w:lineRule="auto"/>
        <w:ind w:firstLine="420" w:firstLineChars="200"/>
      </w:pPr>
      <w:r>
        <w:rPr>
          <w:rFonts w:hint="eastAsia"/>
        </w:rPr>
        <w:t>3.6采购代理机构对磋商过程和重要磋商内容进行记录，磋商双方在记录上签字确认。</w:t>
      </w:r>
    </w:p>
    <w:p w14:paraId="44D229EA">
      <w:pPr>
        <w:spacing w:line="360" w:lineRule="auto"/>
        <w:ind w:firstLine="420" w:firstLineChars="200"/>
      </w:pPr>
      <w:r>
        <w:rPr>
          <w:rFonts w:hint="eastAsia"/>
        </w:rPr>
        <w:t>3.7磋商过程中重新提交的响应文件，供应商可以在开启前补充、修改。</w:t>
      </w:r>
    </w:p>
    <w:p w14:paraId="4D9EE041">
      <w:pPr>
        <w:spacing w:line="360" w:lineRule="auto"/>
        <w:ind w:firstLine="420" w:firstLineChars="200"/>
      </w:pPr>
      <w:r>
        <w:rPr>
          <w:rFonts w:hint="eastAsia"/>
        </w:rPr>
        <w:t>3.8对磋商过程提交的响应文件进行有效性、完整性和响应程度审查，通过审查的合格供应商不足3家的，采购人或者采购代理机构应当重新开展采购活动。</w:t>
      </w:r>
    </w:p>
    <w:p w14:paraId="630E0D2E">
      <w:pPr>
        <w:spacing w:line="360" w:lineRule="auto"/>
        <w:ind w:firstLine="420" w:firstLineChars="200"/>
      </w:pPr>
      <w:r>
        <w:rPr>
          <w:rFonts w:hint="eastAsia"/>
        </w:rPr>
        <w:t>3.9本项目所有响应文件的首次报价及所有磋商报价均不公布。最后磋商结束后，磋商小组不得再与供应商进行任何形式的商谈。</w:t>
      </w:r>
    </w:p>
    <w:p w14:paraId="2D1C894F">
      <w:pPr>
        <w:spacing w:line="360" w:lineRule="auto"/>
        <w:ind w:firstLine="420" w:firstLineChars="200"/>
      </w:pPr>
      <w:r>
        <w:rPr>
          <w:rFonts w:hint="eastAsia"/>
        </w:rPr>
        <w:t>4.最后报价</w:t>
      </w:r>
    </w:p>
    <w:p w14:paraId="3ACC6F3F">
      <w:pPr>
        <w:spacing w:line="360" w:lineRule="auto"/>
        <w:ind w:firstLine="420" w:firstLineChars="200"/>
      </w:pPr>
      <w:r>
        <w:rPr>
          <w:rFonts w:hint="eastAsia"/>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4FD48BAB">
      <w:pPr>
        <w:spacing w:line="360" w:lineRule="auto"/>
        <w:ind w:firstLine="420" w:firstLineChars="200"/>
      </w:pPr>
      <w:r>
        <w:rPr>
          <w:rFonts w:hint="eastAsia"/>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27FEF969">
      <w:pPr>
        <w:spacing w:line="360" w:lineRule="auto"/>
        <w:ind w:firstLine="420" w:firstLineChars="200"/>
      </w:pPr>
      <w:r>
        <w:rPr>
          <w:rFonts w:hint="eastAsia"/>
        </w:rPr>
        <w:t>①最后报价与首次报价相比无调整的：供应商提交的最后报价只须注明与首次报价相同。</w:t>
      </w:r>
    </w:p>
    <w:p w14:paraId="7BB30642">
      <w:pPr>
        <w:spacing w:line="360" w:lineRule="auto"/>
        <w:ind w:firstLine="420" w:firstLineChars="200"/>
      </w:pPr>
      <w:r>
        <w:rPr>
          <w:rFonts w:hint="eastAsia"/>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1E041F5E">
      <w:pPr>
        <w:spacing w:line="360" w:lineRule="auto"/>
        <w:ind w:firstLine="420" w:firstLineChars="200"/>
      </w:pPr>
      <w:r>
        <w:rPr>
          <w:rFonts w:hint="eastAsia"/>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F3429B3">
      <w:pPr>
        <w:spacing w:line="360" w:lineRule="auto"/>
        <w:ind w:firstLine="420" w:firstLineChars="200"/>
      </w:pPr>
      <w:r>
        <w:rPr>
          <w:rFonts w:hint="eastAsia"/>
        </w:rPr>
        <w:t>4.4已经提交响应文件的供应商，在提交最后报价之前，可以根据磋商情况退出磋商，退出磋商的供应商的响应文件按无效响应处理。采购人、采购代理机构将退还退出磋商的供应商的保证金。</w:t>
      </w:r>
    </w:p>
    <w:p w14:paraId="2F30759F">
      <w:pPr>
        <w:spacing w:line="360" w:lineRule="auto"/>
        <w:ind w:firstLine="420" w:firstLineChars="200"/>
      </w:pPr>
      <w:r>
        <w:rPr>
          <w:rFonts w:hint="eastAsia"/>
        </w:rPr>
        <w:t>4.5供应商未在规定时间内提交最后报价的，视同退出磋商。</w:t>
      </w:r>
    </w:p>
    <w:p w14:paraId="711D1413">
      <w:pPr>
        <w:spacing w:line="360" w:lineRule="auto"/>
        <w:ind w:firstLine="420" w:firstLineChars="200"/>
      </w:pPr>
      <w:r>
        <w:rPr>
          <w:rFonts w:hint="eastAsia"/>
        </w:rPr>
        <w:t>4.6磋商小组收齐某一分标最后报价后统一开启，磋商小组对最后报价进行有效性、完整性和响应程度的审查。</w:t>
      </w:r>
    </w:p>
    <w:p w14:paraId="03980967">
      <w:pPr>
        <w:spacing w:line="360" w:lineRule="auto"/>
        <w:ind w:firstLine="420" w:firstLineChars="200"/>
      </w:pPr>
      <w:r>
        <w:rPr>
          <w:rFonts w:hint="eastAsia"/>
        </w:rPr>
        <w:t>4.7响应文件最后报价出现前后不一致的，按照本正文第25.2.4条的规定修正。</w:t>
      </w:r>
    </w:p>
    <w:p w14:paraId="7AAD687D">
      <w:pPr>
        <w:spacing w:line="360" w:lineRule="auto"/>
        <w:ind w:firstLine="420" w:firstLineChars="200"/>
      </w:pPr>
      <w:r>
        <w:rPr>
          <w:rFonts w:hint="eastAsia"/>
        </w:rPr>
        <w:t>4.8修正后的报价出现下列情形的，按无效响应处理：</w:t>
      </w:r>
    </w:p>
    <w:p w14:paraId="698E8CD4">
      <w:pPr>
        <w:spacing w:line="360" w:lineRule="auto"/>
        <w:ind w:firstLine="420" w:firstLineChars="200"/>
      </w:pPr>
      <w:r>
        <w:rPr>
          <w:rFonts w:hint="eastAsia"/>
        </w:rPr>
        <w:t>（1）供应商不确认的；</w:t>
      </w:r>
    </w:p>
    <w:p w14:paraId="1CBD7FF4">
      <w:pPr>
        <w:spacing w:line="360" w:lineRule="auto"/>
        <w:ind w:firstLine="420" w:firstLineChars="200"/>
      </w:pPr>
      <w:r>
        <w:rPr>
          <w:rFonts w:hint="eastAsia"/>
        </w:rPr>
        <w:t>（2）经供应商确认修正后的竞标报价（包含首次报价、最后报价）超过所竞标规定的采购预算金额或者最高限价的（如本项目公布了最高限价）；</w:t>
      </w:r>
    </w:p>
    <w:p w14:paraId="2CE26C70">
      <w:pPr>
        <w:spacing w:line="360" w:lineRule="auto"/>
        <w:ind w:firstLine="420" w:firstLineChars="200"/>
      </w:pPr>
      <w:r>
        <w:rPr>
          <w:rFonts w:hint="eastAsia"/>
        </w:rPr>
        <w:t>（3）经供应商确认修正后的竞标报价（包含首次报价、最后报价）超过分项采购预算金额或者最高限价的（如本项目公布了最高限价）。</w:t>
      </w:r>
    </w:p>
    <w:p w14:paraId="0566D264">
      <w:pPr>
        <w:spacing w:line="360" w:lineRule="auto"/>
        <w:ind w:firstLine="420" w:firstLineChars="200"/>
      </w:pPr>
      <w:r>
        <w:rPr>
          <w:rFonts w:hint="eastAsia"/>
        </w:rPr>
        <w:t>4.9经供应商确认修正后的最后报价作为评审及签订合同的依据。</w:t>
      </w:r>
    </w:p>
    <w:p w14:paraId="54A207AA">
      <w:pPr>
        <w:spacing w:line="360" w:lineRule="auto"/>
        <w:ind w:firstLine="420" w:firstLineChars="200"/>
      </w:pPr>
      <w:r>
        <w:rPr>
          <w:rFonts w:hint="eastAsia"/>
        </w:rPr>
        <w:t>4.10最后报价结束后，磋商小组不得再与供应商进行任何形式的商谈。</w:t>
      </w:r>
    </w:p>
    <w:p w14:paraId="670CED95">
      <w:pPr>
        <w:spacing w:line="360" w:lineRule="auto"/>
        <w:ind w:firstLine="420" w:firstLineChars="200"/>
      </w:pPr>
      <w:r>
        <w:rPr>
          <w:rFonts w:hint="eastAsia"/>
        </w:rPr>
        <w:t>5.比较与评价</w:t>
      </w:r>
    </w:p>
    <w:p w14:paraId="76034B63">
      <w:pPr>
        <w:spacing w:line="360" w:lineRule="auto"/>
        <w:ind w:firstLine="420" w:firstLineChars="200"/>
      </w:pPr>
      <w:r>
        <w:rPr>
          <w:rFonts w:hint="eastAsia"/>
        </w:rPr>
        <w:t>5.1评审方法：综合评分法。</w:t>
      </w:r>
    </w:p>
    <w:p w14:paraId="77700222">
      <w:pPr>
        <w:spacing w:line="360" w:lineRule="auto"/>
        <w:ind w:firstLine="420" w:firstLineChars="200"/>
      </w:pPr>
      <w:r>
        <w:rPr>
          <w:rFonts w:hint="eastAsia"/>
        </w:rPr>
        <w:t>5.2经磋商确定最终采购需求和提交最后报价的供应商后，由磋商小组采用综合评分法对提交最后报价的供应商的响应文件和最后报价进行综合评分。</w:t>
      </w:r>
    </w:p>
    <w:p w14:paraId="1F0EC538">
      <w:pPr>
        <w:spacing w:line="360" w:lineRule="auto"/>
        <w:ind w:firstLine="420" w:firstLineChars="200"/>
      </w:pPr>
      <w:r>
        <w:rPr>
          <w:rFonts w:hint="eastAsia"/>
        </w:rPr>
        <w:t>5.3评审时，磋商小组各成员应当独立对每个有效响应的文件进行评价、打分，然后汇总每个供应商每项评分因素的得分。</w:t>
      </w:r>
    </w:p>
    <w:p w14:paraId="14B0BA5B">
      <w:pPr>
        <w:spacing w:line="360" w:lineRule="auto"/>
        <w:ind w:firstLine="420" w:firstLineChars="200"/>
      </w:pPr>
      <w:r>
        <w:rPr>
          <w:rFonts w:hint="eastAsia"/>
        </w:rPr>
        <w:t>（1）磋商小组按照磋商文件中规定的评审标准计算各供应商的报价得分。项目评审过程中，不得去掉最后报价中的最高报价和最低报价。</w:t>
      </w:r>
    </w:p>
    <w:p w14:paraId="5AE9F3B3">
      <w:pPr>
        <w:spacing w:line="360" w:lineRule="auto"/>
        <w:ind w:firstLine="420" w:firstLineChars="200"/>
      </w:pPr>
      <w:r>
        <w:rPr>
          <w:rFonts w:hint="eastAsia"/>
        </w:rPr>
        <w:t>（2）各供应商的得分为磋商小组所有成员的有效评分的算术平均数。</w:t>
      </w:r>
    </w:p>
    <w:p w14:paraId="5C36EE2C">
      <w:pPr>
        <w:spacing w:line="360" w:lineRule="auto"/>
        <w:ind w:firstLine="420" w:firstLineChars="200"/>
      </w:pPr>
      <w:r>
        <w:rPr>
          <w:rFonts w:hint="eastAsia"/>
        </w:rPr>
        <w:t>5.4评审价为供应商的最后报价进行政策性扣除后的价格，评审价只是作为评审时使用。最终成交供应商的成交金额等于最后报价（如有修正，以确认修正后的最后报价为准）。</w:t>
      </w:r>
    </w:p>
    <w:p w14:paraId="425BE726">
      <w:pPr>
        <w:spacing w:line="360" w:lineRule="auto"/>
        <w:ind w:firstLine="420" w:firstLineChars="200"/>
      </w:pPr>
      <w:r>
        <w:rPr>
          <w:rFonts w:hint="eastAsia"/>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ABF7C7D">
      <w:pPr>
        <w:spacing w:line="360" w:lineRule="auto"/>
        <w:ind w:firstLine="420" w:firstLineChars="200"/>
      </w:pPr>
      <w:r>
        <w:rPr>
          <w:rFonts w:hint="eastAsia"/>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F179F86">
      <w:pPr>
        <w:spacing w:line="360" w:lineRule="auto"/>
        <w:rPr>
          <w:b/>
          <w:bCs/>
        </w:rPr>
      </w:pPr>
      <w:r>
        <w:rPr>
          <w:rFonts w:hint="eastAsia"/>
          <w:b/>
          <w:bCs/>
        </w:rPr>
        <w:t>二、评定标准（综合评分法）</w:t>
      </w:r>
    </w:p>
    <w:p w14:paraId="484FC8E5">
      <w:pPr>
        <w:spacing w:line="360" w:lineRule="auto"/>
        <w:ind w:firstLine="420" w:firstLineChars="200"/>
      </w:pPr>
      <w:r>
        <w:rPr>
          <w:rFonts w:hint="eastAsia"/>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0629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37DAE4B7">
            <w:pPr>
              <w:spacing w:line="360" w:lineRule="auto"/>
              <w:jc w:val="center"/>
              <w:rPr>
                <w:rFonts w:hint="eastAsia" w:ascii="宋体" w:hAnsi="宋体" w:cs="宋体"/>
                <w:szCs w:val="21"/>
              </w:rPr>
            </w:pPr>
            <w:r>
              <w:rPr>
                <w:rFonts w:hint="eastAsia" w:ascii="宋体" w:hAnsi="宋体" w:cs="宋体"/>
                <w:b/>
                <w:bCs/>
                <w:szCs w:val="21"/>
              </w:rPr>
              <w:t>序号</w:t>
            </w:r>
          </w:p>
        </w:tc>
        <w:tc>
          <w:tcPr>
            <w:tcW w:w="2073" w:type="dxa"/>
            <w:gridSpan w:val="2"/>
            <w:vAlign w:val="center"/>
          </w:tcPr>
          <w:p w14:paraId="63850D0E">
            <w:pPr>
              <w:spacing w:line="360" w:lineRule="auto"/>
              <w:jc w:val="center"/>
              <w:rPr>
                <w:rFonts w:hint="eastAsia" w:ascii="宋体" w:hAnsi="宋体" w:cs="宋体"/>
                <w:szCs w:val="21"/>
              </w:rPr>
            </w:pPr>
            <w:r>
              <w:rPr>
                <w:rFonts w:hint="eastAsia" w:ascii="宋体" w:hAnsi="宋体" w:cs="宋体"/>
                <w:b/>
                <w:bCs/>
                <w:szCs w:val="21"/>
              </w:rPr>
              <w:t>评审因素</w:t>
            </w:r>
          </w:p>
        </w:tc>
        <w:tc>
          <w:tcPr>
            <w:tcW w:w="5935" w:type="dxa"/>
            <w:vAlign w:val="center"/>
          </w:tcPr>
          <w:p w14:paraId="0252C45B">
            <w:pPr>
              <w:snapToGrid w:val="0"/>
              <w:spacing w:line="360" w:lineRule="auto"/>
              <w:jc w:val="center"/>
              <w:rPr>
                <w:rFonts w:hint="eastAsia" w:ascii="宋体" w:hAnsi="宋体" w:cs="宋体"/>
                <w:szCs w:val="21"/>
              </w:rPr>
            </w:pPr>
            <w:r>
              <w:rPr>
                <w:rFonts w:hint="eastAsia" w:ascii="宋体" w:hAnsi="宋体" w:cs="Tahoma"/>
                <w:b/>
                <w:bCs/>
                <w:kern w:val="0"/>
                <w:szCs w:val="21"/>
              </w:rPr>
              <w:t>评审因素具体内容</w:t>
            </w:r>
          </w:p>
        </w:tc>
        <w:tc>
          <w:tcPr>
            <w:tcW w:w="807" w:type="dxa"/>
            <w:vAlign w:val="center"/>
          </w:tcPr>
          <w:p w14:paraId="3C438A9C">
            <w:pPr>
              <w:snapToGrid w:val="0"/>
              <w:spacing w:line="360" w:lineRule="auto"/>
              <w:jc w:val="center"/>
              <w:rPr>
                <w:rFonts w:hint="eastAsia" w:ascii="宋体" w:hAnsi="宋体" w:cs="Tahoma"/>
                <w:b/>
                <w:bCs/>
                <w:kern w:val="0"/>
                <w:szCs w:val="21"/>
              </w:rPr>
            </w:pPr>
            <w:r>
              <w:rPr>
                <w:rFonts w:hint="eastAsia" w:ascii="宋体" w:hAnsi="宋体" w:cs="Tahoma"/>
                <w:b/>
                <w:bCs/>
                <w:kern w:val="0"/>
                <w:szCs w:val="21"/>
              </w:rPr>
              <w:t>备注</w:t>
            </w:r>
          </w:p>
        </w:tc>
      </w:tr>
      <w:tr w14:paraId="26EB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BA0F855">
            <w:pPr>
              <w:spacing w:line="360" w:lineRule="auto"/>
              <w:jc w:val="center"/>
              <w:rPr>
                <w:rFonts w:hint="eastAsia" w:ascii="宋体" w:hAnsi="宋体" w:cs="宋体"/>
                <w:b/>
                <w:bCs/>
                <w:szCs w:val="21"/>
              </w:rPr>
            </w:pPr>
            <w:r>
              <w:rPr>
                <w:rFonts w:hint="eastAsia" w:ascii="宋体" w:hAnsi="宋体" w:cs="宋体"/>
                <w:b/>
                <w:bCs/>
                <w:szCs w:val="21"/>
              </w:rPr>
              <w:t>1</w:t>
            </w:r>
          </w:p>
        </w:tc>
        <w:tc>
          <w:tcPr>
            <w:tcW w:w="958" w:type="dxa"/>
            <w:vAlign w:val="center"/>
          </w:tcPr>
          <w:p w14:paraId="6963C0C6">
            <w:pPr>
              <w:snapToGrid w:val="0"/>
              <w:spacing w:line="360" w:lineRule="auto"/>
              <w:jc w:val="center"/>
              <w:rPr>
                <w:rFonts w:hint="eastAsia" w:ascii="宋体" w:hAnsi="宋体" w:cs="宋体"/>
                <w:b/>
                <w:bCs/>
                <w:szCs w:val="21"/>
              </w:rPr>
            </w:pPr>
            <w:r>
              <w:rPr>
                <w:rFonts w:hint="eastAsia" w:ascii="宋体" w:hAnsi="宋体" w:cs="宋体"/>
                <w:b/>
                <w:bCs/>
                <w:szCs w:val="21"/>
              </w:rPr>
              <w:t>报价</w:t>
            </w:r>
          </w:p>
        </w:tc>
        <w:tc>
          <w:tcPr>
            <w:tcW w:w="1115" w:type="dxa"/>
            <w:vAlign w:val="center"/>
          </w:tcPr>
          <w:p w14:paraId="32E75B59">
            <w:pPr>
              <w:spacing w:line="360" w:lineRule="auto"/>
              <w:jc w:val="center"/>
              <w:rPr>
                <w:rFonts w:hint="eastAsia" w:ascii="宋体" w:hAnsi="宋体" w:cs="宋体"/>
                <w:szCs w:val="21"/>
              </w:rPr>
            </w:pPr>
            <w:r>
              <w:rPr>
                <w:rFonts w:hint="eastAsia" w:ascii="宋体" w:hAnsi="宋体" w:cs="宋体"/>
                <w:szCs w:val="21"/>
              </w:rPr>
              <w:t>价格分（满分20分）</w:t>
            </w:r>
          </w:p>
        </w:tc>
        <w:tc>
          <w:tcPr>
            <w:tcW w:w="5935" w:type="dxa"/>
            <w:vAlign w:val="center"/>
          </w:tcPr>
          <w:p w14:paraId="70A842FD">
            <w:pPr>
              <w:snapToGrid w:val="0"/>
              <w:spacing w:line="360" w:lineRule="auto"/>
              <w:jc w:val="left"/>
              <w:rPr>
                <w:rFonts w:hint="eastAsia" w:ascii="宋体" w:hAnsi="宋体" w:cs="宋体"/>
                <w:szCs w:val="21"/>
              </w:rPr>
            </w:pPr>
            <w:r>
              <w:rPr>
                <w:rFonts w:hint="eastAsia" w:ascii="宋体" w:hAnsi="宋体" w:cs="宋体"/>
                <w:szCs w:val="21"/>
              </w:rPr>
              <w:t>（1）本项目专门面向中小企业采购（供应商应为中小微企业或监狱企业或残疾人福利性单位)，不再执行价格评审优惠的扶持政策。</w:t>
            </w:r>
          </w:p>
          <w:p w14:paraId="021EE611">
            <w:pPr>
              <w:snapToGrid w:val="0"/>
              <w:spacing w:line="360" w:lineRule="auto"/>
              <w:jc w:val="left"/>
              <w:rPr>
                <w:rFonts w:hint="eastAsia" w:ascii="宋体" w:hAnsi="宋体" w:cs="宋体"/>
                <w:szCs w:val="21"/>
              </w:rPr>
            </w:pPr>
            <w:r>
              <w:rPr>
                <w:rFonts w:hint="eastAsia" w:ascii="宋体" w:hAnsi="宋体" w:cs="宋体"/>
                <w:szCs w:val="21"/>
              </w:rPr>
              <w:t>（2）以进入比较与评价环节的最后报价的最低价格为基准价，基准价得分为20分。</w:t>
            </w:r>
          </w:p>
          <w:p w14:paraId="766CBAEB">
            <w:pPr>
              <w:spacing w:line="360" w:lineRule="auto"/>
              <w:jc w:val="left"/>
              <w:rPr>
                <w:rFonts w:hint="eastAsia" w:ascii="宋体" w:hAnsi="宋体" w:cs="宋体"/>
                <w:szCs w:val="21"/>
              </w:rPr>
            </w:pPr>
            <w:r>
              <w:rPr>
                <w:rFonts w:hint="eastAsia" w:ascii="宋体" w:hAnsi="宋体" w:cs="宋体"/>
                <w:szCs w:val="21"/>
              </w:rPr>
              <w:t>（3）价格分计算公式：报价得分=（基准价/最后报价）×20分</w:t>
            </w:r>
          </w:p>
        </w:tc>
        <w:tc>
          <w:tcPr>
            <w:tcW w:w="807" w:type="dxa"/>
            <w:vAlign w:val="center"/>
          </w:tcPr>
          <w:p w14:paraId="444BB1AC">
            <w:pPr>
              <w:spacing w:line="360" w:lineRule="auto"/>
              <w:jc w:val="center"/>
              <w:rPr>
                <w:rFonts w:hint="eastAsia" w:ascii="宋体" w:hAnsi="宋体" w:cs="宋体"/>
                <w:szCs w:val="21"/>
              </w:rPr>
            </w:pPr>
            <w:r>
              <w:rPr>
                <w:rFonts w:hint="eastAsia" w:ascii="宋体" w:hAnsi="宋体" w:cs="宋体"/>
                <w:szCs w:val="21"/>
              </w:rPr>
              <w:t>客观分</w:t>
            </w:r>
          </w:p>
        </w:tc>
      </w:tr>
      <w:tr w14:paraId="048D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468BBD56">
            <w:pPr>
              <w:spacing w:line="360" w:lineRule="auto"/>
              <w:jc w:val="center"/>
              <w:rPr>
                <w:rFonts w:hint="eastAsia" w:ascii="宋体" w:hAnsi="宋体" w:cs="宋体"/>
                <w:szCs w:val="21"/>
              </w:rPr>
            </w:pPr>
            <w:r>
              <w:rPr>
                <w:rFonts w:hint="eastAsia" w:ascii="宋体" w:hAnsi="宋体" w:cs="宋体"/>
                <w:b/>
                <w:bCs/>
                <w:szCs w:val="21"/>
              </w:rPr>
              <w:t>2</w:t>
            </w:r>
          </w:p>
        </w:tc>
        <w:tc>
          <w:tcPr>
            <w:tcW w:w="958" w:type="dxa"/>
            <w:vAlign w:val="center"/>
          </w:tcPr>
          <w:p w14:paraId="79EB791C">
            <w:pPr>
              <w:spacing w:line="360" w:lineRule="auto"/>
              <w:jc w:val="center"/>
              <w:rPr>
                <w:rFonts w:hint="eastAsia" w:ascii="宋体" w:hAnsi="宋体" w:cs="宋体"/>
                <w:szCs w:val="21"/>
              </w:rPr>
            </w:pPr>
            <w:r>
              <w:rPr>
                <w:rFonts w:hint="eastAsia" w:ascii="宋体" w:hAnsi="宋体" w:cs="宋体"/>
                <w:b/>
                <w:bCs/>
                <w:szCs w:val="21"/>
              </w:rPr>
              <w:t>技术</w:t>
            </w:r>
          </w:p>
        </w:tc>
        <w:tc>
          <w:tcPr>
            <w:tcW w:w="7050" w:type="dxa"/>
            <w:gridSpan w:val="2"/>
            <w:vAlign w:val="center"/>
          </w:tcPr>
          <w:p w14:paraId="59922473">
            <w:pPr>
              <w:spacing w:line="360" w:lineRule="auto"/>
              <w:jc w:val="center"/>
              <w:rPr>
                <w:rFonts w:hint="eastAsia" w:ascii="宋体" w:hAnsi="宋体" w:cs="宋体"/>
                <w:szCs w:val="21"/>
              </w:rPr>
            </w:pPr>
            <w:r>
              <w:rPr>
                <w:rFonts w:hint="eastAsia" w:ascii="宋体" w:hAnsi="宋体" w:cs="宋体"/>
                <w:szCs w:val="21"/>
              </w:rPr>
              <w:t>满分74分</w:t>
            </w:r>
          </w:p>
        </w:tc>
        <w:tc>
          <w:tcPr>
            <w:tcW w:w="807" w:type="dxa"/>
            <w:vAlign w:val="center"/>
          </w:tcPr>
          <w:p w14:paraId="568D4497">
            <w:pPr>
              <w:spacing w:line="360" w:lineRule="auto"/>
              <w:jc w:val="center"/>
              <w:rPr>
                <w:rFonts w:hint="eastAsia" w:ascii="宋体" w:hAnsi="宋体" w:cs="宋体"/>
                <w:b/>
                <w:bCs/>
                <w:szCs w:val="21"/>
              </w:rPr>
            </w:pPr>
          </w:p>
        </w:tc>
      </w:tr>
      <w:tr w14:paraId="24C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384AC891">
            <w:pPr>
              <w:spacing w:line="360" w:lineRule="auto"/>
              <w:jc w:val="center"/>
              <w:rPr>
                <w:rFonts w:hint="eastAsia" w:ascii="宋体" w:hAnsi="宋体" w:cs="宋体"/>
                <w:szCs w:val="21"/>
              </w:rPr>
            </w:pPr>
            <w:r>
              <w:rPr>
                <w:rFonts w:hint="eastAsia" w:ascii="宋体" w:hAnsi="宋体" w:cs="宋体"/>
                <w:szCs w:val="21"/>
              </w:rPr>
              <w:t>2.1</w:t>
            </w:r>
          </w:p>
        </w:tc>
        <w:tc>
          <w:tcPr>
            <w:tcW w:w="958" w:type="dxa"/>
            <w:vMerge w:val="restart"/>
            <w:vAlign w:val="center"/>
          </w:tcPr>
          <w:p w14:paraId="27FD44AF">
            <w:pPr>
              <w:spacing w:line="360" w:lineRule="auto"/>
              <w:jc w:val="center"/>
              <w:rPr>
                <w:rFonts w:hint="eastAsia" w:ascii="宋体" w:hAnsi="宋体" w:cs="宋体"/>
                <w:szCs w:val="21"/>
              </w:rPr>
            </w:pPr>
            <w:r>
              <w:rPr>
                <w:rFonts w:hint="eastAsia" w:ascii="宋体" w:hAnsi="宋体" w:cs="宋体"/>
                <w:szCs w:val="21"/>
              </w:rPr>
              <w:t>施工组织设计</w:t>
            </w:r>
          </w:p>
        </w:tc>
        <w:tc>
          <w:tcPr>
            <w:tcW w:w="1115" w:type="dxa"/>
            <w:vAlign w:val="center"/>
          </w:tcPr>
          <w:p w14:paraId="3A40B787">
            <w:pPr>
              <w:spacing w:line="360" w:lineRule="auto"/>
              <w:rPr>
                <w:rFonts w:hint="eastAsia" w:ascii="宋体" w:hAnsi="宋体" w:cs="宋体"/>
                <w:szCs w:val="21"/>
              </w:rPr>
            </w:pPr>
            <w:r>
              <w:rPr>
                <w:rFonts w:hint="eastAsia" w:ascii="宋体" w:hAnsi="宋体" w:cs="宋体"/>
                <w:szCs w:val="21"/>
              </w:rPr>
              <w:t>（1）施工机械设备情况（满分10分）</w:t>
            </w:r>
          </w:p>
        </w:tc>
        <w:tc>
          <w:tcPr>
            <w:tcW w:w="5935" w:type="dxa"/>
            <w:vAlign w:val="center"/>
          </w:tcPr>
          <w:p w14:paraId="5FCD9A98">
            <w:pPr>
              <w:spacing w:line="360" w:lineRule="auto"/>
              <w:rPr>
                <w:rFonts w:hint="eastAsia" w:ascii="宋体" w:hAnsi="宋体" w:cs="宋体"/>
                <w:szCs w:val="21"/>
              </w:rPr>
            </w:pPr>
            <w:r>
              <w:rPr>
                <w:rFonts w:hint="eastAsia" w:ascii="宋体" w:hAnsi="宋体" w:cs="宋体"/>
                <w:szCs w:val="21"/>
              </w:rPr>
              <w:t>由磋商小组在打分前根据供应商提供的拟投入施工机械设备情况，在相应档次内独立打分。</w:t>
            </w:r>
          </w:p>
          <w:p w14:paraId="6DB0B047">
            <w:pPr>
              <w:spacing w:line="360" w:lineRule="auto"/>
              <w:rPr>
                <w:rFonts w:hint="eastAsia" w:ascii="宋体" w:hAnsi="宋体" w:cs="宋体"/>
                <w:szCs w:val="21"/>
              </w:rPr>
            </w:pPr>
            <w:r>
              <w:rPr>
                <w:rFonts w:hint="eastAsia" w:ascii="宋体" w:hAnsi="宋体" w:cs="宋体"/>
                <w:szCs w:val="21"/>
              </w:rPr>
              <w:t>一档（0分）：投入的施工机械、设备、机具组织计划差，投入计划与进度计划不呼应，不能满足施工需要。</w:t>
            </w:r>
          </w:p>
          <w:p w14:paraId="2E6785AF">
            <w:pPr>
              <w:spacing w:line="360" w:lineRule="auto"/>
              <w:rPr>
                <w:rFonts w:hint="eastAsia" w:ascii="宋体" w:hAnsi="宋体" w:cs="宋体"/>
                <w:szCs w:val="21"/>
              </w:rPr>
            </w:pPr>
            <w:r>
              <w:rPr>
                <w:rFonts w:hint="eastAsia" w:ascii="宋体" w:hAnsi="宋体" w:cs="宋体"/>
                <w:szCs w:val="21"/>
              </w:rPr>
              <w:t>二档（3分）：投入的施工机械、设备、机具有组织计划，设备数量、选型配置、进场投入计划与进度计划呼应，基本满足施工需要。</w:t>
            </w:r>
          </w:p>
          <w:p w14:paraId="54806802">
            <w:pPr>
              <w:spacing w:line="360" w:lineRule="auto"/>
              <w:rPr>
                <w:rFonts w:hint="eastAsia" w:ascii="宋体" w:hAnsi="宋体" w:cs="宋体"/>
                <w:szCs w:val="21"/>
              </w:rPr>
            </w:pPr>
            <w:r>
              <w:rPr>
                <w:rFonts w:hint="eastAsia" w:ascii="宋体" w:hAnsi="宋体" w:cs="宋体"/>
                <w:szCs w:val="21"/>
              </w:rPr>
              <w:t>三档（6分）：投入的施工机械、设备、机具有详细的组织计划，设备数量、选型配置、进场投入计划与进度计划呼应，满足施工需要。</w:t>
            </w:r>
          </w:p>
          <w:p w14:paraId="5D2301F8">
            <w:pPr>
              <w:spacing w:line="360" w:lineRule="auto"/>
              <w:jc w:val="left"/>
              <w:rPr>
                <w:rFonts w:hint="eastAsia" w:ascii="宋体" w:hAnsi="宋体" w:cs="宋体"/>
                <w:szCs w:val="21"/>
              </w:rPr>
            </w:pPr>
            <w:r>
              <w:rPr>
                <w:rFonts w:hint="eastAsia" w:ascii="宋体" w:hAnsi="宋体" w:cs="宋体"/>
                <w:szCs w:val="21"/>
              </w:rPr>
              <w:t>四档（10分）：投入的施工机械、设备、机具有详细的组织计划且计划周密，设备数量、选型配置、进场时间安排合理，满足施工需要。</w:t>
            </w:r>
          </w:p>
        </w:tc>
        <w:tc>
          <w:tcPr>
            <w:tcW w:w="807" w:type="dxa"/>
            <w:vAlign w:val="center"/>
          </w:tcPr>
          <w:p w14:paraId="230F80DB">
            <w:pPr>
              <w:spacing w:line="360" w:lineRule="auto"/>
              <w:jc w:val="center"/>
              <w:rPr>
                <w:rFonts w:hint="eastAsia" w:ascii="宋体" w:hAnsi="宋体" w:cs="宋体"/>
                <w:szCs w:val="21"/>
              </w:rPr>
            </w:pPr>
            <w:r>
              <w:rPr>
                <w:rFonts w:hint="eastAsia" w:ascii="宋体" w:hAnsi="宋体" w:cs="宋体"/>
                <w:szCs w:val="21"/>
              </w:rPr>
              <w:t>主观分</w:t>
            </w:r>
          </w:p>
        </w:tc>
      </w:tr>
      <w:tr w14:paraId="67B8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35F550F3">
            <w:pPr>
              <w:spacing w:line="360" w:lineRule="auto"/>
              <w:jc w:val="center"/>
              <w:rPr>
                <w:rFonts w:hint="eastAsia" w:ascii="宋体" w:hAnsi="宋体" w:cs="宋体"/>
                <w:szCs w:val="21"/>
              </w:rPr>
            </w:pPr>
          </w:p>
        </w:tc>
        <w:tc>
          <w:tcPr>
            <w:tcW w:w="958" w:type="dxa"/>
            <w:vMerge w:val="continue"/>
            <w:vAlign w:val="center"/>
          </w:tcPr>
          <w:p w14:paraId="1F2F4EA6">
            <w:pPr>
              <w:spacing w:line="360" w:lineRule="auto"/>
              <w:jc w:val="center"/>
              <w:rPr>
                <w:rFonts w:hint="eastAsia" w:ascii="宋体" w:hAnsi="宋体" w:cs="宋体"/>
                <w:szCs w:val="21"/>
              </w:rPr>
            </w:pPr>
          </w:p>
        </w:tc>
        <w:tc>
          <w:tcPr>
            <w:tcW w:w="1115" w:type="dxa"/>
            <w:vAlign w:val="center"/>
          </w:tcPr>
          <w:p w14:paraId="74E8FE02">
            <w:pPr>
              <w:widowControl/>
              <w:spacing w:line="360" w:lineRule="auto"/>
              <w:rPr>
                <w:rFonts w:hint="eastAsia" w:ascii="宋体" w:hAnsi="宋体" w:cs="宋体"/>
                <w:szCs w:val="21"/>
              </w:rPr>
            </w:pPr>
            <w:r>
              <w:rPr>
                <w:rFonts w:hint="eastAsia" w:ascii="宋体" w:hAnsi="宋体" w:cs="宋体"/>
                <w:szCs w:val="21"/>
              </w:rPr>
              <w:t>（2）劳动力安排计划（满分9分）</w:t>
            </w:r>
          </w:p>
        </w:tc>
        <w:tc>
          <w:tcPr>
            <w:tcW w:w="5935" w:type="dxa"/>
          </w:tcPr>
          <w:p w14:paraId="29658C69">
            <w:pPr>
              <w:spacing w:line="360" w:lineRule="auto"/>
              <w:rPr>
                <w:rFonts w:hint="eastAsia" w:ascii="宋体" w:hAnsi="宋体" w:cs="宋体"/>
                <w:szCs w:val="21"/>
              </w:rPr>
            </w:pPr>
            <w:r>
              <w:rPr>
                <w:rFonts w:hint="eastAsia" w:ascii="宋体" w:hAnsi="宋体" w:cs="宋体"/>
                <w:szCs w:val="21"/>
              </w:rPr>
              <w:t>磋商小组在打分前根据供应商提供的劳动力安排计划，在相应档次内独立打分。</w:t>
            </w:r>
          </w:p>
          <w:p w14:paraId="37C87163">
            <w:pPr>
              <w:spacing w:line="360" w:lineRule="auto"/>
              <w:rPr>
                <w:rFonts w:hint="eastAsia" w:ascii="宋体" w:hAnsi="宋体" w:cs="宋体"/>
                <w:szCs w:val="21"/>
              </w:rPr>
            </w:pPr>
            <w:r>
              <w:rPr>
                <w:rFonts w:hint="eastAsia" w:ascii="宋体" w:hAnsi="宋体" w:cs="宋体"/>
                <w:szCs w:val="21"/>
              </w:rPr>
              <w:t>一档（0分）：各主要施工工序劳动力安排计划不全，无各工种劳动力安排计划或计划不全，劳动力投入不合理，不能满足施工需要。</w:t>
            </w:r>
          </w:p>
          <w:p w14:paraId="1FB2A341">
            <w:pPr>
              <w:spacing w:line="360" w:lineRule="auto"/>
              <w:rPr>
                <w:rFonts w:hint="eastAsia" w:ascii="宋体" w:hAnsi="宋体" w:cs="宋体"/>
                <w:szCs w:val="21"/>
              </w:rPr>
            </w:pPr>
            <w:r>
              <w:rPr>
                <w:rFonts w:hint="eastAsia" w:ascii="宋体" w:hAnsi="宋体" w:cs="宋体"/>
                <w:szCs w:val="21"/>
              </w:rPr>
              <w:t>二档（3分）：各主要施工工序应有劳动力安排计划，有各工种劳动力安排计划，劳动力投入基本合理，基本满足施工需要。</w:t>
            </w:r>
          </w:p>
          <w:p w14:paraId="232DC89C">
            <w:pPr>
              <w:spacing w:line="360" w:lineRule="auto"/>
              <w:rPr>
                <w:rFonts w:hint="eastAsia" w:ascii="宋体" w:hAnsi="宋体" w:cs="宋体"/>
                <w:szCs w:val="21"/>
              </w:rPr>
            </w:pPr>
            <w:r>
              <w:rPr>
                <w:rFonts w:hint="eastAsia" w:ascii="宋体" w:hAnsi="宋体" w:cs="宋体"/>
                <w:szCs w:val="21"/>
              </w:rPr>
              <w:t>三档（6分）：各主要施工工序有详细的劳动力安排计划，有各工种劳动力安排计划，劳动力投入合理，满足施工需要。</w:t>
            </w:r>
          </w:p>
          <w:p w14:paraId="2E75D3E7">
            <w:pPr>
              <w:spacing w:line="360" w:lineRule="auto"/>
              <w:rPr>
                <w:rFonts w:hint="eastAsia" w:ascii="宋体" w:hAnsi="宋体" w:cs="宋体"/>
                <w:szCs w:val="21"/>
              </w:rPr>
            </w:pPr>
            <w:r>
              <w:rPr>
                <w:rFonts w:hint="eastAsia" w:ascii="宋体" w:hAnsi="宋体" w:cs="宋体"/>
                <w:szCs w:val="21"/>
              </w:rPr>
              <w:t>四档（9分）：各主要施工工序有详细周密的劳动力安排计划，各工种劳动力安排计划齐全，劳动力投入与进度计划呼应合理，满足施工需要。</w:t>
            </w:r>
          </w:p>
        </w:tc>
        <w:tc>
          <w:tcPr>
            <w:tcW w:w="807" w:type="dxa"/>
            <w:vAlign w:val="center"/>
          </w:tcPr>
          <w:p w14:paraId="794F067A">
            <w:pPr>
              <w:spacing w:line="360" w:lineRule="auto"/>
              <w:jc w:val="center"/>
              <w:rPr>
                <w:rFonts w:hint="eastAsia" w:ascii="宋体" w:hAnsi="宋体" w:cs="宋体"/>
                <w:szCs w:val="21"/>
              </w:rPr>
            </w:pPr>
            <w:r>
              <w:rPr>
                <w:rFonts w:hint="eastAsia" w:ascii="宋体" w:hAnsi="宋体" w:cs="宋体"/>
                <w:szCs w:val="21"/>
              </w:rPr>
              <w:t>主观分</w:t>
            </w:r>
          </w:p>
        </w:tc>
      </w:tr>
      <w:tr w14:paraId="637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2A48E8C5">
            <w:pPr>
              <w:spacing w:line="360" w:lineRule="auto"/>
              <w:jc w:val="center"/>
              <w:rPr>
                <w:rFonts w:hint="eastAsia" w:ascii="宋体" w:hAnsi="宋体" w:cs="宋体"/>
                <w:szCs w:val="21"/>
              </w:rPr>
            </w:pPr>
          </w:p>
        </w:tc>
        <w:tc>
          <w:tcPr>
            <w:tcW w:w="958" w:type="dxa"/>
            <w:vMerge w:val="continue"/>
            <w:vAlign w:val="center"/>
          </w:tcPr>
          <w:p w14:paraId="4A16A36F">
            <w:pPr>
              <w:spacing w:line="360" w:lineRule="auto"/>
              <w:jc w:val="center"/>
              <w:rPr>
                <w:rFonts w:hint="eastAsia" w:ascii="宋体" w:hAnsi="宋体" w:cs="宋体"/>
                <w:szCs w:val="21"/>
              </w:rPr>
            </w:pPr>
          </w:p>
        </w:tc>
        <w:tc>
          <w:tcPr>
            <w:tcW w:w="1115" w:type="dxa"/>
            <w:vAlign w:val="center"/>
          </w:tcPr>
          <w:p w14:paraId="6188B94E">
            <w:pPr>
              <w:widowControl/>
              <w:spacing w:line="360" w:lineRule="auto"/>
              <w:rPr>
                <w:rFonts w:hint="eastAsia" w:ascii="宋体" w:hAnsi="宋体" w:cs="宋体"/>
                <w:szCs w:val="21"/>
              </w:rPr>
            </w:pPr>
            <w:r>
              <w:rPr>
                <w:rFonts w:hint="eastAsia" w:ascii="宋体" w:hAnsi="宋体" w:cs="宋体"/>
                <w:szCs w:val="21"/>
              </w:rPr>
              <w:t>（3）确保工程质量的技术组织措施（满分10分）</w:t>
            </w:r>
          </w:p>
        </w:tc>
        <w:tc>
          <w:tcPr>
            <w:tcW w:w="5935" w:type="dxa"/>
          </w:tcPr>
          <w:p w14:paraId="5539D953">
            <w:pPr>
              <w:spacing w:line="360" w:lineRule="auto"/>
              <w:rPr>
                <w:rFonts w:hint="eastAsia" w:ascii="宋体" w:hAnsi="宋体" w:cs="宋体"/>
                <w:szCs w:val="21"/>
              </w:rPr>
            </w:pPr>
            <w:r>
              <w:rPr>
                <w:rFonts w:hint="eastAsia" w:ascii="宋体" w:hAnsi="宋体" w:cs="宋体"/>
                <w:szCs w:val="21"/>
              </w:rPr>
              <w:t>磋商小组在打分前根据供应商提供的工程质量技术组织措施，在相应档次内独立打分。</w:t>
            </w:r>
          </w:p>
          <w:p w14:paraId="275325E3">
            <w:pPr>
              <w:spacing w:line="360" w:lineRule="auto"/>
              <w:rPr>
                <w:rFonts w:hint="eastAsia" w:ascii="宋体" w:hAnsi="宋体" w:cs="宋体"/>
                <w:szCs w:val="21"/>
              </w:rPr>
            </w:pPr>
            <w:r>
              <w:rPr>
                <w:rFonts w:hint="eastAsia" w:ascii="宋体" w:hAnsi="宋体" w:cs="宋体"/>
                <w:szCs w:val="21"/>
              </w:rPr>
              <w:t>一档（0分）：质量技术管理班子人员配备不合理，制度不健全。质量技术保证措施和手段不可行，没有质量违约责任承诺。</w:t>
            </w:r>
          </w:p>
          <w:p w14:paraId="3BE13C0C">
            <w:pPr>
              <w:spacing w:line="360" w:lineRule="auto"/>
              <w:rPr>
                <w:rFonts w:hint="eastAsia" w:ascii="宋体" w:hAnsi="宋体" w:cs="宋体"/>
                <w:szCs w:val="21"/>
              </w:rPr>
            </w:pPr>
            <w:r>
              <w:rPr>
                <w:rFonts w:hint="eastAsia" w:ascii="宋体" w:hAnsi="宋体" w:cs="宋体"/>
                <w:szCs w:val="21"/>
              </w:rPr>
              <w:t>二档（3分）：质量技术管理班子人员配备基本合理，制度基本健全。主要工序有质量技术保证措施和手段，能有效保证技术质量，满足磋商文件的质量要求。</w:t>
            </w:r>
          </w:p>
          <w:p w14:paraId="4AC9763F">
            <w:pPr>
              <w:spacing w:line="360" w:lineRule="auto"/>
              <w:rPr>
                <w:rFonts w:hint="eastAsia" w:ascii="宋体" w:hAnsi="宋体" w:cs="宋体"/>
                <w:szCs w:val="21"/>
              </w:rPr>
            </w:pPr>
            <w:r>
              <w:rPr>
                <w:rFonts w:hint="eastAsia" w:ascii="宋体" w:hAnsi="宋体" w:cs="宋体"/>
                <w:szCs w:val="21"/>
              </w:rPr>
              <w:t>三档（6分）：有专门的质量技术管理班子和制度，且人员配备合理，制度健全。主要工序有质量技术保证措施和手段，自控体系完整，能有效保证技术质量，达到承诺的质量标准。</w:t>
            </w:r>
          </w:p>
          <w:p w14:paraId="2DCA1938">
            <w:pPr>
              <w:spacing w:line="360" w:lineRule="auto"/>
              <w:rPr>
                <w:rFonts w:hint="eastAsia" w:ascii="宋体" w:hAnsi="宋体" w:cs="宋体"/>
                <w:szCs w:val="21"/>
              </w:rPr>
            </w:pPr>
            <w:r>
              <w:rPr>
                <w:rFonts w:hint="eastAsia" w:ascii="宋体" w:hAnsi="宋体" w:cs="宋体"/>
                <w:szCs w:val="21"/>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3D363403">
            <w:pPr>
              <w:spacing w:line="360" w:lineRule="auto"/>
              <w:jc w:val="center"/>
              <w:rPr>
                <w:rFonts w:hint="eastAsia" w:ascii="宋体" w:hAnsi="宋体" w:cs="宋体"/>
                <w:szCs w:val="21"/>
              </w:rPr>
            </w:pPr>
            <w:r>
              <w:rPr>
                <w:rFonts w:hint="eastAsia" w:ascii="宋体" w:hAnsi="宋体" w:cs="宋体"/>
                <w:szCs w:val="21"/>
              </w:rPr>
              <w:t>主观分</w:t>
            </w:r>
          </w:p>
        </w:tc>
      </w:tr>
      <w:tr w14:paraId="23F0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8A7D43">
            <w:pPr>
              <w:spacing w:line="360" w:lineRule="auto"/>
              <w:jc w:val="center"/>
              <w:rPr>
                <w:rFonts w:hint="eastAsia" w:ascii="宋体" w:hAnsi="宋体" w:cs="宋体"/>
                <w:szCs w:val="21"/>
              </w:rPr>
            </w:pPr>
          </w:p>
        </w:tc>
        <w:tc>
          <w:tcPr>
            <w:tcW w:w="958" w:type="dxa"/>
            <w:vMerge w:val="continue"/>
            <w:vAlign w:val="center"/>
          </w:tcPr>
          <w:p w14:paraId="60F43F2A">
            <w:pPr>
              <w:spacing w:line="360" w:lineRule="auto"/>
              <w:jc w:val="center"/>
              <w:rPr>
                <w:rFonts w:hint="eastAsia" w:ascii="宋体" w:hAnsi="宋体" w:cs="宋体"/>
                <w:szCs w:val="21"/>
              </w:rPr>
            </w:pPr>
          </w:p>
        </w:tc>
        <w:tc>
          <w:tcPr>
            <w:tcW w:w="1115" w:type="dxa"/>
            <w:vAlign w:val="center"/>
          </w:tcPr>
          <w:p w14:paraId="15282792">
            <w:pPr>
              <w:widowControl/>
              <w:spacing w:line="360" w:lineRule="auto"/>
              <w:rPr>
                <w:rFonts w:hint="eastAsia" w:ascii="宋体" w:hAnsi="宋体" w:cs="宋体"/>
                <w:szCs w:val="21"/>
              </w:rPr>
            </w:pPr>
            <w:r>
              <w:rPr>
                <w:rFonts w:hint="eastAsia" w:ascii="宋体" w:hAnsi="宋体" w:cs="宋体"/>
                <w:szCs w:val="21"/>
              </w:rPr>
              <w:t>（4）确保安全生产的技术组织措施（满分10分）</w:t>
            </w:r>
          </w:p>
        </w:tc>
        <w:tc>
          <w:tcPr>
            <w:tcW w:w="5935" w:type="dxa"/>
          </w:tcPr>
          <w:p w14:paraId="4082C270">
            <w:pPr>
              <w:spacing w:line="360" w:lineRule="auto"/>
              <w:rPr>
                <w:rFonts w:hint="eastAsia" w:ascii="宋体" w:hAnsi="宋体" w:cs="宋体"/>
                <w:szCs w:val="21"/>
              </w:rPr>
            </w:pPr>
            <w:r>
              <w:rPr>
                <w:rFonts w:hint="eastAsia" w:ascii="宋体" w:hAnsi="宋体" w:cs="宋体"/>
                <w:szCs w:val="21"/>
              </w:rPr>
              <w:t>磋商小组在打分前根据供应商提供的安全生产技术组织措施，在相应档次内独立打分。</w:t>
            </w:r>
          </w:p>
          <w:p w14:paraId="736A1794">
            <w:pPr>
              <w:spacing w:line="360" w:lineRule="auto"/>
              <w:rPr>
                <w:rFonts w:hint="eastAsia" w:ascii="宋体" w:hAnsi="宋体" w:cs="宋体"/>
                <w:szCs w:val="21"/>
              </w:rPr>
            </w:pPr>
            <w:r>
              <w:rPr>
                <w:rFonts w:hint="eastAsia" w:ascii="宋体" w:hAnsi="宋体" w:cs="宋体"/>
                <w:szCs w:val="21"/>
              </w:rPr>
              <w:t>一档（0分）：有配备满足项目要求的专职安全员，人员配备不合理，安全管理制度不健全，各道工序安全技术措施基本符合实际，不能满足有关安全技术标准要求。现场防火、应急救援、社会治安安全措施不合理。</w:t>
            </w:r>
          </w:p>
          <w:p w14:paraId="48178140">
            <w:pPr>
              <w:spacing w:line="360" w:lineRule="auto"/>
              <w:rPr>
                <w:rFonts w:hint="eastAsia" w:ascii="宋体" w:hAnsi="宋体" w:cs="宋体"/>
                <w:szCs w:val="21"/>
              </w:rPr>
            </w:pPr>
            <w:r>
              <w:rPr>
                <w:rFonts w:hint="eastAsia" w:ascii="宋体" w:hAnsi="宋体" w:cs="宋体"/>
                <w:szCs w:val="21"/>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48C65116">
            <w:pPr>
              <w:spacing w:line="360" w:lineRule="auto"/>
              <w:rPr>
                <w:rFonts w:hint="eastAsia" w:ascii="宋体" w:hAnsi="宋体" w:cs="宋体"/>
                <w:szCs w:val="21"/>
              </w:rPr>
            </w:pPr>
            <w:r>
              <w:rPr>
                <w:rFonts w:hint="eastAsia" w:ascii="宋体" w:hAnsi="宋体" w:cs="宋体"/>
                <w:szCs w:val="21"/>
              </w:rPr>
              <w:t>三档（6分）：有配备满足项目要求的专职安全员，人员配备合理，有健全的安全管理制度，各道工序安全技术措施符合实际且满足有关安全技术标准要求。现场防火、应急救援、社会治安安全措施合理。</w:t>
            </w:r>
          </w:p>
          <w:p w14:paraId="7B2194DA">
            <w:pPr>
              <w:spacing w:line="360" w:lineRule="auto"/>
              <w:rPr>
                <w:rFonts w:hint="eastAsia" w:ascii="宋体" w:hAnsi="宋体" w:cs="宋体"/>
                <w:szCs w:val="21"/>
              </w:rPr>
            </w:pPr>
            <w:r>
              <w:rPr>
                <w:rFonts w:hint="eastAsia" w:ascii="宋体" w:hAnsi="宋体" w:cs="宋体"/>
                <w:szCs w:val="21"/>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5258638F">
            <w:pPr>
              <w:spacing w:line="360" w:lineRule="auto"/>
              <w:jc w:val="center"/>
              <w:rPr>
                <w:rFonts w:hint="eastAsia" w:ascii="宋体" w:hAnsi="宋体" w:cs="宋体"/>
                <w:szCs w:val="21"/>
              </w:rPr>
            </w:pPr>
            <w:r>
              <w:rPr>
                <w:rFonts w:hint="eastAsia" w:ascii="宋体" w:hAnsi="宋体" w:cs="宋体"/>
                <w:szCs w:val="21"/>
              </w:rPr>
              <w:t>主观分</w:t>
            </w:r>
          </w:p>
        </w:tc>
      </w:tr>
      <w:tr w14:paraId="5EF0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5329D71B">
            <w:pPr>
              <w:spacing w:line="360" w:lineRule="auto"/>
              <w:jc w:val="center"/>
              <w:rPr>
                <w:rFonts w:hint="eastAsia" w:ascii="宋体" w:hAnsi="宋体" w:cs="宋体"/>
                <w:szCs w:val="21"/>
              </w:rPr>
            </w:pPr>
          </w:p>
        </w:tc>
        <w:tc>
          <w:tcPr>
            <w:tcW w:w="958" w:type="dxa"/>
            <w:vMerge w:val="continue"/>
            <w:vAlign w:val="center"/>
          </w:tcPr>
          <w:p w14:paraId="072E0273">
            <w:pPr>
              <w:spacing w:line="360" w:lineRule="auto"/>
              <w:jc w:val="center"/>
              <w:rPr>
                <w:rFonts w:hint="eastAsia" w:ascii="宋体" w:hAnsi="宋体" w:cs="宋体"/>
                <w:szCs w:val="21"/>
              </w:rPr>
            </w:pPr>
          </w:p>
        </w:tc>
        <w:tc>
          <w:tcPr>
            <w:tcW w:w="1115" w:type="dxa"/>
            <w:vAlign w:val="center"/>
          </w:tcPr>
          <w:p w14:paraId="0B20AEE0">
            <w:pPr>
              <w:widowControl/>
              <w:spacing w:line="360" w:lineRule="auto"/>
              <w:rPr>
                <w:rFonts w:hint="eastAsia" w:ascii="宋体" w:hAnsi="宋体" w:cs="宋体"/>
                <w:kern w:val="0"/>
                <w:szCs w:val="21"/>
              </w:rPr>
            </w:pPr>
            <w:r>
              <w:rPr>
                <w:rFonts w:hint="eastAsia" w:ascii="宋体" w:hAnsi="宋体" w:cs="宋体"/>
                <w:kern w:val="0"/>
                <w:szCs w:val="21"/>
              </w:rPr>
              <w:t>（5）确保工期的技术组织措施（满分10分）</w:t>
            </w:r>
          </w:p>
        </w:tc>
        <w:tc>
          <w:tcPr>
            <w:tcW w:w="5935" w:type="dxa"/>
          </w:tcPr>
          <w:p w14:paraId="7FE18A95">
            <w:pPr>
              <w:spacing w:line="360" w:lineRule="auto"/>
              <w:rPr>
                <w:rFonts w:hint="eastAsia" w:ascii="宋体" w:hAnsi="宋体" w:cs="宋体"/>
                <w:szCs w:val="21"/>
              </w:rPr>
            </w:pPr>
            <w:r>
              <w:rPr>
                <w:rFonts w:hint="eastAsia" w:ascii="宋体" w:hAnsi="宋体" w:cs="宋体"/>
                <w:szCs w:val="21"/>
              </w:rPr>
              <w:t>磋商小组在打分前根据供应商提供的工期技术组织措施，在相应档次内独立打分。</w:t>
            </w:r>
          </w:p>
          <w:p w14:paraId="0A8E73B6">
            <w:pPr>
              <w:spacing w:line="360" w:lineRule="auto"/>
              <w:rPr>
                <w:rFonts w:hint="eastAsia" w:ascii="宋体" w:hAnsi="宋体" w:cs="宋体"/>
                <w:szCs w:val="21"/>
              </w:rPr>
            </w:pPr>
            <w:r>
              <w:rPr>
                <w:rFonts w:hint="eastAsia" w:ascii="宋体" w:hAnsi="宋体" w:cs="宋体"/>
                <w:szCs w:val="21"/>
              </w:rPr>
              <w:t>一档（0分）：有保证工期的具体措施。各项计划图表编制不完善，安排不合理，不能满足本项目施工实际要求。</w:t>
            </w:r>
          </w:p>
          <w:p w14:paraId="15F9D114">
            <w:pPr>
              <w:spacing w:line="360" w:lineRule="auto"/>
              <w:rPr>
                <w:rFonts w:hint="eastAsia" w:ascii="宋体" w:hAnsi="宋体" w:cs="宋体"/>
                <w:szCs w:val="21"/>
              </w:rPr>
            </w:pPr>
            <w:r>
              <w:rPr>
                <w:rFonts w:hint="eastAsia" w:ascii="宋体" w:hAnsi="宋体" w:cs="宋体"/>
                <w:szCs w:val="21"/>
              </w:rPr>
              <w:t>二档（3分）：有保证工期的具体措施，措施基本得当。各项计划图表编制基本齐全，安排基本合理，基本符合本项目施工实际要求。</w:t>
            </w:r>
          </w:p>
          <w:p w14:paraId="2BD6BC71">
            <w:pPr>
              <w:spacing w:line="360" w:lineRule="auto"/>
              <w:rPr>
                <w:rFonts w:hint="eastAsia" w:ascii="宋体" w:hAnsi="宋体" w:cs="宋体"/>
                <w:szCs w:val="21"/>
              </w:rPr>
            </w:pPr>
            <w:r>
              <w:rPr>
                <w:rFonts w:hint="eastAsia" w:ascii="宋体" w:hAnsi="宋体" w:cs="宋体"/>
                <w:szCs w:val="21"/>
              </w:rPr>
              <w:t>三档（6分）：有保证工期的具体措施且措施得当。各项计划图表编制完善，安排较合理，符合本项目施工实际要求。</w:t>
            </w:r>
          </w:p>
          <w:p w14:paraId="6807FC29">
            <w:pPr>
              <w:spacing w:line="360" w:lineRule="auto"/>
              <w:rPr>
                <w:rFonts w:hint="eastAsia" w:ascii="宋体" w:hAnsi="宋体" w:cs="宋体"/>
                <w:szCs w:val="21"/>
              </w:rPr>
            </w:pPr>
            <w:r>
              <w:rPr>
                <w:rFonts w:hint="eastAsia" w:ascii="宋体" w:hAnsi="宋体" w:cs="宋体"/>
                <w:szCs w:val="21"/>
              </w:rPr>
              <w:t>四档（10分）：有保证工期的具体措施且措施得力。各项计划图表编制详尽周密，安排科学合理，符合本项目施工实际要求。</w:t>
            </w:r>
          </w:p>
        </w:tc>
        <w:tc>
          <w:tcPr>
            <w:tcW w:w="807" w:type="dxa"/>
            <w:vAlign w:val="center"/>
          </w:tcPr>
          <w:p w14:paraId="1561AB2E">
            <w:pPr>
              <w:spacing w:line="360" w:lineRule="auto"/>
              <w:jc w:val="center"/>
              <w:rPr>
                <w:rFonts w:hint="eastAsia" w:ascii="宋体" w:hAnsi="宋体" w:cs="宋体"/>
                <w:szCs w:val="21"/>
              </w:rPr>
            </w:pPr>
            <w:r>
              <w:rPr>
                <w:rFonts w:hint="eastAsia" w:ascii="宋体" w:hAnsi="宋体" w:cs="宋体"/>
                <w:szCs w:val="21"/>
              </w:rPr>
              <w:t>主观分</w:t>
            </w:r>
          </w:p>
        </w:tc>
      </w:tr>
      <w:tr w14:paraId="2CAE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56346124">
            <w:pPr>
              <w:spacing w:line="360" w:lineRule="auto"/>
              <w:jc w:val="center"/>
              <w:rPr>
                <w:rFonts w:hint="eastAsia" w:ascii="宋体" w:hAnsi="宋体" w:cs="宋体"/>
                <w:szCs w:val="21"/>
              </w:rPr>
            </w:pPr>
          </w:p>
        </w:tc>
        <w:tc>
          <w:tcPr>
            <w:tcW w:w="958" w:type="dxa"/>
            <w:vMerge w:val="continue"/>
            <w:vAlign w:val="center"/>
          </w:tcPr>
          <w:p w14:paraId="327F7912">
            <w:pPr>
              <w:spacing w:line="360" w:lineRule="auto"/>
              <w:jc w:val="center"/>
              <w:rPr>
                <w:rFonts w:hint="eastAsia" w:ascii="宋体" w:hAnsi="宋体" w:cs="宋体"/>
                <w:szCs w:val="21"/>
              </w:rPr>
            </w:pPr>
          </w:p>
        </w:tc>
        <w:tc>
          <w:tcPr>
            <w:tcW w:w="1115" w:type="dxa"/>
            <w:vAlign w:val="center"/>
          </w:tcPr>
          <w:p w14:paraId="5F547CF5">
            <w:pPr>
              <w:widowControl/>
              <w:spacing w:line="360" w:lineRule="auto"/>
              <w:rPr>
                <w:rFonts w:hint="eastAsia" w:ascii="宋体" w:hAnsi="宋体" w:cs="宋体"/>
                <w:szCs w:val="21"/>
              </w:rPr>
            </w:pPr>
            <w:r>
              <w:rPr>
                <w:rFonts w:hint="eastAsia" w:ascii="宋体" w:hAnsi="宋体" w:cs="宋体"/>
                <w:szCs w:val="21"/>
              </w:rPr>
              <w:t>（6）确保文明施工的技术组织措施（满分10分）</w:t>
            </w:r>
          </w:p>
        </w:tc>
        <w:tc>
          <w:tcPr>
            <w:tcW w:w="5935" w:type="dxa"/>
          </w:tcPr>
          <w:p w14:paraId="474A9F8A">
            <w:pPr>
              <w:spacing w:line="360" w:lineRule="auto"/>
              <w:rPr>
                <w:rFonts w:hint="eastAsia" w:ascii="宋体" w:hAnsi="宋体" w:cs="宋体"/>
                <w:szCs w:val="21"/>
              </w:rPr>
            </w:pPr>
            <w:r>
              <w:rPr>
                <w:rFonts w:hint="eastAsia" w:ascii="宋体" w:hAnsi="宋体" w:cs="宋体"/>
                <w:szCs w:val="21"/>
              </w:rPr>
              <w:t>磋商小组在打分前根据供应商提供的文明施工技术组织措施，在相应档次内独立打分。</w:t>
            </w:r>
          </w:p>
          <w:p w14:paraId="14D7577D">
            <w:pPr>
              <w:spacing w:line="360" w:lineRule="auto"/>
              <w:rPr>
                <w:rFonts w:hint="eastAsia" w:ascii="宋体" w:hAnsi="宋体" w:cs="宋体"/>
                <w:szCs w:val="21"/>
              </w:rPr>
            </w:pPr>
            <w:r>
              <w:rPr>
                <w:rFonts w:hint="eastAsia" w:ascii="宋体" w:hAnsi="宋体" w:cs="宋体"/>
                <w:szCs w:val="21"/>
              </w:rPr>
              <w:t>一档（0分）：现场文明施工、环境保护措施和内容与相关施工安全生产标准或文明施工要求的的要求偏差大，无现场文明施工目标的承诺。</w:t>
            </w:r>
          </w:p>
          <w:p w14:paraId="24440E89">
            <w:pPr>
              <w:spacing w:line="360" w:lineRule="auto"/>
              <w:rPr>
                <w:rFonts w:hint="eastAsia" w:ascii="宋体" w:hAnsi="宋体" w:cs="宋体"/>
                <w:szCs w:val="21"/>
              </w:rPr>
            </w:pPr>
            <w:r>
              <w:rPr>
                <w:rFonts w:hint="eastAsia" w:ascii="宋体" w:hAnsi="宋体" w:cs="宋体"/>
                <w:szCs w:val="21"/>
              </w:rPr>
              <w:t>二档（3分）：现场文明施工、环境保护措施和内容基本达到相关施工安全生产标准或文明施工要求的；有具体现场文明施工目标的承诺。</w:t>
            </w:r>
          </w:p>
          <w:p w14:paraId="61EE531E">
            <w:pPr>
              <w:spacing w:line="360" w:lineRule="auto"/>
              <w:rPr>
                <w:rFonts w:hint="eastAsia" w:ascii="宋体" w:hAnsi="宋体" w:cs="宋体"/>
                <w:szCs w:val="21"/>
              </w:rPr>
            </w:pPr>
            <w:r>
              <w:rPr>
                <w:rFonts w:hint="eastAsia" w:ascii="宋体" w:hAnsi="宋体" w:cs="宋体"/>
                <w:szCs w:val="21"/>
              </w:rPr>
              <w:t>三档（6分）：现场文明施工、环境保护措施和内容达到相关施工安全生产标准或文明施工要求的；承诺创建市级文明工地和标准化工地，而且各项措施周全、具体、有效的。</w:t>
            </w:r>
          </w:p>
          <w:p w14:paraId="0EF78C54">
            <w:pPr>
              <w:spacing w:line="360" w:lineRule="auto"/>
              <w:rPr>
                <w:rFonts w:hint="eastAsia" w:ascii="宋体" w:hAnsi="宋体" w:cs="宋体"/>
                <w:szCs w:val="21"/>
              </w:rPr>
            </w:pPr>
            <w:r>
              <w:rPr>
                <w:rFonts w:hint="eastAsia" w:ascii="宋体" w:hAnsi="宋体" w:cs="宋体"/>
                <w:szCs w:val="21"/>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49CF319B">
            <w:pPr>
              <w:spacing w:line="360" w:lineRule="auto"/>
              <w:jc w:val="center"/>
              <w:rPr>
                <w:rFonts w:hint="eastAsia" w:ascii="宋体" w:hAnsi="宋体" w:cs="宋体"/>
                <w:szCs w:val="21"/>
              </w:rPr>
            </w:pPr>
            <w:r>
              <w:rPr>
                <w:rFonts w:hint="eastAsia" w:ascii="宋体" w:hAnsi="宋体" w:cs="宋体"/>
                <w:szCs w:val="21"/>
              </w:rPr>
              <w:t>主观分</w:t>
            </w:r>
          </w:p>
        </w:tc>
      </w:tr>
      <w:tr w14:paraId="4D2D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4BAA045B">
            <w:pPr>
              <w:spacing w:line="360" w:lineRule="auto"/>
              <w:jc w:val="center"/>
              <w:rPr>
                <w:rFonts w:hint="eastAsia" w:ascii="宋体" w:hAnsi="宋体" w:cs="宋体"/>
                <w:szCs w:val="21"/>
              </w:rPr>
            </w:pPr>
          </w:p>
        </w:tc>
        <w:tc>
          <w:tcPr>
            <w:tcW w:w="958" w:type="dxa"/>
            <w:vMerge w:val="continue"/>
            <w:vAlign w:val="center"/>
          </w:tcPr>
          <w:p w14:paraId="5475F8FD">
            <w:pPr>
              <w:spacing w:line="360" w:lineRule="auto"/>
              <w:jc w:val="center"/>
              <w:rPr>
                <w:rFonts w:hint="eastAsia" w:ascii="宋体" w:hAnsi="宋体" w:cs="宋体"/>
                <w:szCs w:val="21"/>
              </w:rPr>
            </w:pPr>
          </w:p>
        </w:tc>
        <w:tc>
          <w:tcPr>
            <w:tcW w:w="1115" w:type="dxa"/>
            <w:vAlign w:val="center"/>
          </w:tcPr>
          <w:p w14:paraId="4CDDEB42">
            <w:pPr>
              <w:widowControl/>
              <w:spacing w:line="360" w:lineRule="auto"/>
              <w:rPr>
                <w:rFonts w:hint="eastAsia" w:ascii="宋体" w:hAnsi="宋体" w:cs="宋体"/>
                <w:szCs w:val="21"/>
              </w:rPr>
            </w:pPr>
            <w:r>
              <w:rPr>
                <w:rFonts w:hint="eastAsia" w:ascii="宋体" w:hAnsi="宋体" w:cs="宋体"/>
                <w:szCs w:val="21"/>
              </w:rPr>
              <w:t>（7）工程施工的重点和难点及保证措施（满分10分）</w:t>
            </w:r>
          </w:p>
        </w:tc>
        <w:tc>
          <w:tcPr>
            <w:tcW w:w="5935" w:type="dxa"/>
          </w:tcPr>
          <w:p w14:paraId="78972BA6">
            <w:pPr>
              <w:spacing w:line="360" w:lineRule="auto"/>
              <w:rPr>
                <w:rFonts w:hint="eastAsia" w:ascii="宋体" w:hAnsi="宋体" w:cs="宋体"/>
                <w:szCs w:val="21"/>
              </w:rPr>
            </w:pPr>
            <w:r>
              <w:rPr>
                <w:rFonts w:hint="eastAsia" w:ascii="宋体" w:hAnsi="宋体" w:cs="宋体"/>
                <w:szCs w:val="21"/>
              </w:rPr>
              <w:t>磋商小组在打分前根据供应商提供的工程施工重点和难点及保证措施，在相应档次内独立打分。</w:t>
            </w:r>
          </w:p>
          <w:p w14:paraId="5A7275FD">
            <w:pPr>
              <w:spacing w:line="360" w:lineRule="auto"/>
              <w:rPr>
                <w:rFonts w:hint="eastAsia" w:ascii="宋体" w:hAnsi="宋体" w:cs="宋体"/>
                <w:szCs w:val="21"/>
              </w:rPr>
            </w:pPr>
            <w:r>
              <w:rPr>
                <w:rFonts w:hint="eastAsia" w:ascii="宋体" w:hAnsi="宋体" w:cs="宋体"/>
                <w:szCs w:val="21"/>
              </w:rPr>
              <w:t>一档（0分）：未针对该项目的难点、重点进行分析，未考虑各部分施工如何相互交叉和衔接，施工质量效果和设计效果的无法统一。</w:t>
            </w:r>
          </w:p>
          <w:p w14:paraId="74256052">
            <w:pPr>
              <w:spacing w:line="360" w:lineRule="auto"/>
              <w:rPr>
                <w:rFonts w:hint="eastAsia" w:ascii="宋体" w:hAnsi="宋体" w:cs="宋体"/>
                <w:szCs w:val="21"/>
              </w:rPr>
            </w:pPr>
            <w:r>
              <w:rPr>
                <w:rFonts w:hint="eastAsia" w:ascii="宋体" w:hAnsi="宋体" w:cs="宋体"/>
                <w:szCs w:val="21"/>
              </w:rPr>
              <w:t>二档（3分）：针对该项目的难点、重点分析不具体，各部分施工如何相互交叉和衔接不合理，施工质量效果和设计效果有较大差距。</w:t>
            </w:r>
          </w:p>
          <w:p w14:paraId="58ED1BD4">
            <w:pPr>
              <w:spacing w:line="360" w:lineRule="auto"/>
              <w:rPr>
                <w:rFonts w:hint="eastAsia" w:ascii="宋体" w:hAnsi="宋体" w:cs="宋体"/>
                <w:szCs w:val="21"/>
              </w:rPr>
            </w:pPr>
            <w:r>
              <w:rPr>
                <w:rFonts w:hint="eastAsia" w:ascii="宋体" w:hAnsi="宋体" w:cs="宋体"/>
                <w:szCs w:val="21"/>
              </w:rPr>
              <w:t>三档（6分）：针对该项目的难点、重点分析简单，未重点考虑各部分施工如何相互交叉和衔接，施工质量效果基本达到设计效果。</w:t>
            </w:r>
          </w:p>
          <w:p w14:paraId="1B517F8A">
            <w:pPr>
              <w:spacing w:line="360" w:lineRule="auto"/>
              <w:rPr>
                <w:rFonts w:hint="eastAsia" w:ascii="宋体" w:hAnsi="宋体" w:cs="宋体"/>
                <w:szCs w:val="21"/>
              </w:rPr>
            </w:pPr>
            <w:r>
              <w:rPr>
                <w:rFonts w:hint="eastAsia" w:ascii="宋体" w:hAnsi="宋体" w:cs="宋体"/>
                <w:szCs w:val="21"/>
              </w:rPr>
              <w:t>四档（10分）：针对该项目的难点、重点详细分析，重点考虑各部分施工如何相互交叉和衔接，以保证施工质量效果和设计效果的完美统一。</w:t>
            </w:r>
          </w:p>
        </w:tc>
        <w:tc>
          <w:tcPr>
            <w:tcW w:w="807" w:type="dxa"/>
            <w:vAlign w:val="center"/>
          </w:tcPr>
          <w:p w14:paraId="20969DB6">
            <w:pPr>
              <w:spacing w:line="360" w:lineRule="auto"/>
              <w:jc w:val="center"/>
              <w:rPr>
                <w:rFonts w:hint="eastAsia" w:ascii="宋体" w:hAnsi="宋体" w:cs="宋体"/>
                <w:szCs w:val="21"/>
              </w:rPr>
            </w:pPr>
            <w:r>
              <w:rPr>
                <w:rFonts w:hint="eastAsia" w:ascii="宋体" w:hAnsi="宋体" w:cs="宋体"/>
                <w:szCs w:val="21"/>
              </w:rPr>
              <w:t>主观分</w:t>
            </w:r>
          </w:p>
        </w:tc>
      </w:tr>
      <w:tr w14:paraId="205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567268BB">
            <w:pPr>
              <w:spacing w:line="360" w:lineRule="auto"/>
              <w:jc w:val="center"/>
              <w:rPr>
                <w:rFonts w:hint="eastAsia" w:ascii="宋体" w:hAnsi="宋体" w:cs="宋体"/>
                <w:szCs w:val="21"/>
              </w:rPr>
            </w:pPr>
          </w:p>
        </w:tc>
        <w:tc>
          <w:tcPr>
            <w:tcW w:w="958" w:type="dxa"/>
            <w:vMerge w:val="continue"/>
            <w:vAlign w:val="center"/>
          </w:tcPr>
          <w:p w14:paraId="7E28A692">
            <w:pPr>
              <w:spacing w:line="360" w:lineRule="auto"/>
              <w:jc w:val="center"/>
              <w:rPr>
                <w:rFonts w:hint="eastAsia" w:ascii="宋体" w:hAnsi="宋体" w:cs="宋体"/>
                <w:szCs w:val="21"/>
              </w:rPr>
            </w:pPr>
          </w:p>
        </w:tc>
        <w:tc>
          <w:tcPr>
            <w:tcW w:w="1115" w:type="dxa"/>
            <w:vAlign w:val="center"/>
          </w:tcPr>
          <w:p w14:paraId="788B2AAB">
            <w:pPr>
              <w:widowControl/>
              <w:spacing w:line="360" w:lineRule="auto"/>
              <w:rPr>
                <w:rFonts w:hint="eastAsia" w:ascii="宋体" w:hAnsi="宋体" w:cs="宋体"/>
                <w:szCs w:val="21"/>
              </w:rPr>
            </w:pPr>
            <w:r>
              <w:rPr>
                <w:rFonts w:hint="eastAsia" w:ascii="宋体" w:hAnsi="宋体" w:cs="宋体"/>
                <w:szCs w:val="21"/>
              </w:rPr>
              <w:t>（8）施工总平面布置图（满分5分）</w:t>
            </w:r>
          </w:p>
        </w:tc>
        <w:tc>
          <w:tcPr>
            <w:tcW w:w="5935" w:type="dxa"/>
          </w:tcPr>
          <w:p w14:paraId="0DF0D73D">
            <w:pPr>
              <w:spacing w:line="360" w:lineRule="auto"/>
              <w:rPr>
                <w:rFonts w:hint="eastAsia" w:ascii="宋体" w:hAnsi="宋体" w:cs="宋体"/>
                <w:szCs w:val="21"/>
              </w:rPr>
            </w:pPr>
            <w:r>
              <w:rPr>
                <w:rFonts w:hint="eastAsia" w:ascii="宋体" w:hAnsi="宋体" w:cs="宋体"/>
                <w:szCs w:val="21"/>
              </w:rPr>
              <w:t>磋商小组在打分前根据供应商提供的本工程施工总平面布置图，在相应档次内独立打分。</w:t>
            </w:r>
          </w:p>
          <w:p w14:paraId="6B7DEF09">
            <w:pPr>
              <w:spacing w:line="360" w:lineRule="auto"/>
              <w:rPr>
                <w:rFonts w:hint="eastAsia" w:ascii="宋体" w:hAnsi="宋体" w:cs="宋体"/>
                <w:szCs w:val="21"/>
              </w:rPr>
            </w:pPr>
            <w:r>
              <w:rPr>
                <w:rFonts w:hint="eastAsia" w:ascii="宋体" w:hAnsi="宋体" w:cs="宋体"/>
                <w:szCs w:val="21"/>
              </w:rPr>
              <w:t>一档（0分）：总体布置不合理，不符合安全、文明生产要求。</w:t>
            </w:r>
          </w:p>
          <w:p w14:paraId="59482F18">
            <w:pPr>
              <w:spacing w:line="360" w:lineRule="auto"/>
              <w:rPr>
                <w:rFonts w:hint="eastAsia" w:ascii="宋体" w:hAnsi="宋体" w:cs="宋体"/>
                <w:szCs w:val="21"/>
              </w:rPr>
            </w:pPr>
            <w:r>
              <w:rPr>
                <w:rFonts w:hint="eastAsia" w:ascii="宋体" w:hAnsi="宋体" w:cs="宋体"/>
                <w:szCs w:val="21"/>
              </w:rPr>
              <w:t>二档（1分）：总体布置基本合理，基本满足施工需要。</w:t>
            </w:r>
          </w:p>
          <w:p w14:paraId="41438B41">
            <w:pPr>
              <w:spacing w:line="360" w:lineRule="auto"/>
              <w:rPr>
                <w:rFonts w:hint="eastAsia" w:ascii="宋体" w:hAnsi="宋体" w:cs="宋体"/>
                <w:szCs w:val="21"/>
              </w:rPr>
            </w:pPr>
            <w:r>
              <w:rPr>
                <w:rFonts w:hint="eastAsia" w:ascii="宋体" w:hAnsi="宋体" w:cs="宋体"/>
                <w:szCs w:val="21"/>
              </w:rPr>
              <w:t>三档（3分）：总体布置合理，能满足施工需要，基本符合安全、文明生产要求。</w:t>
            </w:r>
          </w:p>
          <w:p w14:paraId="574206CB">
            <w:pPr>
              <w:spacing w:line="360" w:lineRule="auto"/>
              <w:rPr>
                <w:rFonts w:hint="eastAsia" w:ascii="宋体" w:hAnsi="宋体" w:cs="宋体"/>
                <w:szCs w:val="21"/>
              </w:rPr>
            </w:pPr>
            <w:r>
              <w:rPr>
                <w:rFonts w:hint="eastAsia" w:ascii="宋体" w:hAnsi="宋体" w:cs="宋体"/>
                <w:szCs w:val="21"/>
              </w:rPr>
              <w:t>四档（5分）：总体布置有针对性、合理，较好满足施工需要，符合安全、文明生产要求。</w:t>
            </w:r>
          </w:p>
        </w:tc>
        <w:tc>
          <w:tcPr>
            <w:tcW w:w="807" w:type="dxa"/>
            <w:vAlign w:val="center"/>
          </w:tcPr>
          <w:p w14:paraId="1B0B6CD8">
            <w:pPr>
              <w:spacing w:line="360" w:lineRule="auto"/>
              <w:jc w:val="center"/>
              <w:rPr>
                <w:rFonts w:hint="eastAsia" w:ascii="宋体" w:hAnsi="宋体" w:cs="宋体"/>
                <w:szCs w:val="21"/>
              </w:rPr>
            </w:pPr>
            <w:r>
              <w:rPr>
                <w:rFonts w:hint="eastAsia" w:ascii="宋体" w:hAnsi="宋体" w:cs="宋体"/>
                <w:szCs w:val="21"/>
              </w:rPr>
              <w:t>主观分</w:t>
            </w:r>
          </w:p>
        </w:tc>
      </w:tr>
      <w:tr w14:paraId="7CE8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14:paraId="6C50D17C">
            <w:pPr>
              <w:spacing w:line="360" w:lineRule="auto"/>
              <w:jc w:val="center"/>
              <w:rPr>
                <w:rFonts w:hint="eastAsia" w:ascii="宋体" w:hAnsi="宋体" w:cs="宋体"/>
                <w:szCs w:val="21"/>
              </w:rPr>
            </w:pPr>
            <w:r>
              <w:rPr>
                <w:rFonts w:hint="eastAsia" w:ascii="宋体" w:hAnsi="宋体" w:cs="宋体"/>
                <w:szCs w:val="21"/>
              </w:rPr>
              <w:t>3</w:t>
            </w:r>
          </w:p>
        </w:tc>
        <w:tc>
          <w:tcPr>
            <w:tcW w:w="958" w:type="dxa"/>
            <w:vMerge w:val="restart"/>
            <w:vAlign w:val="center"/>
          </w:tcPr>
          <w:p w14:paraId="73817B47">
            <w:pPr>
              <w:spacing w:line="360" w:lineRule="auto"/>
              <w:jc w:val="center"/>
              <w:rPr>
                <w:rFonts w:hint="eastAsia" w:ascii="宋体" w:hAnsi="宋体" w:cs="宋体"/>
                <w:szCs w:val="21"/>
              </w:rPr>
            </w:pPr>
            <w:r>
              <w:rPr>
                <w:rFonts w:hint="eastAsia" w:ascii="宋体" w:hAnsi="宋体" w:cs="宋体"/>
                <w:szCs w:val="21"/>
              </w:rPr>
              <w:t>商务分（满分6分）</w:t>
            </w:r>
          </w:p>
        </w:tc>
        <w:tc>
          <w:tcPr>
            <w:tcW w:w="1115" w:type="dxa"/>
            <w:vAlign w:val="center"/>
          </w:tcPr>
          <w:p w14:paraId="49634F19">
            <w:pPr>
              <w:spacing w:line="360" w:lineRule="auto"/>
              <w:rPr>
                <w:rFonts w:hint="eastAsia" w:ascii="宋体" w:hAnsi="宋体" w:cs="宋体"/>
                <w:szCs w:val="21"/>
              </w:rPr>
            </w:pPr>
            <w:r>
              <w:rPr>
                <w:rFonts w:hint="eastAsia" w:ascii="宋体" w:hAnsi="宋体" w:cs="宋体"/>
                <w:szCs w:val="21"/>
              </w:rPr>
              <w:t>实力信誉（满分3分）</w:t>
            </w:r>
          </w:p>
        </w:tc>
        <w:tc>
          <w:tcPr>
            <w:tcW w:w="5935" w:type="dxa"/>
            <w:vAlign w:val="center"/>
          </w:tcPr>
          <w:p w14:paraId="01DE591D">
            <w:pPr>
              <w:spacing w:line="360" w:lineRule="auto"/>
              <w:rPr>
                <w:rFonts w:hint="eastAsia" w:ascii="宋体" w:hAnsi="宋体" w:cs="宋体"/>
                <w:szCs w:val="21"/>
              </w:rPr>
            </w:pPr>
            <w:r>
              <w:rPr>
                <w:rFonts w:hint="eastAsia" w:ascii="宋体" w:hAnsi="宋体" w:cs="宋体"/>
                <w:szCs w:val="21"/>
              </w:rPr>
              <w:t>供应商通过ISO9001质量管理体系认证、ISO14001环境管理体系认证、ISO45001职业健康安全管理体系认证，每提供1项得1分，此项满分为3分。注：以上认证证书复印件并加盖公章，否则不计分。</w:t>
            </w:r>
          </w:p>
        </w:tc>
        <w:tc>
          <w:tcPr>
            <w:tcW w:w="807" w:type="dxa"/>
            <w:vAlign w:val="center"/>
          </w:tcPr>
          <w:p w14:paraId="4A0D57A5">
            <w:pPr>
              <w:spacing w:line="360" w:lineRule="auto"/>
              <w:jc w:val="center"/>
              <w:rPr>
                <w:rFonts w:hint="eastAsia" w:ascii="宋体" w:hAnsi="宋体" w:cs="宋体"/>
                <w:szCs w:val="21"/>
              </w:rPr>
            </w:pPr>
            <w:r>
              <w:rPr>
                <w:rFonts w:hint="eastAsia" w:ascii="宋体" w:hAnsi="宋体" w:cs="宋体"/>
                <w:szCs w:val="21"/>
              </w:rPr>
              <w:t>客观分</w:t>
            </w:r>
          </w:p>
        </w:tc>
      </w:tr>
      <w:tr w14:paraId="4061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9" w:type="dxa"/>
            <w:vMerge w:val="continue"/>
            <w:vAlign w:val="center"/>
          </w:tcPr>
          <w:p w14:paraId="72D051E6">
            <w:pPr>
              <w:spacing w:line="360" w:lineRule="auto"/>
              <w:jc w:val="center"/>
              <w:rPr>
                <w:rFonts w:hint="eastAsia" w:ascii="宋体" w:hAnsi="宋体" w:cs="宋体"/>
                <w:szCs w:val="21"/>
              </w:rPr>
            </w:pPr>
          </w:p>
        </w:tc>
        <w:tc>
          <w:tcPr>
            <w:tcW w:w="958" w:type="dxa"/>
            <w:vMerge w:val="continue"/>
            <w:vAlign w:val="center"/>
          </w:tcPr>
          <w:p w14:paraId="3CE2C7AF">
            <w:pPr>
              <w:spacing w:line="360" w:lineRule="auto"/>
              <w:jc w:val="center"/>
              <w:rPr>
                <w:rFonts w:hint="eastAsia" w:ascii="宋体" w:hAnsi="宋体" w:cs="宋体"/>
                <w:szCs w:val="21"/>
              </w:rPr>
            </w:pPr>
          </w:p>
        </w:tc>
        <w:tc>
          <w:tcPr>
            <w:tcW w:w="1115" w:type="dxa"/>
            <w:vAlign w:val="center"/>
          </w:tcPr>
          <w:p w14:paraId="63136A66">
            <w:pPr>
              <w:spacing w:line="360" w:lineRule="auto"/>
              <w:rPr>
                <w:rFonts w:hint="eastAsia" w:ascii="宋体" w:hAnsi="宋体" w:cs="宋体"/>
                <w:szCs w:val="21"/>
              </w:rPr>
            </w:pPr>
            <w:r>
              <w:rPr>
                <w:rFonts w:hint="eastAsia" w:ascii="宋体" w:hAnsi="宋体" w:cs="宋体"/>
                <w:szCs w:val="21"/>
              </w:rPr>
              <w:t>业绩分(满分3分)</w:t>
            </w:r>
          </w:p>
        </w:tc>
        <w:tc>
          <w:tcPr>
            <w:tcW w:w="5935" w:type="dxa"/>
            <w:vAlign w:val="center"/>
          </w:tcPr>
          <w:p w14:paraId="7AE5C57C">
            <w:pPr>
              <w:spacing w:line="360" w:lineRule="auto"/>
              <w:rPr>
                <w:rFonts w:hint="eastAsia" w:ascii="宋体" w:hAnsi="宋体" w:cs="宋体"/>
                <w:szCs w:val="21"/>
              </w:rPr>
            </w:pPr>
            <w:r>
              <w:rPr>
                <w:rFonts w:hint="eastAsia" w:ascii="宋体" w:hAnsi="宋体" w:cs="宋体"/>
                <w:szCs w:val="21"/>
              </w:rPr>
              <w:t>2022年以来完成过类似项目业绩的，每个业绩得1分，满分3分。【附成交(或中标)通知书或合同协议书复印件并加盖供应商电子公章】</w:t>
            </w:r>
          </w:p>
        </w:tc>
        <w:tc>
          <w:tcPr>
            <w:tcW w:w="807" w:type="dxa"/>
            <w:vAlign w:val="center"/>
          </w:tcPr>
          <w:p w14:paraId="5BD61E9B">
            <w:pPr>
              <w:spacing w:line="360" w:lineRule="auto"/>
              <w:jc w:val="center"/>
              <w:rPr>
                <w:rFonts w:hint="eastAsia" w:ascii="宋体" w:hAnsi="宋体" w:cs="宋体"/>
                <w:szCs w:val="21"/>
              </w:rPr>
            </w:pPr>
            <w:r>
              <w:rPr>
                <w:rFonts w:hint="eastAsia" w:ascii="宋体" w:hAnsi="宋体" w:cs="宋体"/>
                <w:szCs w:val="21"/>
              </w:rPr>
              <w:t>客观分</w:t>
            </w:r>
          </w:p>
        </w:tc>
      </w:tr>
      <w:tr w14:paraId="1416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64EA8425">
            <w:pPr>
              <w:spacing w:line="360" w:lineRule="auto"/>
              <w:rPr>
                <w:rFonts w:hint="eastAsia" w:ascii="宋体" w:hAnsi="宋体" w:cs="宋体"/>
                <w:szCs w:val="21"/>
              </w:rPr>
            </w:pPr>
            <w:r>
              <w:rPr>
                <w:rFonts w:hint="eastAsia" w:ascii="宋体" w:hAnsi="宋体" w:cs="宋体"/>
                <w:szCs w:val="21"/>
              </w:rPr>
              <w:t>供应商汇总得分</w:t>
            </w:r>
          </w:p>
        </w:tc>
        <w:tc>
          <w:tcPr>
            <w:tcW w:w="7050" w:type="dxa"/>
            <w:gridSpan w:val="2"/>
            <w:vAlign w:val="center"/>
          </w:tcPr>
          <w:p w14:paraId="13DC7010">
            <w:pPr>
              <w:spacing w:line="360" w:lineRule="auto"/>
              <w:jc w:val="left"/>
              <w:rPr>
                <w:rFonts w:hint="eastAsia" w:ascii="宋体" w:hAnsi="宋体" w:cs="宋体"/>
                <w:szCs w:val="21"/>
              </w:rPr>
            </w:pPr>
            <w:r>
              <w:rPr>
                <w:rFonts w:hint="eastAsia" w:ascii="宋体" w:hAnsi="宋体" w:cs="宋体"/>
                <w:szCs w:val="21"/>
              </w:rPr>
              <w:t>=报价分得分+技术分得分+商务分得分</w:t>
            </w:r>
          </w:p>
        </w:tc>
        <w:tc>
          <w:tcPr>
            <w:tcW w:w="807" w:type="dxa"/>
            <w:vAlign w:val="center"/>
          </w:tcPr>
          <w:p w14:paraId="0AC3C984">
            <w:pPr>
              <w:spacing w:line="360" w:lineRule="auto"/>
              <w:jc w:val="left"/>
              <w:rPr>
                <w:rFonts w:hint="eastAsia" w:ascii="宋体" w:hAnsi="宋体" w:cs="宋体"/>
                <w:szCs w:val="21"/>
              </w:rPr>
            </w:pPr>
          </w:p>
        </w:tc>
      </w:tr>
    </w:tbl>
    <w:p w14:paraId="403277A6">
      <w:pPr>
        <w:spacing w:line="360" w:lineRule="auto"/>
        <w:rPr>
          <w:b/>
          <w:bCs/>
        </w:rPr>
      </w:pPr>
      <w:r>
        <w:rPr>
          <w:rFonts w:hint="eastAsia"/>
          <w:b/>
          <w:bCs/>
        </w:rPr>
        <w:t>三、成交候选供应商推荐原则</w:t>
      </w:r>
    </w:p>
    <w:p w14:paraId="6B24EAA7">
      <w:pPr>
        <w:spacing w:line="360" w:lineRule="auto"/>
        <w:ind w:firstLine="420" w:firstLineChars="200"/>
      </w:pPr>
      <w:r>
        <w:rPr>
          <w:rFonts w:hint="eastAsia"/>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024AF039">
      <w:pPr>
        <w:spacing w:line="360" w:lineRule="auto"/>
        <w:ind w:firstLine="420" w:firstLineChars="200"/>
      </w:pPr>
      <w:r>
        <w:rPr>
          <w:rFonts w:hint="eastAsia"/>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0FEE6F63">
      <w:pPr>
        <w:pStyle w:val="47"/>
        <w:rPr>
          <w:rFonts w:hint="eastAsia" w:ascii="黑体" w:hAnsi="宋体" w:eastAsia="黑体" w:cs="Times New Roman"/>
          <w:b/>
          <w:bCs/>
          <w:color w:val="auto"/>
          <w:sz w:val="36"/>
          <w:szCs w:val="36"/>
        </w:rPr>
      </w:pPr>
    </w:p>
    <w:p w14:paraId="4933D0AE">
      <w:pPr>
        <w:pStyle w:val="47"/>
        <w:rPr>
          <w:rFonts w:hint="eastAsia" w:ascii="黑体" w:hAnsi="宋体" w:eastAsia="黑体" w:cs="Times New Roman"/>
          <w:b/>
          <w:bCs/>
          <w:color w:val="auto"/>
          <w:sz w:val="36"/>
          <w:szCs w:val="36"/>
        </w:rPr>
      </w:pPr>
    </w:p>
    <w:p w14:paraId="63D97807">
      <w:pPr>
        <w:pStyle w:val="47"/>
        <w:rPr>
          <w:rFonts w:hint="eastAsia" w:ascii="黑体" w:hAnsi="宋体" w:eastAsia="黑体" w:cs="Times New Roman"/>
          <w:b/>
          <w:bCs/>
          <w:color w:val="auto"/>
          <w:sz w:val="36"/>
          <w:szCs w:val="36"/>
        </w:rPr>
      </w:pPr>
    </w:p>
    <w:p w14:paraId="28DE9610">
      <w:pPr>
        <w:rPr>
          <w:rFonts w:hint="eastAsia" w:ascii="黑体" w:hAnsi="宋体" w:eastAsia="黑体"/>
          <w:b/>
          <w:bCs/>
          <w:kern w:val="0"/>
          <w:sz w:val="36"/>
          <w:szCs w:val="36"/>
        </w:rPr>
      </w:pPr>
      <w:bookmarkStart w:id="67" w:name="_Toc15543"/>
      <w:r>
        <w:rPr>
          <w:rFonts w:hint="eastAsia" w:ascii="黑体" w:hAnsi="宋体" w:eastAsia="黑体"/>
          <w:b/>
          <w:bCs/>
          <w:kern w:val="0"/>
          <w:sz w:val="36"/>
          <w:szCs w:val="36"/>
        </w:rPr>
        <w:br w:type="page"/>
      </w:r>
    </w:p>
    <w:p w14:paraId="7E2F9E67">
      <w:pPr>
        <w:pStyle w:val="13"/>
        <w:spacing w:line="500" w:lineRule="exact"/>
        <w:jc w:val="center"/>
        <w:outlineLvl w:val="0"/>
        <w:rPr>
          <w:rFonts w:hint="eastAsia" w:ascii="黑体" w:hAnsi="宋体" w:eastAsia="黑体" w:cs="Times New Roman"/>
          <w:b/>
          <w:bCs/>
          <w:kern w:val="0"/>
          <w:sz w:val="36"/>
          <w:szCs w:val="36"/>
        </w:rPr>
      </w:pPr>
      <w:r>
        <w:rPr>
          <w:rFonts w:hint="eastAsia" w:ascii="黑体" w:hAnsi="宋体" w:eastAsia="黑体" w:cs="Times New Roman"/>
          <w:b/>
          <w:bCs/>
          <w:kern w:val="0"/>
          <w:sz w:val="36"/>
          <w:szCs w:val="36"/>
        </w:rPr>
        <w:t>第五章  响应文件（格式）</w:t>
      </w:r>
      <w:bookmarkEnd w:id="67"/>
    </w:p>
    <w:p w14:paraId="03DCD746">
      <w:pPr>
        <w:autoSpaceDE w:val="0"/>
        <w:autoSpaceDN w:val="0"/>
        <w:adjustRightInd w:val="0"/>
        <w:spacing w:line="360" w:lineRule="auto"/>
        <w:rPr>
          <w:rFonts w:ascii="宋体" w:cs="宋体"/>
          <w:szCs w:val="21"/>
          <w:lang w:val="zh-CN"/>
        </w:rPr>
      </w:pPr>
    </w:p>
    <w:p w14:paraId="4A3B43AA">
      <w:pPr>
        <w:rPr>
          <w:b/>
          <w:sz w:val="32"/>
          <w:szCs w:val="32"/>
        </w:rPr>
      </w:pPr>
      <w:bookmarkStart w:id="68" w:name="_Toc35611516"/>
      <w:bookmarkStart w:id="69" w:name="_Toc44229899"/>
      <w:bookmarkStart w:id="70" w:name="_Toc31728084"/>
      <w:bookmarkStart w:id="71" w:name="_Toc35611438"/>
      <w:bookmarkStart w:id="72" w:name="_Toc31723070"/>
      <w:bookmarkStart w:id="73" w:name="_Toc71366186"/>
      <w:r>
        <w:rPr>
          <w:rFonts w:hint="eastAsia"/>
          <w:b/>
          <w:sz w:val="32"/>
          <w:szCs w:val="32"/>
        </w:rPr>
        <w:t>一、资格证明文件格式</w:t>
      </w:r>
      <w:bookmarkEnd w:id="68"/>
      <w:bookmarkEnd w:id="69"/>
      <w:bookmarkEnd w:id="70"/>
      <w:bookmarkEnd w:id="71"/>
      <w:bookmarkEnd w:id="72"/>
      <w:bookmarkEnd w:id="73"/>
    </w:p>
    <w:p w14:paraId="5E9FA32D">
      <w:pPr>
        <w:snapToGrid w:val="0"/>
        <w:spacing w:before="156" w:beforeLines="50" w:after="50" w:line="360" w:lineRule="auto"/>
        <w:jc w:val="left"/>
        <w:rPr>
          <w:rFonts w:hint="eastAsia"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2D43EE0F">
      <w:pPr>
        <w:snapToGrid w:val="0"/>
        <w:spacing w:before="156" w:beforeLines="50" w:after="50"/>
        <w:jc w:val="center"/>
        <w:rPr>
          <w:rFonts w:hint="eastAsia" w:ascii="宋体" w:hAnsi="宋体"/>
          <w:sz w:val="44"/>
          <w:szCs w:val="44"/>
        </w:rPr>
      </w:pPr>
    </w:p>
    <w:p w14:paraId="221080D4">
      <w:pPr>
        <w:snapToGrid w:val="0"/>
        <w:spacing w:before="156" w:beforeLines="50" w:after="50"/>
        <w:jc w:val="center"/>
        <w:rPr>
          <w:rFonts w:hint="eastAsia" w:ascii="宋体" w:hAnsi="宋体"/>
          <w:sz w:val="44"/>
          <w:szCs w:val="44"/>
        </w:rPr>
      </w:pPr>
      <w:r>
        <w:rPr>
          <w:rFonts w:hint="eastAsia" w:ascii="宋体" w:hAnsi="宋体"/>
          <w:sz w:val="44"/>
          <w:szCs w:val="44"/>
        </w:rPr>
        <w:t>电 子 响 应 文 件</w:t>
      </w:r>
    </w:p>
    <w:p w14:paraId="6E2B1483">
      <w:pPr>
        <w:snapToGrid w:val="0"/>
        <w:spacing w:before="156" w:beforeLines="50" w:after="50"/>
        <w:rPr>
          <w:rFonts w:hint="eastAsia" w:ascii="宋体" w:hAnsi="宋体"/>
          <w:sz w:val="24"/>
          <w:szCs w:val="20"/>
        </w:rPr>
      </w:pPr>
    </w:p>
    <w:p w14:paraId="05BEDB15">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05E760EA">
      <w:pPr>
        <w:snapToGrid w:val="0"/>
        <w:spacing w:before="156" w:beforeLines="50" w:after="50"/>
        <w:rPr>
          <w:rFonts w:hint="eastAsia" w:ascii="宋体" w:hAnsi="宋体"/>
          <w:bCs/>
          <w:sz w:val="24"/>
          <w:szCs w:val="20"/>
        </w:rPr>
      </w:pPr>
    </w:p>
    <w:p w14:paraId="187DB1E6">
      <w:pPr>
        <w:snapToGrid w:val="0"/>
        <w:spacing w:before="156" w:beforeLines="50" w:after="50"/>
        <w:rPr>
          <w:rFonts w:hint="eastAsia" w:ascii="宋体" w:hAnsi="宋体"/>
          <w:bCs/>
          <w:sz w:val="24"/>
          <w:szCs w:val="20"/>
        </w:rPr>
      </w:pPr>
    </w:p>
    <w:p w14:paraId="291E8392">
      <w:pPr>
        <w:snapToGrid w:val="0"/>
        <w:spacing w:before="156" w:beforeLines="50" w:after="50"/>
        <w:rPr>
          <w:rFonts w:hint="eastAsia" w:ascii="宋体" w:hAnsi="宋体"/>
          <w:bCs/>
          <w:sz w:val="24"/>
          <w:szCs w:val="20"/>
        </w:rPr>
      </w:pPr>
    </w:p>
    <w:p w14:paraId="12AA48AA">
      <w:pPr>
        <w:snapToGrid w:val="0"/>
        <w:spacing w:before="156" w:beforeLines="50" w:after="50"/>
        <w:rPr>
          <w:rFonts w:hint="eastAsia" w:ascii="宋体" w:hAnsi="宋体"/>
          <w:bCs/>
          <w:sz w:val="24"/>
          <w:szCs w:val="20"/>
        </w:rPr>
      </w:pPr>
    </w:p>
    <w:p w14:paraId="29B26652">
      <w:pPr>
        <w:snapToGrid w:val="0"/>
        <w:spacing w:before="156" w:beforeLines="50" w:after="50"/>
        <w:rPr>
          <w:rFonts w:hint="eastAsia" w:ascii="宋体" w:hAnsi="宋体"/>
          <w:bCs/>
          <w:sz w:val="24"/>
          <w:szCs w:val="20"/>
        </w:rPr>
      </w:pPr>
    </w:p>
    <w:p w14:paraId="3C0C12FC">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641140E">
      <w:pPr>
        <w:snapToGrid w:val="0"/>
        <w:spacing w:before="156" w:beforeLines="50" w:after="50"/>
        <w:ind w:firstLine="720" w:firstLineChars="225"/>
        <w:rPr>
          <w:rFonts w:hint="eastAsia" w:ascii="宋体" w:hAnsi="宋体" w:cs="仿宋_GB2312"/>
          <w:bCs/>
          <w:sz w:val="32"/>
          <w:szCs w:val="32"/>
        </w:rPr>
      </w:pPr>
    </w:p>
    <w:p w14:paraId="79AB3400">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37F6D8D0">
      <w:pPr>
        <w:snapToGrid w:val="0"/>
        <w:spacing w:before="156" w:beforeLines="50" w:after="50"/>
        <w:ind w:firstLine="720" w:firstLineChars="225"/>
        <w:rPr>
          <w:rFonts w:hint="eastAsia" w:ascii="宋体" w:hAnsi="宋体" w:cs="仿宋_GB2312"/>
          <w:bCs/>
          <w:sz w:val="32"/>
          <w:szCs w:val="32"/>
        </w:rPr>
      </w:pPr>
    </w:p>
    <w:p w14:paraId="13E8844C">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供应商名称：</w:t>
      </w:r>
    </w:p>
    <w:p w14:paraId="5A281E31">
      <w:pPr>
        <w:pStyle w:val="8"/>
        <w:snapToGrid w:val="0"/>
        <w:spacing w:before="50" w:after="50"/>
        <w:ind w:firstLine="640"/>
        <w:rPr>
          <w:rFonts w:hint="eastAsia" w:ascii="宋体" w:hAnsi="宋体" w:cs="仿宋_GB2312"/>
          <w:bCs/>
          <w:sz w:val="32"/>
          <w:szCs w:val="32"/>
        </w:rPr>
      </w:pPr>
    </w:p>
    <w:p w14:paraId="501B1BAF">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供应商地址：</w:t>
      </w:r>
    </w:p>
    <w:p w14:paraId="3B01F944">
      <w:pPr>
        <w:snapToGrid w:val="0"/>
        <w:spacing w:before="156" w:beforeLines="50" w:after="50"/>
        <w:ind w:firstLine="640" w:firstLineChars="200"/>
        <w:rPr>
          <w:rFonts w:hint="eastAsia" w:ascii="宋体" w:hAnsi="宋体" w:cs="仿宋_GB2312"/>
          <w:bCs/>
          <w:sz w:val="32"/>
          <w:szCs w:val="32"/>
        </w:rPr>
      </w:pPr>
    </w:p>
    <w:p w14:paraId="55C486BC">
      <w:pPr>
        <w:pStyle w:val="8"/>
        <w:snapToGrid w:val="0"/>
        <w:spacing w:before="50" w:after="50"/>
        <w:ind w:firstLine="720" w:firstLineChars="225"/>
        <w:rPr>
          <w:rFonts w:hint="eastAsia" w:ascii="宋体" w:hAnsi="宋体" w:cs="仿宋_GB2312"/>
          <w:bCs/>
          <w:sz w:val="32"/>
          <w:szCs w:val="32"/>
        </w:rPr>
      </w:pPr>
    </w:p>
    <w:p w14:paraId="6F71BCC0">
      <w:pPr>
        <w:pStyle w:val="8"/>
        <w:snapToGrid w:val="0"/>
        <w:spacing w:before="50" w:after="50"/>
        <w:ind w:firstLine="1280" w:firstLineChars="400"/>
        <w:rPr>
          <w:rFonts w:hint="eastAsia" w:ascii="宋体" w:hAnsi="宋体" w:cs="仿宋_GB2312"/>
          <w:bCs/>
          <w:sz w:val="32"/>
          <w:szCs w:val="32"/>
        </w:rPr>
      </w:pPr>
    </w:p>
    <w:p w14:paraId="79630583">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66D764DA">
      <w:pPr>
        <w:snapToGrid w:val="0"/>
        <w:spacing w:before="156" w:beforeLines="50" w:after="50" w:line="360" w:lineRule="auto"/>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7044FF8B">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220C7D78">
      <w:pPr>
        <w:snapToGrid w:val="0"/>
        <w:spacing w:before="156" w:beforeLines="50" w:after="50"/>
        <w:rPr>
          <w:rFonts w:hint="eastAsia" w:ascii="宋体" w:hAnsi="宋体"/>
          <w:sz w:val="24"/>
          <w:szCs w:val="20"/>
        </w:rPr>
      </w:pPr>
      <w:r>
        <w:rPr>
          <w:rFonts w:ascii="宋体" w:hAnsi="宋体"/>
          <w:sz w:val="24"/>
          <w:szCs w:val="20"/>
        </w:rPr>
        <w:t xml:space="preserve"> </w:t>
      </w:r>
    </w:p>
    <w:p w14:paraId="543635BD">
      <w:pPr>
        <w:spacing w:line="300" w:lineRule="auto"/>
        <w:rPr>
          <w:rFonts w:hint="eastAsia" w:ascii="宋体" w:hAnsi="宋体"/>
          <w:szCs w:val="21"/>
        </w:rPr>
      </w:pPr>
    </w:p>
    <w:p w14:paraId="3EB88900">
      <w:pPr>
        <w:spacing w:line="300" w:lineRule="auto"/>
        <w:rPr>
          <w:rFonts w:hint="eastAsia" w:ascii="宋体" w:hAnsi="宋体"/>
          <w:szCs w:val="21"/>
        </w:rPr>
      </w:pPr>
    </w:p>
    <w:p w14:paraId="486C89B6">
      <w:pPr>
        <w:spacing w:line="300" w:lineRule="auto"/>
        <w:rPr>
          <w:rFonts w:hint="eastAsia" w:ascii="宋体" w:hAnsi="宋体"/>
          <w:szCs w:val="21"/>
        </w:rPr>
      </w:pPr>
    </w:p>
    <w:p w14:paraId="06EBD440">
      <w:pPr>
        <w:spacing w:line="300" w:lineRule="auto"/>
        <w:rPr>
          <w:rFonts w:hint="eastAsia" w:ascii="宋体" w:hAnsi="宋体"/>
          <w:szCs w:val="21"/>
        </w:rPr>
      </w:pPr>
    </w:p>
    <w:p w14:paraId="203A5985">
      <w:pPr>
        <w:spacing w:line="300" w:lineRule="auto"/>
        <w:rPr>
          <w:rFonts w:hint="eastAsia" w:ascii="宋体" w:hAnsi="宋体"/>
          <w:szCs w:val="21"/>
        </w:rPr>
      </w:pPr>
    </w:p>
    <w:p w14:paraId="7988F49E">
      <w:pPr>
        <w:spacing w:line="300" w:lineRule="auto"/>
        <w:rPr>
          <w:rFonts w:hint="eastAsia" w:ascii="宋体" w:hAnsi="宋体"/>
          <w:szCs w:val="21"/>
        </w:rPr>
      </w:pPr>
    </w:p>
    <w:p w14:paraId="161D3F2C">
      <w:pPr>
        <w:spacing w:line="300" w:lineRule="auto"/>
        <w:rPr>
          <w:rFonts w:hint="eastAsia" w:ascii="宋体" w:hAnsi="宋体"/>
          <w:szCs w:val="21"/>
        </w:rPr>
      </w:pPr>
    </w:p>
    <w:p w14:paraId="7B0D3281">
      <w:pPr>
        <w:spacing w:line="300" w:lineRule="auto"/>
        <w:rPr>
          <w:rFonts w:hint="eastAsia" w:ascii="宋体" w:hAnsi="宋体"/>
          <w:szCs w:val="21"/>
        </w:rPr>
      </w:pPr>
    </w:p>
    <w:p w14:paraId="44576F8E">
      <w:pPr>
        <w:spacing w:line="300" w:lineRule="auto"/>
        <w:rPr>
          <w:rFonts w:hint="eastAsia" w:ascii="宋体" w:hAnsi="宋体"/>
          <w:szCs w:val="21"/>
        </w:rPr>
      </w:pPr>
    </w:p>
    <w:p w14:paraId="695F7B9E">
      <w:pPr>
        <w:spacing w:line="300" w:lineRule="auto"/>
        <w:rPr>
          <w:rFonts w:hint="eastAsia" w:ascii="宋体" w:hAnsi="宋体"/>
          <w:szCs w:val="21"/>
        </w:rPr>
      </w:pPr>
    </w:p>
    <w:p w14:paraId="0F163EDC">
      <w:pPr>
        <w:spacing w:line="300" w:lineRule="auto"/>
        <w:rPr>
          <w:rFonts w:hint="eastAsia" w:ascii="宋体" w:hAnsi="宋体"/>
          <w:szCs w:val="21"/>
        </w:rPr>
      </w:pPr>
    </w:p>
    <w:p w14:paraId="637624F5">
      <w:pPr>
        <w:spacing w:line="300" w:lineRule="auto"/>
        <w:rPr>
          <w:rFonts w:hint="eastAsia" w:ascii="宋体" w:hAnsi="宋体"/>
          <w:szCs w:val="21"/>
        </w:rPr>
      </w:pPr>
    </w:p>
    <w:p w14:paraId="4674BD32">
      <w:pPr>
        <w:spacing w:line="300" w:lineRule="auto"/>
        <w:rPr>
          <w:rFonts w:hint="eastAsia" w:ascii="宋体" w:hAnsi="宋体"/>
          <w:szCs w:val="21"/>
        </w:rPr>
      </w:pPr>
    </w:p>
    <w:p w14:paraId="078AFA1D">
      <w:pPr>
        <w:spacing w:line="300" w:lineRule="auto"/>
        <w:rPr>
          <w:rFonts w:hint="eastAsia" w:ascii="宋体" w:hAnsi="宋体"/>
          <w:szCs w:val="21"/>
        </w:rPr>
      </w:pPr>
    </w:p>
    <w:p w14:paraId="79A9E0EE">
      <w:pPr>
        <w:spacing w:line="300" w:lineRule="auto"/>
        <w:rPr>
          <w:rFonts w:hint="eastAsia" w:ascii="宋体" w:hAnsi="宋体"/>
          <w:szCs w:val="21"/>
        </w:rPr>
      </w:pPr>
    </w:p>
    <w:p w14:paraId="052705B9">
      <w:pPr>
        <w:spacing w:line="320" w:lineRule="exact"/>
        <w:jc w:val="center"/>
        <w:rPr>
          <w:rFonts w:hint="eastAsia" w:ascii="宋体" w:hAnsi="宋体"/>
          <w:b/>
          <w:sz w:val="32"/>
          <w:szCs w:val="32"/>
        </w:rPr>
      </w:pPr>
      <w:r>
        <w:rPr>
          <w:rFonts w:ascii="宋体" w:hAnsi="宋体"/>
          <w:szCs w:val="21"/>
        </w:rPr>
        <w:br w:type="page"/>
      </w:r>
      <w:r>
        <w:rPr>
          <w:rFonts w:hint="eastAsia" w:ascii="宋体" w:hAnsi="宋体"/>
          <w:b/>
          <w:sz w:val="32"/>
          <w:szCs w:val="32"/>
        </w:rPr>
        <w:t>竞标声明（格式）</w:t>
      </w:r>
    </w:p>
    <w:p w14:paraId="4513360A">
      <w:pPr>
        <w:spacing w:line="320" w:lineRule="exact"/>
        <w:jc w:val="center"/>
        <w:rPr>
          <w:rFonts w:hint="eastAsia" w:ascii="宋体" w:hAnsi="宋体"/>
          <w:sz w:val="24"/>
          <w:szCs w:val="20"/>
        </w:rPr>
      </w:pPr>
    </w:p>
    <w:p w14:paraId="0D0D0171">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6FCFD6E">
      <w:pPr>
        <w:spacing w:line="360" w:lineRule="auto"/>
        <w:ind w:firstLine="480" w:firstLineChars="200"/>
        <w:contextualSpacing/>
        <w:rPr>
          <w:rFonts w:hint="eastAsia"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72933355">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（项目名称）（项目编号）</w:t>
      </w:r>
      <w:r>
        <w:rPr>
          <w:rFonts w:hint="eastAsia" w:ascii="宋体" w:hAnsi="宋体" w:cs="宋体"/>
          <w:sz w:val="24"/>
        </w:rPr>
        <w:t>项目的竞标，为便于贵方公正、择优地确定成交供应商及其服务，我方就本次竞标有关事项郑重声明如下：</w:t>
      </w:r>
    </w:p>
    <w:p w14:paraId="142543EF">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74ABEBA2">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027B8E75">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5914C17F">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0C4FF850">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72F5D101">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5B5FF931">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0BE7A0F3">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50163D14">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003207F4">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1A67CD65">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1B3F668C">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6A4DDC4F">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4809B1BE">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36F4A735">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2BF6648">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3C3C3AD">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836B6C9">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160F2F4A">
      <w:pPr>
        <w:pStyle w:val="13"/>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5F95DD6F">
      <w:pPr>
        <w:pStyle w:val="13"/>
        <w:spacing w:line="360" w:lineRule="auto"/>
        <w:ind w:firstLine="480" w:firstLineChars="200"/>
        <w:contextualSpacing/>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电子邮箱：</w:t>
      </w:r>
      <w:r>
        <w:rPr>
          <w:rFonts w:hint="eastAsia" w:hAnsi="宋体" w:cs="宋体"/>
          <w:sz w:val="24"/>
          <w:szCs w:val="24"/>
          <w:u w:val="single"/>
        </w:rPr>
        <w:t xml:space="preserve">                            </w:t>
      </w:r>
      <w:r>
        <w:rPr>
          <w:rFonts w:hint="eastAsia" w:hAnsi="宋体" w:cs="宋体"/>
          <w:sz w:val="24"/>
          <w:szCs w:val="24"/>
        </w:rPr>
        <w:t xml:space="preserve">    </w:t>
      </w:r>
    </w:p>
    <w:p w14:paraId="135CC3F8">
      <w:pPr>
        <w:pStyle w:val="12"/>
        <w:tabs>
          <w:tab w:val="left" w:pos="939"/>
        </w:tabs>
        <w:spacing w:line="360" w:lineRule="auto"/>
        <w:ind w:left="141" w:leftChars="67" w:firstLine="360" w:firstLineChars="150"/>
        <w:rPr>
          <w:rFonts w:hint="eastAsia"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68D6AFFF">
      <w:pPr>
        <w:pStyle w:val="12"/>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手机号码：</w:t>
      </w:r>
      <w:r>
        <w:rPr>
          <w:rFonts w:hint="eastAsia" w:ascii="宋体" w:hAnsi="宋体" w:cs="宋体"/>
          <w:sz w:val="24"/>
          <w:u w:val="single"/>
        </w:rPr>
        <w:t xml:space="preserve">                         </w:t>
      </w:r>
      <w:r>
        <w:rPr>
          <w:rFonts w:hint="eastAsia" w:ascii="宋体" w:hAnsi="宋体" w:cs="宋体"/>
          <w:sz w:val="24"/>
        </w:rPr>
        <w:t xml:space="preserve">  </w:t>
      </w:r>
    </w:p>
    <w:p w14:paraId="0F2ABE9A">
      <w:pPr>
        <w:pStyle w:val="12"/>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75DEE22C">
      <w:pPr>
        <w:pStyle w:val="12"/>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0297B616">
      <w:pPr>
        <w:spacing w:line="360" w:lineRule="auto"/>
        <w:ind w:firstLine="482" w:firstLineChars="200"/>
        <w:contextualSpacing/>
        <w:jc w:val="left"/>
        <w:rPr>
          <w:rFonts w:hint="eastAsia"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11312676">
      <w:pPr>
        <w:spacing w:line="360" w:lineRule="auto"/>
        <w:contextualSpacing/>
        <w:jc w:val="left"/>
        <w:rPr>
          <w:rFonts w:hint="eastAsia" w:ascii="宋体" w:hAnsi="宋体" w:cs="宋体"/>
          <w:szCs w:val="21"/>
        </w:rPr>
      </w:pPr>
    </w:p>
    <w:p w14:paraId="259D46C0">
      <w:pPr>
        <w:spacing w:line="360" w:lineRule="auto"/>
        <w:ind w:firstLine="1800" w:firstLineChars="750"/>
        <w:contextualSpacing/>
        <w:rPr>
          <w:sz w:val="24"/>
        </w:rPr>
      </w:pPr>
      <w:r>
        <w:rPr>
          <w:rFonts w:hint="eastAsia" w:ascii="宋体" w:hAnsi="宋体"/>
          <w:sz w:val="24"/>
        </w:rPr>
        <w:t>法定代表人（签字或者盖章或者电子签名</w:t>
      </w:r>
      <w:r>
        <w:rPr>
          <w:rFonts w:hint="eastAsia"/>
          <w:sz w:val="24"/>
        </w:rPr>
        <w:t>）：</w:t>
      </w:r>
      <w:r>
        <w:rPr>
          <w:rFonts w:hint="eastAsia"/>
          <w:sz w:val="24"/>
          <w:u w:val="single"/>
        </w:rPr>
        <w:t xml:space="preserve">                     </w:t>
      </w:r>
      <w:r>
        <w:rPr>
          <w:rFonts w:hint="eastAsia"/>
          <w:sz w:val="24"/>
        </w:rPr>
        <w:t xml:space="preserve">                                     </w:t>
      </w:r>
    </w:p>
    <w:p w14:paraId="1DB001FA">
      <w:pPr>
        <w:spacing w:line="360" w:lineRule="auto"/>
        <w:ind w:firstLine="4320" w:firstLineChars="1800"/>
        <w:contextualSpacing/>
        <w:rPr>
          <w:rFonts w:hint="eastAsia" w:ascii="宋体" w:hAnsi="宋体" w:cs="宋体"/>
          <w:sz w:val="24"/>
          <w:u w:val="single"/>
        </w:rPr>
      </w:pPr>
      <w:r>
        <w:rPr>
          <w:rFonts w:hint="eastAsia" w:ascii="宋体" w:hAnsi="宋体"/>
          <w:sz w:val="24"/>
        </w:rPr>
        <w:t>供应商（电子签章）</w:t>
      </w:r>
      <w:r>
        <w:rPr>
          <w:rFonts w:hint="eastAsia"/>
          <w:sz w:val="24"/>
        </w:rPr>
        <w:t>：</w:t>
      </w:r>
      <w:r>
        <w:rPr>
          <w:rFonts w:hint="eastAsia"/>
          <w:sz w:val="24"/>
          <w:u w:val="single"/>
        </w:rPr>
        <w:t xml:space="preserve">                    </w:t>
      </w:r>
      <w:r>
        <w:rPr>
          <w:rFonts w:hint="eastAsia"/>
          <w:sz w:val="24"/>
        </w:rPr>
        <w:t xml:space="preserve">       </w:t>
      </w:r>
      <w:r>
        <w:rPr>
          <w:rFonts w:hint="eastAsia" w:ascii="宋体" w:hAnsi="宋体" w:cs="宋体"/>
          <w:sz w:val="24"/>
        </w:rPr>
        <w:t xml:space="preserve">    </w:t>
      </w:r>
    </w:p>
    <w:p w14:paraId="04489F94">
      <w:pPr>
        <w:pStyle w:val="12"/>
        <w:tabs>
          <w:tab w:val="left" w:pos="939"/>
        </w:tabs>
        <w:spacing w:line="360" w:lineRule="auto"/>
        <w:ind w:left="0" w:leftChars="0" w:firstLine="480" w:firstLineChars="200"/>
        <w:rPr>
          <w:sz w:val="24"/>
        </w:rPr>
      </w:pPr>
      <w:r>
        <w:rPr>
          <w:rFonts w:hint="eastAsia" w:ascii="宋体" w:hAnsi="宋体" w:cs="宋体"/>
          <w:sz w:val="24"/>
        </w:rPr>
        <w:t xml:space="preserve">                                                        </w:t>
      </w:r>
      <w:r>
        <w:rPr>
          <w:rFonts w:hint="eastAsia"/>
          <w:sz w:val="24"/>
        </w:rPr>
        <w:t xml:space="preserve"> 年    月    日</w:t>
      </w:r>
    </w:p>
    <w:p w14:paraId="711E9661">
      <w:pPr>
        <w:spacing w:line="320" w:lineRule="exact"/>
        <w:jc w:val="left"/>
        <w:rPr>
          <w:rFonts w:hint="eastAsia" w:ascii="宋体" w:hAnsi="宋体"/>
          <w:szCs w:val="21"/>
        </w:rPr>
      </w:pPr>
    </w:p>
    <w:p w14:paraId="3D7BE81F">
      <w:pPr>
        <w:spacing w:line="320" w:lineRule="exact"/>
        <w:jc w:val="center"/>
        <w:rPr>
          <w:rFonts w:hint="eastAsia" w:ascii="宋体" w:hAnsi="宋体"/>
          <w:b/>
          <w:sz w:val="32"/>
          <w:szCs w:val="32"/>
        </w:rPr>
      </w:pPr>
    </w:p>
    <w:p w14:paraId="5584C1DB">
      <w:pPr>
        <w:spacing w:line="320" w:lineRule="exact"/>
        <w:jc w:val="center"/>
        <w:rPr>
          <w:rFonts w:hint="eastAsia" w:ascii="宋体" w:hAnsi="宋体"/>
          <w:b/>
          <w:sz w:val="32"/>
          <w:szCs w:val="32"/>
        </w:rPr>
      </w:pPr>
    </w:p>
    <w:p w14:paraId="610DCB2B">
      <w:pPr>
        <w:spacing w:line="320" w:lineRule="exact"/>
        <w:jc w:val="center"/>
        <w:rPr>
          <w:rFonts w:hint="eastAsia" w:ascii="宋体" w:hAnsi="宋体"/>
          <w:b/>
          <w:sz w:val="32"/>
          <w:szCs w:val="32"/>
        </w:rPr>
      </w:pPr>
    </w:p>
    <w:p w14:paraId="69381DF0">
      <w:pPr>
        <w:spacing w:line="320" w:lineRule="exact"/>
        <w:jc w:val="center"/>
        <w:rPr>
          <w:rFonts w:hint="eastAsia" w:ascii="宋体" w:hAnsi="宋体"/>
          <w:b/>
          <w:sz w:val="32"/>
          <w:szCs w:val="32"/>
        </w:rPr>
      </w:pPr>
    </w:p>
    <w:p w14:paraId="28E180EB">
      <w:pPr>
        <w:spacing w:line="320" w:lineRule="exact"/>
        <w:jc w:val="center"/>
        <w:rPr>
          <w:rFonts w:hint="eastAsia" w:ascii="宋体" w:hAnsi="宋体"/>
          <w:b/>
          <w:sz w:val="32"/>
          <w:szCs w:val="32"/>
        </w:rPr>
      </w:pPr>
    </w:p>
    <w:p w14:paraId="6E1B6D18">
      <w:pPr>
        <w:spacing w:line="320" w:lineRule="exact"/>
        <w:jc w:val="center"/>
        <w:rPr>
          <w:rFonts w:hint="eastAsia" w:ascii="宋体" w:hAnsi="宋体"/>
          <w:b/>
          <w:sz w:val="32"/>
          <w:szCs w:val="32"/>
        </w:rPr>
      </w:pPr>
    </w:p>
    <w:p w14:paraId="2D3514A0">
      <w:pPr>
        <w:spacing w:line="320" w:lineRule="exact"/>
        <w:jc w:val="center"/>
        <w:rPr>
          <w:rFonts w:hint="eastAsia" w:ascii="宋体" w:hAnsi="宋体"/>
          <w:b/>
          <w:sz w:val="32"/>
          <w:szCs w:val="32"/>
        </w:rPr>
      </w:pPr>
    </w:p>
    <w:p w14:paraId="68650EF8">
      <w:pPr>
        <w:spacing w:line="320" w:lineRule="exact"/>
        <w:jc w:val="center"/>
        <w:rPr>
          <w:rFonts w:hint="eastAsia" w:ascii="宋体" w:hAnsi="宋体"/>
          <w:b/>
          <w:sz w:val="32"/>
          <w:szCs w:val="32"/>
        </w:rPr>
      </w:pPr>
    </w:p>
    <w:p w14:paraId="07FC3FED">
      <w:pPr>
        <w:spacing w:line="320" w:lineRule="exact"/>
        <w:jc w:val="center"/>
        <w:rPr>
          <w:rFonts w:hint="eastAsia" w:ascii="宋体" w:hAnsi="宋体"/>
          <w:b/>
          <w:sz w:val="32"/>
          <w:szCs w:val="32"/>
        </w:rPr>
      </w:pPr>
    </w:p>
    <w:p w14:paraId="732D15ED">
      <w:pPr>
        <w:spacing w:line="320" w:lineRule="exact"/>
        <w:jc w:val="center"/>
        <w:rPr>
          <w:rFonts w:hint="eastAsia" w:ascii="宋体" w:hAnsi="宋体"/>
          <w:b/>
          <w:sz w:val="32"/>
          <w:szCs w:val="32"/>
        </w:rPr>
      </w:pPr>
    </w:p>
    <w:p w14:paraId="23AF1318">
      <w:pPr>
        <w:spacing w:line="320" w:lineRule="exact"/>
        <w:jc w:val="center"/>
        <w:rPr>
          <w:rFonts w:hint="eastAsia" w:ascii="宋体" w:hAnsi="宋体"/>
          <w:b/>
          <w:sz w:val="32"/>
          <w:szCs w:val="32"/>
        </w:rPr>
      </w:pPr>
    </w:p>
    <w:p w14:paraId="0E7C4C13">
      <w:pPr>
        <w:spacing w:line="320" w:lineRule="exact"/>
        <w:jc w:val="center"/>
        <w:rPr>
          <w:rFonts w:hint="eastAsia" w:ascii="宋体" w:hAnsi="宋体"/>
          <w:b/>
          <w:sz w:val="32"/>
          <w:szCs w:val="32"/>
        </w:rPr>
      </w:pPr>
    </w:p>
    <w:p w14:paraId="517F2BE6">
      <w:pPr>
        <w:spacing w:line="320" w:lineRule="exact"/>
        <w:jc w:val="center"/>
        <w:rPr>
          <w:rFonts w:hint="eastAsia" w:ascii="宋体" w:hAnsi="宋体"/>
          <w:b/>
          <w:sz w:val="32"/>
          <w:szCs w:val="32"/>
        </w:rPr>
      </w:pPr>
    </w:p>
    <w:p w14:paraId="16C3FCD6">
      <w:pPr>
        <w:spacing w:line="320" w:lineRule="exact"/>
        <w:jc w:val="center"/>
        <w:rPr>
          <w:rFonts w:hint="eastAsia" w:ascii="宋体" w:hAnsi="宋体"/>
          <w:b/>
          <w:sz w:val="32"/>
          <w:szCs w:val="32"/>
        </w:rPr>
      </w:pPr>
    </w:p>
    <w:p w14:paraId="77C74EE4">
      <w:pPr>
        <w:spacing w:line="320" w:lineRule="exact"/>
        <w:jc w:val="center"/>
        <w:rPr>
          <w:rFonts w:hint="eastAsia" w:ascii="宋体" w:hAnsi="宋体"/>
          <w:b/>
          <w:sz w:val="32"/>
          <w:szCs w:val="32"/>
        </w:rPr>
      </w:pPr>
    </w:p>
    <w:p w14:paraId="342A8707">
      <w:pPr>
        <w:spacing w:line="320" w:lineRule="exact"/>
        <w:jc w:val="center"/>
        <w:rPr>
          <w:rFonts w:hint="eastAsia" w:ascii="宋体" w:hAnsi="宋体"/>
          <w:b/>
          <w:sz w:val="32"/>
          <w:szCs w:val="32"/>
        </w:rPr>
      </w:pPr>
    </w:p>
    <w:p w14:paraId="5E8AD74E">
      <w:pPr>
        <w:spacing w:line="320" w:lineRule="exact"/>
        <w:jc w:val="center"/>
        <w:rPr>
          <w:rFonts w:hint="eastAsia" w:ascii="宋体" w:hAnsi="宋体"/>
          <w:b/>
          <w:sz w:val="32"/>
          <w:szCs w:val="32"/>
        </w:rPr>
      </w:pPr>
    </w:p>
    <w:p w14:paraId="0F72BB48">
      <w:pPr>
        <w:spacing w:line="320" w:lineRule="exact"/>
        <w:jc w:val="center"/>
        <w:rPr>
          <w:rFonts w:hint="eastAsia" w:ascii="宋体" w:hAnsi="宋体"/>
          <w:b/>
          <w:sz w:val="32"/>
          <w:szCs w:val="32"/>
        </w:rPr>
      </w:pPr>
    </w:p>
    <w:p w14:paraId="3F877ADE">
      <w:pPr>
        <w:spacing w:line="320" w:lineRule="exact"/>
        <w:jc w:val="center"/>
        <w:rPr>
          <w:rFonts w:hint="eastAsia" w:ascii="宋体" w:hAnsi="宋体"/>
          <w:b/>
          <w:sz w:val="32"/>
          <w:szCs w:val="32"/>
        </w:rPr>
      </w:pPr>
    </w:p>
    <w:p w14:paraId="4B817BF3">
      <w:pPr>
        <w:spacing w:line="320" w:lineRule="exact"/>
        <w:jc w:val="center"/>
        <w:rPr>
          <w:rFonts w:hint="eastAsia" w:ascii="宋体" w:hAnsi="宋体"/>
          <w:b/>
          <w:sz w:val="32"/>
          <w:szCs w:val="32"/>
        </w:rPr>
      </w:pPr>
    </w:p>
    <w:p w14:paraId="417D094C">
      <w:pPr>
        <w:spacing w:line="320" w:lineRule="exact"/>
        <w:jc w:val="center"/>
        <w:rPr>
          <w:rFonts w:hint="eastAsia" w:ascii="宋体" w:hAnsi="宋体"/>
          <w:b/>
          <w:sz w:val="32"/>
          <w:szCs w:val="32"/>
        </w:rPr>
      </w:pPr>
    </w:p>
    <w:p w14:paraId="74DA7149">
      <w:pPr>
        <w:spacing w:line="320" w:lineRule="exact"/>
        <w:jc w:val="center"/>
        <w:rPr>
          <w:rFonts w:hint="eastAsia" w:ascii="宋体" w:hAnsi="宋体"/>
          <w:b/>
          <w:sz w:val="32"/>
          <w:szCs w:val="32"/>
        </w:rPr>
      </w:pPr>
    </w:p>
    <w:p w14:paraId="7B390510">
      <w:pPr>
        <w:spacing w:line="320" w:lineRule="exact"/>
        <w:jc w:val="center"/>
        <w:rPr>
          <w:rFonts w:hint="eastAsia" w:ascii="宋体" w:hAnsi="宋体"/>
          <w:b/>
          <w:sz w:val="32"/>
          <w:szCs w:val="32"/>
        </w:rPr>
      </w:pPr>
    </w:p>
    <w:p w14:paraId="55842747">
      <w:pPr>
        <w:spacing w:line="320" w:lineRule="exact"/>
        <w:jc w:val="center"/>
        <w:rPr>
          <w:rFonts w:hint="eastAsia" w:ascii="宋体" w:hAnsi="宋体"/>
          <w:b/>
          <w:sz w:val="32"/>
          <w:szCs w:val="32"/>
        </w:rPr>
      </w:pPr>
    </w:p>
    <w:p w14:paraId="49E3C15C">
      <w:pPr>
        <w:spacing w:line="320" w:lineRule="exact"/>
        <w:jc w:val="center"/>
        <w:rPr>
          <w:rFonts w:hint="eastAsia" w:ascii="宋体" w:hAnsi="宋体"/>
          <w:b/>
          <w:sz w:val="32"/>
          <w:szCs w:val="32"/>
        </w:rPr>
      </w:pPr>
    </w:p>
    <w:p w14:paraId="417DB5D9">
      <w:pPr>
        <w:spacing w:line="320" w:lineRule="exact"/>
        <w:jc w:val="center"/>
        <w:rPr>
          <w:rFonts w:hint="eastAsia" w:ascii="宋体" w:hAnsi="宋体"/>
          <w:b/>
          <w:sz w:val="32"/>
          <w:szCs w:val="32"/>
        </w:rPr>
      </w:pPr>
      <w:r>
        <w:rPr>
          <w:rFonts w:hint="eastAsia" w:ascii="宋体" w:hAnsi="宋体"/>
          <w:b/>
          <w:sz w:val="32"/>
          <w:szCs w:val="32"/>
        </w:rPr>
        <w:t>供应商直接控股、管理关系信息表（格式）</w:t>
      </w:r>
    </w:p>
    <w:p w14:paraId="0EB60DFE">
      <w:pPr>
        <w:spacing w:line="360" w:lineRule="auto"/>
        <w:contextualSpacing/>
        <w:jc w:val="center"/>
        <w:rPr>
          <w:rFonts w:hint="eastAsia" w:ascii="宋体" w:hAnsi="宋体"/>
          <w:b/>
          <w:sz w:val="32"/>
          <w:szCs w:val="32"/>
        </w:rPr>
      </w:pPr>
    </w:p>
    <w:p w14:paraId="794379AD">
      <w:pPr>
        <w:spacing w:line="360" w:lineRule="auto"/>
        <w:contextualSpacing/>
        <w:jc w:val="center"/>
        <w:rPr>
          <w:rFonts w:hint="eastAsia" w:ascii="宋体" w:hAnsi="宋体"/>
          <w:b/>
          <w:sz w:val="32"/>
          <w:szCs w:val="32"/>
        </w:rPr>
      </w:pPr>
      <w:r>
        <w:rPr>
          <w:rFonts w:hint="eastAsia" w:ascii="宋体" w:hAnsi="宋体"/>
          <w:b/>
          <w:sz w:val="32"/>
          <w:szCs w:val="32"/>
        </w:rPr>
        <w:t>供应商直接控股股东信息表（格式）</w:t>
      </w:r>
    </w:p>
    <w:p w14:paraId="2C9FC8BA">
      <w:pPr>
        <w:spacing w:line="360" w:lineRule="auto"/>
        <w:contextualSpacing/>
        <w:jc w:val="center"/>
        <w:rPr>
          <w:rFonts w:hint="eastAsia" w:ascii="宋体" w:hAnsi="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2DC3A3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E44A2F">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FEB2E8">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22533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DF0BCC">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44807">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06D9586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B22B9E">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402BDC">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DF7123">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0419DD">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611E6E">
            <w:pPr>
              <w:widowControl/>
              <w:spacing w:line="360" w:lineRule="auto"/>
              <w:contextualSpacing/>
              <w:jc w:val="center"/>
              <w:rPr>
                <w:rFonts w:hint="eastAsia" w:ascii="宋体" w:hAnsi="宋体" w:cs="宋体"/>
                <w:kern w:val="0"/>
                <w:sz w:val="24"/>
              </w:rPr>
            </w:pPr>
          </w:p>
        </w:tc>
      </w:tr>
      <w:tr w14:paraId="36842CE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2207D1">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2BBEF">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0A5F3">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2B4B39">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F18B91">
            <w:pPr>
              <w:widowControl/>
              <w:spacing w:line="360" w:lineRule="auto"/>
              <w:contextualSpacing/>
              <w:jc w:val="center"/>
              <w:rPr>
                <w:rFonts w:hint="eastAsia" w:ascii="宋体" w:hAnsi="宋体" w:cs="宋体"/>
                <w:kern w:val="0"/>
                <w:sz w:val="24"/>
              </w:rPr>
            </w:pPr>
          </w:p>
        </w:tc>
      </w:tr>
      <w:tr w14:paraId="2F6F2A5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BBF4F0">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B04C31">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67C5B3">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182BF6">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5B3E3C">
            <w:pPr>
              <w:widowControl/>
              <w:spacing w:line="360" w:lineRule="auto"/>
              <w:contextualSpacing/>
              <w:jc w:val="center"/>
              <w:rPr>
                <w:rFonts w:hint="eastAsia" w:ascii="宋体" w:hAnsi="宋体" w:cs="宋体"/>
                <w:kern w:val="0"/>
                <w:sz w:val="24"/>
              </w:rPr>
            </w:pPr>
          </w:p>
        </w:tc>
      </w:tr>
      <w:tr w14:paraId="7CF0735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B70079">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9A11C0">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A7CCE4">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C0E03">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251FE">
            <w:pPr>
              <w:widowControl/>
              <w:spacing w:line="360" w:lineRule="auto"/>
              <w:contextualSpacing/>
              <w:jc w:val="center"/>
              <w:rPr>
                <w:rFonts w:hint="eastAsia" w:ascii="宋体" w:hAnsi="宋体" w:cs="宋体"/>
                <w:kern w:val="0"/>
                <w:sz w:val="24"/>
              </w:rPr>
            </w:pPr>
          </w:p>
        </w:tc>
      </w:tr>
    </w:tbl>
    <w:p w14:paraId="2F867474">
      <w:pPr>
        <w:spacing w:line="360" w:lineRule="auto"/>
        <w:contextualSpacing/>
        <w:jc w:val="left"/>
        <w:rPr>
          <w:rFonts w:hint="eastAsia" w:ascii="宋体" w:hAnsi="宋体" w:cs="宋体"/>
          <w:sz w:val="24"/>
        </w:rPr>
      </w:pPr>
      <w:r>
        <w:rPr>
          <w:rFonts w:hint="eastAsia" w:ascii="宋体" w:hAnsi="宋体" w:cs="宋体"/>
          <w:sz w:val="24"/>
        </w:rPr>
        <w:t>注：</w:t>
      </w:r>
    </w:p>
    <w:p w14:paraId="542E4C7F">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39937C">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EDBAC61">
      <w:pPr>
        <w:spacing w:line="360" w:lineRule="auto"/>
        <w:ind w:firstLine="480" w:firstLineChars="200"/>
        <w:contextualSpacing/>
        <w:jc w:val="left"/>
        <w:rPr>
          <w:rFonts w:hint="eastAsia"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3C70BEC9">
      <w:pPr>
        <w:spacing w:line="360" w:lineRule="auto"/>
        <w:ind w:firstLine="420" w:firstLineChars="200"/>
        <w:contextualSpacing/>
        <w:jc w:val="left"/>
        <w:rPr>
          <w:rFonts w:hint="eastAsia" w:ascii="宋体" w:hAnsi="宋体" w:cs="宋体"/>
          <w:szCs w:val="21"/>
        </w:rPr>
      </w:pPr>
    </w:p>
    <w:p w14:paraId="4C53EBAD">
      <w:pPr>
        <w:spacing w:line="360" w:lineRule="auto"/>
        <w:ind w:firstLine="560" w:firstLineChars="200"/>
        <w:contextualSpacing/>
        <w:jc w:val="left"/>
        <w:rPr>
          <w:rFonts w:hint="eastAsia" w:ascii="宋体" w:hAnsi="宋体" w:cs="宋体"/>
          <w:sz w:val="28"/>
          <w:szCs w:val="28"/>
        </w:rPr>
      </w:pPr>
    </w:p>
    <w:p w14:paraId="4A8530B3">
      <w:pPr>
        <w:spacing w:line="360" w:lineRule="auto"/>
        <w:ind w:right="480"/>
        <w:contextualSpacing/>
        <w:jc w:val="center"/>
        <w:rPr>
          <w:rFonts w:hint="eastAsia"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r>
        <w:rPr>
          <w:rFonts w:hint="eastAsia" w:ascii="宋体" w:hAnsi="宋体" w:cs="宋体"/>
          <w:sz w:val="24"/>
          <w:u w:val="single"/>
        </w:rPr>
        <w:t xml:space="preserve"> </w:t>
      </w:r>
      <w:r>
        <w:rPr>
          <w:rFonts w:ascii="宋体" w:hAnsi="宋体" w:cs="宋体"/>
          <w:sz w:val="24"/>
          <w:u w:val="single"/>
        </w:rPr>
        <w:t xml:space="preserve">                   </w:t>
      </w:r>
    </w:p>
    <w:p w14:paraId="72AA2F98">
      <w:pPr>
        <w:spacing w:line="360" w:lineRule="auto"/>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r>
        <w:rPr>
          <w:rFonts w:hint="eastAsia" w:ascii="宋体" w:hAnsi="宋体" w:cs="宋体"/>
          <w:sz w:val="24"/>
          <w:u w:val="single"/>
        </w:rPr>
        <w:t xml:space="preserve">                              </w:t>
      </w:r>
    </w:p>
    <w:p w14:paraId="05F0E1FE">
      <w:pPr>
        <w:spacing w:line="360" w:lineRule="auto"/>
        <w:ind w:firstLine="480" w:firstLineChars="200"/>
        <w:contextualSpacing/>
        <w:jc w:val="center"/>
        <w:rPr>
          <w:rFonts w:hint="eastAsia" w:ascii="宋体" w:hAnsi="宋体" w:cs="宋体"/>
          <w:sz w:val="24"/>
        </w:rPr>
      </w:pPr>
      <w:r>
        <w:rPr>
          <w:rFonts w:hint="eastAsia" w:ascii="宋体" w:hAnsi="宋体" w:cs="宋体"/>
          <w:sz w:val="24"/>
        </w:rPr>
        <w:t xml:space="preserve">                        年    月    日</w:t>
      </w:r>
    </w:p>
    <w:p w14:paraId="051A85D9">
      <w:pPr>
        <w:snapToGrid w:val="0"/>
        <w:jc w:val="center"/>
        <w:rPr>
          <w:rFonts w:hint="eastAsia" w:ascii="宋体" w:hAnsi="宋体"/>
          <w:b/>
          <w:sz w:val="28"/>
          <w:szCs w:val="28"/>
        </w:rPr>
      </w:pPr>
      <w:r>
        <w:rPr>
          <w:rFonts w:ascii="宋体" w:hAnsi="宋体"/>
          <w:b/>
          <w:sz w:val="28"/>
          <w:szCs w:val="28"/>
        </w:rPr>
        <w:br w:type="page"/>
      </w:r>
    </w:p>
    <w:p w14:paraId="658D8EA0">
      <w:pPr>
        <w:spacing w:line="320" w:lineRule="exact"/>
        <w:jc w:val="center"/>
        <w:rPr>
          <w:rFonts w:hint="eastAsia" w:ascii="宋体" w:hAnsi="宋体"/>
          <w:b/>
          <w:sz w:val="32"/>
          <w:szCs w:val="32"/>
        </w:rPr>
      </w:pPr>
      <w:r>
        <w:rPr>
          <w:rFonts w:hint="eastAsia" w:ascii="宋体" w:hAnsi="宋体"/>
          <w:b/>
          <w:sz w:val="32"/>
          <w:szCs w:val="32"/>
        </w:rPr>
        <w:t>供应商直接管理关系信息表（格式）</w:t>
      </w:r>
    </w:p>
    <w:p w14:paraId="02A58431">
      <w:pPr>
        <w:snapToGrid w:val="0"/>
        <w:spacing w:line="360" w:lineRule="auto"/>
        <w:jc w:val="center"/>
        <w:rPr>
          <w:rFonts w:hint="eastAsia" w:ascii="宋体" w:hAnsi="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172E85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CD0D24">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7DE08B">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1C036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BB1DCC">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相互关系</w:t>
            </w:r>
          </w:p>
        </w:tc>
      </w:tr>
      <w:tr w14:paraId="7BFFAF9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48F5AC">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05C909">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FE3A5C">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1197F7">
            <w:pPr>
              <w:widowControl/>
              <w:spacing w:line="360" w:lineRule="auto"/>
              <w:contextualSpacing/>
              <w:jc w:val="center"/>
              <w:rPr>
                <w:rFonts w:hint="eastAsia" w:ascii="宋体" w:hAnsi="宋体" w:cs="宋体"/>
                <w:kern w:val="0"/>
                <w:sz w:val="24"/>
              </w:rPr>
            </w:pPr>
          </w:p>
        </w:tc>
      </w:tr>
      <w:tr w14:paraId="108A4F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FF9A3C">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CC9EC7">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40DDC">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49B66">
            <w:pPr>
              <w:widowControl/>
              <w:spacing w:line="360" w:lineRule="auto"/>
              <w:contextualSpacing/>
              <w:jc w:val="center"/>
              <w:rPr>
                <w:rFonts w:hint="eastAsia" w:ascii="宋体" w:hAnsi="宋体" w:cs="宋体"/>
                <w:kern w:val="0"/>
                <w:sz w:val="24"/>
              </w:rPr>
            </w:pPr>
          </w:p>
        </w:tc>
      </w:tr>
      <w:tr w14:paraId="0276EA7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272A94">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994050">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452105">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107C22">
            <w:pPr>
              <w:widowControl/>
              <w:spacing w:line="360" w:lineRule="auto"/>
              <w:contextualSpacing/>
              <w:jc w:val="center"/>
              <w:rPr>
                <w:rFonts w:hint="eastAsia" w:ascii="宋体" w:hAnsi="宋体" w:cs="宋体"/>
                <w:kern w:val="0"/>
                <w:sz w:val="24"/>
              </w:rPr>
            </w:pPr>
          </w:p>
        </w:tc>
      </w:tr>
      <w:tr w14:paraId="1BE1846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0E717D">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24851A">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132C3C">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94C1F4">
            <w:pPr>
              <w:widowControl/>
              <w:spacing w:line="360" w:lineRule="auto"/>
              <w:contextualSpacing/>
              <w:jc w:val="center"/>
              <w:rPr>
                <w:rFonts w:hint="eastAsia" w:ascii="宋体" w:hAnsi="宋体" w:cs="宋体"/>
                <w:kern w:val="0"/>
                <w:sz w:val="24"/>
              </w:rPr>
            </w:pPr>
          </w:p>
        </w:tc>
      </w:tr>
    </w:tbl>
    <w:p w14:paraId="35A170A9">
      <w:pPr>
        <w:spacing w:line="360" w:lineRule="auto"/>
        <w:contextualSpacing/>
        <w:jc w:val="left"/>
        <w:rPr>
          <w:rFonts w:hint="eastAsia" w:ascii="宋体" w:hAnsi="宋体"/>
          <w:sz w:val="24"/>
        </w:rPr>
      </w:pPr>
      <w:r>
        <w:rPr>
          <w:rFonts w:hint="eastAsia" w:ascii="宋体" w:hAnsi="宋体"/>
          <w:sz w:val="24"/>
        </w:rPr>
        <w:t>注：</w:t>
      </w:r>
    </w:p>
    <w:p w14:paraId="0D6BC5EF">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7A9520B0">
      <w:pPr>
        <w:spacing w:line="360" w:lineRule="auto"/>
        <w:ind w:firstLine="480" w:firstLineChars="200"/>
        <w:contextualSpacing/>
        <w:jc w:val="left"/>
        <w:rPr>
          <w:rFonts w:hint="eastAsia" w:ascii="宋体" w:hAnsi="宋体"/>
          <w:sz w:val="24"/>
        </w:rPr>
      </w:pPr>
      <w:r>
        <w:rPr>
          <w:rFonts w:hint="eastAsia" w:ascii="宋体" w:hAnsi="宋体"/>
          <w:sz w:val="24"/>
        </w:rPr>
        <w:t>2.本表所指的管理关系仅限于直接管理关系，不包括间接的管理关系。</w:t>
      </w:r>
    </w:p>
    <w:p w14:paraId="4613E8FD">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04DDFEDE">
      <w:pPr>
        <w:spacing w:line="360" w:lineRule="auto"/>
        <w:contextualSpacing/>
        <w:jc w:val="left"/>
        <w:rPr>
          <w:rFonts w:hint="eastAsia" w:ascii="宋体" w:hAnsi="宋体"/>
          <w:sz w:val="28"/>
          <w:szCs w:val="28"/>
        </w:rPr>
      </w:pPr>
    </w:p>
    <w:p w14:paraId="53872CAA">
      <w:pPr>
        <w:spacing w:line="360" w:lineRule="auto"/>
        <w:contextualSpacing/>
        <w:jc w:val="left"/>
        <w:rPr>
          <w:rFonts w:hint="eastAsia" w:ascii="宋体" w:hAnsi="宋体"/>
          <w:sz w:val="28"/>
          <w:szCs w:val="28"/>
        </w:rPr>
      </w:pPr>
    </w:p>
    <w:p w14:paraId="03C9616F">
      <w:pPr>
        <w:spacing w:line="360" w:lineRule="auto"/>
        <w:contextualSpacing/>
        <w:jc w:val="left"/>
        <w:rPr>
          <w:sz w:val="28"/>
          <w:szCs w:val="28"/>
        </w:rPr>
      </w:pPr>
    </w:p>
    <w:p w14:paraId="5FAB9379">
      <w:pPr>
        <w:spacing w:line="360" w:lineRule="auto"/>
        <w:contextualSpacing/>
        <w:jc w:val="left"/>
        <w:rPr>
          <w:rFonts w:hint="eastAsia" w:ascii="宋体" w:hAnsi="宋体"/>
          <w:sz w:val="28"/>
          <w:szCs w:val="28"/>
        </w:rPr>
      </w:pPr>
    </w:p>
    <w:p w14:paraId="544572FB">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0758E1DA">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77DD136D">
      <w:pPr>
        <w:spacing w:line="360" w:lineRule="auto"/>
        <w:ind w:firstLine="480" w:firstLineChars="200"/>
        <w:contextualSpacing/>
        <w:jc w:val="left"/>
        <w:rPr>
          <w:rFonts w:hint="eastAsia" w:ascii="宋体" w:hAnsi="宋体"/>
          <w:sz w:val="24"/>
        </w:rPr>
      </w:pPr>
      <w:r>
        <w:rPr>
          <w:rFonts w:hint="eastAsia" w:ascii="宋体" w:hAnsi="宋体"/>
          <w:sz w:val="24"/>
        </w:rPr>
        <w:t xml:space="preserve">                                        年    月    日</w:t>
      </w:r>
    </w:p>
    <w:p w14:paraId="773F3561">
      <w:pPr>
        <w:pStyle w:val="12"/>
        <w:tabs>
          <w:tab w:val="left" w:pos="939"/>
        </w:tabs>
        <w:spacing w:line="360" w:lineRule="auto"/>
        <w:ind w:left="0" w:leftChars="0" w:firstLine="560" w:firstLineChars="200"/>
        <w:rPr>
          <w:rFonts w:hint="eastAsia" w:ascii="宋体" w:hAnsi="宋体"/>
          <w:sz w:val="28"/>
          <w:szCs w:val="28"/>
        </w:rPr>
      </w:pPr>
    </w:p>
    <w:p w14:paraId="4EEFC2F2">
      <w:pPr>
        <w:pStyle w:val="12"/>
        <w:tabs>
          <w:tab w:val="left" w:pos="939"/>
        </w:tabs>
        <w:spacing w:line="360" w:lineRule="auto"/>
        <w:ind w:left="980" w:hanging="560"/>
        <w:rPr>
          <w:rFonts w:hint="eastAsia" w:ascii="宋体" w:hAnsi="宋体"/>
          <w:sz w:val="28"/>
          <w:szCs w:val="28"/>
        </w:rPr>
      </w:pPr>
    </w:p>
    <w:p w14:paraId="5F16AFBB">
      <w:pPr>
        <w:pStyle w:val="12"/>
        <w:tabs>
          <w:tab w:val="left" w:pos="939"/>
        </w:tabs>
        <w:spacing w:line="360" w:lineRule="auto"/>
        <w:ind w:left="980" w:hanging="560"/>
        <w:rPr>
          <w:rFonts w:hint="eastAsia" w:ascii="宋体" w:hAnsi="宋体"/>
          <w:sz w:val="28"/>
          <w:szCs w:val="28"/>
        </w:rPr>
      </w:pPr>
    </w:p>
    <w:p w14:paraId="04606F68">
      <w:pPr>
        <w:pStyle w:val="12"/>
        <w:tabs>
          <w:tab w:val="left" w:pos="939"/>
        </w:tabs>
        <w:spacing w:line="360" w:lineRule="auto"/>
        <w:ind w:left="980" w:hanging="560"/>
        <w:rPr>
          <w:rFonts w:hint="eastAsia" w:ascii="宋体" w:hAnsi="宋体"/>
          <w:sz w:val="28"/>
          <w:szCs w:val="28"/>
        </w:rPr>
      </w:pPr>
    </w:p>
    <w:p w14:paraId="029E8D6D">
      <w:pPr>
        <w:pStyle w:val="12"/>
        <w:tabs>
          <w:tab w:val="left" w:pos="939"/>
        </w:tabs>
        <w:spacing w:line="360" w:lineRule="auto"/>
        <w:ind w:left="980" w:hanging="560"/>
        <w:rPr>
          <w:rFonts w:hint="eastAsia" w:ascii="宋体" w:hAnsi="宋体"/>
          <w:sz w:val="28"/>
          <w:szCs w:val="28"/>
        </w:rPr>
      </w:pPr>
    </w:p>
    <w:p w14:paraId="17A43B42">
      <w:pPr>
        <w:pStyle w:val="12"/>
        <w:tabs>
          <w:tab w:val="left" w:pos="939"/>
        </w:tabs>
        <w:spacing w:line="360" w:lineRule="auto"/>
        <w:ind w:left="980" w:hanging="560"/>
        <w:rPr>
          <w:rFonts w:hint="eastAsia" w:ascii="宋体" w:hAnsi="宋体"/>
          <w:sz w:val="28"/>
          <w:szCs w:val="28"/>
        </w:rPr>
      </w:pPr>
    </w:p>
    <w:p w14:paraId="12821059">
      <w:pPr>
        <w:spacing w:line="500" w:lineRule="exact"/>
        <w:jc w:val="center"/>
        <w:rPr>
          <w:rFonts w:hint="eastAsia" w:ascii="宋体" w:hAnsi="宋体"/>
          <w:b/>
          <w:sz w:val="32"/>
          <w:szCs w:val="32"/>
        </w:rPr>
      </w:pPr>
      <w:bookmarkStart w:id="74" w:name="_Toc71365926"/>
      <w:r>
        <w:rPr>
          <w:rFonts w:hint="eastAsia" w:ascii="宋体" w:hAnsi="宋体"/>
          <w:b/>
          <w:sz w:val="32"/>
          <w:szCs w:val="32"/>
        </w:rPr>
        <w:t>中小企业声明函（工程）</w:t>
      </w:r>
      <w:bookmarkEnd w:id="74"/>
    </w:p>
    <w:p w14:paraId="22B9E7BF">
      <w:pPr>
        <w:pStyle w:val="10"/>
        <w:spacing w:line="500" w:lineRule="exact"/>
        <w:ind w:right="142" w:firstLine="705" w:firstLineChars="294"/>
        <w:rPr>
          <w:rFonts w:hint="eastAsia" w:hAnsi="宋体"/>
          <w:sz w:val="24"/>
        </w:rPr>
      </w:pPr>
    </w:p>
    <w:p w14:paraId="50FC53D1">
      <w:pPr>
        <w:pStyle w:val="10"/>
        <w:spacing w:line="500" w:lineRule="exact"/>
        <w:ind w:right="142" w:firstLine="705" w:firstLineChars="294"/>
        <w:rPr>
          <w:rFonts w:hint="eastAsia" w:hAnsi="宋体"/>
          <w:sz w:val="24"/>
        </w:rPr>
      </w:pPr>
      <w:r>
        <w:rPr>
          <w:rFonts w:hAnsi="宋体"/>
          <w:sz w:val="24"/>
        </w:rPr>
        <w:t>本公司（联合体）郑重声明，根据《政府采购促进中小企业发展管理办法》（财库﹝2020﹞46号）的规定，本公司（联合体）参加</w:t>
      </w:r>
      <w:r>
        <w:rPr>
          <w:rFonts w:hAnsi="宋体"/>
          <w:sz w:val="24"/>
          <w:u w:val="single"/>
        </w:rPr>
        <w:t>（单位名称）</w:t>
      </w:r>
      <w:r>
        <w:rPr>
          <w:rFonts w:hAnsi="宋体"/>
          <w:sz w:val="24"/>
        </w:rPr>
        <w:t>的</w:t>
      </w:r>
      <w:r>
        <w:rPr>
          <w:rFonts w:hAnsi="宋体"/>
          <w:sz w:val="24"/>
          <w:u w:val="single"/>
        </w:rPr>
        <w:t>（项目名称）</w:t>
      </w:r>
      <w:r>
        <w:rPr>
          <w:rFonts w:hAnsi="宋体"/>
          <w:sz w:val="24"/>
        </w:rPr>
        <w:t>采购活动，</w:t>
      </w:r>
      <w:r>
        <w:rPr>
          <w:rFonts w:hint="eastAsia" w:hAnsi="宋体"/>
          <w:sz w:val="24"/>
        </w:rPr>
        <w:t>工程的施工单位全部为符合政策要求的中小企业。相关企业（含联合体中的中小企业、签订分包意向协议的中小企业）的具体情况如下：</w:t>
      </w:r>
    </w:p>
    <w:p w14:paraId="7B285310">
      <w:pPr>
        <w:tabs>
          <w:tab w:val="left" w:pos="1384"/>
          <w:tab w:val="left" w:pos="4562"/>
          <w:tab w:val="left" w:pos="6803"/>
        </w:tabs>
        <w:spacing w:before="13" w:line="500" w:lineRule="exact"/>
        <w:ind w:right="142" w:firstLine="480" w:firstLineChars="200"/>
        <w:rPr>
          <w:rFonts w:hint="eastAsia"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55077A5B">
      <w:pPr>
        <w:tabs>
          <w:tab w:val="left" w:pos="1065"/>
          <w:tab w:val="left" w:pos="4262"/>
          <w:tab w:val="left" w:pos="6477"/>
        </w:tabs>
        <w:spacing w:before="20" w:line="500" w:lineRule="exact"/>
        <w:ind w:right="84" w:firstLine="480" w:firstLineChars="200"/>
        <w:rPr>
          <w:rFonts w:hint="eastAsia"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1AEDE47B">
      <w:pPr>
        <w:pStyle w:val="10"/>
        <w:spacing w:before="34" w:line="500" w:lineRule="exact"/>
        <w:ind w:right="142" w:firstLine="705" w:firstLineChars="294"/>
        <w:rPr>
          <w:rFonts w:hint="eastAsia" w:hAnsi="宋体"/>
          <w:sz w:val="24"/>
        </w:rPr>
      </w:pPr>
      <w:r>
        <w:rPr>
          <w:rFonts w:hAnsi="宋体"/>
          <w:sz w:val="24"/>
        </w:rPr>
        <w:t xml:space="preserve">…… </w:t>
      </w:r>
    </w:p>
    <w:p w14:paraId="3362F9FB">
      <w:pPr>
        <w:pStyle w:val="10"/>
        <w:spacing w:before="34" w:line="500" w:lineRule="exact"/>
        <w:ind w:right="142" w:firstLine="723" w:firstLineChars="200"/>
        <w:rPr>
          <w:rFonts w:hint="eastAsia" w:hAnsi="宋体"/>
          <w:b/>
          <w:bCs/>
          <w:sz w:val="36"/>
          <w:szCs w:val="24"/>
        </w:rPr>
      </w:pPr>
      <w:r>
        <w:rPr>
          <w:rFonts w:hAnsi="宋体"/>
          <w:b/>
          <w:bCs/>
          <w:sz w:val="36"/>
          <w:szCs w:val="24"/>
        </w:rPr>
        <w:t>以上企业，不属于大企业的分支机构，不存在控股股东为大企业的情形，也不存在与大企业的负责人为同一人的情形。</w:t>
      </w:r>
    </w:p>
    <w:p w14:paraId="771CEDF8">
      <w:pPr>
        <w:pStyle w:val="10"/>
        <w:spacing w:before="25" w:line="500" w:lineRule="exact"/>
        <w:ind w:right="142" w:firstLine="480" w:firstLineChars="200"/>
        <w:rPr>
          <w:rFonts w:hint="eastAsia" w:hAnsi="宋体"/>
          <w:sz w:val="24"/>
        </w:rPr>
      </w:pPr>
      <w:r>
        <w:rPr>
          <w:rFonts w:hAnsi="宋体"/>
          <w:sz w:val="24"/>
        </w:rPr>
        <w:t>本企业对上述声明内容的真实性负责。如有虚假，将依法承担相应责任。</w:t>
      </w:r>
    </w:p>
    <w:p w14:paraId="2BE2307E">
      <w:pPr>
        <w:pStyle w:val="10"/>
        <w:spacing w:before="56" w:line="500" w:lineRule="exact"/>
        <w:ind w:right="1808" w:firstLine="705" w:firstLineChars="294"/>
        <w:rPr>
          <w:rFonts w:hint="eastAsia" w:hAnsi="宋体"/>
          <w:sz w:val="24"/>
        </w:rPr>
      </w:pPr>
    </w:p>
    <w:p w14:paraId="1F6B0CBF">
      <w:pPr>
        <w:pStyle w:val="10"/>
        <w:spacing w:before="56" w:line="500" w:lineRule="exact"/>
        <w:ind w:right="650" w:firstLine="5625" w:firstLineChars="2344"/>
        <w:rPr>
          <w:rFonts w:hint="eastAsia" w:hAnsi="宋体"/>
          <w:sz w:val="24"/>
        </w:rPr>
      </w:pPr>
      <w:r>
        <w:rPr>
          <w:rFonts w:hAnsi="宋体"/>
          <w:sz w:val="24"/>
        </w:rPr>
        <w:t>企业名称（</w:t>
      </w:r>
      <w:r>
        <w:rPr>
          <w:rFonts w:hint="eastAsia" w:hAnsi="宋体"/>
          <w:sz w:val="24"/>
          <w:szCs w:val="24"/>
        </w:rPr>
        <w:t>电子签章</w:t>
      </w:r>
      <w:r>
        <w:rPr>
          <w:rFonts w:hAnsi="宋体"/>
          <w:sz w:val="24"/>
        </w:rPr>
        <w:t xml:space="preserve">）： </w:t>
      </w:r>
    </w:p>
    <w:p w14:paraId="68D4ACFD">
      <w:pPr>
        <w:pStyle w:val="10"/>
        <w:spacing w:before="56" w:line="500" w:lineRule="exact"/>
        <w:ind w:right="1808" w:firstLine="5625" w:firstLineChars="2344"/>
        <w:rPr>
          <w:rFonts w:hint="eastAsia" w:hAnsi="宋体"/>
          <w:sz w:val="24"/>
        </w:rPr>
      </w:pPr>
      <w:r>
        <w:rPr>
          <w:rFonts w:hAnsi="宋体"/>
          <w:sz w:val="24"/>
        </w:rPr>
        <w:t>日 期：</w:t>
      </w:r>
    </w:p>
    <w:p w14:paraId="41FD4931">
      <w:pPr>
        <w:pStyle w:val="10"/>
        <w:spacing w:before="56" w:line="500" w:lineRule="exact"/>
        <w:ind w:right="1808" w:firstLine="5625" w:firstLineChars="2344"/>
        <w:rPr>
          <w:rFonts w:hint="eastAsia" w:hAnsi="宋体"/>
          <w:sz w:val="24"/>
        </w:rPr>
      </w:pPr>
    </w:p>
    <w:p w14:paraId="2CEDAA21">
      <w:pPr>
        <w:spacing w:line="520" w:lineRule="exact"/>
        <w:ind w:firstLine="480" w:firstLineChars="200"/>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4A478D9">
      <w:pPr>
        <w:spacing w:line="520" w:lineRule="exact"/>
        <w:jc w:val="center"/>
        <w:rPr>
          <w:rFonts w:hint="eastAsia"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0"/>
          <w:szCs w:val="40"/>
        </w:rPr>
        <w:t>残疾人福利性单位声明函</w:t>
      </w:r>
    </w:p>
    <w:p w14:paraId="24BCF3E7">
      <w:pPr>
        <w:spacing w:line="360" w:lineRule="auto"/>
        <w:contextualSpacing/>
        <w:rPr>
          <w:rFonts w:hint="eastAsia" w:ascii="仿宋_GB2312" w:hAnsi="仿宋_GB2312" w:eastAsia="仿宋_GB2312" w:cs="仿宋_GB2312"/>
          <w:sz w:val="32"/>
          <w:szCs w:val="32"/>
        </w:rPr>
      </w:pPr>
    </w:p>
    <w:p w14:paraId="7FE59AF0">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2675E7F8">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1450D576">
      <w:pPr>
        <w:spacing w:line="360" w:lineRule="auto"/>
        <w:contextualSpacing/>
        <w:rPr>
          <w:rFonts w:hint="eastAsia" w:ascii="宋体" w:hAnsi="宋体" w:cs="仿宋_GB2312"/>
          <w:sz w:val="24"/>
        </w:rPr>
      </w:pPr>
    </w:p>
    <w:p w14:paraId="7C19C477">
      <w:pPr>
        <w:spacing w:line="360" w:lineRule="auto"/>
        <w:contextualSpacing/>
        <w:rPr>
          <w:rFonts w:hint="eastAsia" w:ascii="宋体" w:hAnsi="宋体" w:cs="仿宋_GB2312"/>
          <w:sz w:val="24"/>
        </w:rPr>
      </w:pPr>
    </w:p>
    <w:p w14:paraId="0392F6B4">
      <w:pPr>
        <w:spacing w:line="360" w:lineRule="auto"/>
        <w:contextualSpacing/>
        <w:rPr>
          <w:rFonts w:hint="eastAsia" w:ascii="宋体" w:hAnsi="宋体" w:cs="仿宋_GB2312"/>
          <w:sz w:val="24"/>
        </w:rPr>
      </w:pPr>
    </w:p>
    <w:p w14:paraId="380F1967">
      <w:pPr>
        <w:spacing w:line="360" w:lineRule="auto"/>
        <w:ind w:firstLine="4560" w:firstLineChars="1900"/>
        <w:contextualSpacing/>
        <w:rPr>
          <w:rFonts w:hint="eastAsia" w:ascii="宋体" w:hAnsi="宋体" w:cs="仿宋_GB2312"/>
          <w:sz w:val="24"/>
        </w:rPr>
      </w:pPr>
      <w:r>
        <w:rPr>
          <w:rFonts w:hint="eastAsia" w:ascii="宋体" w:hAnsi="宋体" w:cs="仿宋_GB2312"/>
          <w:sz w:val="24"/>
        </w:rPr>
        <w:t>单位名称（</w:t>
      </w:r>
      <w:r>
        <w:rPr>
          <w:rFonts w:hint="eastAsia" w:ascii="宋体" w:hAnsi="宋体"/>
          <w:sz w:val="24"/>
        </w:rPr>
        <w:t>电子签章</w:t>
      </w:r>
      <w:r>
        <w:rPr>
          <w:rFonts w:hint="eastAsia" w:ascii="宋体" w:hAnsi="宋体" w:cs="仿宋_GB2312"/>
          <w:sz w:val="24"/>
        </w:rPr>
        <w:t>）：</w:t>
      </w:r>
    </w:p>
    <w:p w14:paraId="364E5F3B">
      <w:pPr>
        <w:spacing w:line="360" w:lineRule="auto"/>
        <w:ind w:firstLine="5040" w:firstLineChars="2100"/>
        <w:contextualSpacing/>
        <w:rPr>
          <w:rFonts w:hint="eastAsia" w:ascii="宋体" w:hAnsi="宋体" w:cs="仿宋_GB2312"/>
          <w:sz w:val="24"/>
        </w:rPr>
      </w:pPr>
      <w:r>
        <w:rPr>
          <w:rFonts w:hint="eastAsia" w:ascii="宋体" w:hAnsi="宋体" w:cs="仿宋_GB2312"/>
          <w:sz w:val="24"/>
        </w:rPr>
        <w:t>日  期：</w:t>
      </w:r>
    </w:p>
    <w:p w14:paraId="77A839F7">
      <w:pPr>
        <w:spacing w:line="360" w:lineRule="auto"/>
        <w:contextualSpacing/>
        <w:rPr>
          <w:rFonts w:hint="eastAsia" w:ascii="宋体" w:hAnsi="宋体" w:cs="仿宋_GB2312"/>
          <w:sz w:val="24"/>
        </w:rPr>
      </w:pPr>
    </w:p>
    <w:p w14:paraId="0BC4A947">
      <w:pPr>
        <w:spacing w:line="360" w:lineRule="auto"/>
        <w:contextualSpacing/>
        <w:rPr>
          <w:rFonts w:hint="eastAsia" w:ascii="宋体" w:hAnsi="宋体" w:cs="仿宋_GB2312"/>
          <w:sz w:val="24"/>
        </w:rPr>
      </w:pPr>
    </w:p>
    <w:p w14:paraId="129EB5AE">
      <w:pPr>
        <w:spacing w:line="360" w:lineRule="auto"/>
        <w:contextualSpacing/>
        <w:rPr>
          <w:rFonts w:hint="eastAsia" w:ascii="宋体" w:hAnsi="宋体" w:cs="仿宋_GB2312"/>
          <w:sz w:val="24"/>
        </w:rPr>
      </w:pPr>
    </w:p>
    <w:p w14:paraId="6DAC801E">
      <w:pPr>
        <w:pStyle w:val="12"/>
        <w:tabs>
          <w:tab w:val="left" w:pos="939"/>
        </w:tabs>
        <w:spacing w:line="360" w:lineRule="auto"/>
        <w:ind w:left="0" w:leftChars="0" w:firstLine="720" w:firstLineChars="300"/>
        <w:rPr>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sz w:val="28"/>
          <w:szCs w:val="28"/>
        </w:rPr>
        <w:br w:type="page"/>
      </w:r>
    </w:p>
    <w:p w14:paraId="0DBBE9AD">
      <w:pPr>
        <w:spacing w:line="360" w:lineRule="auto"/>
        <w:ind w:right="420"/>
        <w:contextualSpacing/>
        <w:jc w:val="left"/>
        <w:rPr>
          <w:rFonts w:hint="eastAsia" w:ascii="宋体" w:hAnsi="宋体"/>
          <w:b/>
          <w:sz w:val="32"/>
          <w:szCs w:val="32"/>
        </w:rPr>
      </w:pPr>
      <w:r>
        <w:rPr>
          <w:rFonts w:hint="eastAsia" w:ascii="宋体" w:hAnsi="宋体"/>
          <w:b/>
          <w:bCs/>
          <w:sz w:val="32"/>
          <w:szCs w:val="32"/>
        </w:rPr>
        <w:t>二、</w:t>
      </w:r>
      <w:r>
        <w:rPr>
          <w:rFonts w:hint="eastAsia" w:ascii="宋体" w:hAnsi="宋体"/>
          <w:b/>
          <w:sz w:val="32"/>
          <w:szCs w:val="32"/>
        </w:rPr>
        <w:t xml:space="preserve">报价文件格式 </w:t>
      </w:r>
    </w:p>
    <w:p w14:paraId="7D003F2D">
      <w:pPr>
        <w:snapToGrid w:val="0"/>
        <w:spacing w:before="156" w:beforeLines="50" w:after="50" w:line="360" w:lineRule="auto"/>
        <w:jc w:val="left"/>
        <w:rPr>
          <w:rFonts w:hint="eastAsia" w:ascii="宋体" w:hAnsi="宋体"/>
          <w:b/>
          <w:sz w:val="32"/>
          <w:szCs w:val="32"/>
        </w:rPr>
      </w:pPr>
      <w:r>
        <w:rPr>
          <w:rFonts w:hint="eastAsia" w:ascii="宋体" w:hAnsi="宋体"/>
          <w:b/>
          <w:sz w:val="32"/>
          <w:szCs w:val="32"/>
        </w:rPr>
        <w:t>1.报价文件封面格式</w:t>
      </w:r>
    </w:p>
    <w:p w14:paraId="0D849D6F">
      <w:pPr>
        <w:snapToGrid w:val="0"/>
        <w:spacing w:before="156" w:beforeLines="50" w:after="50"/>
        <w:rPr>
          <w:rFonts w:hint="eastAsia" w:ascii="宋体" w:hAnsi="宋体"/>
          <w:bCs/>
          <w:sz w:val="32"/>
          <w:szCs w:val="20"/>
        </w:rPr>
      </w:pPr>
      <w:r>
        <w:rPr>
          <w:rFonts w:hint="eastAsia" w:ascii="宋体" w:hAnsi="宋体"/>
          <w:sz w:val="24"/>
        </w:rPr>
        <w:t xml:space="preserve">                                                    </w:t>
      </w:r>
    </w:p>
    <w:p w14:paraId="33985702">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764EBD97">
      <w:pPr>
        <w:snapToGrid w:val="0"/>
        <w:spacing w:before="156" w:beforeLines="50" w:after="50"/>
        <w:rPr>
          <w:rFonts w:hint="eastAsia" w:ascii="宋体" w:hAnsi="宋体"/>
          <w:sz w:val="24"/>
          <w:szCs w:val="20"/>
        </w:rPr>
      </w:pPr>
    </w:p>
    <w:p w14:paraId="45CC5034">
      <w:pPr>
        <w:snapToGrid w:val="0"/>
        <w:spacing w:before="156" w:beforeLines="50" w:after="50"/>
        <w:rPr>
          <w:rFonts w:hint="eastAsia" w:ascii="宋体" w:hAnsi="宋体"/>
          <w:sz w:val="24"/>
          <w:szCs w:val="20"/>
        </w:rPr>
      </w:pPr>
    </w:p>
    <w:p w14:paraId="4A2DA897">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54A9908E">
      <w:pPr>
        <w:snapToGrid w:val="0"/>
        <w:spacing w:before="156" w:beforeLines="50" w:after="50"/>
        <w:rPr>
          <w:rFonts w:hint="eastAsia" w:ascii="宋体" w:hAnsi="宋体"/>
          <w:bCs/>
          <w:sz w:val="24"/>
          <w:szCs w:val="20"/>
        </w:rPr>
      </w:pPr>
    </w:p>
    <w:p w14:paraId="081B806A">
      <w:pPr>
        <w:snapToGrid w:val="0"/>
        <w:spacing w:before="156" w:beforeLines="50" w:after="50"/>
        <w:rPr>
          <w:rFonts w:hint="eastAsia" w:ascii="宋体" w:hAnsi="宋体"/>
          <w:bCs/>
          <w:sz w:val="24"/>
          <w:szCs w:val="20"/>
        </w:rPr>
      </w:pPr>
    </w:p>
    <w:p w14:paraId="221A1A68">
      <w:pPr>
        <w:snapToGrid w:val="0"/>
        <w:spacing w:before="156" w:beforeLines="50" w:after="50"/>
        <w:rPr>
          <w:rFonts w:hint="eastAsia" w:ascii="宋体" w:hAnsi="宋体"/>
          <w:bCs/>
          <w:sz w:val="24"/>
          <w:szCs w:val="20"/>
        </w:rPr>
      </w:pPr>
    </w:p>
    <w:p w14:paraId="5E73CE96">
      <w:pPr>
        <w:snapToGrid w:val="0"/>
        <w:spacing w:before="156" w:beforeLines="50" w:after="50"/>
        <w:rPr>
          <w:rFonts w:hint="eastAsia" w:ascii="宋体" w:hAnsi="宋体"/>
          <w:bCs/>
          <w:sz w:val="24"/>
          <w:szCs w:val="20"/>
        </w:rPr>
      </w:pPr>
    </w:p>
    <w:p w14:paraId="1BC94349">
      <w:pPr>
        <w:snapToGrid w:val="0"/>
        <w:spacing w:before="156" w:beforeLines="50" w:after="50"/>
        <w:rPr>
          <w:rFonts w:hint="eastAsia" w:ascii="宋体" w:hAnsi="宋体"/>
          <w:bCs/>
          <w:sz w:val="24"/>
          <w:szCs w:val="20"/>
        </w:rPr>
      </w:pPr>
    </w:p>
    <w:p w14:paraId="1327057D">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B0A4834">
      <w:pPr>
        <w:snapToGrid w:val="0"/>
        <w:spacing w:before="156" w:beforeLines="50" w:after="50"/>
        <w:ind w:firstLine="720" w:firstLineChars="225"/>
        <w:rPr>
          <w:rFonts w:hint="eastAsia" w:ascii="宋体" w:hAnsi="宋体" w:cs="仿宋_GB2312"/>
          <w:bCs/>
          <w:sz w:val="32"/>
          <w:szCs w:val="32"/>
        </w:rPr>
      </w:pPr>
    </w:p>
    <w:p w14:paraId="3480CAC8">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4BF036F8">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5979998A">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供应商名称：</w:t>
      </w:r>
    </w:p>
    <w:p w14:paraId="29042DFB">
      <w:pPr>
        <w:pStyle w:val="8"/>
        <w:snapToGrid w:val="0"/>
        <w:spacing w:before="50" w:after="50"/>
        <w:ind w:firstLine="640"/>
        <w:rPr>
          <w:rFonts w:hint="eastAsia" w:ascii="宋体" w:hAnsi="宋体" w:cs="仿宋_GB2312"/>
          <w:bCs/>
          <w:sz w:val="32"/>
          <w:szCs w:val="32"/>
        </w:rPr>
      </w:pPr>
    </w:p>
    <w:p w14:paraId="2064D0C6">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供应商地址：</w:t>
      </w:r>
    </w:p>
    <w:p w14:paraId="56AA068F">
      <w:pPr>
        <w:pStyle w:val="8"/>
        <w:snapToGrid w:val="0"/>
        <w:spacing w:before="50" w:after="50"/>
        <w:ind w:firstLine="640"/>
        <w:rPr>
          <w:rFonts w:hint="eastAsia" w:ascii="宋体" w:hAnsi="宋体" w:cs="仿宋_GB2312"/>
          <w:bCs/>
          <w:sz w:val="32"/>
          <w:szCs w:val="32"/>
        </w:rPr>
      </w:pPr>
    </w:p>
    <w:p w14:paraId="53CA727E">
      <w:pPr>
        <w:pStyle w:val="8"/>
        <w:snapToGrid w:val="0"/>
        <w:spacing w:before="50" w:after="50"/>
        <w:ind w:firstLine="720" w:firstLineChars="225"/>
        <w:rPr>
          <w:rFonts w:hint="eastAsia" w:ascii="宋体" w:hAnsi="宋体" w:cs="仿宋_GB2312"/>
          <w:bCs/>
          <w:sz w:val="32"/>
          <w:szCs w:val="32"/>
        </w:rPr>
      </w:pPr>
    </w:p>
    <w:p w14:paraId="18971DBF">
      <w:pPr>
        <w:pStyle w:val="8"/>
        <w:snapToGrid w:val="0"/>
        <w:spacing w:before="50" w:after="50"/>
        <w:ind w:firstLine="640"/>
        <w:rPr>
          <w:rFonts w:hint="eastAsia" w:ascii="宋体" w:hAnsi="宋体" w:cs="仿宋_GB2312"/>
          <w:bCs/>
          <w:sz w:val="32"/>
          <w:szCs w:val="32"/>
        </w:rPr>
      </w:pPr>
    </w:p>
    <w:p w14:paraId="785CF748">
      <w:pPr>
        <w:pStyle w:val="8"/>
        <w:snapToGrid w:val="0"/>
        <w:spacing w:before="50" w:after="50"/>
        <w:ind w:firstLine="1280" w:firstLineChars="400"/>
        <w:rPr>
          <w:rFonts w:hint="eastAsia" w:ascii="宋体" w:hAnsi="宋体" w:cs="仿宋_GB2312"/>
          <w:bCs/>
          <w:sz w:val="32"/>
          <w:szCs w:val="32"/>
        </w:rPr>
      </w:pPr>
    </w:p>
    <w:p w14:paraId="21878FA0">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689DBA60">
      <w:pPr>
        <w:snapToGrid w:val="0"/>
        <w:spacing w:before="156" w:beforeLines="50" w:after="50" w:line="360" w:lineRule="auto"/>
        <w:ind w:left="142"/>
        <w:jc w:val="left"/>
        <w:rPr>
          <w:rFonts w:hint="eastAsia"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0603D922">
      <w:pPr>
        <w:autoSpaceDE w:val="0"/>
        <w:autoSpaceDN w:val="0"/>
        <w:adjustRightInd w:val="0"/>
        <w:spacing w:line="360" w:lineRule="auto"/>
        <w:ind w:firstLine="640" w:firstLineChars="200"/>
        <w:rPr>
          <w:rFonts w:hint="eastAsia" w:ascii="宋体" w:hAnsi="宋体"/>
          <w:b/>
          <w:bCs/>
          <w:sz w:val="32"/>
          <w:szCs w:val="32"/>
        </w:rPr>
      </w:pPr>
      <w:r>
        <w:rPr>
          <w:rFonts w:hint="eastAsia" w:ascii="宋体" w:hAnsi="宋体"/>
          <w:sz w:val="32"/>
          <w:szCs w:val="32"/>
        </w:rPr>
        <w:t>根据磋商文件规定及供应商提供的材料自行编写目录（部分格式后附）。</w:t>
      </w:r>
      <w:r>
        <w:rPr>
          <w:rFonts w:ascii="宋体" w:hAnsi="宋体"/>
          <w:b/>
          <w:bCs/>
          <w:sz w:val="32"/>
          <w:szCs w:val="32"/>
        </w:rPr>
        <w:br w:type="page"/>
      </w:r>
    </w:p>
    <w:p w14:paraId="5CADA22D">
      <w:pPr>
        <w:pStyle w:val="47"/>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磋商函（格式）</w:t>
      </w:r>
    </w:p>
    <w:p w14:paraId="0C33745D">
      <w:pPr>
        <w:pStyle w:val="47"/>
        <w:jc w:val="both"/>
        <w:rPr>
          <w:rFonts w:hint="eastAsia" w:asciiTheme="majorEastAsia" w:hAnsiTheme="majorEastAsia" w:eastAsiaTheme="majorEastAsia" w:cstheme="majorEastAsia"/>
          <w:color w:val="auto"/>
        </w:rPr>
      </w:pPr>
    </w:p>
    <w:p w14:paraId="2D03C95C">
      <w:pPr>
        <w:spacing w:line="360" w:lineRule="auto"/>
        <w:contextualSpacing/>
        <w:rPr>
          <w:rFonts w:hint="eastAsia"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（采购人名称）</w:t>
      </w:r>
    </w:p>
    <w:p w14:paraId="0550A365">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1、根据你方项目编号为</w:t>
      </w:r>
      <w:r>
        <w:rPr>
          <w:rFonts w:hint="eastAsia" w:asciiTheme="majorEastAsia" w:hAnsiTheme="majorEastAsia" w:eastAsiaTheme="majorEastAsia" w:cstheme="majorEastAsia"/>
          <w:color w:val="auto"/>
          <w:u w:val="single"/>
        </w:rPr>
        <w:t xml:space="preserve">    （项目编号）   </w:t>
      </w:r>
      <w:r>
        <w:rPr>
          <w:rFonts w:hint="eastAsia" w:asciiTheme="majorEastAsia" w:hAnsiTheme="majorEastAsia" w:eastAsiaTheme="majorEastAsia" w:cstheme="majorEastAsia"/>
          <w:color w:val="auto"/>
        </w:rPr>
        <w:t>的</w:t>
      </w:r>
      <w:r>
        <w:rPr>
          <w:rFonts w:hint="eastAsia" w:asciiTheme="majorEastAsia" w:hAnsiTheme="majorEastAsia" w:eastAsiaTheme="majorEastAsia" w:cstheme="majorEastAsia"/>
          <w:color w:val="auto"/>
          <w:u w:val="single"/>
        </w:rPr>
        <w:t xml:space="preserve">   （项目名称）   </w:t>
      </w:r>
      <w:r>
        <w:rPr>
          <w:rFonts w:hint="eastAsia" w:asciiTheme="majorEastAsia" w:hAnsiTheme="majorEastAsia" w:eastAsiaTheme="majorEastAsia" w:cstheme="majorEastAsia"/>
          <w:color w:val="auto"/>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u w:val="single"/>
        </w:rPr>
        <w:t>（</w:t>
      </w:r>
      <w:r>
        <w:rPr>
          <w:rFonts w:ascii="Arial" w:hAnsi="Arial" w:cs="Arial" w:eastAsiaTheme="majorEastAsia"/>
          <w:color w:val="auto"/>
          <w:u w:val="single"/>
        </w:rPr>
        <w:t>¥</w:t>
      </w:r>
      <w:r>
        <w:rPr>
          <w:rFonts w:hint="eastAsia" w:asciiTheme="majorEastAsia" w:hAnsiTheme="majorEastAsia" w:eastAsiaTheme="majorEastAsia" w:cstheme="majorEastAsia"/>
          <w:color w:val="auto"/>
          <w:u w:val="single"/>
        </w:rPr>
        <w:t xml:space="preserve">         元）</w:t>
      </w:r>
      <w:r>
        <w:rPr>
          <w:rFonts w:hint="eastAsia" w:asciiTheme="majorEastAsia" w:hAnsiTheme="majorEastAsia" w:eastAsiaTheme="majorEastAsia" w:cstheme="majorEastAsia"/>
          <w:color w:val="auto"/>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等级。</w:t>
      </w:r>
    </w:p>
    <w:p w14:paraId="01990C6C">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2、我方已详细审核全部竞争性磋商文件，包括修改文件（如有时）及有关附件。</w:t>
      </w:r>
    </w:p>
    <w:p w14:paraId="677E3D96">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3、我方承认磋商函附录是我方磋商函的组成部分。</w:t>
      </w:r>
    </w:p>
    <w:p w14:paraId="710D7FBA">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4、我方承诺已经具备《中华人民共和国政府采购法》中规定的参加招标投标采购活动的供应商应当具备的条件：</w:t>
      </w:r>
    </w:p>
    <w:p w14:paraId="2DE9FEE1">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（1）具有独立承担民事责任的能力；</w:t>
      </w:r>
    </w:p>
    <w:p w14:paraId="04E3BE68">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（2）具有良好的商业信誉和健全的财务会计制度；</w:t>
      </w:r>
    </w:p>
    <w:p w14:paraId="300C45E4">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（3）具有履行合同所必需的设备和专业技术能力；</w:t>
      </w:r>
    </w:p>
    <w:p w14:paraId="61E218D0">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（4）有依法缴纳税收和社会保障资金的良好记录；</w:t>
      </w:r>
    </w:p>
    <w:p w14:paraId="39DECD5D">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（5）参加招标投标采购活动前三年内，在经营活动中没有重大违法记录；</w:t>
      </w:r>
    </w:p>
    <w:p w14:paraId="33792E8B">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（6）法律、行政法规规定的其他条件。</w:t>
      </w:r>
    </w:p>
    <w:p w14:paraId="4AFB6875">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5、一旦我方成交，我方保证按合同书中规定的工期</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日历天内完成并移交全部工程。</w:t>
      </w:r>
    </w:p>
    <w:p w14:paraId="29E321CE">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6、如果我方成交，我方将按照文件规定提交履约保证金作为履约担保。</w:t>
      </w:r>
    </w:p>
    <w:p w14:paraId="09949263">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7、我方同意所提交的响应文件在竞争性磋商文件的“磋商须知”中第 11 条规定的响应文件有效期内有效，在此期间内如果成交，我方将受此约束。</w:t>
      </w:r>
    </w:p>
    <w:p w14:paraId="23C09C6F">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8、除非另外达成协议并生效，你方的成交通知书和本响应文件将成为约束双方的合同文件的组成部分。</w:t>
      </w:r>
    </w:p>
    <w:p w14:paraId="2F3E1834">
      <w:pPr>
        <w:pStyle w:val="47"/>
        <w:spacing w:line="400" w:lineRule="exact"/>
        <w:ind w:firstLine="420" w:firstLineChars="200"/>
        <w:jc w:val="both"/>
        <w:rPr>
          <w:rFonts w:hint="eastAsia" w:asciiTheme="majorEastAsia" w:hAnsiTheme="majorEastAsia" w:eastAsiaTheme="majorEastAsia" w:cstheme="majorEastAsia"/>
          <w:color w:val="auto"/>
        </w:rPr>
      </w:pPr>
    </w:p>
    <w:p w14:paraId="7C336079">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 应 商（电子签章）：</w:t>
      </w:r>
      <w:r>
        <w:rPr>
          <w:rFonts w:hint="eastAsia" w:asciiTheme="majorEastAsia" w:hAnsiTheme="majorEastAsia" w:eastAsiaTheme="majorEastAsia" w:cstheme="majorEastAsia"/>
          <w:color w:val="auto"/>
          <w:u w:val="single"/>
        </w:rPr>
        <w:t xml:space="preserve">                 </w:t>
      </w:r>
    </w:p>
    <w:p w14:paraId="5A08FD23">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法定代表人或其委托代理人</w:t>
      </w:r>
      <w:r>
        <w:rPr>
          <w:rFonts w:hint="eastAsia" w:ascii="宋体" w:hAnsi="宋体"/>
          <w:color w:val="auto"/>
          <w:sz w:val="24"/>
        </w:rPr>
        <w:t>（签字或者电子签名）</w:t>
      </w:r>
      <w:r>
        <w:rPr>
          <w:rFonts w:hint="eastAsia" w:asciiTheme="majorEastAsia" w:hAnsiTheme="majorEastAsia" w:eastAsiaTheme="majorEastAsia" w:cstheme="majorEastAsia"/>
          <w:color w:val="auto"/>
        </w:rPr>
        <w:t xml:space="preserve">：    </w:t>
      </w:r>
    </w:p>
    <w:p w14:paraId="25E4193C">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单位地址：     </w:t>
      </w:r>
    </w:p>
    <w:p w14:paraId="3AA8CD64">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邮政编码：           电话：            传真：</w:t>
      </w:r>
    </w:p>
    <w:p w14:paraId="78DC50D0">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开户银行名称：</w:t>
      </w:r>
    </w:p>
    <w:p w14:paraId="37153373">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开户银行账号：</w:t>
      </w:r>
    </w:p>
    <w:p w14:paraId="43638E3B">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开户银行地址：</w:t>
      </w:r>
    </w:p>
    <w:p w14:paraId="5D5443E6">
      <w:pPr>
        <w:pStyle w:val="47"/>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日期：      年    月   日</w:t>
      </w:r>
    </w:p>
    <w:p w14:paraId="04BDBFED">
      <w:pPr>
        <w:pStyle w:val="47"/>
        <w:spacing w:line="400" w:lineRule="exact"/>
        <w:ind w:firstLine="420" w:firstLineChars="200"/>
        <w:jc w:val="both"/>
        <w:rPr>
          <w:rFonts w:hint="eastAsia" w:asciiTheme="majorEastAsia" w:hAnsiTheme="majorEastAsia" w:eastAsiaTheme="majorEastAsia" w:cstheme="majorEastAsia"/>
          <w:color w:val="auto"/>
        </w:rPr>
      </w:pPr>
    </w:p>
    <w:p w14:paraId="7E7893C0">
      <w:pPr>
        <w:pStyle w:val="47"/>
        <w:spacing w:line="360" w:lineRule="exact"/>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磋商函附录（格式）</w:t>
      </w:r>
    </w:p>
    <w:p w14:paraId="72C936D7">
      <w:pPr>
        <w:pStyle w:val="47"/>
        <w:spacing w:line="360" w:lineRule="exact"/>
        <w:jc w:val="center"/>
        <w:rPr>
          <w:rFonts w:hint="eastAsia" w:asciiTheme="majorEastAsia" w:hAnsiTheme="majorEastAsia" w:eastAsiaTheme="majorEastAsia" w:cstheme="majorEastAsia"/>
          <w:b/>
          <w:bCs/>
          <w:color w:val="auto"/>
          <w:sz w:val="28"/>
          <w:szCs w:val="28"/>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F1D6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2C49CD51">
            <w:pPr>
              <w:spacing w:before="181" w:line="230" w:lineRule="auto"/>
              <w:ind w:left="292"/>
              <w:rPr>
                <w:rFonts w:hint="eastAsia" w:ascii="宋体" w:hAnsi="宋体" w:cs="宋体"/>
                <w:szCs w:val="21"/>
              </w:rPr>
            </w:pPr>
            <w:r>
              <w:rPr>
                <w:rFonts w:hint="eastAsia" w:ascii="宋体" w:hAnsi="宋体" w:cs="宋体"/>
                <w:szCs w:val="21"/>
              </w:rPr>
              <w:t>序号</w:t>
            </w:r>
          </w:p>
        </w:tc>
        <w:tc>
          <w:tcPr>
            <w:tcW w:w="3424" w:type="dxa"/>
          </w:tcPr>
          <w:p w14:paraId="265675F8">
            <w:pPr>
              <w:spacing w:before="181" w:line="228" w:lineRule="auto"/>
              <w:ind w:left="1298"/>
              <w:rPr>
                <w:rFonts w:hint="eastAsia" w:ascii="宋体" w:hAnsi="宋体" w:cs="宋体"/>
                <w:szCs w:val="21"/>
              </w:rPr>
            </w:pPr>
            <w:r>
              <w:rPr>
                <w:rFonts w:hint="eastAsia" w:ascii="宋体" w:hAnsi="宋体" w:cs="宋体"/>
                <w:szCs w:val="21"/>
              </w:rPr>
              <w:t>条款内容</w:t>
            </w:r>
          </w:p>
        </w:tc>
        <w:tc>
          <w:tcPr>
            <w:tcW w:w="2818" w:type="dxa"/>
          </w:tcPr>
          <w:p w14:paraId="5DF860E4">
            <w:pPr>
              <w:spacing w:before="181" w:line="228" w:lineRule="auto"/>
              <w:ind w:left="1000"/>
              <w:rPr>
                <w:rFonts w:hint="eastAsia" w:ascii="宋体" w:hAnsi="宋体" w:cs="宋体"/>
                <w:szCs w:val="21"/>
              </w:rPr>
            </w:pPr>
            <w:r>
              <w:rPr>
                <w:rFonts w:hint="eastAsia" w:ascii="宋体" w:hAnsi="宋体" w:cs="宋体"/>
                <w:szCs w:val="21"/>
              </w:rPr>
              <w:t>约定内容</w:t>
            </w:r>
          </w:p>
        </w:tc>
        <w:tc>
          <w:tcPr>
            <w:tcW w:w="1696" w:type="dxa"/>
          </w:tcPr>
          <w:p w14:paraId="1CA9F4B4">
            <w:pPr>
              <w:spacing w:before="181" w:line="230" w:lineRule="auto"/>
              <w:ind w:left="646"/>
              <w:rPr>
                <w:rFonts w:hint="eastAsia" w:ascii="宋体" w:hAnsi="宋体" w:cs="宋体"/>
                <w:szCs w:val="21"/>
              </w:rPr>
            </w:pPr>
            <w:r>
              <w:rPr>
                <w:rFonts w:hint="eastAsia" w:ascii="宋体" w:hAnsi="宋体" w:cs="宋体"/>
                <w:szCs w:val="21"/>
              </w:rPr>
              <w:t>备注</w:t>
            </w:r>
          </w:p>
        </w:tc>
      </w:tr>
      <w:tr w14:paraId="7664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667CDABC">
            <w:pPr>
              <w:spacing w:before="211" w:line="193" w:lineRule="auto"/>
              <w:ind w:left="467"/>
              <w:rPr>
                <w:rFonts w:hint="eastAsia" w:ascii="宋体" w:hAnsi="宋体" w:cs="宋体"/>
                <w:szCs w:val="21"/>
              </w:rPr>
            </w:pPr>
            <w:r>
              <w:rPr>
                <w:rFonts w:hint="eastAsia" w:ascii="宋体" w:hAnsi="宋体" w:cs="宋体"/>
                <w:szCs w:val="21"/>
              </w:rPr>
              <w:t>1</w:t>
            </w:r>
          </w:p>
        </w:tc>
        <w:tc>
          <w:tcPr>
            <w:tcW w:w="3424" w:type="dxa"/>
          </w:tcPr>
          <w:p w14:paraId="5EE05655">
            <w:pPr>
              <w:spacing w:before="180" w:line="229" w:lineRule="auto"/>
              <w:ind w:left="1300"/>
              <w:rPr>
                <w:rFonts w:hint="eastAsia" w:ascii="宋体" w:hAnsi="宋体" w:cs="宋体"/>
                <w:szCs w:val="21"/>
              </w:rPr>
            </w:pPr>
            <w:r>
              <w:rPr>
                <w:rFonts w:hint="eastAsia" w:ascii="宋体" w:hAnsi="宋体" w:cs="宋体"/>
                <w:szCs w:val="21"/>
              </w:rPr>
              <w:t>项目经理</w:t>
            </w:r>
          </w:p>
        </w:tc>
        <w:tc>
          <w:tcPr>
            <w:tcW w:w="2818" w:type="dxa"/>
          </w:tcPr>
          <w:p w14:paraId="5F5CD444">
            <w:pPr>
              <w:spacing w:before="180" w:line="228" w:lineRule="auto"/>
              <w:rPr>
                <w:rFonts w:hint="eastAsia" w:ascii="宋体" w:hAnsi="宋体" w:cs="宋体"/>
                <w:szCs w:val="21"/>
              </w:rPr>
            </w:pPr>
            <w:r>
              <w:rPr>
                <w:rFonts w:hint="eastAsia" w:ascii="宋体" w:hAnsi="宋体" w:cs="宋体"/>
                <w:szCs w:val="21"/>
              </w:rPr>
              <w:t>姓名：</w:t>
            </w:r>
          </w:p>
        </w:tc>
        <w:tc>
          <w:tcPr>
            <w:tcW w:w="1696" w:type="dxa"/>
          </w:tcPr>
          <w:p w14:paraId="0748294C">
            <w:pPr>
              <w:rPr>
                <w:rFonts w:hint="eastAsia" w:ascii="宋体" w:hAnsi="宋体" w:cs="宋体"/>
                <w:szCs w:val="21"/>
              </w:rPr>
            </w:pPr>
          </w:p>
        </w:tc>
      </w:tr>
      <w:tr w14:paraId="6A6CF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190B41FB">
            <w:pPr>
              <w:spacing w:before="211" w:line="192" w:lineRule="auto"/>
              <w:ind w:left="454"/>
              <w:rPr>
                <w:rFonts w:hint="eastAsia" w:ascii="宋体" w:hAnsi="宋体" w:cs="宋体"/>
                <w:szCs w:val="21"/>
              </w:rPr>
            </w:pPr>
            <w:r>
              <w:rPr>
                <w:rFonts w:hint="eastAsia" w:ascii="宋体" w:hAnsi="宋体" w:cs="宋体"/>
                <w:szCs w:val="21"/>
              </w:rPr>
              <w:t>2</w:t>
            </w:r>
          </w:p>
        </w:tc>
        <w:tc>
          <w:tcPr>
            <w:tcW w:w="3424" w:type="dxa"/>
          </w:tcPr>
          <w:p w14:paraId="5FEEF4DA">
            <w:pPr>
              <w:spacing w:before="179" w:line="228" w:lineRule="auto"/>
              <w:ind w:left="993"/>
              <w:rPr>
                <w:rFonts w:hint="eastAsia" w:ascii="宋体" w:hAnsi="宋体" w:cs="宋体"/>
                <w:szCs w:val="21"/>
              </w:rPr>
            </w:pPr>
            <w:r>
              <w:rPr>
                <w:rFonts w:hint="eastAsia" w:ascii="宋体" w:hAnsi="宋体" w:cs="宋体"/>
                <w:szCs w:val="21"/>
              </w:rPr>
              <w:t>响应文件有效期</w:t>
            </w:r>
          </w:p>
        </w:tc>
        <w:tc>
          <w:tcPr>
            <w:tcW w:w="2818" w:type="dxa"/>
          </w:tcPr>
          <w:p w14:paraId="6D3431A6">
            <w:pPr>
              <w:rPr>
                <w:rFonts w:hint="eastAsia" w:ascii="宋体" w:hAnsi="宋体" w:cs="宋体"/>
                <w:szCs w:val="21"/>
              </w:rPr>
            </w:pPr>
          </w:p>
        </w:tc>
        <w:tc>
          <w:tcPr>
            <w:tcW w:w="1696" w:type="dxa"/>
          </w:tcPr>
          <w:p w14:paraId="0661A113">
            <w:pPr>
              <w:rPr>
                <w:rFonts w:hint="eastAsia" w:ascii="宋体" w:hAnsi="宋体" w:cs="宋体"/>
                <w:szCs w:val="21"/>
              </w:rPr>
            </w:pPr>
          </w:p>
        </w:tc>
      </w:tr>
      <w:tr w14:paraId="4C18A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1F6F7F6">
            <w:pPr>
              <w:spacing w:before="212" w:line="190" w:lineRule="auto"/>
              <w:ind w:left="456"/>
              <w:rPr>
                <w:rFonts w:hint="eastAsia" w:ascii="宋体" w:hAnsi="宋体" w:cs="宋体"/>
                <w:szCs w:val="21"/>
              </w:rPr>
            </w:pPr>
            <w:r>
              <w:rPr>
                <w:rFonts w:hint="eastAsia" w:ascii="宋体" w:hAnsi="宋体" w:cs="宋体"/>
                <w:szCs w:val="21"/>
              </w:rPr>
              <w:t>3</w:t>
            </w:r>
          </w:p>
        </w:tc>
        <w:tc>
          <w:tcPr>
            <w:tcW w:w="3424" w:type="dxa"/>
          </w:tcPr>
          <w:p w14:paraId="2A93975F">
            <w:pPr>
              <w:spacing w:before="179" w:line="229" w:lineRule="auto"/>
              <w:ind w:left="1510"/>
              <w:rPr>
                <w:rFonts w:hint="eastAsia" w:ascii="宋体" w:hAnsi="宋体" w:cs="宋体"/>
                <w:szCs w:val="21"/>
              </w:rPr>
            </w:pPr>
            <w:r>
              <w:rPr>
                <w:rFonts w:hint="eastAsia" w:ascii="宋体" w:hAnsi="宋体" w:cs="宋体"/>
                <w:szCs w:val="21"/>
              </w:rPr>
              <w:t>工期</w:t>
            </w:r>
          </w:p>
        </w:tc>
        <w:tc>
          <w:tcPr>
            <w:tcW w:w="2818" w:type="dxa"/>
          </w:tcPr>
          <w:p w14:paraId="7B22ECDA">
            <w:pPr>
              <w:tabs>
                <w:tab w:val="left" w:pos="1506"/>
              </w:tabs>
              <w:spacing w:before="179" w:line="229" w:lineRule="auto"/>
              <w:ind w:left="832"/>
              <w:rPr>
                <w:rFonts w:hint="eastAsia" w:ascii="宋体" w:hAnsi="宋体" w:cs="宋体"/>
                <w:szCs w:val="21"/>
              </w:rPr>
            </w:pPr>
            <w:r>
              <w:rPr>
                <w:rFonts w:hint="eastAsia" w:ascii="宋体" w:hAnsi="宋体" w:cs="宋体"/>
                <w:szCs w:val="21"/>
                <w:u w:val="single"/>
              </w:rPr>
              <w:tab/>
            </w:r>
            <w:r>
              <w:rPr>
                <w:rFonts w:hint="eastAsia" w:ascii="宋体" w:hAnsi="宋体" w:cs="宋体"/>
                <w:szCs w:val="21"/>
              </w:rPr>
              <w:t>日历天</w:t>
            </w:r>
          </w:p>
        </w:tc>
        <w:tc>
          <w:tcPr>
            <w:tcW w:w="1696" w:type="dxa"/>
          </w:tcPr>
          <w:p w14:paraId="05E56321">
            <w:pPr>
              <w:rPr>
                <w:rFonts w:hint="eastAsia" w:ascii="宋体" w:hAnsi="宋体" w:cs="宋体"/>
                <w:szCs w:val="21"/>
              </w:rPr>
            </w:pPr>
          </w:p>
        </w:tc>
      </w:tr>
      <w:tr w14:paraId="4C68B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69BB35EE">
            <w:pPr>
              <w:spacing w:before="215" w:line="192" w:lineRule="auto"/>
              <w:ind w:left="451"/>
              <w:rPr>
                <w:rFonts w:hint="eastAsia" w:ascii="宋体" w:hAnsi="宋体" w:cs="宋体"/>
                <w:szCs w:val="21"/>
              </w:rPr>
            </w:pPr>
            <w:r>
              <w:rPr>
                <w:rFonts w:hint="eastAsia" w:ascii="宋体" w:hAnsi="宋体" w:cs="宋体"/>
                <w:szCs w:val="21"/>
              </w:rPr>
              <w:t>4</w:t>
            </w:r>
          </w:p>
        </w:tc>
        <w:tc>
          <w:tcPr>
            <w:tcW w:w="3424" w:type="dxa"/>
          </w:tcPr>
          <w:p w14:paraId="4E10E8D1">
            <w:pPr>
              <w:spacing w:before="182" w:line="229" w:lineRule="auto"/>
              <w:ind w:left="1191"/>
              <w:rPr>
                <w:rFonts w:hint="eastAsia" w:ascii="宋体" w:hAnsi="宋体" w:cs="宋体"/>
                <w:szCs w:val="21"/>
              </w:rPr>
            </w:pPr>
            <w:r>
              <w:rPr>
                <w:rFonts w:hint="eastAsia" w:ascii="宋体" w:hAnsi="宋体" w:cs="宋体"/>
                <w:szCs w:val="21"/>
              </w:rPr>
              <w:t>质量保证金</w:t>
            </w:r>
          </w:p>
        </w:tc>
        <w:tc>
          <w:tcPr>
            <w:tcW w:w="2818" w:type="dxa"/>
          </w:tcPr>
          <w:p w14:paraId="79C06F57">
            <w:pPr>
              <w:spacing w:before="182" w:line="227" w:lineRule="auto"/>
              <w:ind w:left="690"/>
              <w:rPr>
                <w:rFonts w:hint="eastAsia" w:ascii="宋体" w:hAnsi="宋体" w:cs="宋体"/>
                <w:szCs w:val="21"/>
              </w:rPr>
            </w:pPr>
            <w:r>
              <w:rPr>
                <w:rFonts w:hint="eastAsia" w:ascii="宋体" w:hAnsi="宋体" w:cs="宋体"/>
                <w:szCs w:val="21"/>
              </w:rPr>
              <w:t>结算价的</w:t>
            </w:r>
            <w:r>
              <w:rPr>
                <w:rFonts w:hint="eastAsia" w:ascii="宋体" w:hAnsi="宋体" w:cs="宋体"/>
                <w:szCs w:val="21"/>
                <w:u w:val="single"/>
              </w:rPr>
              <w:t xml:space="preserve">       </w:t>
            </w:r>
            <w:r>
              <w:rPr>
                <w:rFonts w:hint="eastAsia" w:ascii="宋体" w:hAnsi="宋体" w:cs="宋体"/>
                <w:szCs w:val="21"/>
              </w:rPr>
              <w:t>%</w:t>
            </w:r>
          </w:p>
        </w:tc>
        <w:tc>
          <w:tcPr>
            <w:tcW w:w="1696" w:type="dxa"/>
          </w:tcPr>
          <w:p w14:paraId="667C5F81">
            <w:pPr>
              <w:rPr>
                <w:rFonts w:hint="eastAsia" w:ascii="宋体" w:hAnsi="宋体" w:cs="宋体"/>
                <w:szCs w:val="21"/>
              </w:rPr>
            </w:pPr>
          </w:p>
        </w:tc>
      </w:tr>
      <w:tr w14:paraId="7C3C9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69590255">
            <w:pPr>
              <w:spacing w:before="215" w:line="189" w:lineRule="auto"/>
              <w:ind w:left="456"/>
              <w:rPr>
                <w:rFonts w:hint="eastAsia" w:ascii="宋体" w:hAnsi="宋体" w:cs="宋体"/>
                <w:szCs w:val="21"/>
              </w:rPr>
            </w:pPr>
            <w:r>
              <w:rPr>
                <w:rFonts w:hint="eastAsia" w:ascii="宋体" w:hAnsi="宋体" w:cs="宋体"/>
                <w:szCs w:val="21"/>
              </w:rPr>
              <w:t>5</w:t>
            </w:r>
          </w:p>
        </w:tc>
        <w:tc>
          <w:tcPr>
            <w:tcW w:w="3424" w:type="dxa"/>
          </w:tcPr>
          <w:p w14:paraId="16BB74D6">
            <w:pPr>
              <w:spacing w:before="181" w:line="229" w:lineRule="auto"/>
              <w:ind w:left="1297"/>
              <w:rPr>
                <w:rFonts w:hint="eastAsia" w:ascii="宋体" w:hAnsi="宋体" w:cs="宋体"/>
                <w:szCs w:val="21"/>
              </w:rPr>
            </w:pPr>
            <w:r>
              <w:rPr>
                <w:rFonts w:hint="eastAsia" w:ascii="宋体" w:hAnsi="宋体" w:cs="宋体"/>
                <w:szCs w:val="21"/>
              </w:rPr>
              <w:t>质量标准</w:t>
            </w:r>
          </w:p>
        </w:tc>
        <w:tc>
          <w:tcPr>
            <w:tcW w:w="2818" w:type="dxa"/>
          </w:tcPr>
          <w:p w14:paraId="307DF62F">
            <w:pPr>
              <w:rPr>
                <w:rFonts w:hint="eastAsia" w:ascii="宋体" w:hAnsi="宋体" w:cs="宋体"/>
                <w:szCs w:val="21"/>
              </w:rPr>
            </w:pPr>
          </w:p>
        </w:tc>
        <w:tc>
          <w:tcPr>
            <w:tcW w:w="1696" w:type="dxa"/>
          </w:tcPr>
          <w:p w14:paraId="6B5A24A4">
            <w:pPr>
              <w:rPr>
                <w:rFonts w:hint="eastAsia" w:ascii="宋体" w:hAnsi="宋体" w:cs="宋体"/>
                <w:szCs w:val="21"/>
              </w:rPr>
            </w:pPr>
          </w:p>
        </w:tc>
      </w:tr>
      <w:tr w14:paraId="0D627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3A90BCEC">
            <w:pPr>
              <w:spacing w:before="215" w:line="189" w:lineRule="auto"/>
              <w:ind w:left="456"/>
              <w:rPr>
                <w:rFonts w:hint="eastAsia" w:ascii="宋体" w:hAnsi="宋体" w:cs="宋体"/>
                <w:szCs w:val="21"/>
              </w:rPr>
            </w:pPr>
            <w:r>
              <w:rPr>
                <w:rFonts w:hint="eastAsia" w:ascii="宋体" w:hAnsi="宋体" w:cs="宋体"/>
                <w:szCs w:val="21"/>
              </w:rPr>
              <w:t>6</w:t>
            </w:r>
          </w:p>
        </w:tc>
        <w:tc>
          <w:tcPr>
            <w:tcW w:w="3424" w:type="dxa"/>
          </w:tcPr>
          <w:p w14:paraId="5DAC8811">
            <w:pPr>
              <w:spacing w:before="181" w:line="229" w:lineRule="auto"/>
              <w:ind w:left="1297"/>
              <w:rPr>
                <w:rFonts w:hint="eastAsia" w:ascii="宋体" w:hAnsi="宋体" w:cs="宋体"/>
                <w:szCs w:val="21"/>
              </w:rPr>
            </w:pPr>
            <w:r>
              <w:rPr>
                <w:rFonts w:hint="eastAsia" w:ascii="宋体" w:hAnsi="宋体" w:cs="宋体"/>
                <w:szCs w:val="21"/>
              </w:rPr>
              <w:t>付款方式</w:t>
            </w:r>
          </w:p>
        </w:tc>
        <w:tc>
          <w:tcPr>
            <w:tcW w:w="2818" w:type="dxa"/>
          </w:tcPr>
          <w:p w14:paraId="3EECE851">
            <w:pPr>
              <w:rPr>
                <w:rFonts w:hint="eastAsia" w:ascii="宋体" w:hAnsi="宋体" w:cs="宋体"/>
                <w:szCs w:val="21"/>
              </w:rPr>
            </w:pPr>
          </w:p>
        </w:tc>
        <w:tc>
          <w:tcPr>
            <w:tcW w:w="1696" w:type="dxa"/>
          </w:tcPr>
          <w:p w14:paraId="219933BC">
            <w:pPr>
              <w:rPr>
                <w:rFonts w:hint="eastAsia" w:ascii="宋体" w:hAnsi="宋体" w:cs="宋体"/>
                <w:szCs w:val="21"/>
              </w:rPr>
            </w:pPr>
          </w:p>
        </w:tc>
      </w:tr>
      <w:tr w14:paraId="27714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14AE58DA">
            <w:pPr>
              <w:spacing w:before="181" w:line="325" w:lineRule="exact"/>
              <w:ind w:left="306"/>
              <w:rPr>
                <w:rFonts w:hint="eastAsia" w:ascii="宋体" w:hAnsi="宋体" w:cs="宋体"/>
                <w:szCs w:val="21"/>
              </w:rPr>
            </w:pPr>
            <w:r>
              <w:rPr>
                <w:rFonts w:hint="eastAsia" w:ascii="宋体" w:hAnsi="宋体" w:cs="宋体"/>
                <w:szCs w:val="21"/>
              </w:rPr>
              <w:t>……</w:t>
            </w:r>
          </w:p>
        </w:tc>
        <w:tc>
          <w:tcPr>
            <w:tcW w:w="3424" w:type="dxa"/>
          </w:tcPr>
          <w:p w14:paraId="7F93667A">
            <w:pPr>
              <w:spacing w:before="181" w:line="325" w:lineRule="exact"/>
              <w:ind w:left="1521"/>
              <w:rPr>
                <w:rFonts w:hint="eastAsia" w:ascii="宋体" w:hAnsi="宋体" w:cs="宋体"/>
                <w:szCs w:val="21"/>
              </w:rPr>
            </w:pPr>
            <w:r>
              <w:rPr>
                <w:rFonts w:hint="eastAsia" w:ascii="宋体" w:hAnsi="宋体" w:cs="宋体"/>
                <w:szCs w:val="21"/>
              </w:rPr>
              <w:t>……</w:t>
            </w:r>
          </w:p>
        </w:tc>
        <w:tc>
          <w:tcPr>
            <w:tcW w:w="2818" w:type="dxa"/>
          </w:tcPr>
          <w:p w14:paraId="54CF5ADE">
            <w:pPr>
              <w:rPr>
                <w:rFonts w:hint="eastAsia" w:ascii="宋体" w:hAnsi="宋体" w:cs="宋体"/>
                <w:szCs w:val="21"/>
              </w:rPr>
            </w:pPr>
          </w:p>
        </w:tc>
        <w:tc>
          <w:tcPr>
            <w:tcW w:w="1696" w:type="dxa"/>
          </w:tcPr>
          <w:p w14:paraId="31DDDCED">
            <w:pPr>
              <w:rPr>
                <w:rFonts w:hint="eastAsia" w:ascii="宋体" w:hAnsi="宋体" w:cs="宋体"/>
                <w:szCs w:val="21"/>
              </w:rPr>
            </w:pPr>
          </w:p>
        </w:tc>
      </w:tr>
      <w:tr w14:paraId="70E6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3FD531DE">
            <w:pPr>
              <w:spacing w:line="400" w:lineRule="exact"/>
              <w:ind w:left="119" w:right="102" w:firstLine="6"/>
              <w:rPr>
                <w:rFonts w:hint="eastAsia" w:ascii="宋体" w:hAnsi="宋体" w:cs="宋体"/>
                <w:szCs w:val="21"/>
              </w:rPr>
            </w:pPr>
            <w:r>
              <w:rPr>
                <w:rFonts w:hint="eastAsia" w:ascii="宋体" w:hAnsi="宋体" w:cs="宋体"/>
                <w:szCs w:val="21"/>
              </w:rPr>
              <w:t>备注：供应商在响应竞争性磋商文件中规定的实质性要求和条件的基础上，可做出其他有利于采购单位的承诺。此类承诺可在本表中予以补充填写。</w:t>
            </w:r>
          </w:p>
        </w:tc>
      </w:tr>
    </w:tbl>
    <w:p w14:paraId="67B97700">
      <w:pPr>
        <w:pStyle w:val="47"/>
        <w:spacing w:line="360" w:lineRule="exact"/>
        <w:ind w:firstLine="482" w:firstLineChars="200"/>
        <w:jc w:val="both"/>
        <w:rPr>
          <w:rFonts w:hint="eastAsia" w:asciiTheme="majorEastAsia" w:hAnsiTheme="majorEastAsia" w:eastAsiaTheme="majorEastAsia" w:cstheme="majorEastAsia"/>
          <w:b/>
          <w:bCs/>
          <w:color w:val="auto"/>
          <w:sz w:val="24"/>
          <w:szCs w:val="32"/>
        </w:rPr>
      </w:pPr>
    </w:p>
    <w:p w14:paraId="51172745">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004A6DF8">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426965C9">
      <w:pPr>
        <w:spacing w:line="360" w:lineRule="auto"/>
        <w:ind w:firstLine="480" w:firstLineChars="200"/>
        <w:contextualSpacing/>
        <w:jc w:val="left"/>
        <w:rPr>
          <w:rFonts w:hint="eastAsia" w:ascii="宋体" w:hAnsi="宋体"/>
          <w:sz w:val="24"/>
        </w:rPr>
      </w:pPr>
      <w:r>
        <w:rPr>
          <w:rFonts w:hint="eastAsia" w:ascii="宋体" w:hAnsi="宋体"/>
          <w:sz w:val="24"/>
        </w:rPr>
        <w:t xml:space="preserve">                                        年    月    日</w:t>
      </w:r>
    </w:p>
    <w:p w14:paraId="6072ADAE">
      <w:pPr>
        <w:pStyle w:val="47"/>
        <w:spacing w:line="360" w:lineRule="auto"/>
        <w:jc w:val="both"/>
        <w:rPr>
          <w:rFonts w:hint="eastAsia" w:asciiTheme="majorEastAsia" w:hAnsiTheme="majorEastAsia" w:eastAsiaTheme="majorEastAsia" w:cstheme="majorEastAsia"/>
          <w:b/>
          <w:bCs/>
          <w:color w:val="auto"/>
          <w:sz w:val="32"/>
          <w:szCs w:val="40"/>
        </w:rPr>
      </w:pPr>
    </w:p>
    <w:p w14:paraId="2A7DD663">
      <w:pPr>
        <w:pStyle w:val="47"/>
        <w:spacing w:line="360" w:lineRule="auto"/>
        <w:jc w:val="both"/>
        <w:rPr>
          <w:rFonts w:hint="eastAsia" w:asciiTheme="majorEastAsia" w:hAnsiTheme="majorEastAsia" w:eastAsiaTheme="majorEastAsia" w:cstheme="majorEastAsia"/>
          <w:b/>
          <w:bCs/>
          <w:color w:val="auto"/>
          <w:sz w:val="32"/>
          <w:szCs w:val="40"/>
        </w:rPr>
      </w:pPr>
    </w:p>
    <w:p w14:paraId="38965634">
      <w:pPr>
        <w:pStyle w:val="47"/>
        <w:spacing w:line="360" w:lineRule="auto"/>
        <w:jc w:val="both"/>
        <w:rPr>
          <w:rFonts w:hint="eastAsia" w:asciiTheme="majorEastAsia" w:hAnsiTheme="majorEastAsia" w:eastAsiaTheme="majorEastAsia" w:cstheme="majorEastAsia"/>
          <w:b/>
          <w:bCs/>
          <w:color w:val="auto"/>
          <w:sz w:val="32"/>
          <w:szCs w:val="40"/>
        </w:rPr>
      </w:pPr>
    </w:p>
    <w:p w14:paraId="7A75D23E">
      <w:pPr>
        <w:pStyle w:val="47"/>
        <w:spacing w:line="360" w:lineRule="auto"/>
        <w:jc w:val="both"/>
        <w:rPr>
          <w:rFonts w:hint="eastAsia" w:asciiTheme="majorEastAsia" w:hAnsiTheme="majorEastAsia" w:eastAsiaTheme="majorEastAsia" w:cstheme="majorEastAsia"/>
          <w:b/>
          <w:bCs/>
          <w:color w:val="auto"/>
          <w:sz w:val="32"/>
          <w:szCs w:val="40"/>
        </w:rPr>
      </w:pPr>
    </w:p>
    <w:p w14:paraId="150F8E0F">
      <w:pPr>
        <w:pStyle w:val="47"/>
        <w:spacing w:line="360" w:lineRule="auto"/>
        <w:jc w:val="both"/>
        <w:rPr>
          <w:rFonts w:hint="eastAsia" w:asciiTheme="majorEastAsia" w:hAnsiTheme="majorEastAsia" w:eastAsiaTheme="majorEastAsia" w:cstheme="majorEastAsia"/>
          <w:b/>
          <w:bCs/>
          <w:color w:val="auto"/>
          <w:sz w:val="32"/>
          <w:szCs w:val="40"/>
        </w:rPr>
      </w:pPr>
    </w:p>
    <w:p w14:paraId="10C9A0E8">
      <w:pPr>
        <w:pStyle w:val="47"/>
        <w:spacing w:line="360" w:lineRule="auto"/>
        <w:jc w:val="both"/>
        <w:rPr>
          <w:rFonts w:hint="eastAsia" w:asciiTheme="majorEastAsia" w:hAnsiTheme="majorEastAsia" w:eastAsiaTheme="majorEastAsia" w:cstheme="majorEastAsia"/>
          <w:b/>
          <w:bCs/>
          <w:color w:val="auto"/>
          <w:sz w:val="32"/>
          <w:szCs w:val="40"/>
        </w:rPr>
      </w:pPr>
    </w:p>
    <w:p w14:paraId="222E9463">
      <w:pPr>
        <w:pStyle w:val="47"/>
        <w:spacing w:line="360" w:lineRule="auto"/>
        <w:jc w:val="both"/>
        <w:rPr>
          <w:rFonts w:hint="eastAsia" w:asciiTheme="majorEastAsia" w:hAnsiTheme="majorEastAsia" w:eastAsiaTheme="majorEastAsia" w:cstheme="majorEastAsia"/>
          <w:b/>
          <w:bCs/>
          <w:color w:val="auto"/>
          <w:sz w:val="32"/>
          <w:szCs w:val="40"/>
        </w:rPr>
      </w:pPr>
    </w:p>
    <w:p w14:paraId="6FFF64F7">
      <w:pPr>
        <w:pStyle w:val="47"/>
        <w:spacing w:line="360" w:lineRule="auto"/>
        <w:jc w:val="both"/>
        <w:rPr>
          <w:rFonts w:hint="eastAsia" w:asciiTheme="majorEastAsia" w:hAnsiTheme="majorEastAsia" w:eastAsiaTheme="majorEastAsia" w:cstheme="majorEastAsia"/>
          <w:b/>
          <w:bCs/>
          <w:color w:val="auto"/>
          <w:sz w:val="32"/>
          <w:szCs w:val="40"/>
        </w:rPr>
      </w:pPr>
    </w:p>
    <w:p w14:paraId="33D1511E">
      <w:pPr>
        <w:pStyle w:val="47"/>
        <w:spacing w:line="360" w:lineRule="auto"/>
        <w:jc w:val="both"/>
        <w:rPr>
          <w:rFonts w:hint="eastAsia" w:asciiTheme="majorEastAsia" w:hAnsiTheme="majorEastAsia" w:eastAsiaTheme="majorEastAsia" w:cstheme="majorEastAsia"/>
          <w:b/>
          <w:bCs/>
          <w:color w:val="auto"/>
          <w:sz w:val="32"/>
          <w:szCs w:val="40"/>
        </w:rPr>
      </w:pPr>
    </w:p>
    <w:p w14:paraId="0021A945">
      <w:pPr>
        <w:pStyle w:val="47"/>
        <w:spacing w:line="360" w:lineRule="auto"/>
        <w:jc w:val="both"/>
        <w:rPr>
          <w:rFonts w:hint="eastAsia" w:ascii="宋体" w:hAnsi="宋体" w:eastAsia="宋体" w:cs="方正小标宋简体"/>
          <w:b/>
          <w:bCs/>
          <w:color w:val="auto"/>
          <w:kern w:val="2"/>
          <w:sz w:val="32"/>
          <w:szCs w:val="32"/>
        </w:rPr>
      </w:pPr>
    </w:p>
    <w:p w14:paraId="2667667A">
      <w:pPr>
        <w:spacing w:line="360" w:lineRule="auto"/>
        <w:jc w:val="center"/>
        <w:rPr>
          <w:rFonts w:hint="eastAsia" w:ascii="宋体" w:hAnsi="宋体" w:cs="方正小标宋简体"/>
          <w:b/>
          <w:bCs/>
          <w:sz w:val="32"/>
          <w:szCs w:val="32"/>
        </w:rPr>
      </w:pPr>
      <w:r>
        <w:rPr>
          <w:rFonts w:hint="eastAsia" w:ascii="宋体" w:hAnsi="宋体" w:cs="方正小标宋简体"/>
          <w:b/>
          <w:bCs/>
          <w:sz w:val="32"/>
          <w:szCs w:val="32"/>
        </w:rPr>
        <w:t>竞标报价表（格式）</w:t>
      </w:r>
    </w:p>
    <w:p w14:paraId="67D328D1">
      <w:pPr>
        <w:spacing w:line="440" w:lineRule="exact"/>
        <w:jc w:val="center"/>
        <w:rPr>
          <w:rFonts w:hint="eastAsia" w:ascii="方正小标宋简体" w:hAnsi="方正小标宋简体" w:eastAsia="方正小标宋简体" w:cs="方正小标宋简体"/>
          <w:bCs/>
          <w:sz w:val="32"/>
          <w:szCs w:val="32"/>
        </w:rPr>
      </w:pPr>
    </w:p>
    <w:p w14:paraId="2AD1C1A1">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32F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BFDFFF3">
            <w:pPr>
              <w:spacing w:line="360" w:lineRule="auto"/>
              <w:contextualSpacing/>
              <w:jc w:val="center"/>
              <w:rPr>
                <w:rFonts w:hint="eastAsia"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A50EB89">
            <w:pPr>
              <w:spacing w:line="360" w:lineRule="auto"/>
              <w:contextualSpacing/>
              <w:jc w:val="center"/>
              <w:rPr>
                <w:rFonts w:hint="eastAsia" w:ascii="宋体" w:hAnsi="宋体" w:cs="仿宋_GB2312"/>
                <w:sz w:val="24"/>
              </w:rPr>
            </w:pPr>
            <w:r>
              <w:rPr>
                <w:rFonts w:hint="eastAsia" w:ascii="宋体" w:hAnsi="宋体" w:cs="仿宋_GB2312"/>
                <w:sz w:val="24"/>
              </w:rPr>
              <w:t>标的</w:t>
            </w:r>
            <w:r>
              <w:rPr>
                <w:rFonts w:ascii="宋体" w:hAnsi="宋体" w:cs="仿宋_GB2312"/>
                <w:sz w:val="24"/>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3D68D3F1">
            <w:pPr>
              <w:spacing w:line="360" w:lineRule="auto"/>
              <w:contextualSpacing/>
              <w:jc w:val="center"/>
              <w:rPr>
                <w:rFonts w:hint="eastAsia" w:ascii="宋体" w:hAnsi="宋体" w:cs="仿宋_GB2312"/>
                <w:sz w:val="24"/>
              </w:rPr>
            </w:pPr>
            <w:r>
              <w:rPr>
                <w:rFonts w:hint="eastAsia" w:ascii="宋体" w:hAnsi="宋体" w:cs="仿宋_GB2312"/>
                <w:sz w:val="24"/>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799790F9">
            <w:pPr>
              <w:spacing w:line="360" w:lineRule="auto"/>
              <w:contextualSpacing/>
              <w:jc w:val="center"/>
              <w:rPr>
                <w:rFonts w:hint="eastAsia" w:ascii="宋体" w:hAnsi="宋体" w:cs="仿宋_GB2312"/>
                <w:sz w:val="24"/>
              </w:rPr>
            </w:pPr>
            <w:r>
              <w:rPr>
                <w:rFonts w:hint="eastAsia" w:ascii="宋体" w:hAnsi="宋体" w:cs="仿宋_GB2312"/>
                <w:sz w:val="24"/>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46A1AB26">
            <w:pPr>
              <w:spacing w:line="360" w:lineRule="auto"/>
              <w:contextualSpacing/>
              <w:jc w:val="center"/>
              <w:rPr>
                <w:rFonts w:hint="eastAsia" w:ascii="宋体" w:hAnsi="宋体" w:cs="仿宋_GB2312"/>
                <w:sz w:val="24"/>
              </w:rPr>
            </w:pPr>
            <w:r>
              <w:rPr>
                <w:rFonts w:ascii="宋体" w:hAnsi="宋体" w:cs="仿宋_GB2312"/>
                <w:sz w:val="24"/>
              </w:rPr>
              <w:t>备注</w:t>
            </w:r>
          </w:p>
        </w:tc>
      </w:tr>
      <w:tr w14:paraId="72ED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7F43F22">
            <w:pPr>
              <w:spacing w:line="360" w:lineRule="auto"/>
              <w:contextualSpacing/>
              <w:jc w:val="center"/>
              <w:rPr>
                <w:rFonts w:hint="eastAsia"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1026AD2F">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36CE8F89">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2D653BBC">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1FB16148">
            <w:pPr>
              <w:spacing w:line="360" w:lineRule="auto"/>
              <w:contextualSpacing/>
              <w:rPr>
                <w:rFonts w:hint="eastAsia" w:ascii="宋体" w:hAnsi="宋体" w:cs="仿宋_GB2312"/>
                <w:sz w:val="24"/>
              </w:rPr>
            </w:pPr>
          </w:p>
        </w:tc>
      </w:tr>
      <w:tr w14:paraId="2FEA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8DDBF55">
            <w:pPr>
              <w:spacing w:line="360" w:lineRule="auto"/>
              <w:contextualSpacing/>
              <w:jc w:val="center"/>
              <w:rPr>
                <w:rFonts w:hint="eastAsia" w:ascii="宋体" w:hAnsi="宋体" w:cs="仿宋_GB2312"/>
                <w:sz w:val="24"/>
              </w:rPr>
            </w:pPr>
            <w:r>
              <w:rPr>
                <w:rFonts w:hint="eastAsia" w:ascii="宋体" w:hAnsi="宋体" w:cs="仿宋_GB2312"/>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5E01D78D">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07B7147E">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1599D834">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A07FFBB">
            <w:pPr>
              <w:spacing w:line="360" w:lineRule="auto"/>
              <w:contextualSpacing/>
              <w:rPr>
                <w:rFonts w:hint="eastAsia" w:ascii="宋体" w:hAnsi="宋体" w:cs="仿宋_GB2312"/>
                <w:sz w:val="24"/>
              </w:rPr>
            </w:pPr>
          </w:p>
        </w:tc>
      </w:tr>
      <w:tr w14:paraId="148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57C1703">
            <w:pPr>
              <w:spacing w:line="360" w:lineRule="auto"/>
              <w:contextualSpacing/>
              <w:rPr>
                <w:rFonts w:hint="eastAsia" w:ascii="宋体" w:hAnsi="宋体" w:cs="仿宋_GB2312"/>
                <w:sz w:val="24"/>
              </w:rPr>
            </w:pPr>
            <w:r>
              <w:rPr>
                <w:rFonts w:hint="eastAsia" w:ascii="宋体" w:hAnsi="宋体" w:cs="仿宋_GB2312"/>
                <w:sz w:val="24"/>
              </w:rPr>
              <w:t>合计金额（人民币）</w:t>
            </w:r>
            <w:r>
              <w:rPr>
                <w:rFonts w:hint="eastAsia" w:ascii="宋体" w:hAnsi="宋体" w:cs="仿宋_GB2312"/>
                <w:sz w:val="24"/>
                <w:u w:val="single"/>
              </w:rPr>
              <w:t xml:space="preserve">大写：                      </w:t>
            </w:r>
            <w:r>
              <w:rPr>
                <w:rFonts w:hint="eastAsia" w:ascii="宋体" w:hAnsi="宋体" w:cs="仿宋_GB2312"/>
                <w:sz w:val="24"/>
              </w:rPr>
              <w:t>（</w:t>
            </w:r>
            <w:r>
              <w:rPr>
                <w:rFonts w:ascii="Arial" w:hAnsi="Arial" w:cs="Arial"/>
                <w:sz w:val="24"/>
              </w:rPr>
              <w:t>¥</w:t>
            </w:r>
            <w:r>
              <w:rPr>
                <w:rFonts w:hint="eastAsia" w:ascii="宋体" w:hAnsi="宋体" w:cs="仿宋_GB2312"/>
                <w:sz w:val="24"/>
                <w:u w:val="single"/>
              </w:rPr>
              <w:t xml:space="preserve">                </w:t>
            </w:r>
            <w:r>
              <w:rPr>
                <w:rFonts w:hint="eastAsia" w:ascii="宋体" w:hAnsi="宋体" w:cs="仿宋_GB2312"/>
                <w:sz w:val="24"/>
              </w:rPr>
              <w:t>）</w:t>
            </w:r>
          </w:p>
        </w:tc>
      </w:tr>
    </w:tbl>
    <w:p w14:paraId="4C3D6C90">
      <w:pPr>
        <w:spacing w:line="360" w:lineRule="auto"/>
        <w:contextualSpacing/>
        <w:jc w:val="left"/>
        <w:rPr>
          <w:rFonts w:hint="eastAsia" w:ascii="宋体" w:hAnsi="宋体" w:cs="仿宋_GB2312"/>
          <w:sz w:val="24"/>
        </w:rPr>
      </w:pPr>
    </w:p>
    <w:p w14:paraId="6B7ABD55">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5EBE4ABB">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4545D4A8">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22FBFA03">
      <w:pPr>
        <w:spacing w:line="360" w:lineRule="auto"/>
        <w:ind w:firstLine="643" w:firstLineChars="200"/>
        <w:contextualSpacing/>
        <w:jc w:val="left"/>
        <w:rPr>
          <w:rFonts w:hint="eastAsia" w:ascii="宋体" w:hAnsi="宋体" w:cs="仿宋_GB2312"/>
          <w:b/>
          <w:bCs/>
          <w:sz w:val="32"/>
          <w:szCs w:val="32"/>
        </w:rPr>
      </w:pPr>
      <w:r>
        <w:rPr>
          <w:rFonts w:hint="eastAsia" w:ascii="宋体" w:hAnsi="宋体" w:cs="仿宋_GB2312"/>
          <w:b/>
          <w:bCs/>
          <w:sz w:val="32"/>
          <w:szCs w:val="32"/>
        </w:rPr>
        <w:t>3.</w:t>
      </w:r>
      <w:r>
        <w:rPr>
          <w:rFonts w:hint="eastAsia" w:ascii="宋体" w:hAnsi="宋体" w:cs="宋体"/>
          <w:b/>
          <w:bCs/>
          <w:sz w:val="32"/>
          <w:szCs w:val="32"/>
        </w:rPr>
        <w:t>在广西政府采购云平台评审过程中，供应商提交的</w:t>
      </w:r>
      <w:r>
        <w:rPr>
          <w:rFonts w:hint="eastAsia" w:ascii="宋体" w:hAnsi="宋体" w:cs="仿宋_GB2312"/>
          <w:b/>
          <w:bCs/>
          <w:sz w:val="32"/>
          <w:szCs w:val="32"/>
        </w:rPr>
        <w:t>最后报价与首次报价相比有调整的，必须同时上传相对应的“已标价的工程量清单”作为附件，否则其响应文件按无效处理。</w:t>
      </w:r>
    </w:p>
    <w:p w14:paraId="37B31BC8">
      <w:pPr>
        <w:spacing w:line="360" w:lineRule="auto"/>
        <w:ind w:right="-817" w:rightChars="-389"/>
        <w:contextualSpacing/>
        <w:rPr>
          <w:rFonts w:hint="eastAsia" w:ascii="宋体" w:hAnsi="宋体" w:cs="仿宋_GB2312"/>
          <w:sz w:val="24"/>
        </w:rPr>
      </w:pPr>
    </w:p>
    <w:p w14:paraId="6D3DA790">
      <w:pPr>
        <w:spacing w:line="360" w:lineRule="auto"/>
        <w:ind w:right="-817" w:rightChars="-389"/>
        <w:contextualSpacing/>
        <w:rPr>
          <w:rFonts w:hint="eastAsia" w:ascii="宋体" w:hAnsi="宋体" w:cs="仿宋_GB2312"/>
          <w:sz w:val="24"/>
        </w:rPr>
      </w:pPr>
    </w:p>
    <w:p w14:paraId="71522C55">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787B9DCE">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3961DB73">
      <w:pPr>
        <w:spacing w:line="36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7A2CAF1A">
      <w:pPr>
        <w:pStyle w:val="47"/>
        <w:spacing w:line="360" w:lineRule="auto"/>
        <w:jc w:val="both"/>
        <w:rPr>
          <w:rFonts w:hint="eastAsia" w:asciiTheme="majorEastAsia" w:hAnsiTheme="majorEastAsia" w:eastAsiaTheme="majorEastAsia" w:cstheme="majorEastAsia"/>
          <w:b/>
          <w:bCs/>
          <w:color w:val="auto"/>
          <w:sz w:val="32"/>
          <w:szCs w:val="40"/>
        </w:rPr>
      </w:pPr>
    </w:p>
    <w:p w14:paraId="1F4680F8">
      <w:pPr>
        <w:pStyle w:val="47"/>
        <w:spacing w:line="360" w:lineRule="auto"/>
        <w:jc w:val="both"/>
        <w:rPr>
          <w:rFonts w:hint="eastAsia" w:asciiTheme="majorEastAsia" w:hAnsiTheme="majorEastAsia" w:eastAsiaTheme="majorEastAsia" w:cstheme="majorEastAsia"/>
          <w:b/>
          <w:bCs/>
          <w:color w:val="auto"/>
          <w:sz w:val="32"/>
          <w:szCs w:val="40"/>
        </w:rPr>
      </w:pPr>
    </w:p>
    <w:p w14:paraId="6ECE5BC5">
      <w:pPr>
        <w:pStyle w:val="47"/>
        <w:spacing w:line="360" w:lineRule="auto"/>
        <w:jc w:val="both"/>
        <w:rPr>
          <w:rFonts w:hint="eastAsia" w:asciiTheme="majorEastAsia" w:hAnsiTheme="majorEastAsia" w:eastAsiaTheme="majorEastAsia" w:cstheme="majorEastAsia"/>
          <w:b/>
          <w:bCs/>
          <w:color w:val="auto"/>
          <w:sz w:val="32"/>
          <w:szCs w:val="40"/>
        </w:rPr>
      </w:pPr>
    </w:p>
    <w:p w14:paraId="7DA37ED0">
      <w:pPr>
        <w:pStyle w:val="47"/>
        <w:spacing w:line="360" w:lineRule="auto"/>
        <w:jc w:val="center"/>
        <w:rPr>
          <w:rFonts w:hint="eastAsia" w:ascii="宋体" w:hAnsi="宋体" w:eastAsia="宋体" w:cs="宋体"/>
          <w:b/>
          <w:bCs/>
          <w:color w:val="auto"/>
          <w:sz w:val="32"/>
          <w:szCs w:val="40"/>
        </w:rPr>
      </w:pPr>
    </w:p>
    <w:p w14:paraId="0444E149">
      <w:pPr>
        <w:pStyle w:val="47"/>
        <w:spacing w:line="360" w:lineRule="auto"/>
        <w:jc w:val="center"/>
        <w:rPr>
          <w:rFonts w:hint="eastAsia" w:ascii="宋体" w:hAnsi="宋体" w:eastAsia="宋体" w:cs="宋体"/>
          <w:b/>
          <w:bCs/>
          <w:color w:val="auto"/>
          <w:sz w:val="32"/>
          <w:szCs w:val="40"/>
        </w:rPr>
      </w:pPr>
      <w:r>
        <w:rPr>
          <w:rFonts w:hint="eastAsia" w:ascii="宋体" w:hAnsi="宋体" w:eastAsia="宋体" w:cs="宋体"/>
          <w:b/>
          <w:bCs/>
          <w:color w:val="auto"/>
          <w:sz w:val="32"/>
          <w:szCs w:val="40"/>
        </w:rPr>
        <w:t>已标价工程量清单</w:t>
      </w:r>
    </w:p>
    <w:p w14:paraId="61835A66">
      <w:pPr>
        <w:pStyle w:val="47"/>
        <w:spacing w:line="360" w:lineRule="auto"/>
        <w:ind w:firstLine="420" w:firstLineChars="200"/>
        <w:jc w:val="both"/>
        <w:rPr>
          <w:rFonts w:hint="eastAsia" w:ascii="宋体" w:hAnsi="宋体" w:eastAsia="宋体" w:cs="宋体"/>
          <w:color w:val="auto"/>
        </w:rPr>
      </w:pPr>
    </w:p>
    <w:p w14:paraId="072FF3B1">
      <w:pPr>
        <w:pStyle w:val="2"/>
        <w:rPr>
          <w:rFonts w:hint="eastAsia" w:ascii="宋体" w:hAnsi="宋体" w:eastAsia="宋体" w:cs="宋体"/>
          <w:b w:val="0"/>
          <w:bCs w:val="0"/>
          <w:sz w:val="24"/>
          <w:szCs w:val="24"/>
        </w:rPr>
      </w:pPr>
      <w:r>
        <w:rPr>
          <w:rFonts w:hint="eastAsia" w:ascii="宋体" w:hAnsi="宋体" w:eastAsia="宋体" w:cs="宋体"/>
          <w:b w:val="0"/>
          <w:bCs w:val="0"/>
          <w:sz w:val="24"/>
          <w:szCs w:val="24"/>
        </w:rPr>
        <w:t>1、已标价工程量清单按照第三章发放的“工程量清单”相关内容填写。</w:t>
      </w:r>
    </w:p>
    <w:p w14:paraId="55A491B6">
      <w:pPr>
        <w:pStyle w:val="47"/>
        <w:spacing w:line="360" w:lineRule="auto"/>
        <w:jc w:val="both"/>
        <w:rPr>
          <w:rFonts w:hint="eastAsia" w:ascii="宋体" w:hAnsi="宋体" w:eastAsia="宋体" w:cs="宋体"/>
          <w:color w:val="auto"/>
        </w:rPr>
      </w:pPr>
      <w:r>
        <w:rPr>
          <w:rFonts w:hint="eastAsia" w:ascii="宋体" w:hAnsi="宋体" w:eastAsia="宋体" w:cs="宋体"/>
          <w:color w:val="auto"/>
          <w:sz w:val="24"/>
        </w:rPr>
        <w:t>2、招标人提供的工程量清单（由投标人自行在网上下载）</w:t>
      </w:r>
    </w:p>
    <w:p w14:paraId="2576C6BD">
      <w:pPr>
        <w:autoSpaceDE w:val="0"/>
        <w:autoSpaceDN w:val="0"/>
        <w:adjustRightInd w:val="0"/>
        <w:spacing w:line="360" w:lineRule="auto"/>
        <w:rPr>
          <w:rFonts w:hint="eastAsia" w:ascii="宋体" w:hAnsi="宋体"/>
          <w:b/>
          <w:bCs/>
          <w:sz w:val="32"/>
          <w:szCs w:val="32"/>
          <w:lang w:val="zh-CN"/>
        </w:rPr>
      </w:pPr>
    </w:p>
    <w:p w14:paraId="58B30F69">
      <w:pPr>
        <w:autoSpaceDE w:val="0"/>
        <w:autoSpaceDN w:val="0"/>
        <w:adjustRightInd w:val="0"/>
        <w:spacing w:line="360" w:lineRule="auto"/>
        <w:rPr>
          <w:rFonts w:hint="eastAsia" w:ascii="宋体" w:hAnsi="宋体"/>
          <w:b/>
          <w:bCs/>
          <w:sz w:val="32"/>
          <w:szCs w:val="32"/>
          <w:lang w:val="zh-CN"/>
        </w:rPr>
      </w:pPr>
    </w:p>
    <w:p w14:paraId="6863054F">
      <w:pPr>
        <w:autoSpaceDE w:val="0"/>
        <w:autoSpaceDN w:val="0"/>
        <w:adjustRightInd w:val="0"/>
        <w:spacing w:line="360" w:lineRule="auto"/>
        <w:rPr>
          <w:rFonts w:hint="eastAsia" w:ascii="宋体" w:hAnsi="宋体"/>
          <w:b/>
          <w:bCs/>
          <w:sz w:val="32"/>
          <w:szCs w:val="32"/>
          <w:lang w:val="zh-CN"/>
        </w:rPr>
      </w:pPr>
    </w:p>
    <w:p w14:paraId="39CFA38E">
      <w:pPr>
        <w:autoSpaceDE w:val="0"/>
        <w:autoSpaceDN w:val="0"/>
        <w:adjustRightInd w:val="0"/>
        <w:spacing w:line="360" w:lineRule="auto"/>
        <w:rPr>
          <w:rFonts w:hint="eastAsia" w:ascii="宋体" w:hAnsi="宋体"/>
          <w:b/>
          <w:bCs/>
          <w:sz w:val="32"/>
          <w:szCs w:val="32"/>
          <w:lang w:val="zh-CN"/>
        </w:rPr>
      </w:pPr>
    </w:p>
    <w:p w14:paraId="6DC26217">
      <w:pPr>
        <w:autoSpaceDE w:val="0"/>
        <w:autoSpaceDN w:val="0"/>
        <w:adjustRightInd w:val="0"/>
        <w:spacing w:line="360" w:lineRule="auto"/>
        <w:rPr>
          <w:rFonts w:hint="eastAsia" w:ascii="宋体" w:hAnsi="宋体"/>
          <w:b/>
          <w:bCs/>
          <w:sz w:val="32"/>
          <w:szCs w:val="32"/>
          <w:lang w:val="zh-CN"/>
        </w:rPr>
      </w:pPr>
    </w:p>
    <w:p w14:paraId="5539EE96">
      <w:pPr>
        <w:autoSpaceDE w:val="0"/>
        <w:autoSpaceDN w:val="0"/>
        <w:adjustRightInd w:val="0"/>
        <w:spacing w:line="360" w:lineRule="auto"/>
        <w:rPr>
          <w:rFonts w:hint="eastAsia" w:ascii="宋体" w:hAnsi="宋体"/>
          <w:b/>
          <w:bCs/>
          <w:sz w:val="32"/>
          <w:szCs w:val="32"/>
          <w:lang w:val="zh-CN"/>
        </w:rPr>
      </w:pPr>
    </w:p>
    <w:p w14:paraId="2A82CF6E">
      <w:pPr>
        <w:autoSpaceDE w:val="0"/>
        <w:autoSpaceDN w:val="0"/>
        <w:adjustRightInd w:val="0"/>
        <w:spacing w:line="360" w:lineRule="auto"/>
        <w:rPr>
          <w:rFonts w:hint="eastAsia" w:ascii="宋体" w:hAnsi="宋体"/>
          <w:b/>
          <w:bCs/>
          <w:sz w:val="32"/>
          <w:szCs w:val="32"/>
          <w:lang w:val="zh-CN"/>
        </w:rPr>
      </w:pPr>
    </w:p>
    <w:p w14:paraId="775C67C1">
      <w:pPr>
        <w:autoSpaceDE w:val="0"/>
        <w:autoSpaceDN w:val="0"/>
        <w:adjustRightInd w:val="0"/>
        <w:spacing w:line="360" w:lineRule="auto"/>
        <w:rPr>
          <w:rFonts w:hint="eastAsia" w:ascii="宋体" w:hAnsi="宋体"/>
          <w:b/>
          <w:bCs/>
          <w:sz w:val="32"/>
          <w:szCs w:val="32"/>
          <w:lang w:val="zh-CN"/>
        </w:rPr>
      </w:pPr>
    </w:p>
    <w:p w14:paraId="2F054B2E">
      <w:pPr>
        <w:autoSpaceDE w:val="0"/>
        <w:autoSpaceDN w:val="0"/>
        <w:adjustRightInd w:val="0"/>
        <w:spacing w:line="360" w:lineRule="auto"/>
        <w:rPr>
          <w:rFonts w:hint="eastAsia" w:ascii="宋体" w:hAnsi="宋体"/>
          <w:b/>
          <w:bCs/>
          <w:sz w:val="32"/>
          <w:szCs w:val="32"/>
          <w:lang w:val="zh-CN"/>
        </w:rPr>
      </w:pPr>
    </w:p>
    <w:p w14:paraId="7921E51F">
      <w:pPr>
        <w:autoSpaceDE w:val="0"/>
        <w:autoSpaceDN w:val="0"/>
        <w:adjustRightInd w:val="0"/>
        <w:spacing w:line="360" w:lineRule="auto"/>
        <w:rPr>
          <w:rFonts w:hint="eastAsia" w:ascii="宋体" w:hAnsi="宋体"/>
          <w:b/>
          <w:bCs/>
          <w:sz w:val="32"/>
          <w:szCs w:val="32"/>
          <w:lang w:val="zh-CN"/>
        </w:rPr>
      </w:pPr>
    </w:p>
    <w:p w14:paraId="245FC60F">
      <w:pPr>
        <w:autoSpaceDE w:val="0"/>
        <w:autoSpaceDN w:val="0"/>
        <w:adjustRightInd w:val="0"/>
        <w:spacing w:line="360" w:lineRule="auto"/>
        <w:rPr>
          <w:rFonts w:hint="eastAsia" w:ascii="宋体" w:hAnsi="宋体"/>
          <w:b/>
          <w:bCs/>
          <w:sz w:val="32"/>
          <w:szCs w:val="32"/>
          <w:lang w:val="zh-CN"/>
        </w:rPr>
      </w:pPr>
    </w:p>
    <w:p w14:paraId="093DE13A">
      <w:pPr>
        <w:autoSpaceDE w:val="0"/>
        <w:autoSpaceDN w:val="0"/>
        <w:adjustRightInd w:val="0"/>
        <w:spacing w:line="360" w:lineRule="auto"/>
        <w:rPr>
          <w:rFonts w:hint="eastAsia" w:ascii="宋体" w:hAnsi="宋体"/>
          <w:b/>
          <w:bCs/>
          <w:sz w:val="32"/>
          <w:szCs w:val="32"/>
          <w:lang w:val="zh-CN"/>
        </w:rPr>
      </w:pPr>
    </w:p>
    <w:p w14:paraId="25F63541">
      <w:pPr>
        <w:autoSpaceDE w:val="0"/>
        <w:autoSpaceDN w:val="0"/>
        <w:adjustRightInd w:val="0"/>
        <w:spacing w:line="360" w:lineRule="auto"/>
        <w:rPr>
          <w:rFonts w:hint="eastAsia" w:ascii="宋体" w:hAnsi="宋体"/>
          <w:b/>
          <w:bCs/>
          <w:sz w:val="32"/>
          <w:szCs w:val="32"/>
          <w:lang w:val="zh-CN"/>
        </w:rPr>
      </w:pPr>
    </w:p>
    <w:p w14:paraId="7165C784">
      <w:pPr>
        <w:autoSpaceDE w:val="0"/>
        <w:autoSpaceDN w:val="0"/>
        <w:adjustRightInd w:val="0"/>
        <w:spacing w:line="360" w:lineRule="auto"/>
        <w:rPr>
          <w:rFonts w:hint="eastAsia" w:ascii="宋体" w:hAnsi="宋体"/>
          <w:b/>
          <w:bCs/>
          <w:sz w:val="32"/>
          <w:szCs w:val="32"/>
          <w:lang w:val="zh-CN"/>
        </w:rPr>
      </w:pPr>
    </w:p>
    <w:p w14:paraId="68A4090A">
      <w:pPr>
        <w:autoSpaceDE w:val="0"/>
        <w:autoSpaceDN w:val="0"/>
        <w:adjustRightInd w:val="0"/>
        <w:spacing w:line="360" w:lineRule="auto"/>
        <w:rPr>
          <w:rFonts w:hint="eastAsia" w:ascii="宋体" w:hAnsi="宋体"/>
          <w:b/>
          <w:bCs/>
          <w:sz w:val="32"/>
          <w:szCs w:val="32"/>
          <w:lang w:val="zh-CN"/>
        </w:rPr>
      </w:pPr>
    </w:p>
    <w:p w14:paraId="77FBA8A9">
      <w:pPr>
        <w:autoSpaceDE w:val="0"/>
        <w:autoSpaceDN w:val="0"/>
        <w:adjustRightInd w:val="0"/>
        <w:spacing w:line="360" w:lineRule="auto"/>
        <w:rPr>
          <w:rFonts w:hint="eastAsia" w:ascii="宋体" w:hAnsi="宋体"/>
          <w:b/>
          <w:bCs/>
          <w:sz w:val="32"/>
          <w:szCs w:val="32"/>
          <w:lang w:val="zh-CN"/>
        </w:rPr>
      </w:pPr>
    </w:p>
    <w:p w14:paraId="0C82480B">
      <w:pPr>
        <w:autoSpaceDE w:val="0"/>
        <w:autoSpaceDN w:val="0"/>
        <w:adjustRightInd w:val="0"/>
        <w:spacing w:line="360" w:lineRule="auto"/>
        <w:rPr>
          <w:rFonts w:hint="eastAsia" w:ascii="宋体" w:hAnsi="宋体"/>
          <w:b/>
          <w:bCs/>
          <w:sz w:val="32"/>
          <w:szCs w:val="32"/>
          <w:lang w:val="zh-CN"/>
        </w:rPr>
      </w:pPr>
    </w:p>
    <w:p w14:paraId="7D129028">
      <w:pPr>
        <w:autoSpaceDE w:val="0"/>
        <w:autoSpaceDN w:val="0"/>
        <w:adjustRightInd w:val="0"/>
        <w:spacing w:line="360" w:lineRule="auto"/>
        <w:rPr>
          <w:rFonts w:hint="eastAsia" w:ascii="宋体" w:hAnsi="宋体"/>
          <w:b/>
          <w:bCs/>
          <w:sz w:val="32"/>
          <w:szCs w:val="32"/>
          <w:lang w:val="zh-CN"/>
        </w:rPr>
      </w:pPr>
    </w:p>
    <w:p w14:paraId="4C313748">
      <w:pPr>
        <w:autoSpaceDE w:val="0"/>
        <w:autoSpaceDN w:val="0"/>
        <w:adjustRightInd w:val="0"/>
        <w:spacing w:line="360" w:lineRule="auto"/>
        <w:rPr>
          <w:rFonts w:hint="eastAsia" w:ascii="宋体" w:hAnsi="宋体"/>
          <w:b/>
          <w:bCs/>
          <w:sz w:val="32"/>
          <w:szCs w:val="32"/>
          <w:lang w:val="zh-CN"/>
        </w:rPr>
      </w:pPr>
    </w:p>
    <w:p w14:paraId="17229C9A">
      <w:pPr>
        <w:spacing w:line="360" w:lineRule="auto"/>
        <w:contextualSpacing/>
        <w:rPr>
          <w:rFonts w:hint="eastAsia" w:ascii="宋体" w:hAnsi="宋体"/>
          <w:b/>
          <w:sz w:val="32"/>
          <w:szCs w:val="32"/>
        </w:rPr>
      </w:pPr>
      <w:r>
        <w:rPr>
          <w:rFonts w:hint="eastAsia" w:ascii="宋体" w:hAnsi="宋体"/>
          <w:b/>
          <w:bCs/>
          <w:sz w:val="32"/>
          <w:szCs w:val="32"/>
        </w:rPr>
        <w:t>三、</w:t>
      </w:r>
      <w:r>
        <w:rPr>
          <w:rFonts w:hint="eastAsia" w:ascii="宋体" w:hAnsi="宋体"/>
          <w:b/>
          <w:sz w:val="32"/>
          <w:szCs w:val="32"/>
        </w:rPr>
        <w:t>商务技术文件格式</w:t>
      </w:r>
    </w:p>
    <w:p w14:paraId="25DE7273">
      <w:pPr>
        <w:snapToGrid w:val="0"/>
        <w:spacing w:before="156" w:beforeLines="50" w:after="50" w:line="360" w:lineRule="auto"/>
        <w:jc w:val="left"/>
        <w:rPr>
          <w:rFonts w:hint="eastAsia" w:ascii="宋体" w:hAnsi="宋体"/>
          <w:b/>
          <w:sz w:val="32"/>
          <w:szCs w:val="32"/>
        </w:rPr>
      </w:pPr>
      <w:r>
        <w:rPr>
          <w:rFonts w:hint="eastAsia" w:ascii="宋体" w:hAnsi="宋体"/>
          <w:b/>
          <w:sz w:val="32"/>
          <w:szCs w:val="32"/>
        </w:rPr>
        <w:t>1.商务技术文件封面格式</w:t>
      </w:r>
    </w:p>
    <w:p w14:paraId="61D96996">
      <w:pPr>
        <w:snapToGrid w:val="0"/>
        <w:spacing w:before="156" w:beforeLines="50" w:after="50"/>
        <w:rPr>
          <w:rFonts w:hint="eastAsia" w:ascii="宋体" w:hAnsi="宋体"/>
          <w:bCs/>
          <w:sz w:val="32"/>
          <w:szCs w:val="20"/>
        </w:rPr>
      </w:pPr>
      <w:r>
        <w:rPr>
          <w:rFonts w:hint="eastAsia" w:ascii="宋体" w:hAnsi="宋体"/>
          <w:sz w:val="24"/>
        </w:rPr>
        <w:t xml:space="preserve">                                                    </w:t>
      </w:r>
    </w:p>
    <w:p w14:paraId="6CB48817">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64D5CA12">
      <w:pPr>
        <w:snapToGrid w:val="0"/>
        <w:spacing w:before="156" w:beforeLines="50" w:after="50"/>
        <w:rPr>
          <w:rFonts w:hint="eastAsia" w:ascii="宋体" w:hAnsi="宋体"/>
          <w:sz w:val="24"/>
          <w:szCs w:val="20"/>
        </w:rPr>
      </w:pPr>
    </w:p>
    <w:p w14:paraId="78B60E25">
      <w:pPr>
        <w:snapToGrid w:val="0"/>
        <w:spacing w:before="156" w:beforeLines="50" w:after="50"/>
        <w:rPr>
          <w:rFonts w:hint="eastAsia" w:ascii="宋体" w:hAnsi="宋体"/>
          <w:sz w:val="24"/>
          <w:szCs w:val="20"/>
        </w:rPr>
      </w:pPr>
    </w:p>
    <w:p w14:paraId="7B499A13">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51A8B5D3">
      <w:pPr>
        <w:snapToGrid w:val="0"/>
        <w:spacing w:before="156" w:beforeLines="50" w:after="50"/>
        <w:rPr>
          <w:rFonts w:hint="eastAsia" w:ascii="宋体" w:hAnsi="宋体"/>
          <w:bCs/>
          <w:sz w:val="24"/>
          <w:szCs w:val="20"/>
        </w:rPr>
      </w:pPr>
    </w:p>
    <w:p w14:paraId="50544149">
      <w:pPr>
        <w:snapToGrid w:val="0"/>
        <w:spacing w:before="156" w:beforeLines="50" w:after="50"/>
        <w:rPr>
          <w:rFonts w:hint="eastAsia" w:ascii="宋体" w:hAnsi="宋体"/>
          <w:bCs/>
          <w:sz w:val="24"/>
          <w:szCs w:val="20"/>
        </w:rPr>
      </w:pPr>
    </w:p>
    <w:p w14:paraId="4B595AFF">
      <w:pPr>
        <w:snapToGrid w:val="0"/>
        <w:spacing w:before="156" w:beforeLines="50" w:after="50"/>
        <w:rPr>
          <w:rFonts w:hint="eastAsia" w:ascii="宋体" w:hAnsi="宋体"/>
          <w:bCs/>
          <w:sz w:val="24"/>
          <w:szCs w:val="20"/>
        </w:rPr>
      </w:pPr>
    </w:p>
    <w:p w14:paraId="3E04BB6F">
      <w:pPr>
        <w:snapToGrid w:val="0"/>
        <w:spacing w:before="156" w:beforeLines="50" w:after="50"/>
        <w:rPr>
          <w:rFonts w:hint="eastAsia" w:ascii="宋体" w:hAnsi="宋体"/>
          <w:bCs/>
          <w:sz w:val="24"/>
          <w:szCs w:val="20"/>
        </w:rPr>
      </w:pPr>
    </w:p>
    <w:p w14:paraId="56976026">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8506EF2">
      <w:pPr>
        <w:snapToGrid w:val="0"/>
        <w:spacing w:before="156" w:beforeLines="50" w:after="50"/>
        <w:ind w:firstLine="720" w:firstLineChars="225"/>
        <w:rPr>
          <w:rFonts w:hint="eastAsia" w:ascii="宋体" w:hAnsi="宋体" w:cs="仿宋_GB2312"/>
          <w:bCs/>
          <w:sz w:val="32"/>
          <w:szCs w:val="32"/>
        </w:rPr>
      </w:pPr>
    </w:p>
    <w:p w14:paraId="10BCE4ED">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39A7159D">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59F506BE">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供应商名称：</w:t>
      </w:r>
    </w:p>
    <w:p w14:paraId="281097A4">
      <w:pPr>
        <w:pStyle w:val="8"/>
        <w:snapToGrid w:val="0"/>
        <w:spacing w:before="50" w:after="50"/>
        <w:ind w:firstLine="640"/>
        <w:rPr>
          <w:rFonts w:hint="eastAsia" w:ascii="宋体" w:hAnsi="宋体" w:cs="仿宋_GB2312"/>
          <w:bCs/>
          <w:sz w:val="32"/>
          <w:szCs w:val="32"/>
        </w:rPr>
      </w:pPr>
    </w:p>
    <w:p w14:paraId="1F9648A5">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供应商地址：</w:t>
      </w:r>
    </w:p>
    <w:p w14:paraId="636DA227">
      <w:pPr>
        <w:pStyle w:val="8"/>
        <w:snapToGrid w:val="0"/>
        <w:spacing w:before="50" w:after="50"/>
        <w:ind w:firstLine="640"/>
        <w:rPr>
          <w:rFonts w:hint="eastAsia" w:ascii="宋体" w:hAnsi="宋体" w:cs="仿宋_GB2312"/>
          <w:bCs/>
          <w:sz w:val="32"/>
          <w:szCs w:val="32"/>
        </w:rPr>
      </w:pPr>
    </w:p>
    <w:p w14:paraId="7FF2A58E">
      <w:pPr>
        <w:pStyle w:val="8"/>
        <w:snapToGrid w:val="0"/>
        <w:spacing w:before="50" w:after="50"/>
        <w:ind w:firstLine="720" w:firstLineChars="225"/>
        <w:rPr>
          <w:rFonts w:hint="eastAsia" w:ascii="宋体" w:hAnsi="宋体" w:cs="仿宋_GB2312"/>
          <w:bCs/>
          <w:sz w:val="32"/>
          <w:szCs w:val="32"/>
        </w:rPr>
      </w:pPr>
    </w:p>
    <w:p w14:paraId="1AC62E4D">
      <w:pPr>
        <w:pStyle w:val="8"/>
        <w:snapToGrid w:val="0"/>
        <w:spacing w:before="50" w:after="50"/>
        <w:ind w:firstLine="1280" w:firstLineChars="400"/>
        <w:rPr>
          <w:rFonts w:hint="eastAsia" w:ascii="宋体" w:hAnsi="宋体" w:cs="仿宋_GB2312"/>
          <w:bCs/>
          <w:sz w:val="32"/>
          <w:szCs w:val="32"/>
        </w:rPr>
      </w:pPr>
    </w:p>
    <w:p w14:paraId="3FEB013C">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359B3CA7">
      <w:pPr>
        <w:snapToGrid w:val="0"/>
        <w:spacing w:before="156" w:beforeLines="50" w:after="50" w:line="360" w:lineRule="auto"/>
        <w:ind w:right="480" w:firstLine="240" w:firstLineChars="100"/>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1F72B50D">
      <w:pPr>
        <w:snapToGrid w:val="0"/>
        <w:spacing w:before="156" w:beforeLines="50" w:after="50" w:line="360" w:lineRule="auto"/>
        <w:ind w:firstLine="640" w:firstLineChars="200"/>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0E987A29">
      <w:pPr>
        <w:spacing w:line="400" w:lineRule="exact"/>
        <w:rPr>
          <w:rFonts w:hint="eastAsia" w:ascii="仿宋_GB2312" w:hAnsi="仿宋_GB2312" w:eastAsia="仿宋_GB2312" w:cs="仿宋_GB2312"/>
          <w:sz w:val="32"/>
          <w:szCs w:val="32"/>
        </w:rPr>
      </w:pPr>
    </w:p>
    <w:p w14:paraId="0A93207C">
      <w:pPr>
        <w:spacing w:line="520" w:lineRule="exact"/>
        <w:jc w:val="center"/>
        <w:rPr>
          <w:rFonts w:hint="eastAsia" w:ascii="仿宋_GB2312" w:hAnsi="仿宋_GB2312" w:eastAsia="方正小标宋简体" w:cs="仿宋_GB2312"/>
          <w:sz w:val="2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36"/>
          <w:szCs w:val="36"/>
        </w:rPr>
        <w:t>无串通竞标行为的承诺函（格式）</w:t>
      </w:r>
    </w:p>
    <w:p w14:paraId="4951E141">
      <w:pPr>
        <w:spacing w:line="360" w:lineRule="auto"/>
        <w:ind w:firstLine="640" w:firstLineChars="200"/>
        <w:contextualSpacing/>
        <w:rPr>
          <w:rFonts w:hint="eastAsia" w:ascii="仿宋_GB2312" w:hAnsi="仿宋_GB2312" w:eastAsia="仿宋_GB2312" w:cs="仿宋_GB2312"/>
          <w:sz w:val="32"/>
          <w:szCs w:val="32"/>
        </w:rPr>
      </w:pPr>
    </w:p>
    <w:p w14:paraId="653B5AE5">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311AECB1">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70F7128C">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518F734E">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0747474A">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4.不同供应商的响应文件异常一致或者竞标报价呈规律性差异；</w:t>
      </w:r>
    </w:p>
    <w:p w14:paraId="54868E17">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4905E8A3">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02BA9EB8">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4C67A2BA">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EDAA804">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656C8841">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3.供应商之间协商报价、技术方案等响应文件的实质性内容；</w:t>
      </w:r>
    </w:p>
    <w:p w14:paraId="0FB4078C">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89248D9">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6F016F24">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2511AEC4">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7.供应商与采购人或者采购代理机构之间、供应商相互之间，为谋求特定供应商成交或者排斥其他供应商的其他串通行为。</w:t>
      </w:r>
    </w:p>
    <w:p w14:paraId="326A6441">
      <w:pPr>
        <w:spacing w:line="360" w:lineRule="auto"/>
        <w:ind w:firstLine="480" w:firstLineChars="200"/>
        <w:contextualSpacing/>
        <w:rPr>
          <w:rFonts w:hint="eastAsia" w:ascii="宋体" w:hAnsi="宋体" w:cs="仿宋_GB2312"/>
          <w:sz w:val="24"/>
        </w:rPr>
      </w:pPr>
    </w:p>
    <w:p w14:paraId="3694DD4B">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07FA4B42">
      <w:pPr>
        <w:spacing w:line="360" w:lineRule="auto"/>
        <w:contextualSpacing/>
        <w:rPr>
          <w:rFonts w:hint="eastAsia" w:ascii="宋体" w:hAnsi="宋体" w:cs="仿宋_GB2312"/>
          <w:sz w:val="24"/>
        </w:rPr>
      </w:pPr>
    </w:p>
    <w:p w14:paraId="2825E19E">
      <w:pPr>
        <w:spacing w:line="360" w:lineRule="auto"/>
        <w:contextualSpacing/>
        <w:rPr>
          <w:rFonts w:hint="eastAsia" w:ascii="宋体" w:hAnsi="宋体" w:cs="仿宋_GB2312"/>
          <w:sz w:val="24"/>
        </w:rPr>
      </w:pPr>
    </w:p>
    <w:p w14:paraId="504D3E8B">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3E6533A9">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4B7BBA14">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法定代表人证明书</w:t>
      </w:r>
    </w:p>
    <w:p w14:paraId="649E6961">
      <w:pPr>
        <w:spacing w:line="360" w:lineRule="auto"/>
        <w:ind w:left="540"/>
        <w:contextualSpacing/>
        <w:rPr>
          <w:rFonts w:hint="eastAsia" w:ascii="仿宋_GB2312" w:hAnsi="仿宋_GB2312" w:eastAsia="仿宋_GB2312" w:cs="仿宋_GB2312"/>
          <w:sz w:val="32"/>
          <w:szCs w:val="32"/>
        </w:rPr>
      </w:pPr>
    </w:p>
    <w:p w14:paraId="2C3D9F75">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531B1096">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50583677">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632E4341">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00D6EE28">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507B2A54">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013C265">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31154E85">
      <w:pPr>
        <w:spacing w:line="360" w:lineRule="auto"/>
        <w:ind w:left="540"/>
        <w:contextualSpacing/>
        <w:rPr>
          <w:rFonts w:hint="eastAsia" w:ascii="宋体" w:hAnsi="宋体" w:cs="仿宋_GB2312"/>
          <w:sz w:val="24"/>
        </w:rPr>
      </w:pPr>
    </w:p>
    <w:p w14:paraId="19721624">
      <w:pPr>
        <w:spacing w:line="360" w:lineRule="auto"/>
        <w:ind w:left="540"/>
        <w:contextualSpacing/>
        <w:rPr>
          <w:rFonts w:hint="eastAsia" w:ascii="宋体" w:hAnsi="宋体" w:cs="仿宋_GB2312"/>
          <w:sz w:val="24"/>
        </w:rPr>
      </w:pPr>
    </w:p>
    <w:p w14:paraId="48C8240A">
      <w:pPr>
        <w:spacing w:line="360" w:lineRule="auto"/>
        <w:ind w:left="540"/>
        <w:contextualSpacing/>
        <w:rPr>
          <w:rFonts w:hint="eastAsia" w:ascii="宋体" w:hAnsi="宋体" w:cs="仿宋_GB2312"/>
          <w:sz w:val="24"/>
        </w:rPr>
      </w:pPr>
    </w:p>
    <w:p w14:paraId="411B7FFB">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7098CAF">
      <w:pPr>
        <w:spacing w:line="360" w:lineRule="auto"/>
        <w:ind w:left="540"/>
        <w:contextualSpacing/>
        <w:rPr>
          <w:rFonts w:hint="eastAsia" w:ascii="宋体" w:hAnsi="宋体" w:cs="仿宋_GB2312"/>
          <w:sz w:val="24"/>
        </w:rPr>
      </w:pPr>
    </w:p>
    <w:p w14:paraId="246700E0">
      <w:pPr>
        <w:spacing w:line="360" w:lineRule="auto"/>
        <w:ind w:left="540"/>
        <w:contextualSpacing/>
        <w:rPr>
          <w:rFonts w:hint="eastAsia" w:ascii="宋体" w:hAnsi="宋体" w:cs="仿宋_GB2312"/>
          <w:sz w:val="24"/>
        </w:rPr>
      </w:pPr>
    </w:p>
    <w:p w14:paraId="1E99490D">
      <w:pPr>
        <w:spacing w:line="360" w:lineRule="auto"/>
        <w:ind w:left="540" w:firstLine="3000" w:firstLineChars="1250"/>
        <w:contextualSpacing/>
        <w:jc w:val="left"/>
        <w:rPr>
          <w:rFonts w:hint="eastAsia" w:ascii="宋体" w:hAnsi="宋体" w:cs="仿宋_GB2312"/>
          <w:sz w:val="24"/>
        </w:rPr>
      </w:pPr>
      <w:r>
        <w:rPr>
          <w:rFonts w:hint="eastAsia" w:ascii="宋体" w:hAnsi="宋体" w:cs="仿宋_GB2312"/>
          <w:sz w:val="24"/>
        </w:rPr>
        <w:t>供应商（电子签章）：</w:t>
      </w:r>
      <w:r>
        <w:rPr>
          <w:rFonts w:hint="eastAsia" w:ascii="宋体" w:hAnsi="宋体" w:cs="仿宋_GB2312"/>
          <w:sz w:val="24"/>
          <w:u w:val="single"/>
        </w:rPr>
        <w:t xml:space="preserve">               </w:t>
      </w:r>
    </w:p>
    <w:p w14:paraId="7994299F">
      <w:pPr>
        <w:spacing w:line="360" w:lineRule="auto"/>
        <w:ind w:firstLine="4080" w:firstLineChars="1700"/>
        <w:contextualSpacing/>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440DB7EA">
      <w:pPr>
        <w:spacing w:line="360" w:lineRule="auto"/>
        <w:contextualSpacing/>
        <w:jc w:val="center"/>
        <w:rPr>
          <w:rFonts w:hint="eastAsia" w:ascii="宋体" w:hAnsi="宋体" w:cs="仿宋_GB2312"/>
          <w:b/>
          <w:sz w:val="24"/>
        </w:rPr>
      </w:pPr>
    </w:p>
    <w:p w14:paraId="5D556F49">
      <w:pPr>
        <w:adjustRightInd w:val="0"/>
        <w:snapToGrid w:val="0"/>
        <w:spacing w:line="300" w:lineRule="auto"/>
        <w:jc w:val="left"/>
        <w:rPr>
          <w:rFonts w:hint="eastAsia" w:ascii="宋体" w:hAnsi="宋体"/>
          <w:b/>
          <w:szCs w:val="21"/>
        </w:rPr>
      </w:pPr>
    </w:p>
    <w:p w14:paraId="319B3736">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bookmarkStart w:id="75" w:name="_Hlk65853643"/>
      <w:r>
        <w:rPr>
          <w:rFonts w:hint="eastAsia" w:ascii="方正小标宋简体" w:hAnsi="方正小标宋简体" w:eastAsia="方正小标宋简体" w:cs="方正小标宋简体"/>
          <w:sz w:val="44"/>
          <w:szCs w:val="44"/>
        </w:rPr>
        <w:t>授权委托书</w:t>
      </w:r>
    </w:p>
    <w:p w14:paraId="2AA1D77A">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1DD43A64">
      <w:pPr>
        <w:spacing w:line="520" w:lineRule="exact"/>
        <w:rPr>
          <w:rFonts w:hint="eastAsia" w:ascii="仿宋_GB2312" w:hAnsi="仿宋_GB2312" w:eastAsia="仿宋_GB2312" w:cs="仿宋_GB2312"/>
          <w:sz w:val="32"/>
          <w:szCs w:val="32"/>
        </w:rPr>
      </w:pPr>
    </w:p>
    <w:p w14:paraId="71D0C459">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7109891C">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15DDDDE7">
      <w:pPr>
        <w:spacing w:line="360" w:lineRule="auto"/>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7B969B97">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BDBE44B">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1DD1F594">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1AC6EA90">
      <w:pPr>
        <w:spacing w:line="360" w:lineRule="auto"/>
        <w:rPr>
          <w:rFonts w:hint="eastAsia" w:ascii="宋体" w:hAnsi="宋体" w:cs="仿宋_GB2312"/>
          <w:sz w:val="24"/>
        </w:rPr>
      </w:pPr>
    </w:p>
    <w:p w14:paraId="5C2147D7">
      <w:pPr>
        <w:spacing w:line="360" w:lineRule="auto"/>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03CDDF6C">
      <w:pPr>
        <w:spacing w:line="360" w:lineRule="auto"/>
        <w:contextualSpacing/>
        <w:rPr>
          <w:rFonts w:hint="eastAsia" w:ascii="宋体" w:hAnsi="宋体" w:cs="仿宋_GB2312"/>
          <w:sz w:val="24"/>
        </w:rPr>
      </w:pPr>
      <w:r>
        <w:rPr>
          <w:rFonts w:hint="eastAsia" w:ascii="宋体" w:hAnsi="宋体" w:cs="仿宋_GB2312"/>
          <w:sz w:val="24"/>
        </w:rPr>
        <w:t xml:space="preserve">委托代理人身份证号码：                              </w:t>
      </w:r>
    </w:p>
    <w:p w14:paraId="0C00DD52">
      <w:pPr>
        <w:spacing w:line="360" w:lineRule="auto"/>
        <w:contextualSpacing/>
        <w:rPr>
          <w:rFonts w:hint="eastAsia" w:ascii="宋体" w:hAnsi="宋体" w:cs="仿宋_GB2312"/>
          <w:sz w:val="24"/>
        </w:rPr>
      </w:pPr>
      <w:r>
        <w:rPr>
          <w:rFonts w:hint="eastAsia" w:ascii="宋体" w:hAnsi="宋体" w:cs="仿宋_GB2312"/>
          <w:sz w:val="24"/>
        </w:rPr>
        <w:t xml:space="preserve">                                </w:t>
      </w:r>
    </w:p>
    <w:p w14:paraId="18375747">
      <w:pPr>
        <w:spacing w:line="360" w:lineRule="auto"/>
        <w:rPr>
          <w:rFonts w:hint="eastAsia" w:ascii="宋体" w:hAnsi="宋体" w:cs="仿宋_GB2312"/>
          <w:sz w:val="24"/>
        </w:rPr>
      </w:pPr>
      <w:r>
        <w:rPr>
          <w:rFonts w:hint="eastAsia" w:ascii="宋体" w:hAnsi="宋体" w:cs="仿宋_GB2312"/>
          <w:sz w:val="24"/>
        </w:rPr>
        <w:t xml:space="preserve">                         供应商（电子签章）：                      </w:t>
      </w:r>
    </w:p>
    <w:p w14:paraId="1E1BF305">
      <w:pPr>
        <w:spacing w:line="360" w:lineRule="auto"/>
        <w:rPr>
          <w:rFonts w:hint="eastAsia" w:ascii="宋体" w:hAnsi="宋体" w:cs="仿宋_GB2312"/>
          <w:sz w:val="24"/>
        </w:rPr>
      </w:pPr>
      <w:r>
        <w:rPr>
          <w:rFonts w:hint="eastAsia" w:ascii="宋体" w:hAnsi="宋体" w:cs="仿宋_GB2312"/>
          <w:sz w:val="24"/>
        </w:rPr>
        <w:t xml:space="preserve">                                         年    月    日</w:t>
      </w:r>
    </w:p>
    <w:p w14:paraId="3146D172">
      <w:pPr>
        <w:spacing w:line="360" w:lineRule="auto"/>
        <w:rPr>
          <w:rFonts w:hint="eastAsia" w:ascii="宋体" w:hAnsi="宋体" w:cs="仿宋_GB2312"/>
          <w:sz w:val="24"/>
        </w:rPr>
      </w:pPr>
    </w:p>
    <w:p w14:paraId="04DDD8F6">
      <w:pPr>
        <w:spacing w:line="360" w:lineRule="auto"/>
        <w:rPr>
          <w:rFonts w:hint="eastAsia" w:ascii="宋体" w:hAnsi="宋体" w:cs="仿宋_GB2312"/>
          <w:sz w:val="24"/>
        </w:rPr>
      </w:pPr>
    </w:p>
    <w:p w14:paraId="4DD900FA">
      <w:pPr>
        <w:spacing w:line="360" w:lineRule="auto"/>
        <w:rPr>
          <w:rFonts w:hint="eastAsia" w:ascii="宋体" w:hAnsi="宋体" w:cs="仿宋_GB2312"/>
          <w:sz w:val="24"/>
        </w:rPr>
      </w:pPr>
    </w:p>
    <w:p w14:paraId="190745B9">
      <w:pPr>
        <w:spacing w:line="360" w:lineRule="auto"/>
        <w:rPr>
          <w:rFonts w:hint="eastAsia" w:ascii="宋体" w:hAnsi="宋体" w:cs="仿宋_GB2312"/>
          <w:sz w:val="24"/>
        </w:rPr>
      </w:pPr>
    </w:p>
    <w:p w14:paraId="470A87F3">
      <w:pPr>
        <w:spacing w:line="360" w:lineRule="auto"/>
        <w:rPr>
          <w:rFonts w:hint="eastAsia" w:ascii="宋体" w:hAnsi="宋体" w:cs="仿宋_GB2312"/>
          <w:sz w:val="24"/>
        </w:rPr>
      </w:pPr>
    </w:p>
    <w:p w14:paraId="7A0E4286">
      <w:pPr>
        <w:spacing w:line="360" w:lineRule="auto"/>
        <w:ind w:firstLine="480" w:firstLineChars="200"/>
        <w:rPr>
          <w:rFonts w:hint="eastAsia" w:ascii="宋体" w:hAnsi="宋体" w:cs="仿宋_GB2312"/>
          <w:sz w:val="24"/>
        </w:rPr>
      </w:pPr>
      <w:r>
        <w:rPr>
          <w:rFonts w:hint="eastAsia" w:ascii="宋体" w:hAnsi="宋体" w:cs="仿宋_GB2312"/>
          <w:sz w:val="24"/>
        </w:rPr>
        <w:t>注：法定代表人必须在授权委托书上签字或者盖章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否则其响应文件按无效处理。</w:t>
      </w:r>
    </w:p>
    <w:p w14:paraId="101B194D">
      <w:pPr>
        <w:spacing w:line="360" w:lineRule="auto"/>
        <w:ind w:firstLine="420" w:firstLineChars="200"/>
        <w:jc w:val="left"/>
        <w:rPr>
          <w:rFonts w:hint="eastAsia" w:ascii="仿宋_GB2312" w:hAnsi="仿宋_GB2312" w:eastAsia="仿宋_GB2312" w:cs="仿宋_GB2312"/>
          <w:szCs w:val="21"/>
        </w:rPr>
      </w:pPr>
    </w:p>
    <w:p w14:paraId="7AA653F2">
      <w:pPr>
        <w:spacing w:line="500" w:lineRule="exact"/>
        <w:jc w:val="center"/>
        <w:rPr>
          <w:rFonts w:hint="eastAsia" w:ascii="方正小标宋简体" w:hAnsi="方正小标宋简体" w:eastAsia="方正小标宋简体" w:cs="方正小标宋简体"/>
          <w:bCs/>
          <w:sz w:val="44"/>
          <w:szCs w:val="44"/>
        </w:rPr>
      </w:pPr>
      <w:r>
        <w:rPr>
          <w:rFonts w:ascii="仿宋_GB2312" w:hAnsi="仿宋_GB2312" w:eastAsia="仿宋_GB2312" w:cs="仿宋_GB2312"/>
          <w:szCs w:val="21"/>
        </w:rPr>
        <w:br w:type="page"/>
      </w:r>
      <w:bookmarkEnd w:id="75"/>
      <w:r>
        <w:rPr>
          <w:rFonts w:hint="eastAsia" w:ascii="方正小标宋简体" w:hAnsi="方正小标宋简体" w:eastAsia="方正小标宋简体" w:cs="方正小标宋简体"/>
          <w:bCs/>
          <w:sz w:val="44"/>
          <w:szCs w:val="44"/>
        </w:rPr>
        <w:t>施工组织设计</w:t>
      </w:r>
    </w:p>
    <w:p w14:paraId="59EF54DD">
      <w:pPr>
        <w:spacing w:line="500" w:lineRule="exact"/>
        <w:jc w:val="center"/>
        <w:rPr>
          <w:rFonts w:hint="eastAsia"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（格式自拟）</w:t>
      </w:r>
    </w:p>
    <w:p w14:paraId="4D977621">
      <w:pPr>
        <w:adjustRightInd w:val="0"/>
        <w:snapToGrid w:val="0"/>
        <w:spacing w:line="300" w:lineRule="auto"/>
        <w:jc w:val="center"/>
        <w:rPr>
          <w:rFonts w:hint="eastAsia"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36"/>
          <w:szCs w:val="36"/>
        </w:rPr>
        <w:t>项目管理机构配备情况表（格式）</w:t>
      </w:r>
    </w:p>
    <w:p w14:paraId="469BB3A5">
      <w:pPr>
        <w:adjustRightInd w:val="0"/>
        <w:snapToGrid w:val="0"/>
        <w:spacing w:line="300" w:lineRule="auto"/>
        <w:jc w:val="center"/>
        <w:rPr>
          <w:rFonts w:hint="eastAsia" w:ascii="方正小标宋简体" w:hAnsi="方正小标宋简体" w:eastAsia="方正小标宋简体" w:cs="方正小标宋简体"/>
          <w:bCs/>
          <w:sz w:val="36"/>
          <w:szCs w:val="36"/>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66B5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5E478ABF">
            <w:pPr>
              <w:ind w:left="223" w:hanging="222" w:hangingChars="106"/>
              <w:jc w:val="center"/>
            </w:pPr>
            <w:r>
              <w:t>岗位</w:t>
            </w:r>
          </w:p>
        </w:tc>
        <w:tc>
          <w:tcPr>
            <w:tcW w:w="670" w:type="dxa"/>
            <w:vMerge w:val="restart"/>
            <w:vAlign w:val="center"/>
          </w:tcPr>
          <w:p w14:paraId="79A29800">
            <w:pPr>
              <w:ind w:left="223" w:hanging="222" w:hangingChars="106"/>
              <w:jc w:val="center"/>
            </w:pPr>
            <w:r>
              <w:t>姓名</w:t>
            </w:r>
          </w:p>
        </w:tc>
        <w:tc>
          <w:tcPr>
            <w:tcW w:w="829" w:type="dxa"/>
            <w:vMerge w:val="restart"/>
            <w:vAlign w:val="center"/>
          </w:tcPr>
          <w:p w14:paraId="6DAE374D">
            <w:pPr>
              <w:jc w:val="center"/>
            </w:pPr>
            <w:r>
              <w:t>身份证号</w:t>
            </w:r>
          </w:p>
        </w:tc>
        <w:tc>
          <w:tcPr>
            <w:tcW w:w="816" w:type="dxa"/>
            <w:vMerge w:val="restart"/>
            <w:vAlign w:val="center"/>
          </w:tcPr>
          <w:p w14:paraId="4F8C7630">
            <w:pPr>
              <w:ind w:left="223" w:hanging="222" w:hangingChars="106"/>
              <w:jc w:val="center"/>
            </w:pPr>
            <w:r>
              <w:t>职称</w:t>
            </w:r>
          </w:p>
        </w:tc>
        <w:tc>
          <w:tcPr>
            <w:tcW w:w="4188" w:type="dxa"/>
            <w:gridSpan w:val="4"/>
            <w:vAlign w:val="center"/>
          </w:tcPr>
          <w:p w14:paraId="5A9EFAF5">
            <w:pPr>
              <w:ind w:left="223" w:hanging="222" w:hangingChars="106"/>
              <w:jc w:val="center"/>
            </w:pPr>
            <w:r>
              <w:t>执业或职业资格</w:t>
            </w:r>
          </w:p>
        </w:tc>
        <w:tc>
          <w:tcPr>
            <w:tcW w:w="2443" w:type="dxa"/>
            <w:gridSpan w:val="2"/>
            <w:vAlign w:val="center"/>
          </w:tcPr>
          <w:p w14:paraId="200E7BF2">
            <w:pPr>
              <w:jc w:val="left"/>
            </w:pPr>
            <w:r>
              <w:t>承担完工</w:t>
            </w:r>
            <w:r>
              <w:rPr>
                <w:rFonts w:hint="eastAsia"/>
              </w:rPr>
              <w:t>、</w:t>
            </w:r>
            <w:r>
              <w:t>在建工程情况</w:t>
            </w:r>
          </w:p>
        </w:tc>
      </w:tr>
      <w:tr w14:paraId="68FA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56631D6">
            <w:pPr>
              <w:ind w:left="223" w:hanging="222" w:hangingChars="106"/>
              <w:jc w:val="center"/>
            </w:pPr>
          </w:p>
        </w:tc>
        <w:tc>
          <w:tcPr>
            <w:tcW w:w="670" w:type="dxa"/>
            <w:vMerge w:val="continue"/>
            <w:vAlign w:val="center"/>
          </w:tcPr>
          <w:p w14:paraId="1C92DDC0">
            <w:pPr>
              <w:ind w:left="223" w:hanging="222" w:hangingChars="106"/>
              <w:jc w:val="center"/>
            </w:pPr>
          </w:p>
        </w:tc>
        <w:tc>
          <w:tcPr>
            <w:tcW w:w="829" w:type="dxa"/>
            <w:vMerge w:val="continue"/>
            <w:vAlign w:val="center"/>
          </w:tcPr>
          <w:p w14:paraId="4951BDA8">
            <w:pPr>
              <w:ind w:left="223" w:hanging="222" w:hangingChars="106"/>
              <w:jc w:val="center"/>
            </w:pPr>
          </w:p>
        </w:tc>
        <w:tc>
          <w:tcPr>
            <w:tcW w:w="816" w:type="dxa"/>
            <w:vMerge w:val="continue"/>
            <w:vAlign w:val="center"/>
          </w:tcPr>
          <w:p w14:paraId="5FE5A4A1">
            <w:pPr>
              <w:ind w:left="223" w:hanging="222" w:hangingChars="106"/>
              <w:jc w:val="center"/>
            </w:pPr>
          </w:p>
        </w:tc>
        <w:tc>
          <w:tcPr>
            <w:tcW w:w="1148" w:type="dxa"/>
            <w:vAlign w:val="center"/>
          </w:tcPr>
          <w:p w14:paraId="07E9A316">
            <w:pPr>
              <w:ind w:left="223" w:hanging="222" w:hangingChars="106"/>
              <w:jc w:val="center"/>
            </w:pPr>
            <w:r>
              <w:t>证书名称</w:t>
            </w:r>
          </w:p>
        </w:tc>
        <w:tc>
          <w:tcPr>
            <w:tcW w:w="1148" w:type="dxa"/>
            <w:vAlign w:val="center"/>
          </w:tcPr>
          <w:p w14:paraId="29223A5E">
            <w:pPr>
              <w:ind w:left="223" w:hanging="222" w:hangingChars="106"/>
              <w:jc w:val="center"/>
            </w:pPr>
            <w:r>
              <w:t>级别</w:t>
            </w:r>
          </w:p>
        </w:tc>
        <w:tc>
          <w:tcPr>
            <w:tcW w:w="1148" w:type="dxa"/>
            <w:vAlign w:val="center"/>
          </w:tcPr>
          <w:p w14:paraId="2125E48B">
            <w:pPr>
              <w:ind w:left="223" w:hanging="222" w:hangingChars="106"/>
              <w:jc w:val="center"/>
            </w:pPr>
            <w:r>
              <w:t>证号</w:t>
            </w:r>
          </w:p>
        </w:tc>
        <w:tc>
          <w:tcPr>
            <w:tcW w:w="744" w:type="dxa"/>
            <w:vAlign w:val="center"/>
          </w:tcPr>
          <w:p w14:paraId="45BD6B68">
            <w:pPr>
              <w:ind w:left="223" w:hanging="222" w:hangingChars="106"/>
              <w:jc w:val="center"/>
            </w:pPr>
            <w:r>
              <w:t>专业</w:t>
            </w:r>
          </w:p>
        </w:tc>
        <w:tc>
          <w:tcPr>
            <w:tcW w:w="1167" w:type="dxa"/>
            <w:vAlign w:val="center"/>
          </w:tcPr>
          <w:p w14:paraId="0ECE567E">
            <w:pPr>
              <w:jc w:val="center"/>
            </w:pPr>
            <w:r>
              <w:rPr>
                <w:rFonts w:hint="eastAsia"/>
              </w:rPr>
              <w:t>完工/在建</w:t>
            </w:r>
          </w:p>
        </w:tc>
        <w:tc>
          <w:tcPr>
            <w:tcW w:w="1276" w:type="dxa"/>
            <w:vAlign w:val="center"/>
          </w:tcPr>
          <w:p w14:paraId="1CD8CDDB">
            <w:pPr>
              <w:jc w:val="center"/>
            </w:pPr>
            <w:r>
              <w:t>主要项目</w:t>
            </w:r>
          </w:p>
          <w:p w14:paraId="445E193C">
            <w:pPr>
              <w:jc w:val="center"/>
            </w:pPr>
            <w:r>
              <w:t>名称</w:t>
            </w:r>
          </w:p>
        </w:tc>
      </w:tr>
      <w:tr w14:paraId="2D54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BBCCD3F">
            <w:pPr>
              <w:pStyle w:val="78"/>
              <w:spacing w:line="240" w:lineRule="auto"/>
              <w:ind w:firstLine="0"/>
              <w:rPr>
                <w:rFonts w:hint="eastAsia"/>
                <w:sz w:val="21"/>
                <w:szCs w:val="21"/>
              </w:rPr>
            </w:pPr>
            <w:r>
              <w:rPr>
                <w:rFonts w:ascii="Times New Roman" w:hAnsi="Times New Roman" w:eastAsia="Times New Roman" w:cs="Times New Roman"/>
                <w:sz w:val="21"/>
                <w:szCs w:val="21"/>
                <w:lang w:val="en-US" w:eastAsia="en-US" w:bidi="en-US"/>
              </w:rPr>
              <w:t>1.</w:t>
            </w:r>
            <w:r>
              <w:rPr>
                <w:sz w:val="21"/>
                <w:szCs w:val="21"/>
              </w:rPr>
              <w:t>项目经理</w:t>
            </w:r>
          </w:p>
        </w:tc>
        <w:tc>
          <w:tcPr>
            <w:tcW w:w="670" w:type="dxa"/>
            <w:vAlign w:val="center"/>
          </w:tcPr>
          <w:p w14:paraId="151AF362">
            <w:pPr>
              <w:ind w:left="223" w:hanging="222" w:hangingChars="106"/>
              <w:jc w:val="center"/>
              <w:rPr>
                <w:szCs w:val="21"/>
              </w:rPr>
            </w:pPr>
          </w:p>
        </w:tc>
        <w:tc>
          <w:tcPr>
            <w:tcW w:w="829" w:type="dxa"/>
            <w:vAlign w:val="center"/>
          </w:tcPr>
          <w:p w14:paraId="45F7B611">
            <w:pPr>
              <w:ind w:left="223" w:hanging="222" w:hangingChars="106"/>
              <w:jc w:val="center"/>
              <w:rPr>
                <w:szCs w:val="21"/>
              </w:rPr>
            </w:pPr>
          </w:p>
        </w:tc>
        <w:tc>
          <w:tcPr>
            <w:tcW w:w="816" w:type="dxa"/>
            <w:vAlign w:val="center"/>
          </w:tcPr>
          <w:p w14:paraId="4B107E3F">
            <w:pPr>
              <w:ind w:left="223" w:hanging="222" w:hangingChars="106"/>
              <w:jc w:val="center"/>
              <w:rPr>
                <w:szCs w:val="21"/>
              </w:rPr>
            </w:pPr>
          </w:p>
        </w:tc>
        <w:tc>
          <w:tcPr>
            <w:tcW w:w="1148" w:type="dxa"/>
            <w:vAlign w:val="center"/>
          </w:tcPr>
          <w:p w14:paraId="52C80915">
            <w:pPr>
              <w:ind w:left="223" w:hanging="222" w:hangingChars="106"/>
              <w:jc w:val="center"/>
              <w:rPr>
                <w:szCs w:val="21"/>
              </w:rPr>
            </w:pPr>
          </w:p>
        </w:tc>
        <w:tc>
          <w:tcPr>
            <w:tcW w:w="1148" w:type="dxa"/>
            <w:vAlign w:val="center"/>
          </w:tcPr>
          <w:p w14:paraId="5F114E6F">
            <w:pPr>
              <w:ind w:left="223" w:hanging="222" w:hangingChars="106"/>
              <w:jc w:val="center"/>
              <w:rPr>
                <w:szCs w:val="21"/>
              </w:rPr>
            </w:pPr>
          </w:p>
        </w:tc>
        <w:tc>
          <w:tcPr>
            <w:tcW w:w="1148" w:type="dxa"/>
            <w:vAlign w:val="center"/>
          </w:tcPr>
          <w:p w14:paraId="35FAD011">
            <w:pPr>
              <w:ind w:left="223" w:hanging="222" w:hangingChars="106"/>
              <w:jc w:val="center"/>
              <w:rPr>
                <w:szCs w:val="21"/>
              </w:rPr>
            </w:pPr>
          </w:p>
        </w:tc>
        <w:tc>
          <w:tcPr>
            <w:tcW w:w="744" w:type="dxa"/>
            <w:vAlign w:val="center"/>
          </w:tcPr>
          <w:p w14:paraId="720CEA8C">
            <w:pPr>
              <w:ind w:left="223" w:hanging="222" w:hangingChars="106"/>
              <w:jc w:val="center"/>
              <w:rPr>
                <w:szCs w:val="21"/>
              </w:rPr>
            </w:pPr>
          </w:p>
        </w:tc>
        <w:tc>
          <w:tcPr>
            <w:tcW w:w="1167" w:type="dxa"/>
            <w:vAlign w:val="center"/>
          </w:tcPr>
          <w:p w14:paraId="748EFCE9">
            <w:pPr>
              <w:ind w:left="223" w:hanging="222" w:hangingChars="106"/>
              <w:jc w:val="center"/>
              <w:rPr>
                <w:szCs w:val="21"/>
              </w:rPr>
            </w:pPr>
          </w:p>
        </w:tc>
        <w:tc>
          <w:tcPr>
            <w:tcW w:w="1276" w:type="dxa"/>
            <w:vAlign w:val="center"/>
          </w:tcPr>
          <w:p w14:paraId="2C8960D2">
            <w:pPr>
              <w:ind w:left="223" w:hanging="222" w:hangingChars="106"/>
              <w:jc w:val="center"/>
              <w:rPr>
                <w:szCs w:val="21"/>
              </w:rPr>
            </w:pPr>
          </w:p>
        </w:tc>
      </w:tr>
      <w:tr w14:paraId="226A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E8D5646">
            <w:pPr>
              <w:pStyle w:val="78"/>
              <w:spacing w:line="240" w:lineRule="auto"/>
              <w:ind w:firstLine="0"/>
              <w:rPr>
                <w:rFonts w:hint="eastAsia"/>
                <w:sz w:val="21"/>
                <w:szCs w:val="21"/>
              </w:rPr>
            </w:pPr>
            <w:r>
              <w:rPr>
                <w:rFonts w:ascii="Times New Roman" w:hAnsi="Times New Roman" w:eastAsia="Times New Roman" w:cs="Times New Roman"/>
                <w:sz w:val="21"/>
                <w:szCs w:val="21"/>
                <w:lang w:val="en-US" w:bidi="en-US"/>
              </w:rPr>
              <w:t>2.</w:t>
            </w:r>
            <w:r>
              <w:rPr>
                <w:sz w:val="21"/>
                <w:szCs w:val="21"/>
              </w:rPr>
              <w:t>技术负责人</w:t>
            </w:r>
            <w:r>
              <w:rPr>
                <w:rFonts w:hint="eastAsia"/>
                <w:sz w:val="21"/>
                <w:szCs w:val="21"/>
              </w:rPr>
              <w:t>（项目总工）</w:t>
            </w:r>
          </w:p>
        </w:tc>
        <w:tc>
          <w:tcPr>
            <w:tcW w:w="670" w:type="dxa"/>
            <w:vAlign w:val="center"/>
          </w:tcPr>
          <w:p w14:paraId="5F33641D">
            <w:pPr>
              <w:ind w:left="223" w:hanging="222" w:hangingChars="106"/>
              <w:jc w:val="center"/>
              <w:rPr>
                <w:szCs w:val="21"/>
              </w:rPr>
            </w:pPr>
          </w:p>
        </w:tc>
        <w:tc>
          <w:tcPr>
            <w:tcW w:w="829" w:type="dxa"/>
            <w:vAlign w:val="center"/>
          </w:tcPr>
          <w:p w14:paraId="51949E93">
            <w:pPr>
              <w:ind w:left="223" w:hanging="222" w:hangingChars="106"/>
              <w:jc w:val="center"/>
              <w:rPr>
                <w:szCs w:val="21"/>
              </w:rPr>
            </w:pPr>
          </w:p>
        </w:tc>
        <w:tc>
          <w:tcPr>
            <w:tcW w:w="816" w:type="dxa"/>
            <w:vAlign w:val="center"/>
          </w:tcPr>
          <w:p w14:paraId="4D9458C6">
            <w:pPr>
              <w:ind w:left="223" w:hanging="222" w:hangingChars="106"/>
              <w:jc w:val="center"/>
              <w:rPr>
                <w:szCs w:val="21"/>
              </w:rPr>
            </w:pPr>
          </w:p>
        </w:tc>
        <w:tc>
          <w:tcPr>
            <w:tcW w:w="1148" w:type="dxa"/>
            <w:vAlign w:val="center"/>
          </w:tcPr>
          <w:p w14:paraId="4F1E88EF">
            <w:pPr>
              <w:ind w:left="223" w:hanging="222" w:hangingChars="106"/>
              <w:jc w:val="center"/>
              <w:rPr>
                <w:szCs w:val="21"/>
              </w:rPr>
            </w:pPr>
          </w:p>
        </w:tc>
        <w:tc>
          <w:tcPr>
            <w:tcW w:w="1148" w:type="dxa"/>
            <w:vAlign w:val="center"/>
          </w:tcPr>
          <w:p w14:paraId="61780CF8">
            <w:pPr>
              <w:ind w:left="223" w:hanging="222" w:hangingChars="106"/>
              <w:jc w:val="center"/>
              <w:rPr>
                <w:szCs w:val="21"/>
              </w:rPr>
            </w:pPr>
          </w:p>
        </w:tc>
        <w:tc>
          <w:tcPr>
            <w:tcW w:w="1148" w:type="dxa"/>
            <w:vAlign w:val="center"/>
          </w:tcPr>
          <w:p w14:paraId="55965F42">
            <w:pPr>
              <w:ind w:left="223" w:hanging="222" w:hangingChars="106"/>
              <w:jc w:val="center"/>
              <w:rPr>
                <w:szCs w:val="21"/>
              </w:rPr>
            </w:pPr>
          </w:p>
        </w:tc>
        <w:tc>
          <w:tcPr>
            <w:tcW w:w="744" w:type="dxa"/>
            <w:vAlign w:val="center"/>
          </w:tcPr>
          <w:p w14:paraId="04D146AA">
            <w:pPr>
              <w:ind w:left="223" w:hanging="222" w:hangingChars="106"/>
              <w:jc w:val="center"/>
              <w:rPr>
                <w:szCs w:val="21"/>
              </w:rPr>
            </w:pPr>
          </w:p>
        </w:tc>
        <w:tc>
          <w:tcPr>
            <w:tcW w:w="1167" w:type="dxa"/>
            <w:vAlign w:val="center"/>
          </w:tcPr>
          <w:p w14:paraId="6B909982">
            <w:pPr>
              <w:ind w:left="223" w:hanging="222" w:hangingChars="106"/>
              <w:jc w:val="center"/>
              <w:rPr>
                <w:szCs w:val="21"/>
              </w:rPr>
            </w:pPr>
          </w:p>
        </w:tc>
        <w:tc>
          <w:tcPr>
            <w:tcW w:w="1276" w:type="dxa"/>
            <w:vAlign w:val="center"/>
          </w:tcPr>
          <w:p w14:paraId="255E0172">
            <w:pPr>
              <w:ind w:left="223" w:hanging="222" w:hangingChars="106"/>
              <w:jc w:val="center"/>
              <w:rPr>
                <w:szCs w:val="21"/>
              </w:rPr>
            </w:pPr>
          </w:p>
        </w:tc>
      </w:tr>
      <w:tr w14:paraId="040D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FE2CEFA">
            <w:pPr>
              <w:pStyle w:val="78"/>
              <w:spacing w:line="240" w:lineRule="auto"/>
              <w:ind w:firstLine="0"/>
              <w:rPr>
                <w:rFonts w:hint="eastAsia"/>
                <w:sz w:val="21"/>
                <w:szCs w:val="21"/>
              </w:rPr>
            </w:pPr>
            <w:r>
              <w:rPr>
                <w:rFonts w:ascii="Times New Roman" w:hAnsi="Times New Roman" w:eastAsia="Times New Roman" w:cs="Times New Roman"/>
                <w:sz w:val="21"/>
                <w:szCs w:val="21"/>
                <w:lang w:val="en-US" w:eastAsia="en-US" w:bidi="en-US"/>
              </w:rPr>
              <w:t>3.</w:t>
            </w:r>
            <w:r>
              <w:rPr>
                <w:rFonts w:hint="eastAsia"/>
                <w:sz w:val="21"/>
                <w:szCs w:val="21"/>
              </w:rPr>
              <w:t xml:space="preserve"> 施工员</w:t>
            </w:r>
          </w:p>
        </w:tc>
        <w:tc>
          <w:tcPr>
            <w:tcW w:w="670" w:type="dxa"/>
            <w:vAlign w:val="center"/>
          </w:tcPr>
          <w:p w14:paraId="1B2B3F17">
            <w:pPr>
              <w:ind w:left="223" w:hanging="222" w:hangingChars="106"/>
              <w:jc w:val="center"/>
              <w:rPr>
                <w:szCs w:val="21"/>
              </w:rPr>
            </w:pPr>
          </w:p>
        </w:tc>
        <w:tc>
          <w:tcPr>
            <w:tcW w:w="829" w:type="dxa"/>
            <w:vAlign w:val="center"/>
          </w:tcPr>
          <w:p w14:paraId="652008E7">
            <w:pPr>
              <w:ind w:left="223" w:hanging="222" w:hangingChars="106"/>
              <w:jc w:val="center"/>
              <w:rPr>
                <w:szCs w:val="21"/>
              </w:rPr>
            </w:pPr>
          </w:p>
        </w:tc>
        <w:tc>
          <w:tcPr>
            <w:tcW w:w="816" w:type="dxa"/>
            <w:vAlign w:val="center"/>
          </w:tcPr>
          <w:p w14:paraId="190284ED">
            <w:pPr>
              <w:ind w:left="223" w:hanging="222" w:hangingChars="106"/>
              <w:jc w:val="center"/>
              <w:rPr>
                <w:szCs w:val="21"/>
              </w:rPr>
            </w:pPr>
          </w:p>
        </w:tc>
        <w:tc>
          <w:tcPr>
            <w:tcW w:w="1148" w:type="dxa"/>
            <w:vAlign w:val="center"/>
          </w:tcPr>
          <w:p w14:paraId="10B22702">
            <w:pPr>
              <w:ind w:left="223" w:hanging="222" w:hangingChars="106"/>
              <w:jc w:val="center"/>
              <w:rPr>
                <w:szCs w:val="21"/>
              </w:rPr>
            </w:pPr>
          </w:p>
        </w:tc>
        <w:tc>
          <w:tcPr>
            <w:tcW w:w="1148" w:type="dxa"/>
            <w:vAlign w:val="center"/>
          </w:tcPr>
          <w:p w14:paraId="1D8F1FF7">
            <w:pPr>
              <w:ind w:left="223" w:hanging="222" w:hangingChars="106"/>
              <w:jc w:val="center"/>
              <w:rPr>
                <w:szCs w:val="21"/>
              </w:rPr>
            </w:pPr>
          </w:p>
        </w:tc>
        <w:tc>
          <w:tcPr>
            <w:tcW w:w="1148" w:type="dxa"/>
            <w:vAlign w:val="center"/>
          </w:tcPr>
          <w:p w14:paraId="16CA0EF7">
            <w:pPr>
              <w:ind w:left="223" w:hanging="222" w:hangingChars="106"/>
              <w:jc w:val="center"/>
              <w:rPr>
                <w:szCs w:val="21"/>
              </w:rPr>
            </w:pPr>
          </w:p>
        </w:tc>
        <w:tc>
          <w:tcPr>
            <w:tcW w:w="744" w:type="dxa"/>
            <w:vAlign w:val="center"/>
          </w:tcPr>
          <w:p w14:paraId="60ACD11A">
            <w:pPr>
              <w:ind w:left="223" w:hanging="222" w:hangingChars="106"/>
              <w:jc w:val="center"/>
              <w:rPr>
                <w:szCs w:val="21"/>
              </w:rPr>
            </w:pPr>
          </w:p>
        </w:tc>
        <w:tc>
          <w:tcPr>
            <w:tcW w:w="1167" w:type="dxa"/>
            <w:vAlign w:val="center"/>
          </w:tcPr>
          <w:p w14:paraId="60DEB533">
            <w:pPr>
              <w:ind w:left="223" w:hanging="222" w:hangingChars="106"/>
              <w:jc w:val="center"/>
              <w:rPr>
                <w:szCs w:val="21"/>
              </w:rPr>
            </w:pPr>
          </w:p>
        </w:tc>
        <w:tc>
          <w:tcPr>
            <w:tcW w:w="1276" w:type="dxa"/>
            <w:vAlign w:val="center"/>
          </w:tcPr>
          <w:p w14:paraId="5ADA4ECD">
            <w:pPr>
              <w:ind w:left="223" w:hanging="222" w:hangingChars="106"/>
              <w:jc w:val="center"/>
              <w:rPr>
                <w:szCs w:val="21"/>
              </w:rPr>
            </w:pPr>
          </w:p>
        </w:tc>
      </w:tr>
      <w:tr w14:paraId="061D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5C3E928">
            <w:pPr>
              <w:pStyle w:val="78"/>
              <w:spacing w:line="240" w:lineRule="auto"/>
              <w:ind w:firstLine="0"/>
              <w:rPr>
                <w:rFonts w:hint="eastAsia"/>
                <w:sz w:val="21"/>
                <w:szCs w:val="21"/>
              </w:rPr>
            </w:pPr>
            <w:r>
              <w:rPr>
                <w:rFonts w:ascii="Times New Roman" w:hAnsi="Times New Roman" w:eastAsia="Times New Roman" w:cs="Times New Roman"/>
                <w:sz w:val="21"/>
                <w:szCs w:val="21"/>
                <w:lang w:val="en-US" w:eastAsia="en-US" w:bidi="en-US"/>
              </w:rPr>
              <w:t>4.</w:t>
            </w:r>
            <w:r>
              <w:rPr>
                <w:sz w:val="21"/>
                <w:szCs w:val="21"/>
              </w:rPr>
              <w:t>安全员</w:t>
            </w:r>
          </w:p>
        </w:tc>
        <w:tc>
          <w:tcPr>
            <w:tcW w:w="670" w:type="dxa"/>
            <w:vAlign w:val="center"/>
          </w:tcPr>
          <w:p w14:paraId="67D47234">
            <w:pPr>
              <w:ind w:left="223" w:hanging="222" w:hangingChars="106"/>
              <w:jc w:val="center"/>
              <w:rPr>
                <w:szCs w:val="21"/>
              </w:rPr>
            </w:pPr>
          </w:p>
        </w:tc>
        <w:tc>
          <w:tcPr>
            <w:tcW w:w="829" w:type="dxa"/>
            <w:vAlign w:val="center"/>
          </w:tcPr>
          <w:p w14:paraId="5C2E2A74">
            <w:pPr>
              <w:ind w:left="223" w:hanging="222" w:hangingChars="106"/>
              <w:jc w:val="center"/>
              <w:rPr>
                <w:szCs w:val="21"/>
              </w:rPr>
            </w:pPr>
          </w:p>
        </w:tc>
        <w:tc>
          <w:tcPr>
            <w:tcW w:w="816" w:type="dxa"/>
            <w:vAlign w:val="center"/>
          </w:tcPr>
          <w:p w14:paraId="721F7DC1">
            <w:pPr>
              <w:ind w:left="223" w:hanging="222" w:hangingChars="106"/>
              <w:jc w:val="center"/>
              <w:rPr>
                <w:szCs w:val="21"/>
              </w:rPr>
            </w:pPr>
          </w:p>
        </w:tc>
        <w:tc>
          <w:tcPr>
            <w:tcW w:w="1148" w:type="dxa"/>
            <w:vAlign w:val="center"/>
          </w:tcPr>
          <w:p w14:paraId="3D28383E">
            <w:pPr>
              <w:ind w:left="223" w:hanging="222" w:hangingChars="106"/>
              <w:jc w:val="center"/>
              <w:rPr>
                <w:szCs w:val="21"/>
              </w:rPr>
            </w:pPr>
          </w:p>
        </w:tc>
        <w:tc>
          <w:tcPr>
            <w:tcW w:w="1148" w:type="dxa"/>
            <w:vAlign w:val="center"/>
          </w:tcPr>
          <w:p w14:paraId="4B02885A">
            <w:pPr>
              <w:ind w:left="223" w:hanging="222" w:hangingChars="106"/>
              <w:jc w:val="center"/>
              <w:rPr>
                <w:szCs w:val="21"/>
              </w:rPr>
            </w:pPr>
          </w:p>
        </w:tc>
        <w:tc>
          <w:tcPr>
            <w:tcW w:w="1148" w:type="dxa"/>
            <w:vAlign w:val="center"/>
          </w:tcPr>
          <w:p w14:paraId="3B35B8C4">
            <w:pPr>
              <w:ind w:left="223" w:hanging="222" w:hangingChars="106"/>
              <w:jc w:val="center"/>
              <w:rPr>
                <w:szCs w:val="21"/>
              </w:rPr>
            </w:pPr>
          </w:p>
        </w:tc>
        <w:tc>
          <w:tcPr>
            <w:tcW w:w="744" w:type="dxa"/>
            <w:vAlign w:val="center"/>
          </w:tcPr>
          <w:p w14:paraId="16FE0967">
            <w:pPr>
              <w:ind w:left="223" w:hanging="222" w:hangingChars="106"/>
              <w:jc w:val="center"/>
              <w:rPr>
                <w:szCs w:val="21"/>
              </w:rPr>
            </w:pPr>
          </w:p>
        </w:tc>
        <w:tc>
          <w:tcPr>
            <w:tcW w:w="1167" w:type="dxa"/>
            <w:vAlign w:val="center"/>
          </w:tcPr>
          <w:p w14:paraId="2ABB71DC">
            <w:pPr>
              <w:ind w:left="223" w:hanging="222" w:hangingChars="106"/>
              <w:jc w:val="center"/>
              <w:rPr>
                <w:szCs w:val="21"/>
              </w:rPr>
            </w:pPr>
          </w:p>
        </w:tc>
        <w:tc>
          <w:tcPr>
            <w:tcW w:w="1276" w:type="dxa"/>
            <w:vAlign w:val="center"/>
          </w:tcPr>
          <w:p w14:paraId="740BDCA9">
            <w:pPr>
              <w:ind w:left="223" w:hanging="222" w:hangingChars="106"/>
              <w:jc w:val="center"/>
              <w:rPr>
                <w:szCs w:val="21"/>
              </w:rPr>
            </w:pPr>
          </w:p>
        </w:tc>
      </w:tr>
      <w:tr w14:paraId="6AA0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965D631">
            <w:pPr>
              <w:jc w:val="left"/>
              <w:rPr>
                <w:szCs w:val="21"/>
              </w:rPr>
            </w:pPr>
            <w:r>
              <w:rPr>
                <w:rFonts w:hint="eastAsia"/>
                <w:szCs w:val="21"/>
              </w:rPr>
              <w:t>5.</w:t>
            </w:r>
            <w:r>
              <w:rPr>
                <w:szCs w:val="21"/>
              </w:rPr>
              <w:t xml:space="preserve"> 质量员</w:t>
            </w:r>
          </w:p>
        </w:tc>
        <w:tc>
          <w:tcPr>
            <w:tcW w:w="670" w:type="dxa"/>
            <w:vAlign w:val="center"/>
          </w:tcPr>
          <w:p w14:paraId="42D6E779">
            <w:pPr>
              <w:ind w:left="223" w:hanging="222" w:hangingChars="106"/>
              <w:jc w:val="center"/>
              <w:rPr>
                <w:szCs w:val="21"/>
              </w:rPr>
            </w:pPr>
          </w:p>
        </w:tc>
        <w:tc>
          <w:tcPr>
            <w:tcW w:w="829" w:type="dxa"/>
            <w:vAlign w:val="center"/>
          </w:tcPr>
          <w:p w14:paraId="497AE659">
            <w:pPr>
              <w:ind w:left="223" w:hanging="222" w:hangingChars="106"/>
              <w:jc w:val="center"/>
              <w:rPr>
                <w:szCs w:val="21"/>
              </w:rPr>
            </w:pPr>
          </w:p>
        </w:tc>
        <w:tc>
          <w:tcPr>
            <w:tcW w:w="816" w:type="dxa"/>
            <w:vAlign w:val="center"/>
          </w:tcPr>
          <w:p w14:paraId="0AE3B290">
            <w:pPr>
              <w:ind w:left="223" w:hanging="222" w:hangingChars="106"/>
              <w:jc w:val="center"/>
              <w:rPr>
                <w:szCs w:val="21"/>
              </w:rPr>
            </w:pPr>
          </w:p>
        </w:tc>
        <w:tc>
          <w:tcPr>
            <w:tcW w:w="1148" w:type="dxa"/>
            <w:vAlign w:val="center"/>
          </w:tcPr>
          <w:p w14:paraId="5C45E3B3">
            <w:pPr>
              <w:ind w:left="223" w:hanging="222" w:hangingChars="106"/>
              <w:jc w:val="center"/>
              <w:rPr>
                <w:szCs w:val="21"/>
              </w:rPr>
            </w:pPr>
          </w:p>
        </w:tc>
        <w:tc>
          <w:tcPr>
            <w:tcW w:w="1148" w:type="dxa"/>
            <w:vAlign w:val="center"/>
          </w:tcPr>
          <w:p w14:paraId="003D3C5F">
            <w:pPr>
              <w:ind w:left="223" w:hanging="222" w:hangingChars="106"/>
              <w:jc w:val="center"/>
              <w:rPr>
                <w:szCs w:val="21"/>
              </w:rPr>
            </w:pPr>
          </w:p>
        </w:tc>
        <w:tc>
          <w:tcPr>
            <w:tcW w:w="1148" w:type="dxa"/>
            <w:vAlign w:val="center"/>
          </w:tcPr>
          <w:p w14:paraId="4841C308">
            <w:pPr>
              <w:ind w:left="223" w:hanging="222" w:hangingChars="106"/>
              <w:jc w:val="center"/>
              <w:rPr>
                <w:szCs w:val="21"/>
              </w:rPr>
            </w:pPr>
          </w:p>
        </w:tc>
        <w:tc>
          <w:tcPr>
            <w:tcW w:w="744" w:type="dxa"/>
            <w:vAlign w:val="center"/>
          </w:tcPr>
          <w:p w14:paraId="1DE3DE6E">
            <w:pPr>
              <w:ind w:left="223" w:hanging="222" w:hangingChars="106"/>
              <w:jc w:val="center"/>
              <w:rPr>
                <w:szCs w:val="21"/>
              </w:rPr>
            </w:pPr>
          </w:p>
        </w:tc>
        <w:tc>
          <w:tcPr>
            <w:tcW w:w="1167" w:type="dxa"/>
            <w:vAlign w:val="center"/>
          </w:tcPr>
          <w:p w14:paraId="49D8DFA0">
            <w:pPr>
              <w:ind w:left="223" w:hanging="222" w:hangingChars="106"/>
              <w:jc w:val="center"/>
              <w:rPr>
                <w:szCs w:val="21"/>
              </w:rPr>
            </w:pPr>
          </w:p>
        </w:tc>
        <w:tc>
          <w:tcPr>
            <w:tcW w:w="1276" w:type="dxa"/>
            <w:vAlign w:val="center"/>
          </w:tcPr>
          <w:p w14:paraId="2007E9C6">
            <w:pPr>
              <w:ind w:left="223" w:hanging="222" w:hangingChars="106"/>
              <w:jc w:val="center"/>
              <w:rPr>
                <w:szCs w:val="21"/>
              </w:rPr>
            </w:pPr>
          </w:p>
        </w:tc>
      </w:tr>
      <w:tr w14:paraId="23F5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A03825E">
            <w:pPr>
              <w:jc w:val="left"/>
              <w:rPr>
                <w:szCs w:val="21"/>
              </w:rPr>
            </w:pPr>
            <w:r>
              <w:rPr>
                <w:rFonts w:hint="eastAsia"/>
                <w:szCs w:val="21"/>
              </w:rPr>
              <w:t>6.材料员</w:t>
            </w:r>
          </w:p>
        </w:tc>
        <w:tc>
          <w:tcPr>
            <w:tcW w:w="670" w:type="dxa"/>
            <w:vAlign w:val="center"/>
          </w:tcPr>
          <w:p w14:paraId="13AD0952">
            <w:pPr>
              <w:ind w:left="223" w:hanging="222" w:hangingChars="106"/>
              <w:jc w:val="center"/>
              <w:rPr>
                <w:szCs w:val="21"/>
              </w:rPr>
            </w:pPr>
          </w:p>
        </w:tc>
        <w:tc>
          <w:tcPr>
            <w:tcW w:w="829" w:type="dxa"/>
            <w:vAlign w:val="center"/>
          </w:tcPr>
          <w:p w14:paraId="704B58F7">
            <w:pPr>
              <w:ind w:left="223" w:hanging="222" w:hangingChars="106"/>
              <w:jc w:val="center"/>
              <w:rPr>
                <w:szCs w:val="21"/>
              </w:rPr>
            </w:pPr>
          </w:p>
        </w:tc>
        <w:tc>
          <w:tcPr>
            <w:tcW w:w="816" w:type="dxa"/>
            <w:vAlign w:val="center"/>
          </w:tcPr>
          <w:p w14:paraId="15A0F531">
            <w:pPr>
              <w:ind w:left="223" w:hanging="222" w:hangingChars="106"/>
              <w:jc w:val="center"/>
              <w:rPr>
                <w:szCs w:val="21"/>
              </w:rPr>
            </w:pPr>
          </w:p>
        </w:tc>
        <w:tc>
          <w:tcPr>
            <w:tcW w:w="1148" w:type="dxa"/>
            <w:vAlign w:val="center"/>
          </w:tcPr>
          <w:p w14:paraId="5AEB1D36">
            <w:pPr>
              <w:ind w:left="223" w:hanging="222" w:hangingChars="106"/>
              <w:jc w:val="center"/>
              <w:rPr>
                <w:szCs w:val="21"/>
              </w:rPr>
            </w:pPr>
          </w:p>
        </w:tc>
        <w:tc>
          <w:tcPr>
            <w:tcW w:w="1148" w:type="dxa"/>
            <w:vAlign w:val="center"/>
          </w:tcPr>
          <w:p w14:paraId="08CC743E">
            <w:pPr>
              <w:ind w:left="223" w:hanging="222" w:hangingChars="106"/>
              <w:jc w:val="center"/>
              <w:rPr>
                <w:szCs w:val="21"/>
              </w:rPr>
            </w:pPr>
          </w:p>
        </w:tc>
        <w:tc>
          <w:tcPr>
            <w:tcW w:w="1148" w:type="dxa"/>
            <w:vAlign w:val="center"/>
          </w:tcPr>
          <w:p w14:paraId="269416E9">
            <w:pPr>
              <w:ind w:left="223" w:hanging="222" w:hangingChars="106"/>
              <w:jc w:val="center"/>
              <w:rPr>
                <w:szCs w:val="21"/>
              </w:rPr>
            </w:pPr>
          </w:p>
        </w:tc>
        <w:tc>
          <w:tcPr>
            <w:tcW w:w="744" w:type="dxa"/>
            <w:vAlign w:val="center"/>
          </w:tcPr>
          <w:p w14:paraId="1A3FBED1">
            <w:pPr>
              <w:ind w:left="223" w:hanging="222" w:hangingChars="106"/>
              <w:jc w:val="center"/>
              <w:rPr>
                <w:szCs w:val="21"/>
              </w:rPr>
            </w:pPr>
          </w:p>
        </w:tc>
        <w:tc>
          <w:tcPr>
            <w:tcW w:w="1167" w:type="dxa"/>
            <w:vAlign w:val="center"/>
          </w:tcPr>
          <w:p w14:paraId="1A88070F">
            <w:pPr>
              <w:ind w:left="223" w:hanging="222" w:hangingChars="106"/>
              <w:jc w:val="center"/>
              <w:rPr>
                <w:szCs w:val="21"/>
              </w:rPr>
            </w:pPr>
          </w:p>
        </w:tc>
        <w:tc>
          <w:tcPr>
            <w:tcW w:w="1276" w:type="dxa"/>
            <w:vAlign w:val="center"/>
          </w:tcPr>
          <w:p w14:paraId="6F838797">
            <w:pPr>
              <w:ind w:left="223" w:hanging="222" w:hangingChars="106"/>
              <w:jc w:val="center"/>
              <w:rPr>
                <w:szCs w:val="21"/>
              </w:rPr>
            </w:pPr>
          </w:p>
        </w:tc>
      </w:tr>
      <w:tr w14:paraId="04D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E58C0EE">
            <w:pPr>
              <w:ind w:left="223" w:hanging="222" w:hangingChars="106"/>
              <w:jc w:val="center"/>
              <w:rPr>
                <w:szCs w:val="21"/>
              </w:rPr>
            </w:pPr>
          </w:p>
        </w:tc>
        <w:tc>
          <w:tcPr>
            <w:tcW w:w="670" w:type="dxa"/>
            <w:vAlign w:val="center"/>
          </w:tcPr>
          <w:p w14:paraId="4DEE2342">
            <w:pPr>
              <w:ind w:left="223" w:hanging="222" w:hangingChars="106"/>
              <w:jc w:val="center"/>
              <w:rPr>
                <w:szCs w:val="21"/>
              </w:rPr>
            </w:pPr>
          </w:p>
        </w:tc>
        <w:tc>
          <w:tcPr>
            <w:tcW w:w="829" w:type="dxa"/>
            <w:vAlign w:val="center"/>
          </w:tcPr>
          <w:p w14:paraId="43CB68AD">
            <w:pPr>
              <w:ind w:left="223" w:hanging="222" w:hangingChars="106"/>
              <w:jc w:val="center"/>
              <w:rPr>
                <w:szCs w:val="21"/>
              </w:rPr>
            </w:pPr>
          </w:p>
        </w:tc>
        <w:tc>
          <w:tcPr>
            <w:tcW w:w="816" w:type="dxa"/>
            <w:vAlign w:val="center"/>
          </w:tcPr>
          <w:p w14:paraId="6D7B9C8C">
            <w:pPr>
              <w:ind w:left="223" w:hanging="222" w:hangingChars="106"/>
              <w:jc w:val="center"/>
              <w:rPr>
                <w:szCs w:val="21"/>
              </w:rPr>
            </w:pPr>
          </w:p>
        </w:tc>
        <w:tc>
          <w:tcPr>
            <w:tcW w:w="1148" w:type="dxa"/>
            <w:vAlign w:val="center"/>
          </w:tcPr>
          <w:p w14:paraId="3A318FAF">
            <w:pPr>
              <w:ind w:left="223" w:hanging="222" w:hangingChars="106"/>
              <w:jc w:val="center"/>
              <w:rPr>
                <w:szCs w:val="21"/>
              </w:rPr>
            </w:pPr>
          </w:p>
        </w:tc>
        <w:tc>
          <w:tcPr>
            <w:tcW w:w="1148" w:type="dxa"/>
            <w:vAlign w:val="center"/>
          </w:tcPr>
          <w:p w14:paraId="1A620AE9">
            <w:pPr>
              <w:ind w:left="223" w:hanging="222" w:hangingChars="106"/>
              <w:jc w:val="center"/>
              <w:rPr>
                <w:szCs w:val="21"/>
              </w:rPr>
            </w:pPr>
          </w:p>
        </w:tc>
        <w:tc>
          <w:tcPr>
            <w:tcW w:w="1148" w:type="dxa"/>
            <w:vAlign w:val="center"/>
          </w:tcPr>
          <w:p w14:paraId="3E495A6C">
            <w:pPr>
              <w:ind w:left="223" w:hanging="222" w:hangingChars="106"/>
              <w:jc w:val="center"/>
              <w:rPr>
                <w:szCs w:val="21"/>
              </w:rPr>
            </w:pPr>
          </w:p>
        </w:tc>
        <w:tc>
          <w:tcPr>
            <w:tcW w:w="744" w:type="dxa"/>
            <w:vAlign w:val="center"/>
          </w:tcPr>
          <w:p w14:paraId="1F1EA98B">
            <w:pPr>
              <w:ind w:left="223" w:hanging="222" w:hangingChars="106"/>
              <w:jc w:val="center"/>
              <w:rPr>
                <w:szCs w:val="21"/>
              </w:rPr>
            </w:pPr>
          </w:p>
        </w:tc>
        <w:tc>
          <w:tcPr>
            <w:tcW w:w="1167" w:type="dxa"/>
            <w:vAlign w:val="center"/>
          </w:tcPr>
          <w:p w14:paraId="765AF7D5">
            <w:pPr>
              <w:ind w:left="223" w:hanging="222" w:hangingChars="106"/>
              <w:jc w:val="center"/>
              <w:rPr>
                <w:szCs w:val="21"/>
              </w:rPr>
            </w:pPr>
          </w:p>
        </w:tc>
        <w:tc>
          <w:tcPr>
            <w:tcW w:w="1276" w:type="dxa"/>
            <w:vAlign w:val="center"/>
          </w:tcPr>
          <w:p w14:paraId="1AE2AB61">
            <w:pPr>
              <w:ind w:left="223" w:hanging="222" w:hangingChars="106"/>
              <w:jc w:val="center"/>
              <w:rPr>
                <w:szCs w:val="21"/>
              </w:rPr>
            </w:pPr>
          </w:p>
        </w:tc>
      </w:tr>
      <w:tr w14:paraId="78E8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0A8DB1BD">
            <w:pPr>
              <w:ind w:firstLine="420" w:firstLineChars="200"/>
            </w:pPr>
            <w:r>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14:paraId="0506692A">
      <w:pPr>
        <w:spacing w:line="360" w:lineRule="auto"/>
        <w:contextualSpacing/>
        <w:jc w:val="left"/>
        <w:rPr>
          <w:rFonts w:hint="eastAsia" w:ascii="宋体" w:hAnsi="宋体"/>
          <w:sz w:val="24"/>
          <w:szCs w:val="20"/>
        </w:rPr>
      </w:pPr>
      <w:r>
        <w:rPr>
          <w:rFonts w:hint="eastAsia" w:ascii="宋体" w:hAnsi="宋体"/>
          <w:sz w:val="24"/>
          <w:szCs w:val="20"/>
        </w:rPr>
        <w:t>备注：</w:t>
      </w:r>
    </w:p>
    <w:p w14:paraId="61FD2A53">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本表所列岗位的所有管理人员的情况均应如实填写。可按以上格式扩展为多页填写。</w:t>
      </w:r>
    </w:p>
    <w:p w14:paraId="484DA996">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供应商应当在本表后附所有管理人员的身份证、职称证（如有）、执业或职业资格证书的复印件并加盖供应商电子签章。</w:t>
      </w:r>
    </w:p>
    <w:p w14:paraId="666FCDDC">
      <w:pPr>
        <w:spacing w:line="360" w:lineRule="auto"/>
        <w:ind w:firstLine="480" w:firstLineChars="200"/>
        <w:contextualSpacing/>
        <w:jc w:val="left"/>
        <w:rPr>
          <w:rFonts w:hint="eastAsia" w:ascii="宋体" w:hAnsi="宋体"/>
          <w:sz w:val="24"/>
          <w:szCs w:val="20"/>
        </w:rPr>
      </w:pPr>
    </w:p>
    <w:p w14:paraId="6A39601D">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362927A8">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63E319D1">
      <w:pPr>
        <w:spacing w:line="360" w:lineRule="auto"/>
        <w:ind w:firstLine="480" w:firstLineChars="200"/>
        <w:contextualSpacing/>
        <w:jc w:val="left"/>
        <w:rPr>
          <w:rFonts w:hint="eastAsia" w:ascii="宋体" w:hAnsi="宋体"/>
          <w:sz w:val="24"/>
        </w:rPr>
      </w:pPr>
      <w:r>
        <w:rPr>
          <w:rFonts w:hint="eastAsia" w:ascii="宋体" w:hAnsi="宋体"/>
          <w:sz w:val="24"/>
        </w:rPr>
        <w:t xml:space="preserve">                                        年    月    日</w:t>
      </w:r>
    </w:p>
    <w:p w14:paraId="1A625333">
      <w:pPr>
        <w:spacing w:before="100" w:line="225" w:lineRule="auto"/>
        <w:ind w:left="16"/>
        <w:outlineLvl w:val="1"/>
        <w:rPr>
          <w:rFonts w:ascii="Cambria" w:hAnsi="Cambria" w:eastAsia="Cambria" w:cs="Cambria"/>
          <w:sz w:val="31"/>
          <w:szCs w:val="31"/>
        </w:rPr>
      </w:pPr>
      <w:r>
        <w:rPr>
          <w:rFonts w:ascii="宋体" w:hAnsi="宋体"/>
          <w:b/>
          <w:sz w:val="32"/>
          <w:szCs w:val="32"/>
        </w:rPr>
        <w:br w:type="page"/>
      </w:r>
    </w:p>
    <w:p w14:paraId="491E9110">
      <w:pPr>
        <w:pStyle w:val="47"/>
        <w:spacing w:line="400" w:lineRule="exact"/>
        <w:rPr>
          <w:rFonts w:hint="eastAsia" w:ascii="宋体" w:hAnsi="宋体" w:eastAsia="宋体" w:cs="宋体"/>
          <w:b/>
          <w:bCs/>
          <w:color w:val="auto"/>
          <w:sz w:val="24"/>
          <w:szCs w:val="32"/>
        </w:rPr>
      </w:pPr>
      <w:r>
        <w:rPr>
          <w:rFonts w:hint="eastAsia" w:ascii="宋体" w:hAnsi="宋体" w:eastAsia="宋体" w:cs="宋体"/>
          <w:b/>
          <w:bCs/>
          <w:color w:val="auto"/>
          <w:sz w:val="24"/>
          <w:szCs w:val="32"/>
        </w:rPr>
        <w:t>附：大型、 中型和小型、微型企业划型标准</w:t>
      </w:r>
    </w:p>
    <w:p w14:paraId="34AFDBDE">
      <w:pPr>
        <w:pStyle w:val="47"/>
        <w:spacing w:line="400" w:lineRule="exact"/>
        <w:jc w:val="center"/>
        <w:rPr>
          <w:rFonts w:hint="eastAsia" w:ascii="宋体" w:hAnsi="宋体" w:eastAsia="宋体" w:cs="宋体"/>
          <w:b/>
          <w:bCs/>
          <w:color w:val="auto"/>
          <w:sz w:val="24"/>
          <w:szCs w:val="32"/>
        </w:rPr>
      </w:pPr>
      <w:r>
        <w:rPr>
          <w:rFonts w:hint="eastAsia" w:ascii="宋体" w:hAnsi="宋体" w:eastAsia="宋体" w:cs="宋体"/>
          <w:b/>
          <w:bCs/>
          <w:color w:val="auto"/>
          <w:sz w:val="24"/>
          <w:szCs w:val="32"/>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E216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5992B14F">
            <w:pPr>
              <w:spacing w:before="104" w:line="200" w:lineRule="exact"/>
              <w:ind w:left="126"/>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行业名称</w:t>
            </w:r>
          </w:p>
        </w:tc>
        <w:tc>
          <w:tcPr>
            <w:tcW w:w="1187" w:type="dxa"/>
          </w:tcPr>
          <w:p w14:paraId="6BA8FF7C">
            <w:pPr>
              <w:spacing w:before="104" w:line="200" w:lineRule="exact"/>
              <w:ind w:left="126"/>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指标名称</w:t>
            </w:r>
          </w:p>
        </w:tc>
        <w:tc>
          <w:tcPr>
            <w:tcW w:w="900" w:type="dxa"/>
          </w:tcPr>
          <w:p w14:paraId="4D5E2571">
            <w:pPr>
              <w:spacing w:before="104" w:line="200" w:lineRule="exact"/>
              <w:ind w:left="228"/>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单位</w:t>
            </w:r>
          </w:p>
        </w:tc>
        <w:tc>
          <w:tcPr>
            <w:tcW w:w="1399" w:type="dxa"/>
          </w:tcPr>
          <w:p w14:paraId="2FCF4162">
            <w:pPr>
              <w:spacing w:before="104" w:line="200" w:lineRule="exact"/>
              <w:ind w:left="475"/>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大型</w:t>
            </w:r>
          </w:p>
        </w:tc>
        <w:tc>
          <w:tcPr>
            <w:tcW w:w="1535" w:type="dxa"/>
          </w:tcPr>
          <w:p w14:paraId="3D0C2491">
            <w:pPr>
              <w:spacing w:before="104" w:line="200" w:lineRule="exact"/>
              <w:ind w:left="571"/>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中型</w:t>
            </w:r>
          </w:p>
        </w:tc>
        <w:tc>
          <w:tcPr>
            <w:tcW w:w="1295" w:type="dxa"/>
          </w:tcPr>
          <w:p w14:paraId="15E3B1F5">
            <w:pPr>
              <w:spacing w:before="105" w:line="200" w:lineRule="exact"/>
              <w:ind w:left="421"/>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小型</w:t>
            </w:r>
          </w:p>
        </w:tc>
        <w:tc>
          <w:tcPr>
            <w:tcW w:w="1004" w:type="dxa"/>
          </w:tcPr>
          <w:p w14:paraId="5B2ED154">
            <w:pPr>
              <w:spacing w:before="104" w:line="200" w:lineRule="exact"/>
              <w:ind w:left="275"/>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微型</w:t>
            </w:r>
          </w:p>
        </w:tc>
      </w:tr>
      <w:tr w14:paraId="44D87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53A21FBA">
            <w:pPr>
              <w:spacing w:before="99" w:line="200" w:lineRule="exact"/>
              <w:ind w:left="125"/>
              <w:rPr>
                <w:rFonts w:hint="eastAsia" w:ascii="仿宋" w:hAnsi="仿宋" w:eastAsia="仿宋" w:cs="仿宋"/>
                <w:sz w:val="23"/>
                <w:szCs w:val="23"/>
              </w:rPr>
            </w:pPr>
            <w:r>
              <w:rPr>
                <w:rFonts w:ascii="仿宋" w:hAnsi="仿宋" w:eastAsia="仿宋" w:cs="仿宋"/>
                <w:sz w:val="23"/>
                <w:szCs w:val="23"/>
              </w:rPr>
              <w:t>农林牧渔</w:t>
            </w:r>
          </w:p>
        </w:tc>
        <w:tc>
          <w:tcPr>
            <w:tcW w:w="1187" w:type="dxa"/>
          </w:tcPr>
          <w:p w14:paraId="0DA7FEF6">
            <w:pPr>
              <w:spacing w:before="100"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00ECD56C">
            <w:pPr>
              <w:spacing w:before="100"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18C4509A">
            <w:pPr>
              <w:spacing w:before="100" w:line="200" w:lineRule="exact"/>
              <w:ind w:left="310"/>
              <w:rPr>
                <w:rFonts w:hint="eastAsia" w:ascii="仿宋" w:hAnsi="仿宋" w:eastAsia="仿宋" w:cs="仿宋"/>
                <w:sz w:val="23"/>
                <w:szCs w:val="23"/>
              </w:rPr>
            </w:pPr>
            <w:r>
              <w:rPr>
                <w:rFonts w:ascii="仿宋" w:hAnsi="仿宋" w:eastAsia="仿宋" w:cs="仿宋"/>
                <w:sz w:val="23"/>
                <w:szCs w:val="23"/>
              </w:rPr>
              <w:t>≥20000</w:t>
            </w:r>
          </w:p>
        </w:tc>
        <w:tc>
          <w:tcPr>
            <w:tcW w:w="1535" w:type="dxa"/>
          </w:tcPr>
          <w:p w14:paraId="3E54D88C">
            <w:pPr>
              <w:spacing w:before="141" w:line="200" w:lineRule="exact"/>
              <w:ind w:left="237"/>
              <w:rPr>
                <w:rFonts w:hint="eastAsia" w:ascii="仿宋" w:hAnsi="仿宋" w:eastAsia="仿宋" w:cs="仿宋"/>
                <w:sz w:val="23"/>
                <w:szCs w:val="23"/>
              </w:rPr>
            </w:pPr>
            <w:r>
              <w:rPr>
                <w:rFonts w:ascii="仿宋" w:hAnsi="仿宋" w:eastAsia="仿宋" w:cs="仿宋"/>
                <w:sz w:val="23"/>
                <w:szCs w:val="23"/>
              </w:rPr>
              <w:t>500-20000</w:t>
            </w:r>
          </w:p>
        </w:tc>
        <w:tc>
          <w:tcPr>
            <w:tcW w:w="1295" w:type="dxa"/>
          </w:tcPr>
          <w:p w14:paraId="58044577">
            <w:pPr>
              <w:spacing w:before="141" w:line="200" w:lineRule="exact"/>
              <w:ind w:left="298"/>
              <w:rPr>
                <w:rFonts w:hint="eastAsia" w:ascii="仿宋" w:hAnsi="仿宋" w:eastAsia="仿宋" w:cs="仿宋"/>
                <w:sz w:val="23"/>
                <w:szCs w:val="23"/>
              </w:rPr>
            </w:pPr>
            <w:r>
              <w:rPr>
                <w:rFonts w:ascii="仿宋" w:hAnsi="仿宋" w:eastAsia="仿宋" w:cs="仿宋"/>
                <w:sz w:val="23"/>
                <w:szCs w:val="23"/>
              </w:rPr>
              <w:t>50-500</w:t>
            </w:r>
          </w:p>
        </w:tc>
        <w:tc>
          <w:tcPr>
            <w:tcW w:w="1004" w:type="dxa"/>
          </w:tcPr>
          <w:p w14:paraId="36E9DD38">
            <w:pPr>
              <w:spacing w:before="100" w:line="200" w:lineRule="exact"/>
              <w:ind w:left="287"/>
              <w:rPr>
                <w:rFonts w:hint="eastAsia" w:ascii="仿宋" w:hAnsi="仿宋" w:eastAsia="仿宋" w:cs="仿宋"/>
                <w:sz w:val="23"/>
                <w:szCs w:val="23"/>
              </w:rPr>
            </w:pPr>
            <w:r>
              <w:rPr>
                <w:rFonts w:ascii="仿宋" w:hAnsi="仿宋" w:eastAsia="仿宋" w:cs="仿宋"/>
                <w:sz w:val="23"/>
                <w:szCs w:val="23"/>
              </w:rPr>
              <w:t>＜50</w:t>
            </w:r>
          </w:p>
        </w:tc>
      </w:tr>
      <w:tr w14:paraId="4428C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3E968C7A">
            <w:pPr>
              <w:spacing w:line="200" w:lineRule="exact"/>
              <w:rPr>
                <w:rFonts w:ascii="Arial"/>
              </w:rPr>
            </w:pPr>
          </w:p>
          <w:p w14:paraId="3097EAD4">
            <w:pPr>
              <w:spacing w:before="75" w:line="200" w:lineRule="exact"/>
              <w:ind w:left="370"/>
              <w:rPr>
                <w:rFonts w:hint="eastAsia" w:ascii="仿宋" w:hAnsi="仿宋" w:eastAsia="仿宋" w:cs="仿宋"/>
                <w:sz w:val="23"/>
                <w:szCs w:val="23"/>
              </w:rPr>
            </w:pPr>
            <w:r>
              <w:rPr>
                <w:rFonts w:ascii="仿宋" w:hAnsi="仿宋" w:eastAsia="仿宋" w:cs="仿宋"/>
                <w:sz w:val="23"/>
                <w:szCs w:val="23"/>
              </w:rPr>
              <w:t>工业</w:t>
            </w:r>
          </w:p>
        </w:tc>
        <w:tc>
          <w:tcPr>
            <w:tcW w:w="1187" w:type="dxa"/>
          </w:tcPr>
          <w:p w14:paraId="4F189DEF">
            <w:pPr>
              <w:spacing w:before="101"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7E6FA845">
            <w:pPr>
              <w:spacing w:before="101"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1C976617">
            <w:pPr>
              <w:spacing w:before="101"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7734401E">
            <w:pPr>
              <w:spacing w:before="142" w:line="200" w:lineRule="exact"/>
              <w:ind w:left="297"/>
              <w:rPr>
                <w:rFonts w:hint="eastAsia" w:ascii="仿宋" w:hAnsi="仿宋" w:eastAsia="仿宋" w:cs="仿宋"/>
                <w:sz w:val="23"/>
                <w:szCs w:val="23"/>
              </w:rPr>
            </w:pPr>
            <w:r>
              <w:rPr>
                <w:rFonts w:ascii="仿宋" w:hAnsi="仿宋" w:eastAsia="仿宋" w:cs="仿宋"/>
                <w:sz w:val="23"/>
                <w:szCs w:val="23"/>
              </w:rPr>
              <w:t>300-1000</w:t>
            </w:r>
          </w:p>
        </w:tc>
        <w:tc>
          <w:tcPr>
            <w:tcW w:w="1295" w:type="dxa"/>
          </w:tcPr>
          <w:p w14:paraId="2A8CAED8">
            <w:pPr>
              <w:spacing w:before="142" w:line="200" w:lineRule="exact"/>
              <w:ind w:left="296"/>
              <w:rPr>
                <w:rFonts w:hint="eastAsia" w:ascii="仿宋" w:hAnsi="仿宋" w:eastAsia="仿宋" w:cs="仿宋"/>
                <w:sz w:val="23"/>
                <w:szCs w:val="23"/>
              </w:rPr>
            </w:pPr>
            <w:r>
              <w:rPr>
                <w:rFonts w:ascii="仿宋" w:hAnsi="仿宋" w:eastAsia="仿宋" w:cs="仿宋"/>
                <w:sz w:val="23"/>
                <w:szCs w:val="23"/>
              </w:rPr>
              <w:t>20-300</w:t>
            </w:r>
          </w:p>
        </w:tc>
        <w:tc>
          <w:tcPr>
            <w:tcW w:w="1004" w:type="dxa"/>
          </w:tcPr>
          <w:p w14:paraId="721C5654">
            <w:pPr>
              <w:spacing w:before="101"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1996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6B841F09">
            <w:pPr>
              <w:spacing w:line="200" w:lineRule="exact"/>
              <w:rPr>
                <w:rFonts w:ascii="Arial"/>
              </w:rPr>
            </w:pPr>
          </w:p>
        </w:tc>
        <w:tc>
          <w:tcPr>
            <w:tcW w:w="1187" w:type="dxa"/>
          </w:tcPr>
          <w:p w14:paraId="46A79A00">
            <w:pPr>
              <w:spacing w:before="101"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26CBC40C">
            <w:pPr>
              <w:spacing w:before="101"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22CD639">
            <w:pPr>
              <w:spacing w:before="101" w:line="200" w:lineRule="exact"/>
              <w:ind w:left="310"/>
              <w:rPr>
                <w:rFonts w:hint="eastAsia" w:ascii="仿宋" w:hAnsi="仿宋" w:eastAsia="仿宋" w:cs="仿宋"/>
                <w:sz w:val="23"/>
                <w:szCs w:val="23"/>
              </w:rPr>
            </w:pPr>
            <w:r>
              <w:rPr>
                <w:rFonts w:ascii="仿宋" w:hAnsi="仿宋" w:eastAsia="仿宋" w:cs="仿宋"/>
                <w:sz w:val="23"/>
                <w:szCs w:val="23"/>
              </w:rPr>
              <w:t>≥40000</w:t>
            </w:r>
          </w:p>
        </w:tc>
        <w:tc>
          <w:tcPr>
            <w:tcW w:w="1535" w:type="dxa"/>
          </w:tcPr>
          <w:p w14:paraId="3D234F0E">
            <w:pPr>
              <w:spacing w:before="142" w:line="200" w:lineRule="exact"/>
              <w:ind w:left="175"/>
              <w:rPr>
                <w:rFonts w:hint="eastAsia" w:ascii="仿宋" w:hAnsi="仿宋" w:eastAsia="仿宋" w:cs="仿宋"/>
                <w:sz w:val="23"/>
                <w:szCs w:val="23"/>
              </w:rPr>
            </w:pPr>
            <w:r>
              <w:rPr>
                <w:rFonts w:ascii="仿宋" w:hAnsi="仿宋" w:eastAsia="仿宋" w:cs="仿宋"/>
                <w:sz w:val="23"/>
                <w:szCs w:val="23"/>
              </w:rPr>
              <w:t>2000-40000</w:t>
            </w:r>
          </w:p>
        </w:tc>
        <w:tc>
          <w:tcPr>
            <w:tcW w:w="1295" w:type="dxa"/>
          </w:tcPr>
          <w:p w14:paraId="0E9C99CA">
            <w:pPr>
              <w:spacing w:before="142" w:line="200" w:lineRule="exact"/>
              <w:ind w:left="178"/>
              <w:rPr>
                <w:rFonts w:hint="eastAsia" w:ascii="仿宋" w:hAnsi="仿宋" w:eastAsia="仿宋" w:cs="仿宋"/>
                <w:sz w:val="23"/>
                <w:szCs w:val="23"/>
              </w:rPr>
            </w:pPr>
            <w:r>
              <w:rPr>
                <w:rFonts w:ascii="仿宋" w:hAnsi="仿宋" w:eastAsia="仿宋" w:cs="仿宋"/>
                <w:sz w:val="23"/>
                <w:szCs w:val="23"/>
              </w:rPr>
              <w:t>300-2000</w:t>
            </w:r>
          </w:p>
        </w:tc>
        <w:tc>
          <w:tcPr>
            <w:tcW w:w="1004" w:type="dxa"/>
          </w:tcPr>
          <w:p w14:paraId="28C49BB9">
            <w:pPr>
              <w:spacing w:before="101" w:line="200" w:lineRule="exact"/>
              <w:ind w:left="227"/>
              <w:rPr>
                <w:rFonts w:hint="eastAsia" w:ascii="仿宋" w:hAnsi="仿宋" w:eastAsia="仿宋" w:cs="仿宋"/>
                <w:sz w:val="23"/>
                <w:szCs w:val="23"/>
              </w:rPr>
            </w:pPr>
            <w:r>
              <w:rPr>
                <w:rFonts w:ascii="仿宋" w:hAnsi="仿宋" w:eastAsia="仿宋" w:cs="仿宋"/>
                <w:sz w:val="23"/>
                <w:szCs w:val="23"/>
              </w:rPr>
              <w:t>＜300</w:t>
            </w:r>
          </w:p>
        </w:tc>
      </w:tr>
      <w:tr w14:paraId="7AA4A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8E9E061">
            <w:pPr>
              <w:spacing w:line="200" w:lineRule="exact"/>
              <w:rPr>
                <w:rFonts w:ascii="Arial"/>
              </w:rPr>
            </w:pPr>
          </w:p>
          <w:p w14:paraId="4F51D668">
            <w:pPr>
              <w:spacing w:before="74" w:line="200" w:lineRule="exact"/>
              <w:ind w:left="244"/>
              <w:rPr>
                <w:rFonts w:hint="eastAsia" w:ascii="仿宋" w:hAnsi="仿宋" w:eastAsia="仿宋" w:cs="仿宋"/>
                <w:sz w:val="23"/>
                <w:szCs w:val="23"/>
              </w:rPr>
            </w:pPr>
            <w:r>
              <w:rPr>
                <w:rFonts w:ascii="仿宋" w:hAnsi="仿宋" w:eastAsia="仿宋" w:cs="仿宋"/>
                <w:sz w:val="23"/>
                <w:szCs w:val="23"/>
              </w:rPr>
              <w:t>建筑业</w:t>
            </w:r>
          </w:p>
        </w:tc>
        <w:tc>
          <w:tcPr>
            <w:tcW w:w="1187" w:type="dxa"/>
          </w:tcPr>
          <w:p w14:paraId="119B4693">
            <w:pPr>
              <w:spacing w:before="101"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0CEF335F">
            <w:pPr>
              <w:spacing w:before="101"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4F927F4E">
            <w:pPr>
              <w:spacing w:before="100" w:line="200" w:lineRule="exact"/>
              <w:ind w:left="310"/>
              <w:rPr>
                <w:rFonts w:hint="eastAsia" w:ascii="仿宋" w:hAnsi="仿宋" w:eastAsia="仿宋" w:cs="仿宋"/>
                <w:sz w:val="23"/>
                <w:szCs w:val="23"/>
              </w:rPr>
            </w:pPr>
            <w:r>
              <w:rPr>
                <w:rFonts w:ascii="仿宋" w:hAnsi="仿宋" w:eastAsia="仿宋" w:cs="仿宋"/>
                <w:sz w:val="23"/>
                <w:szCs w:val="23"/>
              </w:rPr>
              <w:t>≥80000</w:t>
            </w:r>
          </w:p>
        </w:tc>
        <w:tc>
          <w:tcPr>
            <w:tcW w:w="1535" w:type="dxa"/>
          </w:tcPr>
          <w:p w14:paraId="422AAB3A">
            <w:pPr>
              <w:spacing w:before="141" w:line="200" w:lineRule="exact"/>
              <w:ind w:left="174"/>
              <w:rPr>
                <w:rFonts w:hint="eastAsia" w:ascii="仿宋" w:hAnsi="仿宋" w:eastAsia="仿宋" w:cs="仿宋"/>
                <w:sz w:val="23"/>
                <w:szCs w:val="23"/>
              </w:rPr>
            </w:pPr>
            <w:r>
              <w:rPr>
                <w:rFonts w:ascii="仿宋" w:hAnsi="仿宋" w:eastAsia="仿宋" w:cs="仿宋"/>
                <w:sz w:val="23"/>
                <w:szCs w:val="23"/>
              </w:rPr>
              <w:t>6000-80000</w:t>
            </w:r>
          </w:p>
        </w:tc>
        <w:tc>
          <w:tcPr>
            <w:tcW w:w="1295" w:type="dxa"/>
          </w:tcPr>
          <w:p w14:paraId="79F7AC61">
            <w:pPr>
              <w:spacing w:before="141" w:line="200" w:lineRule="exact"/>
              <w:ind w:left="178"/>
              <w:rPr>
                <w:rFonts w:hint="eastAsia" w:ascii="仿宋" w:hAnsi="仿宋" w:eastAsia="仿宋" w:cs="仿宋"/>
                <w:sz w:val="23"/>
                <w:szCs w:val="23"/>
              </w:rPr>
            </w:pPr>
            <w:r>
              <w:rPr>
                <w:rFonts w:ascii="仿宋" w:hAnsi="仿宋" w:eastAsia="仿宋" w:cs="仿宋"/>
                <w:sz w:val="23"/>
                <w:szCs w:val="23"/>
              </w:rPr>
              <w:t>300-6000</w:t>
            </w:r>
          </w:p>
        </w:tc>
        <w:tc>
          <w:tcPr>
            <w:tcW w:w="1004" w:type="dxa"/>
          </w:tcPr>
          <w:p w14:paraId="2D9CFD0D">
            <w:pPr>
              <w:spacing w:before="100" w:line="200" w:lineRule="exact"/>
              <w:ind w:left="227"/>
              <w:rPr>
                <w:rFonts w:hint="eastAsia" w:ascii="仿宋" w:hAnsi="仿宋" w:eastAsia="仿宋" w:cs="仿宋"/>
                <w:sz w:val="23"/>
                <w:szCs w:val="23"/>
              </w:rPr>
            </w:pPr>
            <w:r>
              <w:rPr>
                <w:rFonts w:ascii="仿宋" w:hAnsi="仿宋" w:eastAsia="仿宋" w:cs="仿宋"/>
                <w:sz w:val="23"/>
                <w:szCs w:val="23"/>
              </w:rPr>
              <w:t>＜300</w:t>
            </w:r>
          </w:p>
        </w:tc>
      </w:tr>
      <w:tr w14:paraId="0A6F2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18A5CBB7">
            <w:pPr>
              <w:spacing w:line="200" w:lineRule="exact"/>
              <w:rPr>
                <w:rFonts w:ascii="Arial"/>
              </w:rPr>
            </w:pPr>
          </w:p>
        </w:tc>
        <w:tc>
          <w:tcPr>
            <w:tcW w:w="1187" w:type="dxa"/>
          </w:tcPr>
          <w:p w14:paraId="2B84F224">
            <w:pPr>
              <w:spacing w:before="101" w:line="200" w:lineRule="exact"/>
              <w:ind w:left="138"/>
              <w:rPr>
                <w:rFonts w:hint="eastAsia" w:ascii="仿宋" w:hAnsi="仿宋" w:eastAsia="仿宋" w:cs="仿宋"/>
                <w:sz w:val="23"/>
                <w:szCs w:val="23"/>
              </w:rPr>
            </w:pPr>
            <w:r>
              <w:rPr>
                <w:rFonts w:ascii="仿宋" w:hAnsi="仿宋" w:eastAsia="仿宋" w:cs="仿宋"/>
                <w:sz w:val="23"/>
                <w:szCs w:val="23"/>
              </w:rPr>
              <w:t>资产总额</w:t>
            </w:r>
          </w:p>
        </w:tc>
        <w:tc>
          <w:tcPr>
            <w:tcW w:w="900" w:type="dxa"/>
          </w:tcPr>
          <w:p w14:paraId="264A0D92">
            <w:pPr>
              <w:spacing w:before="101"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01F76040">
            <w:pPr>
              <w:spacing w:before="101" w:line="200" w:lineRule="exact"/>
              <w:ind w:left="310"/>
              <w:rPr>
                <w:rFonts w:hint="eastAsia" w:ascii="仿宋" w:hAnsi="仿宋" w:eastAsia="仿宋" w:cs="仿宋"/>
                <w:sz w:val="23"/>
                <w:szCs w:val="23"/>
              </w:rPr>
            </w:pPr>
            <w:r>
              <w:rPr>
                <w:rFonts w:ascii="仿宋" w:hAnsi="仿宋" w:eastAsia="仿宋" w:cs="仿宋"/>
                <w:sz w:val="23"/>
                <w:szCs w:val="23"/>
              </w:rPr>
              <w:t>≥80000</w:t>
            </w:r>
          </w:p>
        </w:tc>
        <w:tc>
          <w:tcPr>
            <w:tcW w:w="1535" w:type="dxa"/>
          </w:tcPr>
          <w:p w14:paraId="0A34324C">
            <w:pPr>
              <w:spacing w:before="142" w:line="200" w:lineRule="exact"/>
              <w:ind w:left="177"/>
              <w:rPr>
                <w:rFonts w:hint="eastAsia" w:ascii="仿宋" w:hAnsi="仿宋" w:eastAsia="仿宋" w:cs="仿宋"/>
                <w:sz w:val="23"/>
                <w:szCs w:val="23"/>
              </w:rPr>
            </w:pPr>
            <w:r>
              <w:rPr>
                <w:rFonts w:ascii="仿宋" w:hAnsi="仿宋" w:eastAsia="仿宋" w:cs="仿宋"/>
                <w:sz w:val="23"/>
                <w:szCs w:val="23"/>
              </w:rPr>
              <w:t>5000-80000</w:t>
            </w:r>
          </w:p>
        </w:tc>
        <w:tc>
          <w:tcPr>
            <w:tcW w:w="1295" w:type="dxa"/>
          </w:tcPr>
          <w:p w14:paraId="0F7A4630">
            <w:pPr>
              <w:spacing w:before="142" w:line="200" w:lineRule="exact"/>
              <w:ind w:left="178"/>
              <w:rPr>
                <w:rFonts w:hint="eastAsia" w:ascii="仿宋" w:hAnsi="仿宋" w:eastAsia="仿宋" w:cs="仿宋"/>
                <w:sz w:val="23"/>
                <w:szCs w:val="23"/>
              </w:rPr>
            </w:pPr>
            <w:r>
              <w:rPr>
                <w:rFonts w:ascii="仿宋" w:hAnsi="仿宋" w:eastAsia="仿宋" w:cs="仿宋"/>
                <w:sz w:val="23"/>
                <w:szCs w:val="23"/>
              </w:rPr>
              <w:t>300-5000</w:t>
            </w:r>
          </w:p>
        </w:tc>
        <w:tc>
          <w:tcPr>
            <w:tcW w:w="1004" w:type="dxa"/>
          </w:tcPr>
          <w:p w14:paraId="60E348DD">
            <w:pPr>
              <w:spacing w:before="101" w:line="200" w:lineRule="exact"/>
              <w:ind w:left="227"/>
              <w:rPr>
                <w:rFonts w:hint="eastAsia" w:ascii="仿宋" w:hAnsi="仿宋" w:eastAsia="仿宋" w:cs="仿宋"/>
                <w:sz w:val="23"/>
                <w:szCs w:val="23"/>
              </w:rPr>
            </w:pPr>
            <w:r>
              <w:rPr>
                <w:rFonts w:ascii="仿宋" w:hAnsi="仿宋" w:eastAsia="仿宋" w:cs="仿宋"/>
                <w:sz w:val="23"/>
                <w:szCs w:val="23"/>
              </w:rPr>
              <w:t>＜300</w:t>
            </w:r>
          </w:p>
        </w:tc>
      </w:tr>
      <w:tr w14:paraId="3967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64798A09">
            <w:pPr>
              <w:spacing w:line="200" w:lineRule="exact"/>
              <w:rPr>
                <w:rFonts w:ascii="Arial"/>
              </w:rPr>
            </w:pPr>
          </w:p>
          <w:p w14:paraId="25B16226">
            <w:pPr>
              <w:spacing w:before="74" w:line="200" w:lineRule="exact"/>
              <w:ind w:left="244"/>
              <w:rPr>
                <w:rFonts w:hint="eastAsia" w:ascii="仿宋" w:hAnsi="仿宋" w:eastAsia="仿宋" w:cs="仿宋"/>
                <w:sz w:val="23"/>
                <w:szCs w:val="23"/>
              </w:rPr>
            </w:pPr>
            <w:r>
              <w:rPr>
                <w:rFonts w:ascii="仿宋" w:hAnsi="仿宋" w:eastAsia="仿宋" w:cs="仿宋"/>
                <w:sz w:val="23"/>
                <w:szCs w:val="23"/>
              </w:rPr>
              <w:t>批发业</w:t>
            </w:r>
          </w:p>
        </w:tc>
        <w:tc>
          <w:tcPr>
            <w:tcW w:w="1187" w:type="dxa"/>
          </w:tcPr>
          <w:p w14:paraId="210F0E58">
            <w:pPr>
              <w:spacing w:before="101"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59A604D5">
            <w:pPr>
              <w:spacing w:before="101"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5114486D">
            <w:pPr>
              <w:spacing w:before="101" w:line="200" w:lineRule="exact"/>
              <w:ind w:left="430"/>
              <w:rPr>
                <w:rFonts w:hint="eastAsia" w:ascii="仿宋" w:hAnsi="仿宋" w:eastAsia="仿宋" w:cs="仿宋"/>
                <w:sz w:val="23"/>
                <w:szCs w:val="23"/>
              </w:rPr>
            </w:pPr>
            <w:r>
              <w:rPr>
                <w:rFonts w:ascii="仿宋" w:hAnsi="仿宋" w:eastAsia="仿宋" w:cs="仿宋"/>
                <w:sz w:val="23"/>
                <w:szCs w:val="23"/>
              </w:rPr>
              <w:t>≥200</w:t>
            </w:r>
          </w:p>
        </w:tc>
        <w:tc>
          <w:tcPr>
            <w:tcW w:w="1535" w:type="dxa"/>
          </w:tcPr>
          <w:p w14:paraId="122B70C4">
            <w:pPr>
              <w:spacing w:before="142" w:line="200" w:lineRule="exact"/>
              <w:ind w:left="415"/>
              <w:rPr>
                <w:rFonts w:hint="eastAsia" w:ascii="仿宋" w:hAnsi="仿宋" w:eastAsia="仿宋" w:cs="仿宋"/>
                <w:sz w:val="23"/>
                <w:szCs w:val="23"/>
              </w:rPr>
            </w:pPr>
            <w:r>
              <w:rPr>
                <w:rFonts w:ascii="仿宋" w:hAnsi="仿宋" w:eastAsia="仿宋" w:cs="仿宋"/>
                <w:sz w:val="23"/>
                <w:szCs w:val="23"/>
              </w:rPr>
              <w:t>20-200</w:t>
            </w:r>
          </w:p>
        </w:tc>
        <w:tc>
          <w:tcPr>
            <w:tcW w:w="1295" w:type="dxa"/>
          </w:tcPr>
          <w:p w14:paraId="2791C9A6">
            <w:pPr>
              <w:spacing w:before="142" w:line="200" w:lineRule="exact"/>
              <w:ind w:left="418"/>
              <w:rPr>
                <w:rFonts w:hint="eastAsia" w:ascii="仿宋" w:hAnsi="仿宋" w:eastAsia="仿宋" w:cs="仿宋"/>
                <w:sz w:val="23"/>
                <w:szCs w:val="23"/>
              </w:rPr>
            </w:pPr>
            <w:r>
              <w:rPr>
                <w:rFonts w:ascii="仿宋" w:hAnsi="仿宋" w:eastAsia="仿宋" w:cs="仿宋"/>
                <w:sz w:val="23"/>
                <w:szCs w:val="23"/>
              </w:rPr>
              <w:t>5-20</w:t>
            </w:r>
          </w:p>
        </w:tc>
        <w:tc>
          <w:tcPr>
            <w:tcW w:w="1004" w:type="dxa"/>
          </w:tcPr>
          <w:p w14:paraId="1EF1B2DC">
            <w:pPr>
              <w:spacing w:before="101" w:line="200" w:lineRule="exact"/>
              <w:ind w:left="347"/>
              <w:rPr>
                <w:rFonts w:hint="eastAsia" w:ascii="仿宋" w:hAnsi="仿宋" w:eastAsia="仿宋" w:cs="仿宋"/>
                <w:sz w:val="23"/>
                <w:szCs w:val="23"/>
              </w:rPr>
            </w:pPr>
            <w:r>
              <w:rPr>
                <w:rFonts w:ascii="仿宋" w:hAnsi="仿宋" w:eastAsia="仿宋" w:cs="仿宋"/>
                <w:sz w:val="23"/>
                <w:szCs w:val="23"/>
              </w:rPr>
              <w:t>＜5</w:t>
            </w:r>
          </w:p>
        </w:tc>
      </w:tr>
      <w:tr w14:paraId="0D5C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4C411BDB">
            <w:pPr>
              <w:spacing w:line="200" w:lineRule="exact"/>
              <w:rPr>
                <w:rFonts w:ascii="Arial"/>
              </w:rPr>
            </w:pPr>
          </w:p>
        </w:tc>
        <w:tc>
          <w:tcPr>
            <w:tcW w:w="1187" w:type="dxa"/>
          </w:tcPr>
          <w:p w14:paraId="78D67E11">
            <w:pPr>
              <w:spacing w:before="102"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57AF4663">
            <w:pPr>
              <w:spacing w:before="102"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A2C39AD">
            <w:pPr>
              <w:spacing w:before="102" w:line="200" w:lineRule="exact"/>
              <w:ind w:left="310"/>
              <w:rPr>
                <w:rFonts w:hint="eastAsia" w:ascii="仿宋" w:hAnsi="仿宋" w:eastAsia="仿宋" w:cs="仿宋"/>
                <w:sz w:val="23"/>
                <w:szCs w:val="23"/>
              </w:rPr>
            </w:pPr>
            <w:r>
              <w:rPr>
                <w:rFonts w:ascii="仿宋" w:hAnsi="仿宋" w:eastAsia="仿宋" w:cs="仿宋"/>
                <w:sz w:val="23"/>
                <w:szCs w:val="23"/>
              </w:rPr>
              <w:t>≥40000</w:t>
            </w:r>
          </w:p>
        </w:tc>
        <w:tc>
          <w:tcPr>
            <w:tcW w:w="1535" w:type="dxa"/>
          </w:tcPr>
          <w:p w14:paraId="0DAD8967">
            <w:pPr>
              <w:spacing w:before="143" w:line="200" w:lineRule="exact"/>
              <w:ind w:left="177"/>
              <w:rPr>
                <w:rFonts w:hint="eastAsia" w:ascii="仿宋" w:hAnsi="仿宋" w:eastAsia="仿宋" w:cs="仿宋"/>
                <w:sz w:val="23"/>
                <w:szCs w:val="23"/>
              </w:rPr>
            </w:pPr>
            <w:r>
              <w:rPr>
                <w:rFonts w:ascii="仿宋" w:hAnsi="仿宋" w:eastAsia="仿宋" w:cs="仿宋"/>
                <w:sz w:val="23"/>
                <w:szCs w:val="23"/>
              </w:rPr>
              <w:t>5000-40000</w:t>
            </w:r>
          </w:p>
        </w:tc>
        <w:tc>
          <w:tcPr>
            <w:tcW w:w="1295" w:type="dxa"/>
          </w:tcPr>
          <w:p w14:paraId="557CE917">
            <w:pPr>
              <w:spacing w:before="143" w:line="200" w:lineRule="exact"/>
              <w:ind w:left="131"/>
              <w:rPr>
                <w:rFonts w:hint="eastAsia" w:ascii="仿宋" w:hAnsi="仿宋" w:eastAsia="仿宋" w:cs="仿宋"/>
                <w:sz w:val="23"/>
                <w:szCs w:val="23"/>
              </w:rPr>
            </w:pPr>
            <w:r>
              <w:rPr>
                <w:rFonts w:ascii="仿宋" w:hAnsi="仿宋" w:eastAsia="仿宋" w:cs="仿宋"/>
                <w:sz w:val="23"/>
                <w:szCs w:val="23"/>
              </w:rPr>
              <w:t>1000-5000</w:t>
            </w:r>
          </w:p>
        </w:tc>
        <w:tc>
          <w:tcPr>
            <w:tcW w:w="1004" w:type="dxa"/>
          </w:tcPr>
          <w:p w14:paraId="34070BCC">
            <w:pPr>
              <w:spacing w:before="102" w:line="200" w:lineRule="exact"/>
              <w:ind w:left="167"/>
              <w:rPr>
                <w:rFonts w:hint="eastAsia" w:ascii="仿宋" w:hAnsi="仿宋" w:eastAsia="仿宋" w:cs="仿宋"/>
                <w:sz w:val="23"/>
                <w:szCs w:val="23"/>
              </w:rPr>
            </w:pPr>
            <w:r>
              <w:rPr>
                <w:rFonts w:ascii="仿宋" w:hAnsi="仿宋" w:eastAsia="仿宋" w:cs="仿宋"/>
                <w:sz w:val="23"/>
                <w:szCs w:val="23"/>
              </w:rPr>
              <w:t>＜1000</w:t>
            </w:r>
          </w:p>
        </w:tc>
      </w:tr>
      <w:tr w14:paraId="2B1FA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94CAE52">
            <w:pPr>
              <w:spacing w:line="200" w:lineRule="exact"/>
              <w:rPr>
                <w:rFonts w:ascii="Arial"/>
              </w:rPr>
            </w:pPr>
          </w:p>
          <w:p w14:paraId="7DC8398E">
            <w:pPr>
              <w:spacing w:before="75" w:line="200" w:lineRule="exact"/>
              <w:ind w:left="245"/>
              <w:rPr>
                <w:rFonts w:hint="eastAsia" w:ascii="仿宋" w:hAnsi="仿宋" w:eastAsia="仿宋" w:cs="仿宋"/>
                <w:sz w:val="23"/>
                <w:szCs w:val="23"/>
              </w:rPr>
            </w:pPr>
            <w:r>
              <w:rPr>
                <w:rFonts w:ascii="仿宋" w:hAnsi="仿宋" w:eastAsia="仿宋" w:cs="仿宋"/>
                <w:sz w:val="23"/>
                <w:szCs w:val="23"/>
              </w:rPr>
              <w:t>零售业</w:t>
            </w:r>
          </w:p>
        </w:tc>
        <w:tc>
          <w:tcPr>
            <w:tcW w:w="1187" w:type="dxa"/>
          </w:tcPr>
          <w:p w14:paraId="0554FE84">
            <w:pPr>
              <w:spacing w:before="102"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28B4C03B">
            <w:pPr>
              <w:spacing w:before="101"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393F6CB4">
            <w:pPr>
              <w:spacing w:before="102"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513A03FD">
            <w:pPr>
              <w:spacing w:before="143" w:line="200" w:lineRule="exact"/>
              <w:ind w:left="417"/>
              <w:rPr>
                <w:rFonts w:hint="eastAsia" w:ascii="仿宋" w:hAnsi="仿宋" w:eastAsia="仿宋" w:cs="仿宋"/>
                <w:sz w:val="23"/>
                <w:szCs w:val="23"/>
              </w:rPr>
            </w:pPr>
            <w:r>
              <w:rPr>
                <w:rFonts w:ascii="仿宋" w:hAnsi="仿宋" w:eastAsia="仿宋" w:cs="仿宋"/>
                <w:sz w:val="23"/>
                <w:szCs w:val="23"/>
              </w:rPr>
              <w:t>50-300</w:t>
            </w:r>
          </w:p>
        </w:tc>
        <w:tc>
          <w:tcPr>
            <w:tcW w:w="1295" w:type="dxa"/>
          </w:tcPr>
          <w:p w14:paraId="39B7EF81">
            <w:pPr>
              <w:spacing w:before="143" w:line="200" w:lineRule="exact"/>
              <w:ind w:left="371"/>
              <w:rPr>
                <w:rFonts w:hint="eastAsia" w:ascii="仿宋" w:hAnsi="仿宋" w:eastAsia="仿宋" w:cs="仿宋"/>
                <w:sz w:val="23"/>
                <w:szCs w:val="23"/>
              </w:rPr>
            </w:pPr>
            <w:r>
              <w:rPr>
                <w:rFonts w:ascii="仿宋" w:hAnsi="仿宋" w:eastAsia="仿宋" w:cs="仿宋"/>
                <w:sz w:val="23"/>
                <w:szCs w:val="23"/>
              </w:rPr>
              <w:t>10-50</w:t>
            </w:r>
          </w:p>
        </w:tc>
        <w:tc>
          <w:tcPr>
            <w:tcW w:w="1004" w:type="dxa"/>
          </w:tcPr>
          <w:p w14:paraId="606C0599">
            <w:pPr>
              <w:spacing w:before="102"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1A3F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777D4983">
            <w:pPr>
              <w:spacing w:line="200" w:lineRule="exact"/>
              <w:rPr>
                <w:rFonts w:ascii="Arial"/>
              </w:rPr>
            </w:pPr>
          </w:p>
        </w:tc>
        <w:tc>
          <w:tcPr>
            <w:tcW w:w="1187" w:type="dxa"/>
          </w:tcPr>
          <w:p w14:paraId="1C7A2EAA">
            <w:pPr>
              <w:spacing w:before="102"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165CDDD7">
            <w:pPr>
              <w:spacing w:before="102"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03B74FC9">
            <w:pPr>
              <w:spacing w:before="101" w:line="200" w:lineRule="exact"/>
              <w:ind w:left="303"/>
              <w:rPr>
                <w:rFonts w:hint="eastAsia" w:ascii="仿宋" w:hAnsi="仿宋" w:eastAsia="仿宋" w:cs="仿宋"/>
                <w:sz w:val="23"/>
                <w:szCs w:val="23"/>
              </w:rPr>
            </w:pPr>
            <w:r>
              <w:rPr>
                <w:rFonts w:ascii="仿宋" w:hAnsi="仿宋" w:eastAsia="仿宋" w:cs="仿宋"/>
                <w:sz w:val="23"/>
                <w:szCs w:val="23"/>
              </w:rPr>
              <w:t>≤20000</w:t>
            </w:r>
          </w:p>
        </w:tc>
        <w:tc>
          <w:tcPr>
            <w:tcW w:w="1535" w:type="dxa"/>
          </w:tcPr>
          <w:p w14:paraId="2A7C7ADB">
            <w:pPr>
              <w:spacing w:before="142" w:line="200" w:lineRule="exact"/>
              <w:ind w:left="237"/>
              <w:rPr>
                <w:rFonts w:hint="eastAsia" w:ascii="仿宋" w:hAnsi="仿宋" w:eastAsia="仿宋" w:cs="仿宋"/>
                <w:sz w:val="23"/>
                <w:szCs w:val="23"/>
              </w:rPr>
            </w:pPr>
            <w:r>
              <w:rPr>
                <w:rFonts w:ascii="仿宋" w:hAnsi="仿宋" w:eastAsia="仿宋" w:cs="仿宋"/>
                <w:sz w:val="23"/>
                <w:szCs w:val="23"/>
              </w:rPr>
              <w:t>500-20000</w:t>
            </w:r>
          </w:p>
        </w:tc>
        <w:tc>
          <w:tcPr>
            <w:tcW w:w="1295" w:type="dxa"/>
          </w:tcPr>
          <w:p w14:paraId="0481FD2D">
            <w:pPr>
              <w:spacing w:before="142" w:line="200" w:lineRule="exact"/>
              <w:ind w:left="251"/>
              <w:rPr>
                <w:rFonts w:hint="eastAsia" w:ascii="仿宋" w:hAnsi="仿宋" w:eastAsia="仿宋" w:cs="仿宋"/>
                <w:sz w:val="23"/>
                <w:szCs w:val="23"/>
              </w:rPr>
            </w:pPr>
            <w:r>
              <w:rPr>
                <w:rFonts w:ascii="仿宋" w:hAnsi="仿宋" w:eastAsia="仿宋" w:cs="仿宋"/>
                <w:sz w:val="23"/>
                <w:szCs w:val="23"/>
              </w:rPr>
              <w:t>100-500</w:t>
            </w:r>
          </w:p>
        </w:tc>
        <w:tc>
          <w:tcPr>
            <w:tcW w:w="1004" w:type="dxa"/>
          </w:tcPr>
          <w:p w14:paraId="09DA641E">
            <w:pPr>
              <w:spacing w:before="101"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213C9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13DBEDFD">
            <w:pPr>
              <w:spacing w:line="200" w:lineRule="exact"/>
              <w:rPr>
                <w:rFonts w:ascii="Arial"/>
              </w:rPr>
            </w:pPr>
          </w:p>
          <w:p w14:paraId="7745B2DC">
            <w:pPr>
              <w:spacing w:before="75" w:line="200" w:lineRule="exact"/>
              <w:ind w:left="130"/>
              <w:rPr>
                <w:rFonts w:hint="eastAsia" w:ascii="仿宋" w:hAnsi="仿宋" w:eastAsia="仿宋" w:cs="仿宋"/>
                <w:sz w:val="23"/>
                <w:szCs w:val="23"/>
              </w:rPr>
            </w:pPr>
            <w:r>
              <w:rPr>
                <w:rFonts w:ascii="仿宋" w:hAnsi="仿宋" w:eastAsia="仿宋" w:cs="仿宋"/>
                <w:sz w:val="23"/>
                <w:szCs w:val="23"/>
              </w:rPr>
              <w:t>交通运输</w:t>
            </w:r>
          </w:p>
        </w:tc>
        <w:tc>
          <w:tcPr>
            <w:tcW w:w="1187" w:type="dxa"/>
          </w:tcPr>
          <w:p w14:paraId="47EBABB7">
            <w:pPr>
              <w:spacing w:before="102"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372766D2">
            <w:pPr>
              <w:spacing w:before="102"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7DA049DF">
            <w:pPr>
              <w:spacing w:before="102"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093EEA13">
            <w:pPr>
              <w:spacing w:before="143" w:line="200" w:lineRule="exact"/>
              <w:ind w:left="297"/>
              <w:rPr>
                <w:rFonts w:hint="eastAsia" w:ascii="仿宋" w:hAnsi="仿宋" w:eastAsia="仿宋" w:cs="仿宋"/>
                <w:sz w:val="23"/>
                <w:szCs w:val="23"/>
              </w:rPr>
            </w:pPr>
            <w:r>
              <w:rPr>
                <w:rFonts w:ascii="仿宋" w:hAnsi="仿宋" w:eastAsia="仿宋" w:cs="仿宋"/>
                <w:sz w:val="23"/>
                <w:szCs w:val="23"/>
              </w:rPr>
              <w:t>300-1000</w:t>
            </w:r>
          </w:p>
        </w:tc>
        <w:tc>
          <w:tcPr>
            <w:tcW w:w="1295" w:type="dxa"/>
          </w:tcPr>
          <w:p w14:paraId="4DA68A55">
            <w:pPr>
              <w:spacing w:before="143" w:line="200" w:lineRule="exact"/>
              <w:ind w:left="296"/>
              <w:rPr>
                <w:rFonts w:hint="eastAsia" w:ascii="仿宋" w:hAnsi="仿宋" w:eastAsia="仿宋" w:cs="仿宋"/>
                <w:sz w:val="23"/>
                <w:szCs w:val="23"/>
              </w:rPr>
            </w:pPr>
            <w:r>
              <w:rPr>
                <w:rFonts w:ascii="仿宋" w:hAnsi="仿宋" w:eastAsia="仿宋" w:cs="仿宋"/>
                <w:sz w:val="23"/>
                <w:szCs w:val="23"/>
              </w:rPr>
              <w:t>20-300</w:t>
            </w:r>
          </w:p>
        </w:tc>
        <w:tc>
          <w:tcPr>
            <w:tcW w:w="1004" w:type="dxa"/>
          </w:tcPr>
          <w:p w14:paraId="0915B7E6">
            <w:pPr>
              <w:spacing w:before="102"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6ADD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2D83E08C">
            <w:pPr>
              <w:spacing w:line="200" w:lineRule="exact"/>
              <w:rPr>
                <w:rFonts w:ascii="Arial"/>
              </w:rPr>
            </w:pPr>
          </w:p>
        </w:tc>
        <w:tc>
          <w:tcPr>
            <w:tcW w:w="1187" w:type="dxa"/>
          </w:tcPr>
          <w:p w14:paraId="374A24F7">
            <w:pPr>
              <w:spacing w:before="105"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3278E3DC">
            <w:pPr>
              <w:spacing w:before="105"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62CA3760">
            <w:pPr>
              <w:spacing w:before="104" w:line="200" w:lineRule="exact"/>
              <w:ind w:left="310"/>
              <w:rPr>
                <w:rFonts w:hint="eastAsia" w:ascii="仿宋" w:hAnsi="仿宋" w:eastAsia="仿宋" w:cs="仿宋"/>
                <w:sz w:val="23"/>
                <w:szCs w:val="23"/>
              </w:rPr>
            </w:pPr>
            <w:r>
              <w:rPr>
                <w:rFonts w:ascii="仿宋" w:hAnsi="仿宋" w:eastAsia="仿宋" w:cs="仿宋"/>
                <w:sz w:val="23"/>
                <w:szCs w:val="23"/>
              </w:rPr>
              <w:t>≥30000</w:t>
            </w:r>
          </w:p>
        </w:tc>
        <w:tc>
          <w:tcPr>
            <w:tcW w:w="1535" w:type="dxa"/>
          </w:tcPr>
          <w:p w14:paraId="02BB5085">
            <w:pPr>
              <w:spacing w:before="145" w:line="200" w:lineRule="exact"/>
              <w:ind w:left="177"/>
              <w:rPr>
                <w:rFonts w:hint="eastAsia" w:ascii="仿宋" w:hAnsi="仿宋" w:eastAsia="仿宋" w:cs="仿宋"/>
                <w:sz w:val="23"/>
                <w:szCs w:val="23"/>
              </w:rPr>
            </w:pPr>
            <w:r>
              <w:rPr>
                <w:rFonts w:ascii="仿宋" w:hAnsi="仿宋" w:eastAsia="仿宋" w:cs="仿宋"/>
                <w:sz w:val="23"/>
                <w:szCs w:val="23"/>
              </w:rPr>
              <w:t>3000-30000</w:t>
            </w:r>
          </w:p>
        </w:tc>
        <w:tc>
          <w:tcPr>
            <w:tcW w:w="1295" w:type="dxa"/>
          </w:tcPr>
          <w:p w14:paraId="670CAE58">
            <w:pPr>
              <w:spacing w:before="145" w:line="200" w:lineRule="exact"/>
              <w:ind w:left="176"/>
              <w:rPr>
                <w:rFonts w:hint="eastAsia" w:ascii="仿宋" w:hAnsi="仿宋" w:eastAsia="仿宋" w:cs="仿宋"/>
                <w:sz w:val="23"/>
                <w:szCs w:val="23"/>
              </w:rPr>
            </w:pPr>
            <w:r>
              <w:rPr>
                <w:rFonts w:ascii="仿宋" w:hAnsi="仿宋" w:eastAsia="仿宋" w:cs="仿宋"/>
                <w:sz w:val="23"/>
                <w:szCs w:val="23"/>
              </w:rPr>
              <w:t>200-3000</w:t>
            </w:r>
          </w:p>
        </w:tc>
        <w:tc>
          <w:tcPr>
            <w:tcW w:w="1004" w:type="dxa"/>
          </w:tcPr>
          <w:p w14:paraId="6C89505E">
            <w:pPr>
              <w:spacing w:before="104" w:line="200" w:lineRule="exact"/>
              <w:ind w:left="227"/>
              <w:rPr>
                <w:rFonts w:hint="eastAsia" w:ascii="仿宋" w:hAnsi="仿宋" w:eastAsia="仿宋" w:cs="仿宋"/>
                <w:sz w:val="23"/>
                <w:szCs w:val="23"/>
              </w:rPr>
            </w:pPr>
            <w:r>
              <w:rPr>
                <w:rFonts w:ascii="仿宋" w:hAnsi="仿宋" w:eastAsia="仿宋" w:cs="仿宋"/>
                <w:sz w:val="23"/>
                <w:szCs w:val="23"/>
              </w:rPr>
              <w:t>＜200</w:t>
            </w:r>
          </w:p>
        </w:tc>
      </w:tr>
      <w:tr w14:paraId="581B7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3E605BAF">
            <w:pPr>
              <w:spacing w:line="200" w:lineRule="exact"/>
              <w:rPr>
                <w:rFonts w:ascii="Arial"/>
              </w:rPr>
            </w:pPr>
          </w:p>
          <w:p w14:paraId="11AA2BB5">
            <w:pPr>
              <w:spacing w:before="75" w:line="200" w:lineRule="exact"/>
              <w:ind w:left="369"/>
              <w:rPr>
                <w:rFonts w:hint="eastAsia" w:ascii="仿宋" w:hAnsi="仿宋" w:eastAsia="仿宋" w:cs="仿宋"/>
                <w:sz w:val="23"/>
                <w:szCs w:val="23"/>
              </w:rPr>
            </w:pPr>
            <w:r>
              <w:rPr>
                <w:rFonts w:ascii="仿宋" w:hAnsi="仿宋" w:eastAsia="仿宋" w:cs="仿宋"/>
                <w:sz w:val="23"/>
                <w:szCs w:val="23"/>
              </w:rPr>
              <w:t>仓储</w:t>
            </w:r>
          </w:p>
        </w:tc>
        <w:tc>
          <w:tcPr>
            <w:tcW w:w="1187" w:type="dxa"/>
          </w:tcPr>
          <w:p w14:paraId="485B7E25">
            <w:pPr>
              <w:spacing w:before="104"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79031E8A">
            <w:pPr>
              <w:spacing w:before="104"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07B790D1">
            <w:pPr>
              <w:spacing w:before="104" w:line="200" w:lineRule="exact"/>
              <w:ind w:left="430"/>
              <w:rPr>
                <w:rFonts w:hint="eastAsia" w:ascii="仿宋" w:hAnsi="仿宋" w:eastAsia="仿宋" w:cs="仿宋"/>
                <w:sz w:val="23"/>
                <w:szCs w:val="23"/>
              </w:rPr>
            </w:pPr>
            <w:r>
              <w:rPr>
                <w:rFonts w:ascii="仿宋" w:hAnsi="仿宋" w:eastAsia="仿宋" w:cs="仿宋"/>
                <w:sz w:val="23"/>
                <w:szCs w:val="23"/>
              </w:rPr>
              <w:t>≥200</w:t>
            </w:r>
          </w:p>
        </w:tc>
        <w:tc>
          <w:tcPr>
            <w:tcW w:w="1535" w:type="dxa"/>
          </w:tcPr>
          <w:p w14:paraId="283B5EFE">
            <w:pPr>
              <w:spacing w:before="145" w:line="200" w:lineRule="exact"/>
              <w:ind w:left="370"/>
              <w:rPr>
                <w:rFonts w:hint="eastAsia" w:ascii="仿宋" w:hAnsi="仿宋" w:eastAsia="仿宋" w:cs="仿宋"/>
                <w:sz w:val="23"/>
                <w:szCs w:val="23"/>
              </w:rPr>
            </w:pPr>
            <w:r>
              <w:rPr>
                <w:rFonts w:ascii="仿宋" w:hAnsi="仿宋" w:eastAsia="仿宋" w:cs="仿宋"/>
                <w:sz w:val="23"/>
                <w:szCs w:val="23"/>
              </w:rPr>
              <w:t>100-200</w:t>
            </w:r>
          </w:p>
        </w:tc>
        <w:tc>
          <w:tcPr>
            <w:tcW w:w="1295" w:type="dxa"/>
          </w:tcPr>
          <w:p w14:paraId="08B8118A">
            <w:pPr>
              <w:spacing w:before="145" w:line="200" w:lineRule="exact"/>
              <w:ind w:left="296"/>
              <w:rPr>
                <w:rFonts w:hint="eastAsia" w:ascii="仿宋" w:hAnsi="仿宋" w:eastAsia="仿宋" w:cs="仿宋"/>
                <w:sz w:val="23"/>
                <w:szCs w:val="23"/>
              </w:rPr>
            </w:pPr>
            <w:r>
              <w:rPr>
                <w:rFonts w:ascii="仿宋" w:hAnsi="仿宋" w:eastAsia="仿宋" w:cs="仿宋"/>
                <w:sz w:val="23"/>
                <w:szCs w:val="23"/>
              </w:rPr>
              <w:t>20-100</w:t>
            </w:r>
          </w:p>
        </w:tc>
        <w:tc>
          <w:tcPr>
            <w:tcW w:w="1004" w:type="dxa"/>
          </w:tcPr>
          <w:p w14:paraId="188597C1">
            <w:pPr>
              <w:spacing w:before="104"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5C750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30ED2805">
            <w:pPr>
              <w:spacing w:line="200" w:lineRule="exact"/>
              <w:rPr>
                <w:rFonts w:ascii="Arial"/>
              </w:rPr>
            </w:pPr>
          </w:p>
        </w:tc>
        <w:tc>
          <w:tcPr>
            <w:tcW w:w="1187" w:type="dxa"/>
          </w:tcPr>
          <w:p w14:paraId="15251D63">
            <w:pPr>
              <w:spacing w:before="104"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4BE52313">
            <w:pPr>
              <w:spacing w:before="104"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307F6E03">
            <w:pPr>
              <w:spacing w:before="104" w:line="200" w:lineRule="exact"/>
              <w:ind w:left="310"/>
              <w:rPr>
                <w:rFonts w:hint="eastAsia" w:ascii="仿宋" w:hAnsi="仿宋" w:eastAsia="仿宋" w:cs="仿宋"/>
                <w:sz w:val="23"/>
                <w:szCs w:val="23"/>
              </w:rPr>
            </w:pPr>
            <w:r>
              <w:rPr>
                <w:rFonts w:ascii="仿宋" w:hAnsi="仿宋" w:eastAsia="仿宋" w:cs="仿宋"/>
                <w:sz w:val="23"/>
                <w:szCs w:val="23"/>
              </w:rPr>
              <w:t>≥30000</w:t>
            </w:r>
          </w:p>
        </w:tc>
        <w:tc>
          <w:tcPr>
            <w:tcW w:w="1535" w:type="dxa"/>
          </w:tcPr>
          <w:p w14:paraId="23AC4853">
            <w:pPr>
              <w:spacing w:before="145" w:line="200" w:lineRule="exact"/>
              <w:ind w:left="190"/>
              <w:rPr>
                <w:rFonts w:hint="eastAsia" w:ascii="仿宋" w:hAnsi="仿宋" w:eastAsia="仿宋" w:cs="仿宋"/>
                <w:sz w:val="23"/>
                <w:szCs w:val="23"/>
              </w:rPr>
            </w:pPr>
            <w:r>
              <w:rPr>
                <w:rFonts w:ascii="仿宋" w:hAnsi="仿宋" w:eastAsia="仿宋" w:cs="仿宋"/>
                <w:sz w:val="23"/>
                <w:szCs w:val="23"/>
              </w:rPr>
              <w:t>1000-30000</w:t>
            </w:r>
          </w:p>
        </w:tc>
        <w:tc>
          <w:tcPr>
            <w:tcW w:w="1295" w:type="dxa"/>
          </w:tcPr>
          <w:p w14:paraId="235F6CD3">
            <w:pPr>
              <w:spacing w:before="145" w:line="200" w:lineRule="exact"/>
              <w:ind w:left="191"/>
              <w:rPr>
                <w:rFonts w:hint="eastAsia" w:ascii="仿宋" w:hAnsi="仿宋" w:eastAsia="仿宋" w:cs="仿宋"/>
                <w:sz w:val="23"/>
                <w:szCs w:val="23"/>
              </w:rPr>
            </w:pPr>
            <w:r>
              <w:rPr>
                <w:rFonts w:ascii="仿宋" w:hAnsi="仿宋" w:eastAsia="仿宋" w:cs="仿宋"/>
                <w:sz w:val="23"/>
                <w:szCs w:val="23"/>
              </w:rPr>
              <w:t>100-1000</w:t>
            </w:r>
          </w:p>
        </w:tc>
        <w:tc>
          <w:tcPr>
            <w:tcW w:w="1004" w:type="dxa"/>
          </w:tcPr>
          <w:p w14:paraId="1EDE97DF">
            <w:pPr>
              <w:spacing w:before="104"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2980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0E14793">
            <w:pPr>
              <w:spacing w:line="200" w:lineRule="exact"/>
              <w:rPr>
                <w:rFonts w:ascii="Arial"/>
              </w:rPr>
            </w:pPr>
          </w:p>
          <w:p w14:paraId="2D83849B">
            <w:pPr>
              <w:spacing w:before="75" w:line="200" w:lineRule="exact"/>
              <w:ind w:left="262"/>
              <w:rPr>
                <w:rFonts w:hint="eastAsia" w:ascii="仿宋" w:hAnsi="仿宋" w:eastAsia="仿宋" w:cs="仿宋"/>
                <w:sz w:val="23"/>
                <w:szCs w:val="23"/>
              </w:rPr>
            </w:pPr>
            <w:r>
              <w:rPr>
                <w:rFonts w:ascii="仿宋" w:hAnsi="仿宋" w:eastAsia="仿宋" w:cs="仿宋"/>
                <w:sz w:val="23"/>
                <w:szCs w:val="23"/>
              </w:rPr>
              <w:t>邮政业</w:t>
            </w:r>
          </w:p>
        </w:tc>
        <w:tc>
          <w:tcPr>
            <w:tcW w:w="1187" w:type="dxa"/>
          </w:tcPr>
          <w:p w14:paraId="2982FC9C">
            <w:pPr>
              <w:spacing w:before="104"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2121BF65">
            <w:pPr>
              <w:spacing w:before="104"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26B84D8D">
            <w:pPr>
              <w:spacing w:before="104"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0783D51F">
            <w:pPr>
              <w:spacing w:before="145" w:line="200" w:lineRule="exact"/>
              <w:ind w:left="237"/>
              <w:rPr>
                <w:rFonts w:hint="eastAsia" w:ascii="仿宋" w:hAnsi="仿宋" w:eastAsia="仿宋" w:cs="仿宋"/>
                <w:sz w:val="23"/>
                <w:szCs w:val="23"/>
              </w:rPr>
            </w:pPr>
            <w:r>
              <w:rPr>
                <w:rFonts w:ascii="仿宋" w:hAnsi="仿宋" w:eastAsia="仿宋" w:cs="仿宋"/>
                <w:sz w:val="23"/>
                <w:szCs w:val="23"/>
              </w:rPr>
              <w:t>300- 1000</w:t>
            </w:r>
          </w:p>
        </w:tc>
        <w:tc>
          <w:tcPr>
            <w:tcW w:w="1295" w:type="dxa"/>
          </w:tcPr>
          <w:p w14:paraId="6793B0E5">
            <w:pPr>
              <w:spacing w:before="145" w:line="200" w:lineRule="exact"/>
              <w:ind w:left="296"/>
              <w:rPr>
                <w:rFonts w:hint="eastAsia" w:ascii="仿宋" w:hAnsi="仿宋" w:eastAsia="仿宋" w:cs="仿宋"/>
                <w:sz w:val="23"/>
                <w:szCs w:val="23"/>
              </w:rPr>
            </w:pPr>
            <w:r>
              <w:rPr>
                <w:rFonts w:ascii="仿宋" w:hAnsi="仿宋" w:eastAsia="仿宋" w:cs="仿宋"/>
                <w:sz w:val="23"/>
                <w:szCs w:val="23"/>
              </w:rPr>
              <w:t>20-300</w:t>
            </w:r>
          </w:p>
        </w:tc>
        <w:tc>
          <w:tcPr>
            <w:tcW w:w="1004" w:type="dxa"/>
          </w:tcPr>
          <w:p w14:paraId="27F62898">
            <w:pPr>
              <w:spacing w:before="104"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6318B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32C58C5E">
            <w:pPr>
              <w:spacing w:line="200" w:lineRule="exact"/>
              <w:rPr>
                <w:rFonts w:ascii="Arial"/>
              </w:rPr>
            </w:pPr>
          </w:p>
        </w:tc>
        <w:tc>
          <w:tcPr>
            <w:tcW w:w="1187" w:type="dxa"/>
          </w:tcPr>
          <w:p w14:paraId="5FA6B775">
            <w:pPr>
              <w:spacing w:before="104"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19D8DE05">
            <w:pPr>
              <w:spacing w:before="104"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2FCA297A">
            <w:pPr>
              <w:spacing w:before="104" w:line="200" w:lineRule="exact"/>
              <w:ind w:left="310"/>
              <w:rPr>
                <w:rFonts w:hint="eastAsia" w:ascii="仿宋" w:hAnsi="仿宋" w:eastAsia="仿宋" w:cs="仿宋"/>
                <w:sz w:val="23"/>
                <w:szCs w:val="23"/>
              </w:rPr>
            </w:pPr>
            <w:r>
              <w:rPr>
                <w:rFonts w:ascii="仿宋" w:hAnsi="仿宋" w:eastAsia="仿宋" w:cs="仿宋"/>
                <w:sz w:val="23"/>
                <w:szCs w:val="23"/>
              </w:rPr>
              <w:t>≥30000</w:t>
            </w:r>
          </w:p>
        </w:tc>
        <w:tc>
          <w:tcPr>
            <w:tcW w:w="1535" w:type="dxa"/>
          </w:tcPr>
          <w:p w14:paraId="79A607FB">
            <w:pPr>
              <w:spacing w:before="145" w:line="200" w:lineRule="exact"/>
              <w:ind w:left="175"/>
              <w:rPr>
                <w:rFonts w:hint="eastAsia" w:ascii="仿宋" w:hAnsi="仿宋" w:eastAsia="仿宋" w:cs="仿宋"/>
                <w:sz w:val="23"/>
                <w:szCs w:val="23"/>
              </w:rPr>
            </w:pPr>
            <w:r>
              <w:rPr>
                <w:rFonts w:ascii="仿宋" w:hAnsi="仿宋" w:eastAsia="仿宋" w:cs="仿宋"/>
                <w:sz w:val="23"/>
                <w:szCs w:val="23"/>
              </w:rPr>
              <w:t>2000-30000</w:t>
            </w:r>
          </w:p>
        </w:tc>
        <w:tc>
          <w:tcPr>
            <w:tcW w:w="1295" w:type="dxa"/>
          </w:tcPr>
          <w:p w14:paraId="718D2024">
            <w:pPr>
              <w:spacing w:before="145" w:line="200" w:lineRule="exact"/>
              <w:ind w:left="191"/>
              <w:rPr>
                <w:rFonts w:hint="eastAsia" w:ascii="仿宋" w:hAnsi="仿宋" w:eastAsia="仿宋" w:cs="仿宋"/>
                <w:sz w:val="23"/>
                <w:szCs w:val="23"/>
              </w:rPr>
            </w:pPr>
            <w:r>
              <w:rPr>
                <w:rFonts w:ascii="仿宋" w:hAnsi="仿宋" w:eastAsia="仿宋" w:cs="仿宋"/>
                <w:sz w:val="23"/>
                <w:szCs w:val="23"/>
              </w:rPr>
              <w:t>100-2000</w:t>
            </w:r>
          </w:p>
        </w:tc>
        <w:tc>
          <w:tcPr>
            <w:tcW w:w="1004" w:type="dxa"/>
          </w:tcPr>
          <w:p w14:paraId="4E16FDF0">
            <w:pPr>
              <w:spacing w:before="104"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7B0B8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69430FE">
            <w:pPr>
              <w:spacing w:line="200" w:lineRule="exact"/>
              <w:rPr>
                <w:rFonts w:ascii="Arial"/>
              </w:rPr>
            </w:pPr>
          </w:p>
          <w:p w14:paraId="3E284C07">
            <w:pPr>
              <w:spacing w:before="75" w:line="200" w:lineRule="exact"/>
              <w:ind w:left="124"/>
              <w:rPr>
                <w:rFonts w:hint="eastAsia" w:ascii="仿宋" w:hAnsi="仿宋" w:eastAsia="仿宋" w:cs="仿宋"/>
                <w:sz w:val="23"/>
                <w:szCs w:val="23"/>
              </w:rPr>
            </w:pPr>
            <w:r>
              <w:rPr>
                <w:rFonts w:ascii="仿宋" w:hAnsi="仿宋" w:eastAsia="仿宋" w:cs="仿宋"/>
                <w:sz w:val="23"/>
                <w:szCs w:val="23"/>
              </w:rPr>
              <w:t>住宿餐饮</w:t>
            </w:r>
          </w:p>
        </w:tc>
        <w:tc>
          <w:tcPr>
            <w:tcW w:w="1187" w:type="dxa"/>
          </w:tcPr>
          <w:p w14:paraId="2AF97486">
            <w:pPr>
              <w:spacing w:before="104"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3EF7F333">
            <w:pPr>
              <w:spacing w:before="103"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4939C00C">
            <w:pPr>
              <w:spacing w:before="103"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47896201">
            <w:pPr>
              <w:spacing w:before="144"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7C818B70">
            <w:pPr>
              <w:spacing w:before="144"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10CF480B">
            <w:pPr>
              <w:spacing w:before="103"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15208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0453068C">
            <w:pPr>
              <w:spacing w:line="200" w:lineRule="exact"/>
              <w:rPr>
                <w:rFonts w:ascii="Arial"/>
              </w:rPr>
            </w:pPr>
          </w:p>
        </w:tc>
        <w:tc>
          <w:tcPr>
            <w:tcW w:w="1187" w:type="dxa"/>
          </w:tcPr>
          <w:p w14:paraId="002ECD5B">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1E88BAC8">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E725043">
            <w:pPr>
              <w:spacing w:before="103" w:line="200" w:lineRule="exact"/>
              <w:ind w:left="310"/>
              <w:rPr>
                <w:rFonts w:hint="eastAsia" w:ascii="仿宋" w:hAnsi="仿宋" w:eastAsia="仿宋" w:cs="仿宋"/>
                <w:sz w:val="23"/>
                <w:szCs w:val="23"/>
              </w:rPr>
            </w:pPr>
            <w:r>
              <w:rPr>
                <w:rFonts w:ascii="仿宋" w:hAnsi="仿宋" w:eastAsia="仿宋" w:cs="仿宋"/>
                <w:sz w:val="23"/>
                <w:szCs w:val="23"/>
              </w:rPr>
              <w:t>≥10000</w:t>
            </w:r>
          </w:p>
        </w:tc>
        <w:tc>
          <w:tcPr>
            <w:tcW w:w="1535" w:type="dxa"/>
          </w:tcPr>
          <w:p w14:paraId="027E1F1E">
            <w:pPr>
              <w:spacing w:before="144" w:line="200" w:lineRule="exact"/>
              <w:ind w:left="175"/>
              <w:rPr>
                <w:rFonts w:hint="eastAsia" w:ascii="仿宋" w:hAnsi="仿宋" w:eastAsia="仿宋" w:cs="仿宋"/>
                <w:sz w:val="23"/>
                <w:szCs w:val="23"/>
              </w:rPr>
            </w:pPr>
            <w:r>
              <w:rPr>
                <w:rFonts w:ascii="仿宋" w:hAnsi="仿宋" w:eastAsia="仿宋" w:cs="仿宋"/>
                <w:sz w:val="23"/>
                <w:szCs w:val="23"/>
              </w:rPr>
              <w:t>2000-10000</w:t>
            </w:r>
          </w:p>
        </w:tc>
        <w:tc>
          <w:tcPr>
            <w:tcW w:w="1295" w:type="dxa"/>
          </w:tcPr>
          <w:p w14:paraId="3B7C7048">
            <w:pPr>
              <w:spacing w:before="144" w:line="200" w:lineRule="exact"/>
              <w:ind w:left="191"/>
              <w:rPr>
                <w:rFonts w:hint="eastAsia" w:ascii="仿宋" w:hAnsi="仿宋" w:eastAsia="仿宋" w:cs="仿宋"/>
                <w:sz w:val="23"/>
                <w:szCs w:val="23"/>
              </w:rPr>
            </w:pPr>
            <w:r>
              <w:rPr>
                <w:rFonts w:ascii="仿宋" w:hAnsi="仿宋" w:eastAsia="仿宋" w:cs="仿宋"/>
                <w:sz w:val="23"/>
                <w:szCs w:val="23"/>
              </w:rPr>
              <w:t>100-2000</w:t>
            </w:r>
          </w:p>
        </w:tc>
        <w:tc>
          <w:tcPr>
            <w:tcW w:w="1004" w:type="dxa"/>
          </w:tcPr>
          <w:p w14:paraId="2FEC3E58">
            <w:pPr>
              <w:spacing w:before="103"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04DD7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1C9BB0FD">
            <w:pPr>
              <w:spacing w:before="172" w:line="200" w:lineRule="exact"/>
              <w:ind w:left="124" w:right="110" w:firstLine="124"/>
              <w:rPr>
                <w:rFonts w:hint="eastAsia" w:ascii="仿宋" w:hAnsi="仿宋" w:eastAsia="仿宋" w:cs="仿宋"/>
                <w:sz w:val="23"/>
                <w:szCs w:val="23"/>
              </w:rPr>
            </w:pPr>
            <w:r>
              <w:rPr>
                <w:rFonts w:ascii="仿宋" w:hAnsi="仿宋" w:eastAsia="仿宋" w:cs="仿宋"/>
                <w:sz w:val="23"/>
                <w:szCs w:val="23"/>
              </w:rPr>
              <w:t>房地产 开发经营</w:t>
            </w:r>
          </w:p>
        </w:tc>
        <w:tc>
          <w:tcPr>
            <w:tcW w:w="1187" w:type="dxa"/>
          </w:tcPr>
          <w:p w14:paraId="1BE1896B">
            <w:pPr>
              <w:spacing w:before="103" w:line="200" w:lineRule="exact"/>
              <w:ind w:left="138"/>
              <w:rPr>
                <w:rFonts w:hint="eastAsia" w:ascii="仿宋" w:hAnsi="仿宋" w:eastAsia="仿宋" w:cs="仿宋"/>
                <w:sz w:val="23"/>
                <w:szCs w:val="23"/>
              </w:rPr>
            </w:pPr>
            <w:r>
              <w:rPr>
                <w:rFonts w:ascii="仿宋" w:hAnsi="仿宋" w:eastAsia="仿宋" w:cs="仿宋"/>
                <w:sz w:val="23"/>
                <w:szCs w:val="23"/>
              </w:rPr>
              <w:t>资产总额</w:t>
            </w:r>
          </w:p>
        </w:tc>
        <w:tc>
          <w:tcPr>
            <w:tcW w:w="900" w:type="dxa"/>
          </w:tcPr>
          <w:p w14:paraId="3661877E">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5697BA66">
            <w:pPr>
              <w:spacing w:before="103" w:line="200" w:lineRule="exact"/>
              <w:ind w:left="310"/>
              <w:rPr>
                <w:rFonts w:hint="eastAsia" w:ascii="仿宋" w:hAnsi="仿宋" w:eastAsia="仿宋" w:cs="仿宋"/>
                <w:sz w:val="23"/>
                <w:szCs w:val="23"/>
              </w:rPr>
            </w:pPr>
            <w:r>
              <w:rPr>
                <w:rFonts w:ascii="仿宋" w:hAnsi="仿宋" w:eastAsia="仿宋" w:cs="仿宋"/>
                <w:sz w:val="23"/>
                <w:szCs w:val="23"/>
              </w:rPr>
              <w:t>≥10000</w:t>
            </w:r>
          </w:p>
        </w:tc>
        <w:tc>
          <w:tcPr>
            <w:tcW w:w="1535" w:type="dxa"/>
          </w:tcPr>
          <w:p w14:paraId="15D6BBCA">
            <w:pPr>
              <w:spacing w:before="144" w:line="200" w:lineRule="exact"/>
              <w:ind w:left="177"/>
              <w:rPr>
                <w:rFonts w:hint="eastAsia" w:ascii="仿宋" w:hAnsi="仿宋" w:eastAsia="仿宋" w:cs="仿宋"/>
                <w:sz w:val="23"/>
                <w:szCs w:val="23"/>
              </w:rPr>
            </w:pPr>
            <w:r>
              <w:rPr>
                <w:rFonts w:ascii="仿宋" w:hAnsi="仿宋" w:eastAsia="仿宋" w:cs="仿宋"/>
                <w:sz w:val="23"/>
                <w:szCs w:val="23"/>
              </w:rPr>
              <w:t>5000-10000</w:t>
            </w:r>
          </w:p>
        </w:tc>
        <w:tc>
          <w:tcPr>
            <w:tcW w:w="1295" w:type="dxa"/>
          </w:tcPr>
          <w:p w14:paraId="69EEFAF7">
            <w:pPr>
              <w:spacing w:before="103" w:line="200" w:lineRule="exact"/>
              <w:ind w:left="116"/>
              <w:rPr>
                <w:rFonts w:hint="eastAsia" w:ascii="仿宋" w:hAnsi="仿宋" w:eastAsia="仿宋" w:cs="仿宋"/>
                <w:sz w:val="23"/>
                <w:szCs w:val="23"/>
              </w:rPr>
            </w:pPr>
            <w:r>
              <w:rPr>
                <w:rFonts w:ascii="仿宋" w:hAnsi="仿宋" w:eastAsia="仿宋" w:cs="仿宋"/>
                <w:sz w:val="23"/>
                <w:szCs w:val="23"/>
              </w:rPr>
              <w:t>2000&lt;5000</w:t>
            </w:r>
          </w:p>
        </w:tc>
        <w:tc>
          <w:tcPr>
            <w:tcW w:w="1004" w:type="dxa"/>
          </w:tcPr>
          <w:p w14:paraId="101EB39E">
            <w:pPr>
              <w:spacing w:before="103" w:line="200" w:lineRule="exact"/>
              <w:ind w:left="167"/>
              <w:rPr>
                <w:rFonts w:hint="eastAsia" w:ascii="仿宋" w:hAnsi="仿宋" w:eastAsia="仿宋" w:cs="仿宋"/>
                <w:sz w:val="23"/>
                <w:szCs w:val="23"/>
              </w:rPr>
            </w:pPr>
            <w:r>
              <w:rPr>
                <w:rFonts w:ascii="仿宋" w:hAnsi="仿宋" w:eastAsia="仿宋" w:cs="仿宋"/>
                <w:sz w:val="23"/>
                <w:szCs w:val="23"/>
              </w:rPr>
              <w:t>＜2000</w:t>
            </w:r>
          </w:p>
        </w:tc>
      </w:tr>
      <w:tr w14:paraId="7EC2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4053869A">
            <w:pPr>
              <w:spacing w:line="200" w:lineRule="exact"/>
              <w:rPr>
                <w:rFonts w:ascii="Arial"/>
              </w:rPr>
            </w:pPr>
          </w:p>
        </w:tc>
        <w:tc>
          <w:tcPr>
            <w:tcW w:w="1187" w:type="dxa"/>
          </w:tcPr>
          <w:p w14:paraId="5F5FA466">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7332D0D1">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F81D41D">
            <w:pPr>
              <w:spacing w:before="103" w:line="200" w:lineRule="exact"/>
              <w:ind w:left="250"/>
              <w:rPr>
                <w:rFonts w:hint="eastAsia" w:ascii="仿宋" w:hAnsi="仿宋" w:eastAsia="仿宋" w:cs="仿宋"/>
                <w:sz w:val="23"/>
                <w:szCs w:val="23"/>
              </w:rPr>
            </w:pPr>
            <w:r>
              <w:rPr>
                <w:rFonts w:ascii="仿宋" w:hAnsi="仿宋" w:eastAsia="仿宋" w:cs="仿宋"/>
                <w:sz w:val="23"/>
                <w:szCs w:val="23"/>
              </w:rPr>
              <w:t>≥200000</w:t>
            </w:r>
          </w:p>
        </w:tc>
        <w:tc>
          <w:tcPr>
            <w:tcW w:w="1535" w:type="dxa"/>
          </w:tcPr>
          <w:p w14:paraId="32B355D8">
            <w:pPr>
              <w:spacing w:before="144" w:line="200" w:lineRule="exact"/>
              <w:ind w:left="130"/>
              <w:rPr>
                <w:rFonts w:hint="eastAsia" w:ascii="仿宋" w:hAnsi="仿宋" w:eastAsia="仿宋" w:cs="仿宋"/>
                <w:sz w:val="23"/>
                <w:szCs w:val="23"/>
              </w:rPr>
            </w:pPr>
            <w:r>
              <w:rPr>
                <w:rFonts w:ascii="仿宋" w:hAnsi="仿宋" w:eastAsia="仿宋" w:cs="仿宋"/>
                <w:sz w:val="23"/>
                <w:szCs w:val="23"/>
              </w:rPr>
              <w:t>1000-200000</w:t>
            </w:r>
          </w:p>
        </w:tc>
        <w:tc>
          <w:tcPr>
            <w:tcW w:w="1295" w:type="dxa"/>
          </w:tcPr>
          <w:p w14:paraId="24F11C4F">
            <w:pPr>
              <w:spacing w:before="103" w:line="200" w:lineRule="exact"/>
              <w:ind w:left="131"/>
              <w:rPr>
                <w:rFonts w:hint="eastAsia" w:ascii="仿宋" w:hAnsi="仿宋" w:eastAsia="仿宋" w:cs="仿宋"/>
                <w:sz w:val="23"/>
                <w:szCs w:val="23"/>
              </w:rPr>
            </w:pPr>
            <w:r>
              <w:rPr>
                <w:rFonts w:ascii="仿宋" w:hAnsi="仿宋" w:eastAsia="仿宋" w:cs="仿宋"/>
                <w:sz w:val="23"/>
                <w:szCs w:val="23"/>
              </w:rPr>
              <w:t>100&lt;10000</w:t>
            </w:r>
          </w:p>
        </w:tc>
        <w:tc>
          <w:tcPr>
            <w:tcW w:w="1004" w:type="dxa"/>
          </w:tcPr>
          <w:p w14:paraId="50D7B833">
            <w:pPr>
              <w:spacing w:before="103"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4898A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7EB1FA40">
            <w:pPr>
              <w:spacing w:before="263" w:line="200" w:lineRule="exact"/>
              <w:ind w:left="125"/>
              <w:rPr>
                <w:rFonts w:hint="eastAsia" w:ascii="仿宋" w:hAnsi="仿宋" w:eastAsia="仿宋" w:cs="仿宋"/>
                <w:sz w:val="23"/>
                <w:szCs w:val="23"/>
              </w:rPr>
            </w:pPr>
            <w:r>
              <w:rPr>
                <w:rFonts w:ascii="仿宋" w:hAnsi="仿宋" w:eastAsia="仿宋" w:cs="仿宋"/>
                <w:sz w:val="23"/>
                <w:szCs w:val="23"/>
              </w:rPr>
              <w:t>物业管理</w:t>
            </w:r>
          </w:p>
        </w:tc>
        <w:tc>
          <w:tcPr>
            <w:tcW w:w="1187" w:type="dxa"/>
          </w:tcPr>
          <w:p w14:paraId="0CDA67F5">
            <w:pPr>
              <w:spacing w:before="40"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31D2DB7A">
            <w:pPr>
              <w:spacing w:before="40"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013A9703">
            <w:pPr>
              <w:spacing w:before="40"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3FC010B4">
            <w:pPr>
              <w:spacing w:before="81" w:line="200" w:lineRule="exact"/>
              <w:ind w:left="297"/>
              <w:rPr>
                <w:rFonts w:hint="eastAsia" w:ascii="仿宋" w:hAnsi="仿宋" w:eastAsia="仿宋" w:cs="仿宋"/>
                <w:sz w:val="23"/>
                <w:szCs w:val="23"/>
              </w:rPr>
            </w:pPr>
            <w:r>
              <w:rPr>
                <w:rFonts w:ascii="仿宋" w:hAnsi="仿宋" w:eastAsia="仿宋" w:cs="仿宋"/>
                <w:sz w:val="23"/>
                <w:szCs w:val="23"/>
              </w:rPr>
              <w:t>300-1000</w:t>
            </w:r>
          </w:p>
        </w:tc>
        <w:tc>
          <w:tcPr>
            <w:tcW w:w="1295" w:type="dxa"/>
          </w:tcPr>
          <w:p w14:paraId="464D8F3A">
            <w:pPr>
              <w:spacing w:before="81" w:line="200" w:lineRule="exact"/>
              <w:ind w:left="251"/>
              <w:rPr>
                <w:rFonts w:hint="eastAsia" w:ascii="仿宋" w:hAnsi="仿宋" w:eastAsia="仿宋" w:cs="仿宋"/>
                <w:sz w:val="23"/>
                <w:szCs w:val="23"/>
              </w:rPr>
            </w:pPr>
            <w:r>
              <w:rPr>
                <w:rFonts w:ascii="仿宋" w:hAnsi="仿宋" w:eastAsia="仿宋" w:cs="仿宋"/>
                <w:sz w:val="23"/>
                <w:szCs w:val="23"/>
              </w:rPr>
              <w:t>100-300</w:t>
            </w:r>
          </w:p>
        </w:tc>
        <w:tc>
          <w:tcPr>
            <w:tcW w:w="1004" w:type="dxa"/>
          </w:tcPr>
          <w:p w14:paraId="287C6E1A">
            <w:pPr>
              <w:spacing w:before="40"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08439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225626E3">
            <w:pPr>
              <w:spacing w:line="200" w:lineRule="exact"/>
              <w:rPr>
                <w:rFonts w:ascii="Arial"/>
              </w:rPr>
            </w:pPr>
          </w:p>
        </w:tc>
        <w:tc>
          <w:tcPr>
            <w:tcW w:w="1187" w:type="dxa"/>
          </w:tcPr>
          <w:p w14:paraId="5E1E9E5E">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57AE5610">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56287C74">
            <w:pPr>
              <w:spacing w:before="103" w:line="200" w:lineRule="exact"/>
              <w:ind w:left="370"/>
              <w:rPr>
                <w:rFonts w:hint="eastAsia" w:ascii="仿宋" w:hAnsi="仿宋" w:eastAsia="仿宋" w:cs="仿宋"/>
                <w:sz w:val="23"/>
                <w:szCs w:val="23"/>
              </w:rPr>
            </w:pPr>
            <w:r>
              <w:rPr>
                <w:rFonts w:ascii="仿宋" w:hAnsi="仿宋" w:eastAsia="仿宋" w:cs="仿宋"/>
                <w:sz w:val="23"/>
                <w:szCs w:val="23"/>
              </w:rPr>
              <w:t>≥5000</w:t>
            </w:r>
          </w:p>
        </w:tc>
        <w:tc>
          <w:tcPr>
            <w:tcW w:w="1535" w:type="dxa"/>
          </w:tcPr>
          <w:p w14:paraId="6A3B4368">
            <w:pPr>
              <w:spacing w:before="144" w:line="200" w:lineRule="exact"/>
              <w:ind w:left="250"/>
              <w:rPr>
                <w:rFonts w:hint="eastAsia" w:ascii="仿宋" w:hAnsi="仿宋" w:eastAsia="仿宋" w:cs="仿宋"/>
                <w:sz w:val="23"/>
                <w:szCs w:val="23"/>
              </w:rPr>
            </w:pPr>
            <w:r>
              <w:rPr>
                <w:rFonts w:ascii="仿宋" w:hAnsi="仿宋" w:eastAsia="仿宋" w:cs="仿宋"/>
                <w:sz w:val="23"/>
                <w:szCs w:val="23"/>
              </w:rPr>
              <w:t>1000-5000</w:t>
            </w:r>
          </w:p>
        </w:tc>
        <w:tc>
          <w:tcPr>
            <w:tcW w:w="1295" w:type="dxa"/>
          </w:tcPr>
          <w:p w14:paraId="7E95E1BE">
            <w:pPr>
              <w:spacing w:before="144" w:line="200" w:lineRule="exact"/>
              <w:ind w:left="118"/>
              <w:rPr>
                <w:rFonts w:hint="eastAsia" w:ascii="仿宋" w:hAnsi="仿宋" w:eastAsia="仿宋" w:cs="仿宋"/>
                <w:sz w:val="23"/>
                <w:szCs w:val="23"/>
              </w:rPr>
            </w:pPr>
            <w:r>
              <w:rPr>
                <w:rFonts w:ascii="仿宋" w:hAnsi="仿宋" w:eastAsia="仿宋" w:cs="仿宋"/>
                <w:sz w:val="23"/>
                <w:szCs w:val="23"/>
              </w:rPr>
              <w:t>500- 1000</w:t>
            </w:r>
          </w:p>
        </w:tc>
        <w:tc>
          <w:tcPr>
            <w:tcW w:w="1004" w:type="dxa"/>
          </w:tcPr>
          <w:p w14:paraId="5702249E">
            <w:pPr>
              <w:spacing w:before="103" w:line="200" w:lineRule="exact"/>
              <w:ind w:left="227"/>
              <w:rPr>
                <w:rFonts w:hint="eastAsia" w:ascii="仿宋" w:hAnsi="仿宋" w:eastAsia="仿宋" w:cs="仿宋"/>
                <w:sz w:val="23"/>
                <w:szCs w:val="23"/>
              </w:rPr>
            </w:pPr>
            <w:r>
              <w:rPr>
                <w:rFonts w:ascii="仿宋" w:hAnsi="仿宋" w:eastAsia="仿宋" w:cs="仿宋"/>
                <w:sz w:val="23"/>
                <w:szCs w:val="23"/>
              </w:rPr>
              <w:t>＜500</w:t>
            </w:r>
          </w:p>
        </w:tc>
      </w:tr>
      <w:tr w14:paraId="799E8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53CBE1C">
            <w:pPr>
              <w:spacing w:before="263" w:line="200" w:lineRule="exact"/>
              <w:ind w:left="124"/>
              <w:rPr>
                <w:rFonts w:hint="eastAsia" w:ascii="仿宋" w:hAnsi="仿宋" w:eastAsia="仿宋" w:cs="仿宋"/>
                <w:sz w:val="23"/>
                <w:szCs w:val="23"/>
              </w:rPr>
            </w:pPr>
            <w:r>
              <w:rPr>
                <w:rFonts w:ascii="仿宋" w:hAnsi="仿宋" w:eastAsia="仿宋" w:cs="仿宋"/>
                <w:sz w:val="23"/>
                <w:szCs w:val="23"/>
              </w:rPr>
              <w:t>信息传输</w:t>
            </w:r>
          </w:p>
        </w:tc>
        <w:tc>
          <w:tcPr>
            <w:tcW w:w="1187" w:type="dxa"/>
          </w:tcPr>
          <w:p w14:paraId="2655FB16">
            <w:pPr>
              <w:spacing w:before="40"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4B8E3656">
            <w:pPr>
              <w:spacing w:before="40"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29C755B0">
            <w:pPr>
              <w:spacing w:before="40" w:line="200" w:lineRule="exact"/>
              <w:ind w:left="370"/>
              <w:rPr>
                <w:rFonts w:hint="eastAsia" w:ascii="仿宋" w:hAnsi="仿宋" w:eastAsia="仿宋" w:cs="仿宋"/>
                <w:sz w:val="23"/>
                <w:szCs w:val="23"/>
              </w:rPr>
            </w:pPr>
            <w:r>
              <w:rPr>
                <w:rFonts w:ascii="仿宋" w:hAnsi="仿宋" w:eastAsia="仿宋" w:cs="仿宋"/>
                <w:sz w:val="23"/>
                <w:szCs w:val="23"/>
              </w:rPr>
              <w:t>≥2000</w:t>
            </w:r>
          </w:p>
        </w:tc>
        <w:tc>
          <w:tcPr>
            <w:tcW w:w="1535" w:type="dxa"/>
          </w:tcPr>
          <w:p w14:paraId="5F2F0F9C">
            <w:pPr>
              <w:spacing w:before="82" w:line="200" w:lineRule="exact"/>
              <w:ind w:left="370"/>
              <w:rPr>
                <w:rFonts w:hint="eastAsia" w:ascii="仿宋" w:hAnsi="仿宋" w:eastAsia="仿宋" w:cs="仿宋"/>
                <w:sz w:val="23"/>
                <w:szCs w:val="23"/>
              </w:rPr>
            </w:pPr>
            <w:r>
              <w:rPr>
                <w:rFonts w:ascii="仿宋" w:hAnsi="仿宋" w:eastAsia="仿宋" w:cs="仿宋"/>
                <w:sz w:val="23"/>
                <w:szCs w:val="23"/>
              </w:rPr>
              <w:t>100-200</w:t>
            </w:r>
          </w:p>
        </w:tc>
        <w:tc>
          <w:tcPr>
            <w:tcW w:w="1295" w:type="dxa"/>
          </w:tcPr>
          <w:p w14:paraId="2B76C93C">
            <w:pPr>
              <w:spacing w:before="82"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0712DC6A">
            <w:pPr>
              <w:spacing w:before="40"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202BF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5251E22E">
            <w:pPr>
              <w:spacing w:line="200" w:lineRule="exact"/>
              <w:rPr>
                <w:rFonts w:ascii="Arial"/>
              </w:rPr>
            </w:pPr>
          </w:p>
        </w:tc>
        <w:tc>
          <w:tcPr>
            <w:tcW w:w="1187" w:type="dxa"/>
          </w:tcPr>
          <w:p w14:paraId="2A5EF254">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17833E69">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20FDF6F9">
            <w:pPr>
              <w:spacing w:before="103" w:line="200" w:lineRule="exact"/>
              <w:ind w:left="250"/>
              <w:rPr>
                <w:rFonts w:hint="eastAsia" w:ascii="仿宋" w:hAnsi="仿宋" w:eastAsia="仿宋" w:cs="仿宋"/>
                <w:sz w:val="23"/>
                <w:szCs w:val="23"/>
              </w:rPr>
            </w:pPr>
            <w:r>
              <w:rPr>
                <w:rFonts w:ascii="仿宋" w:hAnsi="仿宋" w:eastAsia="仿宋" w:cs="仿宋"/>
                <w:sz w:val="23"/>
                <w:szCs w:val="23"/>
              </w:rPr>
              <w:t>≥100000</w:t>
            </w:r>
          </w:p>
        </w:tc>
        <w:tc>
          <w:tcPr>
            <w:tcW w:w="1535" w:type="dxa"/>
          </w:tcPr>
          <w:p w14:paraId="49F8641B">
            <w:pPr>
              <w:spacing w:before="144" w:line="200" w:lineRule="exact"/>
              <w:ind w:left="130"/>
              <w:rPr>
                <w:rFonts w:hint="eastAsia" w:ascii="仿宋" w:hAnsi="仿宋" w:eastAsia="仿宋" w:cs="仿宋"/>
                <w:sz w:val="23"/>
                <w:szCs w:val="23"/>
              </w:rPr>
            </w:pPr>
            <w:r>
              <w:rPr>
                <w:rFonts w:ascii="仿宋" w:hAnsi="仿宋" w:eastAsia="仿宋" w:cs="仿宋"/>
                <w:sz w:val="23"/>
                <w:szCs w:val="23"/>
              </w:rPr>
              <w:t>1000-100000</w:t>
            </w:r>
          </w:p>
        </w:tc>
        <w:tc>
          <w:tcPr>
            <w:tcW w:w="1295" w:type="dxa"/>
          </w:tcPr>
          <w:p w14:paraId="59253BBF">
            <w:pPr>
              <w:spacing w:before="144" w:line="200" w:lineRule="exact"/>
              <w:ind w:left="191"/>
              <w:rPr>
                <w:rFonts w:hint="eastAsia" w:ascii="仿宋" w:hAnsi="仿宋" w:eastAsia="仿宋" w:cs="仿宋"/>
                <w:sz w:val="23"/>
                <w:szCs w:val="23"/>
              </w:rPr>
            </w:pPr>
            <w:r>
              <w:rPr>
                <w:rFonts w:ascii="仿宋" w:hAnsi="仿宋" w:eastAsia="仿宋" w:cs="仿宋"/>
                <w:sz w:val="23"/>
                <w:szCs w:val="23"/>
              </w:rPr>
              <w:t>100-1000</w:t>
            </w:r>
          </w:p>
        </w:tc>
        <w:tc>
          <w:tcPr>
            <w:tcW w:w="1004" w:type="dxa"/>
          </w:tcPr>
          <w:p w14:paraId="0471E35C">
            <w:pPr>
              <w:spacing w:before="103"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741A8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511BD185">
            <w:pPr>
              <w:spacing w:before="127" w:line="200" w:lineRule="exact"/>
              <w:ind w:left="124" w:right="110" w:firstLine="120"/>
              <w:rPr>
                <w:rFonts w:hint="eastAsia" w:ascii="仿宋" w:hAnsi="仿宋" w:eastAsia="仿宋" w:cs="仿宋"/>
                <w:sz w:val="23"/>
                <w:szCs w:val="23"/>
              </w:rPr>
            </w:pPr>
            <w:r>
              <w:rPr>
                <w:rFonts w:ascii="仿宋" w:hAnsi="仿宋" w:eastAsia="仿宋" w:cs="仿宋"/>
                <w:sz w:val="23"/>
                <w:szCs w:val="23"/>
              </w:rPr>
              <w:t>软件和 信息技术</w:t>
            </w:r>
          </w:p>
        </w:tc>
        <w:tc>
          <w:tcPr>
            <w:tcW w:w="1187" w:type="dxa"/>
          </w:tcPr>
          <w:p w14:paraId="3341B78E">
            <w:pPr>
              <w:spacing w:before="57"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7B2B8D10">
            <w:pPr>
              <w:spacing w:before="57"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50CF8DC8">
            <w:pPr>
              <w:spacing w:before="57"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457F0BF2">
            <w:pPr>
              <w:spacing w:before="98"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35FA1809">
            <w:pPr>
              <w:spacing w:before="98"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5678D1EE">
            <w:pPr>
              <w:spacing w:before="57"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488E2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39D1D699">
            <w:pPr>
              <w:spacing w:line="200" w:lineRule="exact"/>
              <w:rPr>
                <w:rFonts w:ascii="Arial"/>
              </w:rPr>
            </w:pPr>
          </w:p>
        </w:tc>
        <w:tc>
          <w:tcPr>
            <w:tcW w:w="1187" w:type="dxa"/>
          </w:tcPr>
          <w:p w14:paraId="42226F18">
            <w:pPr>
              <w:spacing w:before="104"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3E0CB872">
            <w:pPr>
              <w:spacing w:before="104"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090CC742">
            <w:pPr>
              <w:spacing w:before="103" w:line="200" w:lineRule="exact"/>
              <w:ind w:left="310"/>
              <w:rPr>
                <w:rFonts w:hint="eastAsia" w:ascii="仿宋" w:hAnsi="仿宋" w:eastAsia="仿宋" w:cs="仿宋"/>
                <w:sz w:val="23"/>
                <w:szCs w:val="23"/>
              </w:rPr>
            </w:pPr>
            <w:r>
              <w:rPr>
                <w:rFonts w:ascii="仿宋" w:hAnsi="仿宋" w:eastAsia="仿宋" w:cs="仿宋"/>
                <w:sz w:val="23"/>
                <w:szCs w:val="23"/>
              </w:rPr>
              <w:t>≥10000</w:t>
            </w:r>
          </w:p>
        </w:tc>
        <w:tc>
          <w:tcPr>
            <w:tcW w:w="1535" w:type="dxa"/>
          </w:tcPr>
          <w:p w14:paraId="4A44DA49">
            <w:pPr>
              <w:spacing w:before="144" w:line="200" w:lineRule="exact"/>
              <w:ind w:left="190"/>
              <w:rPr>
                <w:rFonts w:hint="eastAsia" w:ascii="仿宋" w:hAnsi="仿宋" w:eastAsia="仿宋" w:cs="仿宋"/>
                <w:sz w:val="23"/>
                <w:szCs w:val="23"/>
              </w:rPr>
            </w:pPr>
            <w:r>
              <w:rPr>
                <w:rFonts w:ascii="仿宋" w:hAnsi="仿宋" w:eastAsia="仿宋" w:cs="仿宋"/>
                <w:sz w:val="23"/>
                <w:szCs w:val="23"/>
              </w:rPr>
              <w:t>1000-10000</w:t>
            </w:r>
          </w:p>
        </w:tc>
        <w:tc>
          <w:tcPr>
            <w:tcW w:w="1295" w:type="dxa"/>
          </w:tcPr>
          <w:p w14:paraId="4E76FBE9">
            <w:pPr>
              <w:spacing w:before="144" w:line="200" w:lineRule="exact"/>
              <w:ind w:left="238"/>
              <w:rPr>
                <w:rFonts w:hint="eastAsia" w:ascii="仿宋" w:hAnsi="仿宋" w:eastAsia="仿宋" w:cs="仿宋"/>
                <w:sz w:val="23"/>
                <w:szCs w:val="23"/>
              </w:rPr>
            </w:pPr>
            <w:r>
              <w:rPr>
                <w:rFonts w:ascii="仿宋" w:hAnsi="仿宋" w:eastAsia="仿宋" w:cs="仿宋"/>
                <w:sz w:val="23"/>
                <w:szCs w:val="23"/>
              </w:rPr>
              <w:t>50-1000</w:t>
            </w:r>
          </w:p>
        </w:tc>
        <w:tc>
          <w:tcPr>
            <w:tcW w:w="1004" w:type="dxa"/>
          </w:tcPr>
          <w:p w14:paraId="45AAE7DF">
            <w:pPr>
              <w:spacing w:before="103" w:line="200" w:lineRule="exact"/>
              <w:ind w:left="287"/>
              <w:rPr>
                <w:rFonts w:hint="eastAsia" w:ascii="仿宋" w:hAnsi="仿宋" w:eastAsia="仿宋" w:cs="仿宋"/>
                <w:sz w:val="23"/>
                <w:szCs w:val="23"/>
              </w:rPr>
            </w:pPr>
            <w:r>
              <w:rPr>
                <w:rFonts w:ascii="仿宋" w:hAnsi="仿宋" w:eastAsia="仿宋" w:cs="仿宋"/>
                <w:sz w:val="23"/>
                <w:szCs w:val="23"/>
              </w:rPr>
              <w:t>＜50</w:t>
            </w:r>
          </w:p>
        </w:tc>
      </w:tr>
      <w:tr w14:paraId="2C680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0FB2282F">
            <w:pPr>
              <w:spacing w:before="117" w:line="200" w:lineRule="exact"/>
              <w:ind w:left="133" w:right="110" w:firstLine="112"/>
              <w:rPr>
                <w:rFonts w:hint="eastAsia" w:ascii="仿宋" w:hAnsi="仿宋" w:eastAsia="仿宋" w:cs="仿宋"/>
                <w:sz w:val="23"/>
                <w:szCs w:val="23"/>
              </w:rPr>
            </w:pPr>
            <w:r>
              <w:rPr>
                <w:rFonts w:ascii="仿宋" w:hAnsi="仿宋" w:eastAsia="仿宋" w:cs="仿宋"/>
                <w:sz w:val="23"/>
                <w:szCs w:val="23"/>
              </w:rPr>
              <w:t>租赁和 商务服务</w:t>
            </w:r>
          </w:p>
        </w:tc>
        <w:tc>
          <w:tcPr>
            <w:tcW w:w="1187" w:type="dxa"/>
          </w:tcPr>
          <w:p w14:paraId="40BC4D98">
            <w:pPr>
              <w:spacing w:before="48"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12F994BE">
            <w:pPr>
              <w:spacing w:before="48"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0BCBEC4F">
            <w:pPr>
              <w:spacing w:before="48"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2935376A">
            <w:pPr>
              <w:spacing w:before="89"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799BB77E">
            <w:pPr>
              <w:spacing w:before="89"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65DB62BE">
            <w:pPr>
              <w:spacing w:before="48"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56C9A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2E68F8BF">
            <w:pPr>
              <w:spacing w:line="200" w:lineRule="exact"/>
              <w:rPr>
                <w:rFonts w:ascii="Arial"/>
              </w:rPr>
            </w:pPr>
          </w:p>
        </w:tc>
        <w:tc>
          <w:tcPr>
            <w:tcW w:w="1187" w:type="dxa"/>
          </w:tcPr>
          <w:p w14:paraId="0C1B7C19">
            <w:pPr>
              <w:spacing w:before="102" w:line="200" w:lineRule="exact"/>
              <w:ind w:left="138"/>
              <w:rPr>
                <w:rFonts w:hint="eastAsia" w:ascii="仿宋" w:hAnsi="仿宋" w:eastAsia="仿宋" w:cs="仿宋"/>
                <w:sz w:val="23"/>
                <w:szCs w:val="23"/>
              </w:rPr>
            </w:pPr>
            <w:r>
              <w:rPr>
                <w:rFonts w:ascii="仿宋" w:hAnsi="仿宋" w:eastAsia="仿宋" w:cs="仿宋"/>
                <w:sz w:val="23"/>
                <w:szCs w:val="23"/>
              </w:rPr>
              <w:t>资产总额</w:t>
            </w:r>
          </w:p>
        </w:tc>
        <w:tc>
          <w:tcPr>
            <w:tcW w:w="900" w:type="dxa"/>
          </w:tcPr>
          <w:p w14:paraId="15749437">
            <w:pPr>
              <w:spacing w:before="102"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3466C03F">
            <w:pPr>
              <w:spacing w:before="102" w:line="200" w:lineRule="exact"/>
              <w:ind w:left="250"/>
              <w:rPr>
                <w:rFonts w:hint="eastAsia" w:ascii="仿宋" w:hAnsi="仿宋" w:eastAsia="仿宋" w:cs="仿宋"/>
                <w:sz w:val="23"/>
                <w:szCs w:val="23"/>
              </w:rPr>
            </w:pPr>
            <w:r>
              <w:rPr>
                <w:rFonts w:ascii="仿宋" w:hAnsi="仿宋" w:eastAsia="仿宋" w:cs="仿宋"/>
                <w:sz w:val="23"/>
                <w:szCs w:val="23"/>
              </w:rPr>
              <w:t>≥120000</w:t>
            </w:r>
          </w:p>
        </w:tc>
        <w:tc>
          <w:tcPr>
            <w:tcW w:w="1535" w:type="dxa"/>
          </w:tcPr>
          <w:p w14:paraId="64EA088D">
            <w:pPr>
              <w:spacing w:before="143" w:line="200" w:lineRule="exact"/>
              <w:ind w:left="113"/>
              <w:rPr>
                <w:rFonts w:hint="eastAsia" w:ascii="仿宋" w:hAnsi="仿宋" w:eastAsia="仿宋" w:cs="仿宋"/>
                <w:sz w:val="23"/>
                <w:szCs w:val="23"/>
              </w:rPr>
            </w:pPr>
            <w:r>
              <w:rPr>
                <w:rFonts w:ascii="仿宋" w:hAnsi="仿宋" w:eastAsia="仿宋" w:cs="仿宋"/>
                <w:sz w:val="23"/>
                <w:szCs w:val="23"/>
              </w:rPr>
              <w:t>8000-120000</w:t>
            </w:r>
          </w:p>
        </w:tc>
        <w:tc>
          <w:tcPr>
            <w:tcW w:w="1295" w:type="dxa"/>
          </w:tcPr>
          <w:p w14:paraId="0156F6FF">
            <w:pPr>
              <w:spacing w:before="143" w:line="200" w:lineRule="exact"/>
              <w:ind w:left="191"/>
              <w:rPr>
                <w:rFonts w:hint="eastAsia" w:ascii="仿宋" w:hAnsi="仿宋" w:eastAsia="仿宋" w:cs="仿宋"/>
                <w:sz w:val="23"/>
                <w:szCs w:val="23"/>
              </w:rPr>
            </w:pPr>
            <w:r>
              <w:rPr>
                <w:rFonts w:ascii="仿宋" w:hAnsi="仿宋" w:eastAsia="仿宋" w:cs="仿宋"/>
                <w:sz w:val="23"/>
                <w:szCs w:val="23"/>
              </w:rPr>
              <w:t>100-8000</w:t>
            </w:r>
          </w:p>
        </w:tc>
        <w:tc>
          <w:tcPr>
            <w:tcW w:w="1004" w:type="dxa"/>
          </w:tcPr>
          <w:p w14:paraId="004E4C16">
            <w:pPr>
              <w:spacing w:before="102"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10EC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11BF8C5A">
            <w:pPr>
              <w:spacing w:before="40" w:line="200" w:lineRule="exact"/>
              <w:ind w:left="259" w:right="110" w:hanging="133"/>
              <w:rPr>
                <w:rFonts w:hint="eastAsia" w:ascii="仿宋" w:hAnsi="仿宋" w:eastAsia="仿宋" w:cs="仿宋"/>
                <w:sz w:val="23"/>
                <w:szCs w:val="23"/>
              </w:rPr>
            </w:pPr>
            <w:r>
              <w:rPr>
                <w:rFonts w:ascii="仿宋" w:hAnsi="仿宋" w:eastAsia="仿宋" w:cs="仿宋"/>
                <w:sz w:val="23"/>
                <w:szCs w:val="23"/>
              </w:rPr>
              <w:t>其他未列 明行业</w:t>
            </w:r>
          </w:p>
        </w:tc>
        <w:tc>
          <w:tcPr>
            <w:tcW w:w="1187" w:type="dxa"/>
          </w:tcPr>
          <w:p w14:paraId="7C780EF1">
            <w:pPr>
              <w:spacing w:before="195"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24E220E0">
            <w:pPr>
              <w:spacing w:before="195"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1213E574">
            <w:pPr>
              <w:spacing w:before="195"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20564FD6">
            <w:pPr>
              <w:spacing w:before="236"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2A417D2A">
            <w:pPr>
              <w:spacing w:before="236"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2D6B857B">
            <w:pPr>
              <w:spacing w:before="195" w:line="200" w:lineRule="exact"/>
              <w:ind w:left="287"/>
              <w:rPr>
                <w:rFonts w:hint="eastAsia" w:ascii="仿宋" w:hAnsi="仿宋" w:eastAsia="仿宋" w:cs="仿宋"/>
                <w:sz w:val="23"/>
                <w:szCs w:val="23"/>
              </w:rPr>
            </w:pPr>
            <w:r>
              <w:rPr>
                <w:rFonts w:ascii="仿宋" w:hAnsi="仿宋" w:eastAsia="仿宋" w:cs="仿宋"/>
                <w:sz w:val="23"/>
                <w:szCs w:val="23"/>
              </w:rPr>
              <w:t>＜10</w:t>
            </w:r>
          </w:p>
        </w:tc>
      </w:tr>
    </w:tbl>
    <w:p w14:paraId="5F350213">
      <w:pPr>
        <w:widowControl/>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说明：</w:t>
      </w:r>
    </w:p>
    <w:p w14:paraId="0F9D82C6">
      <w:pPr>
        <w:widowControl/>
        <w:spacing w:line="360" w:lineRule="auto"/>
        <w:jc w:val="left"/>
        <w:rPr>
          <w:rFonts w:hint="eastAsia" w:ascii="宋体" w:hAnsi="宋体" w:cs="宋体"/>
          <w:kern w:val="0"/>
          <w:szCs w:val="21"/>
        </w:rPr>
      </w:pPr>
      <w:r>
        <w:rPr>
          <w:rFonts w:hint="eastAsia" w:ascii="宋体" w:hAnsi="宋体" w:cs="宋体"/>
          <w:kern w:val="0"/>
          <w:szCs w:val="21"/>
        </w:rPr>
        <w:t>1.大型、中型和小型企业须同时满足所列指标的下限，否则下划一档；微型企业只须满足所列指标中的一项即可。</w:t>
      </w:r>
    </w:p>
    <w:p w14:paraId="28AEA0AD">
      <w:pPr>
        <w:widowControl/>
        <w:spacing w:line="360" w:lineRule="auto"/>
        <w:jc w:val="left"/>
        <w:rPr>
          <w:rFonts w:hint="eastAsia" w:ascii="宋体" w:hAnsi="宋体" w:cs="宋体"/>
          <w:kern w:val="0"/>
          <w:szCs w:val="21"/>
        </w:rPr>
      </w:pPr>
      <w:r>
        <w:rPr>
          <w:rFonts w:hint="eastAsia"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E56CFE8">
      <w:pPr>
        <w:pStyle w:val="47"/>
        <w:spacing w:line="360" w:lineRule="auto"/>
        <w:jc w:val="both"/>
        <w:rPr>
          <w:rFonts w:hint="eastAsia" w:ascii="宋体" w:hAnsi="宋体" w:cs="宋体"/>
          <w:color w:val="auto"/>
          <w:szCs w:val="21"/>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72E6EC">
      <w:pPr>
        <w:snapToGrid w:val="0"/>
        <w:spacing w:before="156" w:beforeLines="50" w:after="50" w:line="360" w:lineRule="auto"/>
        <w:ind w:right="480" w:firstLine="321" w:firstLineChars="100"/>
        <w:jc w:val="center"/>
        <w:outlineLvl w:val="2"/>
        <w:rPr>
          <w:rFonts w:hint="eastAsia" w:ascii="宋体" w:hAnsi="宋体" w:cs="宋体"/>
          <w:b/>
          <w:bCs/>
          <w:sz w:val="32"/>
          <w:szCs w:val="32"/>
          <w:lang w:bidi="ar"/>
        </w:rPr>
      </w:pPr>
      <w:r>
        <w:rPr>
          <w:rFonts w:hint="eastAsia" w:ascii="宋体" w:hAnsi="宋体" w:cs="宋体"/>
          <w:b/>
          <w:bCs/>
          <w:sz w:val="32"/>
          <w:szCs w:val="32"/>
          <w:lang w:bidi="ar"/>
        </w:rPr>
        <w:t>其他文书、文件格式</w:t>
      </w:r>
    </w:p>
    <w:p w14:paraId="1A11DE4D">
      <w:pPr>
        <w:spacing w:line="360" w:lineRule="auto"/>
        <w:jc w:val="center"/>
        <w:rPr>
          <w:rFonts w:hint="eastAsia" w:ascii="宋体" w:hAnsi="宋体" w:cs="宋体"/>
          <w:b/>
          <w:bCs/>
          <w:sz w:val="32"/>
          <w:szCs w:val="32"/>
        </w:rPr>
      </w:pPr>
      <w:r>
        <w:rPr>
          <w:rFonts w:hint="eastAsia" w:ascii="宋体" w:hAnsi="宋体" w:cs="宋体"/>
          <w:b/>
          <w:bCs/>
          <w:sz w:val="32"/>
          <w:szCs w:val="32"/>
          <w:lang w:bidi="ar"/>
        </w:rPr>
        <w:t>质疑函（格式）</w:t>
      </w:r>
    </w:p>
    <w:p w14:paraId="3A89FF79">
      <w:pPr>
        <w:pStyle w:val="24"/>
        <w:widowControl w:val="0"/>
        <w:snapToGrid w:val="0"/>
        <w:spacing w:before="0" w:beforeAutospacing="0" w:after="0" w:afterAutospacing="0" w:line="360" w:lineRule="auto"/>
        <w:ind w:firstLine="482" w:firstLineChars="200"/>
        <w:jc w:val="both"/>
        <w:outlineLvl w:val="2"/>
        <w:rPr>
          <w:rFonts w:hint="eastAsia"/>
          <w:b/>
          <w:bCs/>
        </w:rPr>
      </w:pPr>
      <w:r>
        <w:rPr>
          <w:rFonts w:hint="eastAsia"/>
          <w:b/>
          <w:bCs/>
          <w:lang w:bidi="ar"/>
        </w:rPr>
        <w:t>一、质疑供应商基本信息：</w:t>
      </w:r>
    </w:p>
    <w:p w14:paraId="5B1A9414">
      <w:pPr>
        <w:pStyle w:val="24"/>
        <w:widowControl w:val="0"/>
        <w:snapToGrid w:val="0"/>
        <w:spacing w:before="0" w:beforeAutospacing="0" w:after="0" w:afterAutospacing="0" w:line="360" w:lineRule="auto"/>
        <w:ind w:firstLine="480" w:firstLineChars="200"/>
        <w:jc w:val="both"/>
        <w:rPr>
          <w:rFonts w:hint="eastAsia"/>
          <w:bCs/>
          <w:u w:val="single"/>
        </w:rPr>
      </w:pPr>
      <w:r>
        <w:rPr>
          <w:rFonts w:hint="eastAsia"/>
          <w:bCs/>
          <w:lang w:bidi="ar"/>
        </w:rPr>
        <w:t>质疑供应商：</w:t>
      </w:r>
      <w:r>
        <w:rPr>
          <w:rFonts w:hint="eastAsia"/>
          <w:bCs/>
          <w:u w:val="single"/>
          <w:lang w:bidi="ar"/>
        </w:rPr>
        <w:t xml:space="preserve">                                       </w:t>
      </w:r>
      <w:r>
        <w:rPr>
          <w:rFonts w:hint="eastAsia"/>
          <w:bCs/>
          <w:lang w:bidi="ar"/>
        </w:rPr>
        <w:t xml:space="preserve">                 </w:t>
      </w:r>
    </w:p>
    <w:p w14:paraId="25AFBC47">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地址：</w:t>
      </w:r>
      <w:r>
        <w:rPr>
          <w:rFonts w:hint="eastAsia"/>
          <w:bCs/>
          <w:u w:val="single"/>
          <w:lang w:bidi="ar"/>
        </w:rPr>
        <w:t xml:space="preserve">                                          </w:t>
      </w:r>
      <w:r>
        <w:rPr>
          <w:rFonts w:hint="eastAsia"/>
          <w:bCs/>
          <w:lang w:bidi="ar"/>
        </w:rPr>
        <w:t>邮编：</w:t>
      </w:r>
      <w:r>
        <w:rPr>
          <w:rFonts w:hint="eastAsia"/>
          <w:bCs/>
          <w:u w:val="single"/>
          <w:lang w:bidi="ar"/>
        </w:rPr>
        <w:t xml:space="preserve">                  </w:t>
      </w:r>
      <w:r>
        <w:rPr>
          <w:rFonts w:hint="eastAsia"/>
          <w:bCs/>
          <w:lang w:bidi="ar"/>
        </w:rPr>
        <w:t xml:space="preserve">                 </w:t>
      </w:r>
    </w:p>
    <w:p w14:paraId="61D6B0AE">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联系人：</w:t>
      </w:r>
      <w:r>
        <w:rPr>
          <w:rFonts w:hint="eastAsia"/>
          <w:bCs/>
          <w:u w:val="single"/>
          <w:lang w:bidi="ar"/>
        </w:rPr>
        <w:t xml:space="preserve">                     </w:t>
      </w:r>
      <w:r>
        <w:rPr>
          <w:rFonts w:hint="eastAsia"/>
          <w:bCs/>
          <w:lang w:bidi="ar"/>
        </w:rPr>
        <w:t>联系电话：</w:t>
      </w:r>
      <w:r>
        <w:rPr>
          <w:rFonts w:hint="eastAsia"/>
          <w:bCs/>
          <w:u w:val="single"/>
          <w:lang w:bidi="ar"/>
        </w:rPr>
        <w:t xml:space="preserve">                 </w:t>
      </w:r>
    </w:p>
    <w:p w14:paraId="0444E898">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授权代表：</w:t>
      </w:r>
      <w:r>
        <w:rPr>
          <w:rFonts w:hint="eastAsia"/>
          <w:bCs/>
          <w:u w:val="single"/>
          <w:lang w:bidi="ar"/>
        </w:rPr>
        <w:t xml:space="preserve">                      </w:t>
      </w:r>
    </w:p>
    <w:p w14:paraId="629BB97A">
      <w:pPr>
        <w:pStyle w:val="24"/>
        <w:widowControl w:val="0"/>
        <w:snapToGrid w:val="0"/>
        <w:spacing w:before="0" w:beforeAutospacing="0" w:after="0" w:afterAutospacing="0" w:line="360" w:lineRule="auto"/>
        <w:ind w:firstLine="480" w:firstLineChars="200"/>
        <w:jc w:val="both"/>
        <w:rPr>
          <w:rFonts w:hint="eastAsia"/>
          <w:bCs/>
          <w:u w:val="single"/>
        </w:rPr>
      </w:pPr>
      <w:r>
        <w:rPr>
          <w:rFonts w:hint="eastAsia"/>
          <w:bCs/>
          <w:lang w:bidi="ar"/>
        </w:rPr>
        <w:t>联系电话：</w:t>
      </w:r>
      <w:r>
        <w:rPr>
          <w:rFonts w:hint="eastAsia"/>
          <w:bCs/>
          <w:u w:val="single"/>
          <w:lang w:bidi="ar"/>
        </w:rPr>
        <w:t xml:space="preserve">                      </w:t>
      </w:r>
    </w:p>
    <w:p w14:paraId="0B27683F">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地址：</w:t>
      </w:r>
      <w:r>
        <w:rPr>
          <w:rFonts w:hint="eastAsia"/>
          <w:bCs/>
          <w:u w:val="single"/>
          <w:lang w:bidi="ar"/>
        </w:rPr>
        <w:t xml:space="preserve">                 </w:t>
      </w:r>
      <w:r>
        <w:rPr>
          <w:rFonts w:hint="eastAsia"/>
          <w:bCs/>
          <w:lang w:bidi="ar"/>
        </w:rPr>
        <w:t>邮编：</w:t>
      </w:r>
      <w:r>
        <w:rPr>
          <w:rFonts w:hint="eastAsia"/>
          <w:bCs/>
          <w:u w:val="single"/>
          <w:lang w:bidi="ar"/>
        </w:rPr>
        <w:t xml:space="preserve">                  </w:t>
      </w:r>
      <w:r>
        <w:rPr>
          <w:rFonts w:hint="eastAsia"/>
          <w:bCs/>
          <w:lang w:bidi="ar"/>
        </w:rPr>
        <w:t xml:space="preserve">     </w:t>
      </w:r>
    </w:p>
    <w:p w14:paraId="01D6F416">
      <w:pPr>
        <w:pStyle w:val="24"/>
        <w:widowControl w:val="0"/>
        <w:snapToGrid w:val="0"/>
        <w:spacing w:before="0" w:beforeAutospacing="0" w:after="0" w:afterAutospacing="0" w:line="360" w:lineRule="auto"/>
        <w:ind w:firstLine="482" w:firstLineChars="200"/>
        <w:jc w:val="both"/>
        <w:outlineLvl w:val="2"/>
        <w:rPr>
          <w:rFonts w:hint="eastAsia"/>
          <w:b/>
          <w:bCs/>
        </w:rPr>
      </w:pPr>
      <w:r>
        <w:rPr>
          <w:rFonts w:hint="eastAsia"/>
          <w:b/>
          <w:bCs/>
          <w:lang w:bidi="ar"/>
        </w:rPr>
        <w:t>二、质疑项目基本情况：</w:t>
      </w:r>
    </w:p>
    <w:p w14:paraId="2E5E9023">
      <w:pPr>
        <w:pStyle w:val="24"/>
        <w:widowControl w:val="0"/>
        <w:spacing w:before="0" w:beforeAutospacing="0" w:after="0" w:afterAutospacing="0" w:line="360" w:lineRule="auto"/>
        <w:ind w:left="25" w:leftChars="12" w:firstLine="472" w:firstLineChars="197"/>
        <w:jc w:val="both"/>
        <w:rPr>
          <w:rFonts w:hint="eastAsia"/>
        </w:rPr>
      </w:pPr>
      <w:r>
        <w:rPr>
          <w:rFonts w:hint="eastAsia"/>
          <w:bCs/>
          <w:lang w:bidi="ar"/>
        </w:rPr>
        <w:t>质疑</w:t>
      </w:r>
      <w:r>
        <w:rPr>
          <w:rFonts w:hint="eastAsia"/>
          <w:lang w:bidi="ar"/>
        </w:rPr>
        <w:t>项目的名称：</w:t>
      </w:r>
      <w:r>
        <w:rPr>
          <w:rFonts w:hint="eastAsia"/>
          <w:bCs/>
          <w:u w:val="single"/>
          <w:lang w:bidi="ar"/>
        </w:rPr>
        <w:t xml:space="preserve">                                     </w:t>
      </w:r>
    </w:p>
    <w:p w14:paraId="7CCC65A1">
      <w:pPr>
        <w:pStyle w:val="24"/>
        <w:widowControl w:val="0"/>
        <w:spacing w:before="0" w:beforeAutospacing="0" w:after="0" w:afterAutospacing="0" w:line="360" w:lineRule="auto"/>
        <w:ind w:left="25" w:leftChars="12" w:firstLine="472" w:firstLineChars="197"/>
        <w:jc w:val="both"/>
        <w:rPr>
          <w:rFonts w:hint="eastAsia"/>
        </w:rPr>
      </w:pPr>
      <w:r>
        <w:rPr>
          <w:rFonts w:hint="eastAsia"/>
          <w:bCs/>
          <w:lang w:bidi="ar"/>
        </w:rPr>
        <w:t>质疑</w:t>
      </w:r>
      <w:r>
        <w:rPr>
          <w:rFonts w:hint="eastAsia"/>
          <w:lang w:bidi="ar"/>
        </w:rPr>
        <w:t>项目的编号：</w:t>
      </w:r>
      <w:r>
        <w:rPr>
          <w:rFonts w:hint="eastAsia"/>
          <w:bCs/>
          <w:u w:val="single"/>
          <w:lang w:bidi="ar"/>
        </w:rPr>
        <w:t xml:space="preserve">                                     </w:t>
      </w:r>
    </w:p>
    <w:p w14:paraId="4863DD4E">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采购人名称：</w:t>
      </w:r>
      <w:r>
        <w:rPr>
          <w:rFonts w:hint="eastAsia"/>
          <w:bCs/>
          <w:u w:val="single"/>
          <w:lang w:bidi="ar"/>
        </w:rPr>
        <w:t xml:space="preserve">                                         </w:t>
      </w:r>
    </w:p>
    <w:p w14:paraId="3A2DD114">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质疑事项：</w:t>
      </w:r>
    </w:p>
    <w:p w14:paraId="0ABABAA5">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□采购文件   采购文件获取日期：</w:t>
      </w:r>
      <w:r>
        <w:rPr>
          <w:rFonts w:hint="eastAsia"/>
          <w:bCs/>
          <w:u w:val="single"/>
          <w:lang w:bidi="ar"/>
        </w:rPr>
        <w:t xml:space="preserve">                                   </w:t>
      </w:r>
    </w:p>
    <w:p w14:paraId="3896FF45">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 xml:space="preserve">□采购过程   </w:t>
      </w:r>
    </w:p>
    <w:p w14:paraId="13CBBDCE">
      <w:pPr>
        <w:pStyle w:val="24"/>
        <w:widowControl w:val="0"/>
        <w:spacing w:before="0" w:beforeAutospacing="0" w:after="0" w:afterAutospacing="0" w:line="360" w:lineRule="auto"/>
        <w:ind w:left="25" w:leftChars="12" w:firstLine="352" w:firstLineChars="147"/>
        <w:jc w:val="both"/>
        <w:rPr>
          <w:rFonts w:hint="eastAsia"/>
          <w:bCs/>
          <w:u w:val="single"/>
        </w:rPr>
      </w:pPr>
      <w:r>
        <w:rPr>
          <w:rFonts w:hint="eastAsia"/>
          <w:lang w:bidi="ar"/>
        </w:rPr>
        <w:t xml:space="preserve">□成交结果   </w:t>
      </w:r>
    </w:p>
    <w:p w14:paraId="0A3D431C">
      <w:pPr>
        <w:pStyle w:val="24"/>
        <w:widowControl w:val="0"/>
        <w:spacing w:before="0" w:beforeAutospacing="0" w:after="0" w:afterAutospacing="0" w:line="360" w:lineRule="auto"/>
        <w:ind w:left="25" w:leftChars="12" w:firstLine="472" w:firstLineChars="196"/>
        <w:jc w:val="both"/>
        <w:outlineLvl w:val="2"/>
        <w:rPr>
          <w:rFonts w:hint="eastAsia"/>
          <w:b/>
        </w:rPr>
      </w:pPr>
      <w:r>
        <w:rPr>
          <w:rFonts w:hint="eastAsia"/>
          <w:b/>
          <w:lang w:bidi="ar"/>
        </w:rPr>
        <w:t>三、质疑事项具体内容</w:t>
      </w:r>
    </w:p>
    <w:p w14:paraId="6B443048">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质疑事项1：</w:t>
      </w:r>
      <w:r>
        <w:rPr>
          <w:rFonts w:hint="eastAsia"/>
          <w:bCs/>
          <w:u w:val="single"/>
          <w:lang w:bidi="ar"/>
        </w:rPr>
        <w:t xml:space="preserve">                                                                    </w:t>
      </w:r>
    </w:p>
    <w:p w14:paraId="31FD3351">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事实依据：</w:t>
      </w:r>
      <w:r>
        <w:rPr>
          <w:rFonts w:hint="eastAsia"/>
          <w:bCs/>
          <w:u w:val="single"/>
          <w:lang w:bidi="ar"/>
        </w:rPr>
        <w:t xml:space="preserve">                                                                      </w:t>
      </w:r>
    </w:p>
    <w:p w14:paraId="59A67953">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法律依据：</w:t>
      </w:r>
      <w:r>
        <w:rPr>
          <w:rFonts w:hint="eastAsia"/>
          <w:u w:val="single"/>
          <w:lang w:bidi="ar"/>
        </w:rPr>
        <w:t xml:space="preserve">                                                        </w:t>
      </w:r>
      <w:r>
        <w:rPr>
          <w:rFonts w:hint="eastAsia"/>
          <w:bCs/>
          <w:u w:val="single"/>
          <w:lang w:bidi="ar"/>
        </w:rPr>
        <w:t xml:space="preserve">               </w:t>
      </w:r>
    </w:p>
    <w:p w14:paraId="62894941">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质疑事项2</w:t>
      </w:r>
    </w:p>
    <w:p w14:paraId="47CC363A">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w:t>
      </w:r>
    </w:p>
    <w:p w14:paraId="00493354">
      <w:pPr>
        <w:pStyle w:val="24"/>
        <w:widowControl w:val="0"/>
        <w:spacing w:before="0" w:beforeAutospacing="0" w:after="0" w:afterAutospacing="0" w:line="360" w:lineRule="auto"/>
        <w:ind w:left="25" w:leftChars="12" w:firstLine="472" w:firstLineChars="196"/>
        <w:jc w:val="both"/>
        <w:outlineLvl w:val="2"/>
        <w:rPr>
          <w:rFonts w:hint="eastAsia"/>
          <w:b/>
          <w:lang w:bidi="ar"/>
        </w:rPr>
      </w:pPr>
      <w:r>
        <w:rPr>
          <w:rFonts w:hint="eastAsia"/>
          <w:b/>
          <w:lang w:bidi="ar"/>
        </w:rPr>
        <w:t>四、与质疑事项相关的质疑请求：</w:t>
      </w:r>
    </w:p>
    <w:p w14:paraId="1342D258">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请求：</w:t>
      </w:r>
      <w:r>
        <w:rPr>
          <w:rFonts w:hint="eastAsia"/>
          <w:bCs/>
          <w:u w:val="single"/>
          <w:lang w:bidi="ar"/>
        </w:rPr>
        <w:t xml:space="preserve">                                                                </w:t>
      </w:r>
    </w:p>
    <w:p w14:paraId="058C2F9F">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 xml:space="preserve"> </w:t>
      </w:r>
    </w:p>
    <w:p w14:paraId="6E0BAAB3">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签字（签章）：                                       公章：</w:t>
      </w:r>
    </w:p>
    <w:p w14:paraId="50A09369">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 xml:space="preserve"> </w:t>
      </w:r>
    </w:p>
    <w:p w14:paraId="3B441543">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日期：</w:t>
      </w:r>
    </w:p>
    <w:p w14:paraId="3DF07751">
      <w:pPr>
        <w:pStyle w:val="24"/>
        <w:widowControl w:val="0"/>
        <w:snapToGrid w:val="0"/>
        <w:spacing w:before="0" w:beforeAutospacing="0" w:after="0" w:afterAutospacing="0" w:line="360" w:lineRule="auto"/>
        <w:jc w:val="both"/>
        <w:rPr>
          <w:rFonts w:hint="eastAsia"/>
          <w:b/>
        </w:rPr>
      </w:pPr>
      <w:r>
        <w:rPr>
          <w:rFonts w:hint="eastAsia"/>
          <w:b/>
          <w:lang w:bidi="ar"/>
        </w:rPr>
        <w:t xml:space="preserve"> </w:t>
      </w:r>
    </w:p>
    <w:p w14:paraId="4D1E3F4F">
      <w:pPr>
        <w:pStyle w:val="24"/>
        <w:widowControl w:val="0"/>
        <w:snapToGrid w:val="0"/>
        <w:spacing w:before="0" w:beforeAutospacing="0" w:after="0" w:afterAutospacing="0" w:line="360" w:lineRule="auto"/>
        <w:jc w:val="both"/>
        <w:rPr>
          <w:rFonts w:hint="eastAsia"/>
          <w:b/>
          <w:lang w:bidi="ar"/>
        </w:rPr>
      </w:pPr>
    </w:p>
    <w:p w14:paraId="1C6F8E39">
      <w:pPr>
        <w:pStyle w:val="24"/>
        <w:widowControl w:val="0"/>
        <w:snapToGrid w:val="0"/>
        <w:spacing w:before="0" w:beforeAutospacing="0" w:after="0" w:afterAutospacing="0" w:line="360" w:lineRule="auto"/>
        <w:jc w:val="both"/>
        <w:rPr>
          <w:rFonts w:hint="eastAsia"/>
          <w:b/>
        </w:rPr>
      </w:pPr>
      <w:r>
        <w:rPr>
          <w:rFonts w:hint="eastAsia"/>
          <w:b/>
          <w:lang w:bidi="ar"/>
        </w:rPr>
        <w:t>说明：</w:t>
      </w:r>
    </w:p>
    <w:p w14:paraId="7EAFCFFC">
      <w:pPr>
        <w:pStyle w:val="24"/>
        <w:widowControl w:val="0"/>
        <w:spacing w:before="0" w:beforeAutospacing="0" w:after="0" w:afterAutospacing="0" w:line="360" w:lineRule="auto"/>
        <w:ind w:left="25" w:leftChars="12" w:firstLine="354" w:firstLineChars="147"/>
        <w:jc w:val="both"/>
        <w:rPr>
          <w:rFonts w:hint="eastAsia"/>
          <w:b/>
          <w:bCs/>
        </w:rPr>
      </w:pPr>
      <w:r>
        <w:rPr>
          <w:rFonts w:hint="eastAsia"/>
          <w:b/>
          <w:lang w:bidi="ar"/>
        </w:rPr>
        <w:t>1.供应商提出质疑时，应提交质疑函和必要的证明材料</w:t>
      </w:r>
      <w:r>
        <w:rPr>
          <w:rFonts w:hint="eastAsia"/>
          <w:b/>
          <w:bCs/>
          <w:lang w:bidi="ar"/>
        </w:rPr>
        <w:t>。</w:t>
      </w:r>
    </w:p>
    <w:p w14:paraId="39CAE7FD">
      <w:pPr>
        <w:pStyle w:val="24"/>
        <w:widowControl w:val="0"/>
        <w:spacing w:before="0" w:beforeAutospacing="0" w:after="0" w:afterAutospacing="0" w:line="360" w:lineRule="auto"/>
        <w:ind w:left="25" w:leftChars="12" w:firstLine="354" w:firstLineChars="147"/>
        <w:jc w:val="both"/>
        <w:rPr>
          <w:rFonts w:hint="eastAsia"/>
          <w:b/>
        </w:rPr>
      </w:pPr>
      <w:r>
        <w:rPr>
          <w:rFonts w:hint="eastAsia"/>
          <w:b/>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832AF0D">
      <w:pPr>
        <w:pStyle w:val="24"/>
        <w:widowControl w:val="0"/>
        <w:spacing w:before="0" w:beforeAutospacing="0" w:after="0" w:afterAutospacing="0" w:line="360" w:lineRule="auto"/>
        <w:ind w:left="25" w:leftChars="12" w:firstLine="354" w:firstLineChars="147"/>
        <w:jc w:val="both"/>
        <w:rPr>
          <w:rFonts w:hint="eastAsia"/>
          <w:b/>
        </w:rPr>
      </w:pPr>
      <w:r>
        <w:rPr>
          <w:rFonts w:hint="eastAsia"/>
          <w:b/>
          <w:lang w:bidi="ar"/>
        </w:rPr>
        <w:t>3.质疑函的质疑事项应具体、明确，并有必要的事实依据和法律依据。</w:t>
      </w:r>
    </w:p>
    <w:p w14:paraId="0B724CE8">
      <w:pPr>
        <w:pStyle w:val="24"/>
        <w:widowControl w:val="0"/>
        <w:spacing w:before="0" w:beforeAutospacing="0" w:after="0" w:afterAutospacing="0" w:line="360" w:lineRule="auto"/>
        <w:ind w:left="25" w:leftChars="12" w:firstLine="354" w:firstLineChars="147"/>
        <w:jc w:val="both"/>
        <w:rPr>
          <w:rFonts w:hint="eastAsia"/>
          <w:b/>
        </w:rPr>
      </w:pPr>
      <w:r>
        <w:rPr>
          <w:rFonts w:hint="eastAsia"/>
          <w:b/>
          <w:lang w:bidi="ar"/>
        </w:rPr>
        <w:t>4.质疑函的质疑请求应与质疑事项相关。</w:t>
      </w:r>
    </w:p>
    <w:p w14:paraId="3AFD2930">
      <w:pPr>
        <w:pStyle w:val="24"/>
        <w:widowControl w:val="0"/>
        <w:spacing w:before="0" w:beforeAutospacing="0" w:after="0" w:afterAutospacing="0" w:line="360" w:lineRule="auto"/>
        <w:ind w:left="25" w:leftChars="12" w:firstLine="354" w:firstLineChars="147"/>
        <w:jc w:val="both"/>
        <w:rPr>
          <w:rFonts w:hint="eastAsia"/>
          <w:b/>
          <w:sz w:val="20"/>
          <w:szCs w:val="20"/>
        </w:rPr>
      </w:pPr>
      <w:r>
        <w:rPr>
          <w:rFonts w:hint="eastAsia"/>
          <w:b/>
          <w:lang w:bidi="ar"/>
        </w:rPr>
        <w:t>5.质疑供应商为法人或者其他组织的，质疑函应由法定代表人、主要负责人，或者其授权代表签字或者盖章，并加盖公章。</w:t>
      </w:r>
    </w:p>
    <w:p w14:paraId="1D21E62A">
      <w:pPr>
        <w:pStyle w:val="3"/>
        <w:spacing w:line="600" w:lineRule="auto"/>
        <w:ind w:firstLine="843" w:firstLineChars="300"/>
        <w:rPr>
          <w:rFonts w:hint="eastAsia" w:ascii="宋体" w:hAnsi="宋体" w:cs="宋体"/>
        </w:rPr>
      </w:pPr>
    </w:p>
    <w:p w14:paraId="388796ED">
      <w:pPr>
        <w:rPr>
          <w:rFonts w:hint="eastAsia" w:ascii="宋体" w:hAnsi="宋体" w:cs="宋体"/>
        </w:rPr>
      </w:pPr>
    </w:p>
    <w:p w14:paraId="44B5C861">
      <w:pPr>
        <w:pStyle w:val="10"/>
        <w:rPr>
          <w:rFonts w:hint="eastAsia" w:hAnsi="宋体" w:cs="宋体"/>
        </w:rPr>
      </w:pPr>
    </w:p>
    <w:p w14:paraId="0CD5199E">
      <w:pPr>
        <w:pStyle w:val="10"/>
        <w:rPr>
          <w:rFonts w:hint="eastAsia" w:hAnsi="宋体" w:cs="宋体"/>
        </w:rPr>
      </w:pPr>
    </w:p>
    <w:p w14:paraId="664476D9">
      <w:pPr>
        <w:pStyle w:val="10"/>
        <w:rPr>
          <w:rFonts w:hint="eastAsia" w:hAnsi="宋体" w:cs="宋体"/>
        </w:rPr>
      </w:pPr>
    </w:p>
    <w:p w14:paraId="6B90425D">
      <w:pPr>
        <w:pStyle w:val="10"/>
        <w:rPr>
          <w:rFonts w:hint="eastAsia" w:hAnsi="宋体" w:cs="宋体"/>
        </w:rPr>
      </w:pPr>
    </w:p>
    <w:p w14:paraId="184EDA55">
      <w:pPr>
        <w:pStyle w:val="10"/>
        <w:rPr>
          <w:rFonts w:hint="eastAsia" w:hAnsi="宋体" w:cs="宋体"/>
        </w:rPr>
      </w:pPr>
    </w:p>
    <w:p w14:paraId="241A9BC3">
      <w:pPr>
        <w:pStyle w:val="10"/>
        <w:rPr>
          <w:rFonts w:hint="eastAsia" w:hAnsi="宋体" w:cs="宋体"/>
        </w:rPr>
      </w:pPr>
    </w:p>
    <w:p w14:paraId="2BD65A1D">
      <w:pPr>
        <w:pStyle w:val="10"/>
        <w:rPr>
          <w:rFonts w:hint="eastAsia" w:hAnsi="宋体" w:cs="宋体"/>
        </w:rPr>
      </w:pPr>
    </w:p>
    <w:p w14:paraId="594BCEF2">
      <w:pPr>
        <w:pStyle w:val="10"/>
        <w:rPr>
          <w:rFonts w:hint="eastAsia" w:hAnsi="宋体" w:cs="宋体"/>
        </w:rPr>
      </w:pPr>
    </w:p>
    <w:p w14:paraId="4C4EED89">
      <w:pPr>
        <w:pStyle w:val="10"/>
        <w:rPr>
          <w:rFonts w:hint="eastAsia" w:hAnsi="宋体" w:cs="宋体"/>
        </w:rPr>
      </w:pPr>
    </w:p>
    <w:p w14:paraId="0AFB6F86">
      <w:pPr>
        <w:pStyle w:val="10"/>
        <w:rPr>
          <w:rFonts w:hint="eastAsia" w:hAnsi="宋体" w:cs="宋体"/>
        </w:rPr>
      </w:pPr>
    </w:p>
    <w:p w14:paraId="6AF2177B">
      <w:pPr>
        <w:spacing w:line="360" w:lineRule="auto"/>
        <w:jc w:val="center"/>
        <w:rPr>
          <w:rFonts w:hint="eastAsia" w:ascii="宋体" w:hAnsi="宋体" w:cs="宋体"/>
          <w:b/>
          <w:sz w:val="32"/>
        </w:rPr>
      </w:pPr>
      <w:r>
        <w:rPr>
          <w:rFonts w:hint="eastAsia" w:ascii="宋体" w:hAnsi="宋体" w:cs="宋体"/>
          <w:b/>
          <w:sz w:val="32"/>
        </w:rPr>
        <w:br w:type="page"/>
      </w:r>
      <w:r>
        <w:rPr>
          <w:rFonts w:hint="eastAsia" w:ascii="宋体" w:hAnsi="宋体" w:cs="宋体"/>
          <w:b/>
          <w:sz w:val="32"/>
        </w:rPr>
        <w:t>投诉书（格式）</w:t>
      </w:r>
    </w:p>
    <w:p w14:paraId="647BC58A">
      <w:pPr>
        <w:snapToGrid w:val="0"/>
        <w:spacing w:line="360" w:lineRule="auto"/>
        <w:ind w:firstLine="482" w:firstLineChars="200"/>
        <w:outlineLvl w:val="2"/>
        <w:rPr>
          <w:rFonts w:hint="eastAsia" w:ascii="宋体" w:hAnsi="宋体" w:cs="宋体"/>
          <w:b/>
          <w:kern w:val="0"/>
          <w:sz w:val="24"/>
        </w:rPr>
      </w:pPr>
      <w:r>
        <w:rPr>
          <w:rFonts w:hint="eastAsia" w:ascii="宋体" w:hAnsi="宋体" w:cs="宋体"/>
          <w:b/>
          <w:kern w:val="0"/>
          <w:sz w:val="24"/>
        </w:rPr>
        <w:t>一、投诉相关主体基本情况：</w:t>
      </w:r>
    </w:p>
    <w:p w14:paraId="7B5622B6">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 xml:space="preserve">                 </w:t>
      </w:r>
    </w:p>
    <w:p w14:paraId="327E895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 xml:space="preserve">                 </w:t>
      </w:r>
    </w:p>
    <w:p w14:paraId="3B66C32A">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法定代表人/主要负责人：</w:t>
      </w:r>
      <w:r>
        <w:rPr>
          <w:rFonts w:hint="eastAsia" w:ascii="宋体" w:hAnsi="宋体" w:cs="宋体"/>
          <w:kern w:val="0"/>
          <w:sz w:val="24"/>
          <w:u w:val="single"/>
        </w:rPr>
        <w:t xml:space="preserve">                                                         </w:t>
      </w:r>
    </w:p>
    <w:p w14:paraId="7059FAD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p>
    <w:p w14:paraId="46F83EF4">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授权代表：</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14:paraId="3C93E970">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p>
    <w:p w14:paraId="116F3C8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 xml:space="preserve">   </w:t>
      </w:r>
    </w:p>
    <w:p w14:paraId="73714AB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被投诉人1：</w:t>
      </w:r>
    </w:p>
    <w:p w14:paraId="5C4C92F1">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p>
    <w:p w14:paraId="00AE0B96">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 xml:space="preserve">  </w:t>
      </w:r>
    </w:p>
    <w:p w14:paraId="2FFF196A">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联系人：</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14:paraId="687EB985">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被投诉人2：</w:t>
      </w:r>
    </w:p>
    <w:p w14:paraId="60A009A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w:t>
      </w:r>
    </w:p>
    <w:p w14:paraId="769E53A1">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相关供应商：</w:t>
      </w:r>
      <w:r>
        <w:rPr>
          <w:rFonts w:hint="eastAsia" w:ascii="宋体" w:hAnsi="宋体" w:cs="宋体"/>
          <w:kern w:val="0"/>
          <w:sz w:val="24"/>
          <w:u w:val="single"/>
        </w:rPr>
        <w:t xml:space="preserve">                                                                       </w:t>
      </w:r>
    </w:p>
    <w:p w14:paraId="32FB4824">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6D0B6245">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rPr>
        <w:t xml:space="preserve">                </w:t>
      </w:r>
    </w:p>
    <w:p w14:paraId="68C5DF0F">
      <w:pPr>
        <w:snapToGrid w:val="0"/>
        <w:spacing w:line="360" w:lineRule="auto"/>
        <w:ind w:firstLine="482" w:firstLineChars="200"/>
        <w:outlineLvl w:val="2"/>
        <w:rPr>
          <w:rFonts w:hint="eastAsia" w:ascii="宋体" w:hAnsi="宋体" w:cs="宋体"/>
          <w:b/>
          <w:kern w:val="0"/>
          <w:sz w:val="24"/>
        </w:rPr>
      </w:pPr>
      <w:r>
        <w:rPr>
          <w:rFonts w:hint="eastAsia" w:ascii="宋体" w:hAnsi="宋体" w:cs="宋体"/>
          <w:b/>
          <w:kern w:val="0"/>
          <w:sz w:val="24"/>
        </w:rPr>
        <w:t>二、投诉项目基本情况：</w:t>
      </w:r>
    </w:p>
    <w:p w14:paraId="0A0B352B">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采购项目的名称：</w:t>
      </w:r>
      <w:r>
        <w:rPr>
          <w:rFonts w:hint="eastAsia" w:ascii="宋体" w:hAnsi="宋体" w:cs="宋体"/>
          <w:kern w:val="0"/>
          <w:sz w:val="24"/>
          <w:u w:val="single"/>
        </w:rPr>
        <w:t xml:space="preserve">                                                                   </w:t>
      </w:r>
    </w:p>
    <w:p w14:paraId="6B03699E">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采购项目的编号：</w:t>
      </w:r>
      <w:r>
        <w:rPr>
          <w:rFonts w:hint="eastAsia" w:ascii="宋体" w:hAnsi="宋体" w:cs="宋体"/>
          <w:kern w:val="0"/>
          <w:sz w:val="24"/>
          <w:u w:val="single"/>
        </w:rPr>
        <w:t xml:space="preserve">                                          </w:t>
      </w:r>
    </w:p>
    <w:p w14:paraId="7CF7B8AC">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采购人名称：</w:t>
      </w:r>
      <w:r>
        <w:rPr>
          <w:rFonts w:hint="eastAsia" w:ascii="宋体" w:hAnsi="宋体" w:cs="宋体"/>
          <w:kern w:val="0"/>
          <w:sz w:val="24"/>
          <w:u w:val="single"/>
        </w:rPr>
        <w:t xml:space="preserve">                                                                        </w:t>
      </w:r>
    </w:p>
    <w:p w14:paraId="46749C70">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代理机构名称：</w:t>
      </w:r>
      <w:r>
        <w:rPr>
          <w:rFonts w:hint="eastAsia" w:ascii="宋体" w:hAnsi="宋体" w:cs="宋体"/>
          <w:kern w:val="0"/>
          <w:sz w:val="24"/>
          <w:u w:val="single"/>
        </w:rPr>
        <w:t xml:space="preserve">                                                                      </w:t>
      </w:r>
    </w:p>
    <w:p w14:paraId="02A25B91">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招标文件公告：</w:t>
      </w:r>
      <w:r>
        <w:rPr>
          <w:rFonts w:hint="eastAsia" w:ascii="宋体" w:hAnsi="宋体" w:cs="宋体"/>
          <w:kern w:val="0"/>
          <w:sz w:val="24"/>
          <w:u w:val="single"/>
        </w:rPr>
        <w:t>是/否</w:t>
      </w:r>
      <w:r>
        <w:rPr>
          <w:rFonts w:hint="eastAsia" w:ascii="宋体" w:hAnsi="宋体" w:cs="宋体"/>
          <w:kern w:val="0"/>
          <w:sz w:val="24"/>
        </w:rPr>
        <w:t>公告期限：</w:t>
      </w:r>
      <w:r>
        <w:rPr>
          <w:rFonts w:hint="eastAsia" w:ascii="宋体" w:hAnsi="宋体" w:cs="宋体"/>
          <w:kern w:val="0"/>
          <w:sz w:val="24"/>
          <w:u w:val="single"/>
        </w:rPr>
        <w:t xml:space="preserve">                                                       </w:t>
      </w:r>
    </w:p>
    <w:p w14:paraId="299F8C37">
      <w:pPr>
        <w:spacing w:line="360" w:lineRule="auto"/>
        <w:ind w:left="25" w:leftChars="12" w:firstLine="472" w:firstLineChars="197"/>
        <w:rPr>
          <w:rFonts w:hint="eastAsia" w:ascii="宋体" w:hAnsi="宋体" w:cs="宋体"/>
          <w:b/>
          <w:kern w:val="0"/>
          <w:sz w:val="24"/>
        </w:rPr>
      </w:pPr>
      <w:r>
        <w:rPr>
          <w:rFonts w:hint="eastAsia" w:ascii="宋体" w:hAnsi="宋体" w:cs="宋体"/>
          <w:kern w:val="0"/>
          <w:sz w:val="24"/>
        </w:rPr>
        <w:t>采购结果公告：</w:t>
      </w:r>
      <w:r>
        <w:rPr>
          <w:rFonts w:hint="eastAsia" w:ascii="宋体" w:hAnsi="宋体" w:cs="宋体"/>
          <w:kern w:val="0"/>
          <w:sz w:val="24"/>
          <w:u w:val="single"/>
        </w:rPr>
        <w:t>是/否</w:t>
      </w:r>
      <w:r>
        <w:rPr>
          <w:rFonts w:hint="eastAsia" w:ascii="宋体" w:hAnsi="宋体" w:cs="宋体"/>
          <w:kern w:val="0"/>
          <w:sz w:val="24"/>
        </w:rPr>
        <w:t>公告期限：</w:t>
      </w:r>
      <w:r>
        <w:rPr>
          <w:rFonts w:hint="eastAsia" w:ascii="宋体" w:hAnsi="宋体" w:cs="宋体"/>
          <w:kern w:val="0"/>
          <w:sz w:val="24"/>
          <w:u w:val="single"/>
        </w:rPr>
        <w:t xml:space="preserve">                                                       </w:t>
      </w:r>
    </w:p>
    <w:p w14:paraId="68D2D8D8">
      <w:pPr>
        <w:spacing w:line="360" w:lineRule="auto"/>
        <w:ind w:left="25" w:leftChars="12" w:firstLine="472" w:firstLineChars="196"/>
        <w:outlineLvl w:val="2"/>
        <w:rPr>
          <w:rFonts w:hint="eastAsia" w:ascii="宋体" w:hAnsi="宋体" w:cs="宋体"/>
          <w:b/>
          <w:kern w:val="0"/>
          <w:sz w:val="24"/>
        </w:rPr>
      </w:pPr>
      <w:r>
        <w:rPr>
          <w:rFonts w:hint="eastAsia" w:ascii="宋体" w:hAnsi="宋体" w:cs="宋体"/>
          <w:b/>
          <w:kern w:val="0"/>
          <w:sz w:val="24"/>
        </w:rPr>
        <w:t>三、质疑基本情况</w:t>
      </w:r>
    </w:p>
    <w:p w14:paraId="7BD5D685">
      <w:pPr>
        <w:spacing w:line="360" w:lineRule="auto"/>
        <w:ind w:firstLine="480" w:firstLineChars="200"/>
        <w:rPr>
          <w:rFonts w:hint="eastAsia"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14:paraId="5593966A">
      <w:pPr>
        <w:spacing w:line="360" w:lineRule="auto"/>
        <w:ind w:firstLine="241"/>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14:paraId="19FE4224">
      <w:pPr>
        <w:spacing w:line="360" w:lineRule="auto"/>
        <w:ind w:firstLine="241"/>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14:paraId="4A3C2C8E">
      <w:pPr>
        <w:spacing w:line="360" w:lineRule="auto"/>
        <w:ind w:firstLine="480" w:firstLineChars="200"/>
        <w:rPr>
          <w:rFonts w:hint="eastAsia" w:ascii="宋体" w:hAnsi="宋体" w:cs="宋体"/>
          <w:kern w:val="0"/>
          <w:sz w:val="24"/>
        </w:rPr>
      </w:pPr>
      <w:r>
        <w:rPr>
          <w:rFonts w:hint="eastAsia" w:ascii="宋体" w:hAnsi="宋体" w:cs="宋体"/>
          <w:kern w:val="0"/>
          <w:sz w:val="24"/>
          <w:u w:val="single"/>
        </w:rPr>
        <w:t>采购人/代理机构</w:t>
      </w:r>
      <w:r>
        <w:rPr>
          <w:rFonts w:hint="eastAsia" w:ascii="宋体" w:hAnsi="宋体" w:cs="宋体"/>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日，就质疑事项作出了答复/没有在法定期限内作出答复。                                                                                             </w:t>
      </w:r>
    </w:p>
    <w:p w14:paraId="01861663">
      <w:pPr>
        <w:spacing w:line="360" w:lineRule="auto"/>
        <w:ind w:left="25" w:leftChars="12" w:firstLine="472" w:firstLineChars="196"/>
        <w:outlineLvl w:val="2"/>
        <w:rPr>
          <w:rFonts w:hint="eastAsia" w:ascii="宋体" w:hAnsi="宋体" w:cs="宋体"/>
          <w:b/>
          <w:kern w:val="0"/>
          <w:sz w:val="24"/>
        </w:rPr>
      </w:pPr>
      <w:r>
        <w:rPr>
          <w:rFonts w:hint="eastAsia" w:ascii="宋体" w:hAnsi="宋体" w:cs="宋体"/>
          <w:b/>
          <w:kern w:val="0"/>
          <w:sz w:val="24"/>
        </w:rPr>
        <w:t>四、投诉事项具体内容</w:t>
      </w:r>
    </w:p>
    <w:p w14:paraId="10157C6E">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投诉事项1：</w:t>
      </w:r>
      <w:r>
        <w:rPr>
          <w:rFonts w:hint="eastAsia" w:ascii="宋体" w:hAnsi="宋体" w:cs="宋体"/>
          <w:kern w:val="0"/>
          <w:sz w:val="24"/>
          <w:u w:val="single"/>
        </w:rPr>
        <w:t xml:space="preserve">                                                                           </w:t>
      </w:r>
    </w:p>
    <w:p w14:paraId="23533EBD">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 xml:space="preserve">事实依据： </w:t>
      </w:r>
      <w:r>
        <w:rPr>
          <w:rFonts w:hint="eastAsia" w:ascii="宋体" w:hAnsi="宋体" w:cs="宋体"/>
          <w:kern w:val="0"/>
          <w:sz w:val="24"/>
          <w:u w:val="single"/>
        </w:rPr>
        <w:t xml:space="preserve">                                                                                      </w:t>
      </w:r>
    </w:p>
    <w:p w14:paraId="4B9A8F2C">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u w:val="single"/>
        </w:rPr>
        <w:t xml:space="preserve">                                                                                        </w:t>
      </w:r>
    </w:p>
    <w:p w14:paraId="0373572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 xml:space="preserve">法律依据： </w:t>
      </w:r>
      <w:r>
        <w:rPr>
          <w:rFonts w:hint="eastAsia" w:ascii="宋体" w:hAnsi="宋体" w:cs="宋体"/>
          <w:kern w:val="0"/>
          <w:sz w:val="24"/>
          <w:u w:val="single"/>
        </w:rPr>
        <w:t xml:space="preserve">                                                                                      </w:t>
      </w:r>
    </w:p>
    <w:p w14:paraId="7AE32BF6">
      <w:pPr>
        <w:spacing w:line="360" w:lineRule="auto"/>
        <w:ind w:left="25" w:leftChars="12" w:firstLine="352" w:firstLineChars="147"/>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14:paraId="781A706E">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 xml:space="preserve">投诉事项2     </w:t>
      </w:r>
    </w:p>
    <w:p w14:paraId="295813BD">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w:t>
      </w:r>
    </w:p>
    <w:p w14:paraId="32FA032A">
      <w:pPr>
        <w:spacing w:line="360" w:lineRule="auto"/>
        <w:ind w:left="25" w:leftChars="12" w:firstLine="472" w:firstLineChars="196"/>
        <w:outlineLvl w:val="2"/>
        <w:rPr>
          <w:rFonts w:hint="eastAsia" w:ascii="宋体" w:hAnsi="宋体" w:cs="宋体"/>
          <w:b/>
          <w:kern w:val="0"/>
          <w:sz w:val="24"/>
        </w:rPr>
      </w:pPr>
      <w:r>
        <w:rPr>
          <w:rFonts w:hint="eastAsia" w:ascii="宋体" w:hAnsi="宋体" w:cs="宋体"/>
          <w:b/>
          <w:kern w:val="0"/>
          <w:sz w:val="24"/>
        </w:rPr>
        <w:t>五、与投诉事项相关的投诉请求：</w:t>
      </w:r>
    </w:p>
    <w:p w14:paraId="3C58435E">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请求：</w:t>
      </w:r>
      <w:r>
        <w:rPr>
          <w:rFonts w:hint="eastAsia" w:ascii="宋体" w:hAnsi="宋体" w:cs="宋体"/>
          <w:kern w:val="0"/>
          <w:sz w:val="24"/>
          <w:u w:val="single"/>
        </w:rPr>
        <w:t xml:space="preserve">                                                                                 </w:t>
      </w:r>
    </w:p>
    <w:p w14:paraId="211D3036">
      <w:pPr>
        <w:spacing w:line="360" w:lineRule="auto"/>
        <w:ind w:left="25" w:leftChars="12" w:firstLine="352" w:firstLineChars="147"/>
        <w:rPr>
          <w:rFonts w:hint="eastAsia" w:ascii="宋体" w:hAnsi="宋体" w:cs="宋体"/>
          <w:kern w:val="0"/>
          <w:sz w:val="24"/>
        </w:rPr>
      </w:pPr>
    </w:p>
    <w:p w14:paraId="77CF50E5">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签字（签章）：                                       公章：</w:t>
      </w:r>
    </w:p>
    <w:p w14:paraId="675F53C1">
      <w:pPr>
        <w:spacing w:line="360" w:lineRule="auto"/>
        <w:rPr>
          <w:rFonts w:hint="eastAsia" w:ascii="宋体" w:hAnsi="宋体" w:cs="宋体"/>
          <w:kern w:val="0"/>
          <w:sz w:val="24"/>
        </w:rPr>
      </w:pPr>
    </w:p>
    <w:p w14:paraId="4F1D08FA">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 xml:space="preserve">日期：                                                                               </w:t>
      </w:r>
    </w:p>
    <w:p w14:paraId="27EE2DF2">
      <w:pPr>
        <w:snapToGrid w:val="0"/>
        <w:spacing w:line="360" w:lineRule="auto"/>
        <w:rPr>
          <w:rFonts w:hint="eastAsia" w:ascii="宋体" w:hAnsi="宋体" w:cs="宋体"/>
          <w:b/>
          <w:kern w:val="0"/>
          <w:sz w:val="24"/>
        </w:rPr>
      </w:pPr>
    </w:p>
    <w:p w14:paraId="77656F8F">
      <w:pPr>
        <w:snapToGrid w:val="0"/>
        <w:spacing w:line="360" w:lineRule="auto"/>
        <w:rPr>
          <w:rFonts w:hint="eastAsia" w:ascii="宋体" w:hAnsi="宋体" w:cs="宋体"/>
          <w:b/>
          <w:kern w:val="0"/>
          <w:sz w:val="24"/>
        </w:rPr>
      </w:pPr>
      <w:r>
        <w:rPr>
          <w:rFonts w:hint="eastAsia" w:ascii="宋体" w:hAnsi="宋体" w:cs="宋体"/>
          <w:b/>
          <w:kern w:val="0"/>
          <w:sz w:val="24"/>
        </w:rPr>
        <w:t>说明：</w:t>
      </w:r>
    </w:p>
    <w:p w14:paraId="0975A834">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p>
    <w:p w14:paraId="01C2920F">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06A01A6">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3.投诉书应简要列明质疑事项，质疑函、质疑答复等作为附件材料提供。</w:t>
      </w:r>
    </w:p>
    <w:p w14:paraId="1DCDF9A0">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4.投诉书的投诉事项应具体、明确，并有必要的事实依据和法律依据。</w:t>
      </w:r>
    </w:p>
    <w:p w14:paraId="01EE4213">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5.投诉书的投诉请求应与投诉事项相关。</w:t>
      </w:r>
    </w:p>
    <w:p w14:paraId="2C69894D">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6.投诉人为法人或者其他组织的，投诉书应由法定代表人、主要负责人，或者其授权代表签字或者盖章，并加盖公章。</w:t>
      </w:r>
    </w:p>
    <w:p w14:paraId="67C523DE">
      <w:pPr>
        <w:pStyle w:val="47"/>
        <w:spacing w:line="360" w:lineRule="auto"/>
        <w:jc w:val="both"/>
        <w:rPr>
          <w:rFonts w:hint="eastAsia" w:ascii="宋体" w:hAnsi="宋体" w:cs="宋体"/>
          <w:color w:val="auto"/>
          <w:szCs w:val="21"/>
        </w:rPr>
        <w:sectPr>
          <w:pgSz w:w="11906" w:h="16838"/>
          <w:pgMar w:top="1247" w:right="1417" w:bottom="1247" w:left="1417" w:header="851" w:footer="992" w:gutter="0"/>
          <w:cols w:space="0" w:num="1"/>
          <w:docGrid w:type="lines" w:linePitch="312" w:charSpace="0"/>
        </w:sectPr>
      </w:pPr>
    </w:p>
    <w:p w14:paraId="10FDE4C7">
      <w:pPr>
        <w:pStyle w:val="47"/>
        <w:spacing w:line="360" w:lineRule="auto"/>
        <w:jc w:val="both"/>
        <w:rPr>
          <w:rFonts w:hint="eastAsia" w:ascii="宋体" w:hAnsi="宋体" w:eastAsia="宋体" w:cs="宋体"/>
          <w:b/>
          <w:bCs/>
          <w:color w:val="auto"/>
        </w:rPr>
      </w:pPr>
    </w:p>
    <w:p w14:paraId="773E53B2">
      <w:pPr>
        <w:pStyle w:val="3"/>
        <w:numPr>
          <w:ilvl w:val="0"/>
          <w:numId w:val="2"/>
        </w:numPr>
        <w:spacing w:line="560" w:lineRule="exact"/>
        <w:jc w:val="center"/>
        <w:rPr>
          <w:rFonts w:hint="eastAsia" w:ascii="宋体" w:hAnsi="宋体" w:cs="宋体"/>
          <w:kern w:val="0"/>
          <w:sz w:val="36"/>
          <w:szCs w:val="36"/>
        </w:rPr>
      </w:pPr>
      <w:r>
        <w:rPr>
          <w:rFonts w:hint="eastAsia" w:ascii="宋体" w:hAnsi="宋体" w:cs="宋体"/>
          <w:kern w:val="0"/>
          <w:sz w:val="36"/>
          <w:szCs w:val="36"/>
        </w:rPr>
        <w:t xml:space="preserve">   </w:t>
      </w:r>
      <w:bookmarkStart w:id="76" w:name="_Toc3612"/>
      <w:r>
        <w:rPr>
          <w:rFonts w:hint="eastAsia" w:ascii="宋体" w:hAnsi="宋体" w:cs="宋体"/>
          <w:kern w:val="0"/>
          <w:sz w:val="36"/>
          <w:szCs w:val="36"/>
        </w:rPr>
        <w:t>合同主要条款（参考格式</w:t>
      </w:r>
      <w:bookmarkEnd w:id="76"/>
      <w:r>
        <w:rPr>
          <w:rFonts w:hint="eastAsia" w:ascii="宋体" w:hAnsi="宋体" w:cs="宋体"/>
          <w:kern w:val="0"/>
          <w:sz w:val="36"/>
          <w:szCs w:val="36"/>
        </w:rPr>
        <w:t>）</w:t>
      </w:r>
    </w:p>
    <w:p w14:paraId="2D1DD6B7">
      <w:pPr>
        <w:pStyle w:val="3"/>
        <w:spacing w:line="560" w:lineRule="exact"/>
        <w:jc w:val="center"/>
        <w:rPr>
          <w:rFonts w:hint="eastAsia" w:ascii="宋体" w:hAnsi="宋体" w:cs="宋体"/>
          <w:kern w:val="0"/>
          <w:sz w:val="32"/>
          <w:szCs w:val="32"/>
        </w:rPr>
      </w:pPr>
      <w:bookmarkStart w:id="77" w:name="_Toc31567"/>
      <w:r>
        <w:rPr>
          <w:rFonts w:hint="eastAsia" w:ascii="宋体" w:hAnsi="宋体" w:cs="宋体"/>
          <w:kern w:val="0"/>
          <w:sz w:val="32"/>
          <w:szCs w:val="32"/>
        </w:rPr>
        <w:t>（仅供参考，由双方按实际情况调整</w:t>
      </w:r>
      <w:bookmarkEnd w:id="77"/>
      <w:r>
        <w:rPr>
          <w:rFonts w:hint="eastAsia" w:ascii="宋体" w:hAnsi="宋体" w:cs="宋体"/>
          <w:kern w:val="0"/>
          <w:sz w:val="32"/>
          <w:szCs w:val="32"/>
        </w:rPr>
        <w:t>）</w:t>
      </w:r>
    </w:p>
    <w:p w14:paraId="6CC2F87A">
      <w:pPr>
        <w:jc w:val="center"/>
        <w:rPr>
          <w:rFonts w:hint="eastAsia" w:ascii="宋体" w:hAnsi="宋体" w:cs="宋体"/>
          <w:b/>
          <w:bCs/>
          <w:sz w:val="72"/>
          <w:szCs w:val="144"/>
        </w:rPr>
      </w:pPr>
    </w:p>
    <w:p w14:paraId="0EC363E6">
      <w:pPr>
        <w:jc w:val="center"/>
        <w:rPr>
          <w:rFonts w:hint="eastAsia" w:ascii="宋体" w:hAnsi="宋体" w:cs="宋体"/>
          <w:b/>
          <w:bCs/>
          <w:spacing w:val="20"/>
          <w:sz w:val="56"/>
          <w:szCs w:val="96"/>
        </w:rPr>
      </w:pPr>
      <w:r>
        <w:rPr>
          <w:rFonts w:hint="eastAsia" w:ascii="宋体" w:hAnsi="宋体" w:cs="宋体"/>
          <w:b/>
          <w:bCs/>
          <w:spacing w:val="20"/>
          <w:sz w:val="56"/>
          <w:szCs w:val="96"/>
        </w:rPr>
        <w:t xml:space="preserve">                      副本</w:t>
      </w:r>
    </w:p>
    <w:p w14:paraId="78DC2087">
      <w:pPr>
        <w:jc w:val="center"/>
        <w:rPr>
          <w:rFonts w:hint="eastAsia" w:ascii="宋体" w:hAnsi="宋体" w:cs="宋体"/>
          <w:b/>
          <w:bCs/>
          <w:spacing w:val="20"/>
          <w:sz w:val="56"/>
          <w:szCs w:val="96"/>
        </w:rPr>
      </w:pPr>
      <w:r>
        <w:rPr>
          <w:rFonts w:hint="eastAsia" w:ascii="宋体" w:hAnsi="宋体" w:cs="宋体"/>
          <w:b/>
          <w:bCs/>
          <w:spacing w:val="20"/>
          <w:sz w:val="48"/>
          <w:szCs w:val="56"/>
        </w:rPr>
        <w:t xml:space="preserve">                         </w:t>
      </w:r>
      <w:r>
        <w:rPr>
          <w:rFonts w:hint="eastAsia" w:ascii="宋体" w:hAnsi="宋体" w:cs="宋体"/>
          <w:b/>
          <w:bCs/>
          <w:spacing w:val="20"/>
          <w:sz w:val="56"/>
          <w:szCs w:val="96"/>
        </w:rPr>
        <w:t xml:space="preserve"> </w:t>
      </w:r>
    </w:p>
    <w:p w14:paraId="2FD8E12A">
      <w:pPr>
        <w:rPr>
          <w:rFonts w:hint="eastAsia" w:ascii="宋体" w:hAnsi="宋体" w:cs="宋体"/>
          <w:b/>
          <w:bCs/>
          <w:spacing w:val="20"/>
          <w:sz w:val="48"/>
          <w:szCs w:val="56"/>
        </w:rPr>
      </w:pPr>
    </w:p>
    <w:p w14:paraId="2E42E77E">
      <w:pPr>
        <w:jc w:val="center"/>
        <w:rPr>
          <w:rFonts w:hint="eastAsia" w:ascii="宋体" w:hAnsi="宋体" w:cs="宋体"/>
          <w:b/>
          <w:bCs/>
          <w:spacing w:val="20"/>
          <w:sz w:val="96"/>
          <w:szCs w:val="160"/>
        </w:rPr>
      </w:pPr>
      <w:r>
        <w:rPr>
          <w:rFonts w:hint="eastAsia" w:ascii="宋体" w:hAnsi="宋体" w:cs="宋体"/>
          <w:b/>
          <w:bCs/>
          <w:spacing w:val="20"/>
          <w:sz w:val="72"/>
          <w:szCs w:val="144"/>
        </w:rPr>
        <w:t>施 工 承 包 合 同 书</w:t>
      </w:r>
    </w:p>
    <w:p w14:paraId="57B7A171">
      <w:pPr>
        <w:jc w:val="center"/>
        <w:rPr>
          <w:rFonts w:hint="eastAsia" w:ascii="宋体" w:hAnsi="宋体" w:cs="宋体"/>
          <w:spacing w:val="20"/>
          <w:sz w:val="32"/>
          <w:szCs w:val="40"/>
        </w:rPr>
      </w:pPr>
    </w:p>
    <w:p w14:paraId="3AB94FA2">
      <w:pPr>
        <w:jc w:val="center"/>
        <w:rPr>
          <w:rFonts w:hint="eastAsia" w:ascii="宋体" w:hAnsi="宋体" w:cs="宋体"/>
          <w:spacing w:val="20"/>
          <w:sz w:val="32"/>
          <w:szCs w:val="40"/>
        </w:rPr>
      </w:pPr>
    </w:p>
    <w:p w14:paraId="7230BCAF">
      <w:pPr>
        <w:jc w:val="center"/>
        <w:rPr>
          <w:rFonts w:hint="eastAsia" w:ascii="宋体" w:hAnsi="宋体" w:cs="宋体"/>
          <w:spacing w:val="20"/>
          <w:sz w:val="32"/>
          <w:szCs w:val="40"/>
        </w:rPr>
      </w:pPr>
    </w:p>
    <w:p w14:paraId="52C386AD">
      <w:pPr>
        <w:jc w:val="center"/>
        <w:rPr>
          <w:rFonts w:hint="eastAsia" w:ascii="宋体" w:hAnsi="宋体" w:cs="宋体"/>
          <w:spacing w:val="20"/>
          <w:sz w:val="32"/>
          <w:szCs w:val="40"/>
        </w:rPr>
      </w:pPr>
    </w:p>
    <w:p w14:paraId="3212737D">
      <w:pPr>
        <w:rPr>
          <w:rFonts w:hint="eastAsia" w:ascii="宋体" w:hAnsi="宋体" w:cs="宋体"/>
          <w:b/>
          <w:bCs/>
          <w:spacing w:val="20"/>
          <w:sz w:val="48"/>
          <w:szCs w:val="56"/>
        </w:rPr>
      </w:pPr>
      <w:r>
        <w:rPr>
          <w:rFonts w:hint="eastAsia" w:ascii="宋体" w:hAnsi="宋体" w:cs="宋体"/>
          <w:spacing w:val="20"/>
          <w:sz w:val="28"/>
          <w:szCs w:val="28"/>
        </w:rPr>
        <w:t>工程名称：</w:t>
      </w:r>
      <w:r>
        <w:rPr>
          <w:rFonts w:hint="eastAsia" w:ascii="宋体" w:hAnsi="宋体" w:cs="宋体"/>
          <w:sz w:val="28"/>
          <w:szCs w:val="28"/>
          <w:u w:val="single"/>
        </w:rPr>
        <w:t xml:space="preserve">                       </w:t>
      </w:r>
    </w:p>
    <w:p w14:paraId="08E557AF">
      <w:pPr>
        <w:rPr>
          <w:rFonts w:hint="eastAsia" w:ascii="宋体" w:hAnsi="宋体" w:cs="宋体"/>
          <w:spacing w:val="20"/>
          <w:sz w:val="28"/>
          <w:szCs w:val="36"/>
        </w:rPr>
      </w:pPr>
    </w:p>
    <w:p w14:paraId="61617CCF">
      <w:pPr>
        <w:rPr>
          <w:rFonts w:hint="eastAsia" w:ascii="宋体" w:hAnsi="宋体" w:cs="宋体"/>
          <w:spacing w:val="20"/>
          <w:sz w:val="28"/>
          <w:szCs w:val="36"/>
          <w:u w:val="single"/>
        </w:rPr>
      </w:pPr>
      <w:r>
        <w:rPr>
          <w:rFonts w:hint="eastAsia" w:ascii="宋体" w:hAnsi="宋体" w:cs="宋体"/>
          <w:spacing w:val="20"/>
          <w:sz w:val="28"/>
          <w:szCs w:val="36"/>
        </w:rPr>
        <w:t>发包人（甲方）：</w:t>
      </w:r>
      <w:r>
        <w:rPr>
          <w:rFonts w:hint="eastAsia" w:ascii="宋体" w:hAnsi="宋体" w:cs="宋体"/>
          <w:spacing w:val="20"/>
          <w:sz w:val="28"/>
          <w:szCs w:val="36"/>
          <w:u w:val="single"/>
        </w:rPr>
        <w:t xml:space="preserve"> 浦北县石埇镇人民政府 </w:t>
      </w:r>
    </w:p>
    <w:p w14:paraId="73FDFFCA">
      <w:pPr>
        <w:rPr>
          <w:rFonts w:hint="eastAsia" w:ascii="宋体" w:hAnsi="宋体" w:cs="宋体"/>
          <w:spacing w:val="20"/>
          <w:sz w:val="28"/>
          <w:szCs w:val="36"/>
        </w:rPr>
      </w:pPr>
    </w:p>
    <w:p w14:paraId="724AEC7B">
      <w:pPr>
        <w:rPr>
          <w:rFonts w:hint="eastAsia" w:ascii="宋体" w:hAnsi="宋体" w:cs="宋体"/>
          <w:spacing w:val="20"/>
          <w:sz w:val="28"/>
          <w:szCs w:val="36"/>
          <w:u w:val="single"/>
        </w:rPr>
      </w:pPr>
      <w:r>
        <w:rPr>
          <w:rFonts w:hint="eastAsia" w:ascii="宋体" w:hAnsi="宋体" w:cs="宋体"/>
          <w:spacing w:val="20"/>
          <w:sz w:val="28"/>
          <w:szCs w:val="36"/>
        </w:rPr>
        <w:t>承包人（乙方）：</w:t>
      </w:r>
      <w:r>
        <w:rPr>
          <w:rFonts w:hint="eastAsia" w:ascii="宋体" w:hAnsi="宋体" w:cs="宋体"/>
          <w:spacing w:val="20"/>
          <w:sz w:val="28"/>
          <w:szCs w:val="36"/>
          <w:u w:val="single"/>
        </w:rPr>
        <w:t xml:space="preserve">                         </w:t>
      </w:r>
    </w:p>
    <w:p w14:paraId="3F5F0D84">
      <w:pPr>
        <w:rPr>
          <w:rFonts w:hint="eastAsia" w:ascii="宋体" w:hAnsi="宋体" w:cs="宋体"/>
          <w:spacing w:val="20"/>
          <w:sz w:val="28"/>
          <w:szCs w:val="36"/>
        </w:rPr>
      </w:pPr>
    </w:p>
    <w:p w14:paraId="3C964AE8">
      <w:pPr>
        <w:rPr>
          <w:rFonts w:hint="eastAsia" w:ascii="宋体" w:hAnsi="宋体" w:cs="宋体"/>
          <w:spacing w:val="20"/>
          <w:sz w:val="32"/>
          <w:szCs w:val="40"/>
        </w:rPr>
      </w:pPr>
      <w:r>
        <w:rPr>
          <w:rFonts w:hint="eastAsia" w:ascii="宋体" w:hAnsi="宋体" w:cs="宋体"/>
          <w:spacing w:val="20"/>
          <w:sz w:val="28"/>
          <w:szCs w:val="28"/>
        </w:rPr>
        <w:t>日      期：</w:t>
      </w:r>
      <w:r>
        <w:rPr>
          <w:rFonts w:hint="eastAsia" w:ascii="宋体" w:hAnsi="宋体" w:cs="宋体"/>
          <w:spacing w:val="20"/>
          <w:sz w:val="28"/>
          <w:szCs w:val="28"/>
          <w:u w:val="single"/>
        </w:rPr>
        <w:t xml:space="preserve">     年   月   日</w:t>
      </w:r>
    </w:p>
    <w:p w14:paraId="6CC48AD5">
      <w:pPr>
        <w:pStyle w:val="3"/>
        <w:rPr>
          <w:rFonts w:hint="eastAsia" w:ascii="宋体" w:hAnsi="宋体" w:cs="宋体"/>
          <w:spacing w:val="20"/>
          <w:sz w:val="40"/>
          <w:szCs w:val="52"/>
        </w:rPr>
        <w:sectPr>
          <w:pgSz w:w="11906" w:h="16838"/>
          <w:pgMar w:top="1190" w:right="1453" w:bottom="1368" w:left="1633" w:header="851" w:footer="992" w:gutter="0"/>
          <w:cols w:space="0" w:num="1"/>
          <w:docGrid w:type="lines" w:linePitch="312" w:charSpace="0"/>
        </w:sectPr>
      </w:pPr>
      <w:bookmarkStart w:id="78" w:name="_Toc296503025"/>
      <w:bookmarkStart w:id="79" w:name="_Toc296890982"/>
      <w:bookmarkStart w:id="80" w:name="_Toc351203480"/>
      <w:bookmarkStart w:id="81" w:name="_Toc389065255"/>
      <w:bookmarkStart w:id="82" w:name="_Toc373478199"/>
      <w:bookmarkStart w:id="83" w:name="_Toc26265"/>
      <w:bookmarkStart w:id="84" w:name="_Toc373227552"/>
      <w:bookmarkStart w:id="85" w:name="_Toc12680"/>
    </w:p>
    <w:p w14:paraId="4B0F0471">
      <w:pPr>
        <w:pStyle w:val="3"/>
        <w:numPr>
          <w:ilvl w:val="0"/>
          <w:numId w:val="3"/>
        </w:numPr>
        <w:jc w:val="center"/>
      </w:pPr>
      <w:r>
        <w:rPr>
          <w:rFonts w:hint="eastAsia" w:ascii="宋体" w:hAnsi="宋体" w:cs="宋体"/>
          <w:spacing w:val="20"/>
          <w:sz w:val="36"/>
          <w:szCs w:val="48"/>
        </w:rPr>
        <w:t>合同协议书</w:t>
      </w:r>
      <w:bookmarkEnd w:id="78"/>
      <w:bookmarkEnd w:id="79"/>
      <w:bookmarkEnd w:id="80"/>
      <w:bookmarkEnd w:id="81"/>
      <w:bookmarkEnd w:id="82"/>
      <w:bookmarkEnd w:id="83"/>
      <w:bookmarkEnd w:id="84"/>
      <w:bookmarkEnd w:id="85"/>
    </w:p>
    <w:p w14:paraId="1A2A2EA8"/>
    <w:p w14:paraId="5F4CA112">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发包人（全称）：</w:t>
      </w:r>
      <w:r>
        <w:rPr>
          <w:rFonts w:hint="eastAsia" w:ascii="宋体" w:hAnsi="宋体" w:cs="宋体"/>
          <w:spacing w:val="20"/>
          <w:sz w:val="24"/>
          <w:u w:val="single"/>
        </w:rPr>
        <w:t xml:space="preserve"> 浦北县石埇镇人民政府   </w:t>
      </w:r>
    </w:p>
    <w:p w14:paraId="19CC18AB">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承包人（全称）：</w:t>
      </w:r>
      <w:r>
        <w:rPr>
          <w:rFonts w:hint="eastAsia" w:ascii="宋体" w:hAnsi="宋体" w:cs="宋体"/>
          <w:spacing w:val="20"/>
          <w:sz w:val="24"/>
          <w:u w:val="single"/>
        </w:rPr>
        <w:t xml:space="preserve">                                       </w:t>
      </w:r>
    </w:p>
    <w:p w14:paraId="45DB0587">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u w:val="single"/>
        </w:rPr>
        <w:t>浦北县石埇镇人民政府</w:t>
      </w:r>
      <w:r>
        <w:rPr>
          <w:rFonts w:hint="eastAsia" w:ascii="宋体" w:hAnsi="宋体" w:cs="宋体"/>
          <w:spacing w:val="20"/>
          <w:sz w:val="24"/>
        </w:rPr>
        <w:t>（以下称发包人）为实施</w:t>
      </w:r>
      <w:r>
        <w:rPr>
          <w:rFonts w:hint="eastAsia" w:ascii="宋体" w:hAnsi="宋体" w:cs="宋体"/>
          <w:spacing w:val="20"/>
          <w:sz w:val="24"/>
          <w:u w:val="single"/>
        </w:rPr>
        <w:t xml:space="preserve">            </w:t>
      </w:r>
      <w:r>
        <w:rPr>
          <w:rFonts w:hint="eastAsia" w:ascii="宋体" w:hAnsi="宋体" w:cs="宋体"/>
          <w:spacing w:val="20"/>
          <w:sz w:val="24"/>
        </w:rPr>
        <w:t>，根据《中华人民共和国合同法》、《中华人民共和国建筑法》及有关法律规定，遵循平等、自愿、公平和诚实信用的原则，双方就</w:t>
      </w:r>
      <w:r>
        <w:rPr>
          <w:rFonts w:hint="eastAsia" w:ascii="宋体" w:hAnsi="宋体" w:cs="宋体"/>
          <w:spacing w:val="20"/>
          <w:sz w:val="24"/>
          <w:u w:val="single"/>
        </w:rPr>
        <w:t xml:space="preserve">             </w:t>
      </w:r>
      <w:r>
        <w:rPr>
          <w:rFonts w:hint="eastAsia" w:ascii="宋体" w:hAnsi="宋体" w:cs="宋体"/>
          <w:spacing w:val="20"/>
          <w:sz w:val="24"/>
        </w:rPr>
        <w:t>工程施工及有关事项协商一致，共同达成如下协议：</w:t>
      </w:r>
      <w:bookmarkStart w:id="86" w:name="_Toc351203481"/>
    </w:p>
    <w:p w14:paraId="7E6FE8BA">
      <w:pPr>
        <w:adjustRightInd w:val="0"/>
        <w:snapToGrid w:val="0"/>
        <w:spacing w:line="360" w:lineRule="auto"/>
        <w:ind w:firstLine="562" w:firstLineChars="200"/>
        <w:outlineLvl w:val="0"/>
        <w:rPr>
          <w:rFonts w:hint="eastAsia" w:ascii="宋体" w:hAnsi="宋体" w:cs="宋体"/>
          <w:b/>
          <w:bCs/>
          <w:spacing w:val="20"/>
          <w:sz w:val="24"/>
        </w:rPr>
      </w:pPr>
      <w:r>
        <w:rPr>
          <w:rFonts w:hint="eastAsia" w:ascii="宋体" w:hAnsi="宋体" w:cs="宋体"/>
          <w:b/>
          <w:bCs/>
          <w:spacing w:val="20"/>
          <w:sz w:val="24"/>
        </w:rPr>
        <w:t>一、工程概况</w:t>
      </w:r>
      <w:bookmarkEnd w:id="86"/>
    </w:p>
    <w:p w14:paraId="26401BDC">
      <w:pPr>
        <w:adjustRightInd w:val="0"/>
        <w:snapToGrid w:val="0"/>
        <w:spacing w:line="360" w:lineRule="auto"/>
        <w:ind w:firstLine="548" w:firstLineChars="196"/>
        <w:rPr>
          <w:rFonts w:hint="eastAsia" w:ascii="宋体" w:hAnsi="宋体" w:cs="宋体"/>
          <w:spacing w:val="20"/>
          <w:sz w:val="24"/>
          <w:u w:val="single"/>
        </w:rPr>
      </w:pPr>
      <w:r>
        <w:rPr>
          <w:rFonts w:hint="eastAsia" w:ascii="宋体" w:hAnsi="宋体" w:cs="宋体"/>
          <w:bCs/>
          <w:spacing w:val="20"/>
          <w:sz w:val="24"/>
        </w:rPr>
        <w:t>1. 工程名称</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b/>
          <w:bCs/>
          <w:spacing w:val="20"/>
          <w:sz w:val="24"/>
          <w:u w:val="single"/>
        </w:rPr>
        <w:t xml:space="preserve">                         </w:t>
      </w:r>
      <w:r>
        <w:rPr>
          <w:rFonts w:hint="eastAsia" w:ascii="宋体" w:hAnsi="宋体" w:cs="宋体"/>
          <w:spacing w:val="20"/>
          <w:sz w:val="24"/>
        </w:rPr>
        <w:t>。</w:t>
      </w:r>
    </w:p>
    <w:p w14:paraId="04799D2B">
      <w:pPr>
        <w:adjustRightInd w:val="0"/>
        <w:snapToGrid w:val="0"/>
        <w:spacing w:line="360" w:lineRule="auto"/>
        <w:ind w:firstLine="548" w:firstLineChars="196"/>
        <w:rPr>
          <w:rFonts w:hint="eastAsia" w:ascii="宋体" w:hAnsi="宋体" w:cs="宋体"/>
          <w:bCs/>
          <w:spacing w:val="20"/>
          <w:sz w:val="24"/>
        </w:rPr>
      </w:pPr>
      <w:r>
        <w:rPr>
          <w:rFonts w:hint="eastAsia" w:ascii="宋体" w:hAnsi="宋体" w:cs="宋体"/>
          <w:bCs/>
          <w:spacing w:val="20"/>
          <w:sz w:val="24"/>
        </w:rPr>
        <w:t>2. 工程地点：</w:t>
      </w:r>
      <w:r>
        <w:rPr>
          <w:rFonts w:hint="eastAsia" w:ascii="宋体" w:hAnsi="宋体" w:cs="宋体"/>
          <w:spacing w:val="20"/>
          <w:sz w:val="24"/>
          <w:u w:val="single"/>
        </w:rPr>
        <w:t xml:space="preserve">                          </w:t>
      </w:r>
      <w:r>
        <w:rPr>
          <w:rFonts w:hint="eastAsia" w:ascii="宋体" w:hAnsi="宋体" w:cs="宋体"/>
          <w:spacing w:val="20"/>
          <w:sz w:val="24"/>
        </w:rPr>
        <w:t>。</w:t>
      </w:r>
    </w:p>
    <w:p w14:paraId="488F30B8">
      <w:pPr>
        <w:adjustRightInd w:val="0"/>
        <w:snapToGrid w:val="0"/>
        <w:spacing w:line="360" w:lineRule="auto"/>
        <w:ind w:firstLine="548" w:firstLineChars="196"/>
        <w:rPr>
          <w:rFonts w:hint="eastAsia" w:ascii="宋体" w:hAnsi="宋体" w:cs="宋体"/>
          <w:bCs/>
          <w:spacing w:val="20"/>
          <w:sz w:val="24"/>
        </w:rPr>
      </w:pPr>
      <w:r>
        <w:rPr>
          <w:rFonts w:hint="eastAsia" w:ascii="宋体" w:hAnsi="宋体" w:cs="宋体"/>
          <w:bCs/>
          <w:spacing w:val="20"/>
          <w:sz w:val="24"/>
        </w:rPr>
        <w:t>3. 工程立项批准文号：</w:t>
      </w:r>
      <w:r>
        <w:rPr>
          <w:rFonts w:hint="eastAsia" w:ascii="宋体" w:hAnsi="宋体" w:cs="宋体"/>
          <w:spacing w:val="20"/>
          <w:sz w:val="24"/>
          <w:u w:val="single"/>
        </w:rPr>
        <w:t xml:space="preserve">      </w:t>
      </w:r>
      <w:r>
        <w:rPr>
          <w:rFonts w:hint="eastAsia" w:ascii="宋体" w:hAnsi="宋体" w:cs="宋体"/>
          <w:bCs/>
          <w:spacing w:val="20"/>
          <w:sz w:val="24"/>
        </w:rPr>
        <w:t>。</w:t>
      </w:r>
    </w:p>
    <w:p w14:paraId="384CE23A">
      <w:pPr>
        <w:adjustRightInd w:val="0"/>
        <w:snapToGrid w:val="0"/>
        <w:spacing w:line="360" w:lineRule="auto"/>
        <w:ind w:firstLine="548" w:firstLineChars="196"/>
        <w:rPr>
          <w:rFonts w:hint="eastAsia" w:ascii="宋体" w:hAnsi="宋体" w:cs="宋体"/>
          <w:bCs/>
          <w:spacing w:val="20"/>
          <w:sz w:val="24"/>
        </w:rPr>
      </w:pPr>
      <w:r>
        <w:rPr>
          <w:rFonts w:hint="eastAsia" w:ascii="宋体" w:hAnsi="宋体" w:cs="宋体"/>
          <w:bCs/>
          <w:spacing w:val="20"/>
          <w:sz w:val="24"/>
        </w:rPr>
        <w:t>4. 资金来源：</w:t>
      </w:r>
      <w:r>
        <w:rPr>
          <w:rFonts w:hint="eastAsia" w:ascii="宋体" w:hAnsi="宋体" w:cs="宋体"/>
          <w:spacing w:val="20"/>
          <w:sz w:val="24"/>
          <w:u w:val="single"/>
        </w:rPr>
        <w:t xml:space="preserve">             </w:t>
      </w:r>
      <w:r>
        <w:rPr>
          <w:rFonts w:hint="eastAsia" w:ascii="宋体" w:hAnsi="宋体" w:cs="宋体"/>
          <w:bCs/>
          <w:spacing w:val="20"/>
          <w:sz w:val="24"/>
        </w:rPr>
        <w:t>。</w:t>
      </w:r>
    </w:p>
    <w:p w14:paraId="788FADAC">
      <w:pPr>
        <w:adjustRightInd w:val="0"/>
        <w:snapToGrid w:val="0"/>
        <w:spacing w:line="360" w:lineRule="auto"/>
        <w:ind w:firstLine="548" w:firstLineChars="196"/>
        <w:rPr>
          <w:rFonts w:hint="eastAsia" w:ascii="宋体" w:hAnsi="宋体" w:cs="宋体"/>
          <w:spacing w:val="20"/>
          <w:sz w:val="24"/>
          <w:u w:val="single"/>
        </w:rPr>
      </w:pPr>
      <w:r>
        <w:rPr>
          <w:rFonts w:hint="eastAsia" w:ascii="宋体" w:hAnsi="宋体" w:cs="宋体"/>
          <w:bCs/>
          <w:spacing w:val="20"/>
          <w:sz w:val="24"/>
        </w:rPr>
        <w:t>5. 工程内容：</w:t>
      </w:r>
      <w:r>
        <w:rPr>
          <w:rFonts w:hint="eastAsia" w:ascii="宋体" w:hAnsi="宋体" w:cs="宋体"/>
          <w:bCs/>
          <w:spacing w:val="20"/>
          <w:sz w:val="24"/>
          <w:u w:val="single"/>
        </w:rPr>
        <w:t xml:space="preserve">                                      </w:t>
      </w:r>
      <w:r>
        <w:rPr>
          <w:rFonts w:hint="eastAsia" w:ascii="宋体" w:hAnsi="宋体" w:cs="宋体"/>
          <w:spacing w:val="20"/>
          <w:sz w:val="24"/>
          <w:u w:val="single"/>
          <w:lang w:val="zh-CN"/>
        </w:rPr>
        <w:t>等</w:t>
      </w:r>
      <w:r>
        <w:rPr>
          <w:rFonts w:hint="eastAsia" w:ascii="宋体" w:hAnsi="宋体" w:cs="宋体"/>
          <w:spacing w:val="20"/>
          <w:sz w:val="24"/>
          <w:u w:val="single"/>
        </w:rPr>
        <w:t>。</w:t>
      </w:r>
    </w:p>
    <w:p w14:paraId="3B06A130">
      <w:pPr>
        <w:adjustRightInd w:val="0"/>
        <w:snapToGrid w:val="0"/>
        <w:spacing w:line="360" w:lineRule="auto"/>
        <w:ind w:firstLine="548" w:firstLineChars="196"/>
        <w:outlineLvl w:val="0"/>
        <w:rPr>
          <w:rFonts w:hint="eastAsia" w:ascii="宋体" w:hAnsi="宋体" w:cs="宋体"/>
          <w:bCs/>
          <w:spacing w:val="20"/>
          <w:sz w:val="24"/>
        </w:rPr>
      </w:pPr>
      <w:r>
        <w:rPr>
          <w:rFonts w:hint="eastAsia" w:ascii="宋体" w:hAnsi="宋体" w:cs="宋体"/>
          <w:bCs/>
          <w:spacing w:val="20"/>
          <w:sz w:val="24"/>
        </w:rPr>
        <w:t>6. 工程承包范围：</w:t>
      </w:r>
      <w:r>
        <w:rPr>
          <w:rFonts w:hint="eastAsia" w:ascii="宋体" w:hAnsi="宋体" w:cs="宋体"/>
          <w:spacing w:val="20"/>
          <w:sz w:val="24"/>
          <w:u w:val="single"/>
        </w:rPr>
        <w:t xml:space="preserve"> 详见工程量清单所包含内容 </w:t>
      </w:r>
      <w:r>
        <w:rPr>
          <w:rFonts w:hint="eastAsia" w:ascii="宋体" w:hAnsi="宋体" w:cs="宋体"/>
          <w:spacing w:val="20"/>
          <w:sz w:val="24"/>
        </w:rPr>
        <w:t>。</w:t>
      </w:r>
    </w:p>
    <w:p w14:paraId="0862721A">
      <w:pPr>
        <w:adjustRightInd w:val="0"/>
        <w:snapToGrid w:val="0"/>
        <w:spacing w:line="360" w:lineRule="auto"/>
        <w:ind w:firstLine="542" w:firstLineChars="193"/>
        <w:outlineLvl w:val="0"/>
        <w:rPr>
          <w:rFonts w:hint="eastAsia" w:ascii="宋体" w:hAnsi="宋体" w:cs="宋体"/>
          <w:b/>
          <w:bCs/>
          <w:spacing w:val="20"/>
          <w:sz w:val="24"/>
        </w:rPr>
      </w:pPr>
      <w:bookmarkStart w:id="87" w:name="_Toc351203482"/>
      <w:r>
        <w:rPr>
          <w:rFonts w:hint="eastAsia" w:ascii="宋体" w:hAnsi="宋体" w:cs="宋体"/>
          <w:b/>
          <w:bCs/>
          <w:spacing w:val="20"/>
          <w:sz w:val="24"/>
        </w:rPr>
        <w:t>二、合同工期</w:t>
      </w:r>
      <w:bookmarkEnd w:id="87"/>
    </w:p>
    <w:p w14:paraId="43C003BF">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计划开工日期：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日。（具体以开工令为准）</w:t>
      </w:r>
    </w:p>
    <w:p w14:paraId="385C87FC">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计划竣工日期：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w:t>
      </w:r>
    </w:p>
    <w:p w14:paraId="50D9A0F8">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工期总日历天数：</w:t>
      </w:r>
      <w:r>
        <w:rPr>
          <w:rFonts w:hint="eastAsia" w:ascii="宋体" w:hAnsi="宋体" w:cs="宋体"/>
          <w:b/>
          <w:bCs/>
          <w:spacing w:val="20"/>
          <w:sz w:val="24"/>
          <w:u w:val="single"/>
        </w:rPr>
        <w:t xml:space="preserve">     </w:t>
      </w:r>
      <w:r>
        <w:rPr>
          <w:rFonts w:hint="eastAsia" w:ascii="宋体" w:hAnsi="宋体" w:cs="宋体"/>
          <w:spacing w:val="20"/>
          <w:sz w:val="24"/>
        </w:rPr>
        <w:t>天。工期总日历天数与根据前述计划开竣工日期计算的工期天数不一致的，以工期总日历天数为准。</w:t>
      </w:r>
    </w:p>
    <w:p w14:paraId="48011C71">
      <w:pPr>
        <w:adjustRightInd w:val="0"/>
        <w:snapToGrid w:val="0"/>
        <w:spacing w:line="360" w:lineRule="auto"/>
        <w:ind w:firstLine="459"/>
        <w:outlineLvl w:val="0"/>
        <w:rPr>
          <w:rFonts w:hint="eastAsia" w:ascii="宋体" w:hAnsi="宋体" w:cs="宋体"/>
          <w:b/>
          <w:bCs/>
          <w:spacing w:val="20"/>
          <w:sz w:val="24"/>
        </w:rPr>
      </w:pPr>
      <w:bookmarkStart w:id="88" w:name="_Toc351203483"/>
      <w:r>
        <w:rPr>
          <w:rFonts w:hint="eastAsia" w:ascii="宋体" w:hAnsi="宋体" w:cs="宋体"/>
          <w:b/>
          <w:bCs/>
          <w:spacing w:val="20"/>
          <w:sz w:val="24"/>
        </w:rPr>
        <w:t>三、质量标准</w:t>
      </w:r>
      <w:bookmarkEnd w:id="88"/>
    </w:p>
    <w:p w14:paraId="6DACE66D">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工程质量符合</w:t>
      </w:r>
      <w:r>
        <w:rPr>
          <w:rFonts w:hint="eastAsia" w:ascii="宋体" w:hAnsi="宋体" w:cs="宋体"/>
          <w:spacing w:val="20"/>
          <w:sz w:val="24"/>
          <w:u w:val="single"/>
        </w:rPr>
        <w:t>《工程施工质量验收规范》合格</w:t>
      </w:r>
      <w:r>
        <w:rPr>
          <w:rFonts w:hint="eastAsia" w:ascii="宋体" w:hAnsi="宋体" w:cs="宋体"/>
          <w:spacing w:val="20"/>
          <w:sz w:val="24"/>
        </w:rPr>
        <w:t>标准。</w:t>
      </w:r>
    </w:p>
    <w:p w14:paraId="1D10D976">
      <w:pPr>
        <w:adjustRightInd w:val="0"/>
        <w:snapToGrid w:val="0"/>
        <w:spacing w:line="360" w:lineRule="auto"/>
        <w:ind w:firstLine="459"/>
        <w:outlineLvl w:val="0"/>
        <w:rPr>
          <w:rFonts w:hint="eastAsia" w:ascii="宋体" w:hAnsi="宋体" w:cs="宋体"/>
          <w:b/>
          <w:bCs/>
          <w:spacing w:val="20"/>
          <w:sz w:val="24"/>
        </w:rPr>
      </w:pPr>
      <w:bookmarkStart w:id="89" w:name="_Toc351203484"/>
      <w:r>
        <w:rPr>
          <w:rFonts w:hint="eastAsia" w:ascii="宋体" w:hAnsi="宋体" w:cs="宋体"/>
          <w:b/>
          <w:bCs/>
          <w:spacing w:val="20"/>
          <w:sz w:val="24"/>
        </w:rPr>
        <w:t>四、签约合同价与合同价格形式</w:t>
      </w:r>
      <w:bookmarkEnd w:id="89"/>
    </w:p>
    <w:p w14:paraId="2A735311">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1. 签约合同价为：</w:t>
      </w:r>
    </w:p>
    <w:p w14:paraId="25468CCB">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人民币（大写：</w:t>
      </w:r>
      <w:r>
        <w:rPr>
          <w:rFonts w:hint="eastAsia" w:ascii="宋体" w:hAnsi="宋体" w:cs="宋体"/>
          <w:spacing w:val="20"/>
          <w:sz w:val="24"/>
          <w:u w:val="single"/>
        </w:rPr>
        <w:t xml:space="preserve">                                      </w:t>
      </w:r>
      <w:r>
        <w:rPr>
          <w:rFonts w:hint="eastAsia" w:ascii="宋体" w:hAnsi="宋体" w:cs="宋体"/>
          <w:spacing w:val="20"/>
          <w:sz w:val="24"/>
        </w:rPr>
        <w:t>）；</w:t>
      </w:r>
    </w:p>
    <w:p w14:paraId="1E940484">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最终执行：如果结算审计价高于合同的按合同价执行，如果低于合同价的按审计价执行。</w:t>
      </w:r>
    </w:p>
    <w:p w14:paraId="2F7DFB58">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2. 合同价格形式：</w:t>
      </w:r>
      <w:r>
        <w:rPr>
          <w:rFonts w:hint="eastAsia" w:ascii="宋体" w:hAnsi="宋体" w:cs="宋体"/>
          <w:spacing w:val="20"/>
          <w:sz w:val="24"/>
          <w:u w:val="single"/>
        </w:rPr>
        <w:t xml:space="preserve">            </w:t>
      </w:r>
      <w:r>
        <w:rPr>
          <w:rFonts w:hint="eastAsia" w:ascii="宋体" w:hAnsi="宋体" w:cs="宋体"/>
          <w:spacing w:val="20"/>
          <w:sz w:val="24"/>
        </w:rPr>
        <w:t>。</w:t>
      </w:r>
    </w:p>
    <w:p w14:paraId="0F202C13">
      <w:pPr>
        <w:adjustRightInd w:val="0"/>
        <w:snapToGrid w:val="0"/>
        <w:spacing w:line="360" w:lineRule="auto"/>
        <w:ind w:firstLine="562" w:firstLineChars="200"/>
        <w:outlineLvl w:val="0"/>
        <w:rPr>
          <w:rFonts w:hint="eastAsia" w:ascii="宋体" w:hAnsi="宋体" w:cs="宋体"/>
          <w:b/>
          <w:bCs/>
          <w:spacing w:val="20"/>
          <w:sz w:val="24"/>
        </w:rPr>
      </w:pPr>
      <w:bookmarkStart w:id="90" w:name="_Toc351203485"/>
      <w:r>
        <w:rPr>
          <w:rFonts w:hint="eastAsia" w:ascii="宋体" w:hAnsi="宋体" w:cs="宋体"/>
          <w:b/>
          <w:bCs/>
          <w:spacing w:val="20"/>
          <w:sz w:val="24"/>
        </w:rPr>
        <w:t>五、</w:t>
      </w:r>
      <w:bookmarkEnd w:id="90"/>
      <w:r>
        <w:rPr>
          <w:rFonts w:hint="eastAsia" w:ascii="宋体" w:hAnsi="宋体" w:cs="宋体"/>
          <w:b/>
          <w:bCs/>
          <w:spacing w:val="20"/>
          <w:sz w:val="24"/>
        </w:rPr>
        <w:t>项目经理</w:t>
      </w:r>
    </w:p>
    <w:p w14:paraId="604784DB">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承包人项目经理：</w:t>
      </w:r>
      <w:r>
        <w:rPr>
          <w:rFonts w:hint="eastAsia" w:ascii="宋体" w:hAnsi="宋体" w:cs="宋体"/>
          <w:spacing w:val="20"/>
          <w:sz w:val="24"/>
          <w:u w:val="single"/>
        </w:rPr>
        <w:t xml:space="preserve">         </w:t>
      </w:r>
      <w:r>
        <w:rPr>
          <w:rFonts w:hint="eastAsia" w:ascii="宋体" w:hAnsi="宋体" w:cs="宋体"/>
          <w:spacing w:val="20"/>
          <w:sz w:val="24"/>
        </w:rPr>
        <w:t>。</w:t>
      </w:r>
    </w:p>
    <w:p w14:paraId="32C0A8FD">
      <w:pPr>
        <w:adjustRightInd w:val="0"/>
        <w:snapToGrid w:val="0"/>
        <w:spacing w:line="360" w:lineRule="auto"/>
        <w:ind w:firstLine="562" w:firstLineChars="200"/>
        <w:outlineLvl w:val="0"/>
        <w:rPr>
          <w:rFonts w:hint="eastAsia" w:ascii="宋体" w:hAnsi="宋体" w:cs="宋体"/>
          <w:b/>
          <w:bCs/>
          <w:spacing w:val="20"/>
          <w:sz w:val="24"/>
        </w:rPr>
      </w:pPr>
      <w:bookmarkStart w:id="91" w:name="_Toc351203486"/>
      <w:r>
        <w:rPr>
          <w:rFonts w:hint="eastAsia" w:ascii="宋体" w:hAnsi="宋体" w:cs="宋体"/>
          <w:b/>
          <w:bCs/>
          <w:spacing w:val="20"/>
          <w:sz w:val="24"/>
        </w:rPr>
        <w:t>六、合同文件构成</w:t>
      </w:r>
      <w:bookmarkEnd w:id="91"/>
    </w:p>
    <w:p w14:paraId="241FCD2D">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1.本协议书与下列文件一起构成合同文件：</w:t>
      </w:r>
    </w:p>
    <w:p w14:paraId="730EF3F6">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（1）中标通知书（如有）；</w:t>
      </w:r>
    </w:p>
    <w:p w14:paraId="1FB2228C">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 xml:space="preserve">（2）投标函及其附录（如有）； </w:t>
      </w:r>
    </w:p>
    <w:p w14:paraId="0FE42A35">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（3）专用合同条款及其附件；</w:t>
      </w:r>
    </w:p>
    <w:p w14:paraId="3F33E276">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（4）通用合同条款；</w:t>
      </w:r>
    </w:p>
    <w:p w14:paraId="44838CFA">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（5）技术标准和要求；</w:t>
      </w:r>
    </w:p>
    <w:p w14:paraId="05C430EF">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 xml:space="preserve">（6）已标价工程量清单或预算书； </w:t>
      </w:r>
    </w:p>
    <w:p w14:paraId="5295F9B2">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（7）图纸；</w:t>
      </w:r>
    </w:p>
    <w:p w14:paraId="5E98F655">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（8）其他合同文件。</w:t>
      </w:r>
    </w:p>
    <w:p w14:paraId="2D2EFE76">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2.双方有关工程的洽商、变更等书面协议或文件视为本合同的组成部分。</w:t>
      </w:r>
    </w:p>
    <w:p w14:paraId="7EE4B7B3">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上述各项合同文件包括合同当事人就该项合同文件所作出的补充和修改，属于同一类内容的文件，应以最新签署的为准。专用合同条款及其附件须经合同当事人签字或盖章。</w:t>
      </w:r>
    </w:p>
    <w:p w14:paraId="27684F21">
      <w:pPr>
        <w:autoSpaceDE w:val="0"/>
        <w:autoSpaceDN w:val="0"/>
        <w:adjustRightInd w:val="0"/>
        <w:snapToGrid w:val="0"/>
        <w:spacing w:line="360" w:lineRule="auto"/>
        <w:ind w:firstLine="562" w:firstLineChars="200"/>
        <w:jc w:val="left"/>
        <w:outlineLvl w:val="0"/>
        <w:rPr>
          <w:rFonts w:hint="eastAsia" w:ascii="宋体" w:hAnsi="宋体" w:cs="宋体"/>
          <w:b/>
          <w:bCs/>
          <w:spacing w:val="20"/>
          <w:sz w:val="24"/>
        </w:rPr>
      </w:pPr>
      <w:bookmarkStart w:id="92" w:name="_Toc351203487"/>
      <w:r>
        <w:rPr>
          <w:rFonts w:hint="eastAsia" w:ascii="宋体" w:hAnsi="宋体" w:cs="宋体"/>
          <w:b/>
          <w:bCs/>
          <w:spacing w:val="20"/>
          <w:sz w:val="24"/>
        </w:rPr>
        <w:t>七、承诺</w:t>
      </w:r>
      <w:bookmarkEnd w:id="92"/>
    </w:p>
    <w:p w14:paraId="67B07DA0">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1. 发包人承诺按照法律规定履行项目审批手续、筹集工程建设资金并按照合同约定的期限和方式支付合同价款。</w:t>
      </w:r>
    </w:p>
    <w:p w14:paraId="78D05EC1">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2. 承包人承诺按照法律规定及合同约定组织完成工程施工，确保工程质量和安全，不进行转包及违法分包，并在缺陷责任期及保修期内承担相应的工程维修责任。</w:t>
      </w:r>
    </w:p>
    <w:p w14:paraId="6CD00713">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3. 发包人和承包人签订的合同，双方理解并承诺不再就同一工程另行签订与合同实质性内容相背离的协议。</w:t>
      </w:r>
      <w:bookmarkStart w:id="93" w:name="_Toc351203488"/>
      <w:r>
        <w:rPr>
          <w:rFonts w:hint="eastAsia" w:ascii="宋体" w:hAnsi="宋体" w:cs="宋体"/>
          <w:bCs/>
          <w:spacing w:val="20"/>
          <w:sz w:val="24"/>
        </w:rPr>
        <w:t xml:space="preserve">其他未说明的有关管理办法严格按浦政规〔2020〕1号及相关规范执行。比如 </w:t>
      </w:r>
    </w:p>
    <w:p w14:paraId="03AC5293">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04E88FD2">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68E22A87">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（3）监理单位弄虚作假、超越权限，导致虚增工程量、多计价款的，不支付监理费，并由县行业行政监管部门给予处罚；给项目业主造成损失的，依法承担经济和法律责任。</w:t>
      </w:r>
    </w:p>
    <w:p w14:paraId="47866292">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监理单位一次弄虚作假、超越权限的，由县行业行政监管部门通报全县各镇（街道）、县直单位五年内不得参加本县政府投资项目的监理；造成经济损失的，依法承担赔偿责任；涉嫌犯罪的，依法追究刑事责任。</w:t>
      </w:r>
    </w:p>
    <w:p w14:paraId="0980599A">
      <w:pPr>
        <w:adjustRightInd w:val="0"/>
        <w:snapToGrid w:val="0"/>
        <w:spacing w:line="360" w:lineRule="auto"/>
        <w:ind w:firstLine="562" w:firstLineChars="200"/>
        <w:outlineLvl w:val="0"/>
        <w:rPr>
          <w:rFonts w:hint="eastAsia" w:ascii="宋体" w:hAnsi="宋体" w:cs="宋体"/>
          <w:b/>
          <w:bCs/>
          <w:spacing w:val="20"/>
          <w:sz w:val="24"/>
        </w:rPr>
      </w:pPr>
      <w:r>
        <w:rPr>
          <w:rFonts w:hint="eastAsia" w:ascii="宋体" w:hAnsi="宋体" w:cs="宋体"/>
          <w:b/>
          <w:bCs/>
          <w:spacing w:val="20"/>
          <w:sz w:val="24"/>
        </w:rPr>
        <w:t>八、词语含义</w:t>
      </w:r>
      <w:bookmarkEnd w:id="93"/>
    </w:p>
    <w:p w14:paraId="1BFA2544">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本协议书中词语含义与第二部分通用合同条款中赋予的含义相同。</w:t>
      </w:r>
    </w:p>
    <w:p w14:paraId="66745DA5">
      <w:pPr>
        <w:adjustRightInd w:val="0"/>
        <w:snapToGrid w:val="0"/>
        <w:spacing w:line="360" w:lineRule="auto"/>
        <w:ind w:firstLine="562" w:firstLineChars="200"/>
        <w:outlineLvl w:val="0"/>
        <w:rPr>
          <w:rFonts w:hint="eastAsia" w:ascii="宋体" w:hAnsi="宋体" w:cs="宋体"/>
          <w:b/>
          <w:bCs/>
          <w:spacing w:val="20"/>
          <w:sz w:val="24"/>
        </w:rPr>
      </w:pPr>
      <w:bookmarkStart w:id="94" w:name="_Toc351203489"/>
      <w:r>
        <w:rPr>
          <w:rFonts w:hint="eastAsia" w:ascii="宋体" w:hAnsi="宋体" w:cs="宋体"/>
          <w:b/>
          <w:bCs/>
          <w:spacing w:val="20"/>
          <w:sz w:val="24"/>
        </w:rPr>
        <w:t>九、签订时间</w:t>
      </w:r>
      <w:bookmarkEnd w:id="94"/>
    </w:p>
    <w:p w14:paraId="193968C6">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本合同于</w:t>
      </w:r>
      <w:r>
        <w:rPr>
          <w:rFonts w:hint="eastAsia" w:ascii="宋体" w:hAnsi="宋体" w:cs="宋体"/>
          <w:bCs/>
          <w:spacing w:val="20"/>
          <w:sz w:val="24"/>
          <w:u w:val="single"/>
        </w:rPr>
        <w:t xml:space="preserve">      </w:t>
      </w:r>
      <w:r>
        <w:rPr>
          <w:rFonts w:hint="eastAsia" w:ascii="宋体" w:hAnsi="宋体" w:cs="宋体"/>
          <w:bCs/>
          <w:spacing w:val="20"/>
          <w:sz w:val="24"/>
        </w:rPr>
        <w:t>年</w:t>
      </w:r>
      <w:r>
        <w:rPr>
          <w:rFonts w:hint="eastAsia" w:ascii="宋体" w:hAnsi="宋体" w:cs="宋体"/>
          <w:bCs/>
          <w:spacing w:val="20"/>
          <w:sz w:val="24"/>
          <w:u w:val="single"/>
        </w:rPr>
        <w:t xml:space="preserve">    </w:t>
      </w:r>
      <w:r>
        <w:rPr>
          <w:rFonts w:hint="eastAsia" w:ascii="宋体" w:hAnsi="宋体" w:cs="宋体"/>
          <w:bCs/>
          <w:spacing w:val="20"/>
          <w:sz w:val="24"/>
        </w:rPr>
        <w:t>月</w:t>
      </w:r>
      <w:r>
        <w:rPr>
          <w:rFonts w:hint="eastAsia" w:ascii="宋体" w:hAnsi="宋体" w:cs="宋体"/>
          <w:bCs/>
          <w:spacing w:val="20"/>
          <w:sz w:val="24"/>
          <w:u w:val="single"/>
        </w:rPr>
        <w:t xml:space="preserve">    </w:t>
      </w:r>
      <w:r>
        <w:rPr>
          <w:rFonts w:hint="eastAsia" w:ascii="宋体" w:hAnsi="宋体" w:cs="宋体"/>
          <w:bCs/>
          <w:spacing w:val="20"/>
          <w:sz w:val="24"/>
        </w:rPr>
        <w:t>日签订。</w:t>
      </w:r>
    </w:p>
    <w:p w14:paraId="4A7521A3">
      <w:pPr>
        <w:adjustRightInd w:val="0"/>
        <w:snapToGrid w:val="0"/>
        <w:spacing w:line="360" w:lineRule="auto"/>
        <w:ind w:firstLine="562" w:firstLineChars="200"/>
        <w:outlineLvl w:val="0"/>
        <w:rPr>
          <w:rFonts w:hint="eastAsia" w:ascii="宋体" w:hAnsi="宋体" w:cs="宋体"/>
          <w:b/>
          <w:bCs/>
          <w:spacing w:val="20"/>
          <w:sz w:val="24"/>
        </w:rPr>
      </w:pPr>
      <w:bookmarkStart w:id="95" w:name="_Toc351203490"/>
      <w:r>
        <w:rPr>
          <w:rFonts w:hint="eastAsia" w:ascii="宋体" w:hAnsi="宋体" w:cs="宋体"/>
          <w:b/>
          <w:bCs/>
          <w:spacing w:val="20"/>
          <w:sz w:val="24"/>
        </w:rPr>
        <w:t>十、签订地点</w:t>
      </w:r>
      <w:bookmarkEnd w:id="95"/>
    </w:p>
    <w:p w14:paraId="0A983C6A">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本合同在</w:t>
      </w:r>
      <w:r>
        <w:rPr>
          <w:rFonts w:hint="eastAsia" w:ascii="宋体" w:hAnsi="宋体" w:cs="宋体"/>
          <w:bCs/>
          <w:spacing w:val="20"/>
          <w:sz w:val="24"/>
          <w:u w:val="single"/>
        </w:rPr>
        <w:t xml:space="preserve">                    </w:t>
      </w:r>
      <w:r>
        <w:rPr>
          <w:rFonts w:hint="eastAsia" w:ascii="宋体" w:hAnsi="宋体" w:cs="宋体"/>
          <w:bCs/>
          <w:spacing w:val="20"/>
          <w:sz w:val="24"/>
        </w:rPr>
        <w:t>签订。</w:t>
      </w:r>
    </w:p>
    <w:p w14:paraId="0D526BF4">
      <w:pPr>
        <w:adjustRightInd w:val="0"/>
        <w:snapToGrid w:val="0"/>
        <w:spacing w:line="360" w:lineRule="auto"/>
        <w:ind w:firstLine="562" w:firstLineChars="200"/>
        <w:outlineLvl w:val="0"/>
        <w:rPr>
          <w:rFonts w:hint="eastAsia" w:ascii="宋体" w:hAnsi="宋体" w:cs="宋体"/>
          <w:b/>
          <w:bCs/>
          <w:spacing w:val="20"/>
          <w:sz w:val="24"/>
        </w:rPr>
      </w:pPr>
      <w:bookmarkStart w:id="96" w:name="_Toc351203491"/>
      <w:r>
        <w:rPr>
          <w:rFonts w:hint="eastAsia" w:ascii="宋体" w:hAnsi="宋体" w:cs="宋体"/>
          <w:b/>
          <w:bCs/>
          <w:spacing w:val="20"/>
          <w:sz w:val="24"/>
        </w:rPr>
        <w:t>十一、补充协议</w:t>
      </w:r>
      <w:bookmarkEnd w:id="96"/>
    </w:p>
    <w:p w14:paraId="2E042105">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合同未尽事宜，合同当事人另行签订补充协议，补充协议是合同的组成部分。</w:t>
      </w:r>
    </w:p>
    <w:p w14:paraId="6F738B30">
      <w:pPr>
        <w:adjustRightInd w:val="0"/>
        <w:snapToGrid w:val="0"/>
        <w:spacing w:line="360" w:lineRule="auto"/>
        <w:ind w:firstLine="562" w:firstLineChars="200"/>
        <w:outlineLvl w:val="0"/>
        <w:rPr>
          <w:rFonts w:hint="eastAsia" w:ascii="宋体" w:hAnsi="宋体" w:cs="宋体"/>
          <w:b/>
          <w:bCs/>
          <w:spacing w:val="20"/>
          <w:sz w:val="24"/>
        </w:rPr>
      </w:pPr>
      <w:bookmarkStart w:id="97" w:name="_Toc351203492"/>
      <w:r>
        <w:rPr>
          <w:rFonts w:hint="eastAsia" w:ascii="宋体" w:hAnsi="宋体" w:cs="宋体"/>
          <w:b/>
          <w:bCs/>
          <w:spacing w:val="20"/>
          <w:sz w:val="24"/>
        </w:rPr>
        <w:t>十二、合同生效</w:t>
      </w:r>
      <w:bookmarkEnd w:id="97"/>
    </w:p>
    <w:p w14:paraId="3EAFB07E">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本合同自</w:t>
      </w:r>
      <w:r>
        <w:rPr>
          <w:rFonts w:hint="eastAsia" w:ascii="宋体" w:hAnsi="宋体" w:cs="宋体"/>
          <w:bCs/>
          <w:spacing w:val="20"/>
          <w:sz w:val="24"/>
          <w:u w:val="single"/>
        </w:rPr>
        <w:t xml:space="preserve"> 双方法定代表人或其授权代理人签字并加盖单位公章之日起 </w:t>
      </w:r>
      <w:r>
        <w:rPr>
          <w:rFonts w:hint="eastAsia" w:ascii="宋体" w:hAnsi="宋体" w:cs="宋体"/>
          <w:bCs/>
          <w:spacing w:val="20"/>
          <w:sz w:val="24"/>
        </w:rPr>
        <w:t>生效。</w:t>
      </w:r>
    </w:p>
    <w:p w14:paraId="75129595">
      <w:pPr>
        <w:adjustRightInd w:val="0"/>
        <w:snapToGrid w:val="0"/>
        <w:spacing w:line="360" w:lineRule="auto"/>
        <w:ind w:firstLine="562" w:firstLineChars="200"/>
        <w:outlineLvl w:val="0"/>
        <w:rPr>
          <w:rFonts w:hint="eastAsia" w:ascii="宋体" w:hAnsi="宋体" w:cs="宋体"/>
          <w:b/>
          <w:bCs/>
          <w:spacing w:val="20"/>
          <w:sz w:val="24"/>
        </w:rPr>
      </w:pPr>
      <w:bookmarkStart w:id="98" w:name="_Toc351203493"/>
      <w:r>
        <w:rPr>
          <w:rFonts w:hint="eastAsia" w:ascii="宋体" w:hAnsi="宋体" w:cs="宋体"/>
          <w:b/>
          <w:bCs/>
          <w:spacing w:val="20"/>
          <w:sz w:val="24"/>
        </w:rPr>
        <w:t>十三、合同份数</w:t>
      </w:r>
      <w:bookmarkEnd w:id="98"/>
    </w:p>
    <w:p w14:paraId="65015DBA">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本合同一式</w:t>
      </w:r>
      <w:r>
        <w:rPr>
          <w:rFonts w:hint="eastAsia" w:ascii="宋体" w:hAnsi="宋体" w:cs="宋体"/>
          <w:bCs/>
          <w:spacing w:val="20"/>
          <w:sz w:val="24"/>
          <w:u w:val="single"/>
        </w:rPr>
        <w:t xml:space="preserve"> 六 </w:t>
      </w:r>
      <w:r>
        <w:rPr>
          <w:rFonts w:hint="eastAsia" w:ascii="宋体" w:hAnsi="宋体" w:cs="宋体"/>
          <w:bCs/>
          <w:spacing w:val="20"/>
          <w:sz w:val="24"/>
        </w:rPr>
        <w:t>份，均具有同等法律效力，发包人执</w:t>
      </w:r>
      <w:r>
        <w:rPr>
          <w:rFonts w:hint="eastAsia" w:ascii="宋体" w:hAnsi="宋体" w:cs="宋体"/>
          <w:bCs/>
          <w:spacing w:val="20"/>
          <w:sz w:val="24"/>
          <w:u w:val="single"/>
        </w:rPr>
        <w:t xml:space="preserve"> 三 </w:t>
      </w:r>
      <w:r>
        <w:rPr>
          <w:rFonts w:hint="eastAsia" w:ascii="宋体" w:hAnsi="宋体" w:cs="宋体"/>
          <w:bCs/>
          <w:spacing w:val="20"/>
          <w:sz w:val="24"/>
        </w:rPr>
        <w:t>份，承包人执</w:t>
      </w:r>
      <w:r>
        <w:rPr>
          <w:rFonts w:hint="eastAsia" w:ascii="宋体" w:hAnsi="宋体" w:cs="宋体"/>
          <w:bCs/>
          <w:spacing w:val="20"/>
          <w:sz w:val="24"/>
          <w:u w:val="single"/>
        </w:rPr>
        <w:t xml:space="preserve"> 三 </w:t>
      </w:r>
      <w:r>
        <w:rPr>
          <w:rFonts w:hint="eastAsia" w:ascii="宋体" w:hAnsi="宋体" w:cs="宋体"/>
          <w:bCs/>
          <w:spacing w:val="20"/>
          <w:sz w:val="24"/>
        </w:rPr>
        <w:t>份。</w:t>
      </w:r>
    </w:p>
    <w:p w14:paraId="0075984B">
      <w:pPr>
        <w:adjustRightInd w:val="0"/>
        <w:snapToGrid w:val="0"/>
        <w:spacing w:line="360" w:lineRule="auto"/>
        <w:rPr>
          <w:rFonts w:hint="eastAsia" w:ascii="宋体" w:hAnsi="宋体" w:cs="宋体"/>
          <w:bCs/>
          <w:spacing w:val="20"/>
          <w:sz w:val="24"/>
        </w:rPr>
      </w:pPr>
    </w:p>
    <w:p w14:paraId="3A60220E">
      <w:pPr>
        <w:adjustRightInd w:val="0"/>
        <w:snapToGrid w:val="0"/>
        <w:spacing w:line="420" w:lineRule="exact"/>
        <w:rPr>
          <w:rFonts w:hint="eastAsia" w:ascii="宋体" w:hAnsi="宋体" w:cs="宋体"/>
          <w:spacing w:val="20"/>
          <w:sz w:val="24"/>
        </w:rPr>
      </w:pPr>
      <w:bookmarkStart w:id="99" w:name="_Toc389065256"/>
      <w:bookmarkStart w:id="100" w:name="_Toc425437329"/>
      <w:bookmarkStart w:id="101" w:name="_Toc21285"/>
      <w:bookmarkStart w:id="102" w:name="_Toc439779029"/>
      <w:bookmarkStart w:id="103" w:name="_Toc16007"/>
      <w:bookmarkStart w:id="104" w:name="_Toc461982824"/>
      <w:bookmarkStart w:id="105" w:name="_Toc351203632"/>
      <w:bookmarkStart w:id="106" w:name="_Toc373478338"/>
      <w:bookmarkStart w:id="107" w:name="_Toc373227691"/>
      <w:r>
        <w:rPr>
          <w:rFonts w:hint="eastAsia" w:ascii="宋体" w:hAnsi="宋体" w:cs="宋体"/>
          <w:spacing w:val="20"/>
          <w:sz w:val="24"/>
        </w:rPr>
        <w:t>发包人：  （公章）              承包人：  （公章）</w:t>
      </w:r>
    </w:p>
    <w:p w14:paraId="15073E65">
      <w:pPr>
        <w:adjustRightInd w:val="0"/>
        <w:snapToGrid w:val="0"/>
        <w:spacing w:line="420" w:lineRule="exact"/>
        <w:rPr>
          <w:rFonts w:hint="eastAsia" w:ascii="宋体" w:hAnsi="宋体" w:cs="宋体"/>
          <w:spacing w:val="20"/>
          <w:sz w:val="24"/>
          <w:u w:val="single"/>
        </w:rPr>
      </w:pPr>
      <w:r>
        <w:rPr>
          <w:rFonts w:hint="eastAsia" w:ascii="宋体" w:hAnsi="宋体" w:cs="宋体"/>
          <w:spacing w:val="20"/>
          <w:sz w:val="24"/>
        </w:rPr>
        <w:t xml:space="preserve">浦北县石埇镇人民政府                                                                                                </w:t>
      </w:r>
    </w:p>
    <w:p w14:paraId="51F15652">
      <w:pPr>
        <w:adjustRightInd w:val="0"/>
        <w:snapToGrid w:val="0"/>
        <w:spacing w:line="420" w:lineRule="exact"/>
        <w:rPr>
          <w:rFonts w:hint="eastAsia" w:ascii="宋体" w:hAnsi="宋体" w:cs="宋体"/>
          <w:spacing w:val="20"/>
          <w:sz w:val="24"/>
        </w:rPr>
      </w:pPr>
      <w:r>
        <w:rPr>
          <w:rFonts w:hint="eastAsia" w:ascii="宋体" w:hAnsi="宋体" w:cs="宋体"/>
          <w:spacing w:val="20"/>
          <w:sz w:val="24"/>
        </w:rPr>
        <w:t>法定代表人：                   法定代表人：</w:t>
      </w:r>
    </w:p>
    <w:p w14:paraId="32897962">
      <w:pPr>
        <w:adjustRightInd w:val="0"/>
        <w:snapToGrid w:val="0"/>
        <w:spacing w:line="420" w:lineRule="exact"/>
        <w:rPr>
          <w:rFonts w:hint="eastAsia" w:ascii="宋体" w:hAnsi="宋体" w:cs="宋体"/>
          <w:spacing w:val="20"/>
          <w:sz w:val="24"/>
        </w:rPr>
      </w:pPr>
      <w:r>
        <w:rPr>
          <w:rFonts w:hint="eastAsia" w:ascii="宋体" w:hAnsi="宋体" w:cs="宋体"/>
          <w:spacing w:val="20"/>
          <w:sz w:val="24"/>
        </w:rPr>
        <w:t>或其委托代理人：               或其委托代理人：</w:t>
      </w:r>
    </w:p>
    <w:p w14:paraId="5F02662A">
      <w:pPr>
        <w:adjustRightInd w:val="0"/>
        <w:snapToGrid w:val="0"/>
        <w:spacing w:line="420" w:lineRule="exact"/>
        <w:rPr>
          <w:rFonts w:hint="eastAsia" w:ascii="宋体" w:hAnsi="宋体" w:cs="宋体"/>
          <w:spacing w:val="20"/>
          <w:sz w:val="24"/>
        </w:rPr>
      </w:pPr>
      <w:r>
        <w:rPr>
          <w:rFonts w:hint="eastAsia" w:ascii="宋体" w:hAnsi="宋体" w:cs="宋体"/>
          <w:spacing w:val="20"/>
          <w:sz w:val="24"/>
        </w:rPr>
        <w:t>地址：</w:t>
      </w:r>
      <w:r>
        <w:rPr>
          <w:rFonts w:hint="eastAsia" w:ascii="宋体" w:hAnsi="宋体" w:cs="宋体"/>
          <w:spacing w:val="20"/>
          <w:sz w:val="24"/>
          <w:u w:val="single"/>
        </w:rPr>
        <w:t xml:space="preserve">              </w:t>
      </w:r>
      <w:r>
        <w:rPr>
          <w:rFonts w:hint="eastAsia" w:ascii="宋体" w:hAnsi="宋体" w:cs="宋体"/>
          <w:spacing w:val="20"/>
          <w:sz w:val="24"/>
        </w:rPr>
        <w:t xml:space="preserve">          地址：</w:t>
      </w:r>
      <w:r>
        <w:rPr>
          <w:rFonts w:hint="eastAsia" w:asciiTheme="minorEastAsia" w:hAnsiTheme="minorEastAsia"/>
          <w:sz w:val="24"/>
          <w:u w:val="single"/>
        </w:rPr>
        <w:t xml:space="preserve">                       </w:t>
      </w:r>
    </w:p>
    <w:p w14:paraId="7A16309F">
      <w:pPr>
        <w:adjustRightInd w:val="0"/>
        <w:snapToGrid w:val="0"/>
        <w:spacing w:line="420" w:lineRule="exact"/>
        <w:rPr>
          <w:rFonts w:hint="eastAsia" w:ascii="宋体" w:hAnsi="宋体" w:cs="宋体"/>
          <w:spacing w:val="20"/>
          <w:sz w:val="24"/>
        </w:rPr>
      </w:pPr>
      <w:r>
        <w:rPr>
          <w:rFonts w:hint="eastAsia" w:ascii="宋体" w:hAnsi="宋体" w:cs="宋体"/>
          <w:spacing w:val="20"/>
          <w:sz w:val="24"/>
        </w:rPr>
        <w:t>邮政编码：</w:t>
      </w:r>
      <w:r>
        <w:rPr>
          <w:rFonts w:hint="eastAsia" w:ascii="宋体" w:hAnsi="宋体" w:cs="宋体"/>
          <w:spacing w:val="20"/>
          <w:sz w:val="24"/>
          <w:u w:val="single"/>
        </w:rPr>
        <w:t xml:space="preserve">           </w:t>
      </w:r>
      <w:r>
        <w:rPr>
          <w:rFonts w:hint="eastAsia" w:ascii="宋体" w:hAnsi="宋体" w:cs="宋体"/>
          <w:spacing w:val="20"/>
          <w:sz w:val="24"/>
        </w:rPr>
        <w:t xml:space="preserve">          邮政编码：</w:t>
      </w:r>
      <w:r>
        <w:rPr>
          <w:rFonts w:hint="eastAsia" w:ascii="宋体" w:hAnsi="宋体" w:cs="宋体"/>
          <w:spacing w:val="20"/>
          <w:sz w:val="24"/>
          <w:u w:val="single"/>
        </w:rPr>
        <w:t xml:space="preserve">               </w:t>
      </w:r>
    </w:p>
    <w:p w14:paraId="40543C06">
      <w:pPr>
        <w:adjustRightInd w:val="0"/>
        <w:snapToGrid w:val="0"/>
        <w:spacing w:line="420" w:lineRule="exact"/>
        <w:rPr>
          <w:rFonts w:hint="eastAsia" w:ascii="宋体" w:hAnsi="宋体" w:cs="宋体"/>
          <w:spacing w:val="20"/>
          <w:sz w:val="24"/>
        </w:rPr>
      </w:pPr>
      <w:r>
        <w:rPr>
          <w:rFonts w:hint="eastAsia" w:ascii="宋体" w:hAnsi="宋体" w:cs="宋体"/>
          <w:spacing w:val="20"/>
          <w:sz w:val="24"/>
        </w:rPr>
        <w:t>电话（传真）：</w:t>
      </w:r>
      <w:r>
        <w:rPr>
          <w:rFonts w:hint="eastAsia" w:ascii="宋体" w:hAnsi="宋体" w:cs="宋体"/>
          <w:spacing w:val="20"/>
          <w:sz w:val="24"/>
          <w:u w:val="single"/>
        </w:rPr>
        <w:t xml:space="preserve">          </w:t>
      </w:r>
      <w:r>
        <w:rPr>
          <w:rFonts w:hint="eastAsia" w:ascii="宋体" w:hAnsi="宋体" w:cs="宋体"/>
          <w:spacing w:val="20"/>
          <w:sz w:val="24"/>
        </w:rPr>
        <w:t xml:space="preserve">       电话（传真）：</w:t>
      </w:r>
      <w:r>
        <w:rPr>
          <w:rFonts w:hint="eastAsia" w:ascii="宋体" w:hAnsi="宋体" w:cs="宋体"/>
          <w:spacing w:val="20"/>
          <w:sz w:val="24"/>
          <w:u w:val="single"/>
        </w:rPr>
        <w:t xml:space="preserve">             </w:t>
      </w:r>
    </w:p>
    <w:p w14:paraId="7A8F7A2F">
      <w:pPr>
        <w:adjustRightInd w:val="0"/>
        <w:snapToGrid w:val="0"/>
        <w:spacing w:line="420" w:lineRule="exact"/>
        <w:rPr>
          <w:rFonts w:hint="eastAsia" w:ascii="宋体" w:hAnsi="宋体" w:cs="宋体"/>
          <w:spacing w:val="20"/>
          <w:sz w:val="24"/>
        </w:rPr>
      </w:pPr>
      <w:r>
        <w:rPr>
          <w:rFonts w:hint="eastAsia" w:ascii="宋体" w:hAnsi="宋体" w:cs="宋体"/>
          <w:spacing w:val="20"/>
          <w:sz w:val="24"/>
        </w:rPr>
        <w:t>开户银行：</w:t>
      </w:r>
      <w:r>
        <w:rPr>
          <w:rFonts w:hint="eastAsia" w:ascii="宋体" w:hAnsi="宋体" w:cs="宋体"/>
          <w:spacing w:val="20"/>
          <w:sz w:val="24"/>
          <w:u w:val="single"/>
        </w:rPr>
        <w:t xml:space="preserve">              </w:t>
      </w:r>
      <w:r>
        <w:rPr>
          <w:rFonts w:hint="eastAsia" w:ascii="宋体" w:hAnsi="宋体" w:cs="宋体"/>
          <w:spacing w:val="20"/>
          <w:sz w:val="24"/>
        </w:rPr>
        <w:t xml:space="preserve">      开户银行：</w:t>
      </w:r>
      <w:r>
        <w:rPr>
          <w:rFonts w:hint="eastAsia" w:asciiTheme="minorEastAsia" w:hAnsiTheme="minorEastAsia"/>
          <w:sz w:val="24"/>
          <w:u w:val="single"/>
        </w:rPr>
        <w:t xml:space="preserve">                      </w:t>
      </w:r>
    </w:p>
    <w:p w14:paraId="6D4F4C44">
      <w:pPr>
        <w:adjustRightInd w:val="0"/>
        <w:snapToGrid w:val="0"/>
        <w:spacing w:line="420" w:lineRule="exact"/>
        <w:rPr>
          <w:rFonts w:hint="eastAsia" w:ascii="宋体" w:hAnsi="宋体" w:cs="宋体"/>
          <w:spacing w:val="20"/>
          <w:sz w:val="24"/>
          <w:u w:val="single"/>
        </w:rPr>
      </w:pPr>
      <w:r>
        <w:rPr>
          <w:rFonts w:hint="eastAsia" w:ascii="宋体" w:hAnsi="宋体" w:cs="宋体"/>
          <w:spacing w:val="20"/>
          <w:sz w:val="24"/>
        </w:rPr>
        <w:t>账 号：</w:t>
      </w:r>
      <w:r>
        <w:rPr>
          <w:rFonts w:hint="eastAsia" w:ascii="宋体" w:hAnsi="宋体" w:cs="宋体"/>
          <w:spacing w:val="20"/>
          <w:sz w:val="24"/>
          <w:u w:val="single"/>
        </w:rPr>
        <w:t xml:space="preserve">               </w:t>
      </w:r>
      <w:r>
        <w:rPr>
          <w:rFonts w:hint="eastAsia" w:ascii="宋体" w:hAnsi="宋体" w:cs="宋体"/>
          <w:spacing w:val="20"/>
          <w:sz w:val="24"/>
        </w:rPr>
        <w:t xml:space="preserve">        账 号：</w:t>
      </w:r>
      <w:r>
        <w:rPr>
          <w:rFonts w:hint="eastAsia" w:asciiTheme="minorEastAsia" w:hAnsiTheme="minorEastAsia"/>
          <w:sz w:val="24"/>
          <w:u w:val="single"/>
        </w:rPr>
        <w:t xml:space="preserve">                     </w:t>
      </w:r>
      <w:r>
        <w:rPr>
          <w:rFonts w:hint="eastAsia" w:ascii="宋体" w:hAnsi="宋体" w:cs="宋体"/>
          <w:spacing w:val="20"/>
          <w:szCs w:val="21"/>
          <w:u w:val="single"/>
        </w:rPr>
        <w:t xml:space="preserve"> </w:t>
      </w:r>
      <w:r>
        <w:rPr>
          <w:rFonts w:hint="eastAsia" w:ascii="宋体" w:hAnsi="宋体" w:cs="宋体"/>
          <w:spacing w:val="20"/>
          <w:sz w:val="24"/>
          <w:u w:val="single"/>
        </w:rPr>
        <w:t xml:space="preserve"> </w:t>
      </w:r>
    </w:p>
    <w:p w14:paraId="162DBBD3">
      <w:pPr>
        <w:pStyle w:val="3"/>
        <w:keepNext w:val="0"/>
        <w:keepLines w:val="0"/>
        <w:spacing w:line="312" w:lineRule="auto"/>
        <w:jc w:val="center"/>
        <w:rPr>
          <w:rFonts w:hint="eastAsia" w:ascii="宋体" w:hAnsi="宋体" w:cs="宋体"/>
          <w:spacing w:val="20"/>
          <w:szCs w:val="32"/>
        </w:rPr>
      </w:pPr>
    </w:p>
    <w:p w14:paraId="738B4F83">
      <w:pPr>
        <w:rPr>
          <w:rFonts w:hint="eastAsia" w:ascii="宋体" w:hAnsi="宋体" w:cs="宋体"/>
          <w:spacing w:val="20"/>
          <w:szCs w:val="32"/>
        </w:rPr>
      </w:pPr>
    </w:p>
    <w:p w14:paraId="427647D4">
      <w:pPr>
        <w:rPr>
          <w:rFonts w:hint="eastAsia" w:ascii="宋体" w:hAnsi="宋体" w:cs="宋体"/>
          <w:spacing w:val="20"/>
          <w:szCs w:val="32"/>
        </w:rPr>
      </w:pPr>
    </w:p>
    <w:p w14:paraId="4EAE77F1">
      <w:pPr>
        <w:rPr>
          <w:rFonts w:hint="eastAsia" w:ascii="宋体" w:hAnsi="宋体" w:cs="宋体"/>
          <w:spacing w:val="20"/>
          <w:szCs w:val="32"/>
        </w:rPr>
      </w:pPr>
    </w:p>
    <w:p w14:paraId="163C2FEC">
      <w:pPr>
        <w:rPr>
          <w:rFonts w:hint="eastAsia" w:ascii="宋体" w:hAnsi="宋体" w:cs="宋体"/>
          <w:spacing w:val="20"/>
          <w:szCs w:val="32"/>
        </w:rPr>
      </w:pPr>
    </w:p>
    <w:p w14:paraId="1E071C45">
      <w:pPr>
        <w:rPr>
          <w:rFonts w:hint="eastAsia" w:ascii="宋体" w:hAnsi="宋体" w:cs="宋体"/>
          <w:spacing w:val="20"/>
          <w:szCs w:val="32"/>
        </w:rPr>
      </w:pPr>
    </w:p>
    <w:p w14:paraId="11D44B00">
      <w:pPr>
        <w:pStyle w:val="3"/>
        <w:keepNext w:val="0"/>
        <w:keepLines w:val="0"/>
        <w:spacing w:line="312" w:lineRule="auto"/>
        <w:jc w:val="center"/>
        <w:rPr>
          <w:rFonts w:hint="eastAsia" w:ascii="宋体" w:hAnsi="宋体" w:cs="宋体"/>
          <w:spacing w:val="20"/>
          <w:szCs w:val="32"/>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184E00DD">
      <w:pPr>
        <w:pStyle w:val="3"/>
        <w:keepNext w:val="0"/>
        <w:keepLines w:val="0"/>
        <w:spacing w:line="312" w:lineRule="auto"/>
        <w:jc w:val="center"/>
        <w:rPr>
          <w:rFonts w:hint="eastAsia" w:ascii="宋体" w:hAnsi="宋体" w:cs="宋体"/>
          <w:spacing w:val="20"/>
          <w:szCs w:val="32"/>
        </w:rPr>
      </w:pPr>
      <w:r>
        <w:rPr>
          <w:rFonts w:hint="eastAsia" w:ascii="宋体" w:hAnsi="宋体" w:cs="宋体"/>
          <w:spacing w:val="20"/>
          <w:szCs w:val="32"/>
        </w:rPr>
        <w:t>第二部分 通用合同条款</w:t>
      </w:r>
      <w:bookmarkEnd w:id="99"/>
      <w:bookmarkEnd w:id="100"/>
      <w:bookmarkEnd w:id="101"/>
      <w:bookmarkEnd w:id="102"/>
      <w:bookmarkEnd w:id="103"/>
      <w:bookmarkEnd w:id="104"/>
    </w:p>
    <w:p w14:paraId="0383EB2A">
      <w:pPr>
        <w:pStyle w:val="5"/>
        <w:spacing w:before="120" w:after="120" w:line="312" w:lineRule="auto"/>
        <w:rPr>
          <w:rFonts w:hint="eastAsia"/>
          <w:b w:val="0"/>
          <w:sz w:val="24"/>
          <w:szCs w:val="24"/>
        </w:rPr>
      </w:pPr>
      <w:bookmarkStart w:id="108" w:name="_Toc351203495"/>
      <w:bookmarkStart w:id="109" w:name="_Toc389065257"/>
      <w:bookmarkStart w:id="110" w:name="_Toc25546"/>
      <w:bookmarkStart w:id="111" w:name="_Toc425437330"/>
      <w:bookmarkStart w:id="112" w:name="_Toc1320"/>
      <w:bookmarkStart w:id="113" w:name="_Toc461982825"/>
      <w:bookmarkStart w:id="114" w:name="_Toc439779030"/>
      <w:r>
        <w:rPr>
          <w:rFonts w:hint="eastAsia"/>
          <w:b w:val="0"/>
          <w:sz w:val="24"/>
          <w:szCs w:val="24"/>
        </w:rPr>
        <w:t>1.</w:t>
      </w:r>
      <w:bookmarkStart w:id="115" w:name="_Toc303538972"/>
      <w:bookmarkEnd w:id="115"/>
      <w:bookmarkStart w:id="116" w:name="_Toc303538976"/>
      <w:bookmarkEnd w:id="116"/>
      <w:bookmarkStart w:id="117" w:name="_Toc303538975"/>
      <w:bookmarkEnd w:id="117"/>
      <w:bookmarkStart w:id="118" w:name="_Toc303538974"/>
      <w:bookmarkEnd w:id="118"/>
      <w:bookmarkStart w:id="119" w:name="_Toc303538973"/>
      <w:bookmarkEnd w:id="119"/>
      <w:bookmarkStart w:id="120" w:name="_Toc296346528"/>
      <w:bookmarkStart w:id="121" w:name="_Toc296503027"/>
      <w:r>
        <w:rPr>
          <w:rFonts w:hint="eastAsia"/>
          <w:b w:val="0"/>
          <w:sz w:val="24"/>
          <w:szCs w:val="24"/>
        </w:rPr>
        <w:t xml:space="preserve"> 一般约定</w:t>
      </w:r>
      <w:bookmarkEnd w:id="108"/>
      <w:bookmarkEnd w:id="120"/>
      <w:bookmarkEnd w:id="121"/>
    </w:p>
    <w:p w14:paraId="76E16BAB">
      <w:pPr>
        <w:pStyle w:val="6"/>
        <w:spacing w:before="120" w:after="120" w:line="312" w:lineRule="auto"/>
        <w:ind w:firstLine="480" w:firstLineChars="200"/>
        <w:rPr>
          <w:rFonts w:hint="eastAsia" w:ascii="宋体" w:hAnsi="宋体" w:cs="宋体"/>
          <w:b w:val="0"/>
          <w:sz w:val="24"/>
          <w:szCs w:val="24"/>
        </w:rPr>
      </w:pPr>
      <w:bookmarkStart w:id="122" w:name="_Toc337558728"/>
      <w:bookmarkStart w:id="123" w:name="_Toc296503028"/>
      <w:bookmarkStart w:id="124" w:name="_Toc296346529"/>
      <w:bookmarkStart w:id="125" w:name="_Toc351203496"/>
      <w:r>
        <w:rPr>
          <w:rFonts w:hint="eastAsia" w:ascii="宋体" w:hAnsi="宋体" w:cs="宋体"/>
          <w:b w:val="0"/>
          <w:sz w:val="24"/>
          <w:szCs w:val="24"/>
        </w:rPr>
        <w:t>1.1词语定义</w:t>
      </w:r>
      <w:bookmarkEnd w:id="122"/>
      <w:bookmarkEnd w:id="123"/>
      <w:bookmarkEnd w:id="124"/>
      <w:r>
        <w:rPr>
          <w:rFonts w:hint="eastAsia" w:ascii="宋体" w:hAnsi="宋体" w:cs="宋体"/>
          <w:b w:val="0"/>
          <w:sz w:val="24"/>
          <w:szCs w:val="24"/>
        </w:rPr>
        <w:t>与解释</w:t>
      </w:r>
      <w:bookmarkEnd w:id="125"/>
    </w:p>
    <w:p w14:paraId="40EC6EE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合同协议书、通用合同条款、专用合同条款中的下列词语具有本款所赋予的含义：</w:t>
      </w:r>
    </w:p>
    <w:p w14:paraId="4967E125">
      <w:pPr>
        <w:autoSpaceDE w:val="0"/>
        <w:autoSpaceDN w:val="0"/>
        <w:adjustRightInd w:val="0"/>
        <w:spacing w:line="312" w:lineRule="auto"/>
        <w:jc w:val="left"/>
        <w:rPr>
          <w:rFonts w:hint="eastAsia" w:ascii="宋体" w:hAnsi="宋体" w:cs="宋体"/>
          <w:kern w:val="0"/>
          <w:sz w:val="24"/>
        </w:rPr>
      </w:pPr>
      <w:r>
        <w:rPr>
          <w:rFonts w:hint="eastAsia" w:ascii="宋体" w:hAnsi="宋体" w:cs="宋体"/>
          <w:kern w:val="0"/>
          <w:sz w:val="24"/>
        </w:rPr>
        <w:t xml:space="preserve">    1.1.1 合同</w:t>
      </w:r>
    </w:p>
    <w:p w14:paraId="313535F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1.1.1.1 合同：是指根据法律规定和合同当事人约定具有约束力的文件，构成合同的文件包括合同协议书、中标通知书（如果有）、投标函及其附录（如果有）、专用合同条款</w:t>
      </w:r>
      <w:r>
        <w:rPr>
          <w:rFonts w:hint="eastAsia" w:ascii="宋体" w:hAnsi="宋体" w:cs="宋体"/>
          <w:sz w:val="24"/>
        </w:rPr>
        <w:t>及其附件</w:t>
      </w:r>
      <w:r>
        <w:rPr>
          <w:rFonts w:hint="eastAsia" w:ascii="宋体" w:hAnsi="宋体" w:cs="宋体"/>
          <w:kern w:val="0"/>
          <w:sz w:val="24"/>
        </w:rPr>
        <w:t>、通用合同条款、技术标准和要求、图纸、已标价工程量清单或预算书以及其他合同文件。</w:t>
      </w:r>
    </w:p>
    <w:p w14:paraId="6164F3D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1.1.1.2 合同协议书：是指构成合同的由发包人和承包人共同签署的称为“合同协议书”的书面文件。</w:t>
      </w:r>
    </w:p>
    <w:p w14:paraId="78EA68A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1.1.1.3 中标通知书：是指构成合同的由发包人通知承包人中标的书面文件。</w:t>
      </w:r>
    </w:p>
    <w:p w14:paraId="53BD8C5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1.1.1.4 投标函：是指构成合同的由承包人填写并签署的用于投标的称为“投标函”的文件。</w:t>
      </w:r>
    </w:p>
    <w:p w14:paraId="29BD859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1.1.1.5 投标函附录：是指构成合同的附在投标函后的称为“投标函附录”的文件。</w:t>
      </w:r>
    </w:p>
    <w:p w14:paraId="66BB2DE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1.1.1.6 技术标准和要求：是指构成合同的施工应当遵守的或指导施工的国家、行业或地方的技术标准和要求，以及合同约定的技术标准和要求。</w:t>
      </w:r>
    </w:p>
    <w:p w14:paraId="35DDB3C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1.1.1.7 图纸：是指构成合同的图纸，包括由发包人按照合同约定提供或经发包人批准的设计文件、施工图、鸟瞰图及模型等，以及在合同履行过程中形成的图纸文件。图纸应当按照法律规定审查合格。</w:t>
      </w:r>
    </w:p>
    <w:p w14:paraId="15472C4B">
      <w:pPr>
        <w:autoSpaceDE w:val="0"/>
        <w:autoSpaceDN w:val="0"/>
        <w:adjustRightInd w:val="0"/>
        <w:spacing w:line="312" w:lineRule="auto"/>
        <w:ind w:firstLine="468" w:firstLineChars="195"/>
        <w:jc w:val="left"/>
        <w:rPr>
          <w:rFonts w:hint="eastAsia" w:ascii="宋体" w:hAnsi="宋体" w:cs="宋体"/>
          <w:kern w:val="0"/>
          <w:sz w:val="24"/>
        </w:rPr>
      </w:pPr>
      <w:r>
        <w:rPr>
          <w:rFonts w:hint="eastAsia" w:ascii="宋体" w:hAnsi="宋体" w:cs="宋体"/>
          <w:kern w:val="0"/>
          <w:sz w:val="24"/>
        </w:rPr>
        <w:t>1.1.1.8 已标价工程量清单：是指构成合同的由承包人按照规定的格式和要求填写并标明价格的工程量清单，包括说明和表格。</w:t>
      </w:r>
    </w:p>
    <w:p w14:paraId="667AFFE7">
      <w:pPr>
        <w:autoSpaceDE w:val="0"/>
        <w:autoSpaceDN w:val="0"/>
        <w:adjustRightInd w:val="0"/>
        <w:spacing w:line="312" w:lineRule="auto"/>
        <w:ind w:firstLine="468" w:firstLineChars="195"/>
        <w:jc w:val="left"/>
        <w:rPr>
          <w:rFonts w:hint="eastAsia" w:ascii="宋体" w:hAnsi="宋体" w:cs="宋体"/>
          <w:kern w:val="0"/>
          <w:sz w:val="24"/>
        </w:rPr>
      </w:pPr>
      <w:r>
        <w:rPr>
          <w:rFonts w:hint="eastAsia" w:ascii="宋体" w:hAnsi="宋体" w:cs="宋体"/>
          <w:kern w:val="0"/>
          <w:sz w:val="24"/>
        </w:rPr>
        <w:t>1.1.1.9 预算书：是指构成合同的由承包人按照发包人规定的格式和要求编制的工程预算文件。</w:t>
      </w:r>
    </w:p>
    <w:p w14:paraId="17B825C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1.1.1.10 其他合同文件：是指经合同当事人约定的与工程施工有关的具有合同约束力的文件或书面协议。合同当事人可以在专用合同条款中进行约定。</w:t>
      </w:r>
    </w:p>
    <w:p w14:paraId="0E8DE324">
      <w:pPr>
        <w:autoSpaceDE w:val="0"/>
        <w:autoSpaceDN w:val="0"/>
        <w:adjustRightInd w:val="0"/>
        <w:spacing w:line="312" w:lineRule="auto"/>
        <w:jc w:val="left"/>
        <w:rPr>
          <w:rFonts w:hint="eastAsia" w:ascii="宋体" w:hAnsi="宋体" w:cs="宋体"/>
          <w:kern w:val="0"/>
          <w:sz w:val="24"/>
        </w:rPr>
      </w:pPr>
      <w:r>
        <w:rPr>
          <w:rFonts w:hint="eastAsia" w:ascii="宋体" w:hAnsi="宋体" w:cs="宋体"/>
          <w:kern w:val="0"/>
          <w:sz w:val="24"/>
        </w:rPr>
        <w:t xml:space="preserve">    1.1.2 合同当事人及其他相关方</w:t>
      </w:r>
    </w:p>
    <w:p w14:paraId="744F971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1.1.2.1 合同当事人：是指发包人和（或）承包人。</w:t>
      </w:r>
    </w:p>
    <w:p w14:paraId="2C655F3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1.1.2.2 发包人：是指与承包人签订合同协议书的当事人及取得该当事人资格的合法继承人。</w:t>
      </w:r>
    </w:p>
    <w:p w14:paraId="4801E06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1.1.2.3 承包人：是指与发包人签订合同协议书的，具有相应工程施工承包资质的当事人及取得该当事人资格的合法继承人。</w:t>
      </w:r>
    </w:p>
    <w:p w14:paraId="0B0A7DB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1.1.2.4 监理人：是指在专用合同条款中指明的，受发包人委托按照法律规定进行工程监督管理的法人或其他组织。</w:t>
      </w:r>
    </w:p>
    <w:p w14:paraId="2C8605C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1.1.2.5 设计人：是指在专用合同条款中指明的，受发包人委托负责工程设计并具备相应工程设计资质的法人或其他组织。</w:t>
      </w:r>
    </w:p>
    <w:p w14:paraId="2C98D938">
      <w:pPr>
        <w:spacing w:line="312" w:lineRule="auto"/>
        <w:ind w:firstLine="468" w:firstLineChars="195"/>
        <w:jc w:val="left"/>
        <w:rPr>
          <w:rFonts w:hint="eastAsia" w:ascii="宋体" w:hAnsi="宋体" w:cs="宋体"/>
          <w:kern w:val="0"/>
          <w:sz w:val="24"/>
        </w:rPr>
      </w:pPr>
      <w:r>
        <w:rPr>
          <w:rFonts w:hint="eastAsia" w:ascii="宋体" w:hAnsi="宋体" w:cs="宋体"/>
          <w:kern w:val="0"/>
          <w:sz w:val="24"/>
        </w:rPr>
        <w:t>1.1.2.6 分包人：</w:t>
      </w:r>
      <w:bookmarkStart w:id="126" w:name="#go5"/>
      <w:bookmarkEnd w:id="126"/>
      <w:r>
        <w:rPr>
          <w:rFonts w:hint="eastAsia" w:ascii="宋体" w:hAnsi="宋体" w:cs="宋体"/>
          <w:kern w:val="0"/>
          <w:sz w:val="24"/>
        </w:rPr>
        <w:t>是指按照法律规定和合同约定，分包部分工程或工作，并与承包人签订分包合同的具有相应资质的法人。</w:t>
      </w:r>
    </w:p>
    <w:p w14:paraId="7ED2141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1.1.2.7 发包人代表：是指由发包人任命并派驻施工现场在发包人授权范围内行使发包人权利的人。</w:t>
      </w:r>
    </w:p>
    <w:p w14:paraId="5C59423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1.1.2.8 项目经理：是指由承包人任命并派驻施工现场，在承包人授权范围内负责合同履行，且按照法律规定具有相应资格的项目负责人。</w:t>
      </w:r>
    </w:p>
    <w:p w14:paraId="674D469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1.1.2.9 总监理工程师：是指由监理人任命并派驻施工现场进行工程监理的总负责人。</w:t>
      </w:r>
    </w:p>
    <w:p w14:paraId="1A9AD5B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 工程和设备</w:t>
      </w:r>
    </w:p>
    <w:p w14:paraId="4104CD4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1.1.3.1 工程：是指与合同协议书中工程承包范围对应的永久工程和（或）临时工程。</w:t>
      </w:r>
    </w:p>
    <w:p w14:paraId="7043FEC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1.1.3.2 永久工程：是指按合同约定建造并移交给发包人的工程，包括工程设备。</w:t>
      </w:r>
    </w:p>
    <w:p w14:paraId="7B92C86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1.1.3.3 临时工程：是指为完成合同约定的永久工程所修建的各类临时性工程，不包括施工设备。</w:t>
      </w:r>
    </w:p>
    <w:p w14:paraId="491FE23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1.1.3.4 单位工程：是指在合同协议书中指明的，具备独立施工条件并能形成独立使用功能的永久工程。</w:t>
      </w:r>
    </w:p>
    <w:p w14:paraId="6736A2C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1.1.3.5 工程设备：是指构成永久工程的机电设备、金属结构设备、仪器及其他类似的设备和装置。</w:t>
      </w:r>
    </w:p>
    <w:p w14:paraId="3610D3F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1.1.3.6 施工设备：是指为完成合同约定的各项工作所需的设备、器具和其他物品，但不包括工程设备、临时工程和材料。</w:t>
      </w:r>
    </w:p>
    <w:p w14:paraId="3E9F77E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1.1.3.7 施工现场：是指用于工程施工的场所，以及在专用合同条款中指明作为施工场所组成部分的其他场所，包括永久占地和临时占地。</w:t>
      </w:r>
    </w:p>
    <w:p w14:paraId="06C6B67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1.1.3.8临时设施：是指为完成合同约定的各项工作所服务的临时性生产和生活设施。</w:t>
      </w:r>
    </w:p>
    <w:p w14:paraId="1053219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1.1.3.9 永久占地：是指专用合同条款中指明为实施工程需永久占用的土地。</w:t>
      </w:r>
    </w:p>
    <w:p w14:paraId="603C6B5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1.1.3.10 临时占地：是指专用合同条款中指明为实施工程需要临时占用的土地。</w:t>
      </w:r>
    </w:p>
    <w:p w14:paraId="08EE6EA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 日期和期限</w:t>
      </w:r>
    </w:p>
    <w:p w14:paraId="3E18B1A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464F09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1.1.4.2 竣工日期：包括计划竣工日期和实际竣工日期。计划竣工日期是指合同协议书约定的竣工日期；实际竣工日期按照第13.2.3项〔竣工日期〕的约定确定。 </w:t>
      </w:r>
    </w:p>
    <w:p w14:paraId="3F6FD522">
      <w:pPr>
        <w:spacing w:line="312" w:lineRule="auto"/>
        <w:ind w:firstLine="487" w:firstLineChars="203"/>
        <w:rPr>
          <w:rFonts w:hint="eastAsia" w:ascii="宋体" w:hAnsi="宋体" w:cs="宋体"/>
          <w:sz w:val="24"/>
        </w:rPr>
      </w:pPr>
      <w:r>
        <w:rPr>
          <w:rFonts w:hint="eastAsia" w:ascii="宋体" w:hAnsi="宋体" w:cs="宋体"/>
          <w:kern w:val="0"/>
          <w:sz w:val="24"/>
        </w:rPr>
        <w:t>1.1.4.3 工期：是指在合同协议书约定的承包人完成工程所需的期限，包括按照合同约定所作的期限变更。</w:t>
      </w:r>
    </w:p>
    <w:p w14:paraId="40505D3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1.1.4.4 缺陷责任期：是指承包人按照合同约定承担缺陷修复义务，且发包人预留质量保证金的期限，自工程实际竣工日期起计算。</w:t>
      </w:r>
    </w:p>
    <w:p w14:paraId="66157F2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1.1.4.5 保修期：是指承包人按照合同约定对工程承担保修责任的期限，从工程竣工验收合格之日起计算。</w:t>
      </w:r>
    </w:p>
    <w:p w14:paraId="61BB78B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1.1.4.6 基准日期：招标发包的工程以投标截止日前28天的日期为基准日期，直接发包的工程以合同签订日前28天的日期为基准日期。</w:t>
      </w:r>
    </w:p>
    <w:p w14:paraId="70121EB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1.1.4.7 天：除特别指明外，均指日历天。合同中按天计算时间的，开始当天不计入，从次日开始计算，期限最后一天的截止时间为当天24：00时。</w:t>
      </w:r>
    </w:p>
    <w:p w14:paraId="0231AC2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 合同价格和费用</w:t>
      </w:r>
    </w:p>
    <w:p w14:paraId="46A5FAE8">
      <w:pPr>
        <w:spacing w:line="312" w:lineRule="auto"/>
        <w:ind w:firstLine="480" w:firstLineChars="200"/>
        <w:jc w:val="left"/>
        <w:rPr>
          <w:rFonts w:hint="eastAsia" w:ascii="宋体" w:hAnsi="宋体" w:cs="宋体"/>
          <w:sz w:val="24"/>
        </w:rPr>
      </w:pPr>
      <w:r>
        <w:rPr>
          <w:rFonts w:hint="eastAsia" w:ascii="宋体" w:hAnsi="宋体" w:cs="宋体"/>
          <w:kern w:val="0"/>
          <w:sz w:val="24"/>
        </w:rPr>
        <w:t>1.1.5.1 签约合同价：是指</w:t>
      </w:r>
      <w:r>
        <w:rPr>
          <w:rFonts w:hint="eastAsia" w:ascii="宋体" w:hAnsi="宋体" w:cs="宋体"/>
          <w:sz w:val="24"/>
        </w:rPr>
        <w:t>发包人和承包人在合同协议书中确定的总金额，包括安全文明施工费、暂估价及暂列金额等。</w:t>
      </w:r>
    </w:p>
    <w:p w14:paraId="68976C9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1.1.5.2 合同价格：是指发包人用于支付承包人按照合同约定完成承包范围内全部工作的金额，包括合同履行过程中按合同约定发生的价格变化。</w:t>
      </w:r>
    </w:p>
    <w:p w14:paraId="142E240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1.1.5.3 费用：是指为履行合同所发生的或将要发生的所有必需的开支，包括管理费和应分摊的其他费用，但不包括利润。</w:t>
      </w:r>
    </w:p>
    <w:p w14:paraId="49287FA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1.1.5.4 暂估价：是指发包人在工程量清单或预算书中提供的用于支付必然发生但暂时不能确定价格的材料、工程设备的单价、专业工程以及服务工作的金额。</w:t>
      </w:r>
    </w:p>
    <w:p w14:paraId="31B5E71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A6FF4E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1.1.5.6 计日工：是指合同履行过程中，承包人完成发包人提出的零星工作或需要采用计日工计价的变更工作时，按合同中约定的单价计价的一种方式。</w:t>
      </w:r>
    </w:p>
    <w:p w14:paraId="24138363">
      <w:pPr>
        <w:spacing w:line="312" w:lineRule="auto"/>
        <w:ind w:firstLine="480" w:firstLineChars="200"/>
        <w:jc w:val="left"/>
        <w:rPr>
          <w:rFonts w:hint="eastAsia" w:ascii="宋体" w:hAnsi="宋体" w:cs="宋体"/>
          <w:sz w:val="24"/>
        </w:rPr>
      </w:pPr>
      <w:r>
        <w:rPr>
          <w:rFonts w:hint="eastAsia" w:ascii="宋体" w:hAnsi="宋体" w:cs="宋体"/>
          <w:kern w:val="0"/>
          <w:sz w:val="24"/>
        </w:rPr>
        <w:t>1.1.5.7 质量保证金</w:t>
      </w:r>
      <w:bookmarkStart w:id="127" w:name="#go2"/>
      <w:bookmarkEnd w:id="127"/>
      <w:r>
        <w:rPr>
          <w:rFonts w:hint="eastAsia" w:ascii="宋体" w:hAnsi="宋体" w:cs="宋体"/>
          <w:kern w:val="0"/>
          <w:sz w:val="24"/>
        </w:rPr>
        <w:t>：是指按照第15.3款〔质量保证金〕约定承包人用于保证其在缺陷责任期内履行缺陷修补义务的担保</w:t>
      </w:r>
      <w:r>
        <w:rPr>
          <w:rFonts w:hint="eastAsia" w:ascii="宋体" w:hAnsi="宋体" w:cs="宋体"/>
          <w:sz w:val="24"/>
        </w:rPr>
        <w:t>。</w:t>
      </w:r>
    </w:p>
    <w:p w14:paraId="1BA4204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1.1.5.8 总价项目：是指在现行国家、行业以及地方的计量规则中无工程量计算规则，在已标价工程量清单或预算书中以总价或以费率形式计算的项目。</w:t>
      </w:r>
    </w:p>
    <w:p w14:paraId="0277A0FC">
      <w:pPr>
        <w:spacing w:line="312" w:lineRule="auto"/>
        <w:ind w:firstLine="480" w:firstLineChars="200"/>
        <w:jc w:val="left"/>
        <w:rPr>
          <w:rFonts w:hint="eastAsia" w:ascii="宋体" w:hAnsi="宋体" w:cs="宋体"/>
          <w:sz w:val="24"/>
        </w:rPr>
      </w:pPr>
      <w:r>
        <w:rPr>
          <w:rFonts w:hint="eastAsia" w:ascii="宋体" w:hAnsi="宋体" w:cs="宋体"/>
          <w:sz w:val="24"/>
        </w:rPr>
        <w:t>1.1.6 其他</w:t>
      </w:r>
    </w:p>
    <w:p w14:paraId="42679ED1">
      <w:pPr>
        <w:spacing w:line="312" w:lineRule="auto"/>
        <w:ind w:firstLine="480" w:firstLineChars="200"/>
        <w:jc w:val="left"/>
        <w:rPr>
          <w:rFonts w:hint="eastAsia" w:ascii="宋体" w:hAnsi="宋体" w:cs="宋体"/>
          <w:sz w:val="24"/>
        </w:rPr>
      </w:pPr>
      <w:r>
        <w:rPr>
          <w:rFonts w:hint="eastAsia" w:ascii="宋体" w:hAnsi="宋体" w:cs="宋体"/>
          <w:sz w:val="24"/>
        </w:rPr>
        <w:t>1.1.6.1 书面形式：是指合同文件、信函、电报、传真等可以有形地表现所载内容的形式。</w:t>
      </w:r>
    </w:p>
    <w:p w14:paraId="1C448568">
      <w:pPr>
        <w:pStyle w:val="6"/>
        <w:spacing w:before="120" w:after="120" w:line="312" w:lineRule="auto"/>
        <w:rPr>
          <w:rFonts w:hint="eastAsia" w:ascii="宋体" w:hAnsi="宋体" w:cs="宋体"/>
          <w:b w:val="0"/>
          <w:sz w:val="24"/>
          <w:szCs w:val="24"/>
        </w:rPr>
      </w:pPr>
      <w:r>
        <w:rPr>
          <w:rFonts w:hint="eastAsia" w:ascii="宋体" w:hAnsi="宋体" w:cs="宋体"/>
          <w:b w:val="0"/>
          <w:sz w:val="24"/>
          <w:szCs w:val="24"/>
        </w:rPr>
        <w:t xml:space="preserve">    </w:t>
      </w:r>
      <w:bookmarkStart w:id="128" w:name="_Toc351203497"/>
      <w:bookmarkStart w:id="129" w:name="_Toc296346530"/>
      <w:bookmarkStart w:id="130" w:name="_Toc337558729"/>
      <w:bookmarkStart w:id="131" w:name="_Toc296503029"/>
      <w:r>
        <w:rPr>
          <w:rFonts w:hint="eastAsia" w:ascii="宋体" w:hAnsi="宋体" w:cs="宋体"/>
          <w:b w:val="0"/>
          <w:sz w:val="24"/>
          <w:szCs w:val="24"/>
        </w:rPr>
        <w:t>1.2语言文字</w:t>
      </w:r>
      <w:bookmarkEnd w:id="128"/>
      <w:bookmarkEnd w:id="129"/>
      <w:bookmarkEnd w:id="130"/>
      <w:bookmarkEnd w:id="131"/>
    </w:p>
    <w:p w14:paraId="0BBEAA3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合同以中国的汉语简体文字编写、解释和说明。合同当事人在专用合同条款中约定使用两种以上语言时，汉语为优先解释和说明合同的语言。</w:t>
      </w:r>
    </w:p>
    <w:p w14:paraId="2C94EC1A">
      <w:pPr>
        <w:pStyle w:val="6"/>
        <w:spacing w:before="120" w:after="120" w:line="312" w:lineRule="auto"/>
        <w:ind w:firstLine="480" w:firstLineChars="200"/>
        <w:rPr>
          <w:rFonts w:hint="eastAsia" w:ascii="宋体" w:hAnsi="宋体" w:cs="宋体"/>
          <w:b w:val="0"/>
          <w:sz w:val="24"/>
          <w:szCs w:val="24"/>
        </w:rPr>
      </w:pPr>
      <w:bookmarkStart w:id="132" w:name="_Toc296503030"/>
      <w:bookmarkStart w:id="133" w:name="_Toc296346531"/>
      <w:bookmarkStart w:id="134" w:name="_Toc337558730"/>
      <w:bookmarkStart w:id="135" w:name="_Toc351203498"/>
      <w:r>
        <w:rPr>
          <w:rFonts w:hint="eastAsia" w:ascii="宋体" w:hAnsi="宋体" w:cs="宋体"/>
          <w:b w:val="0"/>
          <w:sz w:val="24"/>
          <w:szCs w:val="24"/>
        </w:rPr>
        <w:t>1.3法律</w:t>
      </w:r>
      <w:bookmarkEnd w:id="132"/>
      <w:bookmarkEnd w:id="133"/>
      <w:bookmarkEnd w:id="134"/>
      <w:bookmarkEnd w:id="135"/>
    </w:p>
    <w:p w14:paraId="68327F6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合同所称法律是指中华人民共和国法律、行政法规、部门规章，以及工程所在地的地方性法规、自治条例、单行条例和地方政府规章等。</w:t>
      </w:r>
    </w:p>
    <w:p w14:paraId="744E8A1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合同当事人可以在专用合同条款中约定合同适用的其他规范性文件。</w:t>
      </w:r>
    </w:p>
    <w:p w14:paraId="0413FE2E">
      <w:pPr>
        <w:pStyle w:val="6"/>
        <w:spacing w:before="120" w:after="120" w:line="312" w:lineRule="auto"/>
        <w:ind w:firstLine="480" w:firstLineChars="200"/>
        <w:rPr>
          <w:rFonts w:hint="eastAsia" w:ascii="宋体" w:hAnsi="宋体" w:cs="宋体"/>
          <w:b w:val="0"/>
          <w:sz w:val="24"/>
          <w:szCs w:val="24"/>
        </w:rPr>
      </w:pPr>
      <w:bookmarkStart w:id="136" w:name="_Toc351203499"/>
      <w:r>
        <w:rPr>
          <w:rFonts w:hint="eastAsia" w:ascii="宋体" w:hAnsi="宋体" w:cs="宋体"/>
          <w:b w:val="0"/>
          <w:sz w:val="24"/>
          <w:szCs w:val="24"/>
        </w:rPr>
        <w:t>1.4 标准和规范</w:t>
      </w:r>
      <w:bookmarkEnd w:id="136"/>
    </w:p>
    <w:p w14:paraId="0E0AE72E">
      <w:pPr>
        <w:autoSpaceDE w:val="0"/>
        <w:autoSpaceDN w:val="0"/>
        <w:adjustRightInd w:val="0"/>
        <w:spacing w:line="312" w:lineRule="auto"/>
        <w:ind w:firstLine="640"/>
        <w:jc w:val="left"/>
        <w:rPr>
          <w:rFonts w:hint="eastAsia" w:ascii="宋体" w:hAnsi="宋体" w:cs="宋体"/>
          <w:kern w:val="0"/>
          <w:sz w:val="24"/>
        </w:rPr>
      </w:pPr>
      <w:r>
        <w:rPr>
          <w:rFonts w:hint="eastAsia" w:ascii="宋体" w:hAnsi="宋体" w:cs="宋体"/>
          <w:kern w:val="0"/>
          <w:sz w:val="24"/>
        </w:rPr>
        <w:t>1.4.1 适用于工程的国家标准、行业标准、工程所在地的地方性标准，以及相应的规范、规程等，合同当事人有特别要求的，应在专用合同条款中约定。</w:t>
      </w:r>
    </w:p>
    <w:p w14:paraId="53539997">
      <w:pPr>
        <w:autoSpaceDE w:val="0"/>
        <w:autoSpaceDN w:val="0"/>
        <w:adjustRightInd w:val="0"/>
        <w:spacing w:line="312" w:lineRule="auto"/>
        <w:ind w:firstLine="640"/>
        <w:jc w:val="left"/>
        <w:rPr>
          <w:rFonts w:hint="eastAsia" w:ascii="宋体" w:hAnsi="宋体" w:cs="宋体"/>
          <w:kern w:val="0"/>
          <w:sz w:val="24"/>
        </w:rPr>
      </w:pPr>
      <w:r>
        <w:rPr>
          <w:rFonts w:hint="eastAsia" w:ascii="宋体" w:hAnsi="宋体" w:cs="宋体"/>
          <w:kern w:val="0"/>
          <w:sz w:val="24"/>
        </w:rPr>
        <w:t>1.4.2 发包人要求使用国外标准、规范的，发包人负责提供原文版本和中文译本，并在专用合同条款中约定提供标准规范的名称、份数和时间。</w:t>
      </w:r>
    </w:p>
    <w:p w14:paraId="49381371">
      <w:pPr>
        <w:autoSpaceDE w:val="0"/>
        <w:autoSpaceDN w:val="0"/>
        <w:adjustRightInd w:val="0"/>
        <w:spacing w:line="312" w:lineRule="auto"/>
        <w:ind w:firstLine="640"/>
        <w:jc w:val="left"/>
        <w:rPr>
          <w:rFonts w:hint="eastAsia" w:ascii="宋体" w:hAnsi="宋体" w:cs="宋体"/>
          <w:kern w:val="0"/>
          <w:sz w:val="24"/>
        </w:rPr>
      </w:pPr>
      <w:r>
        <w:rPr>
          <w:rFonts w:hint="eastAsia" w:ascii="宋体" w:hAnsi="宋体" w:cs="宋体"/>
          <w:kern w:val="0"/>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74EAAE0">
      <w:pPr>
        <w:pStyle w:val="6"/>
        <w:spacing w:before="120" w:after="120" w:line="312" w:lineRule="auto"/>
        <w:ind w:firstLine="480" w:firstLineChars="200"/>
        <w:rPr>
          <w:rFonts w:hint="eastAsia" w:ascii="宋体" w:hAnsi="宋体" w:cs="宋体"/>
          <w:b w:val="0"/>
          <w:sz w:val="24"/>
          <w:szCs w:val="24"/>
        </w:rPr>
      </w:pPr>
      <w:bookmarkStart w:id="137" w:name="_Toc351203500"/>
      <w:r>
        <w:rPr>
          <w:rFonts w:hint="eastAsia" w:ascii="宋体" w:hAnsi="宋体" w:cs="宋体"/>
          <w:b w:val="0"/>
          <w:sz w:val="24"/>
          <w:szCs w:val="24"/>
        </w:rPr>
        <w:t>1</w:t>
      </w:r>
      <w:bookmarkStart w:id="138" w:name="_Toc296346532"/>
      <w:bookmarkStart w:id="139" w:name="_Toc296503031"/>
      <w:bookmarkStart w:id="140" w:name="_Toc337558731"/>
      <w:r>
        <w:rPr>
          <w:rFonts w:hint="eastAsia" w:ascii="宋体" w:hAnsi="宋体" w:cs="宋体"/>
          <w:b w:val="0"/>
          <w:sz w:val="24"/>
          <w:szCs w:val="24"/>
        </w:rPr>
        <w:t>.5 合同文件的优先顺序</w:t>
      </w:r>
      <w:bookmarkEnd w:id="137"/>
    </w:p>
    <w:bookmarkEnd w:id="138"/>
    <w:bookmarkEnd w:id="139"/>
    <w:bookmarkEnd w:id="140"/>
    <w:p w14:paraId="6FFDF82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组成合同的各项文件应互相解释，互为说明。除专用合同条款另有约定外，解释合同文件的优先顺序如下：</w:t>
      </w:r>
    </w:p>
    <w:p w14:paraId="7D26443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（1）合同协议书；</w:t>
      </w:r>
    </w:p>
    <w:p w14:paraId="4013CD9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（2）中标通知书（如果有）；</w:t>
      </w:r>
    </w:p>
    <w:p w14:paraId="52C405E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（3）投标函及其附录（如果有）；</w:t>
      </w:r>
    </w:p>
    <w:p w14:paraId="45246C0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（4）专用合同条款</w:t>
      </w:r>
      <w:r>
        <w:rPr>
          <w:rFonts w:hint="eastAsia" w:ascii="宋体" w:hAnsi="宋体" w:cs="宋体"/>
          <w:sz w:val="24"/>
        </w:rPr>
        <w:t>及其附件</w:t>
      </w:r>
      <w:r>
        <w:rPr>
          <w:rFonts w:hint="eastAsia" w:ascii="宋体" w:hAnsi="宋体" w:cs="宋体"/>
          <w:kern w:val="0"/>
          <w:sz w:val="24"/>
        </w:rPr>
        <w:t>；</w:t>
      </w:r>
    </w:p>
    <w:p w14:paraId="215035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（5）通用合同条款；</w:t>
      </w:r>
    </w:p>
    <w:p w14:paraId="1D1FB43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（6）技术标准和要求；</w:t>
      </w:r>
    </w:p>
    <w:p w14:paraId="6450FB8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（7）图纸；</w:t>
      </w:r>
    </w:p>
    <w:p w14:paraId="11CED65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（8）已标价工程量清单或预算书；</w:t>
      </w:r>
    </w:p>
    <w:p w14:paraId="4702A9F1">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（9）其他合同文件。</w:t>
      </w:r>
    </w:p>
    <w:p w14:paraId="4C3E5B91">
      <w:pPr>
        <w:spacing w:line="312" w:lineRule="auto"/>
        <w:ind w:firstLine="511" w:firstLineChars="213"/>
        <w:rPr>
          <w:rFonts w:hint="eastAsia"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w:t>
      </w:r>
    </w:p>
    <w:p w14:paraId="0F4B9B6D">
      <w:pPr>
        <w:spacing w:line="312" w:lineRule="auto"/>
        <w:ind w:firstLine="511" w:firstLineChars="213"/>
        <w:rPr>
          <w:rFonts w:hint="eastAsia" w:ascii="宋体" w:hAnsi="宋体" w:cs="宋体"/>
          <w:sz w:val="24"/>
        </w:rPr>
      </w:pPr>
      <w:r>
        <w:rPr>
          <w:rFonts w:hint="eastAsia" w:ascii="宋体" w:hAnsi="宋体" w:cs="宋体"/>
          <w:sz w:val="24"/>
        </w:rPr>
        <w:t>在合同订立及履行过程中形成的与合同有关的文件均构成合同文件组成部分，并根据其性质确定优先解释顺序。</w:t>
      </w:r>
    </w:p>
    <w:p w14:paraId="62965E97">
      <w:pPr>
        <w:pStyle w:val="6"/>
        <w:spacing w:before="120" w:after="120" w:line="312" w:lineRule="auto"/>
        <w:ind w:firstLine="480" w:firstLineChars="200"/>
        <w:rPr>
          <w:rFonts w:hint="eastAsia" w:ascii="宋体" w:hAnsi="宋体" w:cs="宋体"/>
          <w:b w:val="0"/>
          <w:sz w:val="24"/>
          <w:szCs w:val="24"/>
        </w:rPr>
      </w:pPr>
      <w:bookmarkStart w:id="141" w:name="_Toc351203501"/>
      <w:r>
        <w:rPr>
          <w:rFonts w:hint="eastAsia" w:ascii="宋体" w:hAnsi="宋体" w:cs="宋体"/>
          <w:b w:val="0"/>
          <w:sz w:val="24"/>
          <w:szCs w:val="24"/>
        </w:rPr>
        <w:t>1</w:t>
      </w:r>
      <w:bookmarkStart w:id="142" w:name="_Toc296346533"/>
      <w:bookmarkStart w:id="143" w:name="_Toc296503032"/>
      <w:bookmarkStart w:id="144" w:name="_Toc337558732"/>
      <w:r>
        <w:rPr>
          <w:rFonts w:hint="eastAsia" w:ascii="宋体" w:hAnsi="宋体" w:cs="宋体"/>
          <w:b w:val="0"/>
          <w:sz w:val="24"/>
          <w:szCs w:val="24"/>
        </w:rPr>
        <w:t>.6图纸和承包人文件</w:t>
      </w:r>
      <w:bookmarkEnd w:id="141"/>
    </w:p>
    <w:bookmarkEnd w:id="142"/>
    <w:bookmarkEnd w:id="143"/>
    <w:bookmarkEnd w:id="144"/>
    <w:p w14:paraId="3DB7B75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1.6.1 图纸的提供和交底</w:t>
      </w:r>
    </w:p>
    <w:p w14:paraId="4C00B74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2840D9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因发包人未按合同约定提供图纸导致承包人费用增加和（或）工期延误的，按照第7.5.1项〔因发包人原因导致工期延误〕约定办理。</w:t>
      </w:r>
    </w:p>
    <w:p w14:paraId="2F0B0C5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1.6.2 图纸的错误</w:t>
      </w:r>
    </w:p>
    <w:p w14:paraId="55E42F7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DFD5F8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1.6.3 图纸的修改和补充</w:t>
      </w:r>
    </w:p>
    <w:p w14:paraId="6C47084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14:paraId="7C1548C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1.6.4 承包人文件</w:t>
      </w:r>
    </w:p>
    <w:p w14:paraId="57961B7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承包人应按照专用合同条款的约定提供应当由其编制的与工程施工有关的文件，并按照专用合同条款约定的期限、数量和形式提交监理人，并由监理人报送发包人。</w:t>
      </w:r>
    </w:p>
    <w:p w14:paraId="34A872F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D4FDD5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1.6.5 图纸和承包人文件的保管</w:t>
      </w:r>
    </w:p>
    <w:p w14:paraId="3BEB9B3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除专用合同条款另有约定外，承包人应在施工现场另外保存一套完整的图纸和承包人文件，供发包人、监理人及有关人员进行工程检查时使用。</w:t>
      </w:r>
    </w:p>
    <w:p w14:paraId="58AD63F1">
      <w:pPr>
        <w:pStyle w:val="6"/>
        <w:spacing w:before="120" w:after="120" w:line="312" w:lineRule="auto"/>
        <w:ind w:firstLine="480" w:firstLineChars="200"/>
        <w:rPr>
          <w:rFonts w:hint="eastAsia" w:ascii="宋体" w:hAnsi="宋体" w:cs="宋体"/>
          <w:b w:val="0"/>
          <w:sz w:val="24"/>
          <w:szCs w:val="24"/>
        </w:rPr>
      </w:pPr>
      <w:bookmarkStart w:id="145" w:name="_Toc351203502"/>
      <w:r>
        <w:rPr>
          <w:rFonts w:hint="eastAsia" w:ascii="宋体" w:hAnsi="宋体" w:cs="宋体"/>
          <w:b w:val="0"/>
          <w:sz w:val="24"/>
          <w:szCs w:val="24"/>
        </w:rPr>
        <w:t>1</w:t>
      </w:r>
      <w:bookmarkStart w:id="146" w:name="_Toc296503033"/>
      <w:bookmarkStart w:id="147" w:name="_Toc337558733"/>
      <w:bookmarkStart w:id="148" w:name="_Toc296346534"/>
      <w:r>
        <w:rPr>
          <w:rFonts w:hint="eastAsia" w:ascii="宋体" w:hAnsi="宋体" w:cs="宋体"/>
          <w:b w:val="0"/>
          <w:sz w:val="24"/>
          <w:szCs w:val="24"/>
        </w:rPr>
        <w:t>.7联络</w:t>
      </w:r>
      <w:bookmarkEnd w:id="145"/>
    </w:p>
    <w:bookmarkEnd w:id="146"/>
    <w:bookmarkEnd w:id="147"/>
    <w:bookmarkEnd w:id="148"/>
    <w:p w14:paraId="0EDFF6C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1.7.1 与合同有关的通知、批准、证明、证书、指示、指令、要求、请求、同意、意见、确定和决定等，均应采用书面形式，并应在合同约定的期限内送达接收人和送达地点。</w:t>
      </w:r>
    </w:p>
    <w:p w14:paraId="410B358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1.7.2 发包人和承包人应在专用合同条款中约定各自的送达接收人和送达地点。任何一方合同当事人指定的接收人或送达地点发生变动的，应提前3天以书面形式通知对方。</w:t>
      </w:r>
    </w:p>
    <w:p w14:paraId="6610E12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1.7.3 发包人和承包人应当及时签收另一方送达至送达地点和指定接收人的来往信函。拒不签收的，由此增加的费用和（或）延误的工期由拒绝接收一方承担。</w:t>
      </w:r>
    </w:p>
    <w:p w14:paraId="309A1A44">
      <w:pPr>
        <w:pStyle w:val="6"/>
        <w:spacing w:before="120" w:after="120" w:line="312" w:lineRule="auto"/>
        <w:ind w:firstLine="480" w:firstLineChars="200"/>
        <w:rPr>
          <w:rFonts w:hint="eastAsia" w:ascii="宋体" w:hAnsi="宋体" w:cs="宋体"/>
          <w:b w:val="0"/>
          <w:sz w:val="24"/>
          <w:szCs w:val="24"/>
        </w:rPr>
      </w:pPr>
      <w:bookmarkStart w:id="149" w:name="_Toc351203503"/>
      <w:r>
        <w:rPr>
          <w:rFonts w:hint="eastAsia" w:ascii="宋体" w:hAnsi="宋体" w:cs="宋体"/>
          <w:b w:val="0"/>
          <w:sz w:val="24"/>
          <w:szCs w:val="24"/>
        </w:rPr>
        <w:t>1</w:t>
      </w:r>
      <w:bookmarkStart w:id="150" w:name="_Toc296346536"/>
      <w:bookmarkStart w:id="151" w:name="_Toc296503035"/>
      <w:bookmarkStart w:id="152" w:name="_Toc337558734"/>
      <w:r>
        <w:rPr>
          <w:rFonts w:hint="eastAsia" w:ascii="宋体" w:hAnsi="宋体" w:cs="宋体"/>
          <w:b w:val="0"/>
          <w:sz w:val="24"/>
          <w:szCs w:val="24"/>
        </w:rPr>
        <w:t>.8严禁贿赂</w:t>
      </w:r>
      <w:bookmarkEnd w:id="149"/>
    </w:p>
    <w:bookmarkEnd w:id="150"/>
    <w:bookmarkEnd w:id="151"/>
    <w:bookmarkEnd w:id="152"/>
    <w:p w14:paraId="22EE63A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合同当事人不得以贿赂或变相贿赂的方式，谋取非法利益或损害对方权益。因一方合同当事人的贿赂造成对方损失的，应赔偿损失，并承担相应的法律责任。</w:t>
      </w:r>
    </w:p>
    <w:p w14:paraId="2E725D1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746AA14F">
      <w:pPr>
        <w:pStyle w:val="6"/>
        <w:spacing w:before="120" w:after="120" w:line="312" w:lineRule="auto"/>
        <w:ind w:firstLine="480" w:firstLineChars="200"/>
        <w:rPr>
          <w:rFonts w:hint="eastAsia" w:ascii="宋体" w:hAnsi="宋体" w:cs="宋体"/>
          <w:b w:val="0"/>
          <w:sz w:val="24"/>
          <w:szCs w:val="24"/>
        </w:rPr>
      </w:pPr>
      <w:bookmarkStart w:id="153" w:name="_Toc351203504"/>
      <w:r>
        <w:rPr>
          <w:rFonts w:hint="eastAsia" w:ascii="宋体" w:hAnsi="宋体" w:cs="宋体"/>
          <w:b w:val="0"/>
          <w:sz w:val="24"/>
          <w:szCs w:val="24"/>
        </w:rPr>
        <w:t>1</w:t>
      </w:r>
      <w:bookmarkStart w:id="154" w:name="_Toc337558735"/>
      <w:bookmarkStart w:id="155" w:name="_Toc296503036"/>
      <w:bookmarkStart w:id="156" w:name="_Toc296346537"/>
      <w:r>
        <w:rPr>
          <w:rFonts w:hint="eastAsia" w:ascii="宋体" w:hAnsi="宋体" w:cs="宋体"/>
          <w:b w:val="0"/>
          <w:sz w:val="24"/>
          <w:szCs w:val="24"/>
        </w:rPr>
        <w:t>.9化石、文物</w:t>
      </w:r>
      <w:bookmarkEnd w:id="153"/>
    </w:p>
    <w:bookmarkEnd w:id="154"/>
    <w:bookmarkEnd w:id="155"/>
    <w:bookmarkEnd w:id="156"/>
    <w:p w14:paraId="39BB3EF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F6C9AA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发包人、监理人和承包人应按有关政府行政管理部门要求采取妥善的保护措施，由此增加的费用和（或）延误的工期由发包人承担。</w:t>
      </w:r>
    </w:p>
    <w:p w14:paraId="647690B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承包人发现文物后不及时报告或隐瞒不报，致使文物丢失或损坏的，应赔偿损失，并承担相应的法律责任。</w:t>
      </w:r>
    </w:p>
    <w:p w14:paraId="339BEE8B">
      <w:pPr>
        <w:pStyle w:val="6"/>
        <w:spacing w:before="120" w:after="120" w:line="312" w:lineRule="auto"/>
        <w:ind w:firstLine="480" w:firstLineChars="200"/>
        <w:rPr>
          <w:rFonts w:hint="eastAsia" w:ascii="宋体" w:hAnsi="宋体" w:cs="宋体"/>
          <w:b w:val="0"/>
          <w:sz w:val="24"/>
          <w:szCs w:val="24"/>
        </w:rPr>
      </w:pPr>
      <w:bookmarkStart w:id="157" w:name="_Toc351203505"/>
      <w:r>
        <w:rPr>
          <w:rFonts w:hint="eastAsia" w:ascii="宋体" w:hAnsi="宋体" w:cs="宋体"/>
          <w:b w:val="0"/>
          <w:sz w:val="24"/>
          <w:szCs w:val="24"/>
        </w:rPr>
        <w:t>1</w:t>
      </w:r>
      <w:bookmarkStart w:id="158" w:name="_Toc337558736"/>
      <w:r>
        <w:rPr>
          <w:rFonts w:hint="eastAsia" w:ascii="宋体" w:hAnsi="宋体" w:cs="宋体"/>
          <w:b w:val="0"/>
          <w:sz w:val="24"/>
          <w:szCs w:val="24"/>
        </w:rPr>
        <w:t>.10交通运输</w:t>
      </w:r>
      <w:bookmarkEnd w:id="157"/>
    </w:p>
    <w:bookmarkEnd w:id="158"/>
    <w:p w14:paraId="001B075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1.10.1 出入现场的权利</w:t>
      </w:r>
    </w:p>
    <w:p w14:paraId="27F55AF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AAF7EB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14:paraId="099CF13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1.10.2 场外交通</w:t>
      </w:r>
    </w:p>
    <w:p w14:paraId="64DDE64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FD806D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1.10.3场内交通</w:t>
      </w:r>
    </w:p>
    <w:p w14:paraId="0D8B1FC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D4FD01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EDF8C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场外交通和场内交通的边界由合同当事人在专用合同条款中约定。</w:t>
      </w:r>
    </w:p>
    <w:p w14:paraId="696E245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1.10.4 超大件和超重件的运输</w:t>
      </w:r>
    </w:p>
    <w:p w14:paraId="4174F7F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F59C12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1.10.5 道路和桥梁的损坏责任</w:t>
      </w:r>
    </w:p>
    <w:p w14:paraId="7154E49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因承包人运输造成施工场地内外公共道路和桥梁损坏的，由承包人承担修复损坏的全部费用和可能引起的赔偿。</w:t>
      </w:r>
    </w:p>
    <w:p w14:paraId="60D3523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1.10.6 水路和航空运输</w:t>
      </w:r>
    </w:p>
    <w:p w14:paraId="2607146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本款前述各项的内容适用于水路运输和航空运输，其中“道路”一词的涵义包括河道、航线、船闸、机场、码头、堤防以及水路或航空运输中其他相似结构物；“车辆”一词的涵义包括船舶和飞机等。</w:t>
      </w:r>
    </w:p>
    <w:p w14:paraId="78A775C2">
      <w:pPr>
        <w:pStyle w:val="6"/>
        <w:spacing w:before="120" w:after="120" w:line="312" w:lineRule="auto"/>
        <w:ind w:firstLine="480" w:firstLineChars="200"/>
        <w:rPr>
          <w:rFonts w:hint="eastAsia" w:ascii="宋体" w:hAnsi="宋体" w:cs="宋体"/>
          <w:b w:val="0"/>
          <w:sz w:val="24"/>
          <w:szCs w:val="24"/>
        </w:rPr>
      </w:pPr>
      <w:bookmarkStart w:id="159" w:name="_Toc351203506"/>
      <w:r>
        <w:rPr>
          <w:rFonts w:hint="eastAsia" w:ascii="宋体" w:hAnsi="宋体" w:cs="宋体"/>
          <w:b w:val="0"/>
          <w:sz w:val="24"/>
          <w:szCs w:val="24"/>
        </w:rPr>
        <w:t>1</w:t>
      </w:r>
      <w:bookmarkStart w:id="160" w:name="_Toc337558737"/>
      <w:bookmarkStart w:id="161" w:name="_Toc296503037"/>
      <w:bookmarkStart w:id="162" w:name="_Toc296346538"/>
      <w:r>
        <w:rPr>
          <w:rFonts w:hint="eastAsia" w:ascii="宋体" w:hAnsi="宋体" w:cs="宋体"/>
          <w:b w:val="0"/>
          <w:sz w:val="24"/>
          <w:szCs w:val="24"/>
        </w:rPr>
        <w:t>.11知识产权</w:t>
      </w:r>
      <w:bookmarkEnd w:id="159"/>
      <w:r>
        <w:rPr>
          <w:rFonts w:hint="eastAsia" w:ascii="宋体" w:hAnsi="宋体" w:cs="宋体"/>
          <w:b w:val="0"/>
          <w:sz w:val="24"/>
          <w:szCs w:val="24"/>
        </w:rPr>
        <w:t xml:space="preserve"> </w:t>
      </w:r>
      <w:bookmarkEnd w:id="160"/>
    </w:p>
    <w:bookmarkEnd w:id="161"/>
    <w:bookmarkEnd w:id="162"/>
    <w:p w14:paraId="4B5D7D5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C9EB27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F3292F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23C1B77">
      <w:pPr>
        <w:spacing w:line="312" w:lineRule="auto"/>
        <w:rPr>
          <w:rFonts w:hint="eastAsia" w:ascii="宋体" w:hAnsi="宋体" w:cs="宋体"/>
          <w:sz w:val="24"/>
        </w:rPr>
      </w:pPr>
      <w:r>
        <w:rPr>
          <w:rFonts w:hint="eastAsia" w:ascii="宋体" w:hAnsi="宋体" w:cs="宋体"/>
          <w:kern w:val="0"/>
          <w:sz w:val="24"/>
        </w:rPr>
        <w:t xml:space="preserve">    </w:t>
      </w:r>
      <w:r>
        <w:rPr>
          <w:rFonts w:hint="eastAsia" w:ascii="宋体" w:hAnsi="宋体" w:cs="宋体"/>
          <w:sz w:val="24"/>
        </w:rPr>
        <w:t>1.11.4 除专用合同条款另有约定外，承包人在合同签订前和签订时已确定采用的专利、专有技术、技术秘密的使用费已包含在签约合同价中。</w:t>
      </w:r>
    </w:p>
    <w:p w14:paraId="36F67DFF">
      <w:pPr>
        <w:pStyle w:val="6"/>
        <w:spacing w:before="120" w:after="120" w:line="312" w:lineRule="auto"/>
        <w:ind w:firstLine="480" w:firstLineChars="200"/>
        <w:rPr>
          <w:rFonts w:hint="eastAsia" w:ascii="宋体" w:hAnsi="宋体" w:cs="宋体"/>
          <w:b w:val="0"/>
          <w:sz w:val="24"/>
          <w:szCs w:val="24"/>
        </w:rPr>
      </w:pPr>
      <w:bookmarkStart w:id="163" w:name="_Toc351203507"/>
      <w:r>
        <w:rPr>
          <w:rFonts w:hint="eastAsia" w:ascii="宋体" w:hAnsi="宋体" w:cs="宋体"/>
          <w:b w:val="0"/>
          <w:sz w:val="24"/>
          <w:szCs w:val="24"/>
        </w:rPr>
        <w:t>1</w:t>
      </w:r>
      <w:bookmarkStart w:id="164" w:name="_Toc337558738"/>
      <w:r>
        <w:rPr>
          <w:rFonts w:hint="eastAsia" w:ascii="宋体" w:hAnsi="宋体" w:cs="宋体"/>
          <w:b w:val="0"/>
          <w:sz w:val="24"/>
          <w:szCs w:val="24"/>
        </w:rPr>
        <w:t>.12保密</w:t>
      </w:r>
      <w:bookmarkEnd w:id="163"/>
    </w:p>
    <w:bookmarkEnd w:id="164"/>
    <w:p w14:paraId="294C6A5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除法律规定或合同另有约定外，未经发包人同意，承包人不得将发包人提供的图纸、文件以及声明需要保密的资料信息等商业秘密泄露给第三方。</w:t>
      </w:r>
    </w:p>
    <w:p w14:paraId="7398691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除法律规定或合同另有约定外，未经承包人同意，发包人不得将承包人提供的技术秘密及声明需要保密的资料信息等商业秘密泄露给第三方。</w:t>
      </w:r>
    </w:p>
    <w:p w14:paraId="390571C0">
      <w:pPr>
        <w:pStyle w:val="6"/>
        <w:spacing w:before="120" w:after="120" w:line="312" w:lineRule="auto"/>
        <w:ind w:firstLine="480" w:firstLineChars="200"/>
        <w:rPr>
          <w:rFonts w:hint="eastAsia" w:ascii="宋体" w:hAnsi="宋体" w:cs="宋体"/>
          <w:b w:val="0"/>
          <w:sz w:val="24"/>
          <w:szCs w:val="24"/>
        </w:rPr>
      </w:pPr>
      <w:bookmarkStart w:id="165" w:name="_Toc351203508"/>
      <w:r>
        <w:rPr>
          <w:rFonts w:hint="eastAsia" w:ascii="宋体" w:hAnsi="宋体" w:cs="宋体"/>
          <w:b w:val="0"/>
          <w:sz w:val="24"/>
          <w:szCs w:val="24"/>
        </w:rPr>
        <w:t>1.13工程量清单错误的修正</w:t>
      </w:r>
      <w:bookmarkEnd w:id="165"/>
    </w:p>
    <w:p w14:paraId="20E9A21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除专用合同条款另有约定外，发包人提供的工程量清单，应被认为是准确的和完整的。出现下列情形之一时，发包人应予以修正，并相应调整合同价格：</w:t>
      </w:r>
    </w:p>
    <w:p w14:paraId="3DFC80A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（1）工程量清单存在缺项、漏项的；</w:t>
      </w:r>
    </w:p>
    <w:p w14:paraId="1ADFA1B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（2）工程量清单偏差超出专用合同条款约定的工程量偏差范围的；</w:t>
      </w:r>
    </w:p>
    <w:p w14:paraId="104CB62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（3）未按照国家现行计量规范强制性规定计量的。</w:t>
      </w:r>
    </w:p>
    <w:p w14:paraId="69F52F50">
      <w:pPr>
        <w:pStyle w:val="5"/>
        <w:spacing w:before="120" w:after="120" w:line="312" w:lineRule="auto"/>
        <w:rPr>
          <w:rFonts w:hint="eastAsia"/>
          <w:b w:val="0"/>
          <w:sz w:val="24"/>
          <w:szCs w:val="24"/>
        </w:rPr>
      </w:pPr>
      <w:bookmarkStart w:id="166" w:name="_Toc351203509"/>
      <w:r>
        <w:rPr>
          <w:rFonts w:hint="eastAsia"/>
          <w:b w:val="0"/>
          <w:sz w:val="24"/>
          <w:szCs w:val="24"/>
        </w:rPr>
        <w:t>2</w:t>
      </w:r>
      <w:bookmarkStart w:id="167" w:name="_Toc296346539"/>
      <w:bookmarkStart w:id="168" w:name="_Toc296503038"/>
      <w:bookmarkStart w:id="169" w:name="_Toc337558739"/>
      <w:bookmarkStart w:id="170" w:name="OLE_LINK1"/>
      <w:bookmarkStart w:id="171" w:name="OLE_LINK2"/>
      <w:r>
        <w:rPr>
          <w:rFonts w:hint="eastAsia"/>
          <w:b w:val="0"/>
          <w:sz w:val="24"/>
          <w:szCs w:val="24"/>
        </w:rPr>
        <w:t>. 发包人</w:t>
      </w:r>
      <w:bookmarkEnd w:id="166"/>
    </w:p>
    <w:bookmarkEnd w:id="167"/>
    <w:bookmarkEnd w:id="168"/>
    <w:bookmarkEnd w:id="169"/>
    <w:p w14:paraId="7E2509E4">
      <w:pPr>
        <w:pStyle w:val="6"/>
        <w:spacing w:before="120" w:after="120" w:line="312" w:lineRule="auto"/>
        <w:ind w:firstLine="480" w:firstLineChars="200"/>
        <w:rPr>
          <w:rFonts w:hint="eastAsia" w:ascii="宋体" w:hAnsi="宋体" w:cs="宋体"/>
          <w:b w:val="0"/>
          <w:sz w:val="24"/>
          <w:szCs w:val="24"/>
        </w:rPr>
      </w:pPr>
      <w:bookmarkStart w:id="172" w:name="_Toc351203510"/>
      <w:r>
        <w:rPr>
          <w:rFonts w:hint="eastAsia" w:ascii="宋体" w:hAnsi="宋体" w:cs="宋体"/>
          <w:b w:val="0"/>
          <w:sz w:val="24"/>
          <w:szCs w:val="24"/>
        </w:rPr>
        <w:t>2</w:t>
      </w:r>
      <w:bookmarkStart w:id="173" w:name="_Toc337558740"/>
      <w:bookmarkStart w:id="174" w:name="_Toc296346540"/>
      <w:bookmarkStart w:id="175" w:name="_Toc296503039"/>
      <w:r>
        <w:rPr>
          <w:rFonts w:hint="eastAsia" w:ascii="宋体" w:hAnsi="宋体" w:cs="宋体"/>
          <w:b w:val="0"/>
          <w:sz w:val="24"/>
          <w:szCs w:val="24"/>
        </w:rPr>
        <w:t>.1 许可或批准</w:t>
      </w:r>
      <w:bookmarkEnd w:id="172"/>
    </w:p>
    <w:p w14:paraId="6DF97D5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74B5DA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因发包人原因未能及时办理完毕前述许可、批准或备案，由发包人承担由此增加的费用和（或）延误的工期，并支付承包人合理的利润。</w:t>
      </w:r>
    </w:p>
    <w:p w14:paraId="4153EBA4">
      <w:pPr>
        <w:pStyle w:val="6"/>
        <w:spacing w:before="120" w:after="120" w:line="312" w:lineRule="auto"/>
        <w:ind w:firstLine="480" w:firstLineChars="200"/>
        <w:rPr>
          <w:rFonts w:hint="eastAsia" w:ascii="宋体" w:hAnsi="宋体" w:cs="宋体"/>
          <w:b w:val="0"/>
          <w:sz w:val="24"/>
          <w:szCs w:val="24"/>
        </w:rPr>
      </w:pPr>
      <w:bookmarkStart w:id="176" w:name="_Toc351203511"/>
      <w:r>
        <w:rPr>
          <w:rFonts w:hint="eastAsia" w:ascii="宋体" w:hAnsi="宋体" w:cs="宋体"/>
          <w:b w:val="0"/>
          <w:sz w:val="24"/>
          <w:szCs w:val="24"/>
        </w:rPr>
        <w:t>2.2 发包人代表</w:t>
      </w:r>
      <w:bookmarkEnd w:id="176"/>
    </w:p>
    <w:p w14:paraId="4B83B99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7747702">
      <w:pPr>
        <w:spacing w:line="312" w:lineRule="auto"/>
        <w:ind w:firstLine="480" w:firstLineChars="200"/>
        <w:rPr>
          <w:rFonts w:hint="eastAsia" w:ascii="宋体" w:hAnsi="宋体" w:cs="宋体"/>
          <w:kern w:val="0"/>
          <w:sz w:val="24"/>
        </w:rPr>
      </w:pPr>
      <w:r>
        <w:rPr>
          <w:rFonts w:hint="eastAsia" w:ascii="宋体" w:hAnsi="宋体" w:cs="宋体"/>
          <w:kern w:val="0"/>
          <w:sz w:val="24"/>
        </w:rPr>
        <w:t>发包人代表不能按照合同约定履行其职责及义务，并导致合同无法继续正常履行的，承包人可以要求发包人撤换发包人代表。</w:t>
      </w:r>
    </w:p>
    <w:p w14:paraId="6A063954">
      <w:pPr>
        <w:spacing w:line="312" w:lineRule="auto"/>
        <w:ind w:firstLine="480" w:firstLineChars="200"/>
        <w:rPr>
          <w:rFonts w:hint="eastAsia" w:ascii="宋体" w:hAnsi="宋体" w:cs="宋体"/>
          <w:sz w:val="24"/>
        </w:rPr>
      </w:pPr>
      <w:r>
        <w:rPr>
          <w:rFonts w:hint="eastAsia" w:ascii="宋体" w:hAnsi="宋体" w:cs="宋体"/>
          <w:kern w:val="0"/>
          <w:sz w:val="24"/>
        </w:rPr>
        <w:t>不属于法定必须监理的工程，监理人的职权可以由发包人代表或发包人指定的其他人员行使。</w:t>
      </w:r>
    </w:p>
    <w:p w14:paraId="0BD22ECD">
      <w:pPr>
        <w:pStyle w:val="6"/>
        <w:spacing w:before="120" w:after="120" w:line="312" w:lineRule="auto"/>
        <w:ind w:firstLine="480" w:firstLineChars="200"/>
        <w:rPr>
          <w:rFonts w:hint="eastAsia" w:ascii="宋体" w:hAnsi="宋体" w:cs="宋体"/>
          <w:b w:val="0"/>
          <w:sz w:val="24"/>
          <w:szCs w:val="24"/>
        </w:rPr>
      </w:pPr>
      <w:bookmarkStart w:id="177" w:name="_Toc351203512"/>
      <w:r>
        <w:rPr>
          <w:rFonts w:hint="eastAsia" w:ascii="宋体" w:hAnsi="宋体" w:cs="宋体"/>
          <w:b w:val="0"/>
          <w:sz w:val="24"/>
          <w:szCs w:val="24"/>
        </w:rPr>
        <w:t>2.3 发包人人员</w:t>
      </w:r>
      <w:bookmarkEnd w:id="177"/>
    </w:p>
    <w:p w14:paraId="195A157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发包人应要求在施工现场的发包人人员遵守法律及有关安全、质量、环境保护、文明施工等规定，并保障承包人免于承受因发包人人员未遵守上述要求给承包人造成的损失和责任。</w:t>
      </w:r>
    </w:p>
    <w:p w14:paraId="2FF52E8C">
      <w:pPr>
        <w:spacing w:line="312" w:lineRule="auto"/>
        <w:ind w:firstLine="640"/>
        <w:jc w:val="left"/>
        <w:rPr>
          <w:rFonts w:hint="eastAsia" w:ascii="宋体" w:hAnsi="宋体" w:cs="宋体"/>
          <w:kern w:val="0"/>
          <w:sz w:val="24"/>
        </w:rPr>
      </w:pPr>
      <w:r>
        <w:rPr>
          <w:rFonts w:hint="eastAsia" w:ascii="宋体" w:hAnsi="宋体" w:cs="宋体"/>
          <w:kern w:val="0"/>
          <w:sz w:val="24"/>
        </w:rPr>
        <w:t>发包人人员包括发包人代表及其他由发包人派驻施工现场的人员。</w:t>
      </w:r>
      <w:bookmarkEnd w:id="173"/>
      <w:bookmarkEnd w:id="174"/>
      <w:bookmarkEnd w:id="175"/>
    </w:p>
    <w:p w14:paraId="6C0787EC">
      <w:pPr>
        <w:pStyle w:val="6"/>
        <w:spacing w:before="120" w:after="120" w:line="312" w:lineRule="auto"/>
        <w:ind w:firstLine="480" w:firstLineChars="200"/>
        <w:rPr>
          <w:rFonts w:hint="eastAsia" w:ascii="宋体" w:hAnsi="宋体" w:cs="宋体"/>
          <w:b w:val="0"/>
          <w:sz w:val="24"/>
          <w:szCs w:val="24"/>
        </w:rPr>
      </w:pPr>
      <w:bookmarkStart w:id="178" w:name="_Toc351203513"/>
      <w:r>
        <w:rPr>
          <w:rFonts w:hint="eastAsia" w:ascii="宋体" w:hAnsi="宋体" w:cs="宋体"/>
          <w:b w:val="0"/>
          <w:sz w:val="24"/>
          <w:szCs w:val="24"/>
        </w:rPr>
        <w:t>2</w:t>
      </w:r>
      <w:bookmarkStart w:id="179" w:name="_Toc337558741"/>
      <w:bookmarkStart w:id="180" w:name="_Toc296346541"/>
      <w:bookmarkStart w:id="181" w:name="_Toc296503040"/>
      <w:r>
        <w:rPr>
          <w:rFonts w:hint="eastAsia" w:ascii="宋体" w:hAnsi="宋体" w:cs="宋体"/>
          <w:b w:val="0"/>
          <w:sz w:val="24"/>
          <w:szCs w:val="24"/>
        </w:rPr>
        <w:t>.4 施工现场、施工条件和基础资料的提供</w:t>
      </w:r>
      <w:bookmarkEnd w:id="178"/>
      <w:r>
        <w:rPr>
          <w:rFonts w:hint="eastAsia" w:ascii="宋体" w:hAnsi="宋体" w:cs="宋体"/>
          <w:b w:val="0"/>
          <w:sz w:val="24"/>
          <w:szCs w:val="24"/>
        </w:rPr>
        <w:t xml:space="preserve"> </w:t>
      </w:r>
      <w:bookmarkEnd w:id="179"/>
      <w:bookmarkEnd w:id="180"/>
      <w:bookmarkEnd w:id="181"/>
      <w:r>
        <w:rPr>
          <w:rFonts w:hint="eastAsia" w:ascii="宋体" w:hAnsi="宋体" w:cs="宋体"/>
          <w:b w:val="0"/>
          <w:sz w:val="24"/>
          <w:szCs w:val="24"/>
        </w:rPr>
        <w:t xml:space="preserve"> </w:t>
      </w:r>
    </w:p>
    <w:p w14:paraId="77F66B7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2.4.1 提供施工现场</w:t>
      </w:r>
    </w:p>
    <w:p w14:paraId="43864C8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w:t>
      </w:r>
      <w:bookmarkEnd w:id="170"/>
      <w:bookmarkEnd w:id="171"/>
      <w:r>
        <w:rPr>
          <w:rFonts w:hint="eastAsia" w:ascii="宋体" w:hAnsi="宋体" w:cs="宋体"/>
          <w:kern w:val="0"/>
          <w:sz w:val="24"/>
        </w:rPr>
        <w:t>专用合同条款另有约定外，发包人应最迟于开工日期7天前向承包人移交施工现场。</w:t>
      </w:r>
    </w:p>
    <w:p w14:paraId="1233118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2.4.2 提供施工条件</w:t>
      </w:r>
    </w:p>
    <w:p w14:paraId="4C34B8F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除专用合同条款另有约定外，发包人应负责提供施工所需要的条件，包括：</w:t>
      </w:r>
    </w:p>
    <w:p w14:paraId="1DA7DF4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（1）将施工用水、电力、通讯线路等施工所必需的条件接至施工现场内；</w:t>
      </w:r>
    </w:p>
    <w:p w14:paraId="4C2D659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（2）保证向承包人提供正常施工所需要的进入施工现场的交通条件；</w:t>
      </w:r>
    </w:p>
    <w:p w14:paraId="049EE73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（3）协调处理施工现场周围地下管线和邻近建筑物、构筑物、古树名木的保护工作，并承担相关费用；</w:t>
      </w:r>
    </w:p>
    <w:p w14:paraId="5F18D38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（4）按照专用合同条款约定应提供的其他设施和条件。</w:t>
      </w:r>
    </w:p>
    <w:p w14:paraId="56783591">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2.4.3 提供基础资料</w:t>
      </w:r>
    </w:p>
    <w:p w14:paraId="5CABCCB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5DAA9C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按照法律规定确需在开工后方能提供的基础资料，发包人应尽其努力及时地在相应工程施工前的合理期限内提供，合理期限应以不影响承包人的正常施工为限。</w:t>
      </w:r>
    </w:p>
    <w:p w14:paraId="70AF404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2.4.4 逾期提供的责任</w:t>
      </w:r>
    </w:p>
    <w:p w14:paraId="0E42DF7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因发包人原因未能按合同约定及时向承包人提供施工现场、施工条件、基础资料的，由发包人承担由此增加的费用和（或）延误的工期。</w:t>
      </w:r>
    </w:p>
    <w:p w14:paraId="36834D5E">
      <w:pPr>
        <w:pStyle w:val="6"/>
        <w:spacing w:before="120" w:after="120" w:line="312" w:lineRule="auto"/>
        <w:ind w:firstLine="480" w:firstLineChars="200"/>
        <w:rPr>
          <w:rFonts w:hint="eastAsia" w:ascii="宋体" w:hAnsi="宋体" w:cs="宋体"/>
          <w:b w:val="0"/>
          <w:sz w:val="24"/>
          <w:szCs w:val="24"/>
        </w:rPr>
      </w:pPr>
      <w:bookmarkStart w:id="182" w:name="_Toc351203514"/>
      <w:r>
        <w:rPr>
          <w:rFonts w:hint="eastAsia" w:ascii="宋体" w:hAnsi="宋体" w:cs="宋体"/>
          <w:b w:val="0"/>
          <w:sz w:val="24"/>
          <w:szCs w:val="24"/>
        </w:rPr>
        <w:t>2</w:t>
      </w:r>
      <w:bookmarkStart w:id="183" w:name="_Toc296346543"/>
      <w:bookmarkStart w:id="184" w:name="_Toc296503042"/>
      <w:bookmarkStart w:id="185" w:name="_Toc337558745"/>
      <w:r>
        <w:rPr>
          <w:rFonts w:hint="eastAsia" w:ascii="宋体" w:hAnsi="宋体" w:cs="宋体"/>
          <w:b w:val="0"/>
          <w:sz w:val="24"/>
          <w:szCs w:val="24"/>
        </w:rPr>
        <w:t>.5 资</w:t>
      </w:r>
      <w:bookmarkEnd w:id="183"/>
      <w:bookmarkEnd w:id="184"/>
      <w:bookmarkEnd w:id="185"/>
      <w:r>
        <w:rPr>
          <w:rFonts w:hint="eastAsia" w:ascii="宋体" w:hAnsi="宋体" w:cs="宋体"/>
          <w:b w:val="0"/>
          <w:sz w:val="24"/>
          <w:szCs w:val="24"/>
        </w:rPr>
        <w:t>金来源证明及支付担保</w:t>
      </w:r>
      <w:bookmarkEnd w:id="182"/>
    </w:p>
    <w:p w14:paraId="663BDC0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除专用合同条款另有约定外，发包人应在收到承包人要求提供资金来源证明的书面通知后28天内，向承包人提供能够按照合同约定支付合同价款的相应资金来源证明。</w:t>
      </w:r>
    </w:p>
    <w:p w14:paraId="2174B9F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160EB570">
      <w:pPr>
        <w:pStyle w:val="6"/>
        <w:spacing w:before="120" w:after="120" w:line="312" w:lineRule="auto"/>
        <w:ind w:firstLine="480" w:firstLineChars="200"/>
        <w:rPr>
          <w:rFonts w:hint="eastAsia" w:ascii="宋体" w:hAnsi="宋体" w:cs="宋体"/>
          <w:b w:val="0"/>
          <w:sz w:val="24"/>
          <w:szCs w:val="24"/>
        </w:rPr>
      </w:pPr>
      <w:bookmarkStart w:id="186" w:name="_Toc351203515"/>
      <w:r>
        <w:rPr>
          <w:rFonts w:hint="eastAsia" w:ascii="宋体" w:hAnsi="宋体" w:cs="宋体"/>
          <w:b w:val="0"/>
          <w:sz w:val="24"/>
          <w:szCs w:val="24"/>
        </w:rPr>
        <w:t>2.6 支付合同价款</w:t>
      </w:r>
      <w:bookmarkEnd w:id="186"/>
    </w:p>
    <w:p w14:paraId="4D533D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发包人应按合同约定向承包人及时支付合同价款。</w:t>
      </w:r>
    </w:p>
    <w:p w14:paraId="0D69C56A">
      <w:pPr>
        <w:pStyle w:val="6"/>
        <w:spacing w:before="120" w:after="120" w:line="312" w:lineRule="auto"/>
        <w:ind w:firstLine="480" w:firstLineChars="200"/>
        <w:rPr>
          <w:rFonts w:hint="eastAsia" w:ascii="宋体" w:hAnsi="宋体" w:cs="宋体"/>
          <w:b w:val="0"/>
          <w:sz w:val="24"/>
          <w:szCs w:val="24"/>
        </w:rPr>
      </w:pPr>
      <w:bookmarkStart w:id="187" w:name="_Toc351203516"/>
      <w:r>
        <w:rPr>
          <w:rFonts w:hint="eastAsia" w:ascii="宋体" w:hAnsi="宋体" w:cs="宋体"/>
          <w:b w:val="0"/>
          <w:sz w:val="24"/>
          <w:szCs w:val="24"/>
        </w:rPr>
        <w:t>2.7 组织竣工验收</w:t>
      </w:r>
      <w:bookmarkEnd w:id="187"/>
    </w:p>
    <w:p w14:paraId="2DC73C6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发包人应按合同约定及时组织竣工验收。</w:t>
      </w:r>
    </w:p>
    <w:p w14:paraId="4F657E3B">
      <w:pPr>
        <w:pStyle w:val="6"/>
        <w:spacing w:before="120" w:after="120" w:line="312" w:lineRule="auto"/>
        <w:ind w:firstLine="480" w:firstLineChars="200"/>
        <w:rPr>
          <w:rFonts w:hint="eastAsia" w:ascii="宋体" w:hAnsi="宋体" w:cs="宋体"/>
          <w:b w:val="0"/>
          <w:sz w:val="24"/>
          <w:szCs w:val="24"/>
        </w:rPr>
      </w:pPr>
      <w:bookmarkStart w:id="188" w:name="_Toc351203517"/>
      <w:r>
        <w:rPr>
          <w:rFonts w:hint="eastAsia" w:ascii="宋体" w:hAnsi="宋体" w:cs="宋体"/>
          <w:b w:val="0"/>
          <w:sz w:val="24"/>
          <w:szCs w:val="24"/>
        </w:rPr>
        <w:t>2.8 现场统一管理协议</w:t>
      </w:r>
      <w:bookmarkEnd w:id="188"/>
    </w:p>
    <w:p w14:paraId="03A8817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发包人应与承包人、由发包人直接发包的专业工程的承包人签订施工现场统一管理协议，明确各方的权利义务。施工现场统一管理协议作为专用合同条款的附件。</w:t>
      </w:r>
    </w:p>
    <w:p w14:paraId="727B7883">
      <w:pPr>
        <w:pStyle w:val="5"/>
        <w:spacing w:before="120" w:after="120" w:line="312" w:lineRule="auto"/>
        <w:rPr>
          <w:rFonts w:hint="eastAsia"/>
          <w:b w:val="0"/>
          <w:sz w:val="24"/>
          <w:szCs w:val="24"/>
        </w:rPr>
      </w:pPr>
      <w:bookmarkStart w:id="189" w:name="_Toc351203518"/>
      <w:r>
        <w:rPr>
          <w:rFonts w:hint="eastAsia"/>
          <w:b w:val="0"/>
          <w:sz w:val="24"/>
          <w:szCs w:val="24"/>
        </w:rPr>
        <w:t>3</w:t>
      </w:r>
      <w:bookmarkStart w:id="190" w:name="_Toc296503045"/>
      <w:bookmarkStart w:id="191" w:name="_Toc337558746"/>
      <w:bookmarkStart w:id="192" w:name="_Toc296346546"/>
      <w:r>
        <w:rPr>
          <w:rFonts w:hint="eastAsia"/>
          <w:b w:val="0"/>
          <w:sz w:val="24"/>
          <w:szCs w:val="24"/>
        </w:rPr>
        <w:t>. 承包人</w:t>
      </w:r>
      <w:bookmarkEnd w:id="189"/>
    </w:p>
    <w:bookmarkEnd w:id="190"/>
    <w:bookmarkEnd w:id="191"/>
    <w:bookmarkEnd w:id="192"/>
    <w:p w14:paraId="05CB21F8">
      <w:pPr>
        <w:pStyle w:val="6"/>
        <w:spacing w:before="120" w:after="120" w:line="312" w:lineRule="auto"/>
        <w:ind w:firstLine="480" w:firstLineChars="200"/>
        <w:rPr>
          <w:rFonts w:hint="eastAsia" w:ascii="宋体" w:hAnsi="宋体" w:cs="宋体"/>
          <w:b w:val="0"/>
          <w:sz w:val="24"/>
          <w:szCs w:val="24"/>
        </w:rPr>
      </w:pPr>
      <w:bookmarkStart w:id="193" w:name="_Toc351203519"/>
      <w:r>
        <w:rPr>
          <w:rFonts w:hint="eastAsia" w:ascii="宋体" w:hAnsi="宋体" w:cs="宋体"/>
          <w:b w:val="0"/>
          <w:sz w:val="24"/>
          <w:szCs w:val="24"/>
        </w:rPr>
        <w:t>3</w:t>
      </w:r>
      <w:bookmarkStart w:id="194" w:name="_Toc296346547"/>
      <w:bookmarkStart w:id="195" w:name="_Toc296503046"/>
      <w:bookmarkStart w:id="196" w:name="_Toc337558747"/>
      <w:r>
        <w:rPr>
          <w:rFonts w:hint="eastAsia" w:ascii="宋体" w:hAnsi="宋体" w:cs="宋体"/>
          <w:b w:val="0"/>
          <w:sz w:val="24"/>
          <w:szCs w:val="24"/>
        </w:rPr>
        <w:t>.1 承包人的一般义务</w:t>
      </w:r>
      <w:bookmarkEnd w:id="193"/>
    </w:p>
    <w:bookmarkEnd w:id="194"/>
    <w:bookmarkEnd w:id="195"/>
    <w:bookmarkEnd w:id="196"/>
    <w:p w14:paraId="5CE2DB9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承包人在履行合同过程中应遵守法律和工程建设标准规范，并履行以下义务：</w:t>
      </w:r>
    </w:p>
    <w:p w14:paraId="061022E7">
      <w:pPr>
        <w:numPr>
          <w:ilvl w:val="0"/>
          <w:numId w:val="4"/>
        </w:num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办理法律规定应由承包人办理的许可和批准，并将办理结果书面报送发包人留存；</w:t>
      </w:r>
    </w:p>
    <w:p w14:paraId="3417BDF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（2）按法律规定和合同约定完成工程，并在保修期内承担保修义务；</w:t>
      </w:r>
    </w:p>
    <w:p w14:paraId="0DDFF34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（3）按法律规定和合同约定采取施工安全和环境保护措施，办理工伤保险，确保工程及人员、材料、设备和设施的安全；</w:t>
      </w:r>
    </w:p>
    <w:p w14:paraId="6385450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（4）按合同约定的工作内容和施工进度要求，编制施工组织设计和施工措施计划，并对所有施工作业和施工方法的完备性和安全可靠性负责；</w:t>
      </w:r>
    </w:p>
    <w:p w14:paraId="0AB72ED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8D82A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（6）按照第6.3款〔环境保护〕约定负责施工场地及其周边环境与生态的保护工作；</w:t>
      </w:r>
    </w:p>
    <w:p w14:paraId="3FDA9E4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（7）按第6.1款〔安全文明施工〕约定采取施工安全措施，确保工程及其人员、材料、设备和设施的安全，防止因工程施工造成的人身伤害和财产损失；</w:t>
      </w:r>
    </w:p>
    <w:p w14:paraId="40F7FB6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（8）将发包人按合同约定支付的各项价款专用于合同工程，且应及时支付其雇用人员工资，并及时向分包人支付合同价款；</w:t>
      </w:r>
    </w:p>
    <w:p w14:paraId="0474ECA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（9）按照法律规定和合同约定编制竣工资料，完成竣工资料立卷及归档，并按专用合同条款约定的竣工资料的套数、内容、时间等要求移交发包人；</w:t>
      </w:r>
    </w:p>
    <w:p w14:paraId="14A664C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（10）应履行的其他义务。</w:t>
      </w:r>
    </w:p>
    <w:p w14:paraId="4E7612E5">
      <w:pPr>
        <w:pStyle w:val="6"/>
        <w:spacing w:before="120" w:after="120" w:line="312" w:lineRule="auto"/>
        <w:ind w:firstLine="480" w:firstLineChars="200"/>
        <w:rPr>
          <w:rFonts w:hint="eastAsia" w:ascii="宋体" w:hAnsi="宋体" w:cs="宋体"/>
          <w:b w:val="0"/>
          <w:sz w:val="24"/>
          <w:szCs w:val="24"/>
        </w:rPr>
      </w:pPr>
      <w:bookmarkStart w:id="197" w:name="_Toc351203520"/>
      <w:r>
        <w:rPr>
          <w:rFonts w:hint="eastAsia" w:ascii="宋体" w:hAnsi="宋体" w:cs="宋体"/>
          <w:b w:val="0"/>
          <w:sz w:val="24"/>
          <w:szCs w:val="24"/>
        </w:rPr>
        <w:t>3</w:t>
      </w:r>
      <w:bookmarkStart w:id="198" w:name="_Toc296346548"/>
      <w:bookmarkStart w:id="199" w:name="_Toc296503047"/>
      <w:bookmarkStart w:id="200" w:name="_Toc337558748"/>
      <w:r>
        <w:rPr>
          <w:rFonts w:hint="eastAsia" w:ascii="宋体" w:hAnsi="宋体" w:cs="宋体"/>
          <w:b w:val="0"/>
          <w:sz w:val="24"/>
          <w:szCs w:val="24"/>
        </w:rPr>
        <w:t xml:space="preserve">.2 </w:t>
      </w:r>
      <w:bookmarkEnd w:id="197"/>
      <w:r>
        <w:rPr>
          <w:rFonts w:hint="eastAsia" w:ascii="宋体" w:hAnsi="宋体" w:cs="宋体"/>
          <w:b w:val="0"/>
          <w:sz w:val="24"/>
          <w:szCs w:val="24"/>
        </w:rPr>
        <w:t>项目经理</w:t>
      </w:r>
    </w:p>
    <w:bookmarkEnd w:id="198"/>
    <w:bookmarkEnd w:id="199"/>
    <w:bookmarkEnd w:id="200"/>
    <w:p w14:paraId="22BFAFC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EC78EA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8B7A3C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承包人违反上述约定的，应按照专用合同条款的约定，承担违约责任。</w:t>
      </w:r>
    </w:p>
    <w:p w14:paraId="7814168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5B26E6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942220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9208B1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14:paraId="1084A057">
      <w:pPr>
        <w:pStyle w:val="6"/>
        <w:spacing w:before="120" w:after="120" w:line="312" w:lineRule="auto"/>
        <w:ind w:firstLine="480" w:firstLineChars="200"/>
        <w:rPr>
          <w:rFonts w:hint="eastAsia" w:ascii="宋体" w:hAnsi="宋体" w:cs="宋体"/>
          <w:b w:val="0"/>
          <w:sz w:val="24"/>
          <w:szCs w:val="24"/>
        </w:rPr>
      </w:pPr>
      <w:bookmarkStart w:id="201" w:name="_Toc351203521"/>
      <w:r>
        <w:rPr>
          <w:rFonts w:hint="eastAsia" w:ascii="宋体" w:hAnsi="宋体" w:cs="宋体"/>
          <w:b w:val="0"/>
          <w:sz w:val="24"/>
          <w:szCs w:val="24"/>
        </w:rPr>
        <w:t>3</w:t>
      </w:r>
      <w:bookmarkStart w:id="202" w:name="_Toc296503048"/>
      <w:bookmarkStart w:id="203" w:name="_Toc296346549"/>
      <w:bookmarkStart w:id="204" w:name="_Toc337558749"/>
      <w:r>
        <w:rPr>
          <w:rFonts w:hint="eastAsia" w:ascii="宋体" w:hAnsi="宋体" w:cs="宋体"/>
          <w:b w:val="0"/>
          <w:sz w:val="24"/>
          <w:szCs w:val="24"/>
        </w:rPr>
        <w:t xml:space="preserve">.3 </w:t>
      </w:r>
      <w:bookmarkEnd w:id="202"/>
      <w:bookmarkEnd w:id="203"/>
      <w:r>
        <w:rPr>
          <w:rFonts w:hint="eastAsia" w:ascii="宋体" w:hAnsi="宋体" w:cs="宋体"/>
          <w:b w:val="0"/>
          <w:sz w:val="24"/>
          <w:szCs w:val="24"/>
        </w:rPr>
        <w:t>承包人人员</w:t>
      </w:r>
      <w:bookmarkEnd w:id="201"/>
    </w:p>
    <w:bookmarkEnd w:id="204"/>
    <w:p w14:paraId="4B07D8C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71567A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B370F9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特殊工种作业人员均应持有相应的资格证明，监理人可以随时检查。</w:t>
      </w:r>
    </w:p>
    <w:p w14:paraId="6A5E197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7034BC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48027C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3.3.5 承包人擅自更换主要施工管理人员，或前述人员未经监理人或发包人同意擅自离开施工现场的，应按照专用合同条款约定承担违约责任。</w:t>
      </w:r>
    </w:p>
    <w:p w14:paraId="1382E67F">
      <w:pPr>
        <w:pStyle w:val="6"/>
        <w:spacing w:before="120" w:after="120" w:line="312" w:lineRule="auto"/>
        <w:ind w:firstLine="480" w:firstLineChars="200"/>
        <w:rPr>
          <w:rFonts w:hint="eastAsia" w:ascii="宋体" w:hAnsi="宋体" w:cs="宋体"/>
          <w:b w:val="0"/>
          <w:sz w:val="24"/>
          <w:szCs w:val="24"/>
        </w:rPr>
      </w:pPr>
      <w:bookmarkStart w:id="205" w:name="_Toc351203522"/>
      <w:r>
        <w:rPr>
          <w:rFonts w:hint="eastAsia" w:ascii="宋体" w:hAnsi="宋体" w:cs="宋体"/>
          <w:b w:val="0"/>
          <w:sz w:val="24"/>
          <w:szCs w:val="24"/>
        </w:rPr>
        <w:t>3</w:t>
      </w:r>
      <w:bookmarkStart w:id="206" w:name="_Toc337558750"/>
      <w:bookmarkStart w:id="207" w:name="_Toc296503050"/>
      <w:bookmarkStart w:id="208" w:name="_Toc296346551"/>
      <w:r>
        <w:rPr>
          <w:rFonts w:hint="eastAsia" w:ascii="宋体" w:hAnsi="宋体" w:cs="宋体"/>
          <w:b w:val="0"/>
          <w:sz w:val="24"/>
          <w:szCs w:val="24"/>
        </w:rPr>
        <w:t>.4 承包人现场查勘</w:t>
      </w:r>
      <w:bookmarkEnd w:id="205"/>
    </w:p>
    <w:bookmarkEnd w:id="206"/>
    <w:bookmarkEnd w:id="207"/>
    <w:bookmarkEnd w:id="208"/>
    <w:p w14:paraId="1FD14A84">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承包人应对基于发包人按照第2.4.3项〔提供基础资料〕提交的基础资料所做出的解释和推断负责，但因基础资料存在错误、遗漏导致承包人解释或推断失实的，由发包人承担责任。</w:t>
      </w:r>
    </w:p>
    <w:p w14:paraId="3B245C2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F038D4">
      <w:pPr>
        <w:pStyle w:val="6"/>
        <w:spacing w:before="120" w:after="120" w:line="312" w:lineRule="auto"/>
        <w:ind w:firstLine="480" w:firstLineChars="200"/>
        <w:rPr>
          <w:rFonts w:hint="eastAsia" w:ascii="宋体" w:hAnsi="宋体" w:cs="宋体"/>
          <w:b w:val="0"/>
          <w:sz w:val="24"/>
          <w:szCs w:val="24"/>
        </w:rPr>
      </w:pPr>
      <w:bookmarkStart w:id="209" w:name="_Toc351203523"/>
      <w:r>
        <w:rPr>
          <w:rFonts w:hint="eastAsia" w:ascii="宋体" w:hAnsi="宋体" w:cs="宋体"/>
          <w:b w:val="0"/>
          <w:sz w:val="24"/>
          <w:szCs w:val="24"/>
        </w:rPr>
        <w:t>3</w:t>
      </w:r>
      <w:bookmarkStart w:id="210" w:name="_Toc296346552"/>
      <w:bookmarkStart w:id="211" w:name="_Toc296503051"/>
      <w:bookmarkStart w:id="212" w:name="_Toc337558751"/>
      <w:r>
        <w:rPr>
          <w:rFonts w:hint="eastAsia" w:ascii="宋体" w:hAnsi="宋体" w:cs="宋体"/>
          <w:b w:val="0"/>
          <w:sz w:val="24"/>
          <w:szCs w:val="24"/>
        </w:rPr>
        <w:t>.5 分包</w:t>
      </w:r>
      <w:bookmarkEnd w:id="209"/>
    </w:p>
    <w:bookmarkEnd w:id="210"/>
    <w:bookmarkEnd w:id="211"/>
    <w:bookmarkEnd w:id="212"/>
    <w:p w14:paraId="26C1161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3.5.1 分包的一般约定</w:t>
      </w:r>
    </w:p>
    <w:p w14:paraId="5879AB4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EAD8A3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承包人不得以劳务分包的名义转包或违法分包工程。</w:t>
      </w:r>
    </w:p>
    <w:p w14:paraId="729CCA6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3.5.2 分包的确定</w:t>
      </w:r>
    </w:p>
    <w:p w14:paraId="040EC55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5B64DB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3.5.3 分包管理</w:t>
      </w:r>
    </w:p>
    <w:p w14:paraId="7DD1140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承包人应向监理人提交分包人的主要施工管理人员表，并对分包人的施工人员进行实名制管理，包括但不限于进出场管理、登记造册以及各种证照的办理。</w:t>
      </w:r>
    </w:p>
    <w:p w14:paraId="58FAAF4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3.5.4 分包合同价款</w:t>
      </w:r>
    </w:p>
    <w:p w14:paraId="24241DE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（1）除本项第（2）目约定的情况或专用合同条款另有约定外，分包合同价款由承包人与分包人结算，未经承包人同意，发包人不得向分包人支付分包工程价款；</w:t>
      </w:r>
    </w:p>
    <w:p w14:paraId="189CD7B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（2）生效法律文书要求发包人向分包人支付分包合同价款的，发包人有权从应付承包人工程款中扣除该部分款项。</w:t>
      </w:r>
    </w:p>
    <w:p w14:paraId="540CD11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3.5.5 分包合同权益的转让</w:t>
      </w:r>
    </w:p>
    <w:p w14:paraId="0ABF178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5FF5A520">
      <w:pPr>
        <w:pStyle w:val="6"/>
        <w:spacing w:before="120" w:after="120" w:line="312" w:lineRule="auto"/>
        <w:ind w:firstLine="480" w:firstLineChars="200"/>
        <w:rPr>
          <w:rFonts w:hint="eastAsia" w:ascii="宋体" w:hAnsi="宋体" w:cs="宋体"/>
          <w:b w:val="0"/>
          <w:sz w:val="24"/>
          <w:szCs w:val="24"/>
        </w:rPr>
      </w:pPr>
      <w:r>
        <w:rPr>
          <w:rFonts w:hint="eastAsia" w:ascii="宋体" w:hAnsi="宋体" w:cs="宋体"/>
          <w:b w:val="0"/>
          <w:sz w:val="24"/>
          <w:szCs w:val="24"/>
        </w:rPr>
        <w:t>3.6 工程照管与成品、半成品保护</w:t>
      </w:r>
      <w:bookmarkEnd w:id="213"/>
    </w:p>
    <w:p w14:paraId="6DCCA0B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（1）除专用合同条款另有约定外，自发包人向承包人移交施工现场之日起，承包人应负责照管工程及工程相关的材料、工程设备，直到颁发工程接收证书之日止。</w:t>
      </w:r>
    </w:p>
    <w:p w14:paraId="5E3EF32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（2）在承包人负责照管期间，因承包人原因造成工程、材料、工程设备损坏的，由承包人负责修复或更换，并承担由此增加的费用和（或）延误的工期。</w:t>
      </w:r>
    </w:p>
    <w:p w14:paraId="3004366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（3）对合同内分期完成的成品和半成品，在工程接收证书颁发前，由承包人承担保护责任。因承包人原因造成成品或半成品损坏的，由承包人负责修复或更换，并承担由此增加的费用和（或）延误的工期。</w:t>
      </w:r>
    </w:p>
    <w:p w14:paraId="2CA7EF93">
      <w:pPr>
        <w:pStyle w:val="6"/>
        <w:spacing w:before="120" w:after="120" w:line="312" w:lineRule="auto"/>
        <w:ind w:firstLine="480" w:firstLineChars="200"/>
        <w:rPr>
          <w:rFonts w:hint="eastAsia" w:ascii="宋体" w:hAnsi="宋体" w:cs="宋体"/>
          <w:b w:val="0"/>
          <w:sz w:val="24"/>
          <w:szCs w:val="24"/>
        </w:rPr>
      </w:pPr>
      <w:bookmarkStart w:id="214" w:name="_Toc351203525"/>
      <w:r>
        <w:rPr>
          <w:rFonts w:hint="eastAsia" w:ascii="宋体" w:hAnsi="宋体" w:cs="宋体"/>
          <w:b w:val="0"/>
          <w:sz w:val="24"/>
          <w:szCs w:val="24"/>
        </w:rPr>
        <w:t>3</w:t>
      </w:r>
      <w:bookmarkStart w:id="215" w:name="_Toc296346553"/>
      <w:bookmarkStart w:id="216" w:name="_Toc296503052"/>
      <w:bookmarkStart w:id="217" w:name="_Toc337558752"/>
      <w:r>
        <w:rPr>
          <w:rFonts w:hint="eastAsia" w:ascii="宋体" w:hAnsi="宋体" w:cs="宋体"/>
          <w:b w:val="0"/>
          <w:sz w:val="24"/>
          <w:szCs w:val="24"/>
        </w:rPr>
        <w:t>.7 履约担保</w:t>
      </w:r>
      <w:bookmarkEnd w:id="214"/>
    </w:p>
    <w:bookmarkEnd w:id="215"/>
    <w:bookmarkEnd w:id="216"/>
    <w:bookmarkEnd w:id="217"/>
    <w:p w14:paraId="419EB24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02AC39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因承包人原因导致工期延长的，继续提供履约担保所增加的费用由承包人承担；非因承包人原因导致工期延长的，继续提供履约担保所增加的费用由发包人承担。</w:t>
      </w:r>
    </w:p>
    <w:p w14:paraId="039D1666">
      <w:pPr>
        <w:pStyle w:val="6"/>
        <w:spacing w:before="120" w:after="120" w:line="312" w:lineRule="auto"/>
        <w:ind w:firstLine="480" w:firstLineChars="200"/>
        <w:rPr>
          <w:rFonts w:hint="eastAsia" w:ascii="宋体" w:hAnsi="宋体" w:cs="宋体"/>
          <w:b w:val="0"/>
          <w:sz w:val="24"/>
          <w:szCs w:val="24"/>
        </w:rPr>
      </w:pPr>
      <w:bookmarkStart w:id="218" w:name="_Toc351203526"/>
      <w:r>
        <w:rPr>
          <w:rFonts w:hint="eastAsia" w:ascii="宋体" w:hAnsi="宋体" w:cs="宋体"/>
          <w:b w:val="0"/>
          <w:sz w:val="24"/>
          <w:szCs w:val="24"/>
        </w:rPr>
        <w:t>3.8 联合体</w:t>
      </w:r>
      <w:bookmarkEnd w:id="218"/>
    </w:p>
    <w:p w14:paraId="3C710B8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3.8.1 联合体各方应共同与发包人签订合同协议书。联合体各方应为履行合同向发包人承担连带责任。</w:t>
      </w:r>
    </w:p>
    <w:p w14:paraId="57D4961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3.8.2 联合体协议经发包人确认后作为合同附件。在履行合同过程中，未经发包人同意，不得修改联合体协议。</w:t>
      </w:r>
    </w:p>
    <w:p w14:paraId="118EEC1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3.8.3 联合体牵头人负责与发包人和监理人联系，并接受指示，负责组织联合体各成员全面履行合同。</w:t>
      </w:r>
    </w:p>
    <w:p w14:paraId="3302F762">
      <w:pPr>
        <w:pStyle w:val="5"/>
        <w:spacing w:before="120" w:after="120" w:line="312" w:lineRule="auto"/>
        <w:rPr>
          <w:rFonts w:hint="eastAsia"/>
          <w:b w:val="0"/>
          <w:sz w:val="24"/>
          <w:szCs w:val="24"/>
        </w:rPr>
      </w:pPr>
      <w:bookmarkStart w:id="219" w:name="_Toc351203527"/>
      <w:r>
        <w:rPr>
          <w:rFonts w:hint="eastAsia"/>
          <w:b w:val="0"/>
          <w:sz w:val="24"/>
          <w:szCs w:val="24"/>
        </w:rPr>
        <w:t>4</w:t>
      </w:r>
      <w:bookmarkStart w:id="220" w:name="_Toc296503053"/>
      <w:bookmarkStart w:id="221" w:name="_Toc296346554"/>
      <w:bookmarkStart w:id="222" w:name="_Toc337558753"/>
      <w:r>
        <w:rPr>
          <w:rFonts w:hint="eastAsia"/>
          <w:b w:val="0"/>
          <w:sz w:val="24"/>
          <w:szCs w:val="24"/>
        </w:rPr>
        <w:t>. 监</w:t>
      </w:r>
      <w:bookmarkEnd w:id="220"/>
      <w:bookmarkEnd w:id="221"/>
      <w:r>
        <w:rPr>
          <w:rFonts w:hint="eastAsia"/>
          <w:b w:val="0"/>
          <w:sz w:val="24"/>
          <w:szCs w:val="24"/>
        </w:rPr>
        <w:t>理人</w:t>
      </w:r>
      <w:bookmarkEnd w:id="219"/>
    </w:p>
    <w:bookmarkEnd w:id="222"/>
    <w:p w14:paraId="13D92EB7">
      <w:pPr>
        <w:pStyle w:val="6"/>
        <w:spacing w:before="120" w:after="120" w:line="312" w:lineRule="auto"/>
        <w:ind w:firstLine="480" w:firstLineChars="200"/>
        <w:rPr>
          <w:rFonts w:hint="eastAsia" w:ascii="宋体" w:hAnsi="宋体" w:cs="宋体"/>
          <w:b w:val="0"/>
          <w:sz w:val="24"/>
          <w:szCs w:val="24"/>
        </w:rPr>
      </w:pPr>
      <w:bookmarkStart w:id="223" w:name="_Toc351203528"/>
      <w:r>
        <w:rPr>
          <w:rFonts w:hint="eastAsia" w:ascii="宋体" w:hAnsi="宋体" w:cs="宋体"/>
          <w:b w:val="0"/>
          <w:sz w:val="24"/>
          <w:szCs w:val="24"/>
        </w:rPr>
        <w:t>4</w:t>
      </w:r>
      <w:bookmarkStart w:id="224" w:name="_Toc337558754"/>
      <w:bookmarkStart w:id="225" w:name="_Toc296346555"/>
      <w:bookmarkStart w:id="226" w:name="_Toc296503054"/>
      <w:r>
        <w:rPr>
          <w:rFonts w:hint="eastAsia" w:ascii="宋体" w:hAnsi="宋体" w:cs="宋体"/>
          <w:b w:val="0"/>
          <w:sz w:val="24"/>
          <w:szCs w:val="24"/>
        </w:rPr>
        <w:t>.1监理人的一般规定</w:t>
      </w:r>
      <w:bookmarkEnd w:id="223"/>
    </w:p>
    <w:bookmarkEnd w:id="224"/>
    <w:bookmarkEnd w:id="225"/>
    <w:bookmarkEnd w:id="226"/>
    <w:p w14:paraId="0DE1DA3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C7DC24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除专用合同条款另有约定外，监理人在施工现场的办公场所、生活场所由承包人提供，所发生的费用由发包人承担。</w:t>
      </w:r>
    </w:p>
    <w:p w14:paraId="6F93FF01">
      <w:pPr>
        <w:pStyle w:val="6"/>
        <w:spacing w:before="120" w:after="120" w:line="312" w:lineRule="auto"/>
        <w:ind w:firstLine="480" w:firstLineChars="200"/>
        <w:rPr>
          <w:rFonts w:hint="eastAsia" w:ascii="宋体" w:hAnsi="宋体" w:cs="宋体"/>
          <w:b w:val="0"/>
          <w:sz w:val="24"/>
          <w:szCs w:val="24"/>
        </w:rPr>
      </w:pPr>
      <w:bookmarkStart w:id="227" w:name="_Toc351203529"/>
      <w:r>
        <w:rPr>
          <w:rFonts w:hint="eastAsia" w:ascii="宋体" w:hAnsi="宋体" w:cs="宋体"/>
          <w:b w:val="0"/>
          <w:sz w:val="24"/>
          <w:szCs w:val="24"/>
        </w:rPr>
        <w:t>4</w:t>
      </w:r>
      <w:bookmarkStart w:id="228" w:name="_Toc337558755"/>
      <w:r>
        <w:rPr>
          <w:rFonts w:hint="eastAsia" w:ascii="宋体" w:hAnsi="宋体" w:cs="宋体"/>
          <w:b w:val="0"/>
          <w:sz w:val="24"/>
          <w:szCs w:val="24"/>
        </w:rPr>
        <w:t>.2监理人员</w:t>
      </w:r>
      <w:bookmarkEnd w:id="227"/>
    </w:p>
    <w:bookmarkEnd w:id="228"/>
    <w:p w14:paraId="1BAAACF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DB982D2">
      <w:pPr>
        <w:pStyle w:val="6"/>
        <w:spacing w:before="120" w:after="120" w:line="312" w:lineRule="auto"/>
        <w:ind w:firstLine="480" w:firstLineChars="200"/>
        <w:rPr>
          <w:rFonts w:hint="eastAsia" w:ascii="宋体" w:hAnsi="宋体" w:cs="宋体"/>
          <w:b w:val="0"/>
          <w:sz w:val="24"/>
          <w:szCs w:val="24"/>
        </w:rPr>
      </w:pPr>
      <w:bookmarkStart w:id="229" w:name="_Toc351203530"/>
      <w:r>
        <w:rPr>
          <w:rFonts w:hint="eastAsia" w:ascii="宋体" w:hAnsi="宋体" w:cs="宋体"/>
          <w:b w:val="0"/>
          <w:sz w:val="24"/>
          <w:szCs w:val="24"/>
        </w:rPr>
        <w:t>4</w:t>
      </w:r>
      <w:bookmarkStart w:id="230" w:name="_Toc296503055"/>
      <w:bookmarkStart w:id="231" w:name="_Toc296346556"/>
      <w:bookmarkStart w:id="232" w:name="_Toc337558756"/>
      <w:r>
        <w:rPr>
          <w:rFonts w:hint="eastAsia" w:ascii="宋体" w:hAnsi="宋体" w:cs="宋体"/>
          <w:b w:val="0"/>
          <w:sz w:val="24"/>
          <w:szCs w:val="24"/>
        </w:rPr>
        <w:t>.3</w:t>
      </w:r>
      <w:bookmarkEnd w:id="230"/>
      <w:bookmarkEnd w:id="231"/>
      <w:r>
        <w:rPr>
          <w:rFonts w:hint="eastAsia" w:ascii="宋体" w:hAnsi="宋体" w:cs="宋体"/>
          <w:b w:val="0"/>
          <w:sz w:val="24"/>
          <w:szCs w:val="24"/>
        </w:rPr>
        <w:t>监理人的指</w:t>
      </w:r>
      <w:bookmarkEnd w:id="232"/>
      <w:r>
        <w:rPr>
          <w:rFonts w:hint="eastAsia" w:ascii="宋体" w:hAnsi="宋体" w:cs="宋体"/>
          <w:b w:val="0"/>
          <w:sz w:val="24"/>
          <w:szCs w:val="24"/>
        </w:rPr>
        <w:t>示</w:t>
      </w:r>
      <w:bookmarkEnd w:id="229"/>
    </w:p>
    <w:p w14:paraId="50DCBA5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EE62FD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FC7265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承包人对监理人发出的指示有疑问的，应向监理人提出书面异议，监理人应在48小时内对该指示予以确认、更改或撤销，监理人逾期未回复的，承包人有权拒绝执行上述指示。</w:t>
      </w:r>
    </w:p>
    <w:p w14:paraId="36160D5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14:paraId="070B0F50">
      <w:pPr>
        <w:pStyle w:val="5"/>
        <w:spacing w:before="120" w:after="120" w:line="312" w:lineRule="auto"/>
        <w:ind w:firstLine="480" w:firstLineChars="200"/>
        <w:rPr>
          <w:rFonts w:hint="eastAsia"/>
          <w:b w:val="0"/>
          <w:sz w:val="24"/>
          <w:szCs w:val="24"/>
        </w:rPr>
      </w:pPr>
      <w:bookmarkStart w:id="233" w:name="_Toc351203531"/>
      <w:r>
        <w:rPr>
          <w:rFonts w:hint="eastAsia"/>
          <w:b w:val="0"/>
          <w:sz w:val="24"/>
          <w:szCs w:val="24"/>
        </w:rPr>
        <w:t>4</w:t>
      </w:r>
      <w:bookmarkStart w:id="234" w:name="_Toc337558757"/>
      <w:bookmarkStart w:id="235" w:name="_Toc296346558"/>
      <w:bookmarkStart w:id="236" w:name="_Toc296503057"/>
      <w:r>
        <w:rPr>
          <w:rFonts w:hint="eastAsia"/>
          <w:b w:val="0"/>
          <w:sz w:val="24"/>
          <w:szCs w:val="24"/>
        </w:rPr>
        <w:t>.4 商定或确定</w:t>
      </w:r>
      <w:bookmarkEnd w:id="233"/>
    </w:p>
    <w:bookmarkEnd w:id="234"/>
    <w:bookmarkEnd w:id="235"/>
    <w:bookmarkEnd w:id="236"/>
    <w:p w14:paraId="4E572CD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合同当事人进行商定或确定时，总监理工程师应当会同合同当事人尽量通过协商达成一致，不能达成一致的，由总监理工程师按照合同约定审慎做出公正的确定。</w:t>
      </w:r>
    </w:p>
    <w:p w14:paraId="015FA6C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D8DA0AB">
      <w:pPr>
        <w:pStyle w:val="5"/>
        <w:spacing w:before="120" w:after="120" w:line="312" w:lineRule="auto"/>
        <w:rPr>
          <w:rFonts w:hint="eastAsia"/>
          <w:b w:val="0"/>
          <w:sz w:val="24"/>
          <w:szCs w:val="24"/>
        </w:rPr>
      </w:pPr>
      <w:bookmarkStart w:id="237" w:name="_Toc351203532"/>
      <w:r>
        <w:rPr>
          <w:rFonts w:hint="eastAsia"/>
          <w:b w:val="0"/>
          <w:sz w:val="24"/>
          <w:szCs w:val="24"/>
        </w:rPr>
        <w:t>5</w:t>
      </w:r>
      <w:bookmarkStart w:id="238" w:name="_Toc337558758"/>
      <w:r>
        <w:rPr>
          <w:rFonts w:hint="eastAsia"/>
          <w:b w:val="0"/>
          <w:sz w:val="24"/>
          <w:szCs w:val="24"/>
        </w:rPr>
        <w:t>. 工程质量</w:t>
      </w:r>
      <w:bookmarkEnd w:id="237"/>
    </w:p>
    <w:bookmarkEnd w:id="238"/>
    <w:p w14:paraId="4D599670">
      <w:pPr>
        <w:pStyle w:val="6"/>
        <w:spacing w:before="120" w:after="120" w:line="312" w:lineRule="auto"/>
        <w:ind w:firstLine="480" w:firstLineChars="200"/>
        <w:rPr>
          <w:rFonts w:hint="eastAsia" w:ascii="宋体" w:hAnsi="宋体" w:cs="宋体"/>
          <w:b w:val="0"/>
          <w:sz w:val="24"/>
          <w:szCs w:val="24"/>
        </w:rPr>
      </w:pPr>
      <w:bookmarkStart w:id="239" w:name="_Toc351203533"/>
      <w:r>
        <w:rPr>
          <w:rFonts w:hint="eastAsia" w:ascii="宋体" w:hAnsi="宋体" w:cs="宋体"/>
          <w:b w:val="0"/>
          <w:sz w:val="24"/>
          <w:szCs w:val="24"/>
        </w:rPr>
        <w:t>5</w:t>
      </w:r>
      <w:bookmarkStart w:id="240" w:name="_Toc337558759"/>
      <w:r>
        <w:rPr>
          <w:rFonts w:hint="eastAsia" w:ascii="宋体" w:hAnsi="宋体" w:cs="宋体"/>
          <w:b w:val="0"/>
          <w:sz w:val="24"/>
          <w:szCs w:val="24"/>
        </w:rPr>
        <w:t>.1质量要求</w:t>
      </w:r>
      <w:bookmarkEnd w:id="239"/>
    </w:p>
    <w:bookmarkEnd w:id="240"/>
    <w:p w14:paraId="00ED359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5.1.1 工程质量标准必须符合现行国家有关工程施工质量验收规范和标准的要求。有关工程质量的特殊标准或要求由合同当事人在专用合同条款中约定。</w:t>
      </w:r>
    </w:p>
    <w:p w14:paraId="272D686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5.1.2 因发包人原因造成工程质量未达到合同约定标准的，由发包人承担由此增加的费用和（或）延误的工期，并支付承包人合理的利润。</w:t>
      </w:r>
    </w:p>
    <w:p w14:paraId="1409FD2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5.1.3 因承包人原因造成工程质量未达到合同约定标准的，发包人有权要求承包人返工直至工程质量达到合同约定的标准为止，并由承包人承担由此增加的费用和（或）延误的工期。</w:t>
      </w:r>
    </w:p>
    <w:p w14:paraId="5E416AB7">
      <w:pPr>
        <w:pStyle w:val="6"/>
        <w:spacing w:before="120" w:after="120" w:line="312" w:lineRule="auto"/>
        <w:ind w:firstLine="480" w:firstLineChars="200"/>
        <w:rPr>
          <w:rFonts w:hint="eastAsia" w:ascii="宋体" w:hAnsi="宋体" w:cs="宋体"/>
          <w:b w:val="0"/>
          <w:sz w:val="24"/>
          <w:szCs w:val="24"/>
        </w:rPr>
      </w:pPr>
      <w:bookmarkStart w:id="241" w:name="_Toc351203534"/>
      <w:r>
        <w:rPr>
          <w:rFonts w:hint="eastAsia" w:ascii="宋体" w:hAnsi="宋体" w:cs="宋体"/>
          <w:b w:val="0"/>
          <w:sz w:val="24"/>
          <w:szCs w:val="24"/>
        </w:rPr>
        <w:t>5</w:t>
      </w:r>
      <w:bookmarkStart w:id="242" w:name="_Toc337558760"/>
      <w:r>
        <w:rPr>
          <w:rFonts w:hint="eastAsia" w:ascii="宋体" w:hAnsi="宋体" w:cs="宋体"/>
          <w:b w:val="0"/>
          <w:sz w:val="24"/>
          <w:szCs w:val="24"/>
        </w:rPr>
        <w:t>.2质量保证措施</w:t>
      </w:r>
      <w:bookmarkEnd w:id="241"/>
    </w:p>
    <w:bookmarkEnd w:id="242"/>
    <w:p w14:paraId="0EA7D0C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5.2.1 发包人的质量管理</w:t>
      </w:r>
    </w:p>
    <w:p w14:paraId="570024E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发包人应按照法律规定及合同约定完成与工程质量有关的各项工作。</w:t>
      </w:r>
    </w:p>
    <w:p w14:paraId="3B93780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5.2.2 承包人的质量管理</w:t>
      </w:r>
    </w:p>
    <w:p w14:paraId="23703F1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430548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承包人应对施工人员进行质量教育和技术培训，定期考核施工人员的劳动技能，严格执行施工规范和操作规程。</w:t>
      </w:r>
    </w:p>
    <w:p w14:paraId="6D289C3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9FD882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5.2.3 监理人的质量检查和检验</w:t>
      </w:r>
    </w:p>
    <w:p w14:paraId="1E5E07F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864F5A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4312730">
      <w:pPr>
        <w:pStyle w:val="6"/>
        <w:spacing w:before="120" w:after="120" w:line="312" w:lineRule="auto"/>
        <w:ind w:firstLine="480" w:firstLineChars="200"/>
        <w:rPr>
          <w:rFonts w:hint="eastAsia" w:ascii="宋体" w:hAnsi="宋体" w:cs="宋体"/>
          <w:b w:val="0"/>
          <w:sz w:val="24"/>
          <w:szCs w:val="24"/>
        </w:rPr>
      </w:pPr>
      <w:bookmarkStart w:id="243" w:name="_Toc351203535"/>
      <w:r>
        <w:rPr>
          <w:rFonts w:hint="eastAsia" w:ascii="宋体" w:hAnsi="宋体" w:cs="宋体"/>
          <w:b w:val="0"/>
          <w:sz w:val="24"/>
          <w:szCs w:val="24"/>
        </w:rPr>
        <w:t>5</w:t>
      </w:r>
      <w:bookmarkStart w:id="244" w:name="_Toc337558761"/>
      <w:r>
        <w:rPr>
          <w:rFonts w:hint="eastAsia" w:ascii="宋体" w:hAnsi="宋体" w:cs="宋体"/>
          <w:b w:val="0"/>
          <w:sz w:val="24"/>
          <w:szCs w:val="24"/>
        </w:rPr>
        <w:t>.3 隐蔽工程检查</w:t>
      </w:r>
      <w:bookmarkEnd w:id="243"/>
    </w:p>
    <w:bookmarkEnd w:id="244"/>
    <w:p w14:paraId="1CB951A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5.3.1承包人自检</w:t>
      </w:r>
    </w:p>
    <w:p w14:paraId="0C7D444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承包人应当对工程隐蔽部位进行自检，并经自检确认是否具备覆盖条件。</w:t>
      </w:r>
    </w:p>
    <w:p w14:paraId="3CB08FB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5.3.2检查程序</w:t>
      </w:r>
    </w:p>
    <w:p w14:paraId="5C861CF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013415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DBEBD9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97BFD8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5.3.3 重新检查</w:t>
      </w:r>
    </w:p>
    <w:p w14:paraId="64BB172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874734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5.3.4 承包人私自覆盖</w:t>
      </w:r>
    </w:p>
    <w:p w14:paraId="267786DF">
      <w:pPr>
        <w:spacing w:line="312" w:lineRule="auto"/>
        <w:ind w:firstLine="480" w:firstLineChars="200"/>
        <w:jc w:val="left"/>
        <w:rPr>
          <w:rFonts w:hint="eastAsia" w:ascii="宋体" w:hAnsi="宋体" w:cs="宋体"/>
          <w:sz w:val="24"/>
        </w:rPr>
      </w:pPr>
      <w:r>
        <w:rPr>
          <w:rFonts w:hint="eastAsia" w:ascii="宋体" w:hAnsi="宋体" w:cs="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14:paraId="527DDA46">
      <w:pPr>
        <w:pStyle w:val="6"/>
        <w:spacing w:before="120" w:after="120" w:line="312" w:lineRule="auto"/>
        <w:ind w:firstLine="480" w:firstLineChars="200"/>
        <w:rPr>
          <w:rFonts w:hint="eastAsia" w:ascii="宋体" w:hAnsi="宋体" w:cs="宋体"/>
          <w:b w:val="0"/>
          <w:sz w:val="24"/>
          <w:szCs w:val="24"/>
        </w:rPr>
      </w:pPr>
      <w:bookmarkStart w:id="245" w:name="_Toc351203536"/>
      <w:r>
        <w:rPr>
          <w:rFonts w:hint="eastAsia" w:ascii="宋体" w:hAnsi="宋体" w:cs="宋体"/>
          <w:b w:val="0"/>
          <w:sz w:val="24"/>
          <w:szCs w:val="24"/>
        </w:rPr>
        <w:t>5</w:t>
      </w:r>
      <w:bookmarkStart w:id="246" w:name="_Toc337558762"/>
      <w:r>
        <w:rPr>
          <w:rFonts w:hint="eastAsia" w:ascii="宋体" w:hAnsi="宋体" w:cs="宋体"/>
          <w:b w:val="0"/>
          <w:sz w:val="24"/>
          <w:szCs w:val="24"/>
        </w:rPr>
        <w:t>.4不合格工程的处理</w:t>
      </w:r>
      <w:bookmarkEnd w:id="245"/>
    </w:p>
    <w:bookmarkEnd w:id="246"/>
    <w:p w14:paraId="412B914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F717FE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5.4.2 因发包人原因造成工程不合格的，由此增加的费用和（或）延误的工期由发包人承担，并支付承包人合理的利润。</w:t>
      </w:r>
    </w:p>
    <w:p w14:paraId="0044875B">
      <w:pPr>
        <w:pStyle w:val="6"/>
        <w:spacing w:before="120" w:after="120" w:line="312" w:lineRule="auto"/>
        <w:ind w:firstLine="480" w:firstLineChars="200"/>
        <w:rPr>
          <w:rFonts w:hint="eastAsia" w:ascii="宋体" w:hAnsi="宋体" w:cs="宋体"/>
          <w:b w:val="0"/>
          <w:sz w:val="24"/>
          <w:szCs w:val="24"/>
        </w:rPr>
      </w:pPr>
      <w:bookmarkStart w:id="247" w:name="_Toc351203537"/>
      <w:r>
        <w:rPr>
          <w:rFonts w:hint="eastAsia" w:ascii="宋体" w:hAnsi="宋体" w:cs="宋体"/>
          <w:b w:val="0"/>
          <w:sz w:val="24"/>
          <w:szCs w:val="24"/>
        </w:rPr>
        <w:t>5.5 质量争议检测</w:t>
      </w:r>
      <w:bookmarkEnd w:id="247"/>
    </w:p>
    <w:p w14:paraId="600957A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合同当事人对工程质量有争议的，由双方协商确定的工程质量检测机构鉴定，由此产生的费用及因此造成的损失，由责任方承担。</w:t>
      </w:r>
    </w:p>
    <w:p w14:paraId="61742783">
      <w:pPr>
        <w:autoSpaceDE w:val="0"/>
        <w:autoSpaceDN w:val="0"/>
        <w:adjustRightInd w:val="0"/>
        <w:spacing w:line="312" w:lineRule="auto"/>
        <w:jc w:val="left"/>
        <w:rPr>
          <w:rFonts w:hint="eastAsia" w:ascii="宋体" w:hAnsi="宋体" w:cs="宋体"/>
          <w:kern w:val="0"/>
          <w:sz w:val="24"/>
        </w:rPr>
      </w:pPr>
      <w:r>
        <w:rPr>
          <w:rFonts w:hint="eastAsia" w:ascii="宋体" w:hAnsi="宋体" w:cs="宋体"/>
          <w:kern w:val="0"/>
          <w:sz w:val="24"/>
        </w:rPr>
        <w:t>合同当事人均有责任的，由双方根据其责任分别承担。合同当事人无法达成一致的，按照第4.4款〔商定或确定〕执行。</w:t>
      </w:r>
    </w:p>
    <w:p w14:paraId="401CBB42">
      <w:pPr>
        <w:pStyle w:val="5"/>
        <w:spacing w:before="120" w:after="120" w:line="312" w:lineRule="auto"/>
        <w:rPr>
          <w:rFonts w:hint="eastAsia"/>
          <w:b w:val="0"/>
          <w:sz w:val="24"/>
          <w:szCs w:val="24"/>
        </w:rPr>
      </w:pPr>
      <w:bookmarkStart w:id="248" w:name="_Toc351203538"/>
      <w:r>
        <w:rPr>
          <w:rFonts w:hint="eastAsia"/>
          <w:b w:val="0"/>
          <w:sz w:val="24"/>
          <w:szCs w:val="24"/>
        </w:rPr>
        <w:t>6</w:t>
      </w:r>
      <w:bookmarkStart w:id="249" w:name="_Toc337558763"/>
      <w:r>
        <w:rPr>
          <w:rFonts w:hint="eastAsia"/>
          <w:b w:val="0"/>
          <w:sz w:val="24"/>
          <w:szCs w:val="24"/>
        </w:rPr>
        <w:t>. 安全文明施工与环境保护</w:t>
      </w:r>
      <w:bookmarkEnd w:id="248"/>
    </w:p>
    <w:bookmarkEnd w:id="249"/>
    <w:p w14:paraId="2948B7AF">
      <w:pPr>
        <w:pStyle w:val="6"/>
        <w:spacing w:before="120" w:after="120" w:line="312" w:lineRule="auto"/>
        <w:ind w:firstLine="480" w:firstLineChars="200"/>
        <w:rPr>
          <w:rFonts w:hint="eastAsia" w:ascii="宋体" w:hAnsi="宋体" w:cs="宋体"/>
          <w:b w:val="0"/>
          <w:sz w:val="24"/>
          <w:szCs w:val="24"/>
        </w:rPr>
      </w:pPr>
      <w:bookmarkStart w:id="250" w:name="_Toc351203539"/>
      <w:r>
        <w:rPr>
          <w:rFonts w:hint="eastAsia" w:ascii="宋体" w:hAnsi="宋体" w:cs="宋体"/>
          <w:b w:val="0"/>
          <w:sz w:val="24"/>
          <w:szCs w:val="24"/>
        </w:rPr>
        <w:t>6</w:t>
      </w:r>
      <w:bookmarkStart w:id="251" w:name="_Toc337558764"/>
      <w:r>
        <w:rPr>
          <w:rFonts w:hint="eastAsia" w:ascii="宋体" w:hAnsi="宋体" w:cs="宋体"/>
          <w:b w:val="0"/>
          <w:sz w:val="24"/>
          <w:szCs w:val="24"/>
        </w:rPr>
        <w:t>.1安全文明施工</w:t>
      </w:r>
      <w:bookmarkEnd w:id="250"/>
    </w:p>
    <w:bookmarkEnd w:id="251"/>
    <w:p w14:paraId="65BB6CD8">
      <w:pPr>
        <w:spacing w:line="312" w:lineRule="auto"/>
        <w:ind w:firstLine="480" w:firstLineChars="200"/>
        <w:rPr>
          <w:rFonts w:hint="eastAsia" w:ascii="宋体" w:hAnsi="宋体" w:cs="宋体"/>
          <w:sz w:val="24"/>
        </w:rPr>
      </w:pPr>
      <w:r>
        <w:rPr>
          <w:rFonts w:hint="eastAsia" w:ascii="宋体" w:hAnsi="宋体" w:cs="宋体"/>
          <w:sz w:val="24"/>
        </w:rPr>
        <w:t>6.1.1安全生产要求</w:t>
      </w:r>
    </w:p>
    <w:p w14:paraId="624B841E">
      <w:pPr>
        <w:spacing w:line="312" w:lineRule="auto"/>
        <w:ind w:firstLine="480" w:firstLineChars="200"/>
        <w:rPr>
          <w:rFonts w:hint="eastAsia" w:ascii="宋体" w:hAnsi="宋体" w:cs="宋体"/>
          <w:sz w:val="24"/>
        </w:rPr>
      </w:pPr>
      <w:r>
        <w:rPr>
          <w:rFonts w:hint="eastAsia" w:ascii="宋体" w:hAnsi="宋体" w:cs="宋体"/>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6185116">
      <w:pPr>
        <w:spacing w:line="312" w:lineRule="auto"/>
        <w:ind w:firstLine="480" w:firstLineChars="200"/>
        <w:rPr>
          <w:rFonts w:hint="eastAsia" w:ascii="宋体" w:hAnsi="宋体" w:cs="宋体"/>
          <w:sz w:val="24"/>
        </w:rPr>
      </w:pPr>
      <w:r>
        <w:rPr>
          <w:rFonts w:hint="eastAsia" w:ascii="宋体" w:hAnsi="宋体" w:cs="宋体"/>
          <w:sz w:val="24"/>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kern w:val="0"/>
          <w:sz w:val="24"/>
        </w:rPr>
        <w:t>政府有关行政管理部门</w:t>
      </w:r>
      <w:r>
        <w:rPr>
          <w:rFonts w:hint="eastAsia" w:ascii="宋体" w:hAnsi="宋体" w:cs="宋体"/>
          <w:sz w:val="24"/>
        </w:rPr>
        <w:t>采取应急措施。</w:t>
      </w:r>
    </w:p>
    <w:p w14:paraId="6DEB78D4">
      <w:pPr>
        <w:spacing w:line="312" w:lineRule="auto"/>
        <w:ind w:firstLine="480" w:firstLineChars="200"/>
        <w:rPr>
          <w:rFonts w:hint="eastAsia" w:ascii="宋体" w:hAnsi="宋体" w:cs="宋体"/>
          <w:sz w:val="24"/>
        </w:rPr>
      </w:pPr>
      <w:r>
        <w:rPr>
          <w:rFonts w:hint="eastAsia" w:ascii="宋体" w:hAnsi="宋体" w:cs="宋体"/>
          <w:sz w:val="24"/>
        </w:rPr>
        <w:t>因安全生产需要暂停施工的，按照第7.8款〔暂停施工〕的约定执行。</w:t>
      </w:r>
    </w:p>
    <w:p w14:paraId="7D8753EC">
      <w:pPr>
        <w:spacing w:line="312" w:lineRule="auto"/>
        <w:ind w:firstLine="480" w:firstLineChars="200"/>
        <w:rPr>
          <w:rFonts w:hint="eastAsia" w:ascii="宋体" w:hAnsi="宋体" w:cs="宋体"/>
          <w:sz w:val="24"/>
        </w:rPr>
      </w:pPr>
      <w:r>
        <w:rPr>
          <w:rFonts w:hint="eastAsia" w:ascii="宋体" w:hAnsi="宋体" w:cs="宋体"/>
          <w:sz w:val="24"/>
        </w:rPr>
        <w:t>6.1.2 安全生产保证措施</w:t>
      </w:r>
    </w:p>
    <w:p w14:paraId="4BAB8F2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承包人应当按照有关</w:t>
      </w:r>
      <w:r>
        <w:rPr>
          <w:rFonts w:hint="eastAsia" w:ascii="宋体" w:hAnsi="宋体" w:cs="宋体"/>
          <w:kern w:val="0"/>
          <w:sz w:val="24"/>
        </w:rPr>
        <w:t>规定编制安全技术措施或者专项施工方案，</w:t>
      </w:r>
      <w:r>
        <w:rPr>
          <w:rFonts w:hint="eastAsia" w:ascii="宋体" w:hAnsi="宋体" w:cs="宋体"/>
          <w:sz w:val="24"/>
        </w:rPr>
        <w:t>建立安全生产责任制度、治安保卫制度及安全生产教育培训制度，并</w:t>
      </w:r>
      <w:r>
        <w:rPr>
          <w:rFonts w:hint="eastAsia" w:ascii="宋体" w:hAnsi="宋体" w:cs="宋体"/>
          <w:kern w:val="0"/>
          <w:sz w:val="24"/>
        </w:rPr>
        <w:t>按安全生产法律规定及合同约定履行安全职责，如实</w:t>
      </w:r>
      <w:r>
        <w:rPr>
          <w:rFonts w:hint="eastAsia" w:ascii="宋体" w:hAnsi="宋体" w:cs="宋体"/>
          <w:sz w:val="24"/>
        </w:rPr>
        <w:t>编制工程安全生产的有关记录，</w:t>
      </w:r>
      <w:r>
        <w:rPr>
          <w:rFonts w:hint="eastAsia" w:ascii="宋体" w:hAnsi="宋体" w:cs="宋体"/>
          <w:kern w:val="0"/>
          <w:sz w:val="24"/>
        </w:rPr>
        <w:t>接受发包人、监理人及政府安全监督部门的检查与监督。</w:t>
      </w:r>
    </w:p>
    <w:p w14:paraId="0F9EAB59">
      <w:pPr>
        <w:spacing w:line="312" w:lineRule="auto"/>
        <w:ind w:firstLine="480" w:firstLineChars="200"/>
        <w:rPr>
          <w:rFonts w:hint="eastAsia" w:ascii="宋体" w:hAnsi="宋体" w:cs="宋体"/>
          <w:sz w:val="24"/>
        </w:rPr>
      </w:pPr>
      <w:r>
        <w:rPr>
          <w:rFonts w:hint="eastAsia" w:ascii="宋体" w:hAnsi="宋体" w:cs="宋体"/>
          <w:sz w:val="24"/>
        </w:rPr>
        <w:t>6.1.3特别安全生产事项</w:t>
      </w:r>
    </w:p>
    <w:p w14:paraId="55203E50">
      <w:pPr>
        <w:spacing w:line="312" w:lineRule="auto"/>
        <w:ind w:firstLine="480" w:firstLineChars="200"/>
        <w:rPr>
          <w:rFonts w:hint="eastAsia" w:ascii="宋体" w:hAnsi="宋体" w:cs="宋体"/>
          <w:sz w:val="24"/>
        </w:rPr>
      </w:pPr>
      <w:r>
        <w:rPr>
          <w:rFonts w:hint="eastAsia" w:ascii="宋体" w:hAnsi="宋体" w:cs="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10359C1">
      <w:pPr>
        <w:spacing w:line="312" w:lineRule="auto"/>
        <w:ind w:firstLine="480" w:firstLineChars="200"/>
        <w:rPr>
          <w:rFonts w:hint="eastAsia" w:ascii="宋体" w:hAnsi="宋体" w:cs="宋体"/>
          <w:sz w:val="24"/>
        </w:rPr>
      </w:pPr>
      <w:r>
        <w:rPr>
          <w:rFonts w:hint="eastAsia" w:ascii="宋体" w:hAnsi="宋体" w:cs="宋体"/>
          <w:sz w:val="24"/>
        </w:rPr>
        <w:t xml:space="preserve">承包人在动力设备、输电线路、地下管道、密封防震车间、易燃易爆地段以及临街交通要道附近施工时，施工开始前应向发包人和监理人提出安全防护措施，经发包人认可后实施。 </w:t>
      </w:r>
    </w:p>
    <w:p w14:paraId="08972106">
      <w:pPr>
        <w:spacing w:line="312" w:lineRule="auto"/>
        <w:ind w:firstLine="480" w:firstLineChars="200"/>
        <w:rPr>
          <w:rFonts w:hint="eastAsia" w:ascii="宋体" w:hAnsi="宋体" w:cs="宋体"/>
          <w:sz w:val="24"/>
        </w:rPr>
      </w:pPr>
      <w:r>
        <w:rPr>
          <w:rFonts w:hint="eastAsia" w:ascii="宋体" w:hAnsi="宋体" w:cs="宋体"/>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28DAA9D7">
      <w:pPr>
        <w:spacing w:line="312" w:lineRule="auto"/>
        <w:ind w:firstLine="480" w:firstLineChars="200"/>
        <w:rPr>
          <w:rFonts w:hint="eastAsia" w:ascii="宋体" w:hAnsi="宋体" w:cs="宋体"/>
          <w:sz w:val="24"/>
        </w:rPr>
      </w:pPr>
      <w:r>
        <w:rPr>
          <w:rFonts w:hint="eastAsia" w:ascii="宋体" w:hAnsi="宋体" w:cs="宋体"/>
          <w:sz w:val="24"/>
        </w:rPr>
        <w:t>需单独编制危险性较大分部分项专项工程施工方案的，及要求进行专家论证的超过一定规模的危险性较大的分部分项工程，承包人应及时编制和组织论证。</w:t>
      </w:r>
    </w:p>
    <w:p w14:paraId="67B25B98">
      <w:pPr>
        <w:spacing w:line="312" w:lineRule="auto"/>
        <w:ind w:firstLine="480" w:firstLineChars="200"/>
        <w:rPr>
          <w:rFonts w:hint="eastAsia" w:ascii="宋体" w:hAnsi="宋体" w:cs="宋体"/>
          <w:sz w:val="24"/>
        </w:rPr>
      </w:pPr>
      <w:r>
        <w:rPr>
          <w:rFonts w:hint="eastAsia" w:ascii="宋体" w:hAnsi="宋体" w:cs="宋体"/>
          <w:sz w:val="24"/>
        </w:rPr>
        <w:t>6.1.4 治安保卫</w:t>
      </w:r>
    </w:p>
    <w:p w14:paraId="4070C2CA">
      <w:pPr>
        <w:spacing w:line="312" w:lineRule="auto"/>
        <w:ind w:firstLine="480" w:firstLineChars="200"/>
        <w:rPr>
          <w:rFonts w:hint="eastAsia" w:ascii="宋体" w:hAnsi="宋体" w:cs="宋体"/>
          <w:sz w:val="24"/>
        </w:rPr>
      </w:pPr>
      <w:r>
        <w:rPr>
          <w:rFonts w:hint="eastAsia" w:ascii="宋体" w:hAnsi="宋体" w:cs="宋体"/>
          <w:sz w:val="24"/>
        </w:rPr>
        <w:t>除专用合同条款另有约定外，发包人应与当地公安部门协商，在现场建立治安管理机构或联防组织，统一管理施工场地的治安保卫事项，履行合同工程的治安保卫职责。</w:t>
      </w:r>
    </w:p>
    <w:p w14:paraId="40EDA0CA">
      <w:pPr>
        <w:spacing w:line="312" w:lineRule="auto"/>
        <w:ind w:firstLine="480" w:firstLineChars="200"/>
        <w:rPr>
          <w:rFonts w:hint="eastAsia" w:ascii="宋体" w:hAnsi="宋体" w:cs="宋体"/>
          <w:sz w:val="24"/>
        </w:rPr>
      </w:pPr>
      <w:r>
        <w:rPr>
          <w:rFonts w:hint="eastAsia" w:ascii="宋体" w:hAnsi="宋体" w:cs="宋体"/>
          <w:sz w:val="24"/>
        </w:rPr>
        <w:t>发包人和承包人除应协助现场治安管理机构或联防组织维护施工场地的社会治安外，还应做好包括生活区在内的各自管辖区的治安保卫工作。</w:t>
      </w:r>
    </w:p>
    <w:p w14:paraId="773E4450">
      <w:pPr>
        <w:spacing w:line="312" w:lineRule="auto"/>
        <w:ind w:firstLine="480" w:firstLineChars="200"/>
        <w:rPr>
          <w:rFonts w:hint="eastAsia" w:ascii="宋体" w:hAnsi="宋体" w:cs="宋体"/>
          <w:sz w:val="24"/>
        </w:rPr>
      </w:pPr>
      <w:r>
        <w:rPr>
          <w:rFonts w:hint="eastAsia" w:ascii="宋体" w:hAnsi="宋体" w:cs="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ACFB696">
      <w:pPr>
        <w:spacing w:line="312" w:lineRule="auto"/>
        <w:ind w:firstLine="480" w:firstLineChars="200"/>
        <w:rPr>
          <w:rFonts w:hint="eastAsia" w:ascii="宋体" w:hAnsi="宋体" w:cs="宋体"/>
          <w:kern w:val="0"/>
          <w:sz w:val="24"/>
        </w:rPr>
      </w:pPr>
      <w:r>
        <w:rPr>
          <w:rFonts w:hint="eastAsia" w:ascii="宋体" w:hAnsi="宋体" w:cs="宋体"/>
          <w:sz w:val="24"/>
        </w:rPr>
        <w:t>6.1.5 文明施工</w:t>
      </w:r>
    </w:p>
    <w:p w14:paraId="7D9C665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40F0D3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07BE443">
      <w:pPr>
        <w:spacing w:line="312" w:lineRule="auto"/>
        <w:ind w:firstLine="480" w:firstLineChars="200"/>
        <w:rPr>
          <w:rFonts w:hint="eastAsia" w:ascii="宋体" w:hAnsi="宋体" w:cs="宋体"/>
          <w:sz w:val="24"/>
        </w:rPr>
      </w:pPr>
      <w:r>
        <w:rPr>
          <w:rFonts w:hint="eastAsia" w:ascii="宋体" w:hAnsi="宋体" w:cs="宋体"/>
          <w:sz w:val="24"/>
        </w:rPr>
        <w:t>6.1.6 安全文明施工费</w:t>
      </w:r>
    </w:p>
    <w:p w14:paraId="2BF07EA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安全文明施工费由发包人承担，发包人不得以任何形式扣减该部分费用。因基准日期后合同所适用的法律或政府有关规定发生变化，增加的安全文明施工费由发包人承担。</w:t>
      </w:r>
    </w:p>
    <w:p w14:paraId="4436F1B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E37E7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47764F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369010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6.1.7 紧急情况处理</w:t>
      </w:r>
    </w:p>
    <w:p w14:paraId="6E58D38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0B7395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6.1.8 事故处理</w:t>
      </w:r>
    </w:p>
    <w:p w14:paraId="7020402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0493DA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6.1.9 安全生产责任</w:t>
      </w:r>
    </w:p>
    <w:p w14:paraId="34CF1FB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6.1.9.1 发包人的安全责任</w:t>
      </w:r>
    </w:p>
    <w:p w14:paraId="08FF6B9F">
      <w:pPr>
        <w:spacing w:line="312" w:lineRule="auto"/>
        <w:ind w:firstLine="480" w:firstLineChars="200"/>
        <w:rPr>
          <w:rFonts w:hint="eastAsia" w:ascii="宋体" w:hAnsi="宋体" w:cs="宋体"/>
          <w:sz w:val="24"/>
        </w:rPr>
      </w:pPr>
      <w:r>
        <w:rPr>
          <w:rFonts w:hint="eastAsia" w:ascii="宋体" w:hAnsi="宋体" w:cs="宋体"/>
          <w:sz w:val="24"/>
        </w:rPr>
        <w:t>发包人应负责赔偿以下各种情况造成的损失：</w:t>
      </w:r>
    </w:p>
    <w:p w14:paraId="49D06D95">
      <w:pPr>
        <w:spacing w:line="312" w:lineRule="auto"/>
        <w:ind w:firstLine="480" w:firstLineChars="200"/>
        <w:rPr>
          <w:rFonts w:hint="eastAsia" w:ascii="宋体" w:hAnsi="宋体" w:cs="宋体"/>
          <w:sz w:val="24"/>
        </w:rPr>
      </w:pPr>
      <w:r>
        <w:rPr>
          <w:rFonts w:hint="eastAsia" w:ascii="宋体" w:hAnsi="宋体" w:cs="宋体"/>
          <w:sz w:val="24"/>
        </w:rPr>
        <w:t>（1）工程或工程的任何部分对土地的占用所造成的第三者财产损失；</w:t>
      </w:r>
    </w:p>
    <w:p w14:paraId="5C08B728">
      <w:pPr>
        <w:spacing w:line="312" w:lineRule="auto"/>
        <w:ind w:firstLine="480" w:firstLineChars="200"/>
        <w:rPr>
          <w:rFonts w:hint="eastAsia" w:ascii="宋体" w:hAnsi="宋体" w:cs="宋体"/>
          <w:sz w:val="24"/>
        </w:rPr>
      </w:pPr>
      <w:r>
        <w:rPr>
          <w:rFonts w:hint="eastAsia" w:ascii="宋体" w:hAnsi="宋体" w:cs="宋体"/>
          <w:sz w:val="24"/>
        </w:rPr>
        <w:t>（2）由于发包人原因在施工场地及其毗邻地带造成的第三者人身伤亡和财产损失；</w:t>
      </w:r>
    </w:p>
    <w:p w14:paraId="5567650D">
      <w:pPr>
        <w:spacing w:line="312" w:lineRule="auto"/>
        <w:ind w:firstLine="480" w:firstLineChars="200"/>
        <w:rPr>
          <w:rFonts w:hint="eastAsia" w:ascii="宋体" w:hAnsi="宋体" w:cs="宋体"/>
          <w:sz w:val="24"/>
        </w:rPr>
      </w:pPr>
      <w:r>
        <w:rPr>
          <w:rFonts w:hint="eastAsia" w:ascii="宋体" w:hAnsi="宋体" w:cs="宋体"/>
          <w:sz w:val="24"/>
        </w:rPr>
        <w:t>（3）由于发包人原因对承包人、监理人造成的人员人身伤亡和财产损失；</w:t>
      </w:r>
    </w:p>
    <w:p w14:paraId="7A9C96A9">
      <w:pPr>
        <w:spacing w:line="312" w:lineRule="auto"/>
        <w:ind w:firstLine="480" w:firstLineChars="200"/>
        <w:rPr>
          <w:rFonts w:hint="eastAsia" w:ascii="宋体" w:hAnsi="宋体" w:cs="宋体"/>
          <w:sz w:val="24"/>
        </w:rPr>
      </w:pPr>
      <w:r>
        <w:rPr>
          <w:rFonts w:hint="eastAsia" w:ascii="宋体" w:hAnsi="宋体" w:cs="宋体"/>
          <w:sz w:val="24"/>
        </w:rPr>
        <w:t>（4）由于发包人原因造成的发包人自身人员的人身伤害以及财产损失。</w:t>
      </w:r>
    </w:p>
    <w:p w14:paraId="644CC3A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6.1.9.2 承包人的安全责任</w:t>
      </w:r>
    </w:p>
    <w:p w14:paraId="6FFB0461">
      <w:pPr>
        <w:spacing w:line="312" w:lineRule="auto"/>
        <w:ind w:firstLine="480" w:firstLineChars="200"/>
        <w:rPr>
          <w:rFonts w:hint="eastAsia" w:ascii="宋体" w:hAnsi="宋体" w:cs="宋体"/>
          <w:kern w:val="0"/>
          <w:sz w:val="24"/>
        </w:rPr>
      </w:pPr>
      <w:r>
        <w:rPr>
          <w:rFonts w:hint="eastAsia" w:ascii="宋体" w:hAnsi="宋体" w:cs="宋体"/>
          <w:sz w:val="24"/>
        </w:rPr>
        <w:t>由于承包人原因在施工场地内及其毗邻地带造成的发包人、监理人以及第三者人员伤亡和财产损失，由承包人负责赔偿。</w:t>
      </w:r>
    </w:p>
    <w:p w14:paraId="0BE40337">
      <w:pPr>
        <w:pStyle w:val="6"/>
        <w:spacing w:before="120" w:after="120" w:line="312" w:lineRule="auto"/>
        <w:ind w:firstLine="480" w:firstLineChars="200"/>
        <w:rPr>
          <w:rFonts w:hint="eastAsia" w:ascii="宋体" w:hAnsi="宋体" w:cs="宋体"/>
          <w:b w:val="0"/>
          <w:sz w:val="24"/>
          <w:szCs w:val="24"/>
        </w:rPr>
      </w:pPr>
      <w:bookmarkStart w:id="252" w:name="_Toc351203540"/>
      <w:r>
        <w:rPr>
          <w:rFonts w:hint="eastAsia" w:ascii="宋体" w:hAnsi="宋体" w:cs="宋体"/>
          <w:b w:val="0"/>
          <w:sz w:val="24"/>
          <w:szCs w:val="24"/>
        </w:rPr>
        <w:t>6</w:t>
      </w:r>
      <w:bookmarkStart w:id="253" w:name="_Toc337558765"/>
      <w:r>
        <w:rPr>
          <w:rFonts w:hint="eastAsia" w:ascii="宋体" w:hAnsi="宋体" w:cs="宋体"/>
          <w:b w:val="0"/>
          <w:sz w:val="24"/>
          <w:szCs w:val="24"/>
        </w:rPr>
        <w:t>.2 职业健康</w:t>
      </w:r>
      <w:bookmarkEnd w:id="252"/>
    </w:p>
    <w:bookmarkEnd w:id="253"/>
    <w:p w14:paraId="455BFFC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6.2.1 劳动保护</w:t>
      </w:r>
    </w:p>
    <w:p w14:paraId="756FD12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DB8966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D6F767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14:paraId="081F924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6.2.2 生活条件</w:t>
      </w:r>
    </w:p>
    <w:p w14:paraId="3E3BCE1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75D29F6">
      <w:pPr>
        <w:pStyle w:val="6"/>
        <w:spacing w:before="120" w:after="120" w:line="312" w:lineRule="auto"/>
        <w:ind w:firstLine="480" w:firstLineChars="200"/>
        <w:rPr>
          <w:rFonts w:hint="eastAsia" w:ascii="宋体" w:hAnsi="宋体" w:cs="宋体"/>
          <w:b w:val="0"/>
          <w:sz w:val="24"/>
          <w:szCs w:val="24"/>
        </w:rPr>
      </w:pPr>
      <w:bookmarkStart w:id="254" w:name="_Toc351203541"/>
      <w:r>
        <w:rPr>
          <w:rFonts w:hint="eastAsia" w:ascii="宋体" w:hAnsi="宋体" w:cs="宋体"/>
          <w:b w:val="0"/>
          <w:sz w:val="24"/>
          <w:szCs w:val="24"/>
        </w:rPr>
        <w:t>6</w:t>
      </w:r>
      <w:bookmarkStart w:id="255" w:name="_Toc337558766"/>
      <w:r>
        <w:rPr>
          <w:rFonts w:hint="eastAsia" w:ascii="宋体" w:hAnsi="宋体" w:cs="宋体"/>
          <w:b w:val="0"/>
          <w:sz w:val="24"/>
          <w:szCs w:val="24"/>
        </w:rPr>
        <w:t>.3 环境保护</w:t>
      </w:r>
      <w:bookmarkEnd w:id="254"/>
    </w:p>
    <w:bookmarkEnd w:id="255"/>
    <w:p w14:paraId="6C1F764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E09F05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承包人应当承担因其原因引起的环境污染侵权损害赔偿责任，因上述环境污染引起纠纷而导致暂停施工的，由此增加的费用和（或）延误的工期由承包人承担。</w:t>
      </w:r>
    </w:p>
    <w:p w14:paraId="2E5706D0">
      <w:pPr>
        <w:pStyle w:val="5"/>
        <w:spacing w:before="120" w:after="120" w:line="312" w:lineRule="auto"/>
        <w:rPr>
          <w:rFonts w:hint="eastAsia"/>
          <w:b w:val="0"/>
          <w:sz w:val="24"/>
          <w:szCs w:val="24"/>
        </w:rPr>
      </w:pPr>
      <w:bookmarkStart w:id="256" w:name="_Toc351203542"/>
      <w:r>
        <w:rPr>
          <w:rFonts w:hint="eastAsia"/>
          <w:b w:val="0"/>
          <w:sz w:val="24"/>
          <w:szCs w:val="24"/>
        </w:rPr>
        <w:t>7</w:t>
      </w:r>
      <w:bookmarkStart w:id="257" w:name="_Toc337558767"/>
      <w:r>
        <w:rPr>
          <w:rFonts w:hint="eastAsia"/>
          <w:b w:val="0"/>
          <w:sz w:val="24"/>
          <w:szCs w:val="24"/>
        </w:rPr>
        <w:t>. 工期和进度</w:t>
      </w:r>
      <w:bookmarkEnd w:id="256"/>
    </w:p>
    <w:bookmarkEnd w:id="257"/>
    <w:p w14:paraId="5BAD2A09">
      <w:pPr>
        <w:pStyle w:val="6"/>
        <w:spacing w:before="120" w:after="120" w:line="312" w:lineRule="auto"/>
        <w:ind w:firstLine="480" w:firstLineChars="200"/>
        <w:rPr>
          <w:rFonts w:hint="eastAsia" w:ascii="宋体" w:hAnsi="宋体" w:cs="宋体"/>
          <w:b w:val="0"/>
          <w:sz w:val="24"/>
          <w:szCs w:val="24"/>
        </w:rPr>
      </w:pPr>
      <w:bookmarkStart w:id="258" w:name="_Toc351203543"/>
      <w:r>
        <w:rPr>
          <w:rFonts w:hint="eastAsia" w:ascii="宋体" w:hAnsi="宋体" w:cs="宋体"/>
          <w:b w:val="0"/>
          <w:sz w:val="24"/>
          <w:szCs w:val="24"/>
        </w:rPr>
        <w:t>7</w:t>
      </w:r>
      <w:bookmarkStart w:id="259" w:name="_Toc337558768"/>
      <w:bookmarkStart w:id="260" w:name="_Toc296503066"/>
      <w:bookmarkStart w:id="261" w:name="_Toc296346567"/>
      <w:r>
        <w:rPr>
          <w:rFonts w:hint="eastAsia" w:ascii="宋体" w:hAnsi="宋体" w:cs="宋体"/>
          <w:b w:val="0"/>
          <w:sz w:val="24"/>
          <w:szCs w:val="24"/>
        </w:rPr>
        <w:t>.1施工组织设计</w:t>
      </w:r>
      <w:bookmarkEnd w:id="258"/>
    </w:p>
    <w:bookmarkEnd w:id="259"/>
    <w:p w14:paraId="1D32784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 xml:space="preserve">7.1.1 </w:t>
      </w:r>
      <w:r>
        <w:rPr>
          <w:rFonts w:hint="eastAsia" w:ascii="宋体" w:hAnsi="宋体" w:cs="宋体"/>
          <w:kern w:val="0"/>
          <w:sz w:val="24"/>
        </w:rPr>
        <w:t>施工组织设计的内容</w:t>
      </w:r>
    </w:p>
    <w:p w14:paraId="343C3F6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施工组织设计应包含以下内容：</w:t>
      </w:r>
    </w:p>
    <w:p w14:paraId="06598B4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（1）施工方案； </w:t>
      </w:r>
    </w:p>
    <w:p w14:paraId="34408DA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（2）施工现场平面布置图；</w:t>
      </w:r>
    </w:p>
    <w:p w14:paraId="2B87840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（3）施工进度计划和保证措施； </w:t>
      </w:r>
    </w:p>
    <w:p w14:paraId="08E1EA0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（4）劳动力及材料供应计划；</w:t>
      </w:r>
    </w:p>
    <w:p w14:paraId="5DDABE7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（5）施工机械设备的选用；</w:t>
      </w:r>
    </w:p>
    <w:p w14:paraId="2BC9CB7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（6）质量保证体系及措施；</w:t>
      </w:r>
    </w:p>
    <w:p w14:paraId="778FBE8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（7）安全生产、文明施工措施；</w:t>
      </w:r>
    </w:p>
    <w:p w14:paraId="608DAF5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（8）环境保护、成本控制措施；</w:t>
      </w:r>
    </w:p>
    <w:p w14:paraId="368B819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（9）合同当事人约定的其他内容。</w:t>
      </w:r>
    </w:p>
    <w:p w14:paraId="20F6EBB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14:paraId="3BBDF3B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13AC53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施工进度计划的编制和修改按照第7.2款〔施工进度计划〕执行。</w:t>
      </w:r>
    </w:p>
    <w:p w14:paraId="46AB8DE4">
      <w:pPr>
        <w:pStyle w:val="6"/>
        <w:spacing w:before="120" w:after="120" w:line="312" w:lineRule="auto"/>
        <w:ind w:firstLine="480" w:firstLineChars="200"/>
        <w:rPr>
          <w:rFonts w:hint="eastAsia" w:ascii="宋体" w:hAnsi="宋体" w:cs="宋体"/>
          <w:b w:val="0"/>
          <w:sz w:val="24"/>
          <w:szCs w:val="24"/>
        </w:rPr>
      </w:pPr>
      <w:bookmarkStart w:id="262" w:name="_Toc351203544"/>
      <w:r>
        <w:rPr>
          <w:rFonts w:hint="eastAsia" w:ascii="宋体" w:hAnsi="宋体" w:cs="宋体"/>
          <w:b w:val="0"/>
          <w:sz w:val="24"/>
          <w:szCs w:val="24"/>
        </w:rPr>
        <w:t>7</w:t>
      </w:r>
      <w:bookmarkStart w:id="263" w:name="_Toc337558769"/>
      <w:r>
        <w:rPr>
          <w:rFonts w:hint="eastAsia" w:ascii="宋体" w:hAnsi="宋体" w:cs="宋体"/>
          <w:b w:val="0"/>
          <w:sz w:val="24"/>
          <w:szCs w:val="24"/>
        </w:rPr>
        <w:t>.2 施工进度计划</w:t>
      </w:r>
      <w:bookmarkEnd w:id="262"/>
    </w:p>
    <w:bookmarkEnd w:id="263"/>
    <w:p w14:paraId="3E6F3A4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7.2.1 施工进度计划的编制</w:t>
      </w:r>
    </w:p>
    <w:p w14:paraId="4C1C4C1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49F664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7.2.2 施工进度计划的修订</w:t>
      </w:r>
    </w:p>
    <w:p w14:paraId="2223381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C2B87B9">
      <w:pPr>
        <w:pStyle w:val="6"/>
        <w:spacing w:before="120" w:after="120" w:line="312" w:lineRule="auto"/>
        <w:ind w:firstLine="480" w:firstLineChars="200"/>
        <w:rPr>
          <w:rFonts w:hint="eastAsia" w:ascii="宋体" w:hAnsi="宋体" w:cs="宋体"/>
          <w:b w:val="0"/>
          <w:sz w:val="24"/>
          <w:szCs w:val="24"/>
        </w:rPr>
      </w:pPr>
      <w:bookmarkStart w:id="264" w:name="_Toc351203545"/>
      <w:r>
        <w:rPr>
          <w:rFonts w:hint="eastAsia" w:ascii="宋体" w:hAnsi="宋体" w:cs="宋体"/>
          <w:b w:val="0"/>
          <w:sz w:val="24"/>
          <w:szCs w:val="24"/>
        </w:rPr>
        <w:t>7</w:t>
      </w:r>
      <w:bookmarkStart w:id="265" w:name="_Toc337558770"/>
      <w:r>
        <w:rPr>
          <w:rFonts w:hint="eastAsia" w:ascii="宋体" w:hAnsi="宋体" w:cs="宋体"/>
          <w:b w:val="0"/>
          <w:sz w:val="24"/>
          <w:szCs w:val="24"/>
        </w:rPr>
        <w:t>.3 开工</w:t>
      </w:r>
      <w:bookmarkEnd w:id="264"/>
    </w:p>
    <w:p w14:paraId="6D0294FA">
      <w:pPr>
        <w:spacing w:line="312" w:lineRule="auto"/>
        <w:ind w:firstLine="480" w:firstLineChars="200"/>
        <w:rPr>
          <w:rFonts w:hint="eastAsia" w:ascii="宋体" w:hAnsi="宋体" w:cs="宋体"/>
          <w:sz w:val="24"/>
        </w:rPr>
      </w:pPr>
      <w:r>
        <w:rPr>
          <w:rFonts w:hint="eastAsia" w:ascii="宋体" w:hAnsi="宋体" w:cs="宋体"/>
          <w:kern w:val="0"/>
          <w:sz w:val="24"/>
        </w:rPr>
        <w:t>7.3.1 开工准备</w:t>
      </w:r>
    </w:p>
    <w:p w14:paraId="171A33A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33D739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除专用合同条款另有约定外，合同当事人应按约定完成开工准备工作。</w:t>
      </w:r>
    </w:p>
    <w:p w14:paraId="4788A92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7.3.2 开工通知</w:t>
      </w:r>
    </w:p>
    <w:bookmarkEnd w:id="265"/>
    <w:p w14:paraId="60CEC8B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7F7C6A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78C3C18">
      <w:pPr>
        <w:pStyle w:val="6"/>
        <w:spacing w:before="120" w:after="120" w:line="312" w:lineRule="auto"/>
        <w:ind w:firstLine="480" w:firstLineChars="200"/>
        <w:rPr>
          <w:rFonts w:hint="eastAsia" w:ascii="宋体" w:hAnsi="宋体" w:cs="宋体"/>
          <w:b w:val="0"/>
          <w:sz w:val="24"/>
          <w:szCs w:val="24"/>
        </w:rPr>
      </w:pPr>
      <w:bookmarkStart w:id="266" w:name="_Toc351203546"/>
      <w:r>
        <w:rPr>
          <w:rFonts w:hint="eastAsia" w:ascii="宋体" w:hAnsi="宋体" w:cs="宋体"/>
          <w:b w:val="0"/>
          <w:sz w:val="24"/>
          <w:szCs w:val="24"/>
        </w:rPr>
        <w:t>7.4测量放线</w:t>
      </w:r>
      <w:bookmarkEnd w:id="266"/>
    </w:p>
    <w:p w14:paraId="59EA5FA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F654C8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C35F1B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C860FE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施工过程中对施工现场内水准点等测量标志物的保护工作由承包人负责。</w:t>
      </w:r>
      <w:bookmarkStart w:id="267" w:name="_Toc351203547"/>
    </w:p>
    <w:p w14:paraId="3E1D13BE">
      <w:pPr>
        <w:pStyle w:val="6"/>
        <w:spacing w:before="120" w:after="120" w:line="312" w:lineRule="auto"/>
        <w:ind w:firstLine="480" w:firstLineChars="200"/>
        <w:rPr>
          <w:rFonts w:hint="eastAsia" w:ascii="宋体" w:hAnsi="宋体" w:cs="宋体"/>
          <w:b w:val="0"/>
          <w:sz w:val="24"/>
          <w:szCs w:val="24"/>
        </w:rPr>
      </w:pPr>
      <w:r>
        <w:rPr>
          <w:rFonts w:hint="eastAsia" w:ascii="宋体" w:hAnsi="宋体" w:cs="宋体"/>
          <w:b w:val="0"/>
          <w:sz w:val="24"/>
          <w:szCs w:val="24"/>
        </w:rPr>
        <w:t>7</w:t>
      </w:r>
      <w:bookmarkEnd w:id="260"/>
      <w:bookmarkEnd w:id="261"/>
      <w:bookmarkStart w:id="268" w:name="_Toc296503073"/>
      <w:bookmarkStart w:id="269" w:name="_Toc337558772"/>
      <w:bookmarkStart w:id="270" w:name="_Toc296346574"/>
      <w:r>
        <w:rPr>
          <w:rFonts w:hint="eastAsia" w:ascii="宋体" w:hAnsi="宋体" w:cs="宋体"/>
          <w:b w:val="0"/>
          <w:sz w:val="24"/>
          <w:szCs w:val="24"/>
        </w:rPr>
        <w:t>.5 工期延误</w:t>
      </w:r>
      <w:bookmarkEnd w:id="267"/>
    </w:p>
    <w:bookmarkEnd w:id="268"/>
    <w:bookmarkEnd w:id="269"/>
    <w:bookmarkEnd w:id="270"/>
    <w:p w14:paraId="7C8B3F8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7.5.1 因发包人原因导致工期延误</w:t>
      </w:r>
    </w:p>
    <w:p w14:paraId="05121B2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在合同履行过程中，因下列情况导致工期延误和（或）费用增加的，由发包人承担由此延误的工期和（或）增加的费用，且发包人应支付承包人合理的利润： </w:t>
      </w:r>
    </w:p>
    <w:p w14:paraId="22A7943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（1）发包人未能按合同约定提供图纸或所提供图纸不符合合同约定的；</w:t>
      </w:r>
    </w:p>
    <w:p w14:paraId="11EE941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（2）发包人未能按合同约定提供施工现场、施工条件、基础资料、许可、批准等开工条件的；</w:t>
      </w:r>
    </w:p>
    <w:p w14:paraId="08B33AF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（3）发包人提供的测量基准点、基准线和水准点及其书面资料存在错误或疏漏的；</w:t>
      </w:r>
    </w:p>
    <w:p w14:paraId="5EE94FE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（4）发包人未能在计划开工日期之日起7天内同意下达开工通知的；</w:t>
      </w:r>
    </w:p>
    <w:p w14:paraId="37AAF94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（5）发包人未能按合同约定日期支付工程预付款、进度款或竣工结算款的；</w:t>
      </w:r>
    </w:p>
    <w:p w14:paraId="352AFB8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（6）监理人未按合同约定发出指示、批准等文件的；</w:t>
      </w:r>
    </w:p>
    <w:p w14:paraId="4CFF595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（7）专用合同条款中约定的其他情形。</w:t>
      </w:r>
    </w:p>
    <w:p w14:paraId="7B13DB8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3DB058B">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7.5.2 因承包人原因导致工期延误</w:t>
      </w:r>
    </w:p>
    <w:p w14:paraId="4470846E">
      <w:pPr>
        <w:autoSpaceDE w:val="0"/>
        <w:autoSpaceDN w:val="0"/>
        <w:adjustRightInd w:val="0"/>
        <w:spacing w:line="312" w:lineRule="auto"/>
        <w:ind w:firstLine="480" w:firstLineChars="200"/>
        <w:jc w:val="left"/>
        <w:rPr>
          <w:rFonts w:hint="eastAsia" w:ascii="宋体" w:hAnsi="宋体" w:cs="宋体"/>
          <w:kern w:val="0"/>
          <w:sz w:val="24"/>
        </w:rPr>
      </w:pPr>
      <w:bookmarkStart w:id="271" w:name="_Toc296346577"/>
      <w:bookmarkStart w:id="272" w:name="_Toc296503076"/>
      <w:r>
        <w:rPr>
          <w:rFonts w:hint="eastAsia" w:ascii="宋体" w:hAnsi="宋体" w:cs="宋体"/>
          <w:kern w:val="0"/>
          <w:sz w:val="24"/>
        </w:rPr>
        <w:t>因</w:t>
      </w:r>
      <w:bookmarkEnd w:id="271"/>
      <w:bookmarkEnd w:id="272"/>
      <w:r>
        <w:rPr>
          <w:rFonts w:hint="eastAsia" w:ascii="宋体" w:hAnsi="宋体" w:cs="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14:paraId="2B954F1F">
      <w:pPr>
        <w:pStyle w:val="6"/>
        <w:spacing w:before="120" w:after="120" w:line="312" w:lineRule="auto"/>
        <w:ind w:firstLine="480" w:firstLineChars="200"/>
        <w:rPr>
          <w:rFonts w:hint="eastAsia" w:ascii="宋体" w:hAnsi="宋体" w:cs="宋体"/>
          <w:b w:val="0"/>
          <w:sz w:val="24"/>
          <w:szCs w:val="24"/>
        </w:rPr>
      </w:pPr>
      <w:bookmarkStart w:id="273" w:name="_Toc351203548"/>
      <w:r>
        <w:rPr>
          <w:rFonts w:hint="eastAsia" w:ascii="宋体" w:hAnsi="宋体" w:cs="宋体"/>
          <w:b w:val="0"/>
          <w:sz w:val="24"/>
          <w:szCs w:val="24"/>
        </w:rPr>
        <w:t>7</w:t>
      </w:r>
      <w:bookmarkStart w:id="274" w:name="_Toc296346575"/>
      <w:bookmarkStart w:id="275" w:name="_Toc337558773"/>
      <w:bookmarkStart w:id="276" w:name="_Toc296503074"/>
      <w:bookmarkStart w:id="277" w:name="_Toc296346578"/>
      <w:bookmarkStart w:id="278" w:name="_Toc296503077"/>
      <w:r>
        <w:rPr>
          <w:rFonts w:hint="eastAsia" w:ascii="宋体" w:hAnsi="宋体" w:cs="宋体"/>
          <w:b w:val="0"/>
          <w:sz w:val="24"/>
          <w:szCs w:val="24"/>
        </w:rPr>
        <w:t>.6 不利物质条件</w:t>
      </w:r>
      <w:bookmarkEnd w:id="273"/>
    </w:p>
    <w:bookmarkEnd w:id="274"/>
    <w:bookmarkEnd w:id="275"/>
    <w:bookmarkEnd w:id="276"/>
    <w:p w14:paraId="1A0925F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C02361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2BE11301">
      <w:pPr>
        <w:pStyle w:val="6"/>
        <w:spacing w:before="120" w:after="120" w:line="312" w:lineRule="auto"/>
        <w:ind w:firstLine="480" w:firstLineChars="200"/>
        <w:rPr>
          <w:rFonts w:hint="eastAsia" w:ascii="宋体" w:hAnsi="宋体" w:cs="宋体"/>
          <w:b w:val="0"/>
          <w:sz w:val="24"/>
          <w:szCs w:val="24"/>
        </w:rPr>
      </w:pPr>
      <w:bookmarkStart w:id="279" w:name="_Toc351203549"/>
      <w:r>
        <w:rPr>
          <w:rFonts w:hint="eastAsia" w:ascii="宋体" w:hAnsi="宋体" w:cs="宋体"/>
          <w:b w:val="0"/>
          <w:sz w:val="24"/>
          <w:szCs w:val="24"/>
        </w:rPr>
        <w:t>7</w:t>
      </w:r>
      <w:bookmarkStart w:id="280" w:name="_Toc296503075"/>
      <w:bookmarkStart w:id="281" w:name="_Toc337558774"/>
      <w:bookmarkStart w:id="282" w:name="_Toc296346576"/>
      <w:r>
        <w:rPr>
          <w:rFonts w:hint="eastAsia" w:ascii="宋体" w:hAnsi="宋体" w:cs="宋体"/>
          <w:b w:val="0"/>
          <w:sz w:val="24"/>
          <w:szCs w:val="24"/>
        </w:rPr>
        <w:t>.7 异常恶劣的气候条件</w:t>
      </w:r>
      <w:bookmarkEnd w:id="279"/>
    </w:p>
    <w:bookmarkEnd w:id="280"/>
    <w:bookmarkEnd w:id="281"/>
    <w:bookmarkEnd w:id="282"/>
    <w:p w14:paraId="74A2C55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379420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7DE68245">
      <w:pPr>
        <w:autoSpaceDE w:val="0"/>
        <w:autoSpaceDN w:val="0"/>
        <w:adjustRightInd w:val="0"/>
        <w:spacing w:line="312" w:lineRule="auto"/>
        <w:ind w:firstLine="480" w:firstLineChars="200"/>
        <w:jc w:val="left"/>
        <w:rPr>
          <w:rFonts w:hint="eastAsia" w:ascii="宋体" w:hAnsi="宋体" w:cs="宋体"/>
          <w:bCs/>
          <w:sz w:val="24"/>
        </w:rPr>
      </w:pPr>
      <w:r>
        <w:rPr>
          <w:rFonts w:hint="eastAsia" w:ascii="宋体" w:hAnsi="宋体" w:cs="宋体"/>
          <w:bCs/>
          <w:sz w:val="24"/>
        </w:rPr>
        <w:t>7</w:t>
      </w:r>
      <w:bookmarkStart w:id="284" w:name="_Toc337558775"/>
      <w:r>
        <w:rPr>
          <w:rFonts w:hint="eastAsia" w:ascii="宋体" w:hAnsi="宋体" w:cs="宋体"/>
          <w:bCs/>
          <w:sz w:val="24"/>
        </w:rPr>
        <w:t>.8 暂停施工</w:t>
      </w:r>
      <w:bookmarkEnd w:id="283"/>
    </w:p>
    <w:bookmarkEnd w:id="277"/>
    <w:bookmarkEnd w:id="278"/>
    <w:bookmarkEnd w:id="284"/>
    <w:p w14:paraId="0F2083B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7.8.1发包人原因引起的暂停施工</w:t>
      </w:r>
    </w:p>
    <w:p w14:paraId="6D698D4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因发包人原因引起暂停施工的，监理人经发包人同意后，应及时下达暂停施工指示。情况紧急且监理人未及时下达暂停施工指示的，按照第7.8.4项〔紧急情况下的暂停施工〕执行。</w:t>
      </w:r>
    </w:p>
    <w:p w14:paraId="055E6E9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因发包人原因引起的暂停施工，发包人应承担由此增加的费用和（或）延误的工期，并支付承包人合理的利润。</w:t>
      </w:r>
    </w:p>
    <w:p w14:paraId="12C5192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7.8.2 承包人原因引起的暂停施工</w:t>
      </w:r>
    </w:p>
    <w:p w14:paraId="2E63C56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498525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7.8.3 指示暂停施工</w:t>
      </w:r>
    </w:p>
    <w:p w14:paraId="229B923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监理人认为有必要时，并经发包人批准后，可向承包人作出暂停施工的指示，承包人应按监理人指示暂停施工。</w:t>
      </w:r>
    </w:p>
    <w:p w14:paraId="45464F0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7.8.4 紧急情况下的暂停施工</w:t>
      </w:r>
    </w:p>
    <w:p w14:paraId="3552BF1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278F53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7.8.5 暂停施工后的复工</w:t>
      </w:r>
    </w:p>
    <w:p w14:paraId="356463D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756608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承包人无故拖延和拒绝复工的，承包人承担由此增加的费用和（或）延误的工期；因发包人原因无法按时复工的，按照第7.5.1项〔因发包人原因导致工期延误〕约定办理。</w:t>
      </w:r>
    </w:p>
    <w:p w14:paraId="77C1204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7.8.6 暂停施工持续56天以上</w:t>
      </w:r>
    </w:p>
    <w:p w14:paraId="470162AC">
      <w:pPr>
        <w:spacing w:line="312" w:lineRule="auto"/>
        <w:ind w:firstLine="468" w:firstLineChars="195"/>
        <w:jc w:val="left"/>
        <w:rPr>
          <w:rFonts w:hint="eastAsia" w:ascii="宋体" w:hAnsi="宋体" w:cs="宋体"/>
          <w:kern w:val="0"/>
          <w:sz w:val="24"/>
        </w:rPr>
      </w:pPr>
      <w:r>
        <w:rPr>
          <w:rFonts w:hint="eastAsia" w:ascii="宋体" w:hAnsi="宋体" w:cs="宋体"/>
          <w:kern w:val="0"/>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B333096">
      <w:pPr>
        <w:spacing w:line="312" w:lineRule="auto"/>
        <w:ind w:firstLine="468" w:firstLineChars="195"/>
        <w:jc w:val="left"/>
        <w:rPr>
          <w:rFonts w:hint="eastAsia" w:ascii="宋体" w:hAnsi="宋体" w:cs="宋体"/>
          <w:kern w:val="0"/>
          <w:sz w:val="24"/>
        </w:rPr>
      </w:pPr>
      <w:r>
        <w:rPr>
          <w:rFonts w:hint="eastAsia" w:ascii="宋体" w:hAnsi="宋体" w:cs="宋体"/>
          <w:kern w:val="0"/>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5DBA4A4">
      <w:pPr>
        <w:spacing w:line="312" w:lineRule="auto"/>
        <w:ind w:left="16" w:firstLine="468" w:firstLineChars="195"/>
        <w:jc w:val="left"/>
        <w:rPr>
          <w:rFonts w:hint="eastAsia" w:ascii="宋体" w:hAnsi="宋体" w:cs="宋体"/>
          <w:kern w:val="0"/>
          <w:sz w:val="24"/>
        </w:rPr>
      </w:pPr>
      <w:r>
        <w:rPr>
          <w:rFonts w:hint="eastAsia" w:ascii="宋体" w:hAnsi="宋体" w:cs="宋体"/>
          <w:kern w:val="0"/>
          <w:sz w:val="24"/>
        </w:rPr>
        <w:t>7.8.7 暂停施工期间的工程照管</w:t>
      </w:r>
    </w:p>
    <w:p w14:paraId="2647D94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暂停施工期间，承包人应负责妥善照管工程并提供安全保障，由此增加的费用由责任方承担。</w:t>
      </w:r>
    </w:p>
    <w:p w14:paraId="2D667CD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7.8.8 暂停施工的措施</w:t>
      </w:r>
    </w:p>
    <w:p w14:paraId="4FD0F37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暂停施工期间，发包人和承包人均应采取必要的措施确保工程质量及安全，防止因暂停施工扩大损失。</w:t>
      </w:r>
    </w:p>
    <w:p w14:paraId="1E19EE02">
      <w:pPr>
        <w:pStyle w:val="6"/>
        <w:spacing w:before="120" w:after="120" w:line="312" w:lineRule="auto"/>
        <w:ind w:firstLine="480" w:firstLineChars="200"/>
        <w:rPr>
          <w:rFonts w:hint="eastAsia" w:ascii="宋体" w:hAnsi="宋体" w:cs="宋体"/>
          <w:b w:val="0"/>
          <w:sz w:val="24"/>
          <w:szCs w:val="24"/>
        </w:rPr>
      </w:pPr>
      <w:bookmarkStart w:id="285" w:name="_Toc351203551"/>
      <w:r>
        <w:rPr>
          <w:rFonts w:hint="eastAsia" w:ascii="宋体" w:hAnsi="宋体" w:cs="宋体"/>
          <w:b w:val="0"/>
          <w:sz w:val="24"/>
          <w:szCs w:val="24"/>
        </w:rPr>
        <w:t>7.9提前竣工</w:t>
      </w:r>
      <w:bookmarkEnd w:id="285"/>
    </w:p>
    <w:p w14:paraId="63CC964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AADC33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7.9.2 发包人要求承包人提前竣工，或承包人提出提前竣工的建议能够给发包人带来效益的，合同当事人可以在专用合同条款中约定提前竣工的奖励。</w:t>
      </w:r>
    </w:p>
    <w:p w14:paraId="3726C8E8">
      <w:pPr>
        <w:pStyle w:val="5"/>
        <w:spacing w:before="120" w:after="120" w:line="312" w:lineRule="auto"/>
        <w:rPr>
          <w:rFonts w:hint="eastAsia"/>
          <w:b w:val="0"/>
          <w:sz w:val="24"/>
          <w:szCs w:val="24"/>
        </w:rPr>
      </w:pPr>
      <w:bookmarkStart w:id="286" w:name="_Toc351203552"/>
      <w:r>
        <w:rPr>
          <w:rFonts w:hint="eastAsia"/>
          <w:b w:val="0"/>
          <w:sz w:val="24"/>
          <w:szCs w:val="24"/>
        </w:rPr>
        <w:t>8</w:t>
      </w:r>
      <w:bookmarkStart w:id="287" w:name="_Toc296503058"/>
      <w:bookmarkStart w:id="288" w:name="_Toc337558776"/>
      <w:bookmarkStart w:id="289" w:name="_Toc296346559"/>
      <w:r>
        <w:rPr>
          <w:rFonts w:hint="eastAsia"/>
          <w:b w:val="0"/>
          <w:sz w:val="24"/>
          <w:szCs w:val="24"/>
        </w:rPr>
        <w:t>. 材料与设备</w:t>
      </w:r>
      <w:bookmarkEnd w:id="286"/>
    </w:p>
    <w:bookmarkEnd w:id="287"/>
    <w:bookmarkEnd w:id="288"/>
    <w:bookmarkEnd w:id="289"/>
    <w:p w14:paraId="65F64166">
      <w:pPr>
        <w:pStyle w:val="6"/>
        <w:spacing w:before="120" w:after="120" w:line="312" w:lineRule="auto"/>
        <w:ind w:firstLine="480" w:firstLineChars="200"/>
        <w:rPr>
          <w:rFonts w:hint="eastAsia" w:ascii="宋体" w:hAnsi="宋体" w:cs="宋体"/>
          <w:b w:val="0"/>
          <w:sz w:val="24"/>
          <w:szCs w:val="24"/>
        </w:rPr>
      </w:pPr>
      <w:bookmarkStart w:id="290" w:name="_Toc351203553"/>
      <w:r>
        <w:rPr>
          <w:rFonts w:hint="eastAsia" w:ascii="宋体" w:hAnsi="宋体" w:cs="宋体"/>
          <w:b w:val="0"/>
          <w:sz w:val="24"/>
          <w:szCs w:val="24"/>
        </w:rPr>
        <w:t>8</w:t>
      </w:r>
      <w:bookmarkStart w:id="291" w:name="_Toc337558777"/>
      <w:bookmarkStart w:id="292" w:name="_Toc296503059"/>
      <w:bookmarkStart w:id="293" w:name="_Toc296346560"/>
      <w:bookmarkStart w:id="294" w:name="_Toc468936960"/>
      <w:r>
        <w:rPr>
          <w:rFonts w:hint="eastAsia" w:ascii="宋体" w:hAnsi="宋体" w:cs="宋体"/>
          <w:b w:val="0"/>
          <w:sz w:val="24"/>
          <w:szCs w:val="24"/>
        </w:rPr>
        <w:t>.1发包人供应材料与工程设备</w:t>
      </w:r>
      <w:bookmarkEnd w:id="290"/>
    </w:p>
    <w:bookmarkEnd w:id="291"/>
    <w:bookmarkEnd w:id="292"/>
    <w:bookmarkEnd w:id="293"/>
    <w:p w14:paraId="3337CD1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发包人自行供应材料、工程设备的，应在签订合同时在专用合同条款的附件《发包人供应材料设备一览表》中明确材料、工程设备的品种、规格、型号、数量、单价、质量等级和送达地点。</w:t>
      </w:r>
    </w:p>
    <w:p w14:paraId="7EC36F1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A8A156F">
      <w:pPr>
        <w:pStyle w:val="6"/>
        <w:spacing w:before="120" w:after="120" w:line="312" w:lineRule="auto"/>
        <w:ind w:firstLine="480" w:firstLineChars="200"/>
        <w:rPr>
          <w:rFonts w:hint="eastAsia" w:ascii="宋体" w:hAnsi="宋体" w:cs="宋体"/>
          <w:sz w:val="24"/>
          <w:szCs w:val="24"/>
        </w:rPr>
      </w:pPr>
      <w:bookmarkStart w:id="295" w:name="_Toc351203554"/>
      <w:r>
        <w:rPr>
          <w:rFonts w:hint="eastAsia" w:ascii="宋体" w:hAnsi="宋体" w:cs="宋体"/>
          <w:b w:val="0"/>
          <w:sz w:val="24"/>
          <w:szCs w:val="24"/>
        </w:rPr>
        <w:t>8</w:t>
      </w:r>
      <w:bookmarkStart w:id="296" w:name="_Toc296346561"/>
      <w:bookmarkStart w:id="297" w:name="_Toc337558778"/>
      <w:bookmarkStart w:id="298" w:name="_Toc296503060"/>
      <w:r>
        <w:rPr>
          <w:rFonts w:hint="eastAsia" w:ascii="宋体" w:hAnsi="宋体" w:cs="宋体"/>
          <w:b w:val="0"/>
          <w:sz w:val="24"/>
          <w:szCs w:val="24"/>
        </w:rPr>
        <w:t>.2承包人采购材料与工程设备</w:t>
      </w:r>
      <w:bookmarkEnd w:id="295"/>
    </w:p>
    <w:bookmarkEnd w:id="296"/>
    <w:bookmarkEnd w:id="297"/>
    <w:bookmarkEnd w:id="298"/>
    <w:p w14:paraId="0E6506D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4C40C78">
      <w:pPr>
        <w:pStyle w:val="6"/>
        <w:spacing w:before="120" w:after="120" w:line="312" w:lineRule="auto"/>
        <w:ind w:firstLine="480" w:firstLineChars="200"/>
        <w:rPr>
          <w:rFonts w:hint="eastAsia" w:ascii="宋体" w:hAnsi="宋体" w:cs="宋体"/>
          <w:b w:val="0"/>
          <w:sz w:val="24"/>
          <w:szCs w:val="24"/>
        </w:rPr>
      </w:pPr>
      <w:bookmarkStart w:id="299" w:name="_Toc351203555"/>
      <w:r>
        <w:rPr>
          <w:rFonts w:hint="eastAsia" w:ascii="宋体" w:hAnsi="宋体" w:cs="宋体"/>
          <w:b w:val="0"/>
          <w:sz w:val="24"/>
          <w:szCs w:val="24"/>
        </w:rPr>
        <w:t>8</w:t>
      </w:r>
      <w:bookmarkStart w:id="300" w:name="_Toc296503061"/>
      <w:bookmarkStart w:id="301" w:name="_Toc337558779"/>
      <w:bookmarkStart w:id="302" w:name="_Toc296346562"/>
      <w:r>
        <w:rPr>
          <w:rFonts w:hint="eastAsia" w:ascii="宋体" w:hAnsi="宋体" w:cs="宋体"/>
          <w:b w:val="0"/>
          <w:sz w:val="24"/>
          <w:szCs w:val="24"/>
        </w:rPr>
        <w:t>.3材料与工程设备的接收与拒收</w:t>
      </w:r>
      <w:bookmarkEnd w:id="299"/>
    </w:p>
    <w:bookmarkEnd w:id="300"/>
    <w:bookmarkEnd w:id="301"/>
    <w:bookmarkEnd w:id="302"/>
    <w:p w14:paraId="001F317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7B840F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发包人提供的材料和工程设备的规格、数量或质量不符合合同约定的，或因发包人原因导致交货日期延误或交货地点变更等情况的，按照第16.1款〔发包人违约〕约定办理。</w:t>
      </w:r>
    </w:p>
    <w:p w14:paraId="02A2500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8.3.2 承包人采购的材料和工程设备，应保证产品质量合格，承包人应在材料和工程设备到货前24小时通知监理人检验。承</w:t>
      </w:r>
      <w:bookmarkStart w:id="303" w:name="_Toc250655469"/>
      <w:r>
        <w:rPr>
          <w:rFonts w:hint="eastAsia" w:ascii="宋体" w:hAnsi="宋体" w:cs="宋体"/>
          <w:kern w:val="0"/>
          <w:sz w:val="24"/>
        </w:rPr>
        <w:t>包人进行永久设备、材料的制造和生产的，应符合相关质量标准，并向监理人提交材料的样本以及有关资料，并应在使用该材料或工程设备之前获得监理人同意。</w:t>
      </w:r>
    </w:p>
    <w:bookmarkEnd w:id="303"/>
    <w:p w14:paraId="27E4F928">
      <w:pPr>
        <w:autoSpaceDE w:val="0"/>
        <w:autoSpaceDN w:val="0"/>
        <w:adjustRightInd w:val="0"/>
        <w:spacing w:line="312" w:lineRule="auto"/>
        <w:ind w:firstLine="360" w:firstLineChars="150"/>
        <w:jc w:val="left"/>
        <w:rPr>
          <w:rFonts w:hint="eastAsia" w:ascii="宋体" w:hAnsi="宋体" w:cs="宋体"/>
          <w:kern w:val="0"/>
          <w:sz w:val="24"/>
        </w:rPr>
      </w:pPr>
      <w:r>
        <w:rPr>
          <w:rFonts w:hint="eastAsia" w:ascii="宋体" w:hAnsi="宋体" w:cs="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6373A7E">
      <w:pPr>
        <w:pStyle w:val="6"/>
        <w:spacing w:before="120" w:after="120" w:line="312" w:lineRule="auto"/>
        <w:ind w:firstLine="480" w:firstLineChars="200"/>
        <w:rPr>
          <w:rFonts w:hint="eastAsia" w:ascii="宋体" w:hAnsi="宋体" w:cs="宋体"/>
          <w:b w:val="0"/>
          <w:sz w:val="24"/>
          <w:szCs w:val="24"/>
        </w:rPr>
      </w:pPr>
      <w:bookmarkStart w:id="304" w:name="_Toc351203556"/>
      <w:r>
        <w:rPr>
          <w:rFonts w:hint="eastAsia" w:ascii="宋体" w:hAnsi="宋体" w:cs="宋体"/>
          <w:b w:val="0"/>
          <w:sz w:val="24"/>
          <w:szCs w:val="24"/>
        </w:rPr>
        <w:t>8</w:t>
      </w:r>
      <w:bookmarkStart w:id="305" w:name="_Toc337558780"/>
      <w:bookmarkStart w:id="306" w:name="_Toc296503062"/>
      <w:bookmarkStart w:id="307" w:name="_Toc296346563"/>
      <w:r>
        <w:rPr>
          <w:rFonts w:hint="eastAsia" w:ascii="宋体" w:hAnsi="宋体" w:cs="宋体"/>
          <w:b w:val="0"/>
          <w:sz w:val="24"/>
          <w:szCs w:val="24"/>
        </w:rPr>
        <w:t>.4材料与工程设备的保管与使用</w:t>
      </w:r>
      <w:bookmarkEnd w:id="304"/>
    </w:p>
    <w:bookmarkEnd w:id="305"/>
    <w:bookmarkEnd w:id="306"/>
    <w:bookmarkEnd w:id="307"/>
    <w:p w14:paraId="5FCBBEC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8.4.1 发包人供应</w:t>
      </w:r>
      <w:r>
        <w:rPr>
          <w:rFonts w:hint="eastAsia" w:ascii="宋体" w:hAnsi="宋体" w:cs="宋体"/>
          <w:sz w:val="24"/>
        </w:rPr>
        <w:t>材料与</w:t>
      </w:r>
      <w:r>
        <w:rPr>
          <w:rFonts w:hint="eastAsia" w:ascii="宋体" w:hAnsi="宋体" w:cs="宋体"/>
          <w:kern w:val="0"/>
          <w:sz w:val="24"/>
        </w:rPr>
        <w:t>工程</w:t>
      </w:r>
      <w:r>
        <w:rPr>
          <w:rFonts w:hint="eastAsia" w:ascii="宋体" w:hAnsi="宋体" w:cs="宋体"/>
          <w:sz w:val="24"/>
        </w:rPr>
        <w:t>设备的保管与使用</w:t>
      </w:r>
    </w:p>
    <w:p w14:paraId="2662AB5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52FFC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发包人供应的材料和工程设备使用前，由承包人负责检验，检验费用由发包人承担，不合格的不得使用。</w:t>
      </w:r>
    </w:p>
    <w:p w14:paraId="352BDF8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8.4.2 承包人采购</w:t>
      </w:r>
      <w:r>
        <w:rPr>
          <w:rFonts w:hint="eastAsia" w:ascii="宋体" w:hAnsi="宋体" w:cs="宋体"/>
          <w:sz w:val="24"/>
        </w:rPr>
        <w:t>材料与</w:t>
      </w:r>
      <w:r>
        <w:rPr>
          <w:rFonts w:hint="eastAsia" w:ascii="宋体" w:hAnsi="宋体" w:cs="宋体"/>
          <w:kern w:val="0"/>
          <w:sz w:val="24"/>
        </w:rPr>
        <w:t>工程</w:t>
      </w:r>
      <w:r>
        <w:rPr>
          <w:rFonts w:hint="eastAsia" w:ascii="宋体" w:hAnsi="宋体" w:cs="宋体"/>
          <w:sz w:val="24"/>
        </w:rPr>
        <w:t>设备的保管与使用</w:t>
      </w:r>
    </w:p>
    <w:p w14:paraId="6F2AC3C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6A6DBE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发包人或监理人发现承包人使用不符合设计或有关标准要求的材料和工程设备时，有权要求承包人进行修复、拆除或重新采购，由此增加的费用和（或）延误的工期，由承包人承担。</w:t>
      </w:r>
    </w:p>
    <w:p w14:paraId="5A4E0DFE">
      <w:pPr>
        <w:pStyle w:val="6"/>
        <w:spacing w:before="120" w:after="120" w:line="312" w:lineRule="auto"/>
        <w:ind w:firstLine="480" w:firstLineChars="200"/>
        <w:rPr>
          <w:rFonts w:hint="eastAsia" w:ascii="宋体" w:hAnsi="宋体" w:cs="宋体"/>
          <w:b w:val="0"/>
          <w:sz w:val="24"/>
          <w:szCs w:val="24"/>
        </w:rPr>
      </w:pPr>
      <w:bookmarkStart w:id="308" w:name="_Toc351203557"/>
      <w:r>
        <w:rPr>
          <w:rFonts w:hint="eastAsia" w:ascii="宋体" w:hAnsi="宋体" w:cs="宋体"/>
          <w:b w:val="0"/>
          <w:sz w:val="24"/>
          <w:szCs w:val="24"/>
        </w:rPr>
        <w:t>8.5禁止使用不合格的材料和工程设备</w:t>
      </w:r>
      <w:bookmarkEnd w:id="308"/>
    </w:p>
    <w:p w14:paraId="7F7BBF8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8.5.1 监理人有权拒绝承包人提供的不合格材料或工程设备，并要求承包人立即进行更换。监理人应在更换后再次进行检查和检验，由此增加的费用和（或）延误的工期由承包人承担。</w:t>
      </w:r>
    </w:p>
    <w:p w14:paraId="496ED03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8.5.2 监理人发现承包人使用了不合格的材料和工程设备，承包人应按照监理人的指示立即改正，并禁止在工程中继续使用不合格的材料和工程设备。</w:t>
      </w:r>
    </w:p>
    <w:p w14:paraId="3B35CC4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8.5.3 发包人提供的材料或工程设备不符合合同要求的，承包人有权拒绝，并可要求发包人更换，由此增加的费用和（或）延误的工期由发包人承担，并支付承包人合理的利润。</w:t>
      </w:r>
    </w:p>
    <w:p w14:paraId="19EAAFE3">
      <w:pPr>
        <w:pStyle w:val="6"/>
        <w:spacing w:before="120" w:after="120" w:line="312" w:lineRule="auto"/>
        <w:ind w:firstLine="480" w:firstLineChars="200"/>
        <w:rPr>
          <w:rFonts w:hint="eastAsia" w:ascii="宋体" w:hAnsi="宋体" w:cs="宋体"/>
          <w:b w:val="0"/>
          <w:sz w:val="24"/>
          <w:szCs w:val="24"/>
        </w:rPr>
      </w:pPr>
      <w:bookmarkStart w:id="309" w:name="_Toc351203558"/>
      <w:r>
        <w:rPr>
          <w:rFonts w:hint="eastAsia" w:ascii="宋体" w:hAnsi="宋体" w:cs="宋体"/>
          <w:b w:val="0"/>
          <w:sz w:val="24"/>
          <w:szCs w:val="24"/>
        </w:rPr>
        <w:t>8.6 样品</w:t>
      </w:r>
      <w:bookmarkEnd w:id="309"/>
    </w:p>
    <w:p w14:paraId="5B6A671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14:paraId="1C02A09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需要承包人报送样品的材料或工程设备，样品的种类、名称、规格、数量等要求均应在专用合同条款中约定。样品的报送程序如下：</w:t>
      </w:r>
    </w:p>
    <w:p w14:paraId="2BD7D7F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285C68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11EC73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（3）经发包人和监理人审批确认的样品应按约定的方法封样，封存的样品作为检验工程相关部分的标准之一。承包人在施工过程中不得使用与样品不符的材料或工程设备。</w:t>
      </w:r>
    </w:p>
    <w:p w14:paraId="04CC96F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7C763D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8.6.2 样品的保管</w:t>
      </w:r>
    </w:p>
    <w:p w14:paraId="774EAD4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经批准的样品应由监理人负责封存于现场，承包人应在现场为保存样品提供适当和固定的场所并保持适当和良好的存储环境条件。</w:t>
      </w:r>
    </w:p>
    <w:p w14:paraId="2059C1FA">
      <w:pPr>
        <w:pStyle w:val="6"/>
        <w:spacing w:before="120" w:after="120" w:line="312" w:lineRule="auto"/>
        <w:ind w:firstLine="480" w:firstLineChars="200"/>
        <w:rPr>
          <w:rFonts w:hint="eastAsia" w:ascii="宋体" w:hAnsi="宋体" w:cs="宋体"/>
          <w:b w:val="0"/>
          <w:sz w:val="24"/>
          <w:szCs w:val="24"/>
        </w:rPr>
      </w:pPr>
      <w:bookmarkStart w:id="310" w:name="_Toc351203559"/>
      <w:r>
        <w:rPr>
          <w:rFonts w:hint="eastAsia" w:ascii="宋体" w:hAnsi="宋体" w:cs="宋体"/>
          <w:b w:val="0"/>
          <w:sz w:val="24"/>
          <w:szCs w:val="24"/>
        </w:rPr>
        <w:t>8.7材料与工程设备的替代</w:t>
      </w:r>
      <w:bookmarkEnd w:id="310"/>
    </w:p>
    <w:p w14:paraId="2E73572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8.7.1 出现下列情况需要使用替代材料和工程设备的，承包人应按照第8.7.2项约定的程序执行：</w:t>
      </w:r>
    </w:p>
    <w:p w14:paraId="19E464D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（1）基准日期后生效的法律规定禁止使用的；</w:t>
      </w:r>
    </w:p>
    <w:p w14:paraId="69FE545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（2）发包人要求使用替代品的；</w:t>
      </w:r>
    </w:p>
    <w:p w14:paraId="5CF76B1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（3）因其他原因必须使用替代品的。</w:t>
      </w:r>
    </w:p>
    <w:p w14:paraId="1AD371F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8.7.2 承包人应在使用替代材料和工程设备28天前书面通知监理人，并附下列文件：</w:t>
      </w:r>
    </w:p>
    <w:p w14:paraId="3CC82E8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（1）被替代的材料和工程设备的名称、数量、规格、型号、品牌、性能、价格及其他相关资料；</w:t>
      </w:r>
    </w:p>
    <w:p w14:paraId="66ADDF6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（2）替代品的名称、数量、规格、型号、品牌、性能、价格及其他相关资料；</w:t>
      </w:r>
    </w:p>
    <w:p w14:paraId="3760AE5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（3）替代品与被替代产品之间的差异以及使用替代品可能对工程产生的影响；</w:t>
      </w:r>
    </w:p>
    <w:p w14:paraId="130D085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（4）替代品与被替代产品的价格差异；</w:t>
      </w:r>
    </w:p>
    <w:p w14:paraId="7606999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（5）使用替代品的理由和原因说明；</w:t>
      </w:r>
    </w:p>
    <w:p w14:paraId="763E624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（6）监理人要求的其他文件。</w:t>
      </w:r>
    </w:p>
    <w:p w14:paraId="524E5CA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监理人应在收到通知后14天内向承包人发出经发包人签认的书面指示；监理人逾期发出书面指示的，视为发包人和监理人同意使用替代品。</w:t>
      </w:r>
    </w:p>
    <w:p w14:paraId="2346029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FDDEEA3">
      <w:pPr>
        <w:pStyle w:val="6"/>
        <w:spacing w:before="120" w:after="120" w:line="312" w:lineRule="auto"/>
        <w:ind w:firstLine="480" w:firstLineChars="200"/>
        <w:rPr>
          <w:rFonts w:hint="eastAsia" w:ascii="宋体" w:hAnsi="宋体" w:cs="宋体"/>
          <w:b w:val="0"/>
          <w:sz w:val="24"/>
          <w:szCs w:val="24"/>
        </w:rPr>
      </w:pPr>
      <w:bookmarkStart w:id="311" w:name="_Toc351203560"/>
      <w:r>
        <w:rPr>
          <w:rFonts w:hint="eastAsia" w:ascii="宋体" w:hAnsi="宋体" w:cs="宋体"/>
          <w:b w:val="0"/>
          <w:sz w:val="24"/>
          <w:szCs w:val="24"/>
        </w:rPr>
        <w:t>8.8施工设备和临时设施</w:t>
      </w:r>
      <w:bookmarkEnd w:id="311"/>
    </w:p>
    <w:p w14:paraId="1018BB4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8.8.1 承包人提供的施工设备和临时设施</w:t>
      </w:r>
    </w:p>
    <w:p w14:paraId="1FD496D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14:paraId="39AC657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除专用合同条款另有约定外，承包人应自行承担修建临时设施的费用，需要临时占地的，应由发包人办理申请手续并承担相应费用。</w:t>
      </w:r>
    </w:p>
    <w:p w14:paraId="25BE580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8.8.2发包人提供的施工设备和临时设施</w:t>
      </w:r>
    </w:p>
    <w:p w14:paraId="1243184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发包人提供的施工设备或临时设施在专用合同条款中约定。</w:t>
      </w:r>
    </w:p>
    <w:p w14:paraId="3306FD3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8.8.3要求承包人增加或更换施工设备</w:t>
      </w:r>
    </w:p>
    <w:p w14:paraId="2E2CDAE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14:paraId="09D6CB67">
      <w:pPr>
        <w:pStyle w:val="6"/>
        <w:spacing w:before="120" w:after="120" w:line="312" w:lineRule="auto"/>
        <w:ind w:firstLine="480" w:firstLineChars="200"/>
        <w:rPr>
          <w:rFonts w:hint="eastAsia" w:ascii="宋体" w:hAnsi="宋体" w:cs="宋体"/>
          <w:b w:val="0"/>
          <w:sz w:val="24"/>
          <w:szCs w:val="24"/>
        </w:rPr>
      </w:pPr>
      <w:bookmarkStart w:id="312" w:name="_Toc351203561"/>
      <w:r>
        <w:rPr>
          <w:rFonts w:hint="eastAsia" w:ascii="宋体" w:hAnsi="宋体" w:cs="宋体"/>
          <w:b w:val="0"/>
          <w:sz w:val="24"/>
          <w:szCs w:val="24"/>
        </w:rPr>
        <w:t>8</w:t>
      </w:r>
      <w:bookmarkStart w:id="313" w:name="_Toc296346564"/>
      <w:bookmarkStart w:id="314" w:name="_Toc296503063"/>
      <w:bookmarkStart w:id="315" w:name="_Toc337558781"/>
      <w:r>
        <w:rPr>
          <w:rFonts w:hint="eastAsia" w:ascii="宋体" w:hAnsi="宋体" w:cs="宋体"/>
          <w:b w:val="0"/>
          <w:sz w:val="24"/>
          <w:szCs w:val="24"/>
        </w:rPr>
        <w:t>.9材料与设备专用</w:t>
      </w:r>
      <w:bookmarkEnd w:id="312"/>
      <w:r>
        <w:rPr>
          <w:rFonts w:hint="eastAsia" w:ascii="宋体" w:hAnsi="宋体" w:cs="宋体"/>
          <w:b w:val="0"/>
          <w:sz w:val="24"/>
          <w:szCs w:val="24"/>
        </w:rPr>
        <w:t>要求</w:t>
      </w:r>
    </w:p>
    <w:bookmarkEnd w:id="313"/>
    <w:bookmarkEnd w:id="314"/>
    <w:bookmarkEnd w:id="315"/>
    <w:p w14:paraId="1045EF1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kern w:val="0"/>
          <w:sz w:val="24"/>
        </w:rPr>
        <w:t>经发包人批准，承包人可以根据施工进度计划撤走闲置的施工设备和其他物品。</w:t>
      </w:r>
    </w:p>
    <w:p w14:paraId="65F1C91A">
      <w:pPr>
        <w:pStyle w:val="5"/>
        <w:spacing w:before="120" w:after="120" w:line="312" w:lineRule="auto"/>
        <w:rPr>
          <w:rFonts w:hint="eastAsia"/>
          <w:b w:val="0"/>
          <w:sz w:val="24"/>
          <w:szCs w:val="24"/>
        </w:rPr>
      </w:pPr>
      <w:bookmarkStart w:id="316" w:name="_Toc351203562"/>
      <w:r>
        <w:rPr>
          <w:rFonts w:hint="eastAsia"/>
          <w:b w:val="0"/>
          <w:sz w:val="24"/>
          <w:szCs w:val="24"/>
        </w:rPr>
        <w:t>9</w:t>
      </w:r>
      <w:bookmarkStart w:id="317" w:name="_Toc337558782"/>
      <w:bookmarkStart w:id="318" w:name="_Toc296503083"/>
      <w:bookmarkStart w:id="319" w:name="_Toc296346584"/>
      <w:r>
        <w:rPr>
          <w:rFonts w:hint="eastAsia"/>
          <w:b w:val="0"/>
          <w:sz w:val="24"/>
          <w:szCs w:val="24"/>
        </w:rPr>
        <w:t>. 试验与检验</w:t>
      </w:r>
      <w:bookmarkEnd w:id="316"/>
    </w:p>
    <w:bookmarkEnd w:id="317"/>
    <w:p w14:paraId="07BCC76F">
      <w:pPr>
        <w:pStyle w:val="6"/>
        <w:spacing w:before="120" w:after="120" w:line="312" w:lineRule="auto"/>
        <w:ind w:firstLine="480" w:firstLineChars="200"/>
        <w:rPr>
          <w:rFonts w:hint="eastAsia" w:ascii="宋体" w:hAnsi="宋体" w:cs="宋体"/>
          <w:b w:val="0"/>
          <w:sz w:val="24"/>
          <w:szCs w:val="24"/>
        </w:rPr>
      </w:pPr>
      <w:bookmarkStart w:id="320" w:name="_Toc351203563"/>
      <w:r>
        <w:rPr>
          <w:rFonts w:hint="eastAsia" w:ascii="宋体" w:hAnsi="宋体" w:cs="宋体"/>
          <w:b w:val="0"/>
          <w:sz w:val="24"/>
          <w:szCs w:val="24"/>
        </w:rPr>
        <w:t>9</w:t>
      </w:r>
      <w:bookmarkStart w:id="321" w:name="_Toc337558783"/>
      <w:r>
        <w:rPr>
          <w:rFonts w:hint="eastAsia" w:ascii="宋体" w:hAnsi="宋体" w:cs="宋体"/>
          <w:b w:val="0"/>
          <w:sz w:val="24"/>
          <w:szCs w:val="24"/>
        </w:rPr>
        <w:t>.1试验设备与试验人员</w:t>
      </w:r>
      <w:bookmarkEnd w:id="320"/>
    </w:p>
    <w:bookmarkEnd w:id="321"/>
    <w:p w14:paraId="703BB0C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CF8EE9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9.1.2 承包人应按专用合同条款的约定提供试验设备、取样装置、试验场所和试验条件，并向监理人提交相应进场计划表。</w:t>
      </w:r>
    </w:p>
    <w:p w14:paraId="34E6419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承包人配置的试验设备要符合相应试验规程的要求并经过具有资质的检测单位检测，且在正式使用该试验设备前，需要经过监理人与承包人共同校定。</w:t>
      </w:r>
    </w:p>
    <w:p w14:paraId="007022A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9.1.3 承包人应向监理人提交试验人员的名单及其岗位、资格等证明资料，试验人员必须能够熟练进行相应的检测试验，承包人对试验人员的试验程序和试验结果的正确性负责。</w:t>
      </w:r>
    </w:p>
    <w:p w14:paraId="68EEAC8C">
      <w:pPr>
        <w:pStyle w:val="6"/>
        <w:spacing w:before="120" w:after="120" w:line="312" w:lineRule="auto"/>
        <w:ind w:firstLine="480" w:firstLineChars="200"/>
        <w:rPr>
          <w:rFonts w:hint="eastAsia" w:ascii="宋体" w:hAnsi="宋体" w:cs="宋体"/>
          <w:b w:val="0"/>
          <w:sz w:val="24"/>
          <w:szCs w:val="24"/>
        </w:rPr>
      </w:pPr>
      <w:bookmarkStart w:id="322" w:name="_Toc351203564"/>
      <w:r>
        <w:rPr>
          <w:rFonts w:hint="eastAsia" w:ascii="宋体" w:hAnsi="宋体" w:cs="宋体"/>
          <w:b w:val="0"/>
          <w:sz w:val="24"/>
          <w:szCs w:val="24"/>
        </w:rPr>
        <w:t>9</w:t>
      </w:r>
      <w:bookmarkStart w:id="323" w:name="_Toc337558784"/>
      <w:r>
        <w:rPr>
          <w:rFonts w:hint="eastAsia" w:ascii="宋体" w:hAnsi="宋体" w:cs="宋体"/>
          <w:b w:val="0"/>
          <w:sz w:val="24"/>
          <w:szCs w:val="24"/>
        </w:rPr>
        <w:t>.2取样</w:t>
      </w:r>
      <w:bookmarkEnd w:id="322"/>
    </w:p>
    <w:bookmarkEnd w:id="323"/>
    <w:p w14:paraId="275E5A1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试验属于自检性质的，承包人可以单独取样。试验属于监理人抽检性质的，可由监理人取样，也可由承包人的试验人员在监理人的监督下取样。</w:t>
      </w:r>
    </w:p>
    <w:p w14:paraId="69B20FFF">
      <w:pPr>
        <w:pStyle w:val="6"/>
        <w:spacing w:before="120" w:after="120" w:line="312" w:lineRule="auto"/>
        <w:ind w:firstLine="480" w:firstLineChars="200"/>
        <w:rPr>
          <w:rFonts w:hint="eastAsia" w:ascii="宋体" w:hAnsi="宋体" w:cs="宋体"/>
          <w:b w:val="0"/>
          <w:sz w:val="24"/>
          <w:szCs w:val="24"/>
        </w:rPr>
      </w:pPr>
      <w:bookmarkStart w:id="324" w:name="_Toc351203565"/>
      <w:r>
        <w:rPr>
          <w:rFonts w:hint="eastAsia" w:ascii="宋体" w:hAnsi="宋体" w:cs="宋体"/>
          <w:b w:val="0"/>
          <w:sz w:val="24"/>
          <w:szCs w:val="24"/>
        </w:rPr>
        <w:t>9</w:t>
      </w:r>
      <w:bookmarkStart w:id="325" w:name="_Toc337558785"/>
      <w:r>
        <w:rPr>
          <w:rFonts w:hint="eastAsia" w:ascii="宋体" w:hAnsi="宋体" w:cs="宋体"/>
          <w:b w:val="0"/>
          <w:sz w:val="24"/>
          <w:szCs w:val="24"/>
        </w:rPr>
        <w:t>.3材料、工程设备和工程的试验和检验</w:t>
      </w:r>
      <w:bookmarkEnd w:id="324"/>
    </w:p>
    <w:bookmarkEnd w:id="325"/>
    <w:p w14:paraId="6F1C90F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5F219B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3D14E2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FAF4139">
      <w:pPr>
        <w:pStyle w:val="6"/>
        <w:spacing w:before="120" w:after="120" w:line="312" w:lineRule="auto"/>
        <w:ind w:firstLine="480" w:firstLineChars="200"/>
        <w:rPr>
          <w:rFonts w:hint="eastAsia" w:ascii="宋体" w:hAnsi="宋体" w:cs="宋体"/>
          <w:b w:val="0"/>
          <w:sz w:val="24"/>
          <w:szCs w:val="24"/>
        </w:rPr>
      </w:pPr>
      <w:bookmarkStart w:id="326" w:name="_Toc351203566"/>
      <w:r>
        <w:rPr>
          <w:rFonts w:hint="eastAsia" w:ascii="宋体" w:hAnsi="宋体" w:cs="宋体"/>
          <w:b w:val="0"/>
          <w:sz w:val="24"/>
          <w:szCs w:val="24"/>
        </w:rPr>
        <w:t>9</w:t>
      </w:r>
      <w:bookmarkStart w:id="327" w:name="_Toc337558786"/>
      <w:r>
        <w:rPr>
          <w:rFonts w:hint="eastAsia" w:ascii="宋体" w:hAnsi="宋体" w:cs="宋体"/>
          <w:b w:val="0"/>
          <w:sz w:val="24"/>
          <w:szCs w:val="24"/>
        </w:rPr>
        <w:t>.4现场工艺试验</w:t>
      </w:r>
      <w:bookmarkEnd w:id="326"/>
    </w:p>
    <w:bookmarkEnd w:id="327"/>
    <w:p w14:paraId="7165FD7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承包人应按合同约定或监理人指示进行现场工艺试验。对大型的现场工艺试验，监理人认为必要时，承包人应根据监理人提出的工艺试验要求，编制工艺试验措施计划，报送监理人审查。</w:t>
      </w:r>
    </w:p>
    <w:p w14:paraId="70BAF083">
      <w:pPr>
        <w:pStyle w:val="5"/>
        <w:spacing w:before="120" w:after="120" w:line="312" w:lineRule="auto"/>
        <w:rPr>
          <w:rFonts w:hint="eastAsia"/>
          <w:b w:val="0"/>
          <w:sz w:val="24"/>
          <w:szCs w:val="24"/>
        </w:rPr>
      </w:pPr>
      <w:bookmarkStart w:id="328" w:name="_Toc351203567"/>
      <w:r>
        <w:rPr>
          <w:rFonts w:hint="eastAsia"/>
          <w:b w:val="0"/>
          <w:sz w:val="24"/>
          <w:szCs w:val="24"/>
        </w:rPr>
        <w:t>1</w:t>
      </w:r>
      <w:bookmarkStart w:id="329" w:name="_Toc337558787"/>
      <w:r>
        <w:rPr>
          <w:rFonts w:hint="eastAsia"/>
          <w:b w:val="0"/>
          <w:sz w:val="24"/>
          <w:szCs w:val="24"/>
        </w:rPr>
        <w:t>0. 变更</w:t>
      </w:r>
      <w:bookmarkEnd w:id="318"/>
      <w:bookmarkEnd w:id="319"/>
      <w:bookmarkEnd w:id="328"/>
    </w:p>
    <w:bookmarkEnd w:id="329"/>
    <w:p w14:paraId="4EA9C9B3">
      <w:pPr>
        <w:pStyle w:val="6"/>
        <w:spacing w:before="120" w:after="120" w:line="312" w:lineRule="auto"/>
        <w:ind w:firstLine="480" w:firstLineChars="200"/>
        <w:rPr>
          <w:rFonts w:hint="eastAsia" w:ascii="宋体" w:hAnsi="宋体" w:cs="宋体"/>
          <w:b w:val="0"/>
          <w:sz w:val="24"/>
          <w:szCs w:val="24"/>
        </w:rPr>
      </w:pPr>
      <w:bookmarkStart w:id="330" w:name="_Toc351203568"/>
      <w:r>
        <w:rPr>
          <w:rFonts w:hint="eastAsia" w:ascii="宋体" w:hAnsi="宋体" w:cs="宋体"/>
          <w:b w:val="0"/>
          <w:sz w:val="24"/>
          <w:szCs w:val="24"/>
        </w:rPr>
        <w:t>1</w:t>
      </w:r>
      <w:bookmarkStart w:id="331" w:name="_Toc296503084"/>
      <w:bookmarkStart w:id="332" w:name="_Toc337558788"/>
      <w:bookmarkStart w:id="333" w:name="_Toc296346585"/>
      <w:r>
        <w:rPr>
          <w:rFonts w:hint="eastAsia" w:ascii="宋体" w:hAnsi="宋体" w:cs="宋体"/>
          <w:b w:val="0"/>
          <w:sz w:val="24"/>
          <w:szCs w:val="24"/>
        </w:rPr>
        <w:t>0.1变更的范围</w:t>
      </w:r>
      <w:bookmarkEnd w:id="330"/>
    </w:p>
    <w:bookmarkEnd w:id="331"/>
    <w:bookmarkEnd w:id="332"/>
    <w:bookmarkEnd w:id="333"/>
    <w:p w14:paraId="62ABB87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除专用合同条款另有约定外，合同履行过程中发生以下情形的，应按照本条约定进行变更：</w:t>
      </w:r>
    </w:p>
    <w:p w14:paraId="70D057F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（1）增加或减少合同中任何工作，或追加额外的工作；</w:t>
      </w:r>
    </w:p>
    <w:p w14:paraId="03CA809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（2）取消合同中任何工作，但转由他人实施的工作除外；</w:t>
      </w:r>
    </w:p>
    <w:p w14:paraId="0AB2B6D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（3）改变合同中任何工作的质量标准或其他特性；</w:t>
      </w:r>
    </w:p>
    <w:p w14:paraId="051DBF4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（4）改变工程的基线、标高、位置和尺寸；</w:t>
      </w:r>
    </w:p>
    <w:p w14:paraId="6140112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（5）改变工程的时间安排或实施顺序。</w:t>
      </w:r>
    </w:p>
    <w:p w14:paraId="71E024B8">
      <w:pPr>
        <w:pStyle w:val="6"/>
        <w:spacing w:before="120" w:after="120" w:line="312" w:lineRule="auto"/>
        <w:ind w:firstLine="480" w:firstLineChars="200"/>
        <w:rPr>
          <w:rFonts w:hint="eastAsia" w:ascii="宋体" w:hAnsi="宋体" w:cs="宋体"/>
          <w:b w:val="0"/>
          <w:sz w:val="24"/>
          <w:szCs w:val="24"/>
        </w:rPr>
      </w:pPr>
      <w:bookmarkStart w:id="334" w:name="_Toc351203569"/>
      <w:r>
        <w:rPr>
          <w:rFonts w:hint="eastAsia" w:ascii="宋体" w:hAnsi="宋体" w:cs="宋体"/>
          <w:b w:val="0"/>
          <w:sz w:val="24"/>
          <w:szCs w:val="24"/>
        </w:rPr>
        <w:t>1</w:t>
      </w:r>
      <w:bookmarkStart w:id="335" w:name="_Toc296346586"/>
      <w:bookmarkStart w:id="336" w:name="_Toc337558789"/>
      <w:bookmarkStart w:id="337" w:name="_Toc296503085"/>
      <w:r>
        <w:rPr>
          <w:rFonts w:hint="eastAsia" w:ascii="宋体" w:hAnsi="宋体" w:cs="宋体"/>
          <w:b w:val="0"/>
          <w:sz w:val="24"/>
          <w:szCs w:val="24"/>
        </w:rPr>
        <w:t>0.2变更权</w:t>
      </w:r>
      <w:bookmarkEnd w:id="334"/>
    </w:p>
    <w:bookmarkEnd w:id="335"/>
    <w:bookmarkEnd w:id="336"/>
    <w:bookmarkEnd w:id="337"/>
    <w:p w14:paraId="3EED8F3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A9C323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涉及设计变更的，应由设计人提供变更后的图纸和说明。如变更超过原设计标准或批准的建设规模时，发包人应及时办理规划、设计变更等审批手续。</w:t>
      </w:r>
    </w:p>
    <w:p w14:paraId="153FE7F0">
      <w:pPr>
        <w:pStyle w:val="6"/>
        <w:spacing w:before="120" w:after="120" w:line="312" w:lineRule="auto"/>
        <w:ind w:firstLine="480" w:firstLineChars="200"/>
        <w:rPr>
          <w:rFonts w:hint="eastAsia" w:ascii="宋体" w:hAnsi="宋体" w:cs="宋体"/>
          <w:b w:val="0"/>
          <w:sz w:val="24"/>
          <w:szCs w:val="24"/>
        </w:rPr>
      </w:pPr>
      <w:bookmarkStart w:id="338" w:name="_Toc351203570"/>
      <w:r>
        <w:rPr>
          <w:rFonts w:hint="eastAsia" w:ascii="宋体" w:hAnsi="宋体" w:cs="宋体"/>
          <w:b w:val="0"/>
          <w:sz w:val="24"/>
          <w:szCs w:val="24"/>
        </w:rPr>
        <w:t>1</w:t>
      </w:r>
      <w:bookmarkStart w:id="339" w:name="_Toc296346587"/>
      <w:bookmarkStart w:id="340" w:name="_Toc337558790"/>
      <w:bookmarkStart w:id="341" w:name="_Toc296503086"/>
      <w:r>
        <w:rPr>
          <w:rFonts w:hint="eastAsia" w:ascii="宋体" w:hAnsi="宋体" w:cs="宋体"/>
          <w:b w:val="0"/>
          <w:sz w:val="24"/>
          <w:szCs w:val="24"/>
        </w:rPr>
        <w:t>0.3变更程序</w:t>
      </w:r>
      <w:bookmarkEnd w:id="338"/>
    </w:p>
    <w:bookmarkEnd w:id="339"/>
    <w:bookmarkEnd w:id="340"/>
    <w:bookmarkEnd w:id="341"/>
    <w:p w14:paraId="4FB1A83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10</w:t>
      </w:r>
      <w:r>
        <w:rPr>
          <w:rFonts w:hint="eastAsia" w:ascii="宋体" w:hAnsi="宋体" w:cs="宋体"/>
          <w:kern w:val="0"/>
          <w:sz w:val="24"/>
        </w:rPr>
        <w:t>.3.1 发包人提出变更</w:t>
      </w:r>
    </w:p>
    <w:p w14:paraId="6D904C5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发包人提出变更的，应通过监理人向承包人发出变更指示，变更指示应说明计划变更的工程范围和变更的内容。</w:t>
      </w:r>
    </w:p>
    <w:p w14:paraId="53CE263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10</w:t>
      </w:r>
      <w:r>
        <w:rPr>
          <w:rFonts w:hint="eastAsia" w:ascii="宋体" w:hAnsi="宋体" w:cs="宋体"/>
          <w:kern w:val="0"/>
          <w:sz w:val="24"/>
        </w:rPr>
        <w:t>.3.2 监理人提出变更建议</w:t>
      </w:r>
    </w:p>
    <w:p w14:paraId="269DAA4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99A67DF">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10.3.3 变更执行</w:t>
      </w:r>
    </w:p>
    <w:p w14:paraId="038F961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67D3C5B">
      <w:pPr>
        <w:pStyle w:val="6"/>
        <w:spacing w:before="120" w:after="120" w:line="312" w:lineRule="auto"/>
        <w:ind w:firstLine="480" w:firstLineChars="200"/>
        <w:rPr>
          <w:rFonts w:hint="eastAsia" w:ascii="宋体" w:hAnsi="宋体" w:cs="宋体"/>
          <w:b w:val="0"/>
          <w:sz w:val="24"/>
          <w:szCs w:val="24"/>
        </w:rPr>
      </w:pPr>
      <w:bookmarkStart w:id="342" w:name="_Toc351203571"/>
      <w:r>
        <w:rPr>
          <w:rFonts w:hint="eastAsia" w:ascii="宋体" w:hAnsi="宋体" w:cs="宋体"/>
          <w:b w:val="0"/>
          <w:sz w:val="24"/>
          <w:szCs w:val="24"/>
        </w:rPr>
        <w:t>1</w:t>
      </w:r>
      <w:bookmarkStart w:id="343" w:name="_Toc296503087"/>
      <w:bookmarkStart w:id="344" w:name="_Toc296346588"/>
      <w:bookmarkStart w:id="345" w:name="_Toc337558791"/>
      <w:r>
        <w:rPr>
          <w:rFonts w:hint="eastAsia" w:ascii="宋体" w:hAnsi="宋体" w:cs="宋体"/>
          <w:b w:val="0"/>
          <w:sz w:val="24"/>
          <w:szCs w:val="24"/>
        </w:rPr>
        <w:t>0.4变更估价</w:t>
      </w:r>
      <w:bookmarkEnd w:id="342"/>
    </w:p>
    <w:bookmarkEnd w:id="343"/>
    <w:bookmarkEnd w:id="344"/>
    <w:bookmarkEnd w:id="345"/>
    <w:p w14:paraId="7D8146A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10.4.1 变更估价原则</w:t>
      </w:r>
    </w:p>
    <w:p w14:paraId="6380351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除专用合同条款另有约定外，变更估价按照本款约定处理：</w:t>
      </w:r>
    </w:p>
    <w:p w14:paraId="48822EB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（1）已标价工程量清单或预算书有相同项目的，按照相同项目单价认定；</w:t>
      </w:r>
    </w:p>
    <w:p w14:paraId="4547F20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（2）已标价工程量清单或预算书中无相同项目，但有类似项目的，参照类似项目的单价认定；</w:t>
      </w:r>
    </w:p>
    <w:p w14:paraId="741C1F6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5ED82B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10.4.2 变更估价程序</w:t>
      </w:r>
    </w:p>
    <w:p w14:paraId="33BD821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833DEA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因变更引起的价格调整应计入最近一期的进度款中支付。</w:t>
      </w:r>
    </w:p>
    <w:p w14:paraId="48F19F02">
      <w:pPr>
        <w:pStyle w:val="6"/>
        <w:spacing w:before="120" w:after="120" w:line="312" w:lineRule="auto"/>
        <w:ind w:firstLine="480" w:firstLineChars="200"/>
        <w:rPr>
          <w:rFonts w:hint="eastAsia" w:ascii="宋体" w:hAnsi="宋体" w:cs="宋体"/>
          <w:b w:val="0"/>
          <w:sz w:val="24"/>
          <w:szCs w:val="24"/>
        </w:rPr>
      </w:pPr>
      <w:bookmarkStart w:id="346" w:name="_Toc351203572"/>
      <w:r>
        <w:rPr>
          <w:rFonts w:hint="eastAsia" w:ascii="宋体" w:hAnsi="宋体" w:cs="宋体"/>
          <w:b w:val="0"/>
          <w:sz w:val="24"/>
          <w:szCs w:val="24"/>
        </w:rPr>
        <w:t>1</w:t>
      </w:r>
      <w:bookmarkStart w:id="347" w:name="_Toc337558792"/>
      <w:bookmarkStart w:id="348" w:name="_Toc296346595"/>
      <w:bookmarkStart w:id="349" w:name="_Toc296503094"/>
      <w:r>
        <w:rPr>
          <w:rFonts w:hint="eastAsia" w:ascii="宋体" w:hAnsi="宋体" w:cs="宋体"/>
          <w:b w:val="0"/>
          <w:sz w:val="24"/>
          <w:szCs w:val="24"/>
        </w:rPr>
        <w:t>0.5承包人的合理化建议</w:t>
      </w:r>
      <w:bookmarkEnd w:id="346"/>
    </w:p>
    <w:bookmarkEnd w:id="347"/>
    <w:bookmarkEnd w:id="348"/>
    <w:bookmarkEnd w:id="349"/>
    <w:p w14:paraId="786DF09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承包人提出合理化建议的，应向监理人提交合理化建议说明，说明建议的内容和理由，以及实施该建议对合同价格和工期的影响。</w:t>
      </w:r>
    </w:p>
    <w:p w14:paraId="2CB4653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F9ADE7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合理化建议降低了合同价格或者提高了工程经济效益的，发包人可对承包人给予奖励，奖励的方法和金额在专用合同条款中约定。</w:t>
      </w:r>
    </w:p>
    <w:p w14:paraId="1354867F">
      <w:pPr>
        <w:pStyle w:val="6"/>
        <w:spacing w:before="120" w:after="120" w:line="312" w:lineRule="auto"/>
        <w:ind w:firstLine="480" w:firstLineChars="200"/>
        <w:rPr>
          <w:rFonts w:hint="eastAsia" w:ascii="宋体" w:hAnsi="宋体" w:cs="宋体"/>
          <w:sz w:val="24"/>
          <w:szCs w:val="24"/>
        </w:rPr>
      </w:pPr>
      <w:bookmarkStart w:id="350" w:name="_Toc351203573"/>
      <w:r>
        <w:rPr>
          <w:rFonts w:hint="eastAsia" w:ascii="宋体" w:hAnsi="宋体" w:cs="宋体"/>
          <w:b w:val="0"/>
          <w:sz w:val="24"/>
          <w:szCs w:val="24"/>
        </w:rPr>
        <w:t>1</w:t>
      </w:r>
      <w:bookmarkStart w:id="351" w:name="_Toc337558793"/>
      <w:r>
        <w:rPr>
          <w:rFonts w:hint="eastAsia" w:ascii="宋体" w:hAnsi="宋体" w:cs="宋体"/>
          <w:b w:val="0"/>
          <w:sz w:val="24"/>
          <w:szCs w:val="24"/>
        </w:rPr>
        <w:t>0.6变更引起的工期调整</w:t>
      </w:r>
      <w:bookmarkEnd w:id="350"/>
      <w:r>
        <w:rPr>
          <w:rFonts w:hint="eastAsia" w:ascii="宋体" w:hAnsi="宋体" w:cs="宋体"/>
          <w:b w:val="0"/>
          <w:sz w:val="24"/>
          <w:szCs w:val="24"/>
        </w:rPr>
        <w:t xml:space="preserve"> </w:t>
      </w:r>
      <w:bookmarkEnd w:id="351"/>
      <w:r>
        <w:rPr>
          <w:rFonts w:hint="eastAsia" w:ascii="宋体" w:hAnsi="宋体" w:cs="宋体"/>
          <w:b w:val="0"/>
          <w:sz w:val="24"/>
          <w:szCs w:val="24"/>
        </w:rPr>
        <w:t xml:space="preserve"> </w:t>
      </w:r>
      <w:r>
        <w:rPr>
          <w:rFonts w:hint="eastAsia" w:ascii="宋体" w:hAnsi="宋体" w:cs="宋体"/>
          <w:sz w:val="24"/>
          <w:szCs w:val="24"/>
        </w:rPr>
        <w:t xml:space="preserve"> </w:t>
      </w:r>
    </w:p>
    <w:p w14:paraId="2CB869C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因变更引起工期变化的，合同当事人均可要求调整合同工期，由合同当事人按照第4.4款〔商定或确定〕并参考工程所在地的工期定额标准确定增减工期天数。</w:t>
      </w:r>
    </w:p>
    <w:p w14:paraId="39BE3D73">
      <w:pPr>
        <w:pStyle w:val="6"/>
        <w:spacing w:before="120" w:after="120" w:line="312" w:lineRule="auto"/>
        <w:ind w:firstLine="480" w:firstLineChars="200"/>
        <w:rPr>
          <w:rFonts w:hint="eastAsia" w:ascii="宋体" w:hAnsi="宋体" w:cs="宋体"/>
          <w:b w:val="0"/>
          <w:sz w:val="24"/>
          <w:szCs w:val="24"/>
        </w:rPr>
      </w:pPr>
      <w:bookmarkStart w:id="352" w:name="_Toc351203574"/>
      <w:r>
        <w:rPr>
          <w:rFonts w:hint="eastAsia" w:ascii="宋体" w:hAnsi="宋体" w:cs="宋体"/>
          <w:b w:val="0"/>
          <w:sz w:val="24"/>
          <w:szCs w:val="24"/>
        </w:rPr>
        <w:t>10.7暂估价</w:t>
      </w:r>
      <w:bookmarkEnd w:id="352"/>
    </w:p>
    <w:p w14:paraId="524835E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暂估价专业分包工程、服务、材料和工程设备的明细由合同当事人在专用合同条款中约定。</w:t>
      </w:r>
    </w:p>
    <w:p w14:paraId="37499413">
      <w:pPr>
        <w:spacing w:line="312" w:lineRule="auto"/>
        <w:ind w:firstLine="480" w:firstLineChars="200"/>
        <w:jc w:val="left"/>
        <w:rPr>
          <w:rFonts w:hint="eastAsia" w:ascii="宋体" w:hAnsi="宋体" w:cs="宋体"/>
          <w:kern w:val="0"/>
          <w:sz w:val="24"/>
        </w:rPr>
      </w:pPr>
      <w:r>
        <w:rPr>
          <w:rFonts w:hint="eastAsia" w:ascii="宋体" w:hAnsi="宋体" w:cs="宋体"/>
          <w:sz w:val="24"/>
        </w:rPr>
        <w:t>10.7.1</w:t>
      </w:r>
      <w:r>
        <w:rPr>
          <w:rFonts w:hint="eastAsia" w:ascii="宋体" w:hAnsi="宋体" w:cs="宋体"/>
          <w:kern w:val="0"/>
          <w:sz w:val="24"/>
        </w:rPr>
        <w:t xml:space="preserve"> 依法必须招标的暂估价项目</w:t>
      </w:r>
    </w:p>
    <w:p w14:paraId="1CC2619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对于依法必须招标的暂估价项目，采取以下第1种方式确定。合同当事人也可以在专用合同条款中选择其他招标方式。</w:t>
      </w:r>
    </w:p>
    <w:p w14:paraId="68278D2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第1种方式：对于依法必须招标的暂估价项目，由承包人招标，对该暂估价项目的确认和批准按照以下约定执行：</w:t>
      </w:r>
    </w:p>
    <w:p w14:paraId="505F68E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747A42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27073C3">
      <w:pPr>
        <w:spacing w:line="312" w:lineRule="auto"/>
        <w:jc w:val="left"/>
        <w:rPr>
          <w:rFonts w:hint="eastAsia" w:ascii="宋体" w:hAnsi="宋体" w:cs="宋体"/>
          <w:kern w:val="0"/>
          <w:sz w:val="24"/>
        </w:rPr>
      </w:pPr>
      <w:r>
        <w:rPr>
          <w:rFonts w:hint="eastAsia" w:ascii="宋体" w:hAnsi="宋体" w:cs="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F15B75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F28351C">
      <w:pPr>
        <w:spacing w:line="312" w:lineRule="auto"/>
        <w:ind w:firstLine="480" w:firstLineChars="200"/>
        <w:jc w:val="left"/>
        <w:rPr>
          <w:rFonts w:hint="eastAsia" w:ascii="宋体" w:hAnsi="宋体" w:cs="宋体"/>
          <w:kern w:val="0"/>
          <w:sz w:val="24"/>
        </w:rPr>
      </w:pPr>
      <w:r>
        <w:rPr>
          <w:rFonts w:hint="eastAsia" w:ascii="宋体" w:hAnsi="宋体" w:cs="宋体"/>
          <w:sz w:val="24"/>
        </w:rPr>
        <w:t>10.7.2</w:t>
      </w:r>
      <w:r>
        <w:rPr>
          <w:rFonts w:hint="eastAsia" w:ascii="宋体" w:hAnsi="宋体" w:cs="宋体"/>
          <w:kern w:val="0"/>
          <w:sz w:val="24"/>
        </w:rPr>
        <w:t>不属于依法必须招标的暂估价项目</w:t>
      </w:r>
    </w:p>
    <w:p w14:paraId="448A7A9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除专用合同条款另有约定外，对于不属于依法必须招标的暂估价项目，采取以下第1种方式确定： </w:t>
      </w:r>
    </w:p>
    <w:p w14:paraId="0F8CEF3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第1种方式：对于不属于依法必须招标的暂估价项目，按本项约定确认和批准：</w:t>
      </w:r>
    </w:p>
    <w:p w14:paraId="2CC198A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A08F9D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（2）发包人认为承包人确定的供应商、分包人无法满足工程质量或合同要求的，发包人可以要求承包人重新确定暂估价项目的供应商、分包人;</w:t>
      </w:r>
    </w:p>
    <w:p w14:paraId="656533B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（3）承包人应当在签订暂估价合同后7天内，将暂估价合同副本报送发包人留存。</w:t>
      </w:r>
    </w:p>
    <w:p w14:paraId="767D334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第2种方式：承包人按照第10.7.1项〔依法必须招标的暂估价项目〕约定的第1种方式确定暂估价项目。</w:t>
      </w:r>
    </w:p>
    <w:p w14:paraId="3C249E5B">
      <w:pPr>
        <w:spacing w:line="312" w:lineRule="auto"/>
        <w:ind w:firstLine="480" w:firstLineChars="200"/>
        <w:jc w:val="left"/>
        <w:rPr>
          <w:rFonts w:hint="eastAsia"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63DBDD3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承包人具备实施暂估价项目的资格和条件的，经发包人和承包人协商一致后，可由承包人自行实施暂估价项目，合同当事人可以在专用合同条款约定具体事项。</w:t>
      </w:r>
    </w:p>
    <w:p w14:paraId="04C1ED0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EB011C6">
      <w:pPr>
        <w:pStyle w:val="6"/>
        <w:spacing w:before="120" w:after="120" w:line="312" w:lineRule="auto"/>
        <w:ind w:firstLine="480" w:firstLineChars="200"/>
        <w:rPr>
          <w:rFonts w:hint="eastAsia" w:ascii="宋体" w:hAnsi="宋体" w:cs="宋体"/>
          <w:b w:val="0"/>
          <w:sz w:val="24"/>
          <w:szCs w:val="24"/>
        </w:rPr>
      </w:pPr>
      <w:bookmarkStart w:id="353" w:name="_Toc351203575"/>
      <w:r>
        <w:rPr>
          <w:rFonts w:hint="eastAsia" w:ascii="宋体" w:hAnsi="宋体" w:cs="宋体"/>
          <w:b w:val="0"/>
          <w:sz w:val="24"/>
          <w:szCs w:val="24"/>
        </w:rPr>
        <w:t>1</w:t>
      </w:r>
      <w:bookmarkStart w:id="354" w:name="_Toc337558794"/>
      <w:bookmarkStart w:id="355" w:name="_Toc296346591"/>
      <w:bookmarkStart w:id="356" w:name="_Toc296503090"/>
      <w:bookmarkStart w:id="357" w:name="_Toc322522561"/>
      <w:r>
        <w:rPr>
          <w:rFonts w:hint="eastAsia" w:ascii="宋体" w:hAnsi="宋体" w:cs="宋体"/>
          <w:b w:val="0"/>
          <w:sz w:val="24"/>
          <w:szCs w:val="24"/>
        </w:rPr>
        <w:t>0.8暂列金额</w:t>
      </w:r>
      <w:bookmarkEnd w:id="353"/>
    </w:p>
    <w:bookmarkEnd w:id="354"/>
    <w:p w14:paraId="63A68AA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暂列金额应按照发包人的要求使用，发包人的要求应通过监理人发出。合同当事人可以在专用合同条款中协商确定有关事项。</w:t>
      </w:r>
    </w:p>
    <w:bookmarkEnd w:id="355"/>
    <w:bookmarkEnd w:id="356"/>
    <w:bookmarkEnd w:id="357"/>
    <w:p w14:paraId="0723266E">
      <w:pPr>
        <w:pStyle w:val="6"/>
        <w:spacing w:before="120" w:after="120" w:line="312" w:lineRule="auto"/>
        <w:ind w:firstLine="480" w:firstLineChars="200"/>
        <w:rPr>
          <w:rFonts w:hint="eastAsia" w:ascii="宋体" w:hAnsi="宋体" w:cs="宋体"/>
          <w:b w:val="0"/>
          <w:sz w:val="24"/>
          <w:szCs w:val="24"/>
        </w:rPr>
      </w:pPr>
      <w:bookmarkStart w:id="358" w:name="_Toc351203576"/>
      <w:r>
        <w:rPr>
          <w:rFonts w:hint="eastAsia" w:ascii="宋体" w:hAnsi="宋体" w:cs="宋体"/>
          <w:b w:val="0"/>
          <w:sz w:val="24"/>
          <w:szCs w:val="24"/>
        </w:rPr>
        <w:t>1</w:t>
      </w:r>
      <w:bookmarkStart w:id="359" w:name="_Toc296503091"/>
      <w:bookmarkStart w:id="360" w:name="_Toc296346592"/>
      <w:bookmarkStart w:id="361" w:name="_Toc337558796"/>
      <w:r>
        <w:rPr>
          <w:rFonts w:hint="eastAsia" w:ascii="宋体" w:hAnsi="宋体" w:cs="宋体"/>
          <w:b w:val="0"/>
          <w:sz w:val="24"/>
          <w:szCs w:val="24"/>
        </w:rPr>
        <w:t>0.9计日工</w:t>
      </w:r>
      <w:bookmarkEnd w:id="358"/>
      <w:r>
        <w:rPr>
          <w:rFonts w:hint="eastAsia" w:ascii="宋体" w:hAnsi="宋体" w:cs="宋体"/>
          <w:b w:val="0"/>
          <w:sz w:val="24"/>
          <w:szCs w:val="24"/>
        </w:rPr>
        <w:t xml:space="preserve"> </w:t>
      </w:r>
      <w:bookmarkEnd w:id="359"/>
      <w:bookmarkEnd w:id="360"/>
      <w:bookmarkEnd w:id="361"/>
    </w:p>
    <w:p w14:paraId="6A860F0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3FC04F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采用计日工计价的任何一项工作，承包人应在该项工作实施过程中，每天提交以下报表和有关凭证报送监理人审查：</w:t>
      </w:r>
    </w:p>
    <w:p w14:paraId="66576E1D">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（1）工作名称、内容和数量；</w:t>
      </w:r>
    </w:p>
    <w:p w14:paraId="43284E70">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（2）投入该工作的所有人员的姓名、专业、工种、级别和耗用工时；</w:t>
      </w:r>
    </w:p>
    <w:p w14:paraId="7C55FAD9">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（3）投入该工作的材料类别和数量；</w:t>
      </w:r>
    </w:p>
    <w:p w14:paraId="098540B6">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（4）投入该工作的施工设备型号、台数和耗用台时；</w:t>
      </w:r>
    </w:p>
    <w:p w14:paraId="58102C8E">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（5）其他有关资料和凭证。</w:t>
      </w:r>
    </w:p>
    <w:p w14:paraId="7F8A2464">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 xml:space="preserve"> 计日工由承包人汇总后，列入最近一期进度付款申请单，由监理人审查并经发包人批准后列入进度付款。</w:t>
      </w:r>
      <w:bookmarkStart w:id="362" w:name="_Toc351203577"/>
    </w:p>
    <w:p w14:paraId="71A3043D">
      <w:pPr>
        <w:numPr>
          <w:ilvl w:val="0"/>
          <w:numId w:val="5"/>
        </w:numPr>
        <w:spacing w:line="312" w:lineRule="auto"/>
        <w:ind w:firstLine="360" w:firstLineChars="150"/>
        <w:jc w:val="left"/>
        <w:rPr>
          <w:rFonts w:hint="eastAsia" w:ascii="宋体" w:hAnsi="宋体" w:cs="宋体"/>
          <w:sz w:val="24"/>
        </w:rPr>
      </w:pPr>
      <w:r>
        <w:rPr>
          <w:rFonts w:hint="eastAsia" w:ascii="宋体" w:hAnsi="宋体" w:cs="宋体"/>
          <w:sz w:val="24"/>
        </w:rPr>
        <w:t>价格调整</w:t>
      </w:r>
      <w:bookmarkEnd w:id="362"/>
      <w:bookmarkStart w:id="363" w:name="_Toc351203578"/>
      <w:bookmarkStart w:id="364" w:name="_Toc296503092"/>
      <w:bookmarkStart w:id="365" w:name="_Toc337558797"/>
      <w:bookmarkStart w:id="366" w:name="_Toc296346593"/>
    </w:p>
    <w:p w14:paraId="15E6985E">
      <w:pPr>
        <w:spacing w:line="312" w:lineRule="auto"/>
        <w:ind w:firstLine="480" w:firstLineChars="200"/>
        <w:jc w:val="left"/>
        <w:rPr>
          <w:rFonts w:hint="eastAsia" w:ascii="宋体" w:hAnsi="宋体" w:cs="宋体"/>
          <w:sz w:val="24"/>
        </w:rPr>
      </w:pPr>
      <w:r>
        <w:rPr>
          <w:rFonts w:hint="eastAsia" w:ascii="宋体" w:hAnsi="宋体" w:cs="宋体"/>
          <w:sz w:val="24"/>
        </w:rPr>
        <w:t>11.1市场价格波动引起的调整</w:t>
      </w:r>
      <w:bookmarkEnd w:id="363"/>
    </w:p>
    <w:bookmarkEnd w:id="364"/>
    <w:bookmarkEnd w:id="365"/>
    <w:bookmarkEnd w:id="366"/>
    <w:p w14:paraId="4A6FF98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除专用合同条款另有约定外，市场价格波动超过合同当事人约定的范围，合同价格应当调整。合同当事人可以在专用合同条款中约定选择以下一种方式对合同价格进行调整：</w:t>
      </w:r>
    </w:p>
    <w:p w14:paraId="44C4B6C4">
      <w:pPr>
        <w:spacing w:line="312" w:lineRule="auto"/>
        <w:ind w:firstLine="480" w:firstLineChars="200"/>
        <w:rPr>
          <w:rFonts w:hint="eastAsia" w:ascii="宋体" w:hAnsi="宋体" w:cs="宋体"/>
          <w:sz w:val="24"/>
        </w:rPr>
      </w:pPr>
      <w:r>
        <w:rPr>
          <w:rFonts w:hint="eastAsia" w:ascii="宋体" w:hAnsi="宋体" w:cs="宋体"/>
          <w:sz w:val="24"/>
        </w:rPr>
        <w:t>第1种方式：采用价格指数进行价格调整。</w:t>
      </w:r>
    </w:p>
    <w:p w14:paraId="49A4474F">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（1）价格调整公式</w:t>
      </w:r>
    </w:p>
    <w:p w14:paraId="3E506DD4">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因人工、材料和设备等价格波动影响合同价格时，根据专用合同条款中约定的数据，按以下公式计算差额并调整合同价格：</w:t>
      </w:r>
    </w:p>
    <w:p w14:paraId="2E922679">
      <w:pPr>
        <w:tabs>
          <w:tab w:val="left" w:pos="0"/>
          <w:tab w:val="left" w:pos="360"/>
          <w:tab w:val="left" w:pos="540"/>
        </w:tabs>
        <w:spacing w:line="312" w:lineRule="auto"/>
        <w:ind w:firstLine="480" w:firstLineChars="200"/>
        <w:rPr>
          <w:rFonts w:hint="eastAsia" w:ascii="宋体" w:hAnsi="宋体" w:cs="宋体"/>
          <w:sz w:val="24"/>
        </w:rPr>
      </w:pPr>
    </w:p>
    <w:p w14:paraId="37DABC3C">
      <w:pPr>
        <w:tabs>
          <w:tab w:val="left" w:pos="0"/>
          <w:tab w:val="left" w:pos="360"/>
          <w:tab w:val="left" w:pos="540"/>
        </w:tabs>
        <w:spacing w:line="312" w:lineRule="auto"/>
        <w:ind w:firstLine="600" w:firstLineChars="200"/>
        <w:rPr>
          <w:rFonts w:hint="eastAsia" w:ascii="宋体" w:hAnsi="宋体" w:cs="宋体"/>
          <w:sz w:val="24"/>
        </w:rPr>
      </w:pPr>
      <w:r>
        <w:rPr>
          <w:rFonts w:hint="eastAsia" w:eastAsia="仿宋_GB2312"/>
          <w:position w:val="-30"/>
          <w:sz w:val="30"/>
          <w:szCs w:val="32"/>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5D742030">
      <w:pPr>
        <w:tabs>
          <w:tab w:val="left" w:pos="0"/>
          <w:tab w:val="left" w:pos="360"/>
          <w:tab w:val="left" w:pos="540"/>
        </w:tabs>
        <w:spacing w:line="312" w:lineRule="auto"/>
        <w:ind w:firstLine="640"/>
        <w:rPr>
          <w:rFonts w:hint="eastAsia" w:ascii="宋体" w:hAnsi="宋体" w:cs="宋体"/>
          <w:sz w:val="24"/>
        </w:rPr>
      </w:pPr>
      <w:r>
        <w:rPr>
          <w:rFonts w:hint="eastAsia" w:ascii="宋体" w:hAnsi="宋体" w:cs="宋体"/>
          <w:sz w:val="24"/>
        </w:rPr>
        <w:t>公式中：ΔP——需调整的价格差额；</w:t>
      </w:r>
    </w:p>
    <w:p w14:paraId="4B03BBD6">
      <w:pPr>
        <w:tabs>
          <w:tab w:val="left" w:pos="0"/>
          <w:tab w:val="left" w:pos="360"/>
          <w:tab w:val="left" w:pos="540"/>
        </w:tabs>
        <w:spacing w:line="312" w:lineRule="auto"/>
        <w:ind w:firstLine="1440" w:firstLineChars="600"/>
        <w:rPr>
          <w:rFonts w:hint="eastAsia" w:ascii="宋体" w:hAnsi="宋体" w:cs="宋体"/>
          <w:sz w:val="24"/>
        </w:rPr>
      </w:pPr>
      <w:r>
        <w:rPr>
          <w:rFonts w:hint="eastAsia" w:ascii="宋体" w:hAnsi="宋体" w:cs="宋体"/>
          <w:position w:val="-6"/>
          <w:sz w:val="24"/>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6949D7E2">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A——定值权重（即不调部分的权重）；</w:t>
      </w:r>
    </w:p>
    <w:p w14:paraId="50EBDC75">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position w:val="-10"/>
          <w:sz w:val="24"/>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sz w:val="24"/>
        </w:rPr>
        <w:t>——各可调因子的变值权重（即可调部分的权重），为各可调因子在签约合同价中所占的比例；</w:t>
      </w:r>
    </w:p>
    <w:p w14:paraId="037548CD">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position w:val="-10"/>
          <w:sz w:val="24"/>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sz w:val="24"/>
        </w:rPr>
        <w:t>——各可调因子的现行价格指数，指约定的付款证书相关周期最后一天的前42天的各可调因子的价格指数；</w:t>
      </w:r>
    </w:p>
    <w:p w14:paraId="4576A136">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position w:val="-10"/>
          <w:sz w:val="24"/>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sz w:val="24"/>
        </w:rPr>
        <w:t>——各可调因子的基本价格指数，指基准日期的各可调因子的价格指数。</w:t>
      </w:r>
    </w:p>
    <w:p w14:paraId="73136C0E">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B255450">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（2）暂时确定调整差额</w:t>
      </w:r>
    </w:p>
    <w:p w14:paraId="72206B62">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在计算调整差额时无现行价格指数的，合同当事人同意暂用前次价格指数计算。实际价格指数有调整的，合同当事人进行相应调整。</w:t>
      </w:r>
    </w:p>
    <w:p w14:paraId="60C48523">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（3）权重的调整</w:t>
      </w:r>
    </w:p>
    <w:p w14:paraId="6E347757">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因变更导致合同约定的权重不合理时，按照第4.4款〔商定或确定〕执行。</w:t>
      </w:r>
    </w:p>
    <w:p w14:paraId="6DD32676">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（4）因承包人原因工期延误后的价格调整</w:t>
      </w:r>
    </w:p>
    <w:p w14:paraId="58775F66">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因承包人原因未按期竣工的，对合同约定的竣工日期后继续施工的工程，在使用价格调整公式时，应采用计划竣工日期与实际竣工日期的两个价格指数中较低的一个作为现行价格指数。</w:t>
      </w:r>
    </w:p>
    <w:p w14:paraId="7693A07F">
      <w:pPr>
        <w:spacing w:line="312" w:lineRule="auto"/>
        <w:ind w:firstLine="480" w:firstLineChars="200"/>
        <w:rPr>
          <w:rFonts w:hint="eastAsia" w:ascii="宋体" w:hAnsi="宋体" w:cs="宋体"/>
          <w:sz w:val="24"/>
        </w:rPr>
      </w:pPr>
      <w:r>
        <w:rPr>
          <w:rFonts w:hint="eastAsia" w:ascii="宋体" w:hAnsi="宋体" w:cs="宋体"/>
          <w:sz w:val="24"/>
        </w:rPr>
        <w:t>第2种方式：采用造价信息进行价格调整。</w:t>
      </w:r>
    </w:p>
    <w:p w14:paraId="18811D2D">
      <w:pPr>
        <w:spacing w:line="312" w:lineRule="auto"/>
        <w:ind w:firstLine="480" w:firstLineChars="200"/>
        <w:rPr>
          <w:rFonts w:hint="eastAsia" w:ascii="宋体" w:hAnsi="宋体" w:cs="宋体"/>
          <w:sz w:val="24"/>
        </w:rPr>
      </w:pPr>
      <w:r>
        <w:rPr>
          <w:rFonts w:hint="eastAsia" w:ascii="宋体" w:hAnsi="宋体" w:cs="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C4916B3">
      <w:pPr>
        <w:spacing w:line="312" w:lineRule="auto"/>
        <w:ind w:firstLine="480" w:firstLineChars="200"/>
        <w:rPr>
          <w:rFonts w:hint="eastAsia" w:ascii="宋体" w:hAnsi="宋体" w:cs="宋体"/>
          <w:sz w:val="24"/>
        </w:rPr>
      </w:pPr>
      <w:r>
        <w:rPr>
          <w:rFonts w:hint="eastAsia" w:ascii="宋体" w:hAnsi="宋体" w:cs="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AF89238">
      <w:pPr>
        <w:spacing w:line="312" w:lineRule="auto"/>
        <w:ind w:firstLine="480" w:firstLineChars="200"/>
        <w:rPr>
          <w:rFonts w:hint="eastAsia" w:ascii="宋体" w:hAnsi="宋体" w:cs="宋体"/>
          <w:sz w:val="24"/>
        </w:rPr>
      </w:pPr>
      <w:r>
        <w:rPr>
          <w:rFonts w:hint="eastAsia" w:ascii="宋体" w:hAnsi="宋体" w:cs="宋体"/>
          <w:sz w:val="24"/>
        </w:rPr>
        <w:t>（2）材料、工程设备价格变化的价款调整按照发包人提供的基准价格，按以下风险范围规定执行：</w:t>
      </w:r>
    </w:p>
    <w:p w14:paraId="7D0E22DD">
      <w:pPr>
        <w:spacing w:line="312" w:lineRule="auto"/>
        <w:ind w:firstLine="480" w:firstLineChars="200"/>
        <w:rPr>
          <w:rFonts w:hint="eastAsia" w:ascii="宋体" w:hAnsi="宋体" w:cs="宋体"/>
          <w:sz w:val="24"/>
        </w:rPr>
      </w:pPr>
      <w:r>
        <w:rPr>
          <w:rFonts w:hint="eastAsia" w:ascii="宋体" w:hAnsi="宋体" w:cs="宋体"/>
          <w:sz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25C8527">
      <w:pPr>
        <w:spacing w:line="312" w:lineRule="auto"/>
        <w:ind w:firstLine="480" w:firstLineChars="200"/>
        <w:rPr>
          <w:rFonts w:hint="eastAsia" w:ascii="宋体" w:hAnsi="宋体" w:cs="宋体"/>
          <w:sz w:val="24"/>
        </w:rPr>
      </w:pPr>
      <w:r>
        <w:rPr>
          <w:rFonts w:hint="eastAsia" w:ascii="宋体" w:hAnsi="宋体" w:cs="宋体"/>
          <w:sz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26CEF3A">
      <w:pPr>
        <w:spacing w:line="312" w:lineRule="auto"/>
        <w:ind w:firstLine="480" w:firstLineChars="200"/>
        <w:rPr>
          <w:rFonts w:hint="eastAsia" w:ascii="宋体" w:hAnsi="宋体" w:cs="宋体"/>
          <w:sz w:val="24"/>
        </w:rPr>
      </w:pPr>
      <w:r>
        <w:rPr>
          <w:rFonts w:hint="eastAsia" w:ascii="宋体" w:hAnsi="宋体" w:cs="宋体"/>
          <w:sz w:val="24"/>
        </w:rPr>
        <w:t>③承包人在已标价工程量清单或预算书中载明材料单价等于基准价格的：除专用合同条款另有约定外，合同履行期间材料单价涨跌幅以基准价格为基础超过±5%时，其超过部分据实调整。</w:t>
      </w:r>
    </w:p>
    <w:p w14:paraId="3822578B">
      <w:pPr>
        <w:spacing w:line="312" w:lineRule="auto"/>
        <w:ind w:firstLine="480" w:firstLineChars="200"/>
        <w:rPr>
          <w:rFonts w:hint="eastAsia" w:ascii="宋体" w:hAnsi="宋体" w:cs="宋体"/>
          <w:sz w:val="24"/>
        </w:rPr>
      </w:pPr>
      <w:r>
        <w:rPr>
          <w:rFonts w:hint="eastAsia" w:ascii="宋体" w:hAnsi="宋体" w:cs="宋体"/>
          <w:sz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8853050">
      <w:pPr>
        <w:spacing w:line="312" w:lineRule="auto"/>
        <w:ind w:firstLine="480" w:firstLineChars="200"/>
        <w:rPr>
          <w:rFonts w:hint="eastAsia" w:ascii="宋体" w:hAnsi="宋体" w:cs="宋体"/>
          <w:sz w:val="24"/>
        </w:rPr>
      </w:pPr>
      <w:r>
        <w:rPr>
          <w:rFonts w:hint="eastAsia" w:ascii="宋体" w:hAnsi="宋体" w:cs="宋体"/>
          <w:sz w:val="24"/>
        </w:rPr>
        <w:t>前述基准价格是指由发包人在招标文件或专用合同条款中给定的材料、工程设备的价格，该价格原则上应当按照省级或行业建设主管部门或其授权的工程造价管理机构发布的信息价编制。</w:t>
      </w:r>
    </w:p>
    <w:p w14:paraId="489B251C">
      <w:pPr>
        <w:spacing w:line="312" w:lineRule="auto"/>
        <w:ind w:firstLine="480" w:firstLineChars="200"/>
        <w:rPr>
          <w:rFonts w:hint="eastAsia" w:ascii="宋体" w:hAnsi="宋体" w:cs="宋体"/>
          <w:sz w:val="24"/>
        </w:rPr>
      </w:pPr>
      <w:r>
        <w:rPr>
          <w:rFonts w:hint="eastAsia" w:ascii="宋体" w:hAnsi="宋体" w:cs="宋体"/>
          <w:sz w:val="24"/>
        </w:rPr>
        <w:t>（3）施工机械台班单价或施工机械使用费发生变化超过省级或行业建设主管部门或其授权的工程造价管理机构规定的范围时，按规定调整合同价格。</w:t>
      </w:r>
    </w:p>
    <w:p w14:paraId="02EB77EB">
      <w:pPr>
        <w:spacing w:line="312" w:lineRule="auto"/>
        <w:ind w:firstLine="480" w:firstLineChars="200"/>
        <w:rPr>
          <w:rFonts w:hint="eastAsia" w:ascii="宋体" w:hAnsi="宋体" w:cs="宋体"/>
          <w:sz w:val="24"/>
        </w:rPr>
      </w:pPr>
      <w:r>
        <w:rPr>
          <w:rFonts w:hint="eastAsia" w:ascii="宋体" w:hAnsi="宋体" w:cs="宋体"/>
          <w:sz w:val="24"/>
        </w:rPr>
        <w:t>第3种方式：专用合同条款约定的其他方式。</w:t>
      </w:r>
    </w:p>
    <w:p w14:paraId="1E64368F">
      <w:pPr>
        <w:pStyle w:val="6"/>
        <w:spacing w:before="120" w:after="120" w:line="312" w:lineRule="auto"/>
        <w:ind w:firstLine="480" w:firstLineChars="200"/>
        <w:rPr>
          <w:rFonts w:hint="eastAsia" w:ascii="宋体" w:hAnsi="宋体" w:cs="宋体"/>
          <w:b w:val="0"/>
          <w:sz w:val="24"/>
          <w:szCs w:val="24"/>
        </w:rPr>
      </w:pPr>
      <w:bookmarkStart w:id="367" w:name="_Toc351203579"/>
      <w:bookmarkStart w:id="368" w:name="_Toc296346594"/>
      <w:bookmarkStart w:id="369" w:name="_Toc337558798"/>
      <w:bookmarkStart w:id="370" w:name="_Toc296503093"/>
      <w:r>
        <w:rPr>
          <w:rFonts w:hint="eastAsia" w:ascii="宋体" w:hAnsi="宋体" w:cs="宋体"/>
          <w:b w:val="0"/>
          <w:sz w:val="24"/>
          <w:szCs w:val="24"/>
        </w:rPr>
        <w:t>11.2法律变化引起的调整</w:t>
      </w:r>
      <w:bookmarkEnd w:id="367"/>
    </w:p>
    <w:bookmarkEnd w:id="368"/>
    <w:bookmarkEnd w:id="369"/>
    <w:bookmarkEnd w:id="370"/>
    <w:p w14:paraId="058DCAAC">
      <w:pPr>
        <w:spacing w:line="312" w:lineRule="auto"/>
        <w:ind w:firstLine="480" w:firstLineChars="200"/>
        <w:rPr>
          <w:rFonts w:hint="eastAsia" w:ascii="宋体" w:hAnsi="宋体" w:cs="宋体"/>
          <w:sz w:val="24"/>
        </w:rPr>
      </w:pPr>
      <w:r>
        <w:rPr>
          <w:rFonts w:hint="eastAsia" w:ascii="宋体" w:hAnsi="宋体" w:cs="宋体"/>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BA4CDE0">
      <w:pPr>
        <w:spacing w:line="312" w:lineRule="auto"/>
        <w:ind w:firstLine="480" w:firstLineChars="200"/>
        <w:rPr>
          <w:rFonts w:hint="eastAsia" w:ascii="宋体" w:hAnsi="宋体" w:cs="宋体"/>
          <w:sz w:val="24"/>
        </w:rPr>
      </w:pPr>
      <w:r>
        <w:rPr>
          <w:rFonts w:hint="eastAsia" w:ascii="宋体" w:hAnsi="宋体" w:cs="宋体"/>
          <w:sz w:val="24"/>
        </w:rPr>
        <w:t>因法律变化引起的合同价格和工期调整，合同当事人无法达成一致的，由总监理工程师按第4.4款〔商定或确定〕的约定处理。</w:t>
      </w:r>
    </w:p>
    <w:p w14:paraId="6C7AD65A">
      <w:pPr>
        <w:spacing w:line="312" w:lineRule="auto"/>
        <w:ind w:firstLine="480" w:firstLineChars="200"/>
        <w:rPr>
          <w:rFonts w:hint="eastAsia" w:ascii="宋体" w:hAnsi="宋体" w:cs="宋体"/>
          <w:sz w:val="24"/>
        </w:rPr>
      </w:pPr>
      <w:r>
        <w:rPr>
          <w:rFonts w:hint="eastAsia" w:ascii="宋体" w:hAnsi="宋体" w:cs="宋体"/>
          <w:kern w:val="0"/>
          <w:sz w:val="24"/>
        </w:rPr>
        <w:t>因承包人原因造成工期延误，在工期延误期间出现法律变化的，由此增加的费用和（或）延误的工期由承包人承担。</w:t>
      </w:r>
    </w:p>
    <w:p w14:paraId="3F7E1B94">
      <w:pPr>
        <w:pStyle w:val="5"/>
        <w:spacing w:before="120" w:after="120" w:line="312" w:lineRule="auto"/>
        <w:rPr>
          <w:rFonts w:hint="eastAsia"/>
          <w:b w:val="0"/>
          <w:sz w:val="24"/>
          <w:szCs w:val="24"/>
        </w:rPr>
      </w:pPr>
      <w:bookmarkStart w:id="371" w:name="_Toc351203580"/>
      <w:bookmarkStart w:id="372" w:name="_Toc337558799"/>
      <w:bookmarkStart w:id="373" w:name="_Toc296346597"/>
      <w:bookmarkStart w:id="374" w:name="_Toc296503096"/>
      <w:r>
        <w:rPr>
          <w:rFonts w:hint="eastAsia"/>
          <w:b w:val="0"/>
          <w:sz w:val="24"/>
          <w:szCs w:val="24"/>
        </w:rPr>
        <w:t>12. 合同价格、计量与支付</w:t>
      </w:r>
      <w:bookmarkEnd w:id="371"/>
    </w:p>
    <w:bookmarkEnd w:id="372"/>
    <w:p w14:paraId="63F4D15C">
      <w:pPr>
        <w:pStyle w:val="6"/>
        <w:spacing w:before="120" w:after="120" w:line="312" w:lineRule="auto"/>
        <w:ind w:firstLine="480" w:firstLineChars="200"/>
        <w:rPr>
          <w:rFonts w:hint="eastAsia" w:ascii="宋体" w:hAnsi="宋体" w:cs="宋体"/>
          <w:b w:val="0"/>
          <w:sz w:val="24"/>
          <w:szCs w:val="24"/>
        </w:rPr>
      </w:pPr>
      <w:bookmarkStart w:id="375" w:name="_Toc351203581"/>
      <w:bookmarkStart w:id="376" w:name="_Toc337558800"/>
      <w:r>
        <w:rPr>
          <w:rFonts w:hint="eastAsia" w:ascii="宋体" w:hAnsi="宋体" w:cs="宋体"/>
          <w:b w:val="0"/>
          <w:sz w:val="24"/>
          <w:szCs w:val="24"/>
        </w:rPr>
        <w:t>12.1 合同价</w:t>
      </w:r>
      <w:bookmarkEnd w:id="373"/>
      <w:bookmarkEnd w:id="374"/>
      <w:r>
        <w:rPr>
          <w:rFonts w:hint="eastAsia" w:ascii="宋体" w:hAnsi="宋体" w:cs="宋体"/>
          <w:b w:val="0"/>
          <w:sz w:val="24"/>
          <w:szCs w:val="24"/>
        </w:rPr>
        <w:t>格形式</w:t>
      </w:r>
      <w:bookmarkEnd w:id="375"/>
    </w:p>
    <w:bookmarkEnd w:id="376"/>
    <w:p w14:paraId="4210930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发包人和承包人应在合同协议书中选择下列一种合同价格形式： </w:t>
      </w:r>
    </w:p>
    <w:p w14:paraId="10E5873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1、单价合同</w:t>
      </w:r>
    </w:p>
    <w:p w14:paraId="5081966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单价合同是指合同当事人约定以工程量清单及其综合单价进行合同价格计算、调整和确认的建设工程施工合同，</w:t>
      </w:r>
      <w:r>
        <w:rPr>
          <w:rFonts w:hint="eastAsia" w:ascii="宋体" w:hAnsi="宋体" w:cs="宋体"/>
          <w:sz w:val="24"/>
        </w:rPr>
        <w:t>在约定的范围内合同单价不作调整</w:t>
      </w:r>
      <w:r>
        <w:rPr>
          <w:rFonts w:hint="eastAsia" w:ascii="宋体" w:hAnsi="宋体" w:cs="宋体"/>
          <w:kern w:val="0"/>
          <w:sz w:val="24"/>
        </w:rPr>
        <w:t>。合同当事人应在专用合同条款中约定综合单价包含的风险范围和风险费用的计算方法</w:t>
      </w:r>
      <w:r>
        <w:rPr>
          <w:rFonts w:hint="eastAsia" w:ascii="宋体" w:hAnsi="宋体" w:cs="宋体"/>
          <w:sz w:val="24"/>
        </w:rPr>
        <w:t>，</w:t>
      </w:r>
      <w:r>
        <w:rPr>
          <w:rFonts w:hint="eastAsia" w:ascii="宋体" w:hAnsi="宋体" w:cs="宋体"/>
          <w:kern w:val="0"/>
          <w:sz w:val="24"/>
        </w:rPr>
        <w:t>并约定风险范围以外的合同价格的调整方法，其中因市场价格波动引起的调整按第11.1款〔市场价格波动引起的调整〕约定执行。</w:t>
      </w:r>
    </w:p>
    <w:p w14:paraId="1674FC6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2、总价合同</w:t>
      </w:r>
    </w:p>
    <w:p w14:paraId="21042B0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总价合同是指合同当事人约定以施工图、已标价工程量清单或预算书及有关条件进行合同价格计算、调整和确认的建设工程施工合同，</w:t>
      </w:r>
      <w:r>
        <w:rPr>
          <w:rFonts w:hint="eastAsia" w:ascii="宋体" w:hAnsi="宋体" w:cs="宋体"/>
          <w:sz w:val="24"/>
        </w:rPr>
        <w:t>在约定的范围内合同总价不作调整</w:t>
      </w:r>
      <w:r>
        <w:rPr>
          <w:rFonts w:hint="eastAsia" w:ascii="宋体" w:hAnsi="宋体" w:cs="宋体"/>
          <w:kern w:val="0"/>
          <w:sz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7F4629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3、其它价格形式</w:t>
      </w:r>
    </w:p>
    <w:p w14:paraId="3576548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合同当事人可在专用合同条款中约定其他合同价格形式。</w:t>
      </w:r>
    </w:p>
    <w:p w14:paraId="1794AE0F">
      <w:pPr>
        <w:pStyle w:val="6"/>
        <w:spacing w:before="120" w:after="120" w:line="312" w:lineRule="auto"/>
        <w:ind w:firstLine="480" w:firstLineChars="200"/>
        <w:rPr>
          <w:rFonts w:hint="eastAsia" w:ascii="宋体" w:hAnsi="宋体" w:cs="宋体"/>
          <w:b w:val="0"/>
          <w:sz w:val="24"/>
          <w:szCs w:val="24"/>
        </w:rPr>
      </w:pPr>
      <w:bookmarkStart w:id="377" w:name="_Toc296503097"/>
      <w:bookmarkStart w:id="378" w:name="_Toc296346598"/>
      <w:bookmarkStart w:id="379" w:name="_Toc351203582"/>
      <w:bookmarkStart w:id="380" w:name="_Toc337558801"/>
      <w:r>
        <w:rPr>
          <w:rFonts w:hint="eastAsia" w:ascii="宋体" w:hAnsi="宋体" w:cs="宋体"/>
          <w:b w:val="0"/>
          <w:sz w:val="24"/>
          <w:szCs w:val="24"/>
        </w:rPr>
        <w:t>12.2预</w:t>
      </w:r>
      <w:bookmarkEnd w:id="377"/>
      <w:bookmarkEnd w:id="378"/>
      <w:bookmarkStart w:id="381" w:name="_Toc296346601"/>
      <w:bookmarkStart w:id="382" w:name="_Toc296503100"/>
      <w:r>
        <w:rPr>
          <w:rFonts w:hint="eastAsia" w:ascii="宋体" w:hAnsi="宋体" w:cs="宋体"/>
          <w:b w:val="0"/>
          <w:sz w:val="24"/>
          <w:szCs w:val="24"/>
        </w:rPr>
        <w:t>付款</w:t>
      </w:r>
      <w:bookmarkEnd w:id="379"/>
    </w:p>
    <w:bookmarkEnd w:id="380"/>
    <w:bookmarkEnd w:id="381"/>
    <w:bookmarkEnd w:id="382"/>
    <w:p w14:paraId="3DE63D15">
      <w:pPr>
        <w:spacing w:line="312" w:lineRule="auto"/>
        <w:ind w:firstLine="480" w:firstLineChars="200"/>
        <w:jc w:val="left"/>
        <w:rPr>
          <w:rFonts w:hint="eastAsia" w:ascii="宋体" w:hAnsi="宋体" w:cs="宋体"/>
          <w:kern w:val="0"/>
          <w:sz w:val="24"/>
        </w:rPr>
      </w:pPr>
      <w:r>
        <w:rPr>
          <w:rFonts w:hint="eastAsia" w:ascii="宋体" w:hAnsi="宋体" w:cs="宋体"/>
          <w:sz w:val="24"/>
        </w:rPr>
        <w:t>12.2.</w:t>
      </w:r>
      <w:r>
        <w:rPr>
          <w:rFonts w:hint="eastAsia" w:ascii="宋体" w:hAnsi="宋体" w:cs="宋体"/>
          <w:kern w:val="0"/>
          <w:sz w:val="24"/>
        </w:rPr>
        <w:t>1预付款的支付</w:t>
      </w:r>
    </w:p>
    <w:p w14:paraId="44C21AF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预付款的支付按照专用合同条款约定执行，但至迟应在开工通知载明的开工日期7天前支付。预付款应当用于材料、工程设备、施工设备的采购及修建临时工程、组织施工队伍进场等。</w:t>
      </w:r>
    </w:p>
    <w:p w14:paraId="6591EC8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除专用合同条款另有约定外，预付款在进度付款中同比例扣回。在颁发工程接收证书前，提前解除合同的，尚未扣完的预付款应与合同价款一并结算。</w:t>
      </w:r>
    </w:p>
    <w:p w14:paraId="2A2C76C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发包人逾期支付预付款超过7天的，承包人有权向发包人发出要求预付的催告通知，发包人收到通知后7天内仍未支付的，承包人有权暂停施工，并按第16.1.1项〔发包人违约的情形〕执行。</w:t>
      </w:r>
    </w:p>
    <w:p w14:paraId="06D56173">
      <w:pPr>
        <w:spacing w:line="312" w:lineRule="auto"/>
        <w:ind w:firstLine="480" w:firstLineChars="200"/>
        <w:jc w:val="left"/>
        <w:rPr>
          <w:rFonts w:hint="eastAsia" w:ascii="宋体" w:hAnsi="宋体" w:cs="宋体"/>
          <w:sz w:val="24"/>
        </w:rPr>
      </w:pPr>
      <w:r>
        <w:rPr>
          <w:rFonts w:hint="eastAsia" w:ascii="宋体" w:hAnsi="宋体" w:cs="宋体"/>
          <w:sz w:val="24"/>
        </w:rPr>
        <w:t>12.2.2 预付款担保</w:t>
      </w:r>
    </w:p>
    <w:p w14:paraId="4308323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C7C80F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发包人在工程款中逐期扣回预付款后，预付款担保额度应相应减少，但剩余的预付款担保金额不得低于未被扣回的预付款金额。</w:t>
      </w:r>
    </w:p>
    <w:p w14:paraId="3F6B602A">
      <w:pPr>
        <w:pStyle w:val="6"/>
        <w:spacing w:before="120" w:after="120" w:line="312" w:lineRule="auto"/>
        <w:ind w:firstLine="480" w:firstLineChars="200"/>
        <w:rPr>
          <w:rFonts w:hint="eastAsia" w:ascii="宋体" w:hAnsi="宋体" w:cs="宋体"/>
          <w:b w:val="0"/>
          <w:sz w:val="24"/>
          <w:szCs w:val="24"/>
        </w:rPr>
      </w:pPr>
      <w:bookmarkStart w:id="383" w:name="_Toc351203583"/>
      <w:bookmarkStart w:id="384" w:name="_Toc337558802"/>
      <w:r>
        <w:rPr>
          <w:rFonts w:hint="eastAsia" w:ascii="宋体" w:hAnsi="宋体" w:cs="宋体"/>
          <w:b w:val="0"/>
          <w:sz w:val="24"/>
          <w:szCs w:val="24"/>
        </w:rPr>
        <w:t>12.3计量</w:t>
      </w:r>
      <w:bookmarkEnd w:id="383"/>
    </w:p>
    <w:bookmarkEnd w:id="384"/>
    <w:p w14:paraId="1554F11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12.3.1 计量原则</w:t>
      </w:r>
    </w:p>
    <w:p w14:paraId="76B1E44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工程量计量按照合同约定的工程量计算规则、图纸及变更指示等进行计量。工程量计算规则应以相关的国家标准、行业标准等为依据，由合同当事人在专用合同条款中约定。</w:t>
      </w:r>
    </w:p>
    <w:p w14:paraId="218F91B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12.3.2 计量周期</w:t>
      </w:r>
    </w:p>
    <w:p w14:paraId="1BD5371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除专用合同条款另有约定外，工程量的计量按月进行。</w:t>
      </w:r>
    </w:p>
    <w:p w14:paraId="5DAFA75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12.3.3 单价合同的计量</w:t>
      </w:r>
    </w:p>
    <w:p w14:paraId="36B314E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除专用合同条款另有约定外，单价合同的计量按照本项约定执行：</w:t>
      </w:r>
    </w:p>
    <w:p w14:paraId="0F360ED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（1）承包人应于每月25日向监理人报送上月20日至当月19日已完成的工程量报告，并附具进度付款申请单、已完成工程量报表和有关资料。</w:t>
      </w:r>
    </w:p>
    <w:p w14:paraId="27E4A3B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969EAF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（3）监理人未在收到承包人提交的工程量报表后的7天内完成审核的，承包人报送的工程量报告中的工程量视为承包人实际完成的工程量，据此计算工程价款。</w:t>
      </w:r>
    </w:p>
    <w:p w14:paraId="3F66E74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12.3.4 总价合同的计量</w:t>
      </w:r>
    </w:p>
    <w:p w14:paraId="69C2A24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除专用合同条款另有约定外，按月计量支付的总价合同，按照本项约定执行：</w:t>
      </w:r>
    </w:p>
    <w:p w14:paraId="6AD916D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（1）承包人应于每月25日向监理人报送上月20日至当月19日已完成的工程量报告，并附具进度付款申请单、已完成工程量报表和有关资料。</w:t>
      </w:r>
    </w:p>
    <w:p w14:paraId="254E697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C318E3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（3）监理人未在收到承包人提交的工程量报表后的7天内完成复核的，承包人提交的工程量报告中的工程量视为承包人实际完成的工程量。</w:t>
      </w:r>
    </w:p>
    <w:p w14:paraId="2428C6F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12.3.5 总价合同采用支付分解表计量支付的，可以按照第12.3.4项〔总价合同的计量〕约定进行计量，但合同价款按照支付分解表进行支付。</w:t>
      </w:r>
    </w:p>
    <w:p w14:paraId="4B65D16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12.3.6 其他价格形式合同的计量</w:t>
      </w:r>
    </w:p>
    <w:p w14:paraId="1C1FA7A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合同当事人可在专用合同条款中约定其他价格形式合同的计量方式和程序。</w:t>
      </w:r>
    </w:p>
    <w:p w14:paraId="056E6FFB">
      <w:pPr>
        <w:pStyle w:val="6"/>
        <w:spacing w:before="120" w:after="120" w:line="312" w:lineRule="auto"/>
        <w:ind w:firstLine="480" w:firstLineChars="200"/>
        <w:rPr>
          <w:rFonts w:hint="eastAsia" w:ascii="宋体" w:hAnsi="宋体" w:cs="宋体"/>
          <w:b w:val="0"/>
          <w:sz w:val="24"/>
          <w:szCs w:val="24"/>
        </w:rPr>
      </w:pPr>
      <w:bookmarkStart w:id="385" w:name="_Toc296346602"/>
      <w:bookmarkStart w:id="386" w:name="_Toc296503101"/>
      <w:bookmarkStart w:id="387" w:name="_Toc351203584"/>
      <w:bookmarkStart w:id="388" w:name="_Toc337558803"/>
      <w:r>
        <w:rPr>
          <w:rFonts w:hint="eastAsia" w:ascii="宋体" w:hAnsi="宋体" w:cs="宋体"/>
          <w:b w:val="0"/>
          <w:sz w:val="24"/>
          <w:szCs w:val="24"/>
        </w:rPr>
        <w:t>12.4工程进度款支</w:t>
      </w:r>
      <w:bookmarkEnd w:id="385"/>
      <w:bookmarkEnd w:id="386"/>
      <w:r>
        <w:rPr>
          <w:rFonts w:hint="eastAsia" w:ascii="宋体" w:hAnsi="宋体" w:cs="宋体"/>
          <w:b w:val="0"/>
          <w:sz w:val="24"/>
          <w:szCs w:val="24"/>
        </w:rPr>
        <w:t>付</w:t>
      </w:r>
      <w:bookmarkEnd w:id="387"/>
    </w:p>
    <w:bookmarkEnd w:id="388"/>
    <w:p w14:paraId="78CAB54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12.4</w:t>
      </w:r>
      <w:r>
        <w:rPr>
          <w:rFonts w:hint="eastAsia" w:ascii="宋体" w:hAnsi="宋体" w:cs="宋体"/>
          <w:kern w:val="0"/>
          <w:sz w:val="24"/>
        </w:rPr>
        <w:t>.1 付款周期</w:t>
      </w:r>
    </w:p>
    <w:p w14:paraId="1398DDA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除专用合同条款另有约定外，付款周期应按照第12.3.2项〔计量周期〕的约定与计量周期保持一致。</w:t>
      </w:r>
    </w:p>
    <w:p w14:paraId="6A7D05F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12.4</w:t>
      </w:r>
      <w:r>
        <w:rPr>
          <w:rFonts w:hint="eastAsia" w:ascii="宋体" w:hAnsi="宋体" w:cs="宋体"/>
          <w:kern w:val="0"/>
          <w:sz w:val="24"/>
        </w:rPr>
        <w:t>.2 进度付款申请单的编制</w:t>
      </w:r>
    </w:p>
    <w:p w14:paraId="5959F56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除专用合同条款另有约定外，进度付款申请单应包括下列内容：</w:t>
      </w:r>
    </w:p>
    <w:p w14:paraId="6B29084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（1）截至本次付款周期已完成工作对应的金额；</w:t>
      </w:r>
    </w:p>
    <w:p w14:paraId="202F4FA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（2）根据第10条〔变更〕应增加和扣减的变更金额；</w:t>
      </w:r>
    </w:p>
    <w:p w14:paraId="52108F9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（3）根据第12.2款〔预付款〕约定应支付的预付款和扣减的返还预付款；</w:t>
      </w:r>
    </w:p>
    <w:p w14:paraId="606080D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（4）根据第15.3款〔质量保证金〕约定应扣减的质量保证金；</w:t>
      </w:r>
    </w:p>
    <w:p w14:paraId="713BD02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（5）根据第19条〔索赔〕应增加和扣减的索赔金额；</w:t>
      </w:r>
    </w:p>
    <w:p w14:paraId="1EAC973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（6）对已签发的进度款支付证书中出现错误的修正，应在本次进度付款中支付或扣除的金额；</w:t>
      </w:r>
    </w:p>
    <w:p w14:paraId="5E331F2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（7）根据合同约定应增加和扣减的其他金额。</w:t>
      </w:r>
    </w:p>
    <w:p w14:paraId="6A3E2D9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12.4.3 进度付款申请单的提交</w:t>
      </w:r>
    </w:p>
    <w:p w14:paraId="6E69178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（1）单价合同进度付款申请单的提交</w:t>
      </w:r>
    </w:p>
    <w:p w14:paraId="50B8B66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939E91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（2）总价合同进度付款申请单的提交</w:t>
      </w:r>
    </w:p>
    <w:p w14:paraId="1DAF7A7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总价合同按月计量支付的，承包人按照第12.3.4项〔总价合同的计量〕约定的时间按月向监理人提交进度付款申请单，并附上已完成工程量报表和有关资料。</w:t>
      </w:r>
    </w:p>
    <w:p w14:paraId="6FF8C9D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总价合同按支付分解表支付的，承包人应按照第12.4.6项〔支付分解表〕及第12.4.2项〔进度付款申请单的编制〕的约定向监理人提交进度付款申请单。</w:t>
      </w:r>
    </w:p>
    <w:p w14:paraId="36633A6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（3）其他价格形式合同的进度付款申请单的提交</w:t>
      </w:r>
    </w:p>
    <w:p w14:paraId="17C5703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合同当事人可在专用合同条款中约定其他价格形式合同的进度付款申请单的编制和提交程序。</w:t>
      </w:r>
    </w:p>
    <w:p w14:paraId="0C6DE6A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12.4</w:t>
      </w:r>
      <w:r>
        <w:rPr>
          <w:rFonts w:hint="eastAsia" w:ascii="宋体" w:hAnsi="宋体" w:cs="宋体"/>
          <w:kern w:val="0"/>
          <w:sz w:val="24"/>
        </w:rPr>
        <w:t>.4 进度款审核和支付</w:t>
      </w:r>
    </w:p>
    <w:p w14:paraId="6F36B99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17A815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3BFC16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1E6ADF5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（3）发包人签发进度款支付证书或临时进度款支付证书，不表明发包人已同意、批准或接受了承包人完成的相应部分的工作。</w:t>
      </w:r>
    </w:p>
    <w:p w14:paraId="0505CCB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12.4.5 进度付款的修正</w:t>
      </w:r>
    </w:p>
    <w:p w14:paraId="4A8B5B5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在对已签发的进度款支付证书进行阶段汇总和复核中发现错误、遗漏或重复的，发包人和承包人均有权提出修正申请。经发包人和承包人同意的修正，应在下期进度付款中支付或扣除。</w:t>
      </w:r>
    </w:p>
    <w:p w14:paraId="5F3C617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12.4.6 支付分解表</w:t>
      </w:r>
    </w:p>
    <w:p w14:paraId="2A74D16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1、支付分解表的编制要求</w:t>
      </w:r>
    </w:p>
    <w:p w14:paraId="5E93145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（1）支付分解表中所列的每期付款金额，应为第12.4.2项〔进度付款申请单的编制〕第（1）目的估算金额；</w:t>
      </w:r>
    </w:p>
    <w:p w14:paraId="4B80545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（2）实际进度与施工进度计划不一致的，合同当事人可按照第4.4款〔商定或确定〕修改支付分解表；</w:t>
      </w:r>
    </w:p>
    <w:p w14:paraId="152FE49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（3）不采用支付分解表的，承包人应向发包人和监理人提交按季度编制的支付估算分解表，用于支付参考。</w:t>
      </w:r>
    </w:p>
    <w:p w14:paraId="696273E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2、总价合同支付分解表的编制与审批</w:t>
      </w:r>
    </w:p>
    <w:p w14:paraId="0104BA4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D6B4EC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（2）监理人应在收到支付分解表后7天内完成审核并报送发包人。发包人应在收到经监理人审核的支付分解表后7天内完成审批，经发包人批准的支付分解表为有约束力的支付分解表。</w:t>
      </w:r>
    </w:p>
    <w:p w14:paraId="08BABE82">
      <w:pPr>
        <w:spacing w:line="312" w:lineRule="auto"/>
        <w:jc w:val="left"/>
        <w:rPr>
          <w:rFonts w:hint="eastAsia" w:ascii="宋体" w:hAnsi="宋体" w:cs="宋体"/>
          <w:kern w:val="0"/>
          <w:sz w:val="24"/>
        </w:rPr>
      </w:pPr>
      <w:r>
        <w:rPr>
          <w:rFonts w:hint="eastAsia" w:ascii="宋体" w:hAnsi="宋体" w:cs="宋体"/>
          <w:kern w:val="0"/>
          <w:sz w:val="24"/>
        </w:rPr>
        <w:t xml:space="preserve">    （3）发包人逾期未完成支付分解表审批的，也未及时要求承包人进行修正和提供补充资料的，则承包人提交的支付分解表视为已经获得发包人批准。</w:t>
      </w:r>
    </w:p>
    <w:p w14:paraId="7F2B2A6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3、单价合同的总价项目支付分解表的编制与审批</w:t>
      </w:r>
    </w:p>
    <w:p w14:paraId="360670D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023F259">
      <w:pPr>
        <w:pStyle w:val="6"/>
        <w:spacing w:before="120" w:after="120" w:line="312" w:lineRule="auto"/>
        <w:ind w:firstLine="480" w:firstLineChars="200"/>
        <w:rPr>
          <w:rFonts w:hint="eastAsia" w:ascii="宋体" w:hAnsi="宋体" w:cs="宋体"/>
          <w:b w:val="0"/>
          <w:sz w:val="24"/>
          <w:szCs w:val="24"/>
        </w:rPr>
      </w:pPr>
      <w:bookmarkStart w:id="389" w:name="_Toc351203585"/>
      <w:r>
        <w:rPr>
          <w:rFonts w:hint="eastAsia" w:ascii="宋体" w:hAnsi="宋体" w:cs="宋体"/>
          <w:b w:val="0"/>
          <w:sz w:val="24"/>
          <w:szCs w:val="24"/>
        </w:rPr>
        <w:t>12.5支付账户</w:t>
      </w:r>
      <w:bookmarkEnd w:id="389"/>
    </w:p>
    <w:p w14:paraId="6E151F0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发包人应将合同价款支付至合同协议书中约定的承包人账户。</w:t>
      </w:r>
    </w:p>
    <w:p w14:paraId="3B54B340">
      <w:pPr>
        <w:pStyle w:val="5"/>
        <w:spacing w:before="120" w:after="120" w:line="312" w:lineRule="auto"/>
        <w:rPr>
          <w:rFonts w:hint="eastAsia"/>
          <w:b w:val="0"/>
          <w:sz w:val="24"/>
          <w:szCs w:val="24"/>
        </w:rPr>
      </w:pPr>
      <w:bookmarkStart w:id="390" w:name="_Toc351203586"/>
      <w:bookmarkStart w:id="391" w:name="_Toc296346607"/>
      <w:bookmarkStart w:id="392" w:name="_Toc322522574"/>
      <w:bookmarkStart w:id="393" w:name="_Toc337558804"/>
      <w:bookmarkStart w:id="394" w:name="_Toc296503106"/>
      <w:r>
        <w:rPr>
          <w:rFonts w:hint="eastAsia"/>
          <w:b w:val="0"/>
          <w:sz w:val="24"/>
          <w:szCs w:val="24"/>
        </w:rPr>
        <w:t>13. 验收和工程试车</w:t>
      </w:r>
      <w:bookmarkEnd w:id="390"/>
    </w:p>
    <w:bookmarkEnd w:id="391"/>
    <w:bookmarkEnd w:id="392"/>
    <w:bookmarkEnd w:id="393"/>
    <w:bookmarkEnd w:id="394"/>
    <w:p w14:paraId="3B6D7864">
      <w:pPr>
        <w:pStyle w:val="6"/>
        <w:spacing w:before="120" w:after="120" w:line="312" w:lineRule="auto"/>
        <w:ind w:firstLine="480" w:firstLineChars="200"/>
        <w:rPr>
          <w:rFonts w:hint="eastAsia" w:ascii="宋体" w:hAnsi="宋体" w:cs="宋体"/>
          <w:b w:val="0"/>
          <w:sz w:val="24"/>
          <w:szCs w:val="24"/>
        </w:rPr>
      </w:pPr>
      <w:bookmarkStart w:id="395" w:name="_Toc351203587"/>
      <w:bookmarkStart w:id="396" w:name="_Toc337558805"/>
      <w:bookmarkStart w:id="397" w:name="_Toc296346611"/>
      <w:bookmarkStart w:id="398" w:name="_Toc296503110"/>
      <w:r>
        <w:rPr>
          <w:rFonts w:hint="eastAsia" w:ascii="宋体" w:hAnsi="宋体" w:cs="宋体"/>
          <w:b w:val="0"/>
          <w:sz w:val="24"/>
          <w:szCs w:val="24"/>
        </w:rPr>
        <w:t>13.1分部分项工程验收</w:t>
      </w:r>
      <w:bookmarkEnd w:id="395"/>
    </w:p>
    <w:bookmarkEnd w:id="396"/>
    <w:p w14:paraId="71B05B82">
      <w:pPr>
        <w:spacing w:line="312" w:lineRule="auto"/>
        <w:ind w:firstLine="480" w:firstLineChars="200"/>
        <w:rPr>
          <w:rFonts w:hint="eastAsia" w:ascii="宋体" w:hAnsi="宋体" w:cs="宋体"/>
          <w:sz w:val="24"/>
        </w:rPr>
      </w:pPr>
      <w:r>
        <w:rPr>
          <w:rFonts w:hint="eastAsia" w:ascii="宋体" w:hAnsi="宋体" w:cs="宋体"/>
          <w:sz w:val="24"/>
        </w:rPr>
        <w:t>13.1.1 分部分项工程质量应符合国家有关工程施工验收规范、标准及合同约定，承包人应按照施工组织设计的要求完成分部分项工程施工。</w:t>
      </w:r>
    </w:p>
    <w:p w14:paraId="15B3797F">
      <w:pPr>
        <w:spacing w:line="312" w:lineRule="auto"/>
        <w:ind w:firstLine="480" w:firstLineChars="200"/>
        <w:rPr>
          <w:rFonts w:hint="eastAsia" w:ascii="宋体" w:hAnsi="宋体" w:cs="宋体"/>
          <w:sz w:val="24"/>
        </w:rPr>
      </w:pPr>
      <w:r>
        <w:rPr>
          <w:rFonts w:hint="eastAsia" w:ascii="宋体" w:hAnsi="宋体" w:cs="宋体"/>
          <w:sz w:val="24"/>
        </w:rPr>
        <w:t>13.1.2 除专用合同条款另有约定外，分部分项工程经承包人自检合格并具备验收条件的，承包人应提前48小时通知监理人进行验收。</w:t>
      </w:r>
      <w:r>
        <w:rPr>
          <w:rFonts w:hint="eastAsia" w:ascii="宋体" w:hAnsi="宋体" w:cs="宋体"/>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sz w:val="24"/>
        </w:rPr>
        <w:t>分部分项工程未经验收的，不得进入下一道工序施工。</w:t>
      </w:r>
    </w:p>
    <w:p w14:paraId="2148CCF0">
      <w:pPr>
        <w:spacing w:line="312" w:lineRule="auto"/>
        <w:ind w:firstLine="480" w:firstLineChars="200"/>
        <w:rPr>
          <w:rFonts w:hint="eastAsia" w:ascii="宋体" w:hAnsi="宋体" w:cs="宋体"/>
          <w:sz w:val="24"/>
        </w:rPr>
      </w:pPr>
      <w:r>
        <w:rPr>
          <w:rFonts w:hint="eastAsia" w:ascii="宋体" w:hAnsi="宋体" w:cs="宋体"/>
          <w:sz w:val="24"/>
        </w:rPr>
        <w:t>分部分项工程的验收资料应当作为竣工资料的组成部分。</w:t>
      </w:r>
    </w:p>
    <w:p w14:paraId="00EAD7D3">
      <w:pPr>
        <w:pStyle w:val="6"/>
        <w:spacing w:before="120" w:after="120" w:line="312" w:lineRule="auto"/>
        <w:ind w:firstLine="480" w:firstLineChars="200"/>
        <w:rPr>
          <w:rFonts w:hint="eastAsia" w:ascii="宋体" w:hAnsi="宋体" w:cs="宋体"/>
          <w:b w:val="0"/>
          <w:sz w:val="24"/>
          <w:szCs w:val="24"/>
        </w:rPr>
      </w:pPr>
      <w:bookmarkStart w:id="399" w:name="_Toc351203588"/>
      <w:bookmarkStart w:id="400" w:name="_Toc337558806"/>
      <w:r>
        <w:rPr>
          <w:rFonts w:hint="eastAsia" w:ascii="宋体" w:hAnsi="宋体" w:cs="宋体"/>
          <w:b w:val="0"/>
          <w:sz w:val="24"/>
          <w:szCs w:val="24"/>
        </w:rPr>
        <w:t>13.2竣工验收</w:t>
      </w:r>
      <w:bookmarkEnd w:id="399"/>
    </w:p>
    <w:bookmarkEnd w:id="397"/>
    <w:bookmarkEnd w:id="398"/>
    <w:bookmarkEnd w:id="400"/>
    <w:p w14:paraId="4C667BD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13.2.1竣工验收条件</w:t>
      </w:r>
    </w:p>
    <w:p w14:paraId="12A8C35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工程具备以下条件的，承包人可以申请竣工验收：</w:t>
      </w:r>
    </w:p>
    <w:p w14:paraId="6F59B6D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（1）除发包人同意的甩项工作和缺陷修补工作外，合同范围内的全部工程以及有关工作，包括合同要求的试验、试运行以及检验均已完成，并符合合同要求；</w:t>
      </w:r>
    </w:p>
    <w:p w14:paraId="5FC7593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（2）已按合同约定编制了甩项工作和缺陷修补工作清单以及相应的施工计划；</w:t>
      </w:r>
    </w:p>
    <w:p w14:paraId="7DB5DB4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（3）已按合同约定的内容和份数备齐竣工资料。</w:t>
      </w:r>
    </w:p>
    <w:p w14:paraId="44AB411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13.2.2竣工验收程序</w:t>
      </w:r>
    </w:p>
    <w:p w14:paraId="78EDC01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除专用合同条款另有约定外，承包人申请竣工验收的，应当按照以下程序进行：</w:t>
      </w:r>
    </w:p>
    <w:p w14:paraId="53EF01E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329DDB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82B1ED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（3）竣工验收合格的，发包人应在验收合格后14天内向承包人签发工程接收证书。发包人无正当理由逾期不颁发工程接收证书的，自验收合格后第15天起视为已颁发工程接收证书。</w:t>
      </w:r>
    </w:p>
    <w:p w14:paraId="394B709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E2AC06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922D7D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14:paraId="78BF89C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13.2.3竣工日期</w:t>
      </w:r>
    </w:p>
    <w:p w14:paraId="6715915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kern w:val="0"/>
          <w:sz w:val="24"/>
        </w:rPr>
        <w:t>收申请报告的日期为实际竣工日期；工程未经竣工验收，发包人擅自使用的，以转移占有工程之日为实际竣工日期。</w:t>
      </w:r>
    </w:p>
    <w:p w14:paraId="4175FF7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13.2.4 拒绝接收全部或部分工程</w:t>
      </w:r>
    </w:p>
    <w:p w14:paraId="66D7376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976225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13.2.5 移交、接收全部与部分工程</w:t>
      </w:r>
    </w:p>
    <w:p w14:paraId="74106A5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除专用合同条款另有约定外，合同当事人应当在颁发工程接收证书后7天内完成工程的移交。</w:t>
      </w:r>
    </w:p>
    <w:p w14:paraId="34CBE29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0CC1B9F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承包人无正当理由不移交工程的，承包人应承担工程照管、成品保护、保管等与工程有关的各项费用，合同当事人可以在专用合同条款中另行约定承包人无正当理由不移交工程的违约责任。</w:t>
      </w:r>
    </w:p>
    <w:p w14:paraId="7F080827">
      <w:pPr>
        <w:pStyle w:val="6"/>
        <w:spacing w:before="120" w:after="120" w:line="312" w:lineRule="auto"/>
        <w:ind w:firstLine="480" w:firstLineChars="200"/>
        <w:rPr>
          <w:rFonts w:hint="eastAsia" w:ascii="宋体" w:hAnsi="宋体" w:cs="宋体"/>
          <w:b w:val="0"/>
          <w:sz w:val="24"/>
          <w:szCs w:val="24"/>
        </w:rPr>
      </w:pPr>
      <w:bookmarkStart w:id="402" w:name="_Toc351203589"/>
      <w:bookmarkStart w:id="403" w:name="_Toc337558807"/>
      <w:bookmarkStart w:id="404" w:name="_Toc296503111"/>
      <w:bookmarkStart w:id="405" w:name="_Toc296346612"/>
      <w:r>
        <w:rPr>
          <w:rFonts w:hint="eastAsia" w:ascii="宋体" w:hAnsi="宋体" w:cs="宋体"/>
          <w:b w:val="0"/>
          <w:sz w:val="24"/>
          <w:szCs w:val="24"/>
        </w:rPr>
        <w:t>13.3工程试车</w:t>
      </w:r>
      <w:bookmarkEnd w:id="402"/>
    </w:p>
    <w:bookmarkEnd w:id="403"/>
    <w:bookmarkEnd w:id="404"/>
    <w:bookmarkEnd w:id="405"/>
    <w:p w14:paraId="722DAEA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13.3.1试车程序</w:t>
      </w:r>
    </w:p>
    <w:p w14:paraId="5D936CC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工程需要试车的，除专用合同条款另有约定外，试车内容应与承包人承包范围相一致，试车费用由承包人承担。工程试车应按如下程序进行：</w:t>
      </w:r>
    </w:p>
    <w:p w14:paraId="7BC0FC3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5988F5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8C0C46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63C0A5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13.3.2 试车中的责任</w:t>
      </w:r>
    </w:p>
    <w:p w14:paraId="5865CB2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42E7FD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6EA2BB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13.3.3 投料试车</w:t>
      </w:r>
    </w:p>
    <w:p w14:paraId="309B436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如需进行投料试车的，发包人应在工程竣工验收后组织投料试车。发包人要求在工程竣工验收前进行或需要承包人配合时，应征得承包人同意，并在专用合同条款中约定有关事项。</w:t>
      </w:r>
    </w:p>
    <w:p w14:paraId="4F7583E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A534688">
      <w:pPr>
        <w:pStyle w:val="6"/>
        <w:spacing w:before="120" w:after="120" w:line="312" w:lineRule="auto"/>
        <w:rPr>
          <w:rFonts w:hint="eastAsia" w:ascii="宋体" w:hAnsi="宋体" w:cs="宋体"/>
          <w:b w:val="0"/>
          <w:sz w:val="24"/>
          <w:szCs w:val="24"/>
        </w:rPr>
      </w:pPr>
      <w:bookmarkStart w:id="406" w:name="_Toc337558808"/>
      <w:r>
        <w:rPr>
          <w:rFonts w:hint="eastAsia" w:ascii="宋体" w:hAnsi="宋体" w:cs="宋体"/>
          <w:b w:val="0"/>
          <w:sz w:val="24"/>
          <w:szCs w:val="24"/>
        </w:rPr>
        <w:t xml:space="preserve">    </w:t>
      </w:r>
      <w:bookmarkStart w:id="407" w:name="_Toc351203590"/>
      <w:r>
        <w:rPr>
          <w:rFonts w:hint="eastAsia" w:ascii="宋体" w:hAnsi="宋体" w:cs="宋体"/>
          <w:b w:val="0"/>
          <w:sz w:val="24"/>
          <w:szCs w:val="24"/>
        </w:rPr>
        <w:t>13.4提前交付单位工程的验收</w:t>
      </w:r>
      <w:bookmarkEnd w:id="407"/>
    </w:p>
    <w:bookmarkEnd w:id="406"/>
    <w:p w14:paraId="17C5C00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13.4.1 发包人需要在工程竣工前使用单位工程的，或承包人提出提前交付已经竣工的单位工程且经发包人同意的，可进行单位工程验收，验收的程序按照第13.2款〔竣工验收〕的约定进行。</w:t>
      </w:r>
    </w:p>
    <w:p w14:paraId="1864803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6298B11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13.4.2 发包人要求在工程竣工前交付单位工程，由此导致承包人费用增加和（或）工期延误的，由发包人承担由此增加的费用和（或）延误的工期，并支付承包人合理的利润。</w:t>
      </w:r>
    </w:p>
    <w:p w14:paraId="16CEFF79">
      <w:pPr>
        <w:pStyle w:val="6"/>
        <w:spacing w:before="120" w:after="120" w:line="312" w:lineRule="auto"/>
        <w:ind w:firstLine="480" w:firstLineChars="200"/>
        <w:rPr>
          <w:rFonts w:hint="eastAsia" w:ascii="宋体" w:hAnsi="宋体" w:cs="宋体"/>
          <w:b w:val="0"/>
          <w:sz w:val="24"/>
          <w:szCs w:val="24"/>
        </w:rPr>
      </w:pPr>
      <w:bookmarkStart w:id="408" w:name="_Toc351203591"/>
      <w:r>
        <w:rPr>
          <w:rFonts w:hint="eastAsia" w:ascii="宋体" w:hAnsi="宋体" w:cs="宋体"/>
          <w:b w:val="0"/>
          <w:sz w:val="24"/>
          <w:szCs w:val="24"/>
        </w:rPr>
        <w:t>13.5 施工期运行</w:t>
      </w:r>
      <w:bookmarkEnd w:id="408"/>
    </w:p>
    <w:p w14:paraId="1E2B944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8E55BE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13.5.2 在施工期运行中发现工程或工程设备损坏或存在缺陷的，由承包人按第15.2款〔缺陷责任期〕约定进行修复。</w:t>
      </w:r>
    </w:p>
    <w:p w14:paraId="6202EE5A">
      <w:pPr>
        <w:pStyle w:val="6"/>
        <w:spacing w:before="120" w:after="120" w:line="312" w:lineRule="auto"/>
        <w:ind w:firstLine="480" w:firstLineChars="200"/>
        <w:rPr>
          <w:rFonts w:hint="eastAsia" w:ascii="宋体" w:hAnsi="宋体" w:cs="宋体"/>
          <w:b w:val="0"/>
          <w:sz w:val="24"/>
          <w:szCs w:val="24"/>
        </w:rPr>
      </w:pPr>
      <w:bookmarkStart w:id="409" w:name="_Toc296503112"/>
      <w:bookmarkStart w:id="410" w:name="_Toc296346613"/>
      <w:bookmarkStart w:id="411" w:name="_Toc351203592"/>
      <w:bookmarkStart w:id="412" w:name="_Toc337558809"/>
      <w:r>
        <w:rPr>
          <w:rFonts w:hint="eastAsia" w:ascii="宋体" w:hAnsi="宋体" w:cs="宋体"/>
          <w:b w:val="0"/>
          <w:sz w:val="24"/>
          <w:szCs w:val="24"/>
        </w:rPr>
        <w:t>13.6 竣工退</w:t>
      </w:r>
      <w:bookmarkEnd w:id="409"/>
      <w:bookmarkEnd w:id="410"/>
      <w:r>
        <w:rPr>
          <w:rFonts w:hint="eastAsia" w:ascii="宋体" w:hAnsi="宋体" w:cs="宋体"/>
          <w:b w:val="0"/>
          <w:sz w:val="24"/>
          <w:szCs w:val="24"/>
        </w:rPr>
        <w:t>场</w:t>
      </w:r>
      <w:bookmarkEnd w:id="411"/>
    </w:p>
    <w:bookmarkEnd w:id="412"/>
    <w:p w14:paraId="257ED93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13.6.1 竣工退场</w:t>
      </w:r>
    </w:p>
    <w:p w14:paraId="0E5F3F9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颁发工程接收证书后，承包人应按以下要求对施工现场进行清理：</w:t>
      </w:r>
    </w:p>
    <w:p w14:paraId="771730F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（1）施工现场内残留的垃圾已全部清除出场；</w:t>
      </w:r>
    </w:p>
    <w:p w14:paraId="4FBE348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（2）临时工程已拆除，场地已进行清理、平整或复原；</w:t>
      </w:r>
    </w:p>
    <w:p w14:paraId="4EF296F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（3）按合同约定应撤离的人员、承包人施工设备和剩余的材料，包括废弃的施工设备和材料，已按计划撤离施工现场；</w:t>
      </w:r>
    </w:p>
    <w:p w14:paraId="4B96F6E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（4）施工现场周边及其附近道路、河道的施工堆积物，已全部清理；</w:t>
      </w:r>
    </w:p>
    <w:p w14:paraId="798A959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（5）施工现场其他场地清理工作已全部完成。</w:t>
      </w:r>
    </w:p>
    <w:p w14:paraId="549AB3D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DF289F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13.6.2 地表还原</w:t>
      </w:r>
    </w:p>
    <w:p w14:paraId="6CA28A8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14:paraId="32AA9001">
      <w:pPr>
        <w:pStyle w:val="5"/>
        <w:spacing w:before="120" w:after="120" w:line="312" w:lineRule="auto"/>
        <w:rPr>
          <w:rFonts w:hint="eastAsia"/>
          <w:b w:val="0"/>
          <w:sz w:val="24"/>
          <w:szCs w:val="24"/>
        </w:rPr>
      </w:pPr>
      <w:bookmarkStart w:id="413" w:name="_Toc351203593"/>
      <w:bookmarkStart w:id="414" w:name="_Toc337558810"/>
      <w:bookmarkStart w:id="415" w:name="_Toc296346614"/>
      <w:bookmarkStart w:id="416" w:name="_Toc296503113"/>
      <w:r>
        <w:rPr>
          <w:rFonts w:hint="eastAsia"/>
          <w:b w:val="0"/>
          <w:sz w:val="24"/>
          <w:szCs w:val="24"/>
        </w:rPr>
        <w:t>14. 竣工结算</w:t>
      </w:r>
      <w:bookmarkEnd w:id="413"/>
    </w:p>
    <w:bookmarkEnd w:id="414"/>
    <w:p w14:paraId="54633A2C">
      <w:pPr>
        <w:pStyle w:val="6"/>
        <w:spacing w:before="120" w:after="120" w:line="312" w:lineRule="auto"/>
        <w:ind w:firstLine="480" w:firstLineChars="200"/>
        <w:rPr>
          <w:rFonts w:hint="eastAsia" w:ascii="宋体" w:hAnsi="宋体" w:cs="宋体"/>
          <w:b w:val="0"/>
          <w:sz w:val="24"/>
          <w:szCs w:val="24"/>
        </w:rPr>
      </w:pPr>
      <w:bookmarkStart w:id="417" w:name="_Toc351203594"/>
      <w:bookmarkStart w:id="418" w:name="_Toc337558811"/>
      <w:r>
        <w:rPr>
          <w:rFonts w:hint="eastAsia" w:ascii="宋体" w:hAnsi="宋体" w:cs="宋体"/>
          <w:b w:val="0"/>
          <w:sz w:val="24"/>
          <w:szCs w:val="24"/>
        </w:rPr>
        <w:t>14.1 竣工结算申请</w:t>
      </w:r>
      <w:bookmarkEnd w:id="417"/>
    </w:p>
    <w:bookmarkEnd w:id="418"/>
    <w:p w14:paraId="7DBB9295">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除专用合同条款另有约定外，</w:t>
      </w:r>
      <w:r>
        <w:rPr>
          <w:rFonts w:hint="eastAsia" w:ascii="宋体" w:hAnsi="宋体" w:cs="宋体"/>
          <w:sz w:val="24"/>
        </w:rPr>
        <w:t>承包人应在工程竣工验收合格后28天内向发包人和监理人提交竣工结算申请单，并提交完整的结算资料，有关竣工结算申请单的资料清单和份数等要求由合同当事人在专用合同条款中约定。</w:t>
      </w:r>
    </w:p>
    <w:p w14:paraId="1FF34DD9">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除专用合同条款另有约定外，竣工结算申请单应包括以下内容：</w:t>
      </w:r>
    </w:p>
    <w:p w14:paraId="53FE5114">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（1）竣工结算合同价格；</w:t>
      </w:r>
    </w:p>
    <w:p w14:paraId="5E793E89">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（2）发包人已支付承包人的款项；</w:t>
      </w:r>
    </w:p>
    <w:p w14:paraId="6C60F88A">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 xml:space="preserve">（3）应扣留的质量保证金； </w:t>
      </w:r>
    </w:p>
    <w:p w14:paraId="5F2BC01D">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（4）发包人应支付承包人的合同价款。</w:t>
      </w:r>
    </w:p>
    <w:p w14:paraId="2C760DA6">
      <w:pPr>
        <w:pStyle w:val="6"/>
        <w:spacing w:before="120" w:after="120" w:line="312" w:lineRule="auto"/>
        <w:ind w:firstLine="480" w:firstLineChars="200"/>
        <w:rPr>
          <w:rFonts w:hint="eastAsia" w:ascii="宋体" w:hAnsi="宋体" w:cs="宋体"/>
          <w:b w:val="0"/>
          <w:sz w:val="24"/>
          <w:szCs w:val="24"/>
        </w:rPr>
      </w:pPr>
      <w:bookmarkStart w:id="419" w:name="_Toc351203595"/>
      <w:bookmarkStart w:id="420" w:name="_Toc337558812"/>
      <w:r>
        <w:rPr>
          <w:rFonts w:hint="eastAsia" w:ascii="宋体" w:hAnsi="宋体" w:cs="宋体"/>
          <w:b w:val="0"/>
          <w:sz w:val="24"/>
          <w:szCs w:val="24"/>
        </w:rPr>
        <w:t>14.2 竣工结算审核</w:t>
      </w:r>
      <w:bookmarkEnd w:id="419"/>
    </w:p>
    <w:bookmarkEnd w:id="420"/>
    <w:p w14:paraId="47F66F7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sz w:val="24"/>
        </w:rPr>
        <w:t>发包人对竣工</w:t>
      </w:r>
      <w:r>
        <w:rPr>
          <w:rFonts w:hint="eastAsia" w:ascii="宋体" w:hAnsi="宋体" w:cs="宋体"/>
          <w:kern w:val="0"/>
          <w:sz w:val="24"/>
        </w:rPr>
        <w:t>结算</w:t>
      </w:r>
      <w:r>
        <w:rPr>
          <w:rFonts w:hint="eastAsia" w:ascii="宋体" w:hAnsi="宋体" w:cs="宋体"/>
          <w:sz w:val="24"/>
        </w:rPr>
        <w:t>申请单有异议的，有权要求承包人进行修正和提供补充资料，承包人应提交修正后的竣工</w:t>
      </w:r>
      <w:r>
        <w:rPr>
          <w:rFonts w:hint="eastAsia" w:ascii="宋体" w:hAnsi="宋体" w:cs="宋体"/>
          <w:kern w:val="0"/>
          <w:sz w:val="24"/>
        </w:rPr>
        <w:t>结算</w:t>
      </w:r>
      <w:r>
        <w:rPr>
          <w:rFonts w:hint="eastAsia" w:ascii="宋体" w:hAnsi="宋体" w:cs="宋体"/>
          <w:sz w:val="24"/>
        </w:rPr>
        <w:t>申请单。</w:t>
      </w:r>
    </w:p>
    <w:p w14:paraId="541F4A7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F78014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9D6096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332F9D3">
      <w:pPr>
        <w:pStyle w:val="6"/>
        <w:spacing w:before="120" w:after="120" w:line="312" w:lineRule="auto"/>
        <w:ind w:firstLine="480" w:firstLineChars="200"/>
        <w:rPr>
          <w:rFonts w:hint="eastAsia" w:ascii="宋体" w:hAnsi="宋体" w:cs="宋体"/>
          <w:b w:val="0"/>
          <w:sz w:val="24"/>
          <w:szCs w:val="24"/>
        </w:rPr>
      </w:pPr>
      <w:bookmarkStart w:id="421" w:name="_Toc351203596"/>
      <w:bookmarkStart w:id="422" w:name="_Toc337558813"/>
      <w:r>
        <w:rPr>
          <w:rFonts w:hint="eastAsia" w:ascii="宋体" w:hAnsi="宋体" w:cs="宋体"/>
          <w:b w:val="0"/>
          <w:sz w:val="24"/>
          <w:szCs w:val="24"/>
        </w:rPr>
        <w:t>14.3 甩项竣工协议</w:t>
      </w:r>
      <w:bookmarkEnd w:id="421"/>
    </w:p>
    <w:bookmarkEnd w:id="422"/>
    <w:p w14:paraId="45A6EBD8">
      <w:pPr>
        <w:autoSpaceDE w:val="0"/>
        <w:autoSpaceDN w:val="0"/>
        <w:adjustRightInd w:val="0"/>
        <w:spacing w:line="312" w:lineRule="auto"/>
        <w:ind w:firstLine="470" w:firstLineChars="196"/>
        <w:jc w:val="left"/>
        <w:rPr>
          <w:rFonts w:hint="eastAsia" w:ascii="宋体" w:hAnsi="宋体" w:cs="宋体"/>
          <w:kern w:val="0"/>
          <w:sz w:val="24"/>
        </w:rPr>
      </w:pPr>
      <w:r>
        <w:rPr>
          <w:rFonts w:hint="eastAsia" w:ascii="宋体" w:hAnsi="宋体" w:cs="宋体"/>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2FB28F4B">
      <w:pPr>
        <w:pStyle w:val="6"/>
        <w:spacing w:before="120" w:after="120" w:line="312" w:lineRule="auto"/>
        <w:ind w:firstLine="480" w:firstLineChars="200"/>
        <w:rPr>
          <w:rFonts w:hint="eastAsia" w:ascii="宋体" w:hAnsi="宋体" w:cs="宋体"/>
          <w:b w:val="0"/>
          <w:sz w:val="24"/>
          <w:szCs w:val="24"/>
        </w:rPr>
      </w:pPr>
      <w:bookmarkStart w:id="423" w:name="_Toc351203597"/>
      <w:bookmarkStart w:id="424" w:name="_Toc337558814"/>
      <w:r>
        <w:rPr>
          <w:rFonts w:hint="eastAsia" w:ascii="宋体" w:hAnsi="宋体" w:cs="宋体"/>
          <w:b w:val="0"/>
          <w:sz w:val="24"/>
          <w:szCs w:val="24"/>
        </w:rPr>
        <w:t>14.4 最终结清</w:t>
      </w:r>
      <w:bookmarkEnd w:id="423"/>
    </w:p>
    <w:bookmarkEnd w:id="424"/>
    <w:p w14:paraId="702FF13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14.4.1 最终结清申请单</w:t>
      </w:r>
    </w:p>
    <w:p w14:paraId="7A456A9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（1）除专用合同条款另有约定外，承包人应在缺陷责任期终止证书颁发后7天内，按专用合同条款约定的份数向发包人提交最终结清申请单，并提供相关证明材料。</w:t>
      </w:r>
    </w:p>
    <w:p w14:paraId="54176299">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w:t>
      </w:r>
      <w:r>
        <w:rPr>
          <w:rFonts w:hint="eastAsia" w:ascii="宋体" w:hAnsi="宋体" w:cs="宋体"/>
          <w:kern w:val="0"/>
          <w:sz w:val="24"/>
        </w:rPr>
        <w:t>最终结清申请单</w:t>
      </w:r>
      <w:r>
        <w:rPr>
          <w:rFonts w:hint="eastAsia" w:ascii="宋体" w:hAnsi="宋体" w:cs="宋体"/>
          <w:sz w:val="24"/>
        </w:rPr>
        <w:t>应列明质量保证金、应扣除的质量保证金、缺陷责任期内发生的增减费用。</w:t>
      </w:r>
    </w:p>
    <w:p w14:paraId="202E5A8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（2）发包人对最终结清申请单内容有异议的，有权要求承包人进行修正和提供补充资料，承包人应向发包人提交修正后的最终结清申请单。</w:t>
      </w:r>
    </w:p>
    <w:p w14:paraId="2D53C9C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14.4.2 最终结清证书和支付</w:t>
      </w:r>
    </w:p>
    <w:p w14:paraId="0271B8B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FC8B00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116E5E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（3）承包人对发包人颁发的最终结清证书有异议的，按第20条〔争议解决〕的约定办理。</w:t>
      </w:r>
    </w:p>
    <w:p w14:paraId="567F8199">
      <w:pPr>
        <w:pStyle w:val="5"/>
        <w:spacing w:before="120" w:after="120" w:line="312" w:lineRule="auto"/>
        <w:rPr>
          <w:rFonts w:hint="eastAsia"/>
          <w:b w:val="0"/>
          <w:sz w:val="24"/>
          <w:szCs w:val="24"/>
        </w:rPr>
      </w:pPr>
      <w:bookmarkStart w:id="425" w:name="_Toc351203598"/>
      <w:bookmarkStart w:id="426" w:name="_Toc337558815"/>
      <w:r>
        <w:rPr>
          <w:rFonts w:hint="eastAsia"/>
          <w:b w:val="0"/>
          <w:sz w:val="24"/>
          <w:szCs w:val="24"/>
        </w:rPr>
        <w:t>15. 缺陷责任与保修</w:t>
      </w:r>
      <w:bookmarkEnd w:id="425"/>
    </w:p>
    <w:bookmarkEnd w:id="415"/>
    <w:bookmarkEnd w:id="416"/>
    <w:bookmarkEnd w:id="426"/>
    <w:p w14:paraId="749BB5E0">
      <w:pPr>
        <w:pStyle w:val="6"/>
        <w:spacing w:before="120" w:after="120" w:line="312" w:lineRule="auto"/>
        <w:ind w:firstLine="480" w:firstLineChars="200"/>
        <w:rPr>
          <w:rFonts w:hint="eastAsia" w:ascii="宋体" w:hAnsi="宋体" w:cs="宋体"/>
          <w:b w:val="0"/>
          <w:sz w:val="24"/>
          <w:szCs w:val="24"/>
        </w:rPr>
      </w:pPr>
      <w:bookmarkStart w:id="427" w:name="_Toc351203599"/>
      <w:bookmarkStart w:id="428" w:name="_Toc337558816"/>
      <w:bookmarkStart w:id="429" w:name="_Toc296503114"/>
      <w:bookmarkStart w:id="430" w:name="_Toc296346615"/>
      <w:r>
        <w:rPr>
          <w:rFonts w:hint="eastAsia" w:ascii="宋体" w:hAnsi="宋体" w:cs="宋体"/>
          <w:b w:val="0"/>
          <w:sz w:val="24"/>
          <w:szCs w:val="24"/>
        </w:rPr>
        <w:t>15.1 工程保修的原则</w:t>
      </w:r>
      <w:bookmarkEnd w:id="427"/>
    </w:p>
    <w:bookmarkEnd w:id="428"/>
    <w:p w14:paraId="149D56C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在工程移交发包人后，因承包人原因产生的质量缺陷，承包人应承担质量缺陷责任和保修义务。缺陷责任期届满，承包人仍应按合同约定的工程各部位保修年限承担保修义务。</w:t>
      </w:r>
    </w:p>
    <w:p w14:paraId="7316C244">
      <w:pPr>
        <w:pStyle w:val="6"/>
        <w:spacing w:before="120" w:after="120" w:line="312" w:lineRule="auto"/>
        <w:ind w:firstLine="480" w:firstLineChars="200"/>
        <w:rPr>
          <w:rFonts w:hint="eastAsia" w:ascii="宋体" w:hAnsi="宋体" w:cs="宋体"/>
          <w:b w:val="0"/>
          <w:sz w:val="24"/>
          <w:szCs w:val="24"/>
        </w:rPr>
      </w:pPr>
      <w:bookmarkStart w:id="431" w:name="_Toc351203600"/>
      <w:bookmarkStart w:id="432" w:name="_Toc337558817"/>
      <w:r>
        <w:rPr>
          <w:rFonts w:hint="eastAsia" w:ascii="宋体" w:hAnsi="宋体" w:cs="宋体"/>
          <w:b w:val="0"/>
          <w:sz w:val="24"/>
          <w:szCs w:val="24"/>
        </w:rPr>
        <w:t>15.2 缺陷责任期</w:t>
      </w:r>
      <w:bookmarkEnd w:id="429"/>
      <w:bookmarkEnd w:id="430"/>
      <w:bookmarkEnd w:id="431"/>
    </w:p>
    <w:bookmarkEnd w:id="432"/>
    <w:p w14:paraId="4B27B0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15.2.1 缺陷责任期自实际竣工日期起计算，合同当事人应在专用合同条款约定缺陷责任期的具体期限，但该期限最长不超过24个月。</w:t>
      </w:r>
    </w:p>
    <w:p w14:paraId="4CB76DE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3FF722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15.2.2 工程竣工验收合格后，因承包人原因导致的缺陷或损坏致使工程、单位工程或某项主要设备不能按原定目的使用的，则发包人有权要求承</w:t>
      </w:r>
      <w:r>
        <w:rPr>
          <w:rFonts w:hint="eastAsia" w:ascii="宋体" w:hAnsi="宋体" w:cs="宋体"/>
          <w:bCs/>
          <w:sz w:val="24"/>
        </w:rPr>
        <w:t>包人延长缺陷责任期，</w:t>
      </w:r>
      <w:r>
        <w:rPr>
          <w:rFonts w:hint="eastAsia" w:ascii="宋体" w:hAnsi="宋体" w:cs="宋体"/>
          <w:kern w:val="0"/>
          <w:sz w:val="24"/>
        </w:rPr>
        <w:t>并应在原缺陷责任期届满前发出延长通知，</w:t>
      </w:r>
      <w:r>
        <w:rPr>
          <w:rFonts w:hint="eastAsia" w:ascii="宋体" w:hAnsi="宋体" w:cs="宋体"/>
          <w:bCs/>
          <w:sz w:val="24"/>
        </w:rPr>
        <w:t>但缺陷责任期最长</w:t>
      </w:r>
      <w:r>
        <w:rPr>
          <w:rFonts w:hint="eastAsia" w:ascii="宋体" w:hAnsi="宋体" w:cs="宋体"/>
          <w:kern w:val="0"/>
          <w:sz w:val="24"/>
        </w:rPr>
        <w:t>不能超过24个月。</w:t>
      </w:r>
    </w:p>
    <w:p w14:paraId="69CA65E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15.2.3 任何一项缺陷或损坏修复后，经检查证明其影响了工程或工程设备的使用性能，承包人应重新进行合同约定的试验和试运行，试验和试运行的全部费用应由责任方承担。</w:t>
      </w:r>
    </w:p>
    <w:p w14:paraId="14B544A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917E223">
      <w:pPr>
        <w:pStyle w:val="6"/>
        <w:spacing w:before="120" w:after="120" w:line="312" w:lineRule="auto"/>
        <w:ind w:firstLine="480" w:firstLineChars="200"/>
        <w:rPr>
          <w:rFonts w:hint="eastAsia" w:ascii="宋体" w:hAnsi="宋体" w:cs="宋体"/>
          <w:b w:val="0"/>
          <w:sz w:val="24"/>
          <w:szCs w:val="24"/>
        </w:rPr>
      </w:pPr>
      <w:bookmarkStart w:id="433" w:name="_Toc351203601"/>
      <w:bookmarkStart w:id="434" w:name="_Toc337558818"/>
      <w:bookmarkStart w:id="435" w:name="_Toc296346616"/>
      <w:bookmarkStart w:id="436" w:name="_Toc296503115"/>
      <w:r>
        <w:rPr>
          <w:rFonts w:hint="eastAsia" w:ascii="宋体" w:hAnsi="宋体" w:cs="宋体"/>
          <w:b w:val="0"/>
          <w:sz w:val="24"/>
          <w:szCs w:val="24"/>
        </w:rPr>
        <w:t>15.3 质量保证金</w:t>
      </w:r>
      <w:bookmarkEnd w:id="433"/>
    </w:p>
    <w:bookmarkEnd w:id="434"/>
    <w:p w14:paraId="744B0AE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经合同当事人协商一致扣留质量保证金的，应在专用合同条款中予以明确。</w:t>
      </w:r>
    </w:p>
    <w:p w14:paraId="7DEEA7A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15.3.1 承包人提供质量保证金的方式</w:t>
      </w:r>
    </w:p>
    <w:p w14:paraId="47A3444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承包人提供质量保证金有以下三种方式：</w:t>
      </w:r>
    </w:p>
    <w:p w14:paraId="5D7F4D0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（1）质量保证金保函； </w:t>
      </w:r>
    </w:p>
    <w:p w14:paraId="77BBF63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（2）相应比例的工程款；</w:t>
      </w:r>
    </w:p>
    <w:p w14:paraId="00E0830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（3）双方约定的其他方式。</w:t>
      </w:r>
    </w:p>
    <w:p w14:paraId="40106E0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除专用合同条款另有约定外，质量保证金原则上采用上述第（1）种方式。</w:t>
      </w:r>
    </w:p>
    <w:p w14:paraId="515ACAE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15.3.2 质量保证金的扣留</w:t>
      </w:r>
    </w:p>
    <w:p w14:paraId="2325FD1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质量保证金的扣留有以下三种方式：</w:t>
      </w:r>
    </w:p>
    <w:p w14:paraId="036B560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47CF983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（2）工</w:t>
      </w:r>
      <w:bookmarkStart w:id="437" w:name="#go6"/>
      <w:bookmarkEnd w:id="437"/>
      <w:r>
        <w:rPr>
          <w:rFonts w:hint="eastAsia" w:ascii="宋体" w:hAnsi="宋体" w:cs="宋体"/>
          <w:kern w:val="0"/>
          <w:sz w:val="24"/>
        </w:rPr>
        <w:t>程竣工结算时一次性扣留质量保证金；</w:t>
      </w:r>
    </w:p>
    <w:p w14:paraId="020E673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（3）双方约定的其他扣留方式。</w:t>
      </w:r>
    </w:p>
    <w:p w14:paraId="7D9B8E6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除专用合同条款另有约定外，质量保证金的扣留原则上采用上述第（1）种方式。</w:t>
      </w:r>
    </w:p>
    <w:p w14:paraId="53B2562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w:t>
      </w:r>
      <w:bookmarkStart w:id="438" w:name="#go4"/>
      <w:bookmarkEnd w:id="438"/>
      <w:r>
        <w:rPr>
          <w:rFonts w:hint="eastAsia" w:ascii="宋体" w:hAnsi="宋体" w:cs="宋体"/>
          <w:kern w:val="0"/>
          <w:sz w:val="24"/>
        </w:rPr>
        <w:t>包人累计扣留的质量保证金不得超过结算合同价格的5%，如承包人在发包人签发竣工付款证书后28天内提交质量保证金保函，发包人应同时退还扣留的作为质量保证金的工程价款。</w:t>
      </w:r>
    </w:p>
    <w:p w14:paraId="7B9F7C5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15.3.3 </w:t>
      </w:r>
      <w:r>
        <w:rPr>
          <w:rFonts w:hint="eastAsia" w:ascii="宋体" w:hAnsi="宋体" w:cs="宋体"/>
          <w:sz w:val="24"/>
        </w:rPr>
        <w:t>质量保证金</w:t>
      </w:r>
      <w:r>
        <w:rPr>
          <w:rFonts w:hint="eastAsia" w:ascii="宋体" w:hAnsi="宋体" w:cs="宋体"/>
          <w:kern w:val="0"/>
          <w:sz w:val="24"/>
        </w:rPr>
        <w:t>的退还</w:t>
      </w:r>
    </w:p>
    <w:p w14:paraId="3071161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发包人应按14.4款〔最终结清〕的约定退还质量保证金。</w:t>
      </w:r>
    </w:p>
    <w:p w14:paraId="7D68D168">
      <w:pPr>
        <w:pStyle w:val="6"/>
        <w:spacing w:before="120" w:after="120" w:line="312" w:lineRule="auto"/>
        <w:ind w:firstLine="480" w:firstLineChars="200"/>
        <w:rPr>
          <w:rFonts w:hint="eastAsia" w:ascii="宋体" w:hAnsi="宋体" w:cs="宋体"/>
          <w:b w:val="0"/>
          <w:sz w:val="24"/>
          <w:szCs w:val="24"/>
        </w:rPr>
      </w:pPr>
      <w:bookmarkStart w:id="439" w:name="_Toc351203602"/>
      <w:bookmarkStart w:id="440" w:name="_Toc337558819"/>
      <w:r>
        <w:rPr>
          <w:rFonts w:hint="eastAsia" w:ascii="宋体" w:hAnsi="宋体" w:cs="宋体"/>
          <w:b w:val="0"/>
          <w:sz w:val="24"/>
          <w:szCs w:val="24"/>
        </w:rPr>
        <w:t>15.4 保修</w:t>
      </w:r>
      <w:bookmarkEnd w:id="439"/>
    </w:p>
    <w:bookmarkEnd w:id="435"/>
    <w:bookmarkEnd w:id="436"/>
    <w:bookmarkEnd w:id="440"/>
    <w:p w14:paraId="3936824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15.4.1保修责任</w:t>
      </w:r>
    </w:p>
    <w:p w14:paraId="7B31F08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5E57775">
      <w:pPr>
        <w:spacing w:line="312" w:lineRule="auto"/>
        <w:ind w:firstLine="420" w:firstLineChars="200"/>
        <w:jc w:val="left"/>
        <w:rPr>
          <w:rFonts w:hint="eastAsia" w:ascii="宋体" w:hAnsi="宋体" w:cs="宋体"/>
          <w:sz w:val="24"/>
        </w:rPr>
      </w:pPr>
      <w:r>
        <w:rPr>
          <w:rFonts w:hint="eastAsia" w:hAnsi="宋体" w:cs="宋体"/>
        </w:rPr>
        <w:t>工程保修期为：</w:t>
      </w:r>
      <w:r>
        <w:rPr>
          <w:kern w:val="0"/>
          <w:u w:val="single"/>
        </w:rPr>
        <w:t xml:space="preserve"> </w:t>
      </w:r>
      <w:r>
        <w:rPr>
          <w:rFonts w:hint="eastAsia"/>
          <w:kern w:val="0"/>
          <w:u w:val="single"/>
        </w:rPr>
        <w:t>1年</w:t>
      </w:r>
      <w:r>
        <w:rPr>
          <w:kern w:val="0"/>
          <w:u w:val="single"/>
        </w:rPr>
        <w:t xml:space="preserve">  </w:t>
      </w:r>
      <w:r>
        <w:rPr>
          <w:rFonts w:hint="eastAsia" w:ascii="宋体" w:hAnsi="宋体" w:cs="宋体"/>
          <w:sz w:val="24"/>
        </w:rPr>
        <w:t>。</w:t>
      </w:r>
    </w:p>
    <w:p w14:paraId="0F24ACA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15.4.2 修复费用</w:t>
      </w:r>
    </w:p>
    <w:p w14:paraId="0CFF704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保修期内，修复的费用按照以下约定处理：</w:t>
      </w:r>
    </w:p>
    <w:p w14:paraId="3E8270A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（1）保修期内，因承包人原因造成工程的缺陷、损坏，承包人应负责修复，并承担修复的费用以及因工程的缺陷、损坏造成的人身伤害和财产损失；</w:t>
      </w:r>
    </w:p>
    <w:p w14:paraId="2D28F7A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（2）保修期内，因发包人使用不当造成工程的缺陷、损坏，可以委托承包人修复，但发包人应承担修复的费用，并支付承包人合理利润；</w:t>
      </w:r>
    </w:p>
    <w:p w14:paraId="17B2CAD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（3）因其他原因造成工程的缺陷、损坏，可以委托承包人修复，发包人应承担修复的费用，并支付承包人合理的利润，因工程的缺陷、损坏造成的人身伤害和财产损失由责任方承担。</w:t>
      </w:r>
    </w:p>
    <w:p w14:paraId="411B906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15.4.3 修复通知</w:t>
      </w:r>
    </w:p>
    <w:p w14:paraId="597F055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8FD09E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15.4.4 未能修复</w:t>
      </w:r>
    </w:p>
    <w:p w14:paraId="1E73178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05A59B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15.4.5 承包人出入权</w:t>
      </w:r>
    </w:p>
    <w:p w14:paraId="6530290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3A3CFB0">
      <w:pPr>
        <w:pStyle w:val="5"/>
        <w:spacing w:before="120" w:after="120" w:line="312" w:lineRule="auto"/>
        <w:rPr>
          <w:rFonts w:hint="eastAsia"/>
          <w:b w:val="0"/>
          <w:sz w:val="24"/>
          <w:szCs w:val="24"/>
        </w:rPr>
      </w:pPr>
      <w:bookmarkStart w:id="441" w:name="_Toc351203603"/>
      <w:bookmarkStart w:id="442" w:name="_Toc337558820"/>
      <w:r>
        <w:rPr>
          <w:rFonts w:hint="eastAsia"/>
          <w:b w:val="0"/>
          <w:sz w:val="24"/>
          <w:szCs w:val="24"/>
        </w:rPr>
        <w:t>16. 违约</w:t>
      </w:r>
      <w:bookmarkEnd w:id="441"/>
    </w:p>
    <w:bookmarkEnd w:id="442"/>
    <w:p w14:paraId="3E633EFF">
      <w:pPr>
        <w:pStyle w:val="6"/>
        <w:spacing w:before="120" w:after="120" w:line="312" w:lineRule="auto"/>
        <w:ind w:firstLine="480" w:firstLineChars="200"/>
        <w:rPr>
          <w:rFonts w:hint="eastAsia" w:ascii="宋体" w:hAnsi="宋体" w:cs="宋体"/>
          <w:b w:val="0"/>
          <w:sz w:val="24"/>
          <w:szCs w:val="24"/>
        </w:rPr>
      </w:pPr>
      <w:bookmarkStart w:id="443" w:name="_Toc296503129"/>
      <w:bookmarkStart w:id="444" w:name="_Toc296346630"/>
      <w:bookmarkStart w:id="445" w:name="_Toc351203604"/>
      <w:bookmarkStart w:id="446" w:name="_Toc337558821"/>
      <w:r>
        <w:rPr>
          <w:rFonts w:hint="eastAsia" w:ascii="宋体" w:hAnsi="宋体" w:cs="宋体"/>
          <w:b w:val="0"/>
          <w:sz w:val="24"/>
          <w:szCs w:val="24"/>
        </w:rPr>
        <w:t>16.1 发</w:t>
      </w:r>
      <w:bookmarkEnd w:id="443"/>
      <w:bookmarkEnd w:id="444"/>
      <w:r>
        <w:rPr>
          <w:rFonts w:hint="eastAsia" w:ascii="宋体" w:hAnsi="宋体" w:cs="宋体"/>
          <w:b w:val="0"/>
          <w:sz w:val="24"/>
          <w:szCs w:val="24"/>
        </w:rPr>
        <w:t>包人违约</w:t>
      </w:r>
      <w:bookmarkEnd w:id="445"/>
    </w:p>
    <w:bookmarkEnd w:id="446"/>
    <w:p w14:paraId="00748EF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16.1.1 发包人违约的情形</w:t>
      </w:r>
    </w:p>
    <w:p w14:paraId="129E24E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在合同履行过程中发生的下列情形，属于发包人违约：</w:t>
      </w:r>
    </w:p>
    <w:p w14:paraId="57FB679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（1）因发包人原因未能在计划开工日期前7天内下达开工通知的；</w:t>
      </w:r>
    </w:p>
    <w:p w14:paraId="62C2333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（2）因发包人原因未能按合同约定支付合同价款的；</w:t>
      </w:r>
    </w:p>
    <w:p w14:paraId="4F33598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（3）发包人违反第10.1款〔变更的范围〕第（2）项约定，自行实施被取消的工作或转由他人实施的；</w:t>
      </w:r>
    </w:p>
    <w:p w14:paraId="7FFDC79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w:t>
      </w:r>
    </w:p>
    <w:p w14:paraId="45DEACE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（5）因发包人违反合同约定造成暂停施工的；</w:t>
      </w:r>
    </w:p>
    <w:p w14:paraId="0A9B9A2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（6）发包人无正当理由没有在约定期限内发出复工指示，导致承包人无法复工的；</w:t>
      </w:r>
    </w:p>
    <w:p w14:paraId="0E7545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（7）发包人明确表示或者以其行为表明不履行合同主要义务的；</w:t>
      </w:r>
    </w:p>
    <w:p w14:paraId="440474F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（8）发包人未能按照合同约定履行其他义务的。</w:t>
      </w:r>
    </w:p>
    <w:p w14:paraId="7A07DBE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A8B30C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16.1.2 发包人违约的责任</w:t>
      </w:r>
    </w:p>
    <w:p w14:paraId="68DA839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发包人应承担因其违约给承包人增加的费用和（或）延误的工期，并支付承包人合理的利润。此外，合同当事人可在专用合同条款中另行约定发包人违约责任的承担方式和计算方法。</w:t>
      </w:r>
    </w:p>
    <w:p w14:paraId="21F69D5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16.1.3 因发包人违约解除合同</w:t>
      </w:r>
    </w:p>
    <w:p w14:paraId="0CFE942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D877B6F">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16.1.4 因发包人违约解除合同后的付款</w:t>
      </w:r>
    </w:p>
    <w:p w14:paraId="7197192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承包人按照本款约定解除合同的，发包人应在解除合同后28天内支付下列款项，并解除履约担保：</w:t>
      </w:r>
    </w:p>
    <w:p w14:paraId="4CADDAF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（1）合同解除前所完成工作的价款；</w:t>
      </w:r>
    </w:p>
    <w:p w14:paraId="44B62D3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（2）承包人为工程施工订购并已付款的材料、工程设备和其他物品的价款；</w:t>
      </w:r>
    </w:p>
    <w:p w14:paraId="1BF2728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（3）承包人撤离施工现场以及遣散承包人人员的款项；</w:t>
      </w:r>
    </w:p>
    <w:p w14:paraId="3F1F5D3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（4）按照合同约定在合同解除前应支付的违约金；</w:t>
      </w:r>
    </w:p>
    <w:p w14:paraId="3147A9C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（5）按照合同约定应当支付给承包人的其他款项；</w:t>
      </w:r>
    </w:p>
    <w:p w14:paraId="2547E90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（6）按照合同约定应退还的质量保证金；</w:t>
      </w:r>
    </w:p>
    <w:p w14:paraId="52C3161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（7）因解除合同给承包人造成的损失。</w:t>
      </w:r>
    </w:p>
    <w:p w14:paraId="21346AA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合同当事人未能就解除合同后的结清达成一致的，按照第20条〔争议解决〕的约定处理。</w:t>
      </w:r>
    </w:p>
    <w:p w14:paraId="72ECFFE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承包人应妥善做好已完工程和与工程有关的已购材料、工程设备的保护和移交工作，并将施工设备和人员撤出施工现场，发包人应为承包人撤出提供必要条件。</w:t>
      </w:r>
    </w:p>
    <w:p w14:paraId="09233730">
      <w:pPr>
        <w:pStyle w:val="6"/>
        <w:spacing w:before="120" w:after="120" w:line="312" w:lineRule="auto"/>
        <w:ind w:firstLine="480" w:firstLineChars="200"/>
        <w:rPr>
          <w:rFonts w:hint="eastAsia" w:ascii="宋体" w:hAnsi="宋体" w:cs="宋体"/>
          <w:b w:val="0"/>
          <w:sz w:val="24"/>
          <w:szCs w:val="24"/>
        </w:rPr>
      </w:pPr>
      <w:bookmarkStart w:id="447" w:name="_Toc351203605"/>
      <w:bookmarkStart w:id="448" w:name="_Toc296346632"/>
      <w:bookmarkStart w:id="449" w:name="_Toc337558822"/>
      <w:bookmarkStart w:id="450" w:name="_Toc296503131"/>
      <w:r>
        <w:rPr>
          <w:rFonts w:hint="eastAsia" w:ascii="宋体" w:hAnsi="宋体" w:cs="宋体"/>
          <w:b w:val="0"/>
          <w:sz w:val="24"/>
          <w:szCs w:val="24"/>
        </w:rPr>
        <w:t>16.2 承包人违约</w:t>
      </w:r>
      <w:bookmarkEnd w:id="447"/>
    </w:p>
    <w:bookmarkEnd w:id="448"/>
    <w:bookmarkEnd w:id="449"/>
    <w:bookmarkEnd w:id="450"/>
    <w:p w14:paraId="2708EB4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16.2.1 承包人违约的情形</w:t>
      </w:r>
    </w:p>
    <w:p w14:paraId="1C37D20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在合同履行过程中发生的下列情形，属于承包人违约：</w:t>
      </w:r>
    </w:p>
    <w:p w14:paraId="2480FCF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（1）承包人违反合同约定进行转包或违法分包的；</w:t>
      </w:r>
    </w:p>
    <w:p w14:paraId="037609F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（2）承包人违反合同约定采购和使用不合格的材料和工程设备的；</w:t>
      </w:r>
    </w:p>
    <w:p w14:paraId="626A22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（3）因承包人原因导致工程质量不符合合同要求的； </w:t>
      </w:r>
    </w:p>
    <w:p w14:paraId="1CC6D26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（4）承包人违反第8.9款〔材料与设备专用要求〕的约定，未经批准，私自将已按照合同约定进入施工现场的材料或设备撤离施工现场的；</w:t>
      </w:r>
    </w:p>
    <w:p w14:paraId="12831D9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（5）承包人未能按施工进度计划及时完成合同约定的工作，造成工期延误的；</w:t>
      </w:r>
    </w:p>
    <w:p w14:paraId="4B126DE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（6）承包人在缺陷责任期及保修期内，未能在合理期限对工程缺陷进行修复，或拒绝按发包人要求进行修复的；</w:t>
      </w:r>
    </w:p>
    <w:p w14:paraId="1D0F77D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（7）承包人明确表示或者以其行为表明不履行合同主要义务的；</w:t>
      </w:r>
    </w:p>
    <w:p w14:paraId="7576023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（8）承包人未能按照合同约定履行其他义务的。</w:t>
      </w:r>
    </w:p>
    <w:p w14:paraId="4B3F18B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承包人发生除本项第（7）目约定以外的其他违约情况时，监理人可向承包人发出整改通知，要求其在指定的期限内改正。</w:t>
      </w:r>
    </w:p>
    <w:p w14:paraId="4EA5367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16.2.2 承包人违约的责任</w:t>
      </w:r>
    </w:p>
    <w:p w14:paraId="332786B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承包人应承担因其违约行为而增加的费用和（或）延误的工期。此外，合同当事人可在专用合同条款中另行约定承包人违约责任的承担方式和计算方法。</w:t>
      </w:r>
    </w:p>
    <w:p w14:paraId="0E66F9C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16.2.3 因承包人违约解除合同</w:t>
      </w:r>
    </w:p>
    <w:p w14:paraId="1F886FE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03AB8E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16.2.4因承包人违约解除合同后的处理</w:t>
      </w:r>
    </w:p>
    <w:p w14:paraId="77D36B2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因承包人原因导致合同解除的，则合同当事人应在合同解除后28天内完成估价、付款和清算，并按以下约定执行：</w:t>
      </w:r>
    </w:p>
    <w:p w14:paraId="04C281B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（1）合同解除后，按第4.4款〔商定或确定〕商定或确定承包人实际完成工作对应的合同价款，以及承包人已提供的材料、工程设备、施工设备和临时工程等的价值；</w:t>
      </w:r>
    </w:p>
    <w:p w14:paraId="34F765D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（2）合同解除后，承包人应支付的违约金；</w:t>
      </w:r>
    </w:p>
    <w:p w14:paraId="120B5F9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（3）合同解除后，因解除合同给发包人造成的损失；</w:t>
      </w:r>
    </w:p>
    <w:p w14:paraId="5960212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（4）合同解除后，承包人应按照发包人要求和监理人的指示完成现场的清理和撤离；</w:t>
      </w:r>
    </w:p>
    <w:p w14:paraId="57E5304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（5）发包人和承包人应在合同解除后进行清算，出具最终结清付款证书，结清全部款项。</w:t>
      </w:r>
    </w:p>
    <w:p w14:paraId="0E79325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因承包人违约解除合同的，发包人有权暂停对承包人的付款，查清各项付款和已扣款项。发包人和承包人未能就合同解除后的清算和款项支付达成一致的，按照第20条〔争议解决〕的约定处理。</w:t>
      </w:r>
    </w:p>
    <w:p w14:paraId="5A8BF4D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16.2.5采购合同权益转让</w:t>
      </w:r>
    </w:p>
    <w:p w14:paraId="463CA46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F7C34DA">
      <w:pPr>
        <w:pStyle w:val="6"/>
        <w:spacing w:before="120" w:after="120" w:line="312" w:lineRule="auto"/>
        <w:ind w:firstLine="480" w:firstLineChars="200"/>
        <w:rPr>
          <w:rFonts w:hint="eastAsia" w:ascii="宋体" w:hAnsi="宋体" w:cs="宋体"/>
          <w:b w:val="0"/>
          <w:sz w:val="24"/>
          <w:szCs w:val="24"/>
        </w:rPr>
      </w:pPr>
      <w:bookmarkStart w:id="451" w:name="_Toc351203606"/>
      <w:r>
        <w:rPr>
          <w:rFonts w:hint="eastAsia" w:ascii="宋体" w:hAnsi="宋体" w:cs="宋体"/>
          <w:b w:val="0"/>
          <w:sz w:val="24"/>
          <w:szCs w:val="24"/>
        </w:rPr>
        <w:t>16.3 第三人造成的违约</w:t>
      </w:r>
      <w:bookmarkEnd w:id="451"/>
    </w:p>
    <w:p w14:paraId="7B04477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在履行合同过程中，一方当事人因第三人的原因造成违约的，应当向对方当事人承担违约责任。一方当事人和第三人之间的纠纷，依照法律规定或者按照约定解决。</w:t>
      </w:r>
    </w:p>
    <w:p w14:paraId="6E3689E0">
      <w:pPr>
        <w:pStyle w:val="5"/>
        <w:spacing w:before="120" w:after="120" w:line="312" w:lineRule="auto"/>
        <w:rPr>
          <w:rFonts w:hint="eastAsia"/>
          <w:b w:val="0"/>
          <w:sz w:val="24"/>
          <w:szCs w:val="24"/>
        </w:rPr>
      </w:pPr>
      <w:bookmarkStart w:id="452" w:name="_Toc351203607"/>
      <w:bookmarkStart w:id="453" w:name="_Toc337558823"/>
      <w:bookmarkStart w:id="454" w:name="_Toc296346617"/>
      <w:bookmarkStart w:id="455" w:name="_Toc296503116"/>
      <w:r>
        <w:rPr>
          <w:rFonts w:hint="eastAsia"/>
          <w:b w:val="0"/>
          <w:sz w:val="24"/>
          <w:szCs w:val="24"/>
        </w:rPr>
        <w:t>17. 不可抗力</w:t>
      </w:r>
      <w:bookmarkEnd w:id="452"/>
      <w:r>
        <w:rPr>
          <w:rFonts w:hint="eastAsia"/>
          <w:b w:val="0"/>
          <w:sz w:val="24"/>
          <w:szCs w:val="24"/>
        </w:rPr>
        <w:t xml:space="preserve"> </w:t>
      </w:r>
      <w:bookmarkEnd w:id="453"/>
      <w:bookmarkEnd w:id="454"/>
      <w:bookmarkEnd w:id="455"/>
    </w:p>
    <w:p w14:paraId="3D545B13">
      <w:pPr>
        <w:pStyle w:val="6"/>
        <w:spacing w:before="120" w:after="120" w:line="312" w:lineRule="auto"/>
        <w:ind w:firstLine="480" w:firstLineChars="200"/>
        <w:rPr>
          <w:rFonts w:hint="eastAsia" w:ascii="宋体" w:hAnsi="宋体" w:cs="宋体"/>
          <w:b w:val="0"/>
          <w:sz w:val="24"/>
          <w:szCs w:val="24"/>
        </w:rPr>
      </w:pPr>
      <w:bookmarkStart w:id="456" w:name="_Toc351203608"/>
      <w:bookmarkStart w:id="457" w:name="_Toc337558824"/>
      <w:bookmarkStart w:id="458" w:name="_Toc296346618"/>
      <w:bookmarkStart w:id="459" w:name="_Toc296503117"/>
      <w:r>
        <w:rPr>
          <w:rFonts w:hint="eastAsia" w:ascii="宋体" w:hAnsi="宋体" w:cs="宋体"/>
          <w:b w:val="0"/>
          <w:sz w:val="24"/>
          <w:szCs w:val="24"/>
        </w:rPr>
        <w:t>17.1 不可抗力的确认</w:t>
      </w:r>
      <w:bookmarkEnd w:id="456"/>
    </w:p>
    <w:bookmarkEnd w:id="457"/>
    <w:bookmarkEnd w:id="458"/>
    <w:bookmarkEnd w:id="459"/>
    <w:p w14:paraId="6836B5C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15E77C6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C9BC28C">
      <w:pPr>
        <w:pStyle w:val="6"/>
        <w:spacing w:before="120" w:after="120" w:line="312" w:lineRule="auto"/>
        <w:ind w:firstLine="480" w:firstLineChars="200"/>
        <w:rPr>
          <w:rFonts w:hint="eastAsia" w:ascii="宋体" w:hAnsi="宋体" w:cs="宋体"/>
          <w:b w:val="0"/>
          <w:sz w:val="24"/>
          <w:szCs w:val="24"/>
        </w:rPr>
      </w:pPr>
      <w:bookmarkStart w:id="460" w:name="_Toc351203609"/>
      <w:bookmarkStart w:id="461" w:name="_Toc337558825"/>
      <w:bookmarkStart w:id="462" w:name="_Toc296346619"/>
      <w:bookmarkStart w:id="463" w:name="_Toc296503118"/>
      <w:r>
        <w:rPr>
          <w:rFonts w:hint="eastAsia" w:ascii="宋体" w:hAnsi="宋体" w:cs="宋体"/>
          <w:b w:val="0"/>
          <w:sz w:val="24"/>
          <w:szCs w:val="24"/>
        </w:rPr>
        <w:t>17.2 不可抗力的通知</w:t>
      </w:r>
      <w:bookmarkEnd w:id="460"/>
    </w:p>
    <w:bookmarkEnd w:id="461"/>
    <w:bookmarkEnd w:id="462"/>
    <w:bookmarkEnd w:id="463"/>
    <w:p w14:paraId="2E8353D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合同一方当事人遇到不可抗力事件，使其履行合同义务受到阻碍时，应立即通知合同另一方当事人和监理人，书面说明不可抗力和受阻碍的详细情况，并提供必要的证明。</w:t>
      </w:r>
    </w:p>
    <w:p w14:paraId="7F3551C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14:paraId="3B8F08E0">
      <w:pPr>
        <w:pStyle w:val="6"/>
        <w:spacing w:before="120" w:after="120" w:line="312" w:lineRule="auto"/>
        <w:ind w:firstLine="480" w:firstLineChars="200"/>
        <w:rPr>
          <w:rFonts w:hint="eastAsia" w:ascii="宋体" w:hAnsi="宋体" w:cs="宋体"/>
          <w:b w:val="0"/>
          <w:sz w:val="24"/>
          <w:szCs w:val="24"/>
        </w:rPr>
      </w:pPr>
      <w:bookmarkStart w:id="464" w:name="_Toc351203610"/>
      <w:bookmarkStart w:id="465" w:name="_Toc296503119"/>
      <w:bookmarkStart w:id="466" w:name="_Toc337558826"/>
      <w:bookmarkStart w:id="467" w:name="_Toc296346620"/>
      <w:r>
        <w:rPr>
          <w:rFonts w:hint="eastAsia" w:ascii="宋体" w:hAnsi="宋体" w:cs="宋体"/>
          <w:b w:val="0"/>
          <w:sz w:val="24"/>
          <w:szCs w:val="24"/>
        </w:rPr>
        <w:t>17.3 不可抗力后果的承担</w:t>
      </w:r>
      <w:bookmarkEnd w:id="464"/>
    </w:p>
    <w:bookmarkEnd w:id="465"/>
    <w:bookmarkEnd w:id="466"/>
    <w:bookmarkEnd w:id="467"/>
    <w:p w14:paraId="79543B3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17.3.1 不可抗力引起的后果及造成的损失由合同当事人按照法律规定及合同约定各自承担。不可抗力发生前已完成的工程应当按照合同约定进行计量支付。</w:t>
      </w:r>
    </w:p>
    <w:p w14:paraId="2F71600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17.3.2 不可抗力导致的人员伤亡、财产损失、费用增加和（或）工期延误等后果，由合同当事人按以下原则承担：</w:t>
      </w:r>
    </w:p>
    <w:p w14:paraId="2B7E213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（1）永久工程、已运至施工现场的材料和工程设备的损坏，以及因工程损坏造成的第三人人员伤亡和财产损失由发包人承担；</w:t>
      </w:r>
    </w:p>
    <w:p w14:paraId="20CC528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（2）承包人施工设备的损坏由承包人承担；</w:t>
      </w:r>
    </w:p>
    <w:p w14:paraId="5986FD4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（3）发包人和承包人承担各自人员伤亡和财产的损失；</w:t>
      </w:r>
    </w:p>
    <w:p w14:paraId="2AB0614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B9055E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（5）因不可抗力引起或将引起工期延误，发包人要求赶工的，由此增加的赶工费用由发包人承担；</w:t>
      </w:r>
    </w:p>
    <w:p w14:paraId="7B3D585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（6）承包人在停工期间按照发包人要求照管、清理和修复工程的费用由发包人承担。</w:t>
      </w:r>
    </w:p>
    <w:p w14:paraId="7B72C30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不可抗力发生后，合同当事人均应采取措施尽量避免和减少损失的扩大，任何一方当事人没有采取有效措施导致损失扩大的，应对扩大的损失承担责任。</w:t>
      </w:r>
    </w:p>
    <w:p w14:paraId="7CB0605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因合同一方迟延履行合同义务，在迟延履行期间遭遇不可抗力的，不免除其违约责任。</w:t>
      </w:r>
    </w:p>
    <w:p w14:paraId="156C0AF9">
      <w:pPr>
        <w:pStyle w:val="6"/>
        <w:spacing w:before="120" w:after="120" w:line="312" w:lineRule="auto"/>
        <w:ind w:firstLine="480" w:firstLineChars="200"/>
        <w:rPr>
          <w:rFonts w:hint="eastAsia" w:ascii="宋体" w:hAnsi="宋体" w:cs="宋体"/>
          <w:b w:val="0"/>
          <w:sz w:val="24"/>
          <w:szCs w:val="24"/>
        </w:rPr>
      </w:pPr>
      <w:bookmarkStart w:id="468" w:name="_Toc351203611"/>
      <w:bookmarkStart w:id="469" w:name="_Toc337558827"/>
      <w:r>
        <w:rPr>
          <w:rFonts w:hint="eastAsia" w:ascii="宋体" w:hAnsi="宋体" w:cs="宋体"/>
          <w:b w:val="0"/>
          <w:sz w:val="24"/>
          <w:szCs w:val="24"/>
        </w:rPr>
        <w:t>17.4 因不可抗力解除合同</w:t>
      </w:r>
      <w:bookmarkEnd w:id="468"/>
    </w:p>
    <w:bookmarkEnd w:id="469"/>
    <w:p w14:paraId="6CEDBC8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因不可抗力导致合同无法履行连续超过84天或累计超过140天的，发包人和承包人均有权解除合同。合同解除后，由双方当事人按照第4.4款〔商定或确定〕商定或确定发包人应支付的款项，该款项包括：</w:t>
      </w:r>
    </w:p>
    <w:p w14:paraId="7767AC7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（1）合同解除前承包人已完成工作的价款；</w:t>
      </w:r>
    </w:p>
    <w:p w14:paraId="5F4F338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（2）承包人为工程订购的并已交付给承包人，或承包人有责任接受交付的材料、工程设备和其他物品的价款；</w:t>
      </w:r>
    </w:p>
    <w:p w14:paraId="7C77CE9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（3）发包人要求承包人退货或解除订货合同而产生的费用，或因不能退货或解除合同而产生的损失；</w:t>
      </w:r>
    </w:p>
    <w:p w14:paraId="1B3CE12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（4）承包人撤离施工现场以及遣散承包人人员的费用；</w:t>
      </w:r>
    </w:p>
    <w:p w14:paraId="09956F0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（5）按照合同约定在合同解除前应支付给承包人的其他款项；</w:t>
      </w:r>
    </w:p>
    <w:p w14:paraId="44D22B2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（6）扣减承包人按照合同约定应向发包人支付的款项；</w:t>
      </w:r>
    </w:p>
    <w:p w14:paraId="4DCF34F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（7）双方商定或确定的其他款项。</w:t>
      </w:r>
    </w:p>
    <w:p w14:paraId="212EC1F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除专用合同条款另有约定外，合同解除后，发包人应在商定或确定上述款项后28天内完成上述款项的支付。</w:t>
      </w:r>
    </w:p>
    <w:p w14:paraId="19D4E8D8">
      <w:pPr>
        <w:pStyle w:val="5"/>
        <w:spacing w:before="120" w:after="120" w:line="312" w:lineRule="auto"/>
        <w:rPr>
          <w:rFonts w:hint="eastAsia"/>
          <w:b w:val="0"/>
          <w:sz w:val="24"/>
          <w:szCs w:val="24"/>
        </w:rPr>
      </w:pPr>
      <w:bookmarkStart w:id="470" w:name="_Toc351203612"/>
      <w:bookmarkStart w:id="471" w:name="_Toc296503120"/>
      <w:bookmarkStart w:id="472" w:name="_Toc296346621"/>
      <w:bookmarkStart w:id="473" w:name="_Toc337558828"/>
      <w:r>
        <w:rPr>
          <w:rFonts w:hint="eastAsia"/>
          <w:b w:val="0"/>
          <w:sz w:val="24"/>
          <w:szCs w:val="24"/>
        </w:rPr>
        <w:t>18. 保险</w:t>
      </w:r>
      <w:bookmarkEnd w:id="470"/>
    </w:p>
    <w:bookmarkEnd w:id="471"/>
    <w:bookmarkEnd w:id="472"/>
    <w:bookmarkEnd w:id="473"/>
    <w:p w14:paraId="17F56975">
      <w:pPr>
        <w:pStyle w:val="6"/>
        <w:spacing w:before="120" w:after="120" w:line="312" w:lineRule="auto"/>
        <w:ind w:firstLine="480" w:firstLineChars="200"/>
        <w:rPr>
          <w:rFonts w:hint="eastAsia" w:ascii="宋体" w:hAnsi="宋体" w:cs="宋体"/>
          <w:b w:val="0"/>
          <w:sz w:val="24"/>
          <w:szCs w:val="24"/>
        </w:rPr>
      </w:pPr>
      <w:bookmarkStart w:id="474" w:name="_Toc351203613"/>
      <w:bookmarkStart w:id="475" w:name="_Toc296503121"/>
      <w:bookmarkStart w:id="476" w:name="_Toc296346622"/>
      <w:bookmarkStart w:id="477" w:name="_Toc337558829"/>
      <w:r>
        <w:rPr>
          <w:rFonts w:hint="eastAsia" w:ascii="宋体" w:hAnsi="宋体" w:cs="宋体"/>
          <w:b w:val="0"/>
          <w:sz w:val="24"/>
          <w:szCs w:val="24"/>
        </w:rPr>
        <w:t>18.1 工程保险</w:t>
      </w:r>
      <w:bookmarkEnd w:id="474"/>
    </w:p>
    <w:bookmarkEnd w:id="475"/>
    <w:bookmarkEnd w:id="476"/>
    <w:bookmarkEnd w:id="477"/>
    <w:p w14:paraId="3CDB6FD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除专用合同条款另有约定外，发包人应投保建筑工程一切险或安装工程一切险；发包人委托承包人投保的，因投保产生的保险费和其他相关费用由发包人承担。</w:t>
      </w:r>
    </w:p>
    <w:p w14:paraId="495D7540">
      <w:pPr>
        <w:pStyle w:val="6"/>
        <w:spacing w:before="120" w:after="120" w:line="312" w:lineRule="auto"/>
        <w:ind w:firstLine="480" w:firstLineChars="200"/>
        <w:rPr>
          <w:rFonts w:hint="eastAsia" w:ascii="宋体" w:hAnsi="宋体" w:cs="宋体"/>
          <w:b w:val="0"/>
          <w:sz w:val="24"/>
          <w:szCs w:val="24"/>
        </w:rPr>
      </w:pPr>
      <w:bookmarkStart w:id="478" w:name="_Toc351203614"/>
      <w:bookmarkStart w:id="479" w:name="_Toc337558830"/>
      <w:bookmarkStart w:id="480" w:name="_Toc296346623"/>
      <w:bookmarkStart w:id="481" w:name="_Toc296503122"/>
      <w:r>
        <w:rPr>
          <w:rFonts w:hint="eastAsia" w:ascii="宋体" w:hAnsi="宋体" w:cs="宋体"/>
          <w:b w:val="0"/>
          <w:sz w:val="24"/>
          <w:szCs w:val="24"/>
        </w:rPr>
        <w:t>18.2 工伤保险</w:t>
      </w:r>
      <w:bookmarkEnd w:id="478"/>
    </w:p>
    <w:bookmarkEnd w:id="479"/>
    <w:bookmarkEnd w:id="480"/>
    <w:bookmarkEnd w:id="481"/>
    <w:p w14:paraId="2167E74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18.2.1 发包人应依照法律规定参加工伤保险。</w:t>
      </w:r>
    </w:p>
    <w:p w14:paraId="2A2140A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18.2.2 承包人应依照法律规定参加工伤保险，并为其履行合同的全部员工办理工伤保险，缴纳工伤保险费，并要求分包人及由承包人为履行合同聘请的第三方依法参加工伤保险。</w:t>
      </w:r>
    </w:p>
    <w:p w14:paraId="58BA0BAD">
      <w:pPr>
        <w:pStyle w:val="6"/>
        <w:spacing w:before="120" w:after="120" w:line="312" w:lineRule="auto"/>
        <w:ind w:firstLine="480" w:firstLineChars="200"/>
        <w:rPr>
          <w:rFonts w:hint="eastAsia" w:ascii="宋体" w:hAnsi="宋体" w:cs="宋体"/>
          <w:b w:val="0"/>
          <w:sz w:val="24"/>
          <w:szCs w:val="24"/>
        </w:rPr>
      </w:pPr>
      <w:bookmarkStart w:id="482" w:name="_Toc351203615"/>
      <w:bookmarkStart w:id="483" w:name="_Toc337558831"/>
      <w:bookmarkStart w:id="484" w:name="_Toc296346626"/>
      <w:bookmarkStart w:id="485" w:name="_Toc296503125"/>
      <w:r>
        <w:rPr>
          <w:rFonts w:hint="eastAsia" w:ascii="宋体" w:hAnsi="宋体" w:cs="宋体"/>
          <w:b w:val="0"/>
          <w:sz w:val="24"/>
          <w:szCs w:val="24"/>
        </w:rPr>
        <w:t>18.3其他保险</w:t>
      </w:r>
      <w:bookmarkEnd w:id="482"/>
    </w:p>
    <w:bookmarkEnd w:id="483"/>
    <w:bookmarkEnd w:id="484"/>
    <w:bookmarkEnd w:id="485"/>
    <w:p w14:paraId="745ED0D9">
      <w:pPr>
        <w:spacing w:line="312" w:lineRule="auto"/>
        <w:ind w:firstLine="480" w:firstLineChars="200"/>
        <w:jc w:val="left"/>
        <w:rPr>
          <w:rFonts w:hint="eastAsia" w:ascii="宋体" w:hAnsi="宋体" w:cs="宋体"/>
          <w:sz w:val="24"/>
        </w:rPr>
      </w:pPr>
      <w:r>
        <w:rPr>
          <w:rFonts w:hint="eastAsia" w:ascii="宋体" w:hAnsi="宋体" w:cs="宋体"/>
          <w:sz w:val="24"/>
        </w:rPr>
        <w:t>发包人和承包人可以为其施工现场的全部人员办理意外伤害保险并支付保险费，包括其员工及为履行合同聘请的第三方的人员，具体事项由合同当事人在专用合同条款约定。</w:t>
      </w:r>
    </w:p>
    <w:p w14:paraId="747F0F56">
      <w:pPr>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除专用合同条款另有约定外，承包人应为其施工设备等办理财产保险。</w:t>
      </w:r>
    </w:p>
    <w:p w14:paraId="497C55D8">
      <w:pPr>
        <w:pStyle w:val="6"/>
        <w:spacing w:before="120" w:after="120" w:line="312" w:lineRule="auto"/>
        <w:ind w:firstLine="480" w:firstLineChars="200"/>
        <w:rPr>
          <w:rFonts w:hint="eastAsia" w:ascii="宋体" w:hAnsi="宋体" w:cs="宋体"/>
          <w:b w:val="0"/>
          <w:sz w:val="24"/>
          <w:szCs w:val="24"/>
        </w:rPr>
      </w:pPr>
      <w:bookmarkStart w:id="486" w:name="_Toc351203616"/>
      <w:r>
        <w:rPr>
          <w:rFonts w:hint="eastAsia" w:ascii="宋体" w:hAnsi="宋体" w:cs="宋体"/>
          <w:b w:val="0"/>
          <w:sz w:val="24"/>
          <w:szCs w:val="24"/>
        </w:rPr>
        <w:t>18.4持续保险</w:t>
      </w:r>
      <w:bookmarkEnd w:id="486"/>
    </w:p>
    <w:p w14:paraId="41F62632">
      <w:pPr>
        <w:spacing w:line="312" w:lineRule="auto"/>
        <w:ind w:firstLine="480" w:firstLineChars="200"/>
        <w:jc w:val="left"/>
        <w:rPr>
          <w:rFonts w:hint="eastAsia" w:ascii="宋体" w:hAnsi="宋体" w:cs="宋体"/>
          <w:sz w:val="24"/>
        </w:rPr>
      </w:pPr>
      <w:r>
        <w:rPr>
          <w:rFonts w:hint="eastAsia" w:ascii="宋体" w:hAnsi="宋体" w:cs="宋体"/>
          <w:sz w:val="24"/>
        </w:rPr>
        <w:t>合同当事人应与保险人保持联系，使保险人能够随时了解工程实施中的变动，并确保按保险合同条款要求持续保险。</w:t>
      </w:r>
    </w:p>
    <w:p w14:paraId="1B242721">
      <w:pPr>
        <w:pStyle w:val="6"/>
        <w:spacing w:before="120" w:after="120" w:line="312" w:lineRule="auto"/>
        <w:ind w:firstLine="480" w:firstLineChars="200"/>
        <w:rPr>
          <w:rFonts w:hint="eastAsia" w:ascii="宋体" w:hAnsi="宋体" w:cs="宋体"/>
          <w:b w:val="0"/>
          <w:sz w:val="24"/>
          <w:szCs w:val="24"/>
        </w:rPr>
      </w:pPr>
      <w:bookmarkStart w:id="487" w:name="_Toc351203617"/>
      <w:bookmarkStart w:id="488" w:name="_Toc337558832"/>
      <w:bookmarkStart w:id="489" w:name="_Toc296503126"/>
      <w:bookmarkStart w:id="490" w:name="_Toc296346627"/>
      <w:r>
        <w:rPr>
          <w:rFonts w:hint="eastAsia" w:ascii="宋体" w:hAnsi="宋体" w:cs="宋体"/>
          <w:b w:val="0"/>
          <w:sz w:val="24"/>
          <w:szCs w:val="24"/>
        </w:rPr>
        <w:t>18.5 保险凭证</w:t>
      </w:r>
      <w:bookmarkEnd w:id="487"/>
    </w:p>
    <w:bookmarkEnd w:id="488"/>
    <w:bookmarkEnd w:id="489"/>
    <w:bookmarkEnd w:id="490"/>
    <w:p w14:paraId="54FDE418">
      <w:pPr>
        <w:spacing w:line="312" w:lineRule="auto"/>
        <w:ind w:firstLine="480" w:firstLineChars="200"/>
        <w:jc w:val="left"/>
        <w:rPr>
          <w:rFonts w:hint="eastAsia" w:ascii="宋体" w:hAnsi="宋体" w:cs="宋体"/>
          <w:sz w:val="24"/>
        </w:rPr>
      </w:pPr>
      <w:r>
        <w:rPr>
          <w:rFonts w:hint="eastAsia" w:ascii="宋体" w:hAnsi="宋体" w:cs="宋体"/>
          <w:sz w:val="24"/>
        </w:rPr>
        <w:t>合同当事人应及时向另一方当事人提交其已投保的各项保险的凭证和保险单复印件。</w:t>
      </w:r>
    </w:p>
    <w:p w14:paraId="2B245505">
      <w:pPr>
        <w:pStyle w:val="6"/>
        <w:spacing w:before="120" w:after="120" w:line="312" w:lineRule="auto"/>
        <w:ind w:firstLine="480" w:firstLineChars="200"/>
        <w:rPr>
          <w:rFonts w:hint="eastAsia" w:ascii="宋体" w:hAnsi="宋体" w:cs="宋体"/>
          <w:b w:val="0"/>
          <w:sz w:val="24"/>
          <w:szCs w:val="24"/>
        </w:rPr>
      </w:pPr>
      <w:bookmarkStart w:id="491" w:name="_Toc351203618"/>
      <w:bookmarkStart w:id="492" w:name="_Toc296503127"/>
      <w:bookmarkStart w:id="493" w:name="_Toc296346628"/>
      <w:bookmarkStart w:id="494" w:name="_Toc337558833"/>
      <w:r>
        <w:rPr>
          <w:rFonts w:hint="eastAsia" w:ascii="宋体" w:hAnsi="宋体" w:cs="宋体"/>
          <w:b w:val="0"/>
          <w:sz w:val="24"/>
          <w:szCs w:val="24"/>
        </w:rPr>
        <w:t>18.6 未按约定投保的补救</w:t>
      </w:r>
      <w:bookmarkEnd w:id="491"/>
    </w:p>
    <w:bookmarkEnd w:id="492"/>
    <w:bookmarkEnd w:id="493"/>
    <w:bookmarkEnd w:id="494"/>
    <w:p w14:paraId="2BDE74AA">
      <w:pPr>
        <w:spacing w:line="312" w:lineRule="auto"/>
        <w:ind w:firstLine="480" w:firstLineChars="200"/>
        <w:jc w:val="left"/>
        <w:rPr>
          <w:rFonts w:hint="eastAsia" w:ascii="宋体" w:hAnsi="宋体" w:cs="宋体"/>
          <w:sz w:val="24"/>
        </w:rPr>
      </w:pPr>
      <w:r>
        <w:rPr>
          <w:rFonts w:hint="eastAsia" w:ascii="宋体" w:hAnsi="宋体" w:cs="宋体"/>
          <w:sz w:val="24"/>
        </w:rPr>
        <w:t>18.6.1发包人未按合同约定办理保险，或未能使保险持续有效的，则承包人可代为办理，所需费用由发包人承担。发包人未按合同约定办理保险，导致未能得到足额赔偿的，由发包人负责补足。</w:t>
      </w:r>
    </w:p>
    <w:p w14:paraId="102E5B0D">
      <w:pPr>
        <w:spacing w:line="312" w:lineRule="auto"/>
        <w:ind w:firstLine="480" w:firstLineChars="200"/>
        <w:jc w:val="left"/>
        <w:rPr>
          <w:rFonts w:hint="eastAsia" w:ascii="宋体" w:hAnsi="宋体" w:cs="宋体"/>
          <w:sz w:val="24"/>
        </w:rPr>
      </w:pPr>
      <w:r>
        <w:rPr>
          <w:rFonts w:hint="eastAsia" w:ascii="宋体" w:hAnsi="宋体" w:cs="宋体"/>
          <w:sz w:val="24"/>
        </w:rPr>
        <w:t>18.6.2承包人未按合同约定办理保险，或未能使保险持续有效的，则发包人可代为办理，所需费用由承包人承担。承包人未按合同约定办理保险，导致未能得到足额赔偿的，由承包人负责补足。</w:t>
      </w:r>
    </w:p>
    <w:p w14:paraId="5D67CB87">
      <w:pPr>
        <w:pStyle w:val="6"/>
        <w:spacing w:before="120" w:after="120" w:line="312" w:lineRule="auto"/>
        <w:ind w:firstLine="480" w:firstLineChars="200"/>
        <w:rPr>
          <w:rFonts w:hint="eastAsia" w:ascii="宋体" w:hAnsi="宋体" w:cs="宋体"/>
          <w:b w:val="0"/>
          <w:sz w:val="24"/>
          <w:szCs w:val="24"/>
        </w:rPr>
      </w:pPr>
      <w:bookmarkStart w:id="495" w:name="_Toc351203619"/>
      <w:bookmarkStart w:id="496" w:name="_Toc337558834"/>
      <w:r>
        <w:rPr>
          <w:rFonts w:hint="eastAsia" w:ascii="宋体" w:hAnsi="宋体" w:cs="宋体"/>
          <w:b w:val="0"/>
          <w:sz w:val="24"/>
          <w:szCs w:val="24"/>
        </w:rPr>
        <w:t>18.7 通知义务</w:t>
      </w:r>
      <w:bookmarkEnd w:id="495"/>
    </w:p>
    <w:bookmarkEnd w:id="496"/>
    <w:p w14:paraId="71F7D0A8">
      <w:pPr>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除专用合同条款另有约定外，发包人变更除工伤保险之外的保险合同时，应事先征得承包人同意，并通知监理人；承包人变更除工伤保险之外的保险合同时，应事先征得发包人同意，并通知监理人。</w:t>
      </w:r>
    </w:p>
    <w:p w14:paraId="4B0CBC56">
      <w:pPr>
        <w:spacing w:line="312" w:lineRule="auto"/>
        <w:ind w:firstLine="480" w:firstLineChars="200"/>
        <w:jc w:val="left"/>
        <w:rPr>
          <w:rFonts w:hint="eastAsia" w:ascii="宋体" w:hAnsi="宋体" w:cs="宋体"/>
          <w:sz w:val="24"/>
        </w:rPr>
      </w:pPr>
      <w:r>
        <w:rPr>
          <w:rFonts w:hint="eastAsia" w:ascii="宋体" w:hAnsi="宋体" w:cs="宋体"/>
          <w:sz w:val="24"/>
        </w:rPr>
        <w:t>保险事故发生时，投保人应按照保险合同规定的条件和期限及时向保险人报告。发包人和承包人应当在知道保险事故发生后及时通知对方。</w:t>
      </w:r>
    </w:p>
    <w:p w14:paraId="42A1FA19">
      <w:pPr>
        <w:pStyle w:val="5"/>
        <w:spacing w:before="120" w:after="120" w:line="312" w:lineRule="auto"/>
        <w:rPr>
          <w:rFonts w:hint="eastAsia"/>
          <w:b w:val="0"/>
          <w:sz w:val="24"/>
          <w:szCs w:val="24"/>
        </w:rPr>
      </w:pPr>
      <w:bookmarkStart w:id="497" w:name="_Toc351203620"/>
      <w:bookmarkStart w:id="498" w:name="_Toc296346641"/>
      <w:bookmarkStart w:id="499" w:name="_Toc296503140"/>
      <w:bookmarkStart w:id="500" w:name="_Toc337558835"/>
      <w:r>
        <w:rPr>
          <w:rFonts w:hint="eastAsia"/>
          <w:b w:val="0"/>
          <w:sz w:val="24"/>
          <w:szCs w:val="24"/>
        </w:rPr>
        <w:t>19. 索赔</w:t>
      </w:r>
      <w:bookmarkEnd w:id="497"/>
    </w:p>
    <w:bookmarkEnd w:id="498"/>
    <w:bookmarkEnd w:id="499"/>
    <w:bookmarkEnd w:id="500"/>
    <w:p w14:paraId="5B04562A">
      <w:pPr>
        <w:pStyle w:val="6"/>
        <w:spacing w:before="120" w:after="120" w:line="312" w:lineRule="auto"/>
        <w:ind w:firstLine="480" w:firstLineChars="200"/>
        <w:rPr>
          <w:rFonts w:hint="eastAsia" w:ascii="宋体" w:hAnsi="宋体" w:cs="宋体"/>
          <w:b w:val="0"/>
          <w:sz w:val="24"/>
          <w:szCs w:val="24"/>
        </w:rPr>
      </w:pPr>
      <w:bookmarkStart w:id="501" w:name="_Toc351203621"/>
      <w:bookmarkStart w:id="502" w:name="_Toc337558836"/>
      <w:bookmarkStart w:id="503" w:name="_Toc296503141"/>
      <w:bookmarkStart w:id="504" w:name="_Toc296346642"/>
      <w:r>
        <w:rPr>
          <w:rFonts w:hint="eastAsia" w:ascii="宋体" w:hAnsi="宋体" w:cs="宋体"/>
          <w:b w:val="0"/>
          <w:sz w:val="24"/>
          <w:szCs w:val="24"/>
        </w:rPr>
        <w:t>19.1承包人的索赔</w:t>
      </w:r>
      <w:bookmarkEnd w:id="501"/>
    </w:p>
    <w:bookmarkEnd w:id="502"/>
    <w:bookmarkEnd w:id="503"/>
    <w:bookmarkEnd w:id="504"/>
    <w:p w14:paraId="506A753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根据合同约定，承包人认为有权得到追加付款和（或）延长工期的，应按以下程序向发包人提出索赔：</w:t>
      </w:r>
    </w:p>
    <w:p w14:paraId="1F2028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FBCEA0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（2）承包人应在发出索赔意向通知书后28天内，向监理人正式递交索赔报告；索赔报告应详细说明索赔理由以及要求追加的付款金额和（或）延长的工期，并附必要的记录和证明材料；</w:t>
      </w:r>
    </w:p>
    <w:p w14:paraId="7D6B842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（3）索赔事件具有持续影响的，承包人应按合理时间间隔继续递交延续索赔通知，说明持续影响的实际情况和记录，列出累计的追加付款金额和（或）工期延长天数；</w:t>
      </w:r>
    </w:p>
    <w:p w14:paraId="20B9DC6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（4）在索赔事件影响结束后28天内，承包人应向监理人递交最终索赔报告，说明最终要求索赔的追加付款金额和（或）延长的工期，并附必要的记录和证明材料。</w:t>
      </w:r>
    </w:p>
    <w:p w14:paraId="15494E96">
      <w:pPr>
        <w:pStyle w:val="6"/>
        <w:spacing w:before="120" w:after="120" w:line="312" w:lineRule="auto"/>
        <w:ind w:firstLine="480" w:firstLineChars="200"/>
        <w:rPr>
          <w:rFonts w:hint="eastAsia" w:ascii="宋体" w:hAnsi="宋体" w:cs="宋体"/>
          <w:b w:val="0"/>
          <w:sz w:val="24"/>
          <w:szCs w:val="24"/>
        </w:rPr>
      </w:pPr>
      <w:bookmarkStart w:id="505" w:name="_Toc351203622"/>
      <w:bookmarkStart w:id="506" w:name="_Toc296503142"/>
      <w:bookmarkStart w:id="507" w:name="_Toc296346643"/>
      <w:bookmarkStart w:id="508" w:name="_Toc337558837"/>
      <w:r>
        <w:rPr>
          <w:rFonts w:hint="eastAsia" w:ascii="宋体" w:hAnsi="宋体" w:cs="宋体"/>
          <w:b w:val="0"/>
          <w:sz w:val="24"/>
          <w:szCs w:val="24"/>
        </w:rPr>
        <w:t>19.2 对承包人索赔的处理</w:t>
      </w:r>
      <w:bookmarkEnd w:id="505"/>
    </w:p>
    <w:bookmarkEnd w:id="506"/>
    <w:bookmarkEnd w:id="507"/>
    <w:bookmarkEnd w:id="508"/>
    <w:p w14:paraId="38588AF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对承包人索赔的处理如下：</w:t>
      </w:r>
    </w:p>
    <w:p w14:paraId="37D6E6B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（1）监理人应在收到索赔报告后14天内完成审查并报送发包人。监理人对索赔报告存在异议的，有权要求承包人提交全部原始记录副本；</w:t>
      </w:r>
    </w:p>
    <w:p w14:paraId="4A5EBA6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（2）发包人应在监理人收到索赔报告或有关索赔的进一步证明材料后的28天内，由监理人向承包人出具经发包人签认的索赔处理结果。发包人逾期答复的，则视为认可承包人的索赔要求；</w:t>
      </w:r>
    </w:p>
    <w:p w14:paraId="2F22B24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（3）承包人接受索赔处理结果的，索赔款项在当期进度款中进行支付；承包人不接受索赔处理结果的，按照第20条〔争议解决〕约定处理。</w:t>
      </w:r>
    </w:p>
    <w:p w14:paraId="611F117B">
      <w:pPr>
        <w:pStyle w:val="6"/>
        <w:spacing w:before="120" w:after="120" w:line="312" w:lineRule="auto"/>
        <w:ind w:firstLine="480" w:firstLineChars="200"/>
        <w:rPr>
          <w:rFonts w:hint="eastAsia" w:ascii="宋体" w:hAnsi="宋体" w:cs="宋体"/>
          <w:b w:val="0"/>
          <w:sz w:val="24"/>
          <w:szCs w:val="24"/>
        </w:rPr>
      </w:pPr>
      <w:bookmarkStart w:id="509" w:name="_Toc351203623"/>
      <w:bookmarkStart w:id="510" w:name="_Toc296346644"/>
      <w:bookmarkStart w:id="511" w:name="_Toc337558838"/>
      <w:bookmarkStart w:id="512" w:name="_Toc296503143"/>
      <w:r>
        <w:rPr>
          <w:rFonts w:hint="eastAsia" w:ascii="宋体" w:hAnsi="宋体" w:cs="宋体"/>
          <w:b w:val="0"/>
          <w:sz w:val="24"/>
          <w:szCs w:val="24"/>
        </w:rPr>
        <w:t>19.3发包人的索赔</w:t>
      </w:r>
      <w:bookmarkEnd w:id="509"/>
    </w:p>
    <w:bookmarkEnd w:id="510"/>
    <w:bookmarkEnd w:id="511"/>
    <w:bookmarkEnd w:id="512"/>
    <w:p w14:paraId="7FEE8FE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根据合同约定，发包人认为有权得到赔付金额和（或）延长缺陷责任期的，监理人应向承包人发出通知并附有详细的证明。</w:t>
      </w:r>
    </w:p>
    <w:p w14:paraId="7E1339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29E5AC0">
      <w:pPr>
        <w:pStyle w:val="6"/>
        <w:spacing w:before="120" w:after="120" w:line="312" w:lineRule="auto"/>
        <w:ind w:firstLine="480" w:firstLineChars="200"/>
        <w:rPr>
          <w:rFonts w:hint="eastAsia" w:ascii="宋体" w:hAnsi="宋体" w:cs="宋体"/>
          <w:b w:val="0"/>
          <w:sz w:val="24"/>
          <w:szCs w:val="24"/>
        </w:rPr>
      </w:pPr>
      <w:bookmarkStart w:id="513" w:name="_Toc351203624"/>
      <w:bookmarkStart w:id="514" w:name="_Toc337558839"/>
      <w:bookmarkStart w:id="515" w:name="_Toc296346645"/>
      <w:bookmarkStart w:id="516" w:name="_Toc296503144"/>
      <w:r>
        <w:rPr>
          <w:rFonts w:hint="eastAsia" w:ascii="宋体" w:hAnsi="宋体" w:cs="宋体"/>
          <w:b w:val="0"/>
          <w:sz w:val="24"/>
          <w:szCs w:val="24"/>
        </w:rPr>
        <w:t>19.4 对发包人索赔的处理</w:t>
      </w:r>
      <w:bookmarkEnd w:id="513"/>
    </w:p>
    <w:bookmarkEnd w:id="514"/>
    <w:bookmarkEnd w:id="515"/>
    <w:bookmarkEnd w:id="516"/>
    <w:p w14:paraId="500C3E6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对发包人索赔的处理如下：</w:t>
      </w:r>
    </w:p>
    <w:p w14:paraId="00C300A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（1）承包人收到发包人提交的索赔报告后，应及时审查索赔报告的内容、查验发包人证明材料；</w:t>
      </w:r>
    </w:p>
    <w:p w14:paraId="53FC336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（2）承包人应在收到索赔报告或有关索赔的进一步证明材料后28天内，将索赔处理结果答复发包人。如果承包人未在上述期限内作出答复的，则视为对发包人索赔要求的认可；</w:t>
      </w:r>
    </w:p>
    <w:p w14:paraId="0D4D97A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（3）承包人接受索赔处理结果的，发包人可从应支付给承包人的合同价款中扣除赔付的金额或延长缺陷责任期；发包人不接受索赔处理结果的，按第20条〔争议解决〕约定处理。</w:t>
      </w:r>
    </w:p>
    <w:p w14:paraId="74BF58F9">
      <w:pPr>
        <w:pStyle w:val="6"/>
        <w:spacing w:before="120" w:after="120" w:line="312" w:lineRule="auto"/>
        <w:ind w:firstLine="480" w:firstLineChars="200"/>
        <w:rPr>
          <w:rFonts w:hint="eastAsia" w:ascii="宋体" w:hAnsi="宋体" w:cs="宋体"/>
          <w:b w:val="0"/>
          <w:sz w:val="24"/>
          <w:szCs w:val="24"/>
        </w:rPr>
      </w:pPr>
      <w:bookmarkStart w:id="517" w:name="_Toc351203625"/>
      <w:r>
        <w:rPr>
          <w:rFonts w:hint="eastAsia" w:ascii="宋体" w:hAnsi="宋体" w:cs="宋体"/>
          <w:b w:val="0"/>
          <w:sz w:val="24"/>
          <w:szCs w:val="24"/>
        </w:rPr>
        <w:t>19.5 提出索赔的期限</w:t>
      </w:r>
      <w:bookmarkEnd w:id="517"/>
    </w:p>
    <w:p w14:paraId="6BC545F6">
      <w:pPr>
        <w:spacing w:line="312" w:lineRule="auto"/>
        <w:ind w:firstLine="480" w:firstLineChars="200"/>
        <w:rPr>
          <w:rFonts w:hint="eastAsia" w:ascii="宋体" w:hAnsi="宋体" w:cs="宋体"/>
          <w:kern w:val="0"/>
          <w:sz w:val="24"/>
        </w:rPr>
      </w:pPr>
      <w:r>
        <w:rPr>
          <w:rFonts w:hint="eastAsia" w:ascii="宋体" w:hAnsi="宋体" w:cs="宋体"/>
          <w:kern w:val="0"/>
          <w:sz w:val="24"/>
        </w:rPr>
        <w:t>（1）承包人按第14.2款〔竣工结算审核〕约定接收竣工付款证书后，应被视为已无权再提出在工程接收证书颁发前所发生的任何索赔。</w:t>
      </w:r>
    </w:p>
    <w:p w14:paraId="0A19D1CD">
      <w:pPr>
        <w:spacing w:line="312" w:lineRule="auto"/>
        <w:ind w:firstLine="480" w:firstLineChars="200"/>
        <w:rPr>
          <w:rFonts w:hint="eastAsia" w:ascii="宋体" w:hAnsi="宋体" w:cs="宋体"/>
          <w:kern w:val="0"/>
          <w:sz w:val="24"/>
        </w:rPr>
      </w:pPr>
      <w:r>
        <w:rPr>
          <w:rFonts w:hint="eastAsia" w:ascii="宋体" w:hAnsi="宋体" w:cs="宋体"/>
          <w:kern w:val="0"/>
          <w:sz w:val="24"/>
        </w:rPr>
        <w:t>（2）承包人按第14.4款〔最终结清〕提交的最终结清申请单中，只限于提出工程接收证书颁发后发生的索赔。提出索赔的期限自接受最终结清证书时终止。</w:t>
      </w:r>
    </w:p>
    <w:p w14:paraId="1B925A73">
      <w:pPr>
        <w:pStyle w:val="5"/>
        <w:spacing w:before="120" w:after="120" w:line="288" w:lineRule="auto"/>
        <w:rPr>
          <w:rFonts w:hint="eastAsia"/>
          <w:b w:val="0"/>
          <w:sz w:val="24"/>
          <w:szCs w:val="24"/>
        </w:rPr>
      </w:pPr>
      <w:bookmarkStart w:id="518" w:name="_Toc351203626"/>
      <w:r>
        <w:rPr>
          <w:rFonts w:hint="eastAsia"/>
          <w:b w:val="0"/>
          <w:sz w:val="24"/>
          <w:szCs w:val="24"/>
        </w:rPr>
        <w:t>20</w:t>
      </w:r>
      <w:bookmarkStart w:id="519" w:name="_Toc296503146"/>
      <w:bookmarkStart w:id="520" w:name="_Toc337558840"/>
      <w:bookmarkStart w:id="521" w:name="_Toc296346647"/>
      <w:r>
        <w:rPr>
          <w:rFonts w:hint="eastAsia"/>
          <w:b w:val="0"/>
          <w:sz w:val="24"/>
          <w:szCs w:val="24"/>
        </w:rPr>
        <w:t>. 争议解决</w:t>
      </w:r>
      <w:bookmarkEnd w:id="518"/>
    </w:p>
    <w:bookmarkEnd w:id="519"/>
    <w:bookmarkEnd w:id="520"/>
    <w:bookmarkEnd w:id="521"/>
    <w:p w14:paraId="58A4B15D">
      <w:pPr>
        <w:pStyle w:val="6"/>
        <w:spacing w:before="120" w:after="120" w:line="288" w:lineRule="auto"/>
        <w:ind w:firstLine="480" w:firstLineChars="200"/>
        <w:rPr>
          <w:rFonts w:hint="eastAsia" w:ascii="宋体" w:hAnsi="宋体" w:cs="宋体"/>
          <w:b w:val="0"/>
          <w:sz w:val="24"/>
          <w:szCs w:val="24"/>
        </w:rPr>
      </w:pPr>
      <w:bookmarkStart w:id="522" w:name="_Toc351203627"/>
      <w:bookmarkStart w:id="523" w:name="_Toc296503147"/>
      <w:bookmarkStart w:id="524" w:name="_Toc337558841"/>
      <w:bookmarkStart w:id="525" w:name="_Toc296346648"/>
      <w:r>
        <w:rPr>
          <w:rFonts w:hint="eastAsia" w:ascii="宋体" w:hAnsi="宋体" w:cs="宋体"/>
          <w:b w:val="0"/>
          <w:sz w:val="24"/>
          <w:szCs w:val="24"/>
        </w:rPr>
        <w:t>20.1和解</w:t>
      </w:r>
      <w:bookmarkEnd w:id="522"/>
    </w:p>
    <w:bookmarkEnd w:id="523"/>
    <w:bookmarkEnd w:id="524"/>
    <w:bookmarkEnd w:id="525"/>
    <w:p w14:paraId="4135107B">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合同当事人可以就争议自行和解，自行和解达成协议的经双方签字并盖章后作为合同补充文件，双方均应遵照执行。</w:t>
      </w:r>
    </w:p>
    <w:p w14:paraId="2BC61467">
      <w:pPr>
        <w:pStyle w:val="6"/>
        <w:spacing w:before="120" w:after="120" w:line="288" w:lineRule="auto"/>
        <w:ind w:firstLine="480" w:firstLineChars="200"/>
        <w:rPr>
          <w:rFonts w:hint="eastAsia" w:ascii="宋体" w:hAnsi="宋体" w:cs="宋体"/>
          <w:b w:val="0"/>
          <w:sz w:val="24"/>
          <w:szCs w:val="24"/>
        </w:rPr>
      </w:pPr>
      <w:bookmarkStart w:id="526" w:name="_Toc351203628"/>
      <w:r>
        <w:rPr>
          <w:rFonts w:hint="eastAsia" w:ascii="宋体" w:hAnsi="宋体" w:cs="宋体"/>
          <w:b w:val="0"/>
          <w:sz w:val="24"/>
          <w:szCs w:val="24"/>
        </w:rPr>
        <w:t>20</w:t>
      </w:r>
      <w:bookmarkStart w:id="527" w:name="_Toc337558842"/>
      <w:bookmarkStart w:id="528" w:name="_Toc296503148"/>
      <w:bookmarkStart w:id="529" w:name="_Toc296346649"/>
      <w:r>
        <w:rPr>
          <w:rFonts w:hint="eastAsia" w:ascii="宋体" w:hAnsi="宋体" w:cs="宋体"/>
          <w:b w:val="0"/>
          <w:sz w:val="24"/>
          <w:szCs w:val="24"/>
        </w:rPr>
        <w:t>.2调解</w:t>
      </w:r>
      <w:bookmarkEnd w:id="526"/>
    </w:p>
    <w:bookmarkEnd w:id="527"/>
    <w:bookmarkEnd w:id="528"/>
    <w:bookmarkEnd w:id="529"/>
    <w:p w14:paraId="69098576">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合同当事人可以就争议请求建设行政主管部门、行业协会或其他第三方进行调解，调解达成协议的，经双方签字并盖章后作为合同补充文件，双方均应遵照执行。</w:t>
      </w:r>
    </w:p>
    <w:p w14:paraId="2D51FC1A">
      <w:pPr>
        <w:pStyle w:val="6"/>
        <w:spacing w:before="120" w:after="120" w:line="288" w:lineRule="auto"/>
        <w:ind w:firstLine="480" w:firstLineChars="200"/>
        <w:rPr>
          <w:rFonts w:hint="eastAsia" w:ascii="宋体" w:hAnsi="宋体" w:cs="宋体"/>
          <w:b w:val="0"/>
          <w:sz w:val="24"/>
          <w:szCs w:val="24"/>
        </w:rPr>
      </w:pPr>
      <w:bookmarkStart w:id="530" w:name="_Toc351203629"/>
      <w:bookmarkStart w:id="531" w:name="_Toc296503149"/>
      <w:bookmarkStart w:id="532" w:name="_Toc296346650"/>
      <w:bookmarkStart w:id="533" w:name="_Toc337558843"/>
      <w:r>
        <w:rPr>
          <w:rFonts w:hint="eastAsia" w:ascii="宋体" w:hAnsi="宋体" w:cs="宋体"/>
          <w:b w:val="0"/>
          <w:sz w:val="24"/>
          <w:szCs w:val="24"/>
        </w:rPr>
        <w:t>20.3争议评审</w:t>
      </w:r>
      <w:bookmarkEnd w:id="530"/>
    </w:p>
    <w:bookmarkEnd w:id="531"/>
    <w:bookmarkEnd w:id="532"/>
    <w:bookmarkEnd w:id="533"/>
    <w:p w14:paraId="3D412B11">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 xml:space="preserve">合同当事人在专用合同条款中约定采取争议评审方式解决争议以及评审规则，并按下列约定执行： </w:t>
      </w:r>
    </w:p>
    <w:p w14:paraId="081DF8CE">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20.3.1 争议评审小组的确定</w:t>
      </w:r>
    </w:p>
    <w:p w14:paraId="00DEB136">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合同当事人可以共同选择一名或三名争议评审员，组成争议评审小组。除专用合同条款另有约定外，合同当事人应当自合同签订后28天内，或者争议发生后14天内，选定争议评审员。</w:t>
      </w:r>
    </w:p>
    <w:p w14:paraId="7A4104D5">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B6363A1">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除专用合同条款另有约定外，评审员报酬由发包人和承包人各承担一半。</w:t>
      </w:r>
    </w:p>
    <w:p w14:paraId="1EF1ED6F">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20.3.2 争议评审小组的决定</w:t>
      </w:r>
    </w:p>
    <w:p w14:paraId="422E7BEA">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C548984">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20.3.3 争议评审小组决定的效力</w:t>
      </w:r>
    </w:p>
    <w:p w14:paraId="222C47B3">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争议评审小组作出的书面决定经合同当事人签字确认后，对双方具有约束力，双方应遵照执行。</w:t>
      </w:r>
    </w:p>
    <w:p w14:paraId="17C76117">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任何一方当事人不接受争议评审小组决定或不履行争议评审小组决定的，双方可选择采用其他争议解决方式。</w:t>
      </w:r>
    </w:p>
    <w:p w14:paraId="56E478A2">
      <w:pPr>
        <w:pStyle w:val="6"/>
        <w:spacing w:before="120" w:after="120" w:line="288" w:lineRule="auto"/>
        <w:ind w:firstLine="480" w:firstLineChars="200"/>
        <w:rPr>
          <w:rFonts w:hint="eastAsia" w:ascii="宋体" w:hAnsi="宋体" w:cs="宋体"/>
          <w:b w:val="0"/>
          <w:sz w:val="24"/>
          <w:szCs w:val="24"/>
        </w:rPr>
      </w:pPr>
      <w:bookmarkStart w:id="534" w:name="_Toc351203630"/>
      <w:bookmarkStart w:id="535" w:name="_Toc296503150"/>
      <w:bookmarkStart w:id="536" w:name="_Toc296346651"/>
      <w:bookmarkStart w:id="537" w:name="_Toc337558844"/>
      <w:r>
        <w:rPr>
          <w:rFonts w:hint="eastAsia" w:ascii="宋体" w:hAnsi="宋体" w:cs="宋体"/>
          <w:b w:val="0"/>
          <w:sz w:val="24"/>
          <w:szCs w:val="24"/>
        </w:rPr>
        <w:t>20.4仲裁或诉讼</w:t>
      </w:r>
      <w:bookmarkEnd w:id="534"/>
    </w:p>
    <w:bookmarkEnd w:id="535"/>
    <w:bookmarkEnd w:id="536"/>
    <w:bookmarkEnd w:id="537"/>
    <w:p w14:paraId="15F4D16B">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因合同及合同有关事项产生的争议，合同当事人可以在专用合同条款中约定以下一种方式解决争议：</w:t>
      </w:r>
    </w:p>
    <w:p w14:paraId="6C12C54B">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（1）向约定的仲裁委员会申请仲裁；</w:t>
      </w:r>
    </w:p>
    <w:p w14:paraId="2727BCC4">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（2）向有管辖权的人民法院起诉。</w:t>
      </w:r>
    </w:p>
    <w:p w14:paraId="3A81820C">
      <w:pPr>
        <w:pStyle w:val="6"/>
        <w:spacing w:before="120" w:after="120" w:line="288" w:lineRule="auto"/>
        <w:ind w:firstLine="480" w:firstLineChars="200"/>
        <w:rPr>
          <w:rFonts w:hint="eastAsia" w:ascii="宋体" w:hAnsi="宋体" w:cs="宋体"/>
          <w:b w:val="0"/>
          <w:sz w:val="24"/>
          <w:szCs w:val="24"/>
        </w:rPr>
      </w:pPr>
      <w:bookmarkStart w:id="538" w:name="_Toc351203631"/>
      <w:bookmarkStart w:id="539" w:name="_Toc337558845"/>
      <w:bookmarkStart w:id="540" w:name="_Toc296503152"/>
      <w:bookmarkStart w:id="541" w:name="_Toc296346653"/>
      <w:r>
        <w:rPr>
          <w:rFonts w:hint="eastAsia" w:ascii="宋体" w:hAnsi="宋体" w:cs="宋体"/>
          <w:b w:val="0"/>
          <w:sz w:val="24"/>
          <w:szCs w:val="24"/>
        </w:rPr>
        <w:t>20.5争议解决条款效力</w:t>
      </w:r>
      <w:bookmarkEnd w:id="538"/>
    </w:p>
    <w:bookmarkEnd w:id="539"/>
    <w:bookmarkEnd w:id="540"/>
    <w:bookmarkEnd w:id="541"/>
    <w:p w14:paraId="1566CDD8">
      <w:pPr>
        <w:autoSpaceDE w:val="0"/>
        <w:autoSpaceDN w:val="0"/>
        <w:adjustRightInd w:val="0"/>
        <w:spacing w:line="288" w:lineRule="auto"/>
        <w:ind w:firstLine="480" w:firstLineChars="200"/>
        <w:jc w:val="left"/>
      </w:pPr>
      <w:r>
        <w:rPr>
          <w:rFonts w:hint="eastAsia" w:ascii="宋体" w:hAnsi="宋体" w:cs="宋体"/>
          <w:kern w:val="0"/>
          <w:sz w:val="24"/>
        </w:rPr>
        <w:t xml:space="preserve">合同有关争议解决的条款独立存在，合同的变更、解除、终止、无效或者被撤销均不影响其效力。 </w:t>
      </w:r>
    </w:p>
    <w:p w14:paraId="23F395E3">
      <w:pPr>
        <w:rPr>
          <w:rFonts w:hint="eastAsia" w:ascii="宋体" w:hAnsi="宋体" w:cs="宋体"/>
          <w:spacing w:val="20"/>
          <w:sz w:val="30"/>
          <w:szCs w:val="30"/>
        </w:rPr>
      </w:pPr>
      <w:r>
        <w:rPr>
          <w:rFonts w:hint="eastAsia" w:ascii="宋体" w:hAnsi="宋体" w:cs="宋体"/>
          <w:spacing w:val="20"/>
          <w:sz w:val="30"/>
          <w:szCs w:val="30"/>
        </w:rPr>
        <w:br w:type="page"/>
      </w:r>
    </w:p>
    <w:p w14:paraId="52C9E4B4">
      <w:pPr>
        <w:pStyle w:val="3"/>
        <w:keepNext w:val="0"/>
        <w:keepLines w:val="0"/>
        <w:spacing w:line="312" w:lineRule="auto"/>
        <w:jc w:val="center"/>
        <w:rPr>
          <w:rFonts w:hint="eastAsia" w:ascii="宋体" w:hAnsi="宋体" w:cs="宋体"/>
          <w:spacing w:val="20"/>
          <w:sz w:val="30"/>
          <w:szCs w:val="30"/>
        </w:rPr>
      </w:pPr>
      <w:r>
        <w:rPr>
          <w:rFonts w:hint="eastAsia" w:ascii="宋体" w:hAnsi="宋体" w:cs="宋体"/>
          <w:spacing w:val="20"/>
          <w:sz w:val="30"/>
          <w:szCs w:val="30"/>
        </w:rPr>
        <w:t>第三部分 专用合同条款</w:t>
      </w:r>
    </w:p>
    <w:p w14:paraId="2657B2EC"/>
    <w:p w14:paraId="0D77BFEF">
      <w:pPr>
        <w:pStyle w:val="2"/>
        <w:adjustRightInd w:val="0"/>
        <w:snapToGrid w:val="0"/>
        <w:spacing w:line="356" w:lineRule="auto"/>
        <w:ind w:firstLine="562" w:firstLineChars="200"/>
        <w:rPr>
          <w:rFonts w:hint="eastAsia" w:ascii="宋体" w:hAnsi="宋体" w:eastAsia="宋体" w:cs="宋体"/>
          <w:sz w:val="28"/>
          <w:szCs w:val="44"/>
        </w:rPr>
      </w:pPr>
      <w:bookmarkStart w:id="542" w:name="_Toc461982826"/>
      <w:bookmarkStart w:id="543" w:name="_Toc439779031"/>
      <w:bookmarkStart w:id="544" w:name="_Toc389065258"/>
      <w:bookmarkStart w:id="545" w:name="_Toc14784"/>
      <w:bookmarkStart w:id="546" w:name="_Toc373227692"/>
      <w:bookmarkStart w:id="547" w:name="_Toc14791"/>
      <w:bookmarkStart w:id="548" w:name="_Toc351203633"/>
      <w:bookmarkStart w:id="549" w:name="_Toc373478339"/>
      <w:bookmarkStart w:id="550" w:name="_Toc296944495"/>
      <w:bookmarkStart w:id="551" w:name="_Toc292559866"/>
      <w:bookmarkStart w:id="552" w:name="_Toc296890984"/>
      <w:bookmarkStart w:id="553" w:name="_Toc296347155"/>
      <w:bookmarkStart w:id="554" w:name="_Toc297120456"/>
      <w:bookmarkStart w:id="555" w:name="_Toc297048342"/>
      <w:bookmarkStart w:id="556" w:name="_Toc296346657"/>
      <w:bookmarkStart w:id="557" w:name="_Toc296503156"/>
      <w:bookmarkStart w:id="558" w:name="_Toc296891196"/>
      <w:bookmarkStart w:id="559" w:name="_Toc292559361"/>
      <w:r>
        <w:rPr>
          <w:rFonts w:hint="eastAsia" w:ascii="宋体" w:hAnsi="宋体" w:eastAsia="宋体" w:cs="宋体"/>
          <w:sz w:val="28"/>
          <w:szCs w:val="44"/>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460AF024">
      <w:pPr>
        <w:pStyle w:val="4"/>
        <w:adjustRightInd w:val="0"/>
        <w:snapToGrid w:val="0"/>
        <w:spacing w:before="0" w:after="0" w:line="356" w:lineRule="auto"/>
        <w:ind w:firstLine="482" w:firstLineChars="200"/>
        <w:rPr>
          <w:rFonts w:hint="eastAsia" w:cs="宋体"/>
          <w:szCs w:val="40"/>
        </w:rPr>
      </w:pPr>
      <w:bookmarkStart w:id="560" w:name="_Toc439779032"/>
      <w:bookmarkStart w:id="561" w:name="_Toc373227693"/>
      <w:bookmarkStart w:id="562" w:name="_Toc16308"/>
      <w:bookmarkStart w:id="563" w:name="_Toc389065259"/>
      <w:bookmarkStart w:id="564" w:name="_Toc373478340"/>
      <w:bookmarkStart w:id="565" w:name="_Toc461982827"/>
      <w:bookmarkStart w:id="566" w:name="_Toc20097"/>
      <w:r>
        <w:rPr>
          <w:rFonts w:hint="eastAsia" w:cs="宋体"/>
          <w:szCs w:val="40"/>
        </w:rPr>
        <w:t>1.1 词语定义</w:t>
      </w:r>
      <w:bookmarkEnd w:id="560"/>
      <w:bookmarkEnd w:id="561"/>
      <w:bookmarkEnd w:id="562"/>
      <w:bookmarkEnd w:id="563"/>
      <w:bookmarkEnd w:id="564"/>
      <w:bookmarkEnd w:id="565"/>
      <w:bookmarkEnd w:id="566"/>
    </w:p>
    <w:p w14:paraId="2CAB7763">
      <w:pPr>
        <w:adjustRightInd w:val="0"/>
        <w:snapToGrid w:val="0"/>
        <w:spacing w:line="356" w:lineRule="auto"/>
        <w:ind w:firstLine="480" w:firstLineChars="200"/>
        <w:outlineLvl w:val="0"/>
        <w:rPr>
          <w:rFonts w:hint="eastAsia" w:ascii="宋体" w:hAnsi="宋体" w:cs="宋体"/>
          <w:kern w:val="0"/>
          <w:sz w:val="24"/>
        </w:rPr>
      </w:pPr>
      <w:r>
        <w:rPr>
          <w:rFonts w:hint="eastAsia" w:ascii="宋体" w:hAnsi="宋体" w:cs="宋体"/>
          <w:kern w:val="0"/>
          <w:sz w:val="24"/>
        </w:rPr>
        <w:t>1.1.1 合同</w:t>
      </w:r>
    </w:p>
    <w:p w14:paraId="490FD06E">
      <w:pPr>
        <w:adjustRightInd w:val="0"/>
        <w:snapToGrid w:val="0"/>
        <w:spacing w:line="356" w:lineRule="auto"/>
        <w:ind w:firstLine="480" w:firstLineChars="200"/>
        <w:rPr>
          <w:rFonts w:hint="eastAsia" w:ascii="宋体" w:hAnsi="宋体" w:cs="宋体"/>
          <w:sz w:val="24"/>
        </w:rPr>
      </w:pPr>
      <w:r>
        <w:rPr>
          <w:rFonts w:hint="eastAsia" w:ascii="宋体" w:hAnsi="宋体" w:cs="宋体"/>
          <w:kern w:val="0"/>
          <w:sz w:val="24"/>
        </w:rPr>
        <w:t>1.1.1.10 其他合同文件包括：</w:t>
      </w:r>
      <w:r>
        <w:rPr>
          <w:rFonts w:hint="eastAsia" w:ascii="宋体" w:hAnsi="宋体" w:cs="宋体"/>
          <w:sz w:val="24"/>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sz w:val="24"/>
        </w:rPr>
        <w:t>。</w:t>
      </w:r>
    </w:p>
    <w:p w14:paraId="7EBBE007">
      <w:pPr>
        <w:adjustRightInd w:val="0"/>
        <w:snapToGrid w:val="0"/>
        <w:spacing w:line="356" w:lineRule="auto"/>
        <w:ind w:firstLine="480" w:firstLineChars="200"/>
        <w:rPr>
          <w:rFonts w:hint="eastAsia" w:ascii="宋体" w:hAnsi="宋体" w:cs="宋体"/>
          <w:sz w:val="24"/>
          <w:szCs w:val="32"/>
        </w:rPr>
      </w:pPr>
      <w:bookmarkStart w:id="567" w:name="_Toc461982830"/>
      <w:bookmarkStart w:id="568" w:name="_Toc26377"/>
      <w:bookmarkStart w:id="569" w:name="_Toc373227696"/>
      <w:bookmarkStart w:id="570" w:name="_Toc373478343"/>
      <w:bookmarkStart w:id="571" w:name="_Toc439779035"/>
      <w:bookmarkStart w:id="572" w:name="_Toc25240"/>
      <w:bookmarkStart w:id="573" w:name="_Toc389065262"/>
      <w:r>
        <w:rPr>
          <w:rFonts w:hint="eastAsia" w:ascii="宋体" w:hAnsi="宋体" w:cs="宋体"/>
          <w:sz w:val="24"/>
          <w:szCs w:val="32"/>
        </w:rPr>
        <w:t>1.2本合同除使用汉语外，还使用</w:t>
      </w:r>
      <w:r>
        <w:rPr>
          <w:rFonts w:hint="eastAsia" w:ascii="宋体" w:hAnsi="宋体" w:cs="宋体"/>
          <w:sz w:val="24"/>
          <w:szCs w:val="32"/>
          <w:u w:val="single"/>
        </w:rPr>
        <w:t xml:space="preserve"> 无其他 </w:t>
      </w:r>
      <w:r>
        <w:rPr>
          <w:rFonts w:hint="eastAsia" w:ascii="宋体" w:hAnsi="宋体" w:cs="宋体"/>
          <w:sz w:val="24"/>
          <w:szCs w:val="32"/>
        </w:rPr>
        <w:t>语言文字</w:t>
      </w:r>
    </w:p>
    <w:p w14:paraId="088E651B">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1.3法律和法规</w:t>
      </w:r>
    </w:p>
    <w:p w14:paraId="59C97A53">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需要明示的法律、行政法规：</w:t>
      </w:r>
      <w:r>
        <w:rPr>
          <w:rFonts w:hint="eastAsia" w:ascii="宋体" w:hAnsi="宋体" w:cs="宋体"/>
          <w:sz w:val="24"/>
          <w:szCs w:val="32"/>
          <w:u w:val="single"/>
        </w:rPr>
        <w:t xml:space="preserve"> 按合同签订时国家现行法律、行政法规及工程所在地政府的有关法规和规章。</w:t>
      </w:r>
    </w:p>
    <w:p w14:paraId="2166A0DD">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1.4发包人提供标准、规范时间：</w:t>
      </w:r>
      <w:r>
        <w:rPr>
          <w:rFonts w:hint="eastAsia" w:ascii="宋体" w:hAnsi="宋体" w:cs="宋体"/>
          <w:sz w:val="24"/>
          <w:szCs w:val="32"/>
          <w:u w:val="single"/>
        </w:rPr>
        <w:t xml:space="preserve"> 无 。</w:t>
      </w:r>
    </w:p>
    <w:p w14:paraId="79360889">
      <w:pPr>
        <w:pStyle w:val="4"/>
        <w:adjustRightInd w:val="0"/>
        <w:snapToGrid w:val="0"/>
        <w:spacing w:before="0" w:after="0" w:line="356" w:lineRule="auto"/>
        <w:ind w:firstLine="480" w:firstLineChars="200"/>
        <w:rPr>
          <w:rFonts w:hint="eastAsia" w:cs="宋体"/>
          <w:b w:val="0"/>
          <w:bCs w:val="0"/>
          <w:szCs w:val="40"/>
        </w:rPr>
      </w:pPr>
      <w:r>
        <w:rPr>
          <w:rFonts w:hint="eastAsia" w:cs="宋体"/>
          <w:b w:val="0"/>
          <w:bCs w:val="0"/>
        </w:rPr>
        <w:t>国内没有相应的标准、规范时的约定：</w:t>
      </w:r>
      <w:r>
        <w:rPr>
          <w:rFonts w:hint="eastAsia" w:cs="宋体"/>
          <w:b w:val="0"/>
          <w:bCs w:val="0"/>
          <w:u w:val="single"/>
        </w:rPr>
        <w:t xml:space="preserve"> 无。</w:t>
      </w:r>
    </w:p>
    <w:p w14:paraId="28F27033">
      <w:pPr>
        <w:pStyle w:val="4"/>
        <w:adjustRightInd w:val="0"/>
        <w:snapToGrid w:val="0"/>
        <w:spacing w:before="0" w:after="0" w:line="356" w:lineRule="auto"/>
        <w:ind w:firstLine="482" w:firstLineChars="200"/>
        <w:rPr>
          <w:rFonts w:hint="eastAsia" w:cs="宋体"/>
          <w:szCs w:val="40"/>
        </w:rPr>
      </w:pPr>
      <w:r>
        <w:rPr>
          <w:rFonts w:hint="eastAsia" w:cs="宋体"/>
          <w:szCs w:val="40"/>
        </w:rPr>
        <w:t>1.5合同文件的优先顺序</w:t>
      </w:r>
      <w:bookmarkEnd w:id="567"/>
      <w:bookmarkEnd w:id="568"/>
      <w:bookmarkEnd w:id="569"/>
      <w:bookmarkEnd w:id="570"/>
      <w:bookmarkEnd w:id="571"/>
      <w:bookmarkEnd w:id="572"/>
      <w:bookmarkEnd w:id="573"/>
    </w:p>
    <w:p w14:paraId="77C714E3">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合同文件组成及优先顺序为：</w:t>
      </w:r>
    </w:p>
    <w:p w14:paraId="2B7949CB">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（1）中标（成交）通知书；</w:t>
      </w:r>
    </w:p>
    <w:p w14:paraId="6710B800">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（2）投标（磋商）函及其附录；</w:t>
      </w:r>
    </w:p>
    <w:p w14:paraId="076FCE3E">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（3）专用合同条款及其附件；</w:t>
      </w:r>
    </w:p>
    <w:p w14:paraId="6747C5C3">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（4）通用合同条款；</w:t>
      </w:r>
    </w:p>
    <w:p w14:paraId="477AAE3E">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u w:val="single"/>
        </w:rPr>
        <w:t xml:space="preserve"> 技术标准和要求</w:t>
      </w:r>
      <w:r>
        <w:rPr>
          <w:rFonts w:hint="eastAsia" w:ascii="宋体" w:hAnsi="宋体" w:cs="宋体"/>
          <w:kern w:val="0"/>
          <w:sz w:val="24"/>
        </w:rPr>
        <w:t>；</w:t>
      </w:r>
    </w:p>
    <w:p w14:paraId="487B69A6">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（6）</w:t>
      </w:r>
      <w:r>
        <w:rPr>
          <w:rFonts w:hint="eastAsia" w:ascii="宋体" w:hAnsi="宋体" w:cs="宋体"/>
          <w:kern w:val="0"/>
          <w:sz w:val="24"/>
          <w:u w:val="single"/>
        </w:rPr>
        <w:t xml:space="preserve"> 施工图纸</w:t>
      </w:r>
      <w:r>
        <w:rPr>
          <w:rFonts w:hint="eastAsia" w:ascii="宋体" w:hAnsi="宋体" w:cs="宋体"/>
          <w:kern w:val="0"/>
          <w:sz w:val="24"/>
        </w:rPr>
        <w:t>；</w:t>
      </w:r>
    </w:p>
    <w:p w14:paraId="4190D913">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（7）</w:t>
      </w:r>
      <w:r>
        <w:rPr>
          <w:rFonts w:hint="eastAsia" w:ascii="宋体" w:hAnsi="宋体" w:cs="宋体"/>
          <w:kern w:val="0"/>
          <w:sz w:val="24"/>
          <w:u w:val="single"/>
        </w:rPr>
        <w:t xml:space="preserve"> 已标价的工程量清单[投标（响应）文件]</w:t>
      </w:r>
      <w:r>
        <w:rPr>
          <w:rFonts w:hint="eastAsia" w:ascii="宋体" w:hAnsi="宋体" w:cs="宋体"/>
          <w:kern w:val="0"/>
          <w:sz w:val="24"/>
        </w:rPr>
        <w:t>；</w:t>
      </w:r>
    </w:p>
    <w:p w14:paraId="6CE48A96">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（8）</w:t>
      </w:r>
      <w:r>
        <w:rPr>
          <w:rFonts w:hint="eastAsia" w:ascii="宋体" w:hAnsi="宋体" w:cs="宋体"/>
          <w:kern w:val="0"/>
          <w:sz w:val="24"/>
          <w:u w:val="single"/>
        </w:rPr>
        <w:t xml:space="preserve"> 其他合同文件、设计变更等文件  </w:t>
      </w:r>
      <w:r>
        <w:rPr>
          <w:rFonts w:hint="eastAsia" w:ascii="宋体" w:hAnsi="宋体" w:cs="宋体"/>
          <w:kern w:val="0"/>
          <w:sz w:val="24"/>
        </w:rPr>
        <w:t>。</w:t>
      </w:r>
    </w:p>
    <w:p w14:paraId="16A590C9">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（9）《建设工程工程量清单计价规范（GB5050-2013）》及其广西实施细则、《建设工程工程量清单计算规范（GB5854~50862-2013）》及其广西实施细则。</w:t>
      </w:r>
    </w:p>
    <w:p w14:paraId="68B01EE6">
      <w:pPr>
        <w:adjustRightInd w:val="0"/>
        <w:snapToGrid w:val="0"/>
        <w:spacing w:line="356" w:lineRule="auto"/>
        <w:ind w:firstLine="480" w:firstLineChars="200"/>
        <w:rPr>
          <w:rFonts w:hint="eastAsia" w:ascii="宋体" w:hAnsi="宋体" w:cs="宋体"/>
          <w:sz w:val="24"/>
        </w:rPr>
      </w:pPr>
      <w:r>
        <w:rPr>
          <w:rFonts w:hint="eastAsia" w:ascii="宋体" w:hAnsi="宋体" w:cs="宋体"/>
          <w:kern w:val="0"/>
          <w:sz w:val="24"/>
        </w:rPr>
        <w:t>说明：（6）、（7）、（8）填空内容分别限于技术标准和要求、图纸、已标价工程量清单或预算书、其他合同文件四者之一，其优先顺序可根据采取的不同合同方式由双方约定。</w:t>
      </w:r>
    </w:p>
    <w:p w14:paraId="479E3A04">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1.6图纸</w:t>
      </w:r>
    </w:p>
    <w:p w14:paraId="1C248AD7">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1.6.1发包人向承包人提供图纸日期和套数：</w:t>
      </w:r>
      <w:r>
        <w:rPr>
          <w:rFonts w:hint="eastAsia" w:ascii="宋体" w:hAnsi="宋体" w:cs="宋体"/>
          <w:sz w:val="24"/>
          <w:szCs w:val="32"/>
          <w:u w:val="single"/>
        </w:rPr>
        <w:t xml:space="preserve"> 签订合同起5个工作日内提供一式肆份设计图纸。</w:t>
      </w:r>
    </w:p>
    <w:p w14:paraId="40EF1659">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1.12发包人对图纸的保密要求：</w:t>
      </w:r>
      <w:r>
        <w:rPr>
          <w:rFonts w:hint="eastAsia" w:ascii="宋体" w:hAnsi="宋体" w:cs="宋体"/>
          <w:sz w:val="24"/>
          <w:szCs w:val="32"/>
          <w:u w:val="single"/>
        </w:rPr>
        <w:t>未经发包人同意，承包人不得将图纸转借给第三人。</w:t>
      </w:r>
    </w:p>
    <w:p w14:paraId="2F392FAC">
      <w:pPr>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二、双方一般权利和义务</w:t>
      </w:r>
    </w:p>
    <w:p w14:paraId="3FE69D12">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2、发包人派驻的工程师</w:t>
      </w:r>
    </w:p>
    <w:p w14:paraId="0D248F3D">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姓名：</w:t>
      </w:r>
      <w:r>
        <w:rPr>
          <w:rFonts w:hint="eastAsia" w:ascii="宋体" w:hAnsi="宋体" w:cs="宋体"/>
          <w:sz w:val="24"/>
          <w:szCs w:val="32"/>
          <w:u w:val="single"/>
        </w:rPr>
        <w:t xml:space="preserve">          </w:t>
      </w:r>
      <w:r>
        <w:rPr>
          <w:rFonts w:hint="eastAsia" w:ascii="宋体" w:hAnsi="宋体" w:cs="宋体"/>
          <w:sz w:val="24"/>
          <w:szCs w:val="32"/>
        </w:rPr>
        <w:t xml:space="preserve">  职位：</w:t>
      </w:r>
      <w:r>
        <w:rPr>
          <w:rFonts w:hint="eastAsia" w:ascii="宋体" w:hAnsi="宋体" w:cs="宋体"/>
          <w:sz w:val="24"/>
          <w:szCs w:val="32"/>
          <w:u w:val="single"/>
        </w:rPr>
        <w:t xml:space="preserve">           </w:t>
      </w:r>
      <w:r>
        <w:rPr>
          <w:rFonts w:hint="eastAsia" w:ascii="宋体" w:hAnsi="宋体" w:cs="宋体"/>
          <w:sz w:val="24"/>
          <w:szCs w:val="32"/>
        </w:rPr>
        <w:t xml:space="preserve">  电话：</w:t>
      </w:r>
      <w:r>
        <w:rPr>
          <w:rFonts w:hint="eastAsia" w:ascii="宋体" w:hAnsi="宋体" w:cs="宋体"/>
          <w:sz w:val="24"/>
          <w:szCs w:val="32"/>
          <w:u w:val="single"/>
        </w:rPr>
        <w:t xml:space="preserve">          </w:t>
      </w:r>
    </w:p>
    <w:p w14:paraId="4E97C684">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职权：</w:t>
      </w:r>
      <w:r>
        <w:rPr>
          <w:rFonts w:hint="eastAsia" w:ascii="宋体" w:hAnsi="宋体" w:cs="宋体"/>
          <w:sz w:val="24"/>
          <w:szCs w:val="32"/>
          <w:u w:val="single"/>
        </w:rPr>
        <w:t xml:space="preserve"> 负责工程施工的协调工作，负责施工工程有关验收、签证、结算、工程资料审查等工作。</w:t>
      </w:r>
    </w:p>
    <w:p w14:paraId="2FA78800">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不实行监理的，工程师的职权：</w:t>
      </w:r>
      <w:r>
        <w:rPr>
          <w:rFonts w:hint="eastAsia" w:ascii="宋体" w:hAnsi="宋体" w:cs="宋体"/>
          <w:sz w:val="24"/>
          <w:szCs w:val="32"/>
          <w:u w:val="single"/>
        </w:rPr>
        <w:t xml:space="preserve">  无 </w:t>
      </w:r>
      <w:r>
        <w:rPr>
          <w:rFonts w:hint="eastAsia" w:ascii="宋体" w:hAnsi="宋体" w:cs="宋体"/>
          <w:sz w:val="24"/>
          <w:szCs w:val="32"/>
        </w:rPr>
        <w:t xml:space="preserve"> 。</w:t>
      </w:r>
    </w:p>
    <w:p w14:paraId="49193DDE">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2.4发包人工作</w:t>
      </w:r>
    </w:p>
    <w:p w14:paraId="68674DA1">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发包人应按约定的时间和要求完成以下工作：</w:t>
      </w:r>
    </w:p>
    <w:p w14:paraId="5E1A0D7A">
      <w:pPr>
        <w:numPr>
          <w:ilvl w:val="0"/>
          <w:numId w:val="6"/>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施工场地具备施工条件的要求及完成的时间：</w:t>
      </w:r>
      <w:r>
        <w:rPr>
          <w:rFonts w:hint="eastAsia" w:ascii="宋体" w:hAnsi="宋体" w:cs="宋体"/>
          <w:sz w:val="24"/>
          <w:szCs w:val="32"/>
          <w:u w:val="single"/>
        </w:rPr>
        <w:t xml:space="preserve"> 开工前7日，发包人移交施工工地等工作。</w:t>
      </w:r>
    </w:p>
    <w:p w14:paraId="2883E20E">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将施工所需的水、电、电讯线路接至施工场地的时间、地点和供应要求：</w:t>
      </w:r>
      <w:r>
        <w:rPr>
          <w:rFonts w:hint="eastAsia" w:ascii="宋体" w:hAnsi="宋体" w:cs="宋体"/>
          <w:sz w:val="24"/>
          <w:szCs w:val="32"/>
          <w:u w:val="single"/>
        </w:rPr>
        <w:t>协调提供水、电接口；电讯线路由承包人自行处理。水、电、通讯费用由承包人支付。</w:t>
      </w:r>
    </w:p>
    <w:p w14:paraId="6683F9AB">
      <w:pPr>
        <w:numPr>
          <w:ilvl w:val="0"/>
          <w:numId w:val="6"/>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施工场地与公共道路的通道开通时间和要求：</w:t>
      </w:r>
      <w:r>
        <w:rPr>
          <w:rFonts w:hint="eastAsia" w:ascii="宋体" w:hAnsi="宋体" w:cs="宋体"/>
          <w:sz w:val="24"/>
          <w:szCs w:val="32"/>
          <w:u w:val="single"/>
        </w:rPr>
        <w:t xml:space="preserve"> 开工前7天做到施工现场周围道路畅通，并满足施工运输需要。</w:t>
      </w:r>
    </w:p>
    <w:p w14:paraId="700DF301">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工程地质和地下管线资料的提供时间：</w:t>
      </w:r>
      <w:r>
        <w:rPr>
          <w:rFonts w:hint="eastAsia" w:ascii="宋体" w:hAnsi="宋体" w:cs="宋体"/>
          <w:sz w:val="24"/>
          <w:szCs w:val="32"/>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sz w:val="24"/>
          <w:szCs w:val="32"/>
        </w:rPr>
        <w:t>。</w:t>
      </w:r>
    </w:p>
    <w:p w14:paraId="62305E0E">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由发包人办理的施工所需证件、批件的名称和完成时间：</w:t>
      </w:r>
      <w:r>
        <w:rPr>
          <w:rFonts w:hint="eastAsia" w:ascii="宋体" w:hAnsi="宋体" w:cs="宋体"/>
          <w:sz w:val="24"/>
          <w:szCs w:val="32"/>
          <w:u w:val="single"/>
        </w:rPr>
        <w:t>开工7日前负责协调办理好施工许可证和临时用地证等开工所需的全部证件和批件。</w:t>
      </w:r>
    </w:p>
    <w:p w14:paraId="7495201D">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水准点与坐标控制点交验要求：</w:t>
      </w:r>
      <w:r>
        <w:rPr>
          <w:rFonts w:hint="eastAsia" w:ascii="宋体" w:hAnsi="宋体" w:cs="宋体"/>
          <w:sz w:val="24"/>
          <w:szCs w:val="32"/>
          <w:u w:val="single"/>
        </w:rPr>
        <w:t xml:space="preserve"> 发包人在开工前以书面形式交给承包人，并双方在现场进行交验。</w:t>
      </w:r>
    </w:p>
    <w:p w14:paraId="17FE015B">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图纸会审和设计交底时间：</w:t>
      </w:r>
      <w:r>
        <w:rPr>
          <w:rFonts w:hint="eastAsia" w:ascii="宋体" w:hAnsi="宋体" w:cs="宋体"/>
          <w:sz w:val="24"/>
          <w:szCs w:val="32"/>
          <w:u w:val="single"/>
        </w:rPr>
        <w:t>开工前7天，组织承包人、设计、地质勘探、监理等相关单位进行图纸会审和设计交底。</w:t>
      </w:r>
    </w:p>
    <w:p w14:paraId="0686CD9D">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协调处理施工场地周围地下管线和邻近建筑物、构筑物（含文物保护建筑）、古树名木的保护工作：</w:t>
      </w:r>
      <w:r>
        <w:rPr>
          <w:rFonts w:hint="eastAsia" w:ascii="宋体" w:hAnsi="宋体" w:cs="宋体"/>
          <w:sz w:val="24"/>
          <w:szCs w:val="32"/>
          <w:u w:val="single"/>
        </w:rPr>
        <w:t>由发包人负责协调，承包人负责保护，费用由发包人承担。</w:t>
      </w:r>
    </w:p>
    <w:p w14:paraId="7C8AB36F">
      <w:pPr>
        <w:numPr>
          <w:ilvl w:val="0"/>
          <w:numId w:val="6"/>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 xml:space="preserve">双方约定发包人应做的其他工作： </w:t>
      </w:r>
      <w:r>
        <w:rPr>
          <w:rFonts w:hint="eastAsia" w:ascii="宋体" w:hAnsi="宋体" w:cs="宋体"/>
          <w:sz w:val="24"/>
          <w:szCs w:val="32"/>
          <w:u w:val="single"/>
        </w:rPr>
        <w:t>无 。</w:t>
      </w:r>
    </w:p>
    <w:p w14:paraId="70129A63">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发包人委托承包人办理的工作：</w:t>
      </w:r>
      <w:r>
        <w:rPr>
          <w:rFonts w:hint="eastAsia" w:ascii="宋体" w:hAnsi="宋体" w:cs="宋体"/>
          <w:sz w:val="24"/>
          <w:szCs w:val="32"/>
          <w:u w:val="single"/>
        </w:rPr>
        <w:t xml:space="preserve"> 无 。</w:t>
      </w:r>
    </w:p>
    <w:p w14:paraId="14B9CBEB">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2.5担保</w:t>
      </w:r>
    </w:p>
    <w:p w14:paraId="36D0A4E7">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本工程双方约定担保内容如下：</w:t>
      </w:r>
    </w:p>
    <w:p w14:paraId="7D530409">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（1）发包人向承包人提供支付担保，担保方式为：</w:t>
      </w:r>
      <w:r>
        <w:rPr>
          <w:rFonts w:hint="eastAsia" w:ascii="宋体" w:hAnsi="宋体" w:cs="宋体"/>
          <w:sz w:val="24"/>
          <w:u w:val="single"/>
        </w:rPr>
        <w:t xml:space="preserve"> 无 。</w:t>
      </w:r>
    </w:p>
    <w:p w14:paraId="74CED077">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（2）承包人向发包人提供履约担保，担保方式为：</w:t>
      </w:r>
      <w:r>
        <w:rPr>
          <w:rFonts w:hint="eastAsia" w:ascii="宋体" w:hAnsi="宋体" w:cs="宋体"/>
          <w:sz w:val="24"/>
          <w:u w:val="single"/>
        </w:rPr>
        <w:t xml:space="preserve"> 在签订合同时向财政部门交中标价的2%履约保证金。履约保证金提交方式：银行转账、支票、汇票、本票或者银行、保险机构出具的保函、保险单等非现金方式，审计结算后无息返回。</w:t>
      </w:r>
    </w:p>
    <w:p w14:paraId="3D206788">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（3）如投标人提供虚假材料造成流标、废标的，扣除投标保证金，提交了履约保证金的一并扣除，造成其他损失的由投标人承担。</w:t>
      </w:r>
    </w:p>
    <w:p w14:paraId="1F30A174">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3、承包人</w:t>
      </w:r>
    </w:p>
    <w:p w14:paraId="27AE98D6">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项目经理</w:t>
      </w:r>
    </w:p>
    <w:p w14:paraId="702A1E55">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姓名：</w:t>
      </w:r>
      <w:r>
        <w:rPr>
          <w:rFonts w:hint="eastAsia" w:ascii="宋体" w:hAnsi="宋体" w:cs="宋体"/>
          <w:sz w:val="24"/>
          <w:szCs w:val="32"/>
          <w:u w:val="single"/>
        </w:rPr>
        <w:t xml:space="preserve">              </w:t>
      </w:r>
      <w:r>
        <w:rPr>
          <w:rFonts w:hint="eastAsia" w:ascii="宋体" w:hAnsi="宋体" w:cs="宋体"/>
          <w:sz w:val="24"/>
          <w:szCs w:val="32"/>
        </w:rPr>
        <w:t xml:space="preserve">    职务： </w:t>
      </w:r>
      <w:r>
        <w:rPr>
          <w:rFonts w:hint="eastAsia" w:ascii="宋体" w:hAnsi="宋体" w:cs="宋体"/>
          <w:sz w:val="24"/>
          <w:szCs w:val="32"/>
          <w:u w:val="single"/>
        </w:rPr>
        <w:t xml:space="preserve">  项目经理    </w:t>
      </w:r>
    </w:p>
    <w:p w14:paraId="1ADAA5DB">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3.1承包人工作</w:t>
      </w:r>
    </w:p>
    <w:p w14:paraId="51198984">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承包人应按约定时间和要求，完成以下工作：</w:t>
      </w:r>
    </w:p>
    <w:p w14:paraId="5BBD6751">
      <w:pPr>
        <w:numPr>
          <w:ilvl w:val="0"/>
          <w:numId w:val="7"/>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需由设计资质等级和业务范围允许的承包人完成的设计文件提交时间：</w:t>
      </w:r>
      <w:r>
        <w:rPr>
          <w:rFonts w:hint="eastAsia" w:ascii="宋体" w:hAnsi="宋体" w:cs="宋体"/>
          <w:sz w:val="24"/>
          <w:szCs w:val="32"/>
          <w:u w:val="single"/>
        </w:rPr>
        <w:t xml:space="preserve"> 无。</w:t>
      </w:r>
    </w:p>
    <w:p w14:paraId="0C316A84">
      <w:pPr>
        <w:numPr>
          <w:ilvl w:val="0"/>
          <w:numId w:val="7"/>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应提供计划、报表的名称及完成时间：</w:t>
      </w:r>
      <w:r>
        <w:rPr>
          <w:rFonts w:hint="eastAsia" w:ascii="宋体" w:hAnsi="宋体" w:cs="宋体"/>
          <w:sz w:val="24"/>
          <w:szCs w:val="32"/>
          <w:u w:val="single"/>
        </w:rPr>
        <w:t>每月25日提供当月完成工程量报表、次月计划完成工程量报表各两份。</w:t>
      </w:r>
    </w:p>
    <w:p w14:paraId="5ED0067E">
      <w:pPr>
        <w:numPr>
          <w:ilvl w:val="0"/>
          <w:numId w:val="7"/>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承担施工安全保卫工作及非夜间施工照明的责任和要求：</w:t>
      </w:r>
      <w:r>
        <w:rPr>
          <w:rFonts w:hint="eastAsia" w:ascii="宋体" w:hAnsi="宋体" w:cs="宋体"/>
          <w:sz w:val="24"/>
          <w:szCs w:val="32"/>
          <w:u w:val="single"/>
        </w:rPr>
        <w:t>提供和维修非夜间施工使用的照明、围栏设施，并负责安全保卫。</w:t>
      </w:r>
    </w:p>
    <w:p w14:paraId="6D9606FB">
      <w:pPr>
        <w:numPr>
          <w:ilvl w:val="0"/>
          <w:numId w:val="7"/>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已完工程品保护的特殊要求及费用承担：</w:t>
      </w:r>
      <w:r>
        <w:rPr>
          <w:rFonts w:hint="eastAsia" w:ascii="宋体" w:hAnsi="宋体" w:cs="宋体"/>
          <w:sz w:val="24"/>
          <w:szCs w:val="32"/>
          <w:u w:val="single"/>
        </w:rPr>
        <w:t>在竣工验收移交全部工程前，由承包人负责采取保护措施，并承担费用。</w:t>
      </w:r>
    </w:p>
    <w:p w14:paraId="2F96CB03">
      <w:pPr>
        <w:numPr>
          <w:ilvl w:val="0"/>
          <w:numId w:val="7"/>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施工场地设置地下管线和邻近建筑物、构筑物（含文物保护建筑）、古树名木的保护要求及费用承担：</w:t>
      </w:r>
      <w:r>
        <w:rPr>
          <w:rFonts w:hint="eastAsia" w:ascii="宋体" w:hAnsi="宋体" w:cs="宋体"/>
          <w:sz w:val="24"/>
          <w:szCs w:val="32"/>
          <w:u w:val="single"/>
        </w:rPr>
        <w:t>由发包人负责协调，相关费用由发包人承担，承包人负责保护，施工时如因承包人原因损坏地下管线，邻近建筑物、构筑物，所发生的费用由承包人负责承担。</w:t>
      </w:r>
    </w:p>
    <w:p w14:paraId="46F7076F">
      <w:pPr>
        <w:numPr>
          <w:ilvl w:val="0"/>
          <w:numId w:val="7"/>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施工场地清洁卫生的要求：</w:t>
      </w:r>
      <w:r>
        <w:rPr>
          <w:rFonts w:hint="eastAsia" w:ascii="宋体" w:hAnsi="宋体" w:cs="宋体"/>
          <w:sz w:val="24"/>
          <w:szCs w:val="32"/>
          <w:u w:val="single"/>
        </w:rPr>
        <w:t>承包人保证施工场地清洁符合环境卫生管理的有关规定，交工前清理现场做到工完场清，并承担因自身原因违反有关规定造成损失和罚款。</w:t>
      </w:r>
    </w:p>
    <w:p w14:paraId="0DE502E5">
      <w:pPr>
        <w:pStyle w:val="15"/>
        <w:spacing w:after="0" w:line="356" w:lineRule="auto"/>
        <w:ind w:left="0" w:leftChars="0" w:firstLine="480" w:firstLineChars="200"/>
        <w:rPr>
          <w:rFonts w:hint="eastAsia" w:ascii="宋体" w:hAnsi="宋体" w:cs="宋体"/>
          <w:sz w:val="24"/>
          <w:szCs w:val="32"/>
          <w:u w:val="single"/>
        </w:rPr>
      </w:pPr>
      <w:r>
        <w:rPr>
          <w:rFonts w:hint="eastAsia" w:ascii="宋体" w:hAnsi="宋体" w:cs="宋体"/>
          <w:sz w:val="24"/>
          <w:szCs w:val="32"/>
        </w:rPr>
        <w:t>双方约定承包人应做的其他工作：</w:t>
      </w:r>
      <w:r>
        <w:rPr>
          <w:rFonts w:hint="eastAsia" w:ascii="宋体" w:hAnsi="宋体" w:cs="宋体"/>
          <w:sz w:val="24"/>
          <w:szCs w:val="32"/>
          <w:u w:val="single"/>
        </w:rPr>
        <w:t>无。</w:t>
      </w:r>
    </w:p>
    <w:p w14:paraId="25ACCF4E">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3.5工程分包</w:t>
      </w:r>
    </w:p>
    <w:p w14:paraId="71999B14">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3.5.2本工程发包人同意承包人分包的工程：</w:t>
      </w:r>
      <w:r>
        <w:rPr>
          <w:rFonts w:hint="eastAsia" w:ascii="宋体" w:hAnsi="宋体" w:cs="宋体"/>
          <w:sz w:val="24"/>
          <w:u w:val="single"/>
        </w:rPr>
        <w:t xml:space="preserve"> 无  </w:t>
      </w:r>
      <w:r>
        <w:rPr>
          <w:rFonts w:hint="eastAsia" w:ascii="宋体" w:hAnsi="宋体" w:cs="宋体"/>
          <w:sz w:val="24"/>
        </w:rPr>
        <w:t xml:space="preserve"> 。</w:t>
      </w:r>
    </w:p>
    <w:p w14:paraId="2CDF53DD">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分包施工单位为</w:t>
      </w:r>
      <w:r>
        <w:rPr>
          <w:rFonts w:hint="eastAsia" w:ascii="宋体" w:hAnsi="宋体" w:cs="宋体"/>
          <w:sz w:val="24"/>
          <w:u w:val="single"/>
        </w:rPr>
        <w:t xml:space="preserve"> 无  </w:t>
      </w:r>
      <w:r>
        <w:rPr>
          <w:rFonts w:hint="eastAsia" w:ascii="宋体" w:hAnsi="宋体" w:cs="宋体"/>
          <w:sz w:val="24"/>
        </w:rPr>
        <w:t xml:space="preserve"> 。</w:t>
      </w:r>
    </w:p>
    <w:p w14:paraId="0EA11A08">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4.1监理单位：</w:t>
      </w:r>
      <w:r>
        <w:rPr>
          <w:rFonts w:hint="eastAsia" w:ascii="宋体" w:hAnsi="宋体" w:cs="宋体"/>
          <w:sz w:val="24"/>
          <w:szCs w:val="32"/>
          <w:u w:val="single"/>
        </w:rPr>
        <w:t xml:space="preserve">                 </w:t>
      </w:r>
    </w:p>
    <w:p w14:paraId="55706917">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委派的工程师姓名：</w:t>
      </w:r>
      <w:r>
        <w:rPr>
          <w:rFonts w:hint="eastAsia" w:ascii="宋体" w:hAnsi="宋体" w:cs="宋体"/>
          <w:sz w:val="24"/>
          <w:szCs w:val="32"/>
          <w:u w:val="single"/>
        </w:rPr>
        <w:t xml:space="preserve">        </w:t>
      </w:r>
      <w:r>
        <w:rPr>
          <w:rFonts w:hint="eastAsia" w:ascii="宋体" w:hAnsi="宋体" w:cs="宋体"/>
          <w:sz w:val="24"/>
          <w:szCs w:val="32"/>
        </w:rPr>
        <w:t xml:space="preserve"> 职务：</w:t>
      </w:r>
      <w:r>
        <w:rPr>
          <w:rFonts w:hint="eastAsia" w:ascii="宋体" w:hAnsi="宋体" w:cs="宋体"/>
          <w:sz w:val="24"/>
          <w:szCs w:val="32"/>
          <w:u w:val="single"/>
        </w:rPr>
        <w:t xml:space="preserve">       </w:t>
      </w:r>
      <w:r>
        <w:rPr>
          <w:rFonts w:hint="eastAsia" w:ascii="宋体" w:hAnsi="宋体" w:cs="宋体"/>
          <w:sz w:val="24"/>
          <w:szCs w:val="32"/>
        </w:rPr>
        <w:t xml:space="preserve"> 电话：</w:t>
      </w:r>
      <w:r>
        <w:rPr>
          <w:rFonts w:hint="eastAsia" w:ascii="宋体" w:hAnsi="宋体" w:cs="宋体"/>
          <w:sz w:val="24"/>
          <w:szCs w:val="32"/>
          <w:u w:val="single"/>
        </w:rPr>
        <w:t xml:space="preserve">       </w:t>
      </w:r>
    </w:p>
    <w:p w14:paraId="547C7C6F">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发包人委托的职权：</w:t>
      </w:r>
      <w:r>
        <w:rPr>
          <w:rFonts w:hint="eastAsia" w:ascii="宋体" w:hAnsi="宋体" w:cs="宋体"/>
          <w:sz w:val="24"/>
          <w:szCs w:val="32"/>
          <w:u w:val="single"/>
        </w:rPr>
        <w:t xml:space="preserve"> 按本工程委托监理合同 </w:t>
      </w:r>
    </w:p>
    <w:p w14:paraId="46BE8970">
      <w:pPr>
        <w:pStyle w:val="15"/>
        <w:spacing w:after="0" w:line="356" w:lineRule="auto"/>
        <w:ind w:left="0" w:leftChars="0" w:firstLine="480" w:firstLineChars="200"/>
        <w:rPr>
          <w:rFonts w:hint="eastAsia" w:ascii="宋体" w:hAnsi="宋体" w:cs="宋体"/>
          <w:sz w:val="24"/>
          <w:szCs w:val="32"/>
          <w:u w:val="single"/>
        </w:rPr>
      </w:pPr>
      <w:r>
        <w:rPr>
          <w:rFonts w:hint="eastAsia" w:ascii="宋体" w:hAnsi="宋体" w:cs="宋体"/>
          <w:sz w:val="24"/>
          <w:szCs w:val="32"/>
        </w:rPr>
        <w:t>需要取得发包人批准才能行使的职权：</w:t>
      </w:r>
      <w:r>
        <w:rPr>
          <w:rFonts w:hint="eastAsia" w:ascii="宋体" w:hAnsi="宋体" w:cs="宋体"/>
          <w:sz w:val="24"/>
          <w:szCs w:val="32"/>
          <w:u w:val="single"/>
        </w:rPr>
        <w:t xml:space="preserve">  按本合同委托监理合同 。</w:t>
      </w:r>
    </w:p>
    <w:p w14:paraId="16AB62BC">
      <w:pPr>
        <w:pStyle w:val="15"/>
        <w:spacing w:after="0" w:line="356" w:lineRule="auto"/>
        <w:ind w:left="0" w:leftChars="0" w:firstLine="562" w:firstLineChars="200"/>
        <w:rPr>
          <w:rFonts w:hint="eastAsia" w:ascii="宋体" w:hAnsi="宋体" w:cs="宋体"/>
          <w:b/>
          <w:bCs/>
          <w:sz w:val="28"/>
          <w:szCs w:val="36"/>
        </w:rPr>
      </w:pPr>
      <w:r>
        <w:rPr>
          <w:rFonts w:hint="eastAsia" w:ascii="宋体" w:hAnsi="宋体" w:cs="宋体"/>
          <w:b/>
          <w:bCs/>
          <w:sz w:val="28"/>
          <w:szCs w:val="36"/>
        </w:rPr>
        <w:t>三、施工组织设计个工期</w:t>
      </w:r>
    </w:p>
    <w:p w14:paraId="47F77FFE">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7、进度计划</w:t>
      </w:r>
    </w:p>
    <w:p w14:paraId="7CF607DD">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7.1.2承包人提供施工组织设计（施工方案）和进度计划的时间：</w:t>
      </w:r>
      <w:r>
        <w:rPr>
          <w:rFonts w:hint="eastAsia" w:ascii="宋体" w:hAnsi="宋体" w:cs="宋体"/>
          <w:sz w:val="24"/>
          <w:szCs w:val="32"/>
          <w:u w:val="single"/>
        </w:rPr>
        <w:t>合同签订之日起15日内，并全面动工建设。</w:t>
      </w:r>
    </w:p>
    <w:p w14:paraId="0598AC44">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工程师确认的时间：</w:t>
      </w:r>
      <w:r>
        <w:rPr>
          <w:rFonts w:hint="eastAsia" w:ascii="宋体" w:hAnsi="宋体" w:cs="宋体"/>
          <w:sz w:val="24"/>
          <w:szCs w:val="32"/>
          <w:u w:val="single"/>
        </w:rPr>
        <w:t>于收到之日起5日内批复。</w:t>
      </w:r>
    </w:p>
    <w:p w14:paraId="4D154D4C">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群体工程中有关进度计划的要求：</w:t>
      </w:r>
      <w:r>
        <w:rPr>
          <w:rFonts w:hint="eastAsia" w:ascii="宋体" w:hAnsi="宋体" w:cs="宋体"/>
          <w:sz w:val="24"/>
          <w:szCs w:val="32"/>
          <w:u w:val="single"/>
        </w:rPr>
        <w:t>按投标（响应）文件计划。</w:t>
      </w:r>
    </w:p>
    <w:p w14:paraId="454336F9">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7.5工期延误</w:t>
      </w:r>
    </w:p>
    <w:p w14:paraId="3EA0CA8B">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7.5.1双方约定工期顺延的其他情况：</w:t>
      </w:r>
      <w:r>
        <w:rPr>
          <w:rFonts w:hint="eastAsia" w:ascii="宋体" w:hAnsi="宋体" w:cs="宋体"/>
          <w:sz w:val="24"/>
          <w:szCs w:val="32"/>
          <w:u w:val="single"/>
        </w:rPr>
        <w:t>因工程行政主管部门指令性（除因施工方责任外）停工；发包人不能按时支付工程进度款给承包人；非承包人责任而造成的工期延误及发包人同意顺延工期的其他情况。</w:t>
      </w:r>
    </w:p>
    <w:p w14:paraId="39871967">
      <w:pPr>
        <w:pStyle w:val="2"/>
        <w:adjustRightInd w:val="0"/>
        <w:snapToGrid w:val="0"/>
        <w:spacing w:line="356" w:lineRule="auto"/>
        <w:ind w:firstLine="562" w:firstLineChars="200"/>
        <w:rPr>
          <w:rFonts w:hint="eastAsia" w:ascii="宋体" w:hAnsi="宋体" w:eastAsia="宋体" w:cs="宋体"/>
          <w:sz w:val="28"/>
          <w:szCs w:val="28"/>
        </w:rPr>
      </w:pPr>
      <w:r>
        <w:rPr>
          <w:rFonts w:hint="eastAsia" w:ascii="宋体" w:hAnsi="宋体" w:eastAsia="宋体" w:cs="宋体"/>
          <w:sz w:val="28"/>
          <w:szCs w:val="28"/>
        </w:rPr>
        <w:t>四、材料设备供应</w:t>
      </w:r>
    </w:p>
    <w:p w14:paraId="0EE65545">
      <w:pPr>
        <w:pStyle w:val="2"/>
        <w:adjustRightInd w:val="0"/>
        <w:snapToGrid w:val="0"/>
        <w:spacing w:line="356"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8.1发包人供应材料设备：</w:t>
      </w:r>
      <w:r>
        <w:rPr>
          <w:rFonts w:hint="eastAsia" w:ascii="宋体" w:hAnsi="宋体" w:eastAsia="宋体" w:cs="宋体"/>
          <w:sz w:val="24"/>
          <w:szCs w:val="24"/>
          <w:u w:val="single"/>
        </w:rPr>
        <w:t xml:space="preserve"> </w:t>
      </w:r>
      <w:r>
        <w:rPr>
          <w:rFonts w:hint="eastAsia" w:ascii="宋体" w:hAnsi="宋体" w:eastAsia="宋体" w:cs="宋体"/>
          <w:b w:val="0"/>
          <w:bCs w:val="0"/>
          <w:sz w:val="24"/>
          <w:szCs w:val="24"/>
          <w:u w:val="single"/>
        </w:rPr>
        <w:t xml:space="preserve"> 无  </w:t>
      </w:r>
      <w:r>
        <w:rPr>
          <w:rFonts w:hint="eastAsia" w:ascii="宋体" w:hAnsi="宋体" w:eastAsia="宋体" w:cs="宋体"/>
          <w:b w:val="0"/>
          <w:bCs w:val="0"/>
          <w:sz w:val="24"/>
          <w:szCs w:val="24"/>
        </w:rPr>
        <w:t xml:space="preserve"> 。</w:t>
      </w:r>
    </w:p>
    <w:p w14:paraId="3561EB2B">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8.3.1发包人供应的材料设备与一览表不符时，双方约定发包人承担责任如下：</w:t>
      </w:r>
    </w:p>
    <w:p w14:paraId="0887A5D1">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材料设备单价与一览表不符：</w:t>
      </w:r>
      <w:r>
        <w:rPr>
          <w:rFonts w:hint="eastAsia" w:ascii="宋体" w:hAnsi="宋体" w:cs="宋体"/>
          <w:sz w:val="24"/>
          <w:u w:val="single"/>
        </w:rPr>
        <w:t xml:space="preserve">  无  </w:t>
      </w:r>
      <w:r>
        <w:rPr>
          <w:rFonts w:hint="eastAsia" w:ascii="宋体" w:hAnsi="宋体" w:cs="宋体"/>
          <w:sz w:val="24"/>
        </w:rPr>
        <w:t xml:space="preserve"> 。</w:t>
      </w:r>
    </w:p>
    <w:p w14:paraId="56F10A8E">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材料设备的品种、规格、型号、质量等级与一览表不符：</w:t>
      </w:r>
      <w:r>
        <w:rPr>
          <w:rFonts w:hint="eastAsia" w:ascii="宋体" w:hAnsi="宋体" w:cs="宋体"/>
          <w:sz w:val="24"/>
          <w:u w:val="single"/>
        </w:rPr>
        <w:t xml:space="preserve">  无  </w:t>
      </w:r>
      <w:r>
        <w:rPr>
          <w:rFonts w:hint="eastAsia" w:ascii="宋体" w:hAnsi="宋体" w:cs="宋体"/>
          <w:sz w:val="24"/>
        </w:rPr>
        <w:t xml:space="preserve"> 。</w:t>
      </w:r>
    </w:p>
    <w:p w14:paraId="782EDC4C">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kern w:val="0"/>
          <w:sz w:val="24"/>
        </w:rPr>
        <w:t>承包人可代为调剂串换的材料：</w:t>
      </w:r>
      <w:r>
        <w:rPr>
          <w:rFonts w:hint="eastAsia" w:ascii="宋体" w:hAnsi="宋体" w:cs="宋体"/>
          <w:sz w:val="24"/>
          <w:u w:val="single"/>
        </w:rPr>
        <w:t xml:space="preserve">  无  </w:t>
      </w:r>
      <w:r>
        <w:rPr>
          <w:rFonts w:hint="eastAsia" w:ascii="宋体" w:hAnsi="宋体" w:cs="宋体"/>
          <w:sz w:val="24"/>
        </w:rPr>
        <w:t xml:space="preserve"> 。</w:t>
      </w:r>
    </w:p>
    <w:p w14:paraId="38C65356">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到货地点与一览表不符：</w:t>
      </w:r>
      <w:r>
        <w:rPr>
          <w:rFonts w:hint="eastAsia" w:ascii="宋体" w:hAnsi="宋体" w:cs="宋体"/>
          <w:sz w:val="24"/>
          <w:u w:val="single"/>
        </w:rPr>
        <w:t xml:space="preserve">  无  </w:t>
      </w:r>
      <w:r>
        <w:rPr>
          <w:rFonts w:hint="eastAsia" w:ascii="宋体" w:hAnsi="宋体" w:cs="宋体"/>
          <w:sz w:val="24"/>
        </w:rPr>
        <w:t xml:space="preserve"> 。</w:t>
      </w:r>
    </w:p>
    <w:p w14:paraId="2B77CA4F">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供应数量与一览表不符：</w:t>
      </w:r>
      <w:r>
        <w:rPr>
          <w:rFonts w:hint="eastAsia" w:ascii="宋体" w:hAnsi="宋体" w:cs="宋体"/>
          <w:sz w:val="24"/>
          <w:u w:val="single"/>
        </w:rPr>
        <w:t xml:space="preserve">  无  </w:t>
      </w:r>
      <w:r>
        <w:rPr>
          <w:rFonts w:hint="eastAsia" w:ascii="宋体" w:hAnsi="宋体" w:cs="宋体"/>
          <w:sz w:val="24"/>
        </w:rPr>
        <w:t xml:space="preserve"> 。</w:t>
      </w:r>
    </w:p>
    <w:p w14:paraId="2D98F7CA">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到货时间与一览表不符：</w:t>
      </w:r>
      <w:r>
        <w:rPr>
          <w:rFonts w:hint="eastAsia" w:ascii="宋体" w:hAnsi="宋体" w:cs="宋体"/>
          <w:sz w:val="24"/>
          <w:u w:val="single"/>
        </w:rPr>
        <w:t xml:space="preserve">  无  </w:t>
      </w:r>
      <w:r>
        <w:rPr>
          <w:rFonts w:hint="eastAsia" w:ascii="宋体" w:hAnsi="宋体" w:cs="宋体"/>
          <w:sz w:val="24"/>
        </w:rPr>
        <w:t xml:space="preserve"> 。</w:t>
      </w:r>
    </w:p>
    <w:p w14:paraId="6066D7F9">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发包人供应材料设备的</w:t>
      </w:r>
      <w:r>
        <w:rPr>
          <w:rFonts w:hint="eastAsia" w:ascii="宋体" w:hAnsi="宋体" w:cs="宋体"/>
          <w:bCs/>
          <w:sz w:val="24"/>
        </w:rPr>
        <w:t>结算方法：</w:t>
      </w:r>
      <w:r>
        <w:rPr>
          <w:rFonts w:hint="eastAsia" w:ascii="宋体" w:hAnsi="宋体" w:cs="宋体"/>
          <w:sz w:val="24"/>
          <w:u w:val="single"/>
        </w:rPr>
        <w:t xml:space="preserve">  无  </w:t>
      </w:r>
      <w:r>
        <w:rPr>
          <w:rFonts w:hint="eastAsia" w:ascii="宋体" w:hAnsi="宋体" w:cs="宋体"/>
          <w:sz w:val="24"/>
        </w:rPr>
        <w:t xml:space="preserve"> 。</w:t>
      </w:r>
    </w:p>
    <w:p w14:paraId="64785242">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8.2</w:t>
      </w:r>
      <w:r>
        <w:rPr>
          <w:rFonts w:hint="eastAsia" w:ascii="宋体" w:hAnsi="宋体" w:cs="宋体"/>
          <w:kern w:val="0"/>
          <w:sz w:val="24"/>
        </w:rPr>
        <w:t>承包人采购</w:t>
      </w:r>
      <w:r>
        <w:rPr>
          <w:rFonts w:hint="eastAsia" w:ascii="宋体" w:hAnsi="宋体" w:cs="宋体"/>
          <w:sz w:val="24"/>
        </w:rPr>
        <w:t>材料设备</w:t>
      </w:r>
    </w:p>
    <w:p w14:paraId="76F88FE8">
      <w:pPr>
        <w:adjustRightInd w:val="0"/>
        <w:snapToGrid w:val="0"/>
        <w:spacing w:line="356" w:lineRule="auto"/>
        <w:ind w:firstLine="480" w:firstLineChars="200"/>
        <w:rPr>
          <w:rFonts w:hint="eastAsia" w:ascii="宋体" w:hAnsi="宋体" w:cs="宋体"/>
        </w:rPr>
      </w:pPr>
      <w:r>
        <w:rPr>
          <w:rFonts w:hint="eastAsia" w:ascii="宋体" w:hAnsi="宋体" w:cs="宋体"/>
          <w:kern w:val="0"/>
          <w:sz w:val="24"/>
        </w:rPr>
        <w:t>承包人采购</w:t>
      </w:r>
      <w:r>
        <w:rPr>
          <w:rFonts w:hint="eastAsia" w:ascii="宋体" w:hAnsi="宋体" w:cs="宋体"/>
          <w:sz w:val="24"/>
        </w:rPr>
        <w:t>材料设备的约定：</w:t>
      </w:r>
      <w:r>
        <w:rPr>
          <w:rFonts w:hint="eastAsia" w:ascii="宋体" w:hAnsi="宋体" w:cs="宋体"/>
          <w:sz w:val="24"/>
          <w:u w:val="single"/>
        </w:rPr>
        <w:t xml:space="preserve">本合同工程实行承包人包工包料方式，由承包人自购。所购材料必须有产品合格证，试验或检验报告，并由监理工程师和发包人工地代表验证后才能进场及投入施工。  </w:t>
      </w:r>
    </w:p>
    <w:p w14:paraId="38B5A0A2">
      <w:pPr>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五、变更</w:t>
      </w:r>
    </w:p>
    <w:p w14:paraId="2AE02951">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按《通用条款》10.1、10.2、10.3、10.4款执行。</w:t>
      </w:r>
    </w:p>
    <w:p w14:paraId="749DC052">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10.4.1变更的估价原则</w:t>
      </w:r>
    </w:p>
    <w:p w14:paraId="62E7F6F5">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因变更引起的价格调整按照本款约定处理。</w:t>
      </w:r>
    </w:p>
    <w:p w14:paraId="77FA07DE">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（1）已标价工程量清单中有使用于变更工作的子目的，采用该子目的单价。</w:t>
      </w:r>
    </w:p>
    <w:p w14:paraId="4E0CBAF2">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（2）已标价工程量清单中无适用于变更工作的子目的，但有类似子目的，可在合理范围内参照类似子目的单价。</w:t>
      </w:r>
    </w:p>
    <w:p w14:paraId="596CB3F3">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（3）已标价工程量清单中无适用或类似子目的单价，</w:t>
      </w:r>
      <w:r>
        <w:rPr>
          <w:rFonts w:hint="eastAsia" w:ascii="宋体" w:hAnsi="宋体" w:cs="宋体"/>
          <w:sz w:val="24"/>
          <w:szCs w:val="32"/>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3A40498B">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11、价格调整</w:t>
      </w:r>
    </w:p>
    <w:p w14:paraId="4F523249">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11.1物价波动引起价格调整：</w:t>
      </w:r>
      <w:r>
        <w:rPr>
          <w:rFonts w:hint="eastAsia" w:ascii="宋体" w:hAnsi="宋体" w:cs="宋体"/>
          <w:sz w:val="24"/>
          <w:szCs w:val="32"/>
          <w:u w:val="single"/>
        </w:rPr>
        <w:t xml:space="preserve"> 无。</w:t>
      </w:r>
    </w:p>
    <w:p w14:paraId="1F5FFDBA">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11.1.1采用价格指数调整价格差额：</w:t>
      </w:r>
      <w:r>
        <w:rPr>
          <w:rFonts w:hint="eastAsia" w:ascii="宋体" w:hAnsi="宋体" w:cs="宋体"/>
          <w:sz w:val="24"/>
          <w:szCs w:val="32"/>
          <w:u w:val="single"/>
        </w:rPr>
        <w:t>无。</w:t>
      </w:r>
    </w:p>
    <w:p w14:paraId="40958EEE">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11.1.2采用造价信息调整价格差额：</w:t>
      </w:r>
      <w:r>
        <w:rPr>
          <w:rFonts w:hint="eastAsia" w:ascii="宋体" w:hAnsi="宋体" w:cs="宋体"/>
          <w:sz w:val="24"/>
          <w:szCs w:val="32"/>
          <w:u w:val="single"/>
        </w:rPr>
        <w:t>无。</w:t>
      </w:r>
    </w:p>
    <w:p w14:paraId="44990971">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双方约定合同价款的其他调整因素：</w:t>
      </w:r>
      <w:r>
        <w:rPr>
          <w:rFonts w:hint="eastAsia" w:ascii="宋体" w:hAnsi="宋体" w:cs="宋体"/>
          <w:sz w:val="24"/>
          <w:szCs w:val="32"/>
          <w:u w:val="single"/>
        </w:rPr>
        <w:t>无。</w:t>
      </w:r>
    </w:p>
    <w:p w14:paraId="3E0C0ABE">
      <w:pPr>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六、合同价款与支付</w:t>
      </w:r>
    </w:p>
    <w:p w14:paraId="6F04FAEE">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12、合同价款及调整</w:t>
      </w:r>
    </w:p>
    <w:p w14:paraId="2D1B697C">
      <w:pPr>
        <w:pStyle w:val="6"/>
        <w:spacing w:line="356" w:lineRule="auto"/>
        <w:ind w:firstLine="480" w:firstLineChars="200"/>
        <w:rPr>
          <w:rFonts w:hint="eastAsia" w:ascii="宋体" w:hAnsi="宋体" w:cs="宋体"/>
          <w:b w:val="0"/>
          <w:sz w:val="24"/>
          <w:szCs w:val="24"/>
        </w:rPr>
      </w:pPr>
      <w:r>
        <w:rPr>
          <w:rFonts w:hint="eastAsia" w:ascii="宋体" w:hAnsi="宋体" w:cs="宋体"/>
          <w:b w:val="0"/>
          <w:sz w:val="24"/>
          <w:szCs w:val="24"/>
        </w:rPr>
        <w:t>12.2预付款</w:t>
      </w:r>
    </w:p>
    <w:p w14:paraId="0FAA789E">
      <w:pPr>
        <w:spacing w:line="356" w:lineRule="auto"/>
        <w:ind w:firstLine="480" w:firstLineChars="200"/>
        <w:jc w:val="left"/>
        <w:rPr>
          <w:rFonts w:hint="eastAsia" w:ascii="宋体" w:hAnsi="宋体" w:cs="宋体"/>
          <w:kern w:val="0"/>
          <w:sz w:val="24"/>
        </w:rPr>
      </w:pPr>
      <w:r>
        <w:rPr>
          <w:rFonts w:hint="eastAsia" w:ascii="宋体" w:hAnsi="宋体" w:cs="宋体"/>
          <w:sz w:val="24"/>
        </w:rPr>
        <w:t>12.2.1</w:t>
      </w:r>
      <w:r>
        <w:rPr>
          <w:rFonts w:hint="eastAsia" w:ascii="宋体" w:hAnsi="宋体" w:cs="宋体"/>
          <w:kern w:val="0"/>
          <w:sz w:val="24"/>
        </w:rPr>
        <w:t>预付款的支付</w:t>
      </w:r>
    </w:p>
    <w:p w14:paraId="19E1EC37">
      <w:pPr>
        <w:spacing w:line="356" w:lineRule="auto"/>
        <w:ind w:firstLine="480" w:firstLineChars="200"/>
        <w:jc w:val="left"/>
        <w:rPr>
          <w:rFonts w:hint="eastAsia" w:ascii="宋体" w:hAnsi="宋体" w:cs="宋体"/>
          <w:sz w:val="24"/>
          <w:szCs w:val="32"/>
        </w:rPr>
      </w:pPr>
      <w:r>
        <w:rPr>
          <w:rFonts w:hint="eastAsia" w:ascii="宋体" w:hAnsi="宋体" w:cs="宋体"/>
          <w:kern w:val="0"/>
          <w:sz w:val="24"/>
        </w:rPr>
        <w:t>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0B2FB0E8">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12.1</w:t>
      </w:r>
      <w:r>
        <w:rPr>
          <w:rFonts w:hint="eastAsia" w:ascii="宋体" w:hAnsi="宋体" w:cs="宋体"/>
          <w:sz w:val="24"/>
          <w:szCs w:val="32"/>
        </w:rPr>
        <w:t>本合同价款采用</w:t>
      </w:r>
      <w:r>
        <w:rPr>
          <w:rFonts w:hint="eastAsia" w:ascii="宋体" w:hAnsi="宋体" w:cs="宋体"/>
          <w:sz w:val="24"/>
          <w:szCs w:val="32"/>
          <w:u w:val="single"/>
        </w:rPr>
        <w:t xml:space="preserve"> 固定综合单价（指工程量清单所包含的内容）</w:t>
      </w:r>
      <w:r>
        <w:rPr>
          <w:rFonts w:hint="eastAsia" w:ascii="宋体" w:hAnsi="宋体" w:cs="宋体"/>
          <w:sz w:val="24"/>
          <w:szCs w:val="32"/>
        </w:rPr>
        <w:t>合同方式确定。</w:t>
      </w:r>
    </w:p>
    <w:p w14:paraId="3FA26D3A">
      <w:pPr>
        <w:numPr>
          <w:ilvl w:val="0"/>
          <w:numId w:val="9"/>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风险费用的计算方式：</w:t>
      </w:r>
      <w:r>
        <w:rPr>
          <w:rFonts w:hint="eastAsia" w:ascii="宋体" w:hAnsi="宋体" w:cs="宋体"/>
          <w:sz w:val="24"/>
          <w:szCs w:val="32"/>
          <w:u w:val="single"/>
        </w:rPr>
        <w:t>无。</w:t>
      </w:r>
    </w:p>
    <w:p w14:paraId="554525B5">
      <w:pPr>
        <w:numPr>
          <w:ilvl w:val="0"/>
          <w:numId w:val="9"/>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采用可调价格合同，合同价款调整方式：</w:t>
      </w:r>
      <w:r>
        <w:rPr>
          <w:rFonts w:hint="eastAsia" w:ascii="宋体" w:hAnsi="宋体" w:cs="宋体"/>
          <w:sz w:val="24"/>
          <w:szCs w:val="32"/>
          <w:u w:val="single"/>
        </w:rPr>
        <w:t>无。</w:t>
      </w:r>
    </w:p>
    <w:p w14:paraId="58C47036">
      <w:pPr>
        <w:numPr>
          <w:ilvl w:val="0"/>
          <w:numId w:val="9"/>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采用成本加酬金合同，有关成本和酬金的约定：</w:t>
      </w:r>
      <w:r>
        <w:rPr>
          <w:rFonts w:hint="eastAsia" w:ascii="宋体" w:hAnsi="宋体" w:cs="宋体"/>
          <w:sz w:val="24"/>
          <w:szCs w:val="32"/>
          <w:u w:val="single"/>
        </w:rPr>
        <w:t>无。</w:t>
      </w:r>
    </w:p>
    <w:p w14:paraId="0311B132">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1.双方约定合同价款及其他调整因素：</w:t>
      </w:r>
      <w:r>
        <w:rPr>
          <w:rFonts w:hint="eastAsia" w:ascii="宋体" w:hAnsi="宋体" w:cs="宋体"/>
          <w:sz w:val="24"/>
          <w:szCs w:val="32"/>
          <w:u w:val="single"/>
        </w:rPr>
        <w:t>工程量清单所包含的内容以外部分。</w:t>
      </w:r>
    </w:p>
    <w:p w14:paraId="58C77C04">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12.2.1</w:t>
      </w:r>
      <w:r>
        <w:rPr>
          <w:rFonts w:hint="eastAsia" w:ascii="宋体" w:hAnsi="宋体" w:cs="宋体"/>
          <w:sz w:val="24"/>
          <w:szCs w:val="32"/>
        </w:rPr>
        <w:t>工程款付款</w:t>
      </w:r>
    </w:p>
    <w:p w14:paraId="77ED8FC7">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发包人向承包人预付工程款的时间和金额或占合同价款总额的比例：</w:t>
      </w:r>
      <w:r>
        <w:rPr>
          <w:rFonts w:hint="eastAsia" w:ascii="宋体" w:hAnsi="宋体" w:cs="宋体"/>
          <w:sz w:val="24"/>
          <w:szCs w:val="32"/>
          <w:u w:val="single"/>
        </w:rPr>
        <w:t>在合同协议书签订和承包人依据经监理人出具开工令进场开工后，承包人将预付款申请材料报送发包人审核批准后予以支付。</w:t>
      </w:r>
    </w:p>
    <w:p w14:paraId="6FB1AC77">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扣回工程款的时间、比例：</w:t>
      </w:r>
      <w:r>
        <w:rPr>
          <w:rFonts w:hint="eastAsia" w:ascii="宋体" w:hAnsi="宋体" w:cs="宋体"/>
          <w:sz w:val="24"/>
          <w:szCs w:val="32"/>
          <w:u w:val="single"/>
        </w:rPr>
        <w:t>第一次申请进度款时扣回30%预付款。</w:t>
      </w:r>
    </w:p>
    <w:p w14:paraId="0E325615">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12.3</w:t>
      </w:r>
      <w:r>
        <w:rPr>
          <w:rFonts w:hint="eastAsia" w:ascii="宋体" w:hAnsi="宋体" w:cs="宋体"/>
          <w:sz w:val="24"/>
          <w:szCs w:val="32"/>
        </w:rPr>
        <w:t>工程量确认</w:t>
      </w:r>
    </w:p>
    <w:p w14:paraId="3C1D190E">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rPr>
        <w:t>12.3.3</w:t>
      </w:r>
      <w:r>
        <w:rPr>
          <w:rFonts w:hint="eastAsia" w:ascii="宋体" w:hAnsi="宋体" w:cs="宋体"/>
          <w:sz w:val="24"/>
          <w:szCs w:val="32"/>
        </w:rPr>
        <w:t>承包人向工程师提交已完工程量报告的时间：</w:t>
      </w:r>
      <w:r>
        <w:rPr>
          <w:rFonts w:hint="eastAsia" w:ascii="宋体" w:hAnsi="宋体" w:cs="宋体"/>
          <w:sz w:val="24"/>
          <w:szCs w:val="32"/>
          <w:u w:val="single"/>
        </w:rPr>
        <w:t>每月25日。</w:t>
      </w:r>
    </w:p>
    <w:p w14:paraId="4356F51E">
      <w:pPr>
        <w:pStyle w:val="4"/>
        <w:adjustRightInd w:val="0"/>
        <w:snapToGrid w:val="0"/>
        <w:spacing w:before="0" w:after="0" w:line="356" w:lineRule="auto"/>
        <w:ind w:firstLine="480" w:firstLineChars="200"/>
        <w:rPr>
          <w:rFonts w:hint="eastAsia" w:cs="宋体"/>
          <w:b w:val="0"/>
          <w:bCs w:val="0"/>
          <w:szCs w:val="24"/>
        </w:rPr>
      </w:pPr>
      <w:r>
        <w:rPr>
          <w:rFonts w:hint="eastAsia" w:cs="宋体"/>
          <w:b w:val="0"/>
          <w:bCs w:val="0"/>
          <w:kern w:val="2"/>
          <w:szCs w:val="24"/>
        </w:rPr>
        <w:t>12.4</w:t>
      </w:r>
      <w:r>
        <w:rPr>
          <w:rFonts w:hint="eastAsia" w:cs="宋体"/>
          <w:b w:val="0"/>
          <w:bCs w:val="0"/>
          <w:szCs w:val="24"/>
        </w:rPr>
        <w:t>工程款（进度款）支付</w:t>
      </w:r>
    </w:p>
    <w:p w14:paraId="7A06613A">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双方约定的工程款（进度款）的支付方式和时间：工程款原则上按月支付，合同内进度款支付限额为已完成工程量的90%，工程变更部分进度款支付限额为已完成工程量的60%。工程完工验收达到质量要求， 结算经有资质审计机构审定后，承包人缴纳结算金额3%的质量保证金后，工程款支付至结算总价的100%（含已支付的）。每次支付款项前，承包人需提供相应金额的增值税发票，否则，发包人有权相应顺延当期的付款时间。</w:t>
      </w:r>
    </w:p>
    <w:p w14:paraId="61CCEC66">
      <w:pPr>
        <w:tabs>
          <w:tab w:val="left" w:pos="4173"/>
        </w:tabs>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七、质量与验收</w:t>
      </w:r>
      <w:r>
        <w:rPr>
          <w:rFonts w:hint="eastAsia" w:ascii="宋体" w:hAnsi="宋体" w:cs="宋体"/>
          <w:b/>
          <w:bCs/>
          <w:sz w:val="28"/>
          <w:szCs w:val="36"/>
        </w:rPr>
        <w:tab/>
      </w:r>
    </w:p>
    <w:p w14:paraId="0D95E87D">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13.1隐蔽工程和中间验收</w:t>
      </w:r>
    </w:p>
    <w:p w14:paraId="4B04B84F">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13.1.1双方约定中间验收部位：</w:t>
      </w:r>
      <w:r>
        <w:rPr>
          <w:rFonts w:hint="eastAsia" w:ascii="宋体" w:hAnsi="宋体" w:cs="宋体"/>
          <w:sz w:val="24"/>
          <w:szCs w:val="32"/>
          <w:u w:val="single"/>
        </w:rPr>
        <w:t xml:space="preserve">     /    。</w:t>
      </w:r>
    </w:p>
    <w:p w14:paraId="0F1F91AF">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13.3工程试车</w:t>
      </w:r>
    </w:p>
    <w:p w14:paraId="49249807">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13.3.1试车费用的承担：</w:t>
      </w:r>
      <w:r>
        <w:rPr>
          <w:rFonts w:hint="eastAsia" w:ascii="宋体" w:hAnsi="宋体" w:cs="宋体"/>
          <w:sz w:val="24"/>
          <w:szCs w:val="32"/>
          <w:u w:val="single"/>
        </w:rPr>
        <w:t>无。</w:t>
      </w:r>
    </w:p>
    <w:p w14:paraId="1BE919E4">
      <w:pPr>
        <w:tabs>
          <w:tab w:val="left" w:pos="463"/>
        </w:tabs>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八、竣工验收与结算</w:t>
      </w:r>
    </w:p>
    <w:p w14:paraId="5892EF08">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13.2竣工验收</w:t>
      </w:r>
    </w:p>
    <w:p w14:paraId="17E8F062">
      <w:pPr>
        <w:tabs>
          <w:tab w:val="left" w:pos="463"/>
        </w:tabs>
        <w:adjustRightInd w:val="0"/>
        <w:snapToGrid w:val="0"/>
        <w:spacing w:line="356" w:lineRule="auto"/>
        <w:ind w:firstLine="480" w:firstLineChars="200"/>
        <w:rPr>
          <w:rFonts w:hint="eastAsia" w:ascii="宋体" w:hAnsi="宋体" w:cs="宋体"/>
          <w:bCs/>
          <w:sz w:val="24"/>
          <w:u w:val="single"/>
        </w:rPr>
      </w:pPr>
      <w:r>
        <w:rPr>
          <w:rFonts w:hint="eastAsia" w:ascii="宋体" w:hAnsi="宋体" w:cs="宋体"/>
          <w:sz w:val="24"/>
        </w:rPr>
        <w:t>13.2.2承包人</w:t>
      </w:r>
      <w:r>
        <w:rPr>
          <w:rFonts w:hint="eastAsia" w:ascii="宋体" w:hAnsi="宋体" w:cs="宋体"/>
          <w:bCs/>
          <w:sz w:val="24"/>
        </w:rPr>
        <w:t>提供竣工图的约定：</w:t>
      </w:r>
      <w:r>
        <w:rPr>
          <w:rFonts w:hint="eastAsia" w:ascii="宋体" w:hAnsi="宋体" w:cs="宋体"/>
          <w:bCs/>
          <w:sz w:val="24"/>
          <w:u w:val="single"/>
        </w:rPr>
        <w:t>项目完工后，承包人按工程竣工验收有关规定要先进行自验，并在合同期后6个月内向发包人提交完整竣工资料、自验报告和申请初验。</w:t>
      </w:r>
    </w:p>
    <w:p w14:paraId="5E5A9759">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bCs/>
          <w:sz w:val="24"/>
        </w:rPr>
        <w:t>中间交工工程的范围和竣工时间：</w:t>
      </w:r>
      <w:r>
        <w:rPr>
          <w:rFonts w:hint="eastAsia" w:ascii="宋体" w:hAnsi="宋体" w:cs="宋体"/>
          <w:sz w:val="24"/>
          <w:u w:val="single"/>
        </w:rPr>
        <w:t xml:space="preserve">  无  </w:t>
      </w:r>
      <w:r>
        <w:rPr>
          <w:rFonts w:hint="eastAsia" w:ascii="宋体" w:hAnsi="宋体" w:cs="宋体"/>
          <w:sz w:val="24"/>
        </w:rPr>
        <w:t xml:space="preserve"> 。</w:t>
      </w:r>
    </w:p>
    <w:p w14:paraId="546D1091">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14、竣工结算</w:t>
      </w:r>
    </w:p>
    <w:p w14:paraId="77215F57">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u w:val="single"/>
        </w:rPr>
        <w:t>工程完工验收达到质量要求，结算经有资质审计机构审定后，承包人缴纳结算金额3%的工程质量保证金，工程款支付至结算总价的100 %。</w:t>
      </w:r>
    </w:p>
    <w:p w14:paraId="5653968C">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15、质量保修</w:t>
      </w:r>
    </w:p>
    <w:p w14:paraId="5FC36222">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质量保修书的主要内容包括：</w:t>
      </w:r>
    </w:p>
    <w:p w14:paraId="6598940E">
      <w:pPr>
        <w:numPr>
          <w:ilvl w:val="0"/>
          <w:numId w:val="10"/>
        </w:num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质量保证金的支付方法：</w:t>
      </w:r>
    </w:p>
    <w:p w14:paraId="2974D7E5">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在工程保修期在内，发包人可以根据国家有关规定和合同规定的金额，在支付承包人的工程款内预留质量保证金。质量保证金为：</w:t>
      </w:r>
      <w:r>
        <w:rPr>
          <w:rFonts w:hint="eastAsia" w:ascii="宋体" w:hAnsi="宋体" w:cs="宋体"/>
          <w:sz w:val="24"/>
          <w:u w:val="single"/>
        </w:rPr>
        <w:t>结算金额3%</w:t>
      </w:r>
      <w:r>
        <w:rPr>
          <w:rFonts w:hint="eastAsia" w:ascii="宋体" w:hAnsi="宋体" w:cs="宋体"/>
          <w:sz w:val="24"/>
        </w:rPr>
        <w:t>。发包人在工程质量保修满壹年之日起经发包人复核合格后可向财政部门申请全部退回质量保证金给承包人（无息）。</w:t>
      </w:r>
    </w:p>
    <w:p w14:paraId="028B3ADF">
      <w:pPr>
        <w:numPr>
          <w:ilvl w:val="0"/>
          <w:numId w:val="11"/>
        </w:numPr>
        <w:tabs>
          <w:tab w:val="left" w:pos="463"/>
        </w:tabs>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违约和索赔</w:t>
      </w:r>
    </w:p>
    <w:p w14:paraId="325E25D9">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16、违约</w:t>
      </w:r>
    </w:p>
    <w:p w14:paraId="60DECF72">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16.1.2本合同中关于发包人违约的具体责任如下：</w:t>
      </w:r>
    </w:p>
    <w:p w14:paraId="5EC9428C">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本合同通用条款第16.1.2条约定发包人违约应承担的违约责任：</w:t>
      </w:r>
      <w:r>
        <w:rPr>
          <w:rFonts w:hint="eastAsia" w:ascii="宋体" w:hAnsi="宋体" w:cs="宋体"/>
          <w:sz w:val="24"/>
          <w:u w:val="single"/>
        </w:rPr>
        <w:t xml:space="preserve">  无  </w:t>
      </w:r>
      <w:r>
        <w:rPr>
          <w:rFonts w:hint="eastAsia" w:ascii="宋体" w:hAnsi="宋体" w:cs="宋体"/>
          <w:sz w:val="24"/>
        </w:rPr>
        <w:t xml:space="preserve"> 。</w:t>
      </w:r>
    </w:p>
    <w:p w14:paraId="6A0AD18B">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本合同通用条款第16.1.3款约定发包人违约应承担的违约责任：</w:t>
      </w:r>
      <w:r>
        <w:rPr>
          <w:rFonts w:hint="eastAsia" w:ascii="宋体" w:hAnsi="宋体" w:cs="宋体"/>
          <w:sz w:val="24"/>
          <w:u w:val="single"/>
        </w:rPr>
        <w:t>按通用条款第16.1.3款执行。</w:t>
      </w:r>
    </w:p>
    <w:p w14:paraId="3C15B5C9">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本合同通用条款第16.1.4款约定发包人违约应承担的违约责任：</w:t>
      </w:r>
      <w:r>
        <w:rPr>
          <w:rFonts w:hint="eastAsia" w:ascii="宋体" w:hAnsi="宋体" w:cs="宋体"/>
          <w:sz w:val="24"/>
          <w:u w:val="single"/>
        </w:rPr>
        <w:t xml:space="preserve">  无  </w:t>
      </w:r>
      <w:r>
        <w:rPr>
          <w:rFonts w:hint="eastAsia" w:ascii="宋体" w:hAnsi="宋体" w:cs="宋体"/>
          <w:sz w:val="24"/>
        </w:rPr>
        <w:t xml:space="preserve"> 。</w:t>
      </w:r>
    </w:p>
    <w:p w14:paraId="27EBB644">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双方约定的发包人其他违约责任：</w:t>
      </w:r>
      <w:r>
        <w:rPr>
          <w:rFonts w:hint="eastAsia" w:ascii="宋体" w:hAnsi="宋体" w:cs="宋体"/>
          <w:sz w:val="24"/>
          <w:u w:val="single"/>
        </w:rPr>
        <w:t>按通用条款执行。</w:t>
      </w:r>
    </w:p>
    <w:p w14:paraId="18BC04CE">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 承包人违约</w:t>
      </w:r>
    </w:p>
    <w:p w14:paraId="00110BDC">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16.2.1 承包人违约的情形</w:t>
      </w:r>
    </w:p>
    <w:p w14:paraId="2900B32A">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 xml:space="preserve">承包人违约的其他情形： </w:t>
      </w:r>
    </w:p>
    <w:p w14:paraId="1AE62D99">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（8）承包人未在约定的时间内提供完整的工程竣工结算资料，经发包人书面催促后 28 天内仍未提交。</w:t>
      </w:r>
    </w:p>
    <w:p w14:paraId="0B7017CF">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16.2.2承包人违约的责任</w:t>
      </w:r>
    </w:p>
    <w:p w14:paraId="664E0FC7">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 xml:space="preserve">承包人违约责任的承担方式和计算方法： </w:t>
      </w:r>
    </w:p>
    <w:p w14:paraId="5BC02C3E">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（1）承包人违反合同约定进行转包或违法分包的，监理人可向承包人发出整改通知，要求其在指定的期限内改正，并且承包人应按合同价款20%向发包人支付违约金；</w:t>
      </w:r>
    </w:p>
    <w:p w14:paraId="766E3663">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（2）承包人违反合同约定采购和使用不合格的材料和工程设备的，承包人应将不合格的材料和工程设备的限期清理出施工场地，并负责承担返工及造成损失的费用；</w:t>
      </w:r>
    </w:p>
    <w:p w14:paraId="7D297B6F">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 xml:space="preserve">（3）因承包人原因导致工程质量不符合合同要求的，承包人应负责返工或修整，并负责由此产生的费用和损失； </w:t>
      </w:r>
    </w:p>
    <w:p w14:paraId="3B713AC0">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（4）承包人违反通用合同条款第8.9款〔材料与设备专用要求〕的约定，未经批准，私自将已按照合同约定进入施工现场的材料或设备撤离施工现场的，承包人应负责承担由此产生的费用和损失；</w:t>
      </w:r>
    </w:p>
    <w:p w14:paraId="01E7A11C">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（5）承包人未能按施工进度计划及时完成合同约定的工作，造成工期延误的，承包人应进行施工进度计划调整并按时完成合同约定的工作，并承担赶工所产生的费用；</w:t>
      </w:r>
    </w:p>
    <w:p w14:paraId="2E1C5BFB">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1101777E">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（7）承包人明确表示或者以其行为表明不履行合同主要义务的，发包人有权解除合同，并承担发包人不能按期投入使用所造成全部的损失。</w:t>
      </w:r>
    </w:p>
    <w:p w14:paraId="0051D5F3">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5E896F17">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（9）承包人的其他违约见本合同其他条款的约定。</w:t>
      </w:r>
    </w:p>
    <w:p w14:paraId="5977BED1">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16.2.2本合同中关于承包人违约的具体责任如下：</w:t>
      </w:r>
    </w:p>
    <w:p w14:paraId="61E02AA5">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双方约定的承包人其他违约责任：</w:t>
      </w:r>
      <w:r>
        <w:rPr>
          <w:rFonts w:hint="eastAsia" w:ascii="宋体" w:hAnsi="宋体" w:cs="宋体"/>
          <w:sz w:val="24"/>
          <w:u w:val="single"/>
        </w:rPr>
        <w:t>按通用条款执行。</w:t>
      </w:r>
    </w:p>
    <w:p w14:paraId="6FD0EA29">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3CB40827">
      <w:pPr>
        <w:numPr>
          <w:ilvl w:val="0"/>
          <w:numId w:val="11"/>
        </w:numPr>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不可抗力、保险及争议</w:t>
      </w:r>
    </w:p>
    <w:p w14:paraId="61A99150">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17、不可抗力</w:t>
      </w:r>
    </w:p>
    <w:p w14:paraId="41389F67">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17.1双方关于不可抗力的约定：按《通用条款》第17款执行。</w:t>
      </w:r>
    </w:p>
    <w:p w14:paraId="3447F721">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18、保险</w:t>
      </w:r>
    </w:p>
    <w:p w14:paraId="47E0761E">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18.1本工程双方约定投保内容如下：</w:t>
      </w:r>
    </w:p>
    <w:p w14:paraId="09204188">
      <w:pPr>
        <w:numPr>
          <w:ilvl w:val="0"/>
          <w:numId w:val="12"/>
        </w:num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发包人投保内容：</w:t>
      </w:r>
      <w:r>
        <w:rPr>
          <w:rFonts w:hint="eastAsia" w:ascii="宋体" w:hAnsi="宋体" w:cs="宋体"/>
          <w:sz w:val="24"/>
          <w:u w:val="single"/>
        </w:rPr>
        <w:t>按国家政策自行办理。</w:t>
      </w:r>
    </w:p>
    <w:p w14:paraId="357EAFB6">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发包人委托承包人办理的保险事项：</w:t>
      </w:r>
      <w:r>
        <w:rPr>
          <w:rFonts w:hint="eastAsia" w:ascii="宋体" w:hAnsi="宋体" w:cs="宋体"/>
          <w:sz w:val="24"/>
          <w:u w:val="single"/>
        </w:rPr>
        <w:t xml:space="preserve"> 无 。</w:t>
      </w:r>
    </w:p>
    <w:p w14:paraId="5827A086">
      <w:pPr>
        <w:numPr>
          <w:ilvl w:val="0"/>
          <w:numId w:val="12"/>
        </w:num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承包人投保内容：</w:t>
      </w:r>
      <w:r>
        <w:rPr>
          <w:rFonts w:hint="eastAsia" w:ascii="宋体" w:hAnsi="宋体" w:cs="宋体"/>
          <w:sz w:val="24"/>
          <w:u w:val="single"/>
        </w:rPr>
        <w:t>承包人应按有关规定自行投保施工人员的人身事故保险，该保险应不属于储蓄险等。承包人应于签订合同之日起10日内按有关规定自行办理。</w:t>
      </w:r>
    </w:p>
    <w:p w14:paraId="0346127E">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20、争议</w:t>
      </w:r>
    </w:p>
    <w:p w14:paraId="32402F23">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20.4本合同在履行过程中发生的争议，由双方当事人协商解决，协商不成的按下列</w:t>
      </w:r>
      <w:r>
        <w:rPr>
          <w:rFonts w:hint="eastAsia" w:ascii="宋体" w:hAnsi="宋体" w:cs="宋体"/>
          <w:sz w:val="24"/>
          <w:u w:val="single"/>
        </w:rPr>
        <w:t>第（二）</w:t>
      </w:r>
      <w:r>
        <w:rPr>
          <w:rFonts w:hint="eastAsia" w:ascii="宋体" w:hAnsi="宋体" w:cs="宋体"/>
          <w:sz w:val="24"/>
        </w:rPr>
        <w:t>种方式解决：</w:t>
      </w:r>
    </w:p>
    <w:p w14:paraId="635D1081">
      <w:pPr>
        <w:numPr>
          <w:ilvl w:val="0"/>
          <w:numId w:val="13"/>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向</w:t>
      </w:r>
      <w:r>
        <w:rPr>
          <w:rFonts w:hint="eastAsia" w:ascii="宋体" w:hAnsi="宋体" w:cs="宋体"/>
          <w:sz w:val="24"/>
          <w:u w:val="single"/>
        </w:rPr>
        <w:t>约定的</w:t>
      </w:r>
      <w:r>
        <w:rPr>
          <w:rFonts w:hint="eastAsia" w:ascii="宋体" w:hAnsi="宋体" w:cs="宋体"/>
          <w:sz w:val="24"/>
        </w:rPr>
        <w:t>仲裁委员会申请仲裁：</w:t>
      </w:r>
    </w:p>
    <w:p w14:paraId="044F1DF4">
      <w:pPr>
        <w:numPr>
          <w:ilvl w:val="0"/>
          <w:numId w:val="13"/>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依法向发包人所在地人民法院起诉。</w:t>
      </w:r>
    </w:p>
    <w:p w14:paraId="6A3CBB22">
      <w:pPr>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十一、其他</w:t>
      </w:r>
    </w:p>
    <w:p w14:paraId="36E3E89C">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21、合同份数</w:t>
      </w:r>
    </w:p>
    <w:p w14:paraId="605F79AB">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21.1双方约定合同份数：</w:t>
      </w:r>
      <w:r>
        <w:rPr>
          <w:rFonts w:hint="eastAsia" w:ascii="宋体" w:hAnsi="宋体" w:cs="宋体"/>
          <w:sz w:val="24"/>
          <w:u w:val="single"/>
        </w:rPr>
        <w:t>正本贰份，副本肆份，双方各执壹份正本，贰份副本。</w:t>
      </w:r>
    </w:p>
    <w:p w14:paraId="49CB7C86">
      <w:pPr>
        <w:spacing w:before="156" w:beforeLines="50" w:after="156" w:afterLines="50" w:line="360" w:lineRule="auto"/>
        <w:rPr>
          <w:rFonts w:hint="eastAsia" w:ascii="宋体" w:hAnsi="宋体" w:cs="宋体"/>
          <w:spacing w:val="20"/>
          <w:sz w:val="24"/>
        </w:rPr>
      </w:pPr>
      <w:r>
        <w:rPr>
          <w:rFonts w:hint="eastAsia" w:ascii="宋体" w:hAnsi="宋体" w:cs="宋体"/>
          <w:spacing w:val="20"/>
          <w:sz w:val="24"/>
        </w:rPr>
        <w:t>附件1</w:t>
      </w:r>
    </w:p>
    <w:p w14:paraId="1E74EDA2">
      <w:pPr>
        <w:spacing w:before="156" w:beforeLines="50" w:after="156" w:afterLines="50" w:line="360" w:lineRule="auto"/>
        <w:jc w:val="center"/>
        <w:rPr>
          <w:rFonts w:hint="eastAsia" w:ascii="宋体" w:hAnsi="宋体" w:cs="宋体"/>
          <w:b/>
          <w:bCs/>
          <w:spacing w:val="20"/>
          <w:sz w:val="36"/>
          <w:szCs w:val="36"/>
        </w:rPr>
      </w:pPr>
      <w:r>
        <w:rPr>
          <w:rFonts w:hint="eastAsia" w:ascii="宋体" w:hAnsi="宋体" w:cs="宋体"/>
          <w:b/>
          <w:bCs/>
          <w:spacing w:val="20"/>
          <w:sz w:val="40"/>
          <w:szCs w:val="40"/>
        </w:rPr>
        <w:t>工程质量保修书</w:t>
      </w:r>
    </w:p>
    <w:p w14:paraId="06CD283C">
      <w:pPr>
        <w:spacing w:before="156" w:beforeLines="50" w:after="156" w:afterLines="50" w:line="360" w:lineRule="auto"/>
        <w:jc w:val="center"/>
        <w:rPr>
          <w:rFonts w:hint="eastAsia" w:ascii="宋体" w:hAnsi="宋体" w:cs="宋体"/>
          <w:b/>
          <w:bCs/>
          <w:spacing w:val="20"/>
          <w:sz w:val="36"/>
          <w:szCs w:val="36"/>
        </w:rPr>
      </w:pPr>
    </w:p>
    <w:p w14:paraId="078D4B1C">
      <w:pPr>
        <w:adjustRightInd w:val="0"/>
        <w:snapToGrid w:val="0"/>
        <w:spacing w:before="156" w:beforeLines="50" w:after="156" w:afterLines="50" w:line="360" w:lineRule="auto"/>
        <w:rPr>
          <w:rFonts w:hint="eastAsia" w:ascii="宋体" w:hAnsi="宋体" w:cs="宋体"/>
          <w:spacing w:val="20"/>
          <w:sz w:val="24"/>
        </w:rPr>
      </w:pPr>
      <w:r>
        <w:rPr>
          <w:rFonts w:hint="eastAsia" w:ascii="宋体" w:hAnsi="宋体" w:cs="宋体"/>
          <w:spacing w:val="20"/>
          <w:sz w:val="24"/>
        </w:rPr>
        <w:t>发包人（全称）：</w:t>
      </w:r>
      <w:r>
        <w:rPr>
          <w:rFonts w:hint="eastAsia" w:ascii="宋体" w:hAnsi="宋体" w:cs="宋体"/>
          <w:spacing w:val="20"/>
          <w:sz w:val="24"/>
          <w:u w:val="single"/>
        </w:rPr>
        <w:t xml:space="preserve"> 浦北县石埇镇人民政府   </w:t>
      </w:r>
      <w:r>
        <w:rPr>
          <w:rFonts w:hint="eastAsia" w:ascii="宋体" w:hAnsi="宋体" w:cs="宋体"/>
          <w:spacing w:val="20"/>
          <w:sz w:val="24"/>
        </w:rPr>
        <w:t xml:space="preserve"> </w:t>
      </w:r>
    </w:p>
    <w:p w14:paraId="52872552">
      <w:pPr>
        <w:adjustRightInd w:val="0"/>
        <w:snapToGrid w:val="0"/>
        <w:spacing w:line="360" w:lineRule="auto"/>
        <w:rPr>
          <w:rFonts w:hint="eastAsia" w:ascii="宋体" w:hAnsi="宋体" w:cs="宋体"/>
          <w:spacing w:val="20"/>
          <w:sz w:val="24"/>
        </w:rPr>
      </w:pPr>
      <w:r>
        <w:rPr>
          <w:rFonts w:hint="eastAsia" w:ascii="宋体" w:hAnsi="宋体" w:cs="宋体"/>
          <w:spacing w:val="20"/>
          <w:sz w:val="24"/>
        </w:rPr>
        <w:t>承包人（全称）：</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25AFA4D1">
      <w:pPr>
        <w:adjustRightInd w:val="0"/>
        <w:snapToGrid w:val="0"/>
        <w:spacing w:line="360" w:lineRule="auto"/>
        <w:ind w:firstLine="420"/>
        <w:rPr>
          <w:rFonts w:hint="eastAsia" w:ascii="宋体" w:hAnsi="宋体" w:cs="宋体"/>
          <w:spacing w:val="20"/>
          <w:sz w:val="24"/>
        </w:rPr>
      </w:pPr>
      <w:r>
        <w:rPr>
          <w:rFonts w:hint="eastAsia" w:ascii="宋体" w:hAnsi="宋体" w:cs="宋体"/>
          <w:spacing w:val="20"/>
          <w:sz w:val="24"/>
        </w:rPr>
        <w:t>发包人和承包人根据《中华人民共和国建筑法》、《建设工程质量管理条例》和《房屋建筑工程质量保修办法》，经协商一致，对</w:t>
      </w:r>
      <w:r>
        <w:rPr>
          <w:rFonts w:hint="eastAsia" w:ascii="宋体" w:hAnsi="宋体" w:cs="宋体"/>
          <w:spacing w:val="20"/>
          <w:sz w:val="24"/>
          <w:u w:val="single"/>
        </w:rPr>
        <w:t xml:space="preserve"> 2025年石埇镇文昌村牛过埠大田角至韭菜湖农田水利工程 </w:t>
      </w:r>
      <w:r>
        <w:rPr>
          <w:rFonts w:hint="eastAsia" w:ascii="宋体" w:hAnsi="宋体" w:cs="宋体"/>
          <w:spacing w:val="20"/>
          <w:sz w:val="24"/>
        </w:rPr>
        <w:t>签订工程质量保修书。</w:t>
      </w:r>
    </w:p>
    <w:p w14:paraId="5E529A39">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1、工程质量保修范围和内容</w:t>
      </w:r>
    </w:p>
    <w:p w14:paraId="21F374AB">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承包人在质量保修期内，按照有关法律、法规、规章的管理规定和双方约定，承担工程质量保修责任。</w:t>
      </w:r>
    </w:p>
    <w:p w14:paraId="13CF968C">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DCF24D8">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u w:val="single"/>
        </w:rPr>
        <w:t xml:space="preserve"> 质量保修范围包括  工程等承包人施工的项目  </w:t>
      </w:r>
      <w:r>
        <w:rPr>
          <w:rFonts w:hint="eastAsia" w:ascii="宋体" w:hAnsi="宋体" w:cs="宋体"/>
          <w:spacing w:val="20"/>
          <w:sz w:val="24"/>
        </w:rPr>
        <w:t>。</w:t>
      </w:r>
    </w:p>
    <w:p w14:paraId="2EC53DD9">
      <w:pPr>
        <w:adjustRightInd w:val="0"/>
        <w:snapToGrid w:val="0"/>
        <w:spacing w:line="360" w:lineRule="auto"/>
        <w:ind w:firstLine="560" w:firstLineChars="200"/>
        <w:rPr>
          <w:rFonts w:hint="eastAsia" w:ascii="宋体" w:hAnsi="宋体" w:cs="宋体"/>
          <w:spacing w:val="20"/>
          <w:sz w:val="24"/>
          <w:u w:val="single"/>
        </w:rPr>
      </w:pPr>
      <w:r>
        <w:rPr>
          <w:rFonts w:hint="eastAsia" w:ascii="宋体" w:hAnsi="宋体" w:cs="宋体"/>
          <w:spacing w:val="20"/>
          <w:sz w:val="24"/>
          <w:u w:val="single"/>
        </w:rPr>
        <w:t xml:space="preserve">非承包人施工的项目或非承包人购买的材料、设备，不在保修范围内；因承包人之外的原因造成该部分材料、设备返修的经济支出，不由承包人承担。 </w:t>
      </w:r>
    </w:p>
    <w:p w14:paraId="5FE27D54">
      <w:pPr>
        <w:adjustRightInd w:val="0"/>
        <w:snapToGrid w:val="0"/>
        <w:spacing w:line="360" w:lineRule="auto"/>
        <w:ind w:firstLine="560" w:firstLineChars="200"/>
        <w:rPr>
          <w:rFonts w:hint="eastAsia" w:ascii="宋体" w:hAnsi="宋体" w:cs="宋体"/>
          <w:spacing w:val="20"/>
          <w:sz w:val="24"/>
          <w:u w:val="single"/>
        </w:rPr>
      </w:pPr>
      <w:r>
        <w:rPr>
          <w:rFonts w:hint="eastAsia" w:ascii="宋体" w:hAnsi="宋体" w:cs="宋体"/>
          <w:spacing w:val="20"/>
          <w:sz w:val="24"/>
          <w:u w:val="single"/>
        </w:rPr>
        <w:t xml:space="preserve">因使用不当或者第三方造成质量缺陷的，承包人不负担责任 。 </w:t>
      </w:r>
    </w:p>
    <w:p w14:paraId="0EEEF502">
      <w:pPr>
        <w:adjustRightInd w:val="0"/>
        <w:snapToGrid w:val="0"/>
        <w:spacing w:line="360" w:lineRule="auto"/>
        <w:ind w:firstLine="560" w:firstLineChars="200"/>
        <w:rPr>
          <w:rFonts w:hint="eastAsia" w:ascii="宋体" w:hAnsi="宋体" w:cs="宋体"/>
          <w:spacing w:val="20"/>
          <w:sz w:val="24"/>
          <w:u w:val="single"/>
        </w:rPr>
      </w:pPr>
      <w:r>
        <w:rPr>
          <w:rFonts w:hint="eastAsia" w:ascii="宋体" w:hAnsi="宋体" w:cs="宋体"/>
          <w:spacing w:val="20"/>
          <w:sz w:val="24"/>
          <w:u w:val="single"/>
        </w:rPr>
        <w:t xml:space="preserve">因不可抗力造成质量缺陷的，承包人不负担责任 。 </w:t>
      </w:r>
    </w:p>
    <w:p w14:paraId="0039FA03">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2、质量保修期</w:t>
      </w:r>
    </w:p>
    <w:p w14:paraId="4B3905FA">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根据《建设工程质量管理条例》及有关规定，约定本工程的质量保修期如下：</w:t>
      </w:r>
    </w:p>
    <w:p w14:paraId="65A72D33">
      <w:pPr>
        <w:numPr>
          <w:ilvl w:val="0"/>
          <w:numId w:val="14"/>
        </w:numPr>
        <w:adjustRightInd w:val="0"/>
        <w:snapToGrid w:val="0"/>
        <w:spacing w:line="360" w:lineRule="auto"/>
        <w:ind w:firstLine="560" w:firstLineChars="200"/>
        <w:outlineLvl w:val="0"/>
        <w:rPr>
          <w:rFonts w:hint="eastAsia" w:ascii="宋体" w:hAnsi="宋体" w:cs="宋体"/>
          <w:spacing w:val="20"/>
          <w:sz w:val="24"/>
        </w:rPr>
      </w:pPr>
      <w:r>
        <w:rPr>
          <w:rFonts w:hint="eastAsia" w:ascii="宋体" w:hAnsi="宋体" w:cs="宋体"/>
          <w:spacing w:val="20"/>
          <w:sz w:val="24"/>
        </w:rPr>
        <w:t>主体工程为设计文件规定的该工程合理使用年限。</w:t>
      </w:r>
    </w:p>
    <w:p w14:paraId="597DDC89">
      <w:pPr>
        <w:numPr>
          <w:ilvl w:val="0"/>
          <w:numId w:val="14"/>
        </w:numPr>
        <w:adjustRightInd w:val="0"/>
        <w:snapToGrid w:val="0"/>
        <w:spacing w:line="360" w:lineRule="auto"/>
        <w:ind w:firstLine="560" w:firstLineChars="200"/>
        <w:outlineLvl w:val="0"/>
        <w:rPr>
          <w:rFonts w:hint="eastAsia" w:ascii="宋体" w:hAnsi="宋体" w:cs="宋体"/>
          <w:spacing w:val="20"/>
          <w:sz w:val="24"/>
        </w:rPr>
      </w:pPr>
      <w:r>
        <w:rPr>
          <w:rFonts w:hint="eastAsia" w:ascii="宋体" w:hAnsi="宋体" w:cs="宋体"/>
          <w:spacing w:val="20"/>
          <w:sz w:val="24"/>
        </w:rPr>
        <w:t>其他工程项目保修期</w:t>
      </w:r>
      <w:r>
        <w:rPr>
          <w:rFonts w:hint="eastAsia" w:ascii="宋体" w:hAnsi="宋体" w:cs="宋体"/>
          <w:spacing w:val="20"/>
          <w:sz w:val="24"/>
          <w:u w:val="single"/>
        </w:rPr>
        <w:t xml:space="preserve"> 1 </w:t>
      </w:r>
      <w:r>
        <w:rPr>
          <w:rFonts w:hint="eastAsia" w:ascii="宋体" w:hAnsi="宋体" w:cs="宋体"/>
          <w:spacing w:val="20"/>
          <w:sz w:val="24"/>
        </w:rPr>
        <w:t>年。</w:t>
      </w:r>
    </w:p>
    <w:p w14:paraId="4C8259E5">
      <w:pPr>
        <w:numPr>
          <w:ilvl w:val="0"/>
          <w:numId w:val="14"/>
        </w:numPr>
        <w:adjustRightInd w:val="0"/>
        <w:snapToGrid w:val="0"/>
        <w:spacing w:line="360" w:lineRule="auto"/>
        <w:ind w:firstLine="560" w:firstLineChars="200"/>
        <w:outlineLvl w:val="0"/>
        <w:rPr>
          <w:rFonts w:hint="eastAsia" w:ascii="宋体" w:hAnsi="宋体" w:cs="宋体"/>
          <w:spacing w:val="20"/>
          <w:sz w:val="24"/>
        </w:rPr>
      </w:pPr>
      <w:r>
        <w:rPr>
          <w:rFonts w:hint="eastAsia" w:ascii="宋体" w:hAnsi="宋体" w:cs="宋体"/>
          <w:spacing w:val="20"/>
          <w:sz w:val="24"/>
        </w:rPr>
        <w:t>质量保修期自工程竣工验收合格之日起计算器。</w:t>
      </w:r>
    </w:p>
    <w:p w14:paraId="3FBF9622">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3、质量保修责任</w:t>
      </w:r>
    </w:p>
    <w:p w14:paraId="33EF7E6E">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1．属于保修范围、内容的项目，承包人应当在接到保修通知之日起</w:t>
      </w:r>
      <w:r>
        <w:rPr>
          <w:rFonts w:hint="eastAsia" w:ascii="宋体" w:hAnsi="宋体" w:cs="宋体"/>
          <w:spacing w:val="20"/>
          <w:sz w:val="24"/>
          <w:u w:val="single"/>
        </w:rPr>
        <w:t xml:space="preserve">  7    </w:t>
      </w:r>
      <w:r>
        <w:rPr>
          <w:rFonts w:hint="eastAsia" w:ascii="宋体" w:hAnsi="宋体" w:cs="宋体"/>
          <w:spacing w:val="20"/>
          <w:sz w:val="24"/>
        </w:rPr>
        <w:t>天内派人保修。承包人不在约定期限内派人保修的，发包人可以委托他人修理，发生费用由承包人承担。</w:t>
      </w:r>
    </w:p>
    <w:p w14:paraId="05D200E8">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2．发生须紧急抢修事故的，承包人在接到事故通知后，应当立即到达事故现场抢修。</w:t>
      </w:r>
    </w:p>
    <w:p w14:paraId="64796792">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0873B16">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4．质量保修完成后，由发包人组织验收。</w:t>
      </w:r>
    </w:p>
    <w:p w14:paraId="7EF275CF">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4、保修费用</w:t>
      </w:r>
    </w:p>
    <w:p w14:paraId="369E7698">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保修费用由造成质量缺陷的责任方承担。</w:t>
      </w:r>
    </w:p>
    <w:p w14:paraId="78386A60">
      <w:pPr>
        <w:numPr>
          <w:ilvl w:val="0"/>
          <w:numId w:val="15"/>
        </w:numPr>
        <w:adjustRightInd w:val="0"/>
        <w:snapToGrid w:val="0"/>
        <w:spacing w:line="360" w:lineRule="auto"/>
        <w:jc w:val="left"/>
        <w:rPr>
          <w:rFonts w:hint="eastAsia" w:ascii="宋体" w:hAnsi="宋体" w:cs="宋体"/>
          <w:spacing w:val="20"/>
          <w:sz w:val="24"/>
        </w:rPr>
      </w:pPr>
      <w:r>
        <w:rPr>
          <w:rFonts w:hint="eastAsia" w:ascii="宋体" w:hAnsi="宋体" w:cs="宋体"/>
          <w:spacing w:val="20"/>
          <w:sz w:val="24"/>
        </w:rPr>
        <w:t>其他</w:t>
      </w:r>
    </w:p>
    <w:p w14:paraId="2755D7D1">
      <w:pPr>
        <w:adjustRightInd w:val="0"/>
        <w:snapToGrid w:val="0"/>
        <w:spacing w:line="360" w:lineRule="auto"/>
        <w:jc w:val="left"/>
        <w:rPr>
          <w:rFonts w:hint="eastAsia" w:ascii="宋体" w:hAnsi="宋体" w:cs="宋体"/>
          <w:spacing w:val="20"/>
          <w:sz w:val="24"/>
        </w:rPr>
      </w:pPr>
      <w:r>
        <w:rPr>
          <w:rFonts w:hint="eastAsia" w:ascii="宋体" w:hAnsi="宋体" w:cs="宋体"/>
          <w:spacing w:val="20"/>
          <w:sz w:val="24"/>
        </w:rPr>
        <w:t>双方约定的其他工程质量保修事项：</w:t>
      </w:r>
      <w:r>
        <w:rPr>
          <w:rFonts w:hint="eastAsia" w:ascii="宋体" w:hAnsi="宋体" w:cs="宋体"/>
          <w:spacing w:val="20"/>
          <w:sz w:val="24"/>
          <w:u w:val="single"/>
        </w:rPr>
        <w:t xml:space="preserve"> 在工程保修期内，发包人根据合同规定的金额，在支付承包人的工程款内预留质量保证金。质量保证金为：</w:t>
      </w:r>
      <w:r>
        <w:rPr>
          <w:rFonts w:hint="eastAsia" w:ascii="宋体" w:hAnsi="宋体" w:cs="宋体"/>
          <w:sz w:val="24"/>
          <w:u w:val="single"/>
        </w:rPr>
        <w:t>结算金额3%</w:t>
      </w:r>
      <w:r>
        <w:rPr>
          <w:rFonts w:hint="eastAsia" w:ascii="宋体" w:hAnsi="宋体" w:cs="宋体"/>
          <w:spacing w:val="20"/>
          <w:sz w:val="24"/>
          <w:u w:val="single"/>
        </w:rPr>
        <w:t>，质量保证金银行利率为：0。发包人在工程质量保修满壹年之日起经发包人复核合格后可向财政部门申请全部退回质量保证金给承包人（无息）</w:t>
      </w:r>
      <w:r>
        <w:rPr>
          <w:rFonts w:hint="eastAsia" w:ascii="宋体" w:hAnsi="宋体" w:cs="宋体"/>
          <w:spacing w:val="20"/>
          <w:sz w:val="24"/>
        </w:rPr>
        <w:t>。</w:t>
      </w:r>
    </w:p>
    <w:p w14:paraId="234538FB">
      <w:pPr>
        <w:adjustRightInd w:val="0"/>
        <w:snapToGrid w:val="0"/>
        <w:spacing w:line="360" w:lineRule="auto"/>
        <w:ind w:firstLine="532" w:firstLineChars="190"/>
        <w:rPr>
          <w:rFonts w:hint="eastAsia" w:ascii="宋体" w:hAnsi="宋体" w:cs="宋体"/>
          <w:spacing w:val="20"/>
          <w:sz w:val="24"/>
        </w:rPr>
      </w:pPr>
      <w:r>
        <w:rPr>
          <w:rFonts w:hint="eastAsia" w:ascii="宋体" w:hAnsi="宋体" w:cs="宋体"/>
          <w:spacing w:val="20"/>
          <w:sz w:val="24"/>
        </w:rPr>
        <w:t>本工程质量保修书，由施工合同发包人、承包人双方在竣工验收前共同签署，作为施工合同附件，其有效期限至保修期满。</w:t>
      </w:r>
    </w:p>
    <w:p w14:paraId="31A7B6AC">
      <w:pPr>
        <w:adjustRightInd w:val="0"/>
        <w:snapToGrid w:val="0"/>
        <w:spacing w:line="360" w:lineRule="auto"/>
        <w:rPr>
          <w:rFonts w:hint="eastAsia" w:ascii="宋体" w:hAnsi="宋体" w:cs="宋体"/>
          <w:spacing w:val="20"/>
          <w:sz w:val="24"/>
        </w:rPr>
      </w:pPr>
    </w:p>
    <w:p w14:paraId="0A17B4E3">
      <w:pPr>
        <w:adjustRightInd w:val="0"/>
        <w:snapToGrid w:val="0"/>
        <w:spacing w:line="360" w:lineRule="auto"/>
        <w:rPr>
          <w:rFonts w:hint="eastAsia" w:ascii="宋体" w:hAnsi="宋体" w:cs="宋体"/>
          <w:spacing w:val="20"/>
          <w:sz w:val="24"/>
        </w:rPr>
      </w:pPr>
    </w:p>
    <w:p w14:paraId="4A83181E">
      <w:pPr>
        <w:adjustRightInd w:val="0"/>
        <w:snapToGrid w:val="0"/>
        <w:spacing w:line="360" w:lineRule="auto"/>
        <w:ind w:firstLine="840" w:firstLineChars="300"/>
        <w:rPr>
          <w:rFonts w:hint="eastAsia" w:ascii="宋体" w:hAnsi="宋体" w:cs="宋体"/>
          <w:spacing w:val="20"/>
          <w:sz w:val="24"/>
        </w:rPr>
      </w:pPr>
      <w:r>
        <w:rPr>
          <w:rFonts w:hint="eastAsia" w:ascii="宋体" w:hAnsi="宋体" w:cs="宋体"/>
          <w:spacing w:val="20"/>
          <w:sz w:val="24"/>
        </w:rPr>
        <w:t>发包人（公章）                        承包人（公章）</w:t>
      </w:r>
    </w:p>
    <w:p w14:paraId="224124D2">
      <w:pPr>
        <w:adjustRightInd w:val="0"/>
        <w:snapToGrid w:val="0"/>
        <w:spacing w:line="360" w:lineRule="auto"/>
        <w:rPr>
          <w:rFonts w:hint="eastAsia" w:ascii="宋体" w:hAnsi="宋体" w:cs="宋体"/>
          <w:spacing w:val="20"/>
          <w:sz w:val="24"/>
          <w:u w:val="single"/>
        </w:rPr>
      </w:pPr>
    </w:p>
    <w:p w14:paraId="382E51AC">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u w:val="single"/>
        </w:rPr>
        <w:t>浦北县石埇镇人民政府</w:t>
      </w:r>
      <w:r>
        <w:rPr>
          <w:rFonts w:hint="eastAsia" w:ascii="宋体" w:hAnsi="宋体" w:cs="宋体"/>
          <w:spacing w:val="20"/>
          <w:sz w:val="24"/>
        </w:rPr>
        <w:t xml:space="preserve">              </w:t>
      </w:r>
      <w:r>
        <w:rPr>
          <w:rFonts w:hint="eastAsia" w:ascii="宋体" w:hAnsi="宋体" w:cs="宋体"/>
          <w:spacing w:val="20"/>
          <w:sz w:val="24"/>
          <w:u w:val="single"/>
        </w:rPr>
        <w:t xml:space="preserve">                                                       </w:t>
      </w:r>
    </w:p>
    <w:p w14:paraId="640014F7">
      <w:pPr>
        <w:adjustRightInd w:val="0"/>
        <w:snapToGrid w:val="0"/>
        <w:spacing w:line="360" w:lineRule="auto"/>
        <w:rPr>
          <w:rFonts w:hint="eastAsia" w:ascii="宋体" w:hAnsi="宋体" w:cs="宋体"/>
          <w:spacing w:val="20"/>
          <w:sz w:val="24"/>
          <w:u w:val="single"/>
        </w:rPr>
      </w:pPr>
    </w:p>
    <w:p w14:paraId="72312DA1">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法定代表人：</w:t>
      </w:r>
      <w:r>
        <w:rPr>
          <w:rFonts w:hint="eastAsia" w:ascii="宋体" w:hAnsi="宋体" w:cs="宋体"/>
          <w:spacing w:val="20"/>
          <w:sz w:val="24"/>
          <w:u w:val="single"/>
        </w:rPr>
        <w:t xml:space="preserve">             </w:t>
      </w:r>
      <w:r>
        <w:rPr>
          <w:rFonts w:hint="eastAsia" w:ascii="宋体" w:hAnsi="宋体" w:cs="宋体"/>
          <w:spacing w:val="20"/>
          <w:sz w:val="24"/>
        </w:rPr>
        <w:t xml:space="preserve">             法定代表人：</w:t>
      </w:r>
      <w:r>
        <w:rPr>
          <w:rFonts w:hint="eastAsia" w:ascii="宋体" w:hAnsi="宋体" w:cs="宋体"/>
          <w:spacing w:val="20"/>
          <w:sz w:val="24"/>
          <w:u w:val="single"/>
        </w:rPr>
        <w:t xml:space="preserve">         </w:t>
      </w:r>
    </w:p>
    <w:p w14:paraId="63B07AE3">
      <w:pPr>
        <w:adjustRightInd w:val="0"/>
        <w:snapToGrid w:val="0"/>
        <w:spacing w:line="360" w:lineRule="auto"/>
        <w:rPr>
          <w:rFonts w:hint="eastAsia" w:ascii="宋体" w:hAnsi="宋体" w:cs="宋体"/>
          <w:spacing w:val="20"/>
          <w:sz w:val="24"/>
          <w:u w:val="single"/>
        </w:rPr>
      </w:pPr>
    </w:p>
    <w:p w14:paraId="04674AFB">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电  话：</w:t>
      </w:r>
      <w:r>
        <w:rPr>
          <w:rFonts w:hint="eastAsia" w:ascii="宋体" w:hAnsi="宋体" w:cs="宋体"/>
          <w:spacing w:val="20"/>
          <w:sz w:val="24"/>
          <w:u w:val="single"/>
        </w:rPr>
        <w:t xml:space="preserve">              </w:t>
      </w:r>
      <w:r>
        <w:rPr>
          <w:rFonts w:hint="eastAsia" w:ascii="宋体" w:hAnsi="宋体" w:cs="宋体"/>
          <w:spacing w:val="20"/>
          <w:sz w:val="24"/>
        </w:rPr>
        <w:t xml:space="preserve">             电  话：</w:t>
      </w:r>
      <w:r>
        <w:rPr>
          <w:rFonts w:hint="eastAsia" w:ascii="宋体" w:hAnsi="宋体" w:cs="宋体"/>
          <w:spacing w:val="20"/>
          <w:sz w:val="24"/>
          <w:u w:val="single"/>
        </w:rPr>
        <w:t xml:space="preserve">           </w:t>
      </w:r>
    </w:p>
    <w:p w14:paraId="09B443F9">
      <w:pPr>
        <w:spacing w:before="156" w:beforeLines="50" w:after="156" w:afterLines="50" w:line="360" w:lineRule="auto"/>
        <w:rPr>
          <w:rFonts w:hint="eastAsia" w:ascii="宋体" w:hAnsi="宋体" w:cs="宋体"/>
          <w:spacing w:val="20"/>
          <w:sz w:val="24"/>
        </w:rPr>
      </w:pPr>
    </w:p>
    <w:p w14:paraId="63A05131">
      <w:pPr>
        <w:spacing w:before="156" w:beforeLines="50" w:after="156" w:afterLines="50" w:line="360" w:lineRule="auto"/>
        <w:rPr>
          <w:rFonts w:hint="eastAsia" w:ascii="宋体" w:hAnsi="宋体" w:cs="宋体"/>
          <w:spacing w:val="20"/>
          <w:sz w:val="24"/>
        </w:rPr>
      </w:pPr>
      <w:r>
        <w:rPr>
          <w:rFonts w:hint="eastAsia" w:ascii="宋体" w:hAnsi="宋体" w:cs="宋体"/>
          <w:spacing w:val="20"/>
          <w:sz w:val="24"/>
        </w:rPr>
        <w:t>附件2</w:t>
      </w:r>
    </w:p>
    <w:p w14:paraId="1857A550">
      <w:pPr>
        <w:spacing w:line="480" w:lineRule="auto"/>
        <w:jc w:val="center"/>
        <w:outlineLvl w:val="3"/>
        <w:rPr>
          <w:rFonts w:hint="eastAsia" w:ascii="宋体" w:hAnsi="宋体" w:cs="宋体"/>
          <w:b/>
          <w:bCs/>
          <w:kern w:val="1"/>
          <w:sz w:val="24"/>
        </w:rPr>
      </w:pPr>
      <w:r>
        <w:rPr>
          <w:rFonts w:hint="eastAsia" w:ascii="宋体" w:hAnsi="宋体" w:cs="宋体"/>
          <w:b/>
          <w:bCs/>
          <w:sz w:val="24"/>
        </w:rPr>
        <w:t>安全生产合同</w:t>
      </w:r>
    </w:p>
    <w:p w14:paraId="756D9FBD">
      <w:pPr>
        <w:rPr>
          <w:rFonts w:hint="eastAsia" w:ascii="宋体" w:hAnsi="宋体" w:cs="宋体"/>
          <w:kern w:val="1"/>
          <w:sz w:val="24"/>
        </w:rPr>
      </w:pPr>
    </w:p>
    <w:p w14:paraId="0995FFEA">
      <w:pPr>
        <w:spacing w:line="360" w:lineRule="auto"/>
        <w:rPr>
          <w:rFonts w:hint="eastAsia" w:ascii="宋体" w:hAnsi="宋体" w:cs="宋体"/>
          <w:kern w:val="1"/>
          <w:sz w:val="24"/>
        </w:rPr>
      </w:pPr>
      <w:r>
        <w:rPr>
          <w:rFonts w:hint="eastAsia" w:ascii="宋体" w:hAnsi="宋体" w:cs="宋体"/>
          <w:kern w:val="1"/>
          <w:sz w:val="24"/>
        </w:rPr>
        <w:t xml:space="preserve">    为在</w:t>
      </w:r>
      <w:r>
        <w:rPr>
          <w:rFonts w:hint="eastAsia" w:ascii="宋体" w:hAnsi="宋体" w:cs="宋体"/>
          <w:b/>
          <w:sz w:val="24"/>
          <w:u w:val="single"/>
        </w:rPr>
        <w:t xml:space="preserve"> 2025年石埇镇文昌村牛过埠大田角至韭菜湖农田水利工程  </w:t>
      </w:r>
      <w:r>
        <w:rPr>
          <w:rFonts w:hint="eastAsia" w:ascii="宋体" w:hAnsi="宋体" w:cs="宋体"/>
          <w:kern w:val="1"/>
          <w:sz w:val="24"/>
        </w:rPr>
        <w:t>的实施过程中创造安全、高效的施工环境，切实搞好本项目的安全管理工作，本项目业主</w:t>
      </w:r>
      <w:r>
        <w:rPr>
          <w:rFonts w:hint="eastAsia" w:ascii="宋体" w:hAnsi="宋体" w:cs="宋体"/>
          <w:kern w:val="1"/>
          <w:sz w:val="24"/>
          <w:u w:val="single"/>
        </w:rPr>
        <w:t xml:space="preserve"> </w:t>
      </w:r>
      <w:r>
        <w:rPr>
          <w:rFonts w:hint="eastAsia" w:ascii="宋体" w:hAnsi="宋体" w:cs="宋体"/>
          <w:spacing w:val="20"/>
          <w:sz w:val="24"/>
          <w:u w:val="single"/>
        </w:rPr>
        <w:t>浦北县石埇镇人民政府</w:t>
      </w:r>
      <w:r>
        <w:rPr>
          <w:rFonts w:hint="eastAsia" w:ascii="宋体" w:hAnsi="宋体" w:cs="宋体"/>
          <w:kern w:val="1"/>
          <w:sz w:val="24"/>
          <w:u w:val="single"/>
        </w:rPr>
        <w:t xml:space="preserve"> </w:t>
      </w:r>
      <w:r>
        <w:rPr>
          <w:rFonts w:hint="eastAsia" w:ascii="宋体" w:hAnsi="宋体" w:cs="宋体"/>
          <w:kern w:val="1"/>
          <w:sz w:val="24"/>
        </w:rPr>
        <w:t>（以下简称“甲方”）与承包人</w:t>
      </w:r>
      <w:r>
        <w:rPr>
          <w:rFonts w:hint="eastAsia" w:ascii="宋体" w:hAnsi="宋体" w:cs="宋体"/>
          <w:b/>
          <w:bCs/>
          <w:kern w:val="1"/>
          <w:sz w:val="24"/>
          <w:u w:val="single"/>
        </w:rPr>
        <w:t xml:space="preserve"> </w:t>
      </w:r>
      <w:r>
        <w:rPr>
          <w:rFonts w:hint="eastAsia" w:ascii="宋体" w:hAnsi="宋体" w:cs="宋体"/>
          <w:sz w:val="24"/>
          <w:u w:val="single"/>
        </w:rPr>
        <w:t xml:space="preserve">                                  </w:t>
      </w:r>
      <w:r>
        <w:rPr>
          <w:rFonts w:hint="eastAsia" w:ascii="宋体" w:hAnsi="宋体" w:cs="宋体"/>
          <w:kern w:val="1"/>
          <w:sz w:val="24"/>
        </w:rPr>
        <w:t>（以下简称“乙方”）特此签订安全生产合同：</w:t>
      </w:r>
    </w:p>
    <w:p w14:paraId="5A8756FF">
      <w:pPr>
        <w:spacing w:line="360" w:lineRule="auto"/>
        <w:rPr>
          <w:rFonts w:hint="eastAsia" w:ascii="宋体" w:hAnsi="宋体" w:cs="宋体"/>
          <w:b/>
          <w:kern w:val="1"/>
          <w:sz w:val="24"/>
        </w:rPr>
      </w:pPr>
      <w:r>
        <w:rPr>
          <w:rFonts w:hint="eastAsia" w:ascii="宋体" w:hAnsi="宋体" w:cs="宋体"/>
          <w:kern w:val="1"/>
          <w:sz w:val="24"/>
        </w:rPr>
        <w:t xml:space="preserve">    </w:t>
      </w:r>
      <w:r>
        <w:rPr>
          <w:rFonts w:hint="eastAsia" w:ascii="宋体" w:hAnsi="宋体" w:cs="宋体"/>
          <w:b/>
          <w:kern w:val="1"/>
          <w:sz w:val="24"/>
        </w:rPr>
        <w:t>一、甲方职责</w:t>
      </w:r>
    </w:p>
    <w:p w14:paraId="15216E2C">
      <w:pPr>
        <w:spacing w:line="360" w:lineRule="auto"/>
        <w:rPr>
          <w:rFonts w:hint="eastAsia" w:ascii="宋体" w:hAnsi="宋体" w:cs="宋体"/>
          <w:kern w:val="1"/>
          <w:sz w:val="24"/>
        </w:rPr>
      </w:pPr>
      <w:r>
        <w:rPr>
          <w:rFonts w:hint="eastAsia" w:ascii="宋体" w:hAnsi="宋体" w:cs="宋体"/>
          <w:kern w:val="1"/>
          <w:sz w:val="24"/>
        </w:rPr>
        <w:t xml:space="preserve">    1. 严格遵守国家有关安全生产的法律法规，认真执行工程承包合同中的有关安全要求。</w:t>
      </w:r>
    </w:p>
    <w:p w14:paraId="3E8C594A">
      <w:pPr>
        <w:spacing w:line="360" w:lineRule="auto"/>
        <w:rPr>
          <w:rFonts w:hint="eastAsia" w:ascii="宋体" w:hAnsi="宋体" w:cs="宋体"/>
          <w:kern w:val="1"/>
          <w:sz w:val="24"/>
        </w:rPr>
      </w:pPr>
      <w:r>
        <w:rPr>
          <w:rFonts w:hint="eastAsia" w:ascii="宋体" w:hAnsi="宋体" w:cs="宋体"/>
          <w:kern w:val="1"/>
          <w:sz w:val="24"/>
        </w:rPr>
        <w:t xml:space="preserve">    2. 按照“安全第一、预防为主”和坚持“管生产必须管安全”的原则进行安全生产管理，做到生产与安全工作同时计划、布置、检查、总结和评比。</w:t>
      </w:r>
    </w:p>
    <w:p w14:paraId="294A346A">
      <w:pPr>
        <w:spacing w:line="360" w:lineRule="auto"/>
        <w:rPr>
          <w:rFonts w:hint="eastAsia" w:ascii="宋体" w:hAnsi="宋体" w:cs="宋体"/>
          <w:kern w:val="1"/>
          <w:sz w:val="24"/>
        </w:rPr>
      </w:pPr>
      <w:r>
        <w:rPr>
          <w:rFonts w:hint="eastAsia" w:ascii="宋体" w:hAnsi="宋体" w:cs="宋体"/>
          <w:kern w:val="1"/>
          <w:sz w:val="24"/>
        </w:rPr>
        <w:t xml:space="preserve">    3. 重要的安全设施必须坚持与主体工程“三同时”的原则，即：同时设计、审批，同时施工，同时验收，投入使用。</w:t>
      </w:r>
    </w:p>
    <w:p w14:paraId="1EC999C1">
      <w:pPr>
        <w:spacing w:line="360" w:lineRule="auto"/>
        <w:rPr>
          <w:rFonts w:hint="eastAsia" w:ascii="宋体" w:hAnsi="宋体" w:cs="宋体"/>
          <w:kern w:val="1"/>
          <w:sz w:val="24"/>
        </w:rPr>
      </w:pPr>
      <w:r>
        <w:rPr>
          <w:rFonts w:hint="eastAsia" w:ascii="宋体" w:hAnsi="宋体" w:cs="宋体"/>
          <w:kern w:val="1"/>
          <w:sz w:val="24"/>
        </w:rPr>
        <w:t xml:space="preserve">    4. 定期召开安全生产调度会，及时传达中央及地方有关安全生产的精神。</w:t>
      </w:r>
    </w:p>
    <w:p w14:paraId="371C5363">
      <w:pPr>
        <w:spacing w:line="360" w:lineRule="auto"/>
        <w:rPr>
          <w:rFonts w:hint="eastAsia" w:ascii="宋体" w:hAnsi="宋体" w:cs="宋体"/>
          <w:kern w:val="1"/>
          <w:sz w:val="24"/>
        </w:rPr>
      </w:pPr>
      <w:r>
        <w:rPr>
          <w:rFonts w:hint="eastAsia" w:ascii="宋体" w:hAnsi="宋体" w:cs="宋体"/>
          <w:kern w:val="1"/>
          <w:sz w:val="24"/>
        </w:rPr>
        <w:t xml:space="preserve">    5. 组织对乙方施工现场安全生产检查，监督乙方及时处理发现的各种安全隐患。</w:t>
      </w:r>
    </w:p>
    <w:p w14:paraId="54B7C160">
      <w:pPr>
        <w:spacing w:line="360" w:lineRule="auto"/>
        <w:rPr>
          <w:rFonts w:hint="eastAsia" w:ascii="宋体" w:hAnsi="宋体" w:cs="宋体"/>
          <w:b/>
          <w:kern w:val="1"/>
          <w:sz w:val="24"/>
        </w:rPr>
      </w:pPr>
      <w:r>
        <w:rPr>
          <w:rFonts w:hint="eastAsia" w:ascii="宋体" w:hAnsi="宋体" w:cs="宋体"/>
          <w:kern w:val="1"/>
          <w:sz w:val="24"/>
        </w:rPr>
        <w:t xml:space="preserve">    </w:t>
      </w:r>
      <w:r>
        <w:rPr>
          <w:rFonts w:hint="eastAsia" w:ascii="宋体" w:hAnsi="宋体" w:cs="宋体"/>
          <w:b/>
          <w:kern w:val="1"/>
          <w:sz w:val="24"/>
        </w:rPr>
        <w:t>二、乙方职责</w:t>
      </w:r>
    </w:p>
    <w:p w14:paraId="2882537F">
      <w:pPr>
        <w:spacing w:line="360" w:lineRule="auto"/>
        <w:rPr>
          <w:rFonts w:hint="eastAsia" w:ascii="宋体" w:hAnsi="宋体" w:cs="宋体"/>
          <w:kern w:val="1"/>
          <w:sz w:val="24"/>
        </w:rPr>
      </w:pPr>
      <w:r>
        <w:rPr>
          <w:rFonts w:hint="eastAsia" w:ascii="宋体" w:hAnsi="宋体" w:cs="宋体"/>
          <w:kern w:val="1"/>
          <w:sz w:val="24"/>
        </w:rPr>
        <w:t xml:space="preserve">    1. 严格遵守国家有关安全生产的法律法规、农业农村部、水利部颁发的有关安全生产的规定，认真执行工程承包合同中的有关安全要求。</w:t>
      </w:r>
    </w:p>
    <w:p w14:paraId="2AC9FDE3">
      <w:pPr>
        <w:spacing w:line="360" w:lineRule="auto"/>
        <w:rPr>
          <w:rFonts w:hint="eastAsia" w:ascii="宋体" w:hAnsi="宋体" w:cs="宋体"/>
          <w:kern w:val="1"/>
          <w:sz w:val="24"/>
        </w:rPr>
      </w:pPr>
      <w:r>
        <w:rPr>
          <w:rFonts w:hint="eastAsia" w:ascii="宋体" w:hAnsi="宋体" w:cs="宋体"/>
          <w:kern w:val="1"/>
          <w:sz w:val="24"/>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21DC3A2">
      <w:pPr>
        <w:spacing w:line="360" w:lineRule="auto"/>
        <w:rPr>
          <w:rFonts w:hint="eastAsia" w:ascii="宋体" w:hAnsi="宋体" w:cs="宋体"/>
          <w:kern w:val="1"/>
          <w:sz w:val="24"/>
        </w:rPr>
      </w:pPr>
      <w:r>
        <w:rPr>
          <w:rFonts w:hint="eastAsia" w:ascii="宋体" w:hAnsi="宋体" w:cs="宋体"/>
          <w:kern w:val="1"/>
          <w:sz w:val="24"/>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AE6F358">
      <w:pPr>
        <w:spacing w:line="360" w:lineRule="auto"/>
        <w:rPr>
          <w:rFonts w:hint="eastAsia" w:ascii="宋体" w:hAnsi="宋体" w:cs="宋体"/>
          <w:kern w:val="1"/>
          <w:sz w:val="24"/>
        </w:rPr>
      </w:pPr>
      <w:r>
        <w:rPr>
          <w:rFonts w:hint="eastAsia" w:ascii="宋体" w:hAnsi="宋体" w:cs="宋体"/>
          <w:kern w:val="1"/>
          <w:sz w:val="24"/>
        </w:rPr>
        <w:t xml:space="preserve">    4. 乙方在任何时候都应采取各种合理的预防措施，防止其员工发生任何违法、违禁、暴力或妨碍治安的行为。</w:t>
      </w:r>
    </w:p>
    <w:p w14:paraId="39125A79">
      <w:pPr>
        <w:spacing w:line="360" w:lineRule="auto"/>
        <w:rPr>
          <w:rFonts w:hint="eastAsia" w:ascii="宋体" w:hAnsi="宋体" w:cs="宋体"/>
          <w:kern w:val="1"/>
          <w:sz w:val="24"/>
        </w:rPr>
      </w:pPr>
      <w:r>
        <w:rPr>
          <w:rFonts w:hint="eastAsia" w:ascii="宋体" w:hAnsi="宋体" w:cs="宋体"/>
          <w:kern w:val="1"/>
          <w:sz w:val="24"/>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1025B631">
      <w:pPr>
        <w:spacing w:line="360" w:lineRule="auto"/>
        <w:rPr>
          <w:rFonts w:hint="eastAsia" w:ascii="宋体" w:hAnsi="宋体" w:cs="宋体"/>
          <w:kern w:val="1"/>
          <w:sz w:val="24"/>
        </w:rPr>
      </w:pPr>
      <w:r>
        <w:rPr>
          <w:rFonts w:hint="eastAsia" w:ascii="宋体" w:hAnsi="宋体" w:cs="宋体"/>
          <w:kern w:val="1"/>
          <w:sz w:val="24"/>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1CB2E4D">
      <w:pPr>
        <w:spacing w:line="360" w:lineRule="auto"/>
        <w:rPr>
          <w:rFonts w:hint="eastAsia" w:ascii="宋体" w:hAnsi="宋体" w:cs="宋体"/>
          <w:kern w:val="1"/>
          <w:sz w:val="24"/>
        </w:rPr>
      </w:pPr>
      <w:r>
        <w:rPr>
          <w:rFonts w:hint="eastAsia" w:ascii="宋体" w:hAnsi="宋体" w:cs="宋体"/>
          <w:kern w:val="1"/>
          <w:sz w:val="24"/>
        </w:rPr>
        <w:t xml:space="preserve">    7. 操作人员上岗，必须按规定穿戴防护用品。施工负责人和安全检查员应随时检查劳动防护用品的穿戴情况，不按规定穿戴防护用品的人员不得上岗。</w:t>
      </w:r>
    </w:p>
    <w:p w14:paraId="3ABBF1CD">
      <w:pPr>
        <w:spacing w:line="360" w:lineRule="auto"/>
        <w:rPr>
          <w:rFonts w:hint="eastAsia" w:ascii="宋体" w:hAnsi="宋体" w:cs="宋体"/>
          <w:kern w:val="1"/>
          <w:sz w:val="24"/>
        </w:rPr>
      </w:pPr>
      <w:r>
        <w:rPr>
          <w:rFonts w:hint="eastAsia" w:ascii="宋体" w:hAnsi="宋体" w:cs="宋体"/>
          <w:kern w:val="1"/>
          <w:sz w:val="24"/>
        </w:rPr>
        <w:t xml:space="preserve">    8. 所有施工机具设备和高空作业的设备均应定期检查，并有安全员的签字记录，保证其经常处于完好状态；不合格的机具、设备和劳动保护用品严禁使用。</w:t>
      </w:r>
    </w:p>
    <w:p w14:paraId="5738174B">
      <w:pPr>
        <w:spacing w:line="360" w:lineRule="auto"/>
        <w:rPr>
          <w:rFonts w:hint="eastAsia" w:ascii="宋体" w:hAnsi="宋体" w:cs="宋体"/>
          <w:kern w:val="1"/>
          <w:sz w:val="24"/>
        </w:rPr>
      </w:pPr>
      <w:r>
        <w:rPr>
          <w:rFonts w:hint="eastAsia" w:ascii="宋体" w:hAnsi="宋体" w:cs="宋体"/>
          <w:kern w:val="1"/>
          <w:sz w:val="24"/>
        </w:rPr>
        <w:t xml:space="preserve">    9. 施工中采用新技术、新工艺、新设备、新材料时，必须制定相应的安全技术措施，施工现场必须具有相关的安全标志牌。</w:t>
      </w:r>
    </w:p>
    <w:p w14:paraId="1DE27F93">
      <w:pPr>
        <w:spacing w:line="360" w:lineRule="auto"/>
        <w:rPr>
          <w:rFonts w:hint="eastAsia" w:ascii="宋体" w:hAnsi="宋体" w:cs="宋体"/>
          <w:kern w:val="1"/>
          <w:sz w:val="24"/>
        </w:rPr>
      </w:pPr>
      <w:r>
        <w:rPr>
          <w:rFonts w:hint="eastAsia" w:ascii="宋体" w:hAnsi="宋体" w:cs="宋体"/>
          <w:kern w:val="1"/>
          <w:sz w:val="24"/>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544F063">
      <w:pPr>
        <w:spacing w:line="360" w:lineRule="auto"/>
        <w:rPr>
          <w:rFonts w:hint="eastAsia" w:ascii="宋体" w:hAnsi="宋体" w:cs="宋体"/>
          <w:b/>
          <w:kern w:val="1"/>
          <w:sz w:val="24"/>
        </w:rPr>
      </w:pPr>
      <w:r>
        <w:rPr>
          <w:rFonts w:hint="eastAsia" w:ascii="宋体" w:hAnsi="宋体" w:cs="宋体"/>
          <w:kern w:val="1"/>
          <w:sz w:val="24"/>
        </w:rPr>
        <w:t xml:space="preserve">    </w:t>
      </w:r>
      <w:r>
        <w:rPr>
          <w:rFonts w:hint="eastAsia" w:ascii="宋体" w:hAnsi="宋体" w:cs="宋体"/>
          <w:b/>
          <w:kern w:val="1"/>
          <w:sz w:val="24"/>
        </w:rPr>
        <w:t>三、违约责任</w:t>
      </w:r>
    </w:p>
    <w:p w14:paraId="10C6D278">
      <w:pPr>
        <w:spacing w:line="360" w:lineRule="auto"/>
        <w:rPr>
          <w:rFonts w:hint="eastAsia" w:ascii="宋体" w:hAnsi="宋体" w:cs="宋体"/>
          <w:kern w:val="1"/>
          <w:sz w:val="24"/>
        </w:rPr>
      </w:pPr>
      <w:r>
        <w:rPr>
          <w:rFonts w:hint="eastAsia" w:ascii="宋体" w:hAnsi="宋体" w:cs="宋体"/>
          <w:kern w:val="1"/>
          <w:sz w:val="24"/>
        </w:rPr>
        <w:t xml:space="preserve">    如因甲方或乙方违约造成安全事故，将依法追究责任。</w:t>
      </w:r>
    </w:p>
    <w:p w14:paraId="36850A87">
      <w:pPr>
        <w:adjustRightInd w:val="0"/>
        <w:snapToGrid w:val="0"/>
        <w:spacing w:line="360" w:lineRule="auto"/>
        <w:ind w:firstLine="840" w:firstLineChars="300"/>
        <w:rPr>
          <w:rFonts w:hint="eastAsia" w:ascii="宋体" w:hAnsi="宋体" w:cs="宋体"/>
          <w:spacing w:val="20"/>
          <w:sz w:val="24"/>
        </w:rPr>
      </w:pPr>
    </w:p>
    <w:p w14:paraId="28F1BB14">
      <w:pPr>
        <w:adjustRightInd w:val="0"/>
        <w:snapToGrid w:val="0"/>
        <w:spacing w:line="360" w:lineRule="auto"/>
        <w:ind w:firstLine="840" w:firstLineChars="300"/>
        <w:rPr>
          <w:rFonts w:hint="eastAsia" w:ascii="宋体" w:hAnsi="宋体" w:cs="宋体"/>
          <w:spacing w:val="20"/>
          <w:sz w:val="24"/>
        </w:rPr>
      </w:pPr>
      <w:r>
        <w:rPr>
          <w:rFonts w:hint="eastAsia" w:ascii="宋体" w:hAnsi="宋体" w:cs="宋体"/>
          <w:spacing w:val="20"/>
          <w:sz w:val="24"/>
        </w:rPr>
        <w:t>发包人（公章）                        承包人（公章）</w:t>
      </w:r>
    </w:p>
    <w:p w14:paraId="5CA2C688">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u w:val="single"/>
        </w:rPr>
        <w:t>浦北县石埇镇人民政府</w:t>
      </w:r>
      <w:r>
        <w:rPr>
          <w:rFonts w:hint="eastAsia" w:ascii="宋体" w:hAnsi="宋体" w:cs="宋体"/>
          <w:spacing w:val="20"/>
          <w:sz w:val="24"/>
        </w:rPr>
        <w:t xml:space="preserve">              </w:t>
      </w:r>
      <w:r>
        <w:rPr>
          <w:rFonts w:hint="eastAsia" w:ascii="宋体" w:hAnsi="宋体" w:cs="宋体"/>
          <w:spacing w:val="20"/>
          <w:sz w:val="24"/>
          <w:u w:val="single"/>
        </w:rPr>
        <w:t xml:space="preserve">                                                       </w:t>
      </w:r>
    </w:p>
    <w:p w14:paraId="6BA72832">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法定代表人：</w:t>
      </w:r>
      <w:r>
        <w:rPr>
          <w:rFonts w:hint="eastAsia" w:ascii="宋体" w:hAnsi="宋体" w:cs="宋体"/>
          <w:spacing w:val="20"/>
          <w:sz w:val="24"/>
          <w:u w:val="single"/>
        </w:rPr>
        <w:t xml:space="preserve">             </w:t>
      </w:r>
      <w:r>
        <w:rPr>
          <w:rFonts w:hint="eastAsia" w:ascii="宋体" w:hAnsi="宋体" w:cs="宋体"/>
          <w:spacing w:val="20"/>
          <w:sz w:val="24"/>
        </w:rPr>
        <w:t xml:space="preserve">             法定代表人：</w:t>
      </w:r>
      <w:r>
        <w:rPr>
          <w:rFonts w:hint="eastAsia" w:ascii="宋体" w:hAnsi="宋体" w:cs="宋体"/>
          <w:spacing w:val="20"/>
          <w:sz w:val="24"/>
          <w:u w:val="single"/>
        </w:rPr>
        <w:t xml:space="preserve">           </w:t>
      </w:r>
    </w:p>
    <w:p w14:paraId="06BDE95F">
      <w:pPr>
        <w:spacing w:line="360" w:lineRule="auto"/>
        <w:rPr>
          <w:szCs w:val="21"/>
        </w:rPr>
      </w:pPr>
      <w:r>
        <w:rPr>
          <w:rFonts w:hint="eastAsia" w:ascii="宋体" w:hAnsi="宋体" w:cs="宋体"/>
          <w:spacing w:val="20"/>
          <w:sz w:val="24"/>
        </w:rPr>
        <w:t>电  话：</w:t>
      </w:r>
      <w:r>
        <w:rPr>
          <w:rFonts w:hint="eastAsia" w:ascii="宋体" w:hAnsi="宋体" w:cs="宋体"/>
          <w:spacing w:val="20"/>
          <w:sz w:val="24"/>
          <w:u w:val="single"/>
        </w:rPr>
        <w:t xml:space="preserve">                </w:t>
      </w:r>
      <w:r>
        <w:rPr>
          <w:rFonts w:hint="eastAsia" w:ascii="宋体" w:hAnsi="宋体" w:cs="宋体"/>
          <w:spacing w:val="20"/>
          <w:sz w:val="24"/>
        </w:rPr>
        <w:t xml:space="preserve">             电  话：</w:t>
      </w:r>
      <w:r>
        <w:rPr>
          <w:rFonts w:hint="eastAsia" w:ascii="宋体" w:hAnsi="宋体" w:cs="宋体"/>
          <w:spacing w:val="20"/>
          <w:sz w:val="24"/>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DA8929F-FFA1-4265-8D8A-70DA900AD8FC}"/>
  </w:font>
  <w:font w:name="黑体">
    <w:panose1 w:val="02010609060101010101"/>
    <w:charset w:val="86"/>
    <w:family w:val="auto"/>
    <w:pitch w:val="default"/>
    <w:sig w:usb0="800002BF" w:usb1="38CF7CFA" w:usb2="00000016" w:usb3="00000000" w:csb0="00040001" w:csb1="00000000"/>
    <w:embedRegular r:id="rId2" w:fontKey="{92F16DFF-3936-4490-BE21-F6A528F79BCE}"/>
  </w:font>
  <w:font w:name="Courier New">
    <w:panose1 w:val="02070309020205020404"/>
    <w:charset w:val="01"/>
    <w:family w:val="modern"/>
    <w:pitch w:val="default"/>
    <w:sig w:usb0="E0002AFF" w:usb1="C0007843" w:usb2="00000009" w:usb3="00000000" w:csb0="400001FF" w:csb1="FFFF0000"/>
    <w:embedRegular r:id="rId3" w:fontKey="{F126F0CF-02F7-4DC4-BCBE-2995F828206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F063C66D-AF84-4E2D-81BE-64D80F282CA8}"/>
  </w:font>
  <w:font w:name="仿宋">
    <w:panose1 w:val="02010609060101010101"/>
    <w:charset w:val="86"/>
    <w:family w:val="modern"/>
    <w:pitch w:val="default"/>
    <w:sig w:usb0="800002BF" w:usb1="38CF7CFA" w:usb2="00000016" w:usb3="00000000" w:csb0="00040001" w:csb1="00000000"/>
    <w:embedRegular r:id="rId5" w:fontKey="{E2AE02C9-2447-4B02-89BB-8CC122E002B9}"/>
  </w:font>
  <w:font w:name="Cambria">
    <w:panose1 w:val="02040503050406030204"/>
    <w:charset w:val="00"/>
    <w:family w:val="roman"/>
    <w:pitch w:val="default"/>
    <w:sig w:usb0="E00002FF" w:usb1="400004FF" w:usb2="00000000" w:usb3="00000000" w:csb0="2000019F" w:csb1="00000000"/>
    <w:embedRegular r:id="rId6" w:fontKey="{D1F345DA-E32A-45BC-BE13-DD2586D7F914}"/>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7" w:fontKey="{0A623288-EF4F-4736-B38F-056018E3DAE2}"/>
  </w:font>
  <w:font w:name="Helvetica">
    <w:panose1 w:val="020B0604020202020204"/>
    <w:charset w:val="00"/>
    <w:family w:val="swiss"/>
    <w:pitch w:val="default"/>
    <w:sig w:usb0="00000000" w:usb1="00000000" w:usb2="00000000" w:usb3="00000000" w:csb0="00000000" w:csb1="00000000"/>
    <w:embedRegular r:id="rId8" w:fontKey="{91B27DD7-12FE-4A28-8756-4D8CE6D4C9BB}"/>
  </w:font>
  <w:font w:name="Tahoma">
    <w:panose1 w:val="020B0604030504040204"/>
    <w:charset w:val="00"/>
    <w:family w:val="swiss"/>
    <w:pitch w:val="default"/>
    <w:sig w:usb0="E1002EFF" w:usb1="C000605B" w:usb2="00000029" w:usb3="00000000" w:csb0="200101FF" w:csb1="20280000"/>
    <w:embedRegular r:id="rId9" w:fontKey="{526A33A9-15F5-4C82-8AEC-8BD63BB9A1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0E02">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357B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9357B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04FA">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CA97F">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6ACA97F">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D81C">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A33BC">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6A33BC">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F13A">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49C1">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C3FD">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56C60"/>
    <w:rsid w:val="0027615C"/>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7547C"/>
    <w:rsid w:val="006769EB"/>
    <w:rsid w:val="006C03D0"/>
    <w:rsid w:val="006E49D4"/>
    <w:rsid w:val="006F4DB7"/>
    <w:rsid w:val="007051D0"/>
    <w:rsid w:val="00712F5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3B7D"/>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41D5C"/>
    <w:rsid w:val="00B53F5F"/>
    <w:rsid w:val="00B57815"/>
    <w:rsid w:val="00B94E97"/>
    <w:rsid w:val="00BA74DD"/>
    <w:rsid w:val="00BC04D1"/>
    <w:rsid w:val="00BC2F65"/>
    <w:rsid w:val="00C720D9"/>
    <w:rsid w:val="00CD32AF"/>
    <w:rsid w:val="00CE6497"/>
    <w:rsid w:val="00D077EC"/>
    <w:rsid w:val="00D12F80"/>
    <w:rsid w:val="00D17065"/>
    <w:rsid w:val="00D246F4"/>
    <w:rsid w:val="00D676B2"/>
    <w:rsid w:val="00D7037D"/>
    <w:rsid w:val="00DA25AA"/>
    <w:rsid w:val="00DC35A4"/>
    <w:rsid w:val="00DD6B5C"/>
    <w:rsid w:val="00E828D2"/>
    <w:rsid w:val="00E85F78"/>
    <w:rsid w:val="00F447E0"/>
    <w:rsid w:val="00F5573C"/>
    <w:rsid w:val="00FA5913"/>
    <w:rsid w:val="00FE58B4"/>
    <w:rsid w:val="00FF0247"/>
    <w:rsid w:val="00FF6368"/>
    <w:rsid w:val="01003FCC"/>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A80DB6"/>
    <w:rsid w:val="03BE5C4F"/>
    <w:rsid w:val="03C57F1D"/>
    <w:rsid w:val="03D3354B"/>
    <w:rsid w:val="03F370EA"/>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FC404A"/>
    <w:rsid w:val="0903492F"/>
    <w:rsid w:val="090A71E9"/>
    <w:rsid w:val="0916122C"/>
    <w:rsid w:val="094B34E5"/>
    <w:rsid w:val="0950282C"/>
    <w:rsid w:val="099D12AF"/>
    <w:rsid w:val="09AD5E3C"/>
    <w:rsid w:val="09B12057"/>
    <w:rsid w:val="09B2776D"/>
    <w:rsid w:val="09C735AB"/>
    <w:rsid w:val="09D41DD9"/>
    <w:rsid w:val="09D822DD"/>
    <w:rsid w:val="09FB0360"/>
    <w:rsid w:val="0A312D88"/>
    <w:rsid w:val="0A443EE4"/>
    <w:rsid w:val="0A6842D0"/>
    <w:rsid w:val="0A9C7D1B"/>
    <w:rsid w:val="0ADB0DD6"/>
    <w:rsid w:val="0AF95B2E"/>
    <w:rsid w:val="0AFA3F41"/>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294B59"/>
    <w:rsid w:val="0F37609A"/>
    <w:rsid w:val="0F5E7FAF"/>
    <w:rsid w:val="0F666CCA"/>
    <w:rsid w:val="0F801C32"/>
    <w:rsid w:val="0FC73BE9"/>
    <w:rsid w:val="0FDA0B8C"/>
    <w:rsid w:val="0FDD010F"/>
    <w:rsid w:val="0FEC00EE"/>
    <w:rsid w:val="0FEE6836"/>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553E1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75450C"/>
    <w:rsid w:val="31843543"/>
    <w:rsid w:val="31857990"/>
    <w:rsid w:val="318B126D"/>
    <w:rsid w:val="31A1157A"/>
    <w:rsid w:val="31BA31DE"/>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401C96"/>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2B54FF"/>
    <w:rsid w:val="3E874902"/>
    <w:rsid w:val="3E921361"/>
    <w:rsid w:val="3EA96219"/>
    <w:rsid w:val="3EB06A0E"/>
    <w:rsid w:val="3EB31640"/>
    <w:rsid w:val="3EB54AE2"/>
    <w:rsid w:val="3EB92D62"/>
    <w:rsid w:val="3EBE041F"/>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526732"/>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C73292"/>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B2BDF"/>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C3A47"/>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B16607"/>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C73736"/>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60017"/>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52341"/>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5D6F2D"/>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2">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autoRedefine/>
    <w:qFormat/>
    <w:uiPriority w:val="0"/>
    <w:pPr>
      <w:ind w:firstLine="830" w:firstLineChars="352"/>
    </w:pPr>
    <w:rPr>
      <w:rFonts w:ascii="仿宋_GB2312" w:eastAsia="仿宋_GB2312"/>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pPr>
      <w:ind w:left="100" w:leftChars="2500"/>
    </w:pPr>
    <w:rPr>
      <w:rFonts w:ascii="宋体" w:hAnsi="Courier New"/>
      <w:bCs/>
      <w:sz w:val="24"/>
    </w:rPr>
  </w:style>
  <w:style w:type="paragraph" w:styleId="15">
    <w:name w:val="Body Text Indent 2"/>
    <w:basedOn w:val="1"/>
    <w:autoRedefine/>
    <w:qFormat/>
    <w:uiPriority w:val="0"/>
    <w:pPr>
      <w:spacing w:after="120" w:line="480" w:lineRule="auto"/>
      <w:ind w:left="200" w:leftChars="200"/>
    </w:pPr>
  </w:style>
  <w:style w:type="paragraph" w:styleId="16">
    <w:name w:val="Balloon Text"/>
    <w:basedOn w:val="1"/>
    <w:link w:val="53"/>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envelope return"/>
    <w:basedOn w:val="1"/>
    <w:autoRedefine/>
    <w:unhideWhenUsed/>
    <w:qFormat/>
    <w:uiPriority w:val="0"/>
    <w:pPr>
      <w:snapToGrid w:val="0"/>
    </w:pPr>
    <w:rPr>
      <w:rFonts w:ascii="Arial" w:hAnsi="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qFormat/>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表格文字"/>
    <w:basedOn w:val="11"/>
    <w:autoRedefine/>
    <w:qFormat/>
    <w:uiPriority w:val="99"/>
    <w:pPr>
      <w:spacing w:before="25" w:after="25"/>
      <w:jc w:val="left"/>
    </w:pPr>
    <w:rPr>
      <w:bCs/>
      <w:spacing w:val="10"/>
      <w:kern w:val="0"/>
      <w:sz w:val="24"/>
    </w:rPr>
  </w:style>
  <w:style w:type="paragraph" w:customStyle="1" w:styleId="47">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6"/>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未处理的提及1"/>
    <w:basedOn w:val="32"/>
    <w:semiHidden/>
    <w:unhideWhenUsed/>
    <w:qFormat/>
    <w:uiPriority w:val="99"/>
    <w:rPr>
      <w:color w:val="605E5C"/>
      <w:shd w:val="clear" w:color="auto" w:fill="E1DFDD"/>
    </w:rPr>
  </w:style>
  <w:style w:type="character" w:customStyle="1" w:styleId="85">
    <w:name w:val="layui-layer-tabnow"/>
    <w:basedOn w:val="32"/>
    <w:qFormat/>
    <w:uiPriority w:val="0"/>
    <w:rPr>
      <w:bdr w:val="single" w:color="CCCCCC" w:sz="6" w:space="0"/>
      <w:shd w:val="clear" w:color="auto" w:fill="FFFFFF"/>
    </w:rPr>
  </w:style>
  <w:style w:type="character" w:customStyle="1" w:styleId="86">
    <w:name w:val="first-child"/>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135</Pages>
  <Words>26344</Words>
  <Characters>28300</Characters>
  <Lines>2644</Lines>
  <Paragraphs>2581</Paragraphs>
  <TotalTime>38</TotalTime>
  <ScaleCrop>false</ScaleCrop>
  <LinksUpToDate>false</LinksUpToDate>
  <CharactersWithSpaces>28681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2025-05-09T03:25:00Z</dcterms:created>
  <dc:creator>Administrator</dc:creator>
  <cp:lastModifiedBy>雨过天晴</cp:lastModifiedBy>
  <cp:lastPrinted>2023-12-28T08:32:00Z</cp:lastPrinted>
  <dcterms:modified xsi:type="dcterms:W3CDTF">2025-05-09T08:37:31Z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eyJoZGlkIjoiN2NiMTI3MDRiZWJlZDRkZTA3NmY0MjY1ZjJiMjJkMzMiLCJ1c2VySWQiOiI3MDAxMTU0MTgifQ==</vt:lpwstr>
  </property>
</Properties>
</file>