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firstLine="0" w:firstLineChars="0"/>
        <w:rPr>
          <w:rFonts w:hint="eastAsia"/>
          <w:color w:val="auto"/>
          <w:highlight w:val="none"/>
        </w:rPr>
      </w:pPr>
    </w:p>
    <w:p>
      <w:pPr>
        <w:spacing w:before="156" w:beforeLines="50" w:line="1600" w:lineRule="exact"/>
        <w:ind w:left="634" w:leftChars="-64" w:hanging="768" w:hangingChars="64"/>
        <w:jc w:val="center"/>
        <w:rPr>
          <w:rFonts w:ascii="方正小标宋_GBK" w:hAnsi="宋体" w:eastAsia="方正小标宋_GBK"/>
          <w:color w:val="auto"/>
          <w:sz w:val="120"/>
          <w:szCs w:val="120"/>
          <w:highlight w:val="none"/>
        </w:rPr>
      </w:pPr>
      <w:r>
        <w:rPr>
          <w:rFonts w:hint="eastAsia" w:ascii="方正小标宋_GBK" w:hAnsi="宋体" w:eastAsia="方正小标宋_GBK"/>
          <w:color w:val="auto"/>
          <w:sz w:val="120"/>
          <w:szCs w:val="120"/>
          <w:highlight w:val="none"/>
        </w:rPr>
        <w:t>招标文件</w:t>
      </w: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snapToGrid w:val="0"/>
        <w:spacing w:before="156" w:beforeLines="50" w:line="320" w:lineRule="exact"/>
        <w:ind w:left="2976" w:hanging="2976" w:hangingChars="954"/>
        <w:rPr>
          <w:rFonts w:hint="eastAsia" w:ascii="方正小标宋_GBK" w:hAnsi="宋体" w:eastAsia="方正小标宋_GBK"/>
          <w:color w:val="auto"/>
          <w:sz w:val="30"/>
          <w:szCs w:val="72"/>
          <w:highlight w:val="none"/>
        </w:rPr>
      </w:pPr>
      <w:r>
        <w:rPr>
          <w:rFonts w:hint="eastAsia" w:ascii="方正小标宋_GBK" w:hAnsi="宋体" w:eastAsia="方正小标宋_GBK"/>
          <w:color w:val="auto"/>
          <w:spacing w:val="6"/>
          <w:sz w:val="30"/>
          <w:szCs w:val="72"/>
          <w:highlight w:val="none"/>
        </w:rPr>
        <w:t xml:space="preserve">        项目名称</w:t>
      </w:r>
      <w:r>
        <w:rPr>
          <w:rFonts w:hint="eastAsia" w:ascii="方正小标宋_GBK" w:hAnsi="宋体" w:eastAsia="方正小标宋_GBK"/>
          <w:color w:val="auto"/>
          <w:sz w:val="30"/>
          <w:szCs w:val="72"/>
          <w:highlight w:val="none"/>
        </w:rPr>
        <w:t>:</w:t>
      </w:r>
      <w:bookmarkStart w:id="0" w:name="_Hlk179639570"/>
      <w:r>
        <w:rPr>
          <w:rFonts w:hint="eastAsia" w:ascii="方正小标宋_GBK" w:hAnsi="宋体" w:eastAsia="方正小标宋_GBK"/>
          <w:color w:val="auto"/>
          <w:sz w:val="30"/>
          <w:szCs w:val="72"/>
          <w:highlight w:val="none"/>
        </w:rPr>
        <w:t>浦北中学改善普通高中办学条件教学设备</w:t>
      </w:r>
    </w:p>
    <w:bookmarkEnd w:id="0"/>
    <w:p>
      <w:pPr>
        <w:snapToGrid w:val="0"/>
        <w:spacing w:before="156" w:beforeLines="50"/>
        <w:ind w:firstLine="0" w:firstLineChars="0"/>
        <w:rPr>
          <w:rFonts w:hint="eastAsia" w:ascii="方正小标宋_GBK" w:hAnsi="宋体" w:eastAsia="宋体"/>
          <w:b/>
          <w:bCs/>
          <w:color w:val="auto"/>
          <w:sz w:val="30"/>
          <w:szCs w:val="30"/>
          <w:highlight w:val="none"/>
          <w:lang w:eastAsia="zh-CN"/>
        </w:rPr>
      </w:pPr>
      <w:r>
        <w:rPr>
          <w:rFonts w:hint="eastAsia" w:ascii="方正小标宋_GBK" w:hAnsi="宋体" w:eastAsia="方正小标宋_GBK"/>
          <w:color w:val="auto"/>
          <w:spacing w:val="6"/>
          <w:sz w:val="30"/>
          <w:szCs w:val="72"/>
          <w:highlight w:val="none"/>
        </w:rPr>
        <w:t xml:space="preserve">        项目编号</w:t>
      </w:r>
      <w:r>
        <w:rPr>
          <w:rFonts w:hint="eastAsia" w:ascii="方正小标宋_GBK" w:hAnsi="宋体" w:eastAsia="方正小标宋_GBK"/>
          <w:color w:val="auto"/>
          <w:sz w:val="30"/>
          <w:szCs w:val="72"/>
          <w:highlight w:val="none"/>
        </w:rPr>
        <w:t>:</w:t>
      </w:r>
      <w:r>
        <w:rPr>
          <w:color w:val="auto"/>
          <w:highlight w:val="none"/>
        </w:rPr>
        <w:t xml:space="preserve"> </w:t>
      </w:r>
      <w:r>
        <w:rPr>
          <w:rFonts w:hint="eastAsia" w:ascii="方正小标宋_GBK" w:hAnsi="宋体" w:eastAsia="方正小标宋_GBK"/>
          <w:bCs/>
          <w:color w:val="auto"/>
          <w:sz w:val="30"/>
          <w:szCs w:val="30"/>
          <w:highlight w:val="none"/>
          <w:lang w:eastAsia="zh-CN"/>
        </w:rPr>
        <w:t>QZZC2025-G1-220081-QZSZ</w:t>
      </w: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spacing w:line="360" w:lineRule="exact"/>
        <w:ind w:firstLine="0" w:firstLineChars="0"/>
        <w:jc w:val="center"/>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snapToGrid w:val="0"/>
        <w:spacing w:before="156" w:beforeLines="50" w:line="360" w:lineRule="exact"/>
        <w:ind w:left="420" w:hanging="420" w:firstLineChars="0"/>
        <w:jc w:val="center"/>
        <w:rPr>
          <w:rFonts w:hint="eastAsia" w:ascii="方正小标宋_GBK" w:hAnsi="宋体" w:eastAsia="方正小标宋_GBK"/>
          <w:color w:val="auto"/>
          <w:sz w:val="30"/>
          <w:szCs w:val="72"/>
          <w:highlight w:val="none"/>
        </w:rPr>
      </w:pPr>
      <w:r>
        <w:rPr>
          <w:rFonts w:hint="eastAsia" w:ascii="方正小标宋_GBK" w:hAnsi="微软雅黑" w:eastAsia="方正小标宋_GBK"/>
          <w:color w:val="auto"/>
          <w:sz w:val="32"/>
          <w:szCs w:val="32"/>
          <w:highlight w:val="none"/>
        </w:rPr>
        <w:t>202</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年</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月</w:t>
      </w:r>
    </w:p>
    <w:p>
      <w:pPr>
        <w:ind w:firstLine="0" w:firstLineChars="0"/>
        <w:rPr>
          <w:color w:val="auto"/>
          <w:highlight w:val="none"/>
        </w:rPr>
      </w:pPr>
      <w:r>
        <w:rPr>
          <w:color w:val="auto"/>
          <w:highlight w:val="none"/>
        </w:rPr>
        <w:br w:type="page"/>
      </w:r>
    </w:p>
    <w:p>
      <w:pPr>
        <w:ind w:firstLine="0" w:firstLineChars="0"/>
        <w:rPr>
          <w:rFonts w:hint="eastAsia"/>
          <w:color w:val="auto"/>
          <w:highlight w:val="none"/>
        </w:rPr>
      </w:pPr>
    </w:p>
    <w:p>
      <w:pPr>
        <w:pStyle w:val="27"/>
        <w:ind w:firstLine="0" w:firstLineChars="0"/>
        <w:jc w:val="center"/>
        <w:rPr>
          <w:rFonts w:hint="eastAsia" w:ascii="隶书" w:eastAsia="隶书"/>
          <w:b/>
          <w:color w:val="auto"/>
          <w:sz w:val="44"/>
          <w:highlight w:val="none"/>
        </w:rPr>
      </w:pPr>
      <w:r>
        <w:rPr>
          <w:rFonts w:hint="eastAsia" w:ascii="隶书" w:eastAsia="隶书"/>
          <w:b/>
          <w:color w:val="auto"/>
          <w:sz w:val="44"/>
          <w:highlight w:val="none"/>
        </w:rPr>
        <w:t>目   录</w:t>
      </w:r>
    </w:p>
    <w:p>
      <w:pPr>
        <w:ind w:firstLine="0" w:firstLineChars="0"/>
        <w:rPr>
          <w:color w:val="auto"/>
          <w:highlight w:val="none"/>
        </w:rPr>
      </w:pPr>
    </w:p>
    <w:p>
      <w:pPr>
        <w:pStyle w:val="126"/>
        <w:spacing w:line="1000" w:lineRule="exact"/>
        <w:rPr>
          <w:rFonts w:ascii="仿宋" w:hAnsi="仿宋" w:eastAsia="仿宋"/>
          <w:color w:val="auto"/>
          <w:sz w:val="28"/>
          <w:szCs w:val="28"/>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w:instrText>
      </w:r>
      <w:r>
        <w:rPr>
          <w:rFonts w:hint="eastAsia" w:ascii="宋体" w:hAnsi="宋体"/>
          <w:color w:val="auto"/>
          <w:sz w:val="32"/>
          <w:szCs w:val="32"/>
          <w:highlight w:val="none"/>
        </w:rPr>
        <w:instrText xml:space="preserve">TOC \o "1-1" \h \z \u</w:instrText>
      </w:r>
      <w:r>
        <w:rPr>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"_Toc91512283"</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第一章  公 告</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"_Toc91512284"</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第二章  项目需求</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_Toc91512284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7</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"_Toc91512285"</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第三章  投标人须知及前</w:t>
      </w:r>
      <w:bookmarkStart w:id="1" w:name="_Hlt91583491"/>
      <w:bookmarkStart w:id="2" w:name="_Hlt91583492"/>
      <w:r>
        <w:rPr>
          <w:rStyle w:val="58"/>
          <w:rFonts w:ascii="仿宋" w:hAnsi="仿宋" w:eastAsia="仿宋"/>
          <w:color w:val="auto"/>
          <w:sz w:val="28"/>
          <w:szCs w:val="28"/>
          <w:highlight w:val="none"/>
        </w:rPr>
        <w:t>附</w:t>
      </w:r>
      <w:bookmarkEnd w:id="1"/>
      <w:bookmarkEnd w:id="2"/>
      <w:r>
        <w:rPr>
          <w:rStyle w:val="58"/>
          <w:rFonts w:ascii="仿宋" w:hAnsi="仿宋" w:eastAsia="仿宋"/>
          <w:color w:val="auto"/>
          <w:sz w:val="28"/>
          <w:szCs w:val="28"/>
          <w:highlight w:val="none"/>
        </w:rPr>
        <w:t>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163</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"_Toc91512286"</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第四章  评</w:t>
      </w:r>
      <w:r>
        <w:rPr>
          <w:rStyle w:val="58"/>
          <w:rFonts w:hint="eastAsia" w:ascii="仿宋" w:hAnsi="仿宋" w:eastAsia="仿宋"/>
          <w:color w:val="auto"/>
          <w:sz w:val="28"/>
          <w:szCs w:val="28"/>
          <w:highlight w:val="none"/>
        </w:rPr>
        <w:t>定</w:t>
      </w:r>
      <w:r>
        <w:rPr>
          <w:rStyle w:val="58"/>
          <w:rFonts w:ascii="仿宋" w:hAnsi="仿宋" w:eastAsia="仿宋"/>
          <w:color w:val="auto"/>
          <w:sz w:val="28"/>
          <w:szCs w:val="28"/>
          <w:highlight w:val="none"/>
        </w:rPr>
        <w:t>标准及</w:t>
      </w:r>
      <w:r>
        <w:rPr>
          <w:rStyle w:val="58"/>
          <w:rFonts w:hint="eastAsia" w:ascii="仿宋" w:hAnsi="仿宋" w:eastAsia="仿宋"/>
          <w:color w:val="auto"/>
          <w:sz w:val="28"/>
          <w:szCs w:val="28"/>
          <w:highlight w:val="none"/>
        </w:rPr>
        <w:t>推荐原则</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_Toc91512286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176</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"_Toc91512287"</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第五章  政府采购合同主要条款</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180</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"_Toc91512288"</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第六章　投标文件格式</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_Toc91512288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196</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ind w:left="-2" w:leftChars="-1" w:firstLine="0" w:firstLineChars="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46" w:right="1106" w:bottom="1091" w:left="1080" w:header="851" w:footer="992" w:gutter="0"/>
          <w:cols w:space="720" w:num="1"/>
          <w:titlePg/>
          <w:docGrid w:type="lines" w:linePitch="312" w:charSpace="0"/>
        </w:sectPr>
      </w:pPr>
      <w:r>
        <w:rPr>
          <w:color w:val="auto"/>
          <w:highlight w:val="none"/>
        </w:rPr>
        <w:fldChar w:fldCharType="end"/>
      </w:r>
    </w:p>
    <w:p>
      <w:pPr>
        <w:ind w:left="-2" w:leftChars="-1" w:firstLine="0" w:firstLineChars="0"/>
        <w:rPr>
          <w:rFonts w:hint="eastAsia"/>
          <w:color w:val="auto"/>
          <w:highlight w:val="none"/>
        </w:rPr>
      </w:pPr>
    </w:p>
    <w:p>
      <w:pPr>
        <w:ind w:firstLine="0" w:firstLineChars="0"/>
        <w:rPr>
          <w:color w:val="auto"/>
          <w:highlight w:val="none"/>
        </w:rPr>
      </w:pPr>
      <w:bookmarkStart w:id="3" w:name="_Toc91512283"/>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6"/>
        <w:ind w:left="0" w:leftChars="0" w:right="0" w:rightChars="0" w:firstLine="0" w:firstLineChars="0"/>
        <w:jc w:val="center"/>
        <w:rPr>
          <w:rFonts w:hint="eastAsia" w:ascii="方正小标宋_GBK"/>
          <w:color w:val="auto"/>
          <w:szCs w:val="44"/>
          <w:highlight w:val="none"/>
        </w:rPr>
      </w:pPr>
      <w:r>
        <w:rPr>
          <w:rFonts w:hint="eastAsia" w:ascii="方正小标宋_GBK"/>
          <w:color w:val="auto"/>
          <w:szCs w:val="44"/>
          <w:highlight w:val="none"/>
        </w:rPr>
        <w:t>第一章  公 告</w:t>
      </w:r>
      <w:bookmarkEnd w:id="3"/>
    </w:p>
    <w:p>
      <w:pPr>
        <w:ind w:left="420" w:firstLine="0" w:firstLineChars="0"/>
        <w:rPr>
          <w:color w:val="auto"/>
          <w:highlight w:val="none"/>
        </w:rPr>
      </w:pPr>
      <w:r>
        <w:rPr>
          <w:color w:val="auto"/>
          <w:highlight w:val="none"/>
        </w:rPr>
        <w:br w:type="page"/>
      </w:r>
    </w:p>
    <w:p>
      <w:pPr>
        <w:spacing w:line="440" w:lineRule="exact"/>
        <w:ind w:firstLine="0" w:firstLineChars="0"/>
        <w:jc w:val="center"/>
        <w:rPr>
          <w:rFonts w:hint="eastAsia"/>
          <w:color w:val="auto"/>
          <w:highlight w:val="none"/>
        </w:rPr>
      </w:pPr>
      <w:r>
        <w:rPr>
          <w:rFonts w:ascii="方正小标宋_GBK" w:eastAsia="方正小标宋_GBK"/>
          <w:b/>
          <w:bCs/>
          <w:color w:val="auto"/>
          <w:sz w:val="36"/>
          <w:szCs w:val="36"/>
          <w:highlight w:val="none"/>
        </w:rPr>
        <w:t>钦州市政府采购中心</w:t>
      </w:r>
      <w:bookmarkStart w:id="4" w:name="_Hlk169687345"/>
      <w:r>
        <w:rPr>
          <w:rFonts w:ascii="方正小标宋_GBK" w:eastAsia="方正小标宋_GBK"/>
          <w:b/>
          <w:bCs/>
          <w:color w:val="auto"/>
          <w:sz w:val="36"/>
          <w:szCs w:val="36"/>
          <w:highlight w:val="none"/>
        </w:rPr>
        <w:t>关于</w:t>
      </w:r>
      <w:r>
        <w:rPr>
          <w:rFonts w:hint="eastAsia" w:ascii="方正小标宋_GBK" w:eastAsia="方正小标宋_GBK"/>
          <w:b/>
          <w:bCs/>
          <w:color w:val="auto"/>
          <w:sz w:val="36"/>
          <w:szCs w:val="36"/>
          <w:highlight w:val="none"/>
          <w:lang w:eastAsia="zh-CN"/>
        </w:rPr>
        <w:t>浦北中学改善普通高中办学条件教学设备</w:t>
      </w:r>
      <w:r>
        <w:rPr>
          <w:rFonts w:ascii="方正小标宋_GBK" w:eastAsia="方正小标宋_GBK"/>
          <w:b/>
          <w:bCs/>
          <w:color w:val="auto"/>
          <w:sz w:val="36"/>
          <w:szCs w:val="36"/>
          <w:highlight w:val="none"/>
        </w:rPr>
        <w:t>(</w:t>
      </w:r>
      <w:r>
        <w:rPr>
          <w:rFonts w:hint="eastAsia" w:ascii="方正小标宋_GBK" w:eastAsia="方正小标宋_GBK"/>
          <w:b/>
          <w:bCs/>
          <w:color w:val="auto"/>
          <w:sz w:val="36"/>
          <w:szCs w:val="36"/>
          <w:highlight w:val="none"/>
          <w:lang w:eastAsia="zh-CN"/>
        </w:rPr>
        <w:t>QZZC2025-G1-220081-QZSZ</w:t>
      </w:r>
      <w:r>
        <w:rPr>
          <w:rFonts w:ascii="方正小标宋_GBK" w:eastAsia="方正小标宋_GBK"/>
          <w:b/>
          <w:bCs/>
          <w:color w:val="auto"/>
          <w:sz w:val="36"/>
          <w:szCs w:val="36"/>
          <w:highlight w:val="none"/>
        </w:rPr>
        <w:t>)</w:t>
      </w:r>
      <w:bookmarkEnd w:id="4"/>
      <w:r>
        <w:rPr>
          <w:rFonts w:hint="eastAsia" w:ascii="方正小标宋_GBK" w:eastAsia="方正小标宋_GBK"/>
          <w:b/>
          <w:bCs/>
          <w:color w:val="auto"/>
          <w:sz w:val="36"/>
          <w:szCs w:val="36"/>
          <w:highlight w:val="none"/>
        </w:rPr>
        <w:t>的招标公告</w:t>
      </w:r>
    </w:p>
    <w:p>
      <w:pPr>
        <w:pBdr>
          <w:top w:val="single" w:color="auto" w:sz="4" w:space="0"/>
          <w:left w:val="single" w:color="auto" w:sz="4" w:space="4"/>
          <w:bottom w:val="single" w:color="auto" w:sz="4" w:space="1"/>
          <w:right w:val="single" w:color="auto" w:sz="4" w:space="4"/>
        </w:pBdr>
        <w:spacing w:line="412" w:lineRule="exact"/>
        <w:ind w:firstLine="0" w:firstLineChars="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12" w:lineRule="exact"/>
        <w:ind w:firstLine="420"/>
        <w:rPr>
          <w:rFonts w:ascii="宋体" w:hAnsi="宋体"/>
          <w:color w:val="auto"/>
          <w:szCs w:val="21"/>
          <w:highlight w:val="none"/>
        </w:rPr>
      </w:pPr>
      <w:r>
        <w:rPr>
          <w:rFonts w:hint="eastAsia" w:ascii="宋体" w:hAnsi="宋体"/>
          <w:bCs/>
          <w:color w:val="auto"/>
          <w:szCs w:val="21"/>
          <w:highlight w:val="none"/>
          <w:lang w:eastAsia="zh-CN"/>
        </w:rPr>
        <w:t>浦北中学改善普通高中办学条件教学设备</w:t>
      </w:r>
      <w:r>
        <w:rPr>
          <w:rFonts w:hint="eastAsia" w:ascii="宋体" w:hAnsi="宋体"/>
          <w:bCs/>
          <w:color w:val="auto"/>
          <w:szCs w:val="21"/>
          <w:highlight w:val="none"/>
        </w:rPr>
        <w:t>招标</w:t>
      </w:r>
      <w:r>
        <w:rPr>
          <w:rFonts w:hint="eastAsia" w:ascii="宋体" w:hAnsi="宋体"/>
          <w:color w:val="auto"/>
          <w:szCs w:val="21"/>
          <w:highlight w:val="none"/>
        </w:rPr>
        <w:t>项目的潜在投标人应在广西</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"https://www.zcygov.cn/"</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Style w:val="58"/>
          <w:rFonts w:hint="eastAsia" w:ascii="宋体" w:hAnsi="宋体"/>
          <w:color w:val="auto"/>
          <w:szCs w:val="21"/>
          <w:highlight w:val="none"/>
          <w:u w:val="none"/>
        </w:rPr>
        <w:t>政府采购云平台</w:t>
      </w:r>
      <w:r>
        <w:rPr>
          <w:rFonts w:ascii="宋体" w:hAnsi="宋体"/>
          <w:color w:val="auto"/>
          <w:szCs w:val="21"/>
          <w:highlight w:val="none"/>
        </w:rPr>
        <w:fldChar w:fldCharType="end"/>
      </w:r>
      <w:r>
        <w:rPr>
          <w:rFonts w:hint="eastAsia" w:ascii="宋体" w:hAnsi="宋体"/>
          <w:color w:val="auto"/>
          <w:szCs w:val="21"/>
          <w:highlight w:val="none"/>
        </w:rPr>
        <w:t>获取招标文件，并于202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6月11日</w:t>
      </w:r>
      <w:r>
        <w:rPr>
          <w:rFonts w:hint="eastAsia"/>
          <w:color w:val="auto"/>
          <w:highlight w:val="none"/>
        </w:rPr>
        <w:t>09</w:t>
      </w:r>
      <w:r>
        <w:rPr>
          <w:color w:val="auto"/>
          <w:highlight w:val="none"/>
        </w:rPr>
        <w:t>:</w:t>
      </w:r>
      <w:r>
        <w:rPr>
          <w:rFonts w:hint="eastAsia"/>
          <w:color w:val="auto"/>
          <w:highlight w:val="none"/>
        </w:rPr>
        <w:t>3</w:t>
      </w:r>
      <w:r>
        <w:rPr>
          <w:color w:val="auto"/>
          <w:highlight w:val="none"/>
        </w:rPr>
        <w:t>0</w:t>
      </w:r>
      <w:r>
        <w:rPr>
          <w:rFonts w:hint="eastAsia" w:ascii="宋体" w:hAnsi="宋体"/>
          <w:color w:val="auto"/>
          <w:szCs w:val="21"/>
          <w:highlight w:val="none"/>
        </w:rPr>
        <w:t>（北京时间）前提交投标文件。</w:t>
      </w:r>
    </w:p>
    <w:p>
      <w:pPr>
        <w:spacing w:line="412" w:lineRule="exact"/>
        <w:ind w:firstLine="0" w:firstLineChars="0"/>
        <w:rPr>
          <w:b/>
          <w:color w:val="auto"/>
          <w:highlight w:val="none"/>
        </w:rPr>
      </w:pPr>
      <w:bookmarkStart w:id="5" w:name="_Toc28359079"/>
      <w:bookmarkStart w:id="6" w:name="_Toc35393621"/>
      <w:bookmarkStart w:id="7" w:name="_Toc35393790"/>
      <w:bookmarkStart w:id="8" w:name="_Toc28359002"/>
      <w:bookmarkStart w:id="9" w:name="_Hlk24379207"/>
      <w:bookmarkStart w:id="10" w:name="_Hlk92355554"/>
      <w:r>
        <w:rPr>
          <w:rFonts w:hint="eastAsia"/>
          <w:b/>
          <w:color w:val="auto"/>
          <w:highlight w:val="none"/>
        </w:rPr>
        <w:t>一、项目基本情况</w:t>
      </w:r>
      <w:bookmarkEnd w:id="5"/>
      <w:bookmarkEnd w:id="6"/>
      <w:bookmarkEnd w:id="7"/>
      <w:bookmarkEnd w:id="8"/>
    </w:p>
    <w:p>
      <w:pPr>
        <w:spacing w:line="412" w:lineRule="exact"/>
        <w:ind w:firstLine="42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QZZC2025-G1-220081-QZSZ</w:t>
      </w:r>
    </w:p>
    <w:p>
      <w:pPr>
        <w:spacing w:line="412" w:lineRule="exact"/>
        <w:ind w:firstLine="4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浦北中学改善普通高中办学条件教学设备</w:t>
      </w:r>
    </w:p>
    <w:bookmarkEnd w:id="9"/>
    <w:p>
      <w:pPr>
        <w:spacing w:line="412" w:lineRule="exact"/>
        <w:ind w:firstLine="420"/>
        <w:rPr>
          <w:rFonts w:hint="eastAsia"/>
          <w:color w:val="auto"/>
          <w:highlight w:val="none"/>
        </w:rPr>
      </w:pPr>
      <w:r>
        <w:rPr>
          <w:rFonts w:hint="eastAsia"/>
          <w:color w:val="auto"/>
          <w:highlight w:val="none"/>
        </w:rPr>
        <w:t>预算总金额(元</w:t>
      </w:r>
      <w:r>
        <w:rPr>
          <w:color w:val="auto"/>
          <w:highlight w:val="none"/>
        </w:rPr>
        <w:t>)</w:t>
      </w:r>
      <w:r>
        <w:rPr>
          <w:rFonts w:hint="eastAsia"/>
          <w:color w:val="auto"/>
          <w:highlight w:val="none"/>
        </w:rPr>
        <w:t>：3,307,000.00</w:t>
      </w:r>
    </w:p>
    <w:p>
      <w:pPr>
        <w:spacing w:line="412" w:lineRule="exact"/>
        <w:ind w:firstLine="420"/>
        <w:rPr>
          <w:color w:val="auto"/>
          <w:highlight w:val="none"/>
        </w:rPr>
      </w:pPr>
      <w:r>
        <w:rPr>
          <w:rFonts w:hint="eastAsia"/>
          <w:color w:val="auto"/>
          <w:highlight w:val="none"/>
        </w:rPr>
        <w:t>采购需求：</w:t>
      </w:r>
    </w:p>
    <w:p>
      <w:pPr>
        <w:spacing w:line="412" w:lineRule="exact"/>
        <w:ind w:firstLine="420"/>
        <w:rPr>
          <w:rFonts w:hint="eastAsia"/>
          <w:color w:val="auto"/>
          <w:highlight w:val="none"/>
        </w:rPr>
      </w:pPr>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标项名称：</w:t>
      </w:r>
      <w:r>
        <w:rPr>
          <w:rFonts w:hint="eastAsia" w:cs="Times New Roman"/>
          <w:color w:val="auto"/>
          <w:szCs w:val="24"/>
          <w:highlight w:val="none"/>
          <w:lang w:eastAsia="zh-CN"/>
        </w:rPr>
        <w:t>浦北中学改善普通高中办学条件教学设备</w:t>
      </w:r>
    </w:p>
    <w:p>
      <w:pPr>
        <w:spacing w:line="40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数量：</w:t>
      </w:r>
      <w:r>
        <w:rPr>
          <w:rFonts w:hint="eastAsia" w:cs="Times New Roman"/>
          <w:color w:val="auto"/>
          <w:szCs w:val="24"/>
          <w:highlight w:val="none"/>
          <w:lang w:val="en-US" w:eastAsia="zh-CN"/>
        </w:rPr>
        <w:t>1</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预算金额</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元</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：3,307,000.00</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简要规格描述或项目基本概况介绍、用途：购置多媒体教学设备、计算机、心理健康教育装备、录播室、学生用床、课桌凳、通用技术、音乐、美术教学仪器等设备一批。详见招标文件。</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最高限价</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如有</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合同履行期限：</w:t>
      </w:r>
      <w:bookmarkStart w:id="11" w:name="OLE_LINK9"/>
      <w:r>
        <w:rPr>
          <w:rFonts w:hint="eastAsia" w:ascii="Times New Roman" w:hAnsi="Times New Roman" w:eastAsia="宋体" w:cs="Times New Roman"/>
          <w:color w:val="auto"/>
          <w:szCs w:val="24"/>
          <w:highlight w:val="none"/>
        </w:rPr>
        <w:t>合同签订之日起</w:t>
      </w:r>
      <w:r>
        <w:rPr>
          <w:rFonts w:hint="eastAsia" w:cs="Times New Roman"/>
          <w:color w:val="auto"/>
          <w:szCs w:val="24"/>
          <w:highlight w:val="none"/>
          <w:u w:val="none"/>
          <w:lang w:val="en-US" w:eastAsia="zh-CN"/>
        </w:rPr>
        <w:t>30</w:t>
      </w:r>
      <w:r>
        <w:rPr>
          <w:rFonts w:hint="eastAsia" w:ascii="Times New Roman" w:hAnsi="Times New Roman" w:eastAsia="宋体" w:cs="Times New Roman"/>
          <w:color w:val="auto"/>
          <w:szCs w:val="24"/>
          <w:highlight w:val="none"/>
        </w:rPr>
        <w:t>个日历日内。</w:t>
      </w:r>
      <w:bookmarkEnd w:id="11"/>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本标项</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否</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接受联合体投标。</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备注：</w:t>
      </w:r>
    </w:p>
    <w:p>
      <w:pPr>
        <w:spacing w:line="412" w:lineRule="exact"/>
        <w:ind w:firstLine="420"/>
        <w:rPr>
          <w:rFonts w:hint="eastAsia"/>
          <w:color w:val="auto"/>
          <w:highlight w:val="none"/>
        </w:rPr>
      </w:pPr>
    </w:p>
    <w:p>
      <w:pPr>
        <w:spacing w:line="412" w:lineRule="exact"/>
        <w:ind w:firstLine="0" w:firstLineChars="0"/>
        <w:rPr>
          <w:rFonts w:hint="eastAsia"/>
          <w:b/>
          <w:color w:val="auto"/>
          <w:highlight w:val="none"/>
        </w:rPr>
      </w:pPr>
      <w:bookmarkStart w:id="12" w:name="_Toc35393791"/>
      <w:bookmarkStart w:id="13" w:name="_Toc28359003"/>
      <w:bookmarkStart w:id="14" w:name="_Toc28359080"/>
      <w:bookmarkStart w:id="15" w:name="_Toc35393622"/>
      <w:r>
        <w:rPr>
          <w:rFonts w:hint="eastAsia"/>
          <w:b/>
          <w:color w:val="auto"/>
          <w:highlight w:val="none"/>
        </w:rPr>
        <w:t>二、申请人的资格要求：</w:t>
      </w:r>
      <w:bookmarkEnd w:id="12"/>
      <w:bookmarkEnd w:id="13"/>
      <w:bookmarkEnd w:id="14"/>
      <w:bookmarkEnd w:id="15"/>
      <w:bookmarkStart w:id="16" w:name="_Toc28359004"/>
      <w:bookmarkStart w:id="17" w:name="_Toc35393623"/>
      <w:bookmarkStart w:id="18" w:name="_Toc28359081"/>
      <w:bookmarkStart w:id="19" w:name="_Toc35393792"/>
    </w:p>
    <w:p>
      <w:pPr>
        <w:spacing w:line="412" w:lineRule="exact"/>
        <w:ind w:firstLine="420"/>
        <w:rPr>
          <w:b/>
          <w:color w:val="auto"/>
          <w:highlight w:val="none"/>
        </w:rPr>
      </w:pPr>
      <w:r>
        <w:rPr>
          <w:rFonts w:hint="eastAsia"/>
          <w:color w:val="auto"/>
          <w:highlight w:val="none"/>
        </w:rPr>
        <w:t>1.满足《中华人民共和国政府采购法》第二十二条规定；</w:t>
      </w:r>
    </w:p>
    <w:p>
      <w:pPr>
        <w:spacing w:line="412" w:lineRule="exact"/>
        <w:ind w:firstLine="420"/>
        <w:rPr>
          <w:color w:val="auto"/>
          <w:highlight w:val="none"/>
        </w:rPr>
      </w:pPr>
      <w:r>
        <w:rPr>
          <w:rFonts w:hint="eastAsia"/>
          <w:color w:val="auto"/>
          <w:highlight w:val="none"/>
        </w:rPr>
        <w:t>2.落实政府采购政策需满足的资格要求：无</w:t>
      </w:r>
    </w:p>
    <w:p>
      <w:pPr>
        <w:spacing w:line="412" w:lineRule="exact"/>
        <w:ind w:firstLine="420"/>
        <w:rPr>
          <w:color w:val="auto"/>
          <w:highlight w:val="none"/>
        </w:rPr>
      </w:pPr>
      <w:r>
        <w:rPr>
          <w:rFonts w:hint="eastAsia"/>
          <w:color w:val="auto"/>
          <w:highlight w:val="none"/>
        </w:rPr>
        <w:t>3.本项目的特定资格要求：无</w:t>
      </w:r>
    </w:p>
    <w:p>
      <w:pPr>
        <w:spacing w:line="412" w:lineRule="exact"/>
        <w:ind w:firstLine="0" w:firstLineChars="0"/>
        <w:rPr>
          <w:b/>
          <w:color w:val="auto"/>
          <w:highlight w:val="none"/>
        </w:rPr>
      </w:pPr>
      <w:r>
        <w:rPr>
          <w:rFonts w:hint="eastAsia"/>
          <w:b/>
          <w:color w:val="auto"/>
          <w:highlight w:val="none"/>
        </w:rPr>
        <w:t>三、获取招标文件</w:t>
      </w:r>
      <w:bookmarkEnd w:id="16"/>
      <w:bookmarkEnd w:id="17"/>
      <w:bookmarkEnd w:id="18"/>
      <w:bookmarkEnd w:id="19"/>
    </w:p>
    <w:p>
      <w:pPr>
        <w:spacing w:line="412" w:lineRule="exact"/>
        <w:ind w:firstLine="420"/>
        <w:jc w:val="left"/>
        <w:rPr>
          <w:color w:val="auto"/>
          <w:highlight w:val="none"/>
        </w:rPr>
      </w:pPr>
      <w:bookmarkStart w:id="20" w:name="_Toc38370141"/>
      <w:r>
        <w:rPr>
          <w:rFonts w:hint="eastAsia"/>
          <w:color w:val="auto"/>
          <w:highlight w:val="none"/>
        </w:rPr>
        <w:t>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13</w:t>
      </w:r>
      <w:r>
        <w:rPr>
          <w:rFonts w:hint="eastAsia"/>
          <w:color w:val="auto"/>
          <w:highlight w:val="none"/>
        </w:rPr>
        <w:t>日至202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20</w:t>
      </w:r>
      <w:r>
        <w:rPr>
          <w:rFonts w:hint="eastAsia"/>
          <w:color w:val="auto"/>
          <w:highlight w:val="none"/>
        </w:rPr>
        <w:t>日 ，每天上午00:00至12:00，下午12:00至23:59（北京时间，法定节假日除外）</w:t>
      </w:r>
    </w:p>
    <w:p>
      <w:pPr>
        <w:spacing w:line="412" w:lineRule="exact"/>
        <w:ind w:firstLine="420"/>
        <w:rPr>
          <w:rFonts w:hint="eastAsia"/>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1" w:name="_Hlk160013661"/>
      <w:bookmarkStart w:id="22" w:name="OLE_LINK2"/>
      <w:r>
        <w:rPr>
          <w:rFonts w:hint="eastAsia"/>
          <w:color w:val="auto"/>
          <w:highlight w:val="none"/>
        </w:rPr>
        <w:t>广西政府采购云平台</w:t>
      </w:r>
      <w:bookmarkEnd w:id="21"/>
      <w:r>
        <w:rPr>
          <w:rFonts w:hint="eastAsia"/>
          <w:color w:val="auto"/>
          <w:highlight w:val="none"/>
        </w:rPr>
        <w:t>（</w:t>
      </w:r>
      <w:r>
        <w:rPr>
          <w:color w:val="auto"/>
          <w:highlight w:val="none"/>
        </w:rPr>
        <w:t>https://www.gcy.zfcg.gxzf.gov.cn/</w:t>
      </w:r>
      <w:r>
        <w:rPr>
          <w:rFonts w:hint="eastAsia"/>
          <w:color w:val="auto"/>
          <w:highlight w:val="none"/>
        </w:rPr>
        <w:t>）</w:t>
      </w:r>
      <w:bookmarkEnd w:id="22"/>
    </w:p>
    <w:p>
      <w:pPr>
        <w:spacing w:line="412" w:lineRule="exact"/>
        <w:ind w:firstLine="420"/>
        <w:rPr>
          <w:color w:val="auto"/>
          <w:highlight w:val="none"/>
        </w:rPr>
      </w:pPr>
      <w:r>
        <w:rPr>
          <w:rFonts w:hint="eastAsia"/>
          <w:color w:val="auto"/>
          <w:highlight w:val="none"/>
        </w:rPr>
        <w:t>方式：</w:t>
      </w:r>
      <w:bookmarkStart w:id="23" w:name="OLE_LINK3"/>
      <w:r>
        <w:rPr>
          <w:rFonts w:hint="eastAsia"/>
          <w:color w:val="auto"/>
          <w:highlight w:val="none"/>
        </w:rPr>
        <w:t>供应商登录广西政府采购云平台(以下称“政采云平台”</w:t>
      </w:r>
      <w:r>
        <w:rPr>
          <w:color w:val="auto"/>
          <w:highlight w:val="none"/>
        </w:rPr>
        <w:t>)</w:t>
      </w:r>
      <w:r>
        <w:rPr>
          <w:rFonts w:hint="eastAsia"/>
          <w:color w:val="auto"/>
          <w:highlight w:val="none"/>
        </w:rPr>
        <w:t>在线获取招标文件（进入“项目采购”应用选择项目，获取招标文件）</w:t>
      </w:r>
      <w:bookmarkEnd w:id="23"/>
    </w:p>
    <w:p>
      <w:pPr>
        <w:spacing w:line="412" w:lineRule="exact"/>
        <w:ind w:firstLine="420"/>
        <w:rPr>
          <w:rFonts w:hint="eastAsia"/>
          <w:color w:val="auto"/>
          <w:highlight w:val="none"/>
        </w:rPr>
      </w:pPr>
      <w:r>
        <w:rPr>
          <w:rFonts w:hint="eastAsia"/>
          <w:color w:val="auto"/>
          <w:highlight w:val="none"/>
        </w:rPr>
        <w:t>售价(元</w:t>
      </w:r>
      <w:r>
        <w:rPr>
          <w:color w:val="auto"/>
          <w:highlight w:val="none"/>
        </w:rPr>
        <w:t>)</w:t>
      </w:r>
      <w:r>
        <w:rPr>
          <w:rFonts w:hint="eastAsia"/>
          <w:color w:val="auto"/>
          <w:highlight w:val="none"/>
        </w:rPr>
        <w:t xml:space="preserve">：0 </w:t>
      </w:r>
    </w:p>
    <w:p>
      <w:pPr>
        <w:spacing w:line="412" w:lineRule="exact"/>
        <w:ind w:firstLine="0" w:firstLineChars="0"/>
        <w:rPr>
          <w:b/>
          <w:color w:val="auto"/>
          <w:highlight w:val="none"/>
        </w:rPr>
      </w:pPr>
      <w:r>
        <w:rPr>
          <w:rFonts w:hint="eastAsia"/>
          <w:b/>
          <w:bCs/>
          <w:color w:val="auto"/>
          <w:highlight w:val="none"/>
        </w:rPr>
        <w:t>四、</w:t>
      </w:r>
      <w:bookmarkEnd w:id="20"/>
      <w:bookmarkStart w:id="24" w:name="_Toc28359082"/>
      <w:bookmarkStart w:id="25" w:name="_Toc28359005"/>
      <w:bookmarkStart w:id="26" w:name="_Toc35393624"/>
      <w:bookmarkStart w:id="27" w:name="_Toc35393793"/>
      <w:r>
        <w:rPr>
          <w:rFonts w:hint="eastAsia"/>
          <w:b/>
          <w:color w:val="auto"/>
          <w:highlight w:val="none"/>
        </w:rPr>
        <w:t>投标文件</w:t>
      </w:r>
      <w:bookmarkEnd w:id="24"/>
      <w:bookmarkEnd w:id="25"/>
      <w:r>
        <w:rPr>
          <w:rFonts w:hint="eastAsia"/>
          <w:b/>
          <w:color w:val="auto"/>
          <w:highlight w:val="none"/>
        </w:rPr>
        <w:t>提交截止时间、开标时间和</w:t>
      </w:r>
      <w:bookmarkEnd w:id="26"/>
      <w:bookmarkEnd w:id="27"/>
      <w:r>
        <w:rPr>
          <w:rFonts w:hint="eastAsia"/>
          <w:b/>
          <w:color w:val="auto"/>
          <w:highlight w:val="none"/>
        </w:rPr>
        <w:t>地点</w:t>
      </w:r>
    </w:p>
    <w:p>
      <w:pPr>
        <w:spacing w:line="412" w:lineRule="exact"/>
        <w:ind w:firstLine="420"/>
        <w:rPr>
          <w:color w:val="auto"/>
          <w:highlight w:val="none"/>
        </w:rPr>
      </w:pPr>
      <w:r>
        <w:rPr>
          <w:rFonts w:hint="eastAsia"/>
          <w:color w:val="auto"/>
          <w:highlight w:val="none"/>
        </w:rPr>
        <w:t>提交投标文件截止时间：202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6月11日</w:t>
      </w:r>
      <w:r>
        <w:rPr>
          <w:rFonts w:hint="eastAsia"/>
          <w:color w:val="auto"/>
          <w:highlight w:val="none"/>
        </w:rPr>
        <w:t>09</w:t>
      </w:r>
      <w:r>
        <w:rPr>
          <w:color w:val="auto"/>
          <w:highlight w:val="none"/>
        </w:rPr>
        <w:t>:</w:t>
      </w:r>
      <w:r>
        <w:rPr>
          <w:rFonts w:hint="eastAsia"/>
          <w:color w:val="auto"/>
          <w:highlight w:val="none"/>
        </w:rPr>
        <w:t>3</w:t>
      </w:r>
      <w:r>
        <w:rPr>
          <w:color w:val="auto"/>
          <w:highlight w:val="none"/>
        </w:rPr>
        <w:t>0</w:t>
      </w:r>
      <w:r>
        <w:rPr>
          <w:rFonts w:hint="eastAsia"/>
          <w:color w:val="auto"/>
          <w:highlight w:val="none"/>
        </w:rPr>
        <w:t>（北京时间）</w:t>
      </w:r>
    </w:p>
    <w:p>
      <w:pPr>
        <w:spacing w:line="412" w:lineRule="exact"/>
        <w:ind w:firstLine="420"/>
        <w:rPr>
          <w:rFonts w:ascii="宋体" w:hAnsi="宋体" w:cs="Courier New"/>
          <w:color w:val="auto"/>
          <w:szCs w:val="21"/>
          <w:highlight w:val="none"/>
        </w:rPr>
      </w:pPr>
      <w:r>
        <w:rPr>
          <w:rFonts w:hint="eastAsia"/>
          <w:color w:val="auto"/>
          <w:highlight w:val="none"/>
        </w:rPr>
        <w:t>投标地点(网址）：</w:t>
      </w:r>
      <w:bookmarkStart w:id="28" w:name="OLE_LINK4"/>
      <w:r>
        <w:rPr>
          <w:rFonts w:hint="eastAsia" w:ascii="宋体" w:hAnsi="宋体" w:cs="Courier New"/>
          <w:color w:val="auto"/>
          <w:szCs w:val="21"/>
          <w:highlight w:val="none"/>
        </w:rPr>
        <w:t>请登录广西政府采购云平台投标客户端投标</w:t>
      </w:r>
      <w:bookmarkEnd w:id="28"/>
    </w:p>
    <w:p>
      <w:pPr>
        <w:spacing w:line="412" w:lineRule="exact"/>
        <w:ind w:firstLine="420"/>
        <w:rPr>
          <w:rFonts w:ascii="宋体" w:hAnsi="宋体" w:cs="Courier New"/>
          <w:color w:val="auto"/>
          <w:szCs w:val="21"/>
          <w:highlight w:val="none"/>
        </w:rPr>
      </w:pPr>
      <w:r>
        <w:rPr>
          <w:rFonts w:hint="eastAsia" w:ascii="宋体" w:hAnsi="宋体" w:cs="Courier New"/>
          <w:color w:val="auto"/>
          <w:szCs w:val="21"/>
          <w:highlight w:val="none"/>
        </w:rPr>
        <w:t>开标时间：202</w:t>
      </w:r>
      <w:r>
        <w:rPr>
          <w:rFonts w:hint="eastAsia" w:ascii="宋体" w:hAnsi="宋体" w:cs="Courier New"/>
          <w:color w:val="auto"/>
          <w:szCs w:val="21"/>
          <w:highlight w:val="none"/>
          <w:lang w:val="en-US" w:eastAsia="zh-CN"/>
        </w:rPr>
        <w:t>5</w:t>
      </w:r>
      <w:r>
        <w:rPr>
          <w:rFonts w:hint="eastAsia" w:ascii="宋体" w:hAnsi="宋体" w:cs="Courier New"/>
          <w:color w:val="auto"/>
          <w:szCs w:val="21"/>
          <w:highlight w:val="none"/>
        </w:rPr>
        <w:t>年</w:t>
      </w:r>
      <w:r>
        <w:rPr>
          <w:rFonts w:hint="eastAsia" w:ascii="宋体" w:hAnsi="宋体" w:cs="Courier New"/>
          <w:color w:val="auto"/>
          <w:szCs w:val="21"/>
          <w:highlight w:val="none"/>
          <w:lang w:val="en-US" w:eastAsia="zh-CN"/>
        </w:rPr>
        <w:t>6月11日</w:t>
      </w:r>
      <w:r>
        <w:rPr>
          <w:rFonts w:hint="eastAsia" w:ascii="宋体" w:hAnsi="宋体" w:cs="Courier New"/>
          <w:color w:val="auto"/>
          <w:szCs w:val="21"/>
          <w:highlight w:val="none"/>
        </w:rPr>
        <w:t>0</w:t>
      </w:r>
      <w:r>
        <w:rPr>
          <w:rFonts w:hint="eastAsia"/>
          <w:color w:val="auto"/>
          <w:highlight w:val="none"/>
        </w:rPr>
        <w:t>9</w:t>
      </w:r>
      <w:r>
        <w:rPr>
          <w:color w:val="auto"/>
          <w:highlight w:val="none"/>
        </w:rPr>
        <w:t>:</w:t>
      </w:r>
      <w:r>
        <w:rPr>
          <w:rFonts w:hint="eastAsia"/>
          <w:color w:val="auto"/>
          <w:highlight w:val="none"/>
        </w:rPr>
        <w:t>3</w:t>
      </w:r>
      <w:r>
        <w:rPr>
          <w:color w:val="auto"/>
          <w:highlight w:val="none"/>
        </w:rPr>
        <w:t>0</w:t>
      </w:r>
      <w:r>
        <w:rPr>
          <w:rFonts w:hint="eastAsia" w:ascii="宋体" w:hAnsi="宋体" w:cs="Courier New"/>
          <w:color w:val="auto"/>
          <w:szCs w:val="21"/>
          <w:highlight w:val="none"/>
        </w:rPr>
        <w:t>（北京时间）</w:t>
      </w:r>
    </w:p>
    <w:p>
      <w:pPr>
        <w:spacing w:line="412" w:lineRule="exact"/>
        <w:ind w:firstLine="420"/>
        <w:rPr>
          <w:rFonts w:ascii="宋体" w:hAnsi="宋体" w:cs="Courier New"/>
          <w:color w:val="auto"/>
          <w:szCs w:val="21"/>
          <w:highlight w:val="none"/>
        </w:rPr>
      </w:pPr>
      <w:r>
        <w:rPr>
          <w:rFonts w:hint="eastAsia" w:ascii="宋体" w:hAnsi="宋体" w:cs="Courier New"/>
          <w:color w:val="auto"/>
          <w:szCs w:val="21"/>
          <w:highlight w:val="none"/>
        </w:rPr>
        <w:t>开标地点：</w:t>
      </w:r>
      <w:bookmarkStart w:id="29" w:name="_Toc28359007"/>
      <w:bookmarkStart w:id="30" w:name="_Toc35393794"/>
      <w:bookmarkStart w:id="31" w:name="_Toc28359084"/>
      <w:bookmarkStart w:id="32" w:name="_Toc35393625"/>
      <w:r>
        <w:rPr>
          <w:rFonts w:hint="eastAsia" w:ascii="宋体" w:hAnsi="宋体" w:cs="Courier New"/>
          <w:color w:val="auto"/>
          <w:szCs w:val="21"/>
          <w:highlight w:val="none"/>
        </w:rPr>
        <w:t>广西钦州市金海湾东大街8号市政务服务中心三楼开标室</w:t>
      </w:r>
    </w:p>
    <w:p>
      <w:pPr>
        <w:spacing w:line="412" w:lineRule="exact"/>
        <w:ind w:firstLine="0" w:firstLineChars="0"/>
        <w:rPr>
          <w:b/>
          <w:color w:val="auto"/>
          <w:highlight w:val="none"/>
        </w:rPr>
      </w:pPr>
      <w:r>
        <w:rPr>
          <w:rFonts w:hint="eastAsia"/>
          <w:b/>
          <w:color w:val="auto"/>
          <w:highlight w:val="none"/>
        </w:rPr>
        <w:t>五、公告期限</w:t>
      </w:r>
      <w:bookmarkEnd w:id="29"/>
      <w:bookmarkEnd w:id="30"/>
      <w:bookmarkEnd w:id="31"/>
      <w:bookmarkEnd w:id="32"/>
    </w:p>
    <w:p>
      <w:pPr>
        <w:spacing w:line="412" w:lineRule="exact"/>
        <w:ind w:firstLine="420"/>
        <w:rPr>
          <w:color w:val="auto"/>
          <w:highlight w:val="none"/>
        </w:rPr>
      </w:pPr>
      <w:r>
        <w:rPr>
          <w:rFonts w:hint="eastAsia"/>
          <w:color w:val="auto"/>
          <w:highlight w:val="none"/>
        </w:rPr>
        <w:t>自本公告发布之日起5个工作日。</w:t>
      </w:r>
    </w:p>
    <w:p>
      <w:pPr>
        <w:spacing w:line="412" w:lineRule="exact"/>
        <w:ind w:firstLine="0" w:firstLineChars="0"/>
        <w:rPr>
          <w:b/>
          <w:color w:val="auto"/>
          <w:highlight w:val="none"/>
        </w:rPr>
      </w:pPr>
      <w:bookmarkStart w:id="33" w:name="_Toc28359008"/>
      <w:bookmarkStart w:id="34" w:name="_Toc28359085"/>
      <w:bookmarkStart w:id="35" w:name="_Toc35393627"/>
      <w:bookmarkStart w:id="36" w:name="_Toc35393796"/>
      <w:r>
        <w:rPr>
          <w:rFonts w:hint="eastAsia"/>
          <w:b/>
          <w:color w:val="auto"/>
          <w:highlight w:val="none"/>
        </w:rPr>
        <w:t>六、其他补充事宜</w:t>
      </w:r>
    </w:p>
    <w:p>
      <w:pPr>
        <w:spacing w:line="412" w:lineRule="exact"/>
        <w:ind w:firstLine="420"/>
        <w:rPr>
          <w:color w:val="auto"/>
          <w:highlight w:val="none"/>
        </w:rPr>
      </w:pPr>
      <w:r>
        <w:rPr>
          <w:rFonts w:hint="eastAsia" w:ascii="宋体" w:hAnsi="宋体"/>
          <w:color w:val="auto"/>
          <w:highlight w:val="none"/>
        </w:rPr>
        <w:t>1.</w:t>
      </w:r>
      <w:r>
        <w:rPr>
          <w:rFonts w:hint="eastAsia"/>
          <w:bCs/>
          <w:color w:val="auto"/>
          <w:highlight w:val="none"/>
        </w:rPr>
        <w:t>本项目需落实的政府采购政策</w:t>
      </w:r>
      <w:r>
        <w:rPr>
          <w:rFonts w:hint="eastAsia"/>
          <w:b/>
          <w:color w:val="auto"/>
          <w:highlight w:val="none"/>
        </w:rPr>
        <w:t>：</w:t>
      </w:r>
    </w:p>
    <w:p>
      <w:pPr>
        <w:spacing w:line="412"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12"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12" w:lineRule="exact"/>
        <w:ind w:firstLine="420"/>
        <w:rPr>
          <w:color w:val="auto"/>
          <w:highlight w:val="none"/>
        </w:rPr>
      </w:pPr>
      <w:r>
        <w:rPr>
          <w:rFonts w:hint="eastAsia"/>
          <w:color w:val="auto"/>
          <w:highlight w:val="none"/>
        </w:rPr>
        <w:t>(3)财政部 民政部 中国残疾人联合会关于促进残疾人就业政府采购政策的通知 (财库</w:t>
      </w:r>
      <w:bookmarkStart w:id="37" w:name="_Hlk150507772"/>
      <w:r>
        <w:rPr>
          <w:rFonts w:hint="eastAsia"/>
          <w:color w:val="auto"/>
          <w:highlight w:val="none"/>
        </w:rPr>
        <w:t>﹝2017﹞</w:t>
      </w:r>
      <w:bookmarkEnd w:id="37"/>
      <w:r>
        <w:rPr>
          <w:rFonts w:hint="eastAsia"/>
          <w:color w:val="auto"/>
          <w:highlight w:val="none"/>
        </w:rPr>
        <w:t>141号)</w:t>
      </w:r>
    </w:p>
    <w:p>
      <w:pPr>
        <w:spacing w:line="412" w:lineRule="exact"/>
        <w:ind w:firstLine="420"/>
        <w:rPr>
          <w:rFonts w:hint="eastAsia"/>
          <w:color w:val="auto"/>
          <w:highlight w:val="none"/>
        </w:rPr>
      </w:pPr>
      <w:r>
        <w:rPr>
          <w:rFonts w:hint="eastAsia"/>
          <w:color w:val="auto"/>
          <w:highlight w:val="none"/>
        </w:rPr>
        <w:t>(4)财政部 发展改革委 生态环境部 市场监管总局关于调整优化节能产品、环境标志产品政府采购执行机制的通知（财库〔2019〕9号）</w:t>
      </w:r>
    </w:p>
    <w:p>
      <w:pPr>
        <w:spacing w:line="412" w:lineRule="exact"/>
        <w:ind w:firstLine="420"/>
        <w:rPr>
          <w:color w:val="auto"/>
          <w:highlight w:val="none"/>
        </w:rPr>
      </w:pPr>
      <w:r>
        <w:rPr>
          <w:rFonts w:hint="eastAsia"/>
          <w:color w:val="auto"/>
          <w:highlight w:val="none"/>
        </w:rPr>
        <w:t>(5) 财政部 发展改革委 关于印发节能产品政府采购品目清单的通知（财库〔2019〕19号）</w:t>
      </w:r>
    </w:p>
    <w:p>
      <w:pPr>
        <w:spacing w:line="400" w:lineRule="exact"/>
        <w:ind w:firstLine="420" w:firstLineChars="200"/>
        <w:rPr>
          <w:rFonts w:hint="eastAsia"/>
          <w:color w:val="auto"/>
          <w:highlight w:val="none"/>
        </w:rPr>
      </w:pPr>
      <w:bookmarkStart w:id="38" w:name="_Hlk91598380"/>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投标保证金：</w:t>
      </w:r>
      <w:r>
        <w:rPr>
          <w:rStyle w:val="58"/>
          <w:rFonts w:hint="eastAsia" w:ascii="宋体" w:hAnsi="宋体" w:cs="宋体"/>
          <w:color w:val="auto"/>
          <w:kern w:val="0"/>
          <w:szCs w:val="21"/>
          <w:highlight w:val="none"/>
          <w:u w:val="none"/>
          <w:lang w:val="en-US" w:eastAsia="zh-CN"/>
        </w:rPr>
        <w:t>叁万元整</w:t>
      </w:r>
      <w:r>
        <w:rPr>
          <w:rFonts w:hint="eastAsia"/>
          <w:color w:val="auto"/>
          <w:highlight w:val="none"/>
        </w:rPr>
        <w:t>(￥</w:t>
      </w:r>
      <w:r>
        <w:rPr>
          <w:rFonts w:hint="eastAsia"/>
          <w:color w:val="auto"/>
          <w:highlight w:val="none"/>
          <w:lang w:val="en-US" w:eastAsia="zh-CN"/>
        </w:rPr>
        <w:t>30</w:t>
      </w:r>
      <w:r>
        <w:rPr>
          <w:rFonts w:hint="eastAsia"/>
          <w:color w:val="auto"/>
          <w:highlight w:val="none"/>
        </w:rPr>
        <w:t>,000.00)</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提交形式</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以支票、汇票、本票、网上银行支付或者金融机构、担保机构出具的保函等非现金形式提交。</w:t>
      </w:r>
    </w:p>
    <w:p>
      <w:pPr>
        <w:spacing w:line="400" w:lineRule="exact"/>
        <w:ind w:firstLine="420" w:firstLineChars="200"/>
        <w:rPr>
          <w:rFonts w:ascii="Times New Roman" w:hAnsi="Times New Roman" w:eastAsia="宋体" w:cs="Times New Roman"/>
          <w:b/>
          <w:color w:val="auto"/>
          <w:szCs w:val="24"/>
          <w:highlight w:val="none"/>
        </w:rPr>
      </w:pPr>
      <w:bookmarkStart w:id="39" w:name="_Hlk91771226"/>
      <w:r>
        <w:rPr>
          <w:rFonts w:hint="eastAsia" w:ascii="Times New Roman" w:hAnsi="Times New Roman" w:eastAsia="宋体" w:cs="Times New Roman"/>
          <w:color w:val="auto"/>
          <w:szCs w:val="24"/>
          <w:highlight w:val="none"/>
        </w:rPr>
        <w:t>以支票、汇票、本票、保函等形式提交保证金的，投标人必须将票据、保函等原件于投标文件提交截止时间前递交至本中心财务室（</w:t>
      </w:r>
      <w:r>
        <w:rPr>
          <w:rFonts w:hint="eastAsia" w:ascii="宋体" w:hAnsi="宋体" w:eastAsia="宋体" w:cs="宋体"/>
          <w:bCs/>
          <w:color w:val="auto"/>
          <w:kern w:val="0"/>
          <w:szCs w:val="21"/>
          <w:highlight w:val="none"/>
        </w:rPr>
        <w:t>地址:广西钦州市钦南区水东街区金海湾东大街8号市政务服务中心二楼市采购中心财务室，</w:t>
      </w:r>
      <w:r>
        <w:rPr>
          <w:rFonts w:hint="eastAsia" w:ascii="Times New Roman" w:hAnsi="Times New Roman" w:eastAsia="宋体" w:cs="Times New Roman"/>
          <w:color w:val="auto"/>
          <w:szCs w:val="24"/>
          <w:highlight w:val="none"/>
        </w:rPr>
        <w:t>联系方式</w:t>
      </w:r>
      <w:r>
        <w:rPr>
          <w:rFonts w:ascii="Times New Roman" w:hAnsi="Times New Roman" w:eastAsia="宋体" w:cs="Times New Roman"/>
          <w:color w:val="auto"/>
          <w:szCs w:val="24"/>
          <w:highlight w:val="none"/>
        </w:rPr>
        <w:t>:0777-2886026</w:t>
      </w:r>
      <w:r>
        <w:rPr>
          <w:rFonts w:hint="eastAsia" w:ascii="Times New Roman" w:hAnsi="Times New Roman" w:eastAsia="宋体" w:cs="Times New Roman"/>
          <w:color w:val="auto"/>
          <w:szCs w:val="24"/>
          <w:highlight w:val="none"/>
        </w:rPr>
        <w:t>）。</w:t>
      </w:r>
    </w:p>
    <w:bookmarkEnd w:id="39"/>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网上银行支付形式提交的，投标人必须于投标文件递交截止时间前从投标人账户缴存至本中心银行账户（以到账时间为准）。</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本中心银行账户：</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开户名称</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钦州市政府采购中心</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开户银行</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中国工商银行股份有限公司钦州市永福东支行</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银行账号</w:t>
      </w:r>
      <w:r>
        <w:rPr>
          <w:rFonts w:ascii="Times New Roman" w:hAnsi="Times New Roman" w:eastAsia="宋体" w:cs="Times New Roman"/>
          <w:color w:val="auto"/>
          <w:szCs w:val="24"/>
          <w:highlight w:val="none"/>
        </w:rPr>
        <w:t>:2115591229100078724</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注：投标人无法选择以上开户银行的，请选择“中国工商银行股份有限公司钦州分行”进行缴存。</w:t>
      </w:r>
    </w:p>
    <w:p>
      <w:pPr>
        <w:spacing w:line="412" w:lineRule="exact"/>
        <w:ind w:firstLine="420"/>
        <w:rPr>
          <w:color w:val="auto"/>
          <w:highlight w:val="none"/>
        </w:rPr>
      </w:pPr>
      <w:r>
        <w:rPr>
          <w:rFonts w:hint="eastAsia"/>
          <w:color w:val="auto"/>
          <w:highlight w:val="none"/>
        </w:rPr>
        <w:t>3.全流程电子化</w:t>
      </w:r>
      <w:bookmarkEnd w:id="38"/>
      <w:r>
        <w:rPr>
          <w:rFonts w:hint="eastAsia"/>
          <w:color w:val="auto"/>
          <w:highlight w:val="none"/>
        </w:rPr>
        <w:t>要求：</w:t>
      </w:r>
    </w:p>
    <w:p>
      <w:pPr>
        <w:spacing w:line="412" w:lineRule="exact"/>
        <w:ind w:firstLine="420"/>
        <w:rPr>
          <w:rFonts w:hint="eastAsia"/>
          <w:color w:val="auto"/>
          <w:highlight w:val="none"/>
        </w:rPr>
      </w:pPr>
      <w:r>
        <w:rPr>
          <w:rFonts w:hint="eastAsia"/>
          <w:color w:val="auto"/>
          <w:highlight w:val="none"/>
        </w:rPr>
        <w:t>本项目为全流程电子化项目，潜在投标人应做好参与全流程电子化交易的充分准备，熟悉掌握电子化采购项目操作指南(操作指南：政采云电子卖场首页右上角—服务中心—帮助文档—项目采购)，及时完成CA申领和绑定(操作指南：政采云电子卖场首页右上角—帮助文档—入驻与配置—CA管理；CA证书申领路径：政采云平台—我的工作台右上角—CA管理—CA证书申领)。因未注册入库、未办理CA数字证书、CA证书故障、操作不当等原因造成投标失败等后果由投标人承担。</w:t>
      </w:r>
    </w:p>
    <w:p>
      <w:pPr>
        <w:spacing w:line="412" w:lineRule="exact"/>
        <w:ind w:firstLine="420"/>
        <w:rPr>
          <w:color w:val="auto"/>
          <w:highlight w:val="none"/>
        </w:rPr>
      </w:pPr>
      <w:r>
        <w:rPr>
          <w:color w:val="auto"/>
          <w:highlight w:val="none"/>
        </w:rPr>
        <w:t>(1)</w:t>
      </w:r>
      <w:r>
        <w:rPr>
          <w:rFonts w:hint="eastAsia"/>
          <w:color w:val="auto"/>
          <w:highlight w:val="none"/>
        </w:rPr>
        <w:t>依法获取招标文件：投标人须在获取招标文件时间内登录</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"https://www.zcygov.cn/"</w:instrText>
      </w:r>
      <w:r>
        <w:rPr>
          <w:color w:val="auto"/>
          <w:highlight w:val="none"/>
        </w:rPr>
        <w:instrText xml:space="preserve"> </w:instrText>
      </w:r>
      <w:r>
        <w:rPr>
          <w:color w:val="auto"/>
          <w:highlight w:val="none"/>
        </w:rPr>
        <w:fldChar w:fldCharType="separate"/>
      </w:r>
      <w:r>
        <w:rPr>
          <w:rStyle w:val="58"/>
          <w:rFonts w:hint="eastAsia"/>
          <w:color w:val="auto"/>
          <w:highlight w:val="none"/>
          <w:u w:val="none"/>
        </w:rPr>
        <w:t>政府采购云平台</w:t>
      </w:r>
      <w:r>
        <w:rPr>
          <w:color w:val="auto"/>
          <w:highlight w:val="none"/>
        </w:rPr>
        <w:fldChar w:fldCharType="end"/>
      </w:r>
      <w:r>
        <w:rPr>
          <w:rFonts w:hint="eastAsia"/>
          <w:color w:val="auto"/>
          <w:highlight w:val="none"/>
        </w:rPr>
        <w:t>申请下载招标文件才视作依法获取招标文件。</w:t>
      </w:r>
    </w:p>
    <w:p>
      <w:pPr>
        <w:spacing w:line="412"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投标人应通过广西政府采购云平台客户端制作投标文件，投标人自行前往下载安装（</w:t>
      </w:r>
      <w:r>
        <w:rPr>
          <w:rFonts w:ascii="宋体" w:hAnsi="宋体"/>
          <w:color w:val="auto"/>
          <w:highlight w:val="none"/>
        </w:rPr>
        <w:fldChar w:fldCharType="begin"/>
      </w:r>
      <w:r>
        <w:rPr>
          <w:rFonts w:ascii="宋体" w:hAnsi="宋体"/>
          <w:color w:val="auto"/>
          <w:highlight w:val="none"/>
        </w:rPr>
        <w:instrText xml:space="preserve">HYPERLINK "https://sitecdn.zcycdn.com/zcy-client/bidding-client-new/official/guangxi/GuangXiSetup.exe"</w:instrText>
      </w:r>
      <w:r>
        <w:rPr>
          <w:rFonts w:ascii="宋体" w:hAnsi="宋体"/>
          <w:color w:val="auto"/>
          <w:highlight w:val="none"/>
        </w:rPr>
        <w:fldChar w:fldCharType="separate"/>
      </w:r>
      <w:r>
        <w:rPr>
          <w:rStyle w:val="58"/>
          <w:rFonts w:hint="eastAsia" w:ascii="宋体" w:hAnsi="宋体"/>
          <w:color w:val="auto"/>
          <w:highlight w:val="none"/>
          <w:u w:val="none"/>
        </w:rPr>
        <w:t>客户端</w:t>
      </w:r>
      <w:bookmarkStart w:id="40" w:name="_Hlt153271921"/>
      <w:bookmarkStart w:id="41" w:name="_Hlt151995013"/>
      <w:bookmarkStart w:id="42" w:name="_Hlt153271920"/>
      <w:bookmarkStart w:id="43" w:name="_Hlt151995012"/>
      <w:r>
        <w:rPr>
          <w:rStyle w:val="58"/>
          <w:rFonts w:hint="eastAsia" w:ascii="宋体" w:hAnsi="宋体"/>
          <w:color w:val="auto"/>
          <w:highlight w:val="none"/>
          <w:u w:val="none"/>
        </w:rPr>
        <w:t>下</w:t>
      </w:r>
      <w:bookmarkEnd w:id="40"/>
      <w:bookmarkEnd w:id="41"/>
      <w:bookmarkEnd w:id="42"/>
      <w:bookmarkEnd w:id="43"/>
      <w:bookmarkStart w:id="44" w:name="_Hlt153270544"/>
      <w:bookmarkStart w:id="45" w:name="_Hlt153270545"/>
      <w:bookmarkStart w:id="46" w:name="_Hlt162274482"/>
      <w:bookmarkStart w:id="47" w:name="_Hlt162274481"/>
      <w:r>
        <w:rPr>
          <w:rStyle w:val="58"/>
          <w:rFonts w:hint="eastAsia" w:ascii="宋体" w:hAnsi="宋体"/>
          <w:color w:val="auto"/>
          <w:highlight w:val="none"/>
          <w:u w:val="none"/>
        </w:rPr>
        <w:t>载</w:t>
      </w:r>
      <w:bookmarkEnd w:id="44"/>
      <w:bookmarkEnd w:id="45"/>
      <w:bookmarkEnd w:id="46"/>
      <w:bookmarkEnd w:id="47"/>
      <w:r>
        <w:rPr>
          <w:rFonts w:ascii="宋体" w:hAnsi="宋体"/>
          <w:color w:val="auto"/>
          <w:highlight w:val="none"/>
        </w:rPr>
        <w:fldChar w:fldCharType="end"/>
      </w:r>
      <w:r>
        <w:rPr>
          <w:rFonts w:hint="eastAsia"/>
          <w:color w:val="auto"/>
          <w:highlight w:val="none"/>
        </w:rPr>
        <w:t>）。</w:t>
      </w:r>
    </w:p>
    <w:p>
      <w:pPr>
        <w:spacing w:line="412"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投标人须按照招标文件和政府采购云平台的要求进行编制、上传、加密、提交、解密投标文件，投标文件在线提交截止时间后，政府采购云平台自动提取全部投标文件，各投标人须在提交截止时间后30分钟内对已上传政府采购云平台的投标文件进行解密，参与本项目的全部投标人在规定的解密时限内解密完成或解密时限结束后，我中心开启投标文件；投标人在解密时限内未完成解密的，政府采购云平台默认为投标人放弃参与投标。</w:t>
      </w:r>
    </w:p>
    <w:p>
      <w:pPr>
        <w:spacing w:line="412" w:lineRule="exact"/>
        <w:ind w:firstLine="420"/>
        <w:rPr>
          <w:rFonts w:hint="eastAsia"/>
          <w:b/>
          <w:color w:val="auto"/>
          <w:highlight w:val="none"/>
        </w:rPr>
      </w:pPr>
      <w:r>
        <w:rPr>
          <w:rFonts w:hint="eastAsia"/>
          <w:color w:val="auto"/>
          <w:highlight w:val="none"/>
        </w:rPr>
        <w:t>(</w:t>
      </w:r>
      <w:r>
        <w:rPr>
          <w:color w:val="auto"/>
          <w:highlight w:val="none"/>
        </w:rPr>
        <w:t>4)</w:t>
      </w:r>
      <w:r>
        <w:rPr>
          <w:rFonts w:hint="eastAsia"/>
          <w:color w:val="auto"/>
          <w:highlight w:val="none"/>
        </w:rPr>
        <w:t>投标人法定代表人或委托代理人须按时登录</w:t>
      </w:r>
      <w:bookmarkStart w:id="48" w:name="_Hlk90367388"/>
      <w:r>
        <w:rPr>
          <w:rFonts w:hint="eastAsia" w:ascii="宋体" w:hAnsi="宋体" w:cs="Courier New"/>
          <w:color w:val="auto"/>
          <w:szCs w:val="21"/>
          <w:highlight w:val="none"/>
        </w:rPr>
        <w:t>政采云远程开标大厅</w:t>
      </w:r>
      <w:bookmarkEnd w:id="48"/>
      <w:r>
        <w:rPr>
          <w:rFonts w:hint="eastAsia"/>
          <w:color w:val="auto"/>
          <w:highlight w:val="none"/>
        </w:rPr>
        <w:t>，保持全程在线并关注开标评标进度，评标期间评标委员会提出澄清等要求时，投标人须在规定时间内进行应答，否则按招标文件或政采云平台的相关规定执行。</w:t>
      </w:r>
    </w:p>
    <w:p>
      <w:pPr>
        <w:spacing w:line="412" w:lineRule="exact"/>
        <w:ind w:firstLine="420"/>
        <w:rPr>
          <w:rFonts w:hAnsi="宋体"/>
          <w:color w:val="auto"/>
          <w:highlight w:val="none"/>
        </w:rPr>
      </w:pPr>
      <w:r>
        <w:rPr>
          <w:rFonts w:hint="eastAsia"/>
          <w:color w:val="auto"/>
          <w:highlight w:val="none"/>
        </w:rPr>
        <w:t>(</w:t>
      </w:r>
      <w:r>
        <w:rPr>
          <w:color w:val="auto"/>
          <w:highlight w:val="none"/>
        </w:rPr>
        <w:t>5)</w:t>
      </w:r>
      <w:r>
        <w:rPr>
          <w:rFonts w:hint="eastAsia"/>
          <w:color w:val="auto"/>
          <w:highlight w:val="none"/>
        </w:rPr>
        <w:t>投标人参与投标过程中涉及政府采购云平台的问题，请咨询政采云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12" w:lineRule="exact"/>
        <w:ind w:firstLine="420"/>
        <w:rPr>
          <w:rFonts w:hAnsi="宋体"/>
          <w:color w:val="auto"/>
          <w:highlight w:val="none"/>
        </w:rPr>
      </w:pPr>
      <w:r>
        <w:rPr>
          <w:rFonts w:hint="eastAsia" w:hAnsi="宋体"/>
          <w:color w:val="auto"/>
          <w:highlight w:val="none"/>
        </w:rPr>
        <w:t>4</w:t>
      </w:r>
      <w:r>
        <w:rPr>
          <w:rFonts w:hAnsi="宋体"/>
          <w:color w:val="auto"/>
          <w:highlight w:val="none"/>
        </w:rPr>
        <w:t>.</w:t>
      </w:r>
      <w:r>
        <w:rPr>
          <w:rFonts w:hint="eastAsia" w:hAnsi="宋体"/>
          <w:color w:val="auto"/>
          <w:highlight w:val="none"/>
        </w:rPr>
        <w:t>查询媒体：</w:t>
      </w:r>
      <w:bookmarkStart w:id="49" w:name="_Hlk97804124"/>
      <w:r>
        <w:rPr>
          <w:rFonts w:hAnsi="宋体"/>
          <w:color w:val="auto"/>
          <w:highlight w:val="none"/>
        </w:rPr>
        <w:fldChar w:fldCharType="begin"/>
      </w:r>
      <w:r>
        <w:rPr>
          <w:rFonts w:hAnsi="宋体"/>
          <w:color w:val="auto"/>
          <w:highlight w:val="none"/>
        </w:rPr>
        <w:instrText xml:space="preserve">HYPERLINK "http://www.ccgp.gov.cn/"</w:instrText>
      </w:r>
      <w:r>
        <w:rPr>
          <w:rFonts w:hAnsi="宋体"/>
          <w:color w:val="auto"/>
          <w:highlight w:val="none"/>
        </w:rPr>
        <w:fldChar w:fldCharType="separate"/>
      </w:r>
      <w:r>
        <w:rPr>
          <w:rStyle w:val="58"/>
          <w:rFonts w:hint="eastAsia" w:hAnsi="宋体"/>
          <w:color w:val="auto"/>
          <w:highlight w:val="none"/>
          <w:u w:val="none"/>
        </w:rPr>
        <w:t>中国政府</w:t>
      </w:r>
      <w:bookmarkStart w:id="50" w:name="_Hlt97804063"/>
      <w:bookmarkStart w:id="51" w:name="_Hlt97804064"/>
      <w:r>
        <w:rPr>
          <w:rStyle w:val="58"/>
          <w:rFonts w:hint="eastAsia" w:hAnsi="宋体"/>
          <w:color w:val="auto"/>
          <w:highlight w:val="none"/>
          <w:u w:val="none"/>
        </w:rPr>
        <w:t>采</w:t>
      </w:r>
      <w:bookmarkEnd w:id="50"/>
      <w:bookmarkEnd w:id="51"/>
      <w:r>
        <w:rPr>
          <w:rStyle w:val="58"/>
          <w:rFonts w:hint="eastAsia" w:hAnsi="宋体"/>
          <w:color w:val="auto"/>
          <w:highlight w:val="none"/>
          <w:u w:val="none"/>
        </w:rPr>
        <w:t>购</w:t>
      </w:r>
      <w:bookmarkStart w:id="52" w:name="_Hlt97804090"/>
      <w:bookmarkStart w:id="53" w:name="_Hlt97804091"/>
      <w:r>
        <w:rPr>
          <w:rStyle w:val="58"/>
          <w:rFonts w:hint="eastAsia" w:hAnsi="宋体"/>
          <w:color w:val="auto"/>
          <w:highlight w:val="none"/>
          <w:u w:val="none"/>
        </w:rPr>
        <w:t>网</w:t>
      </w:r>
      <w:bookmarkEnd w:id="52"/>
      <w:bookmarkEnd w:id="53"/>
      <w:r>
        <w:rPr>
          <w:rFonts w:hAnsi="宋体"/>
          <w:color w:val="auto"/>
          <w:highlight w:val="none"/>
        </w:rPr>
        <w:fldChar w:fldCharType="end"/>
      </w:r>
      <w:r>
        <w:rPr>
          <w:rFonts w:hint="eastAsia" w:hAnsi="宋体"/>
          <w:color w:val="auto"/>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olor w:val="auto"/>
          <w:highlight w:val="none"/>
        </w:rPr>
        <w:t>广西政府</w:t>
      </w:r>
      <w:bookmarkStart w:id="54" w:name="_Hlt97804099"/>
      <w:bookmarkStart w:id="55" w:name="_Hlt97804098"/>
      <w:r>
        <w:rPr>
          <w:rFonts w:hint="eastAsia" w:hAnsi="宋体"/>
          <w:color w:val="auto"/>
          <w:highlight w:val="none"/>
        </w:rPr>
        <w:t>采</w:t>
      </w:r>
      <w:bookmarkEnd w:id="54"/>
      <w:bookmarkEnd w:id="55"/>
      <w:r>
        <w:rPr>
          <w:rFonts w:hint="eastAsia" w:hAnsi="宋体"/>
          <w:color w:val="auto"/>
          <w:highlight w:val="none"/>
        </w:rPr>
        <w:t>购网</w:t>
      </w:r>
      <w:r>
        <w:rPr>
          <w:rFonts w:hAnsi="宋体"/>
          <w:color w:val="auto"/>
          <w:highlight w:val="none"/>
        </w:rPr>
        <w:fldChar w:fldCharType="end"/>
      </w:r>
      <w:r>
        <w:rPr>
          <w:rFonts w:hint="eastAsia" w:hAnsi="宋体"/>
          <w:color w:val="auto"/>
          <w:highlight w:val="none"/>
        </w:rPr>
        <w:t>。</w:t>
      </w:r>
      <w:bookmarkEnd w:id="49"/>
    </w:p>
    <w:p>
      <w:pPr>
        <w:spacing w:line="412" w:lineRule="exact"/>
        <w:ind w:firstLine="420"/>
        <w:jc w:val="left"/>
        <w:rPr>
          <w:rFonts w:hAnsi="宋体"/>
          <w:color w:val="auto"/>
          <w:highlight w:val="none"/>
        </w:rPr>
      </w:pPr>
      <w:r>
        <w:rPr>
          <w:rFonts w:hint="eastAsia" w:hAnsi="宋体"/>
          <w:color w:val="auto"/>
          <w:highlight w:val="none"/>
        </w:rPr>
        <w:t>5</w:t>
      </w:r>
      <w:r>
        <w:rPr>
          <w:rFonts w:hAnsi="宋体"/>
          <w:color w:val="auto"/>
          <w:highlight w:val="none"/>
        </w:rPr>
        <w:t>.</w:t>
      </w:r>
      <w:r>
        <w:rPr>
          <w:rFonts w:hint="eastAsia" w:hAnsi="宋体"/>
          <w:color w:val="auto"/>
          <w:highlight w:val="none"/>
        </w:rPr>
        <w:t>钦州市政府采购中心联系方式：</w:t>
      </w:r>
    </w:p>
    <w:p>
      <w:pPr>
        <w:spacing w:line="412" w:lineRule="exact"/>
        <w:ind w:firstLine="420"/>
        <w:jc w:val="left"/>
        <w:rPr>
          <w:rFonts w:hAnsi="宋体"/>
          <w:color w:val="auto"/>
          <w:highlight w:val="none"/>
        </w:rPr>
      </w:pPr>
      <w:r>
        <w:rPr>
          <w:rFonts w:hAnsi="宋体"/>
          <w:color w:val="auto"/>
          <w:highlight w:val="none"/>
        </w:rPr>
        <w:t>(1)</w:t>
      </w:r>
      <w:r>
        <w:rPr>
          <w:rFonts w:hint="eastAsia" w:hAnsi="宋体"/>
          <w:color w:val="auto"/>
          <w:highlight w:val="none"/>
        </w:rPr>
        <w:t>采购部(招标文件</w:t>
      </w:r>
      <w:r>
        <w:rPr>
          <w:rFonts w:hAnsi="宋体"/>
          <w:color w:val="auto"/>
          <w:highlight w:val="none"/>
        </w:rPr>
        <w:t>)</w:t>
      </w:r>
    </w:p>
    <w:p>
      <w:pPr>
        <w:spacing w:line="412" w:lineRule="exact"/>
        <w:ind w:firstLine="420"/>
        <w:jc w:val="left"/>
        <w:rPr>
          <w:rFonts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Ansi="宋体"/>
          <w:color w:val="auto"/>
          <w:highlight w:val="none"/>
        </w:rPr>
        <w:t xml:space="preserve">  </w:t>
      </w:r>
      <w:r>
        <w:rPr>
          <w:rFonts w:hint="eastAsia" w:hAnsi="宋体"/>
          <w:color w:val="auto"/>
          <w:highlight w:val="none"/>
        </w:rPr>
        <w:t xml:space="preserve"> 联系方式：0777-2886022</w:t>
      </w:r>
    </w:p>
    <w:p>
      <w:pPr>
        <w:spacing w:line="412" w:lineRule="exact"/>
        <w:ind w:firstLine="42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综合二部(保证金、开评标、中标及合同管理)</w:t>
      </w:r>
    </w:p>
    <w:p>
      <w:pPr>
        <w:spacing w:line="412" w:lineRule="exact"/>
        <w:ind w:firstLine="420"/>
        <w:jc w:val="left"/>
        <w:rPr>
          <w:rFonts w:hint="eastAsia"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 xml:space="preserve"> 联系方式：</w:t>
      </w:r>
      <w:r>
        <w:rPr>
          <w:rFonts w:hAnsi="宋体"/>
          <w:color w:val="auto"/>
          <w:highlight w:val="none"/>
        </w:rPr>
        <w:t xml:space="preserve"> </w:t>
      </w:r>
      <w:r>
        <w:rPr>
          <w:rFonts w:hint="eastAsia" w:hAnsi="宋体"/>
          <w:color w:val="auto"/>
          <w:highlight w:val="none"/>
        </w:rPr>
        <w:t>0777-2886006</w:t>
      </w:r>
    </w:p>
    <w:p>
      <w:pPr>
        <w:spacing w:line="412" w:lineRule="exact"/>
        <w:ind w:firstLine="0" w:firstLineChars="0"/>
        <w:rPr>
          <w:b/>
          <w:color w:val="auto"/>
          <w:highlight w:val="none"/>
        </w:rPr>
      </w:pPr>
      <w:r>
        <w:rPr>
          <w:rFonts w:hint="eastAsia"/>
          <w:b/>
          <w:color w:val="auto"/>
          <w:highlight w:val="none"/>
        </w:rPr>
        <w:t>七、对本次招标提出询问，请按</w:t>
      </w:r>
      <w:r>
        <w:rPr>
          <w:b/>
          <w:color w:val="auto"/>
          <w:highlight w:val="none"/>
        </w:rPr>
        <w:t>以下方式</w:t>
      </w:r>
      <w:r>
        <w:rPr>
          <w:rFonts w:hint="eastAsia"/>
          <w:b/>
          <w:color w:val="auto"/>
          <w:highlight w:val="none"/>
        </w:rPr>
        <w:t>联系</w:t>
      </w:r>
      <w:bookmarkEnd w:id="33"/>
      <w:bookmarkEnd w:id="34"/>
      <w:bookmarkEnd w:id="35"/>
      <w:bookmarkEnd w:id="36"/>
    </w:p>
    <w:bookmarkEnd w:id="10"/>
    <w:p>
      <w:pPr>
        <w:spacing w:line="412" w:lineRule="exact"/>
        <w:ind w:firstLine="420"/>
        <w:rPr>
          <w:color w:val="auto"/>
          <w:highlight w:val="none"/>
        </w:rPr>
      </w:pPr>
      <w:r>
        <w:rPr>
          <w:rFonts w:hint="eastAsia"/>
          <w:color w:val="auto"/>
          <w:highlight w:val="none"/>
        </w:rPr>
        <w:t>1.采购人信息</w:t>
      </w:r>
    </w:p>
    <w:p>
      <w:pPr>
        <w:spacing w:line="400" w:lineRule="exact"/>
        <w:ind w:firstLine="420" w:firstLineChars="200"/>
        <w:rPr>
          <w:rFonts w:ascii="Times New Roman" w:hAnsi="Times New Roman" w:eastAsia="宋体" w:cs="Times New Roman"/>
          <w:color w:val="auto"/>
          <w:szCs w:val="24"/>
          <w:highlight w:val="none"/>
        </w:rPr>
      </w:pPr>
      <w:bookmarkStart w:id="56" w:name="_Toc28359086"/>
      <w:bookmarkStart w:id="57" w:name="_Toc28359009"/>
      <w:bookmarkStart w:id="58" w:name="_Hlk92356946"/>
      <w:r>
        <w:rPr>
          <w:rFonts w:hint="eastAsia" w:ascii="Times New Roman" w:hAnsi="Times New Roman" w:eastAsia="宋体" w:cs="Times New Roman"/>
          <w:color w:val="auto"/>
          <w:szCs w:val="24"/>
          <w:highlight w:val="none"/>
        </w:rPr>
        <w:t>名称：浦北中学</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地址：浦北县小江镇东滨路249号</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项目联系人：张剑锋</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项目联系方式：0777-8211703</w:t>
      </w:r>
    </w:p>
    <w:p>
      <w:pPr>
        <w:spacing w:line="412" w:lineRule="exact"/>
        <w:ind w:firstLine="420"/>
        <w:rPr>
          <w:color w:val="auto"/>
          <w:highlight w:val="none"/>
        </w:rPr>
      </w:pPr>
      <w:r>
        <w:rPr>
          <w:rFonts w:hint="eastAsia"/>
          <w:color w:val="auto"/>
          <w:highlight w:val="none"/>
        </w:rPr>
        <w:t>2.采购代理机构信息</w:t>
      </w:r>
      <w:bookmarkEnd w:id="56"/>
      <w:bookmarkEnd w:id="57"/>
    </w:p>
    <w:p>
      <w:pPr>
        <w:spacing w:line="412" w:lineRule="exact"/>
        <w:ind w:firstLine="420"/>
        <w:rPr>
          <w:color w:val="auto"/>
          <w:highlight w:val="none"/>
        </w:rPr>
      </w:pPr>
      <w:r>
        <w:rPr>
          <w:rFonts w:hint="eastAsia"/>
          <w:color w:val="auto"/>
          <w:highlight w:val="none"/>
        </w:rPr>
        <w:t>名称：钦州市政府采购中心</w:t>
      </w:r>
    </w:p>
    <w:p>
      <w:pPr>
        <w:spacing w:line="412" w:lineRule="exact"/>
        <w:ind w:firstLine="420"/>
        <w:rPr>
          <w:color w:val="auto"/>
          <w:highlight w:val="none"/>
        </w:rPr>
      </w:pPr>
      <w:r>
        <w:rPr>
          <w:rFonts w:hint="eastAsia"/>
          <w:color w:val="auto"/>
          <w:highlight w:val="none"/>
        </w:rPr>
        <w:t>地址：钦州市金海湾东大街8号</w:t>
      </w:r>
    </w:p>
    <w:p>
      <w:pPr>
        <w:spacing w:line="412" w:lineRule="exact"/>
        <w:ind w:firstLine="420"/>
        <w:rPr>
          <w:rFonts w:hint="eastAsia"/>
          <w:color w:val="auto"/>
          <w:highlight w:val="none"/>
        </w:rPr>
      </w:pPr>
      <w:r>
        <w:rPr>
          <w:rFonts w:hint="eastAsia"/>
          <w:color w:val="auto"/>
          <w:highlight w:val="none"/>
        </w:rPr>
        <w:t>项目联系人：</w:t>
      </w:r>
      <w:r>
        <w:rPr>
          <w:rFonts w:hint="eastAsia"/>
          <w:color w:val="auto"/>
          <w:highlight w:val="none"/>
          <w:lang w:val="en-US" w:eastAsia="zh-CN"/>
        </w:rPr>
        <w:t>黄忠秀</w:t>
      </w:r>
      <w:r>
        <w:rPr>
          <w:rFonts w:hint="eastAsia"/>
          <w:color w:val="auto"/>
          <w:highlight w:val="none"/>
        </w:rPr>
        <w:t>、陈启梅、陈侃</w:t>
      </w:r>
    </w:p>
    <w:p>
      <w:pPr>
        <w:spacing w:line="412" w:lineRule="exact"/>
        <w:ind w:firstLine="420"/>
        <w:rPr>
          <w:color w:val="auto"/>
          <w:highlight w:val="none"/>
        </w:rPr>
      </w:pPr>
      <w:r>
        <w:rPr>
          <w:rFonts w:hint="eastAsia"/>
          <w:color w:val="auto"/>
          <w:highlight w:val="none"/>
        </w:rPr>
        <w:t>项目联系方式：</w:t>
      </w:r>
      <w:bookmarkStart w:id="59" w:name="_Toc28359087"/>
      <w:bookmarkStart w:id="60" w:name="_Toc28359010"/>
      <w:r>
        <w:rPr>
          <w:rFonts w:hint="eastAsia"/>
          <w:color w:val="auto"/>
          <w:highlight w:val="none"/>
        </w:rPr>
        <w:t>0</w:t>
      </w:r>
      <w:r>
        <w:rPr>
          <w:color w:val="auto"/>
          <w:highlight w:val="none"/>
        </w:rPr>
        <w:t>777-2886022</w:t>
      </w:r>
      <w:r>
        <w:rPr>
          <w:rFonts w:hint="eastAsia"/>
          <w:color w:val="auto"/>
          <w:highlight w:val="none"/>
        </w:rPr>
        <w:t>、</w:t>
      </w:r>
      <w:r>
        <w:rPr>
          <w:color w:val="auto"/>
          <w:highlight w:val="none"/>
        </w:rPr>
        <w:t>2886006</w:t>
      </w:r>
    </w:p>
    <w:bookmarkEnd w:id="58"/>
    <w:bookmarkEnd w:id="59"/>
    <w:bookmarkEnd w:id="60"/>
    <w:p>
      <w:pPr>
        <w:ind w:firstLine="0" w:firstLineChars="0"/>
        <w:jc w:val="left"/>
        <w:rPr>
          <w:rFonts w:hint="eastAsia"/>
          <w:color w:val="auto"/>
          <w:highlight w:val="none"/>
        </w:rPr>
      </w:pPr>
      <w:r>
        <w:rPr>
          <w:color w:val="auto"/>
          <w:highlight w:val="none"/>
        </w:rPr>
        <w:br w:type="page"/>
      </w: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color w:val="auto"/>
          <w:highlight w:val="none"/>
        </w:rPr>
      </w:pPr>
    </w:p>
    <w:p>
      <w:pPr>
        <w:ind w:firstLine="0" w:firstLineChars="0"/>
        <w:jc w:val="left"/>
        <w:rPr>
          <w:color w:val="auto"/>
          <w:highlight w:val="none"/>
        </w:rPr>
      </w:pPr>
    </w:p>
    <w:p>
      <w:pPr>
        <w:ind w:firstLine="0" w:firstLineChars="0"/>
        <w:jc w:val="left"/>
        <w:rPr>
          <w:color w:val="auto"/>
          <w:highlight w:val="none"/>
        </w:rPr>
      </w:pPr>
    </w:p>
    <w:p>
      <w:pPr>
        <w:ind w:firstLine="0" w:firstLineChars="0"/>
        <w:jc w:val="left"/>
        <w:rPr>
          <w:rFonts w:hint="eastAsia"/>
          <w:color w:val="auto"/>
          <w:highlight w:val="none"/>
        </w:rPr>
      </w:pPr>
    </w:p>
    <w:p>
      <w:pPr>
        <w:pStyle w:val="46"/>
        <w:ind w:left="0" w:leftChars="0" w:right="0" w:rightChars="0" w:firstLine="0" w:firstLineChars="0"/>
        <w:jc w:val="center"/>
        <w:rPr>
          <w:rFonts w:hint="eastAsia"/>
          <w:color w:val="auto"/>
          <w:highlight w:val="none"/>
        </w:rPr>
      </w:pPr>
      <w:bookmarkStart w:id="61" w:name="_Toc352700402"/>
      <w:bookmarkStart w:id="62" w:name="_Toc91512284"/>
      <w:r>
        <w:rPr>
          <w:rFonts w:hint="eastAsia"/>
          <w:color w:val="auto"/>
          <w:highlight w:val="none"/>
        </w:rPr>
        <w:t xml:space="preserve">第二章  </w:t>
      </w:r>
      <w:bookmarkEnd w:id="61"/>
      <w:r>
        <w:rPr>
          <w:rFonts w:hint="eastAsia"/>
          <w:color w:val="auto"/>
          <w:highlight w:val="none"/>
        </w:rPr>
        <w:t>项目需求</w:t>
      </w:r>
      <w:bookmarkEnd w:id="62"/>
      <w:bookmarkStart w:id="63" w:name="_Toc352700403"/>
    </w:p>
    <w:p>
      <w:pPr>
        <w:spacing w:line="800" w:lineRule="exact"/>
        <w:ind w:left="-291" w:leftChars="-202" w:hanging="133" w:hangingChars="30"/>
        <w:jc w:val="center"/>
        <w:rPr>
          <w:rFonts w:ascii="Times New Roman" w:hAnsi="Times New Roman" w:eastAsia="宋体" w:cs="Times New Roman"/>
          <w:b/>
          <w:color w:val="auto"/>
          <w:szCs w:val="24"/>
          <w:highlight w:val="none"/>
        </w:rPr>
      </w:pPr>
      <w:r>
        <w:rPr>
          <w:rFonts w:ascii="方正小标宋_GBK" w:eastAsia="方正小标宋_GBK"/>
          <w:b/>
          <w:color w:val="auto"/>
          <w:sz w:val="44"/>
          <w:szCs w:val="44"/>
          <w:highlight w:val="none"/>
        </w:rPr>
        <w:br w:type="page"/>
      </w:r>
      <w:bookmarkStart w:id="64" w:name="_Toc14492"/>
      <w:r>
        <w:rPr>
          <w:rFonts w:hint="eastAsia" w:ascii="方正小标宋_GBK" w:hAnsi="Times New Roman" w:eastAsia="方正小标宋_GBK" w:cs="Times New Roman"/>
          <w:b/>
          <w:color w:val="auto"/>
          <w:sz w:val="44"/>
          <w:szCs w:val="44"/>
          <w:highlight w:val="none"/>
        </w:rPr>
        <w:t>项目需求</w:t>
      </w:r>
    </w:p>
    <w:p>
      <w:pPr>
        <w:spacing w:line="420" w:lineRule="exac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说明：</w:t>
      </w:r>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1.本表中的品牌型号、技术参数及其性能（规格）仅起参考作用，投标人可选用其他品牌型号替代，</w:t>
      </w:r>
      <w:bookmarkStart w:id="65" w:name="_Hlk126843748"/>
      <w:r>
        <w:rPr>
          <w:rFonts w:hint="eastAsia" w:ascii="宋体" w:hAnsi="宋体" w:eastAsia="宋体" w:cs="Times New Roman"/>
          <w:color w:val="auto"/>
          <w:szCs w:val="24"/>
          <w:highlight w:val="none"/>
        </w:rPr>
        <w:t>但替代的产品整体上要相当于或优于参考品牌型号或其技术参数性能（规格）要求。</w:t>
      </w:r>
      <w:bookmarkEnd w:id="65"/>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2.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360" w:lineRule="exact"/>
        <w:ind w:firstLine="420" w:firstLineChars="200"/>
        <w:rPr>
          <w:rFonts w:hint="eastAsia" w:ascii="宋体" w:hAnsi="宋体" w:eastAsia="宋体" w:cs="Times New Roman"/>
          <w:bCs/>
          <w:color w:val="auto"/>
          <w:szCs w:val="24"/>
          <w:highlight w:val="none"/>
        </w:rPr>
      </w:pPr>
      <w:bookmarkStart w:id="66" w:name="_Hlk92357261"/>
      <w:r>
        <w:rPr>
          <w:rFonts w:hint="eastAsia" w:ascii="宋体" w:hAnsi="宋体" w:eastAsia="宋体" w:cs="Times New Roman"/>
          <w:bCs/>
          <w:color w:val="auto"/>
          <w:szCs w:val="24"/>
          <w:highlight w:val="none"/>
        </w:rPr>
        <w:t>3.</w:t>
      </w:r>
      <w:r>
        <w:rPr>
          <w:rFonts w:hint="eastAsia" w:ascii="Times New Roman" w:hAnsi="Times New Roman" w:eastAsia="宋体" w:cs="Times New Roman"/>
          <w:color w:val="auto"/>
          <w:szCs w:val="24"/>
          <w:highlight w:val="none"/>
        </w:rPr>
        <w:t>本项目不接受投标人提供通过中国海关报关验放进入中国境内且产自关境外的产品。</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4"/>
          <w:highlight w:val="none"/>
        </w:rPr>
        <w:t>4.</w:t>
      </w:r>
      <w:r>
        <w:rPr>
          <w:rFonts w:hint="eastAsia" w:ascii="宋体" w:hAnsi="宋体" w:eastAsia="宋体" w:cs="Times New Roman"/>
          <w:color w:val="auto"/>
          <w:szCs w:val="21"/>
          <w:highlight w:val="none"/>
        </w:rPr>
        <w:t>标注★号的技术参数为实质性要求的参数，要求必须满足或优于，否则视为无效投标文件。</w:t>
      </w:r>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1"/>
          <w:highlight w:val="none"/>
        </w:rPr>
        <w:t>标注▲号的系与项目实际紧密相关的条款，作为评审依据</w:t>
      </w:r>
      <w:r>
        <w:rPr>
          <w:rFonts w:hint="eastAsia" w:ascii="宋体" w:hAnsi="宋体" w:cs="Times New Roman"/>
          <w:color w:val="auto"/>
          <w:szCs w:val="21"/>
          <w:highlight w:val="none"/>
          <w:lang w:eastAsia="zh-CN"/>
        </w:rPr>
        <w:t>，</w:t>
      </w:r>
      <w:r>
        <w:rPr>
          <w:rFonts w:hint="eastAsia" w:ascii="宋体" w:hAnsi="宋体" w:cs="宋体"/>
          <w:color w:val="auto"/>
          <w:kern w:val="0"/>
          <w:szCs w:val="21"/>
          <w:highlight w:val="none"/>
          <w:lang w:eastAsia="zh-CN" w:bidi="ar"/>
        </w:rPr>
        <w:t>提供证明材料：包括但不限于厂家证明或功能截图或国家认可的第三方检测报告并加盖供应商公章</w:t>
      </w:r>
      <w:r>
        <w:rPr>
          <w:rFonts w:hint="eastAsia" w:ascii="宋体" w:hAnsi="宋体" w:eastAsia="宋体" w:cs="Times New Roman"/>
          <w:color w:val="auto"/>
          <w:szCs w:val="21"/>
          <w:highlight w:val="none"/>
        </w:rPr>
        <w:t>。</w:t>
      </w:r>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5.本项目对应的中小企业划分标准所属行业为</w:t>
      </w:r>
      <w:r>
        <w:rPr>
          <w:rFonts w:hint="eastAsia" w:ascii="宋体" w:hAnsi="宋体" w:eastAsia="宋体" w:cs="Times New Roman"/>
          <w:color w:val="auto"/>
          <w:szCs w:val="24"/>
          <w:highlight w:val="none"/>
          <w:u w:val="single"/>
        </w:rPr>
        <w:t xml:space="preserve">    </w:t>
      </w:r>
      <w:r>
        <w:rPr>
          <w:rFonts w:hint="eastAsia" w:ascii="宋体" w:hAnsi="宋体" w:cs="Times New Roman"/>
          <w:color w:val="auto"/>
          <w:szCs w:val="24"/>
          <w:highlight w:val="none"/>
          <w:u w:val="single"/>
          <w:lang w:val="en-US" w:eastAsia="zh-CN"/>
        </w:rPr>
        <w:t>工业</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w:t>
      </w:r>
    </w:p>
    <w:p>
      <w:pPr>
        <w:spacing w:line="360" w:lineRule="exact"/>
        <w:ind w:firstLine="420" w:firstLineChars="200"/>
        <w:rPr>
          <w:rFonts w:ascii="Times New Roman" w:hAnsi="Times New Roman" w:eastAsia="宋体" w:cs="Times New Roman"/>
          <w:color w:val="auto"/>
          <w:szCs w:val="24"/>
          <w:highlight w:val="none"/>
        </w:rPr>
      </w:pPr>
      <w:r>
        <w:rPr>
          <w:rFonts w:hint="eastAsia" w:ascii="宋体" w:hAnsi="宋体" w:eastAsia="宋体" w:cs="Times New Roman"/>
          <w:color w:val="auto"/>
          <w:szCs w:val="24"/>
          <w:highlight w:val="none"/>
        </w:rPr>
        <w:t>6.</w:t>
      </w:r>
      <w:r>
        <w:rPr>
          <w:rFonts w:hint="eastAsia" w:ascii="Times New Roman" w:hAnsi="Times New Roman" w:eastAsia="宋体" w:cs="Times New Roman"/>
          <w:color w:val="auto"/>
          <w:szCs w:val="24"/>
          <w:highlight w:val="none"/>
        </w:rPr>
        <w:t>预算金额：</w:t>
      </w:r>
      <w:r>
        <w:rPr>
          <w:rFonts w:hint="eastAsia" w:ascii="Times New Roman" w:hAnsi="Times New Roman" w:eastAsia="宋体" w:cs="Times New Roman"/>
          <w:color w:val="auto"/>
          <w:szCs w:val="24"/>
          <w:highlight w:val="none"/>
          <w:u w:val="single"/>
        </w:rPr>
        <w:t>叁佰叁拾万柒仟</w:t>
      </w:r>
      <w:r>
        <w:rPr>
          <w:rFonts w:hint="eastAsia" w:ascii="Times New Roman" w:hAnsi="Times New Roman" w:eastAsia="宋体" w:cs="Times New Roman"/>
          <w:color w:val="auto"/>
          <w:szCs w:val="24"/>
          <w:highlight w:val="none"/>
        </w:rPr>
        <w:t>元整</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￥3,307,000.00</w:t>
      </w:r>
      <w:r>
        <w:rPr>
          <w:rFonts w:ascii="Times New Roman" w:hAnsi="Times New Roman" w:eastAsia="宋体" w:cs="Times New Roman"/>
          <w:color w:val="auto"/>
          <w:szCs w:val="24"/>
          <w:highlight w:val="none"/>
        </w:rPr>
        <w:t>)</w:t>
      </w:r>
    </w:p>
    <w:tbl>
      <w:tblPr>
        <w:tblStyle w:val="50"/>
        <w:tblW w:w="98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88"/>
        <w:gridCol w:w="137"/>
        <w:gridCol w:w="493"/>
        <w:gridCol w:w="645"/>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一、教学一体机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序号</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货物名称</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单位</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数量</w:t>
            </w:r>
          </w:p>
        </w:tc>
        <w:tc>
          <w:tcPr>
            <w:tcW w:w="7265" w:type="dxa"/>
            <w:noWrap w:val="0"/>
            <w:vAlign w:val="top"/>
          </w:tcPr>
          <w:p>
            <w:pPr>
              <w:pStyle w:val="3"/>
              <w:ind w:firstLine="308" w:firstLineChars="147"/>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88" w:type="dxa"/>
            <w:noWrap w:val="0"/>
            <w:vAlign w:val="top"/>
          </w:tcPr>
          <w:p>
            <w:pPr>
              <w:pStyle w:val="3"/>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86寸</w:t>
            </w:r>
            <w:r>
              <w:rPr>
                <w:rFonts w:hint="eastAsia" w:hAnsi="宋体" w:cs="宋体"/>
                <w:b w:val="0"/>
                <w:bCs w:val="0"/>
                <w:color w:val="auto"/>
                <w:sz w:val="21"/>
                <w:szCs w:val="21"/>
                <w:highlight w:val="none"/>
                <w:vertAlign w:val="baseline"/>
                <w:lang w:val="en-US" w:eastAsia="zh-CN"/>
              </w:rPr>
              <w:t>交互式一体机</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45" w:type="dxa"/>
            <w:noWrap w:val="0"/>
            <w:vAlign w:val="top"/>
          </w:tcPr>
          <w:p>
            <w:pPr>
              <w:pStyle w:val="3"/>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22</w:t>
            </w:r>
          </w:p>
        </w:tc>
        <w:tc>
          <w:tcPr>
            <w:tcW w:w="726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一、摄像效果设计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1.整机上边框内置非独立式摄像头，采用一体化集成设计，摄像头数量≥4个。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2.上边框内置非独立式≥3个智能拼接摄像头，视场角≥141度，水平视场角≥139度，支持输出≥8192×2048分辨率的照片和视频，支持画面畸变矫正功能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3.整机内置至少三个摄像头，像素值均大于800 万，同时输出至少 3 路视频流，同时支持课堂远程巡课、课堂教学数据采集、本地画面预览（拍照或视频录制）。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4.具备摄像头工作指示灯，摄像头运行时，有指示灯提示。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二、整机接口设计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1.侧置输入接口具备≥2路HDMI、≥1路RS232.≥1路USB接口。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2.侧置输出接口具备≥1路音频输出、≥1路触控USB输出。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3.前置输入接口≥3路USB接口（包含≥1路Type-C、≥2路USB），前置USB接口支持Android系统、Windows系统读取外接移动存储设备。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5.外接电脑设备经双头Type-C线连接至整机，可调用整机内置的摄像头、麦克风、扬声器，在外接电脑即可控制整机拍摄教室画面。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6.支持通过Type-C接口U盘进行文件传输，兼容Type-C接口手机充电。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三、整机安全设计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1.整机全通道支持纸质护眼模式，可实现画面纹理的实时调整；支持纸质纹理：牛皮纸、素描纸、宣纸、水彩纸、水纹纸；支持透明度调节；支持色温调节。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2.纸质护眼模式下，显示画面各像素点灰度不规则，减少背景干扰。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3.支持经典护眼模式，可通过前置面板物理功能按键一键启用经典护眼模式。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4.机身具备防盐雾锈蚀特性，且满足GB4943.1-2011标准中的防火要求。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5.整机具备抗振动、防跌落特性，保证整机运输或使用过程中不易受损。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7.整机在0℃- 40℃环境下可正常工作，在-20℃—60℃的环境下可正常贮存且贮存后功能无损。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四、整机屏幕设计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3.整机屏幕采用≥86英寸液晶显示器，采用UHD超高清LED液晶屏，显示比例16:9，分辨率3840×2160，色域覆盖率≥72%，灰度等级≥256级。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4.整机采用全物理钢化玻璃，有效保护屏幕显示画面，采用防眩光玻璃，屏幕支持防眩光功能，钢化玻璃表面硬度≥9H。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5.整机背光系统支持DC调光方式，多级亮度调节，支持白颜色背景下最暗亮度≤100nit，用于提升显示对比度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7.整机支持支持可自定义图像设置，可对对比度、屏幕色温、图像亮度、亮度范围、色彩空间进行更进一步调节设置。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8.整机支持色彩空间可选，包含标准模式和sRGB模式，在sRGB模式下可做到高色准△E≤1.0。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五、多媒体教学设计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1.整机全通道侧边栏快捷菜单包含如下小工具：批注、降半屏、截屏、放大镜、倒计时、日历、聚光灯、秒表、冻屏、倒数日、答题、节拍器。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2.整机全通道侧边栏支持使用批注小工具进行批注讲解，可切换书写笔颜色、截屏保存批注内容、清屏，可根据手与屏幕的接触面积自动调整板擦工具的大小。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3.整机全通道侧边栏快捷菜单支持快捷调节音量、亮度，支持自动亮度模式，支持点击静音按钮静音。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4.教学中可以实时查看物联设备的连接情况，点击任意一台设备图标即可调出中控菜单进行管控。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5.整机安卓和全部外接通道（HDMI、Type-c）下侧边栏支持节拍器，支持设置节拍、轻重、节拍播放速度。全通道下可支持通过自定义按键调出该功能。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6.整机安卓和全部外接通道（HDMI、Type-C）下侧边栏支持设置倒数日。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7.整机全通道侧边栏支持倒计时、正计时功能；倒计时，输入某特定时间值，可精确到秒，点击开始进入倒计时；正计时，点击开始计时便自动开始，并实时显示时间。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8.教学支持放大任意区域内容；并可支持对未选中区域关灯处理，实现聚光灯效果。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六、整机系统设计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（一）电脑系统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1.CPU：主频≥2.0GHz，8核12线程或以上性能。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2.内存：16GB DDR4笔记本内存或以上配置。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3.硬盘：256 GB或以上SSD固态硬盘。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4.PC模块可抽拉式插入整机，可实现无单独接线的插拔，和整机的连接采用万兆级接口，传输速率≥10Gbps。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5.采用按压式卡扣，无需工具就可快速拆卸电脑模块。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6.PC模块的USB接口</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为冗余备份接口，在正常使用整机的内置摄像头、内置麦克风功能时，USB接口不被占用，确保教师有足够的接口外接存储设备及显示设备。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7.具有独立非外扩展的视频输出接口：≥1路HDMI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8.具有独立非外拓展的电脑 USB 接口：至少具备 3个USB3.0 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9.整机具备供电保护模块，能够检测内置电脑是否插好在位，在内置电脑未在位的情况下，内置电脑无法上电工作。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（二）触摸系统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1.采用红外触控技术，支持Windows系统中进行40点或以上触控，支持在Android系统中进行40点或以上触控。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2.整机屏幕触摸有效识别高度不超过1.5mm，即触摸物体距离玻璃外表面高度不超过1.5mm时，触摸屏识别为点击操作。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3.整机触控书写功能集成预测算法，在书写速度≥50cm/s，支持笔迹距离笔的距离小于20mm。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4.整机系统支持书写触控延迟≤25ms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5.整机支持提笔书写，在Windows系统下可实现无需点击任意功能入口，当检测到红外笔笔尖接触屏幕时，自动进入书写模式。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6.支持智能板擦功能，系统可根据触控物体的形状自动识别出实物板擦，可擦除电子白板中的内容，无需依赖外部电子设备。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7.支持Windows 7.Windows 8.Windows 10.Windows 11.Linux、Mac Os、UOS和麒麟系统外置电脑操作系统接入时，无需安装触摸驱动。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8.整机触摸支持动态压力感应，支持无任何电子功能的普通书写笔在整机上书写或点压时，整机能感应压力变化，书写或点压过程笔迹呈现不同粗细。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（三）嵌入式系统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1.嵌入式系统版本不低于Android 13，内存≥2GB，存储空间≥8GB。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2.嵌入式Android操作系统下，白板支持对已经书写的笔迹和形状的颜色进行更换。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3.在嵌入式系统下使用白板软件时，整机可自行调节屏幕亮度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4.嵌入式Android操作系统下，互动白板支持不同背景颜色，同时提供学科背景，如：五线谱、信纸、田字格、英文格、篮球和足球场地平面图。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6.无PC状态下，嵌入式系统内置互动白板支持全局漫游，并能在工具栏中对全局内容进行预览和移动。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7.无PC状态下，嵌入式Android操作系统下可使用白板书写、WPS软件和网页浏览。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七、综合素质管理软件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2.移动端支持教师/家长双重身份无缝切换，软件内可直接切换账户类型，无需安装多个APP应用或退出账号重新登录。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3.兼容多平台系统，可在PC、Web、安卓、iOS等系统使用，且各终端数据互通，教师可多场景下对学生进行管理与评价。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4.支持汇总查看校内的班级评价排名，可以列表形式查看班主任、班级学生数、家长数、班级代码等信息。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5.支持查看校内某个班级的详细信息及学生个人表现记录，便于进行教学行为分析。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6.支持创建新班级，可批量添加学生，同时支持将已有班级的学生与家长快速导入新班级。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7.支持进行校级、年级学生综合素质量表快速导入，教师可将针对不同年级学段以及校级综合素质量表快速导入班级。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8.支持按学生或小组的首字母、总分、表扬分数、待改进分数等维度进行排序，方便老师快速找到需要评价的学生或小组。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9.支持考勤功能，可对学生的出勤、迟到、缺勤、请假状态进行记录，并支持查看课堂考勤统计报表，可详细查看班级考勤概览数据。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八、教学功能设计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2.设备支持通过前置面板物理按键一键启动录屏功能，可将屏幕中显示的课件、音频内容与人声同时录制。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4.整机支持自定义图像设置，可对对比度、屏幕色温、图像亮度、亮度范围、色彩空间调节设置。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5.整机关机状态下，通过长按电源键进入设置界面后，可点击屏幕选择故障检测、系统还原功能，系统还原可单独还原PC系统，单独还原整机系统。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6.整机无需外接无线网卡，在Android和Windows系统下可实现Wi-Fi无线上网连接、AP无线热点发射和BT蓝牙连接功能。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7.Wi-Fi和AP热点工作距离≥12m。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8.整机支持蓝牙Bluetooth 5.4标准，固件版本号HCI13.0/LMP13.0。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9.整机支持发出频率为18kHz-22kHz超声波信号，智能手机通过麦克风接收后，智能手机与整机无需在同一局域网内，可实现配对，一键投屏，用户无需手动输入投屏码或扫码获取投屏码。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10.整机PC端支持主动发现蓝牙外设从而连接（无需整机进入发现模式），支持连接外部蓝牙音箱播放音频。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11.整机内置双WiFi6无线网卡，在Android下支持无线设备同时连接数量≥32个，在Windows系统下支持无线设备同时连接≥8个。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12.支持标准、听力、观影和AI空间感知音效模式，AI空间感知音效模式可通过内置麦克风采集教室物理环境声音，自动生成符合当前教室物理环境的频段、音量、音效。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13.整机可选择高级音效设置，支持在左右声道平衡显示范围中进行更改；中低频段显示调节范围125Hz～1KHz，高频段显示调节范围 2KHz～16KHz，分贝显示-12dB～12dB 调节范围。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14.整机扬声器在100%音量下，可做到1米处声压级≥88db，10米处声压级≥79dB。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15.整机设备自带地震预警软件。支持在地震预警页面中获取位置，可以手动进行位置校准。支持在地震预警页面中选择提醒阈值。支持在地震预警界面中开启和关闭地震预警服务。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16.整机内置2.2声道扬声器，位于设备上边框，顶置朝前发声，前朝向≥10W高音扬声器≥2个，上朝向≥20W中低音扬声器≥2个，额定总功率≥60W。采用缝隙发声技术，喇叭采用槽式开口设计，不大于5.8mm。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17.整机内置非独立外扩展的8阵列麦克风，拾音角度≥180°，可用于对教室环境音频进行采集，拾音距离≥12m。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18.整机上边框内置非独立的广角高清摄像头，在距离整机1.7米情况下，且拍摄范围可以覆盖摄像头垂直法线左右距离大于等于4米，可以实现人脸识别。</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19.整机上边框内置非独式广角摄像头和智能拼接摄像头， 均支持 3D 降噪算法和数字宽动态范围成像WDR 技术，支持输出 MJPG、 H.264 视频格式。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20.整机摄像头支持人脸识别、清点人数、随机抽人；识别所有学生，显示标记，然后随机抽选，同时显示标记不少于60人。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21.整机设备教学桌面支持教学常用的教学白板软件和文件管理软件软件；教学桌面首页支持自定义桌面应用，支持展示8个应用入口。并提供进入本机所有应用的入口。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22.整机设备教学桌面支持查看设备盘符，支持本地磁盘和外接 U 盘、移动硬盘，点击即可打开该磁盘查看磁盘文件。教学桌面支持显示存储空间状态，当存储空间即将满载时候进行红色标记明显提示。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九、教学备授课软件设计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（一）白板教学PC端应用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2.教学系统</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6.支持软件联网自动静默升级，无需用户手动更新。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7.课件背景：提供不少于8种以上背景模板供老师选择，持自定义背景。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12.数学公式编辑器：支持复杂数学公式输入，提供不少于 20 个数学符号及模板，输出的公式内容支持不同颜色标记及二次编辑。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13.数学画板功能：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a)能在白板中插入在线画板，授课时可以一键打开,方便老师配合课件内容进行讲解。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b)提供不少于 500 个数学画板资源，覆盖小学、初中、高中学段数学学科主要知识点，并按照知识点分类，便于老师查找。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15.表格：</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a)具有表格插入功能，并提供5种以上表格样式供老师选择。</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b)表格能自适应，可一键将表格的行、列调整到最合适的大小。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c)具有表格遮罩功能，可对表格中任意一格添加遮罩，在授课模式下通过点击可消除遮罩，方便老师设置互动活动。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d)在授课模式下，支持表格克隆功能，可克隆出多个相同表格，</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方便老师请多位同学进行答题互动。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16.图表：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a)具有图表插入功能，并提供柱状图、扇形图、折线图 3 种图表形式，且每种形式提供不少于5种样式供选择。</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b)具有图表二维及三维展示形式任意切换，且三维图表支持旋转，方便多角度展示数据变化。</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c)具有图表添加超链接，可连接至课件其他页面、网页、软件自带小工具等地方。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d)在授课模式下，支持图表克隆功能，可克隆出多个相同图表，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方便老师进行对比观察。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17.古诗词资源：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a)提供覆盖多学段的古诗词、古文资源，包含原文、翻译、背景介绍、作者介绍、朗诵音频等。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b)支持用户根据年级、朝代、诗人等进行分类查找，也可直接搜索诗词、古文名称或作者名查找。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c)提供不少于9种古诗词专用背景模板，老师可贴合古诗词意境选择合适背景进行教学。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d)每篇古诗词、古文均提供原文及翻译、背景介绍、作者介绍等，同时支持一键跳转打开网页，展示对应的背景或作者介绍。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e)支持老师备课时对原文进行注释、标重点等操作，方便老师讲解重点字词。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19.美术画板：具有美术画板工具，提供铅笔、毛笔、油画笔，可实现模拟调色盘功能，老师可自由选择不同颜色进行混合调色，搭配出任意色彩。</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20.美术工具：具备图形自由创作工具，教师可自由绘制复杂的任意多边图形及曲边图形；教师自主创作的图形可存储至个人云空间便于后续使用。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（二）白板软件移动端应用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2.可在移动平台选择是否接收获取的分享课件，接收后课件储存至个人云空间，可在移动平台的互动课件列表预览。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3.移动平台可对云空间互动课件和课件组移动、删除和重命名，课件及课件组支持批量移动、删除。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4.移动平台可将课件通过微信、朋友圈、云空间帐号、二维码、公开链接、加密链接等方式进行分享，分享有效期支持自定义。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十、教学PPT小工具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1.不借助其他软件情况下，播放PPT时即可实现书写、擦除功能；可支持课件所有页面的预览、可随意进行页面跳转和实现上下翻页。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2.不借助其他软件情况下，播放PPT时即可支持板中板功能，直接调用板中板辅助教学，可实现批注及加页，不影响课件整体内容。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4.不借助其他软件情况下，播放PPT时即可调用放大镜、聚光灯小工具辅助教学。</w:t>
            </w:r>
          </w:p>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变轨黑板</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r>
              <w:rPr>
                <w:rFonts w:hint="eastAsia" w:hAnsi="宋体" w:cs="宋体"/>
                <w:b w:val="0"/>
                <w:bCs w:val="0"/>
                <w:color w:val="auto"/>
                <w:sz w:val="21"/>
                <w:szCs w:val="21"/>
                <w:highlight w:val="none"/>
                <w:vertAlign w:val="baseline"/>
                <w:lang w:val="en-US" w:eastAsia="zh-CN"/>
              </w:rPr>
              <w:t>2</w:t>
            </w:r>
          </w:p>
        </w:tc>
        <w:tc>
          <w:tcPr>
            <w:tcW w:w="726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1.结构：主要由两块滑动板、两块固定板、一套外框组成，当滑动板闭合时，可自动向内变轨至与固定板平齐。闭合后，滑动板应与固定板处在同一平面。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2.尺寸：长度≥4350mm，高度可根据所配电子产品适当调整，确保与电子产品的有效配套。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3.内板：正面左右两侧无边框设计，上下边框正面高度不超15mm，最大限度的增大书写面。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板面：采用金属烤漆书写板面，亚光、墨绿色，光泽度≤12光泽单位，没有因教学书写板本身原因产生的眩光，书写流畅字迹清晰、色彩协调可视效果佳，有效的缓解学生视觉疲劳；可吸附磁钉、磁片，便于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5.背板：采用优质镀锌钢板，机械化流水线一次成型。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6.衬板：选用高强度、吸音、防潮、阻燃聚苯乙烯板,厚度≥14mm。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7.覆板：采用自动化流水线覆板作业，避免人工作业刷胶不均导致粘贴不牢、起鼓等现象。甲醛释放量≤0.2mg/L，符合GB 28231-2011《书写板安全卫生要求》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green"/>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边框：采用高强度银白色铝合金型材，横框规格≥45×100mmmm，立框规格≥35mm×135mm。立框应隐藏于固定板后部，以使闭合后整体性效果更美观，并从根本上解决滑动板撞击立框造成夹手及影响产品寿命的情形。横立框不可采用拼接方式以确保强度。边框应具有良好的耐磨性及耐腐蚀性，耐腐蚀性CASS 72H不得低于10级，耐磨性（落沙试验）应不低于3900g</w:t>
            </w:r>
            <w:r>
              <w:rPr>
                <w:rFonts w:hint="eastAsia" w:ascii="宋体" w:hAnsi="宋体" w:cs="宋体"/>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9.置物：液晶屏下侧应设有置物空间，可放置粉笔、教鞭等。置物空间后部及左右两侧应有封堵，避免物品掉落。其下侧面向学生侧应有避免物品从前端滚落的凸起。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10.滑轮：采用高精度轴承滑轮，上下各4组。为确保产品耐久性，滑轮使用寿命应不低于10万次</w:t>
            </w:r>
            <w:r>
              <w:rPr>
                <w:rFonts w:hint="eastAsia" w:ascii="宋体" w:hAnsi="宋体" w:cs="宋体"/>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11.拉手：拉手位置在安装完毕后，仍应可由用户在水平方向调整，确保舒适。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888" w:type="dxa"/>
            <w:noWrap w:val="0"/>
            <w:vAlign w:val="top"/>
          </w:tcPr>
          <w:p>
            <w:pPr>
              <w:pStyle w:val="3"/>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翻页笔</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支</w:t>
            </w:r>
          </w:p>
        </w:tc>
        <w:tc>
          <w:tcPr>
            <w:tcW w:w="645" w:type="dxa"/>
            <w:noWrap w:val="0"/>
            <w:vAlign w:val="top"/>
          </w:tcPr>
          <w:p>
            <w:pPr>
              <w:pStyle w:val="3"/>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22</w:t>
            </w:r>
          </w:p>
        </w:tc>
        <w:tc>
          <w:tcPr>
            <w:tcW w:w="7265" w:type="dxa"/>
            <w:noWrap w:val="0"/>
            <w:vAlign w:val="top"/>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1.</w:t>
            </w:r>
            <w:r>
              <w:rPr>
                <w:rFonts w:hint="eastAsia" w:ascii="宋体" w:hAnsi="宋体" w:eastAsia="宋体" w:cs="宋体"/>
                <w:color w:val="auto"/>
                <w:kern w:val="0"/>
                <w:sz w:val="21"/>
                <w:szCs w:val="21"/>
                <w:highlight w:val="none"/>
                <w:lang w:bidi="ar"/>
              </w:rPr>
              <w:t>采用笔型设计，具有三个遥控按键（上下翻页和功能键），既可用于触摸书写，也可用于远程操控。</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2.</w:t>
            </w:r>
            <w:r>
              <w:rPr>
                <w:rFonts w:hint="eastAsia" w:ascii="宋体" w:hAnsi="宋体" w:eastAsia="宋体" w:cs="宋体"/>
                <w:color w:val="auto"/>
                <w:kern w:val="0"/>
                <w:sz w:val="21"/>
                <w:szCs w:val="21"/>
                <w:highlight w:val="none"/>
                <w:lang w:bidi="ar"/>
              </w:rPr>
              <w:t>采用2.4G无线连接技术，无线接收距离最大可达15米。</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3.</w:t>
            </w:r>
            <w:r>
              <w:rPr>
                <w:rFonts w:hint="eastAsia" w:ascii="宋体" w:hAnsi="宋体" w:eastAsia="宋体" w:cs="宋体"/>
                <w:color w:val="auto"/>
                <w:kern w:val="0"/>
                <w:sz w:val="21"/>
                <w:szCs w:val="21"/>
                <w:highlight w:val="none"/>
                <w:lang w:bidi="ar"/>
              </w:rPr>
              <w:t>无线接收器采用微型nano设计，并能收纳在笔上，整洁美观。</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4.</w:t>
            </w:r>
            <w:r>
              <w:rPr>
                <w:rFonts w:hint="eastAsia" w:ascii="宋体" w:hAnsi="宋体" w:eastAsia="宋体" w:cs="宋体"/>
                <w:color w:val="auto"/>
                <w:kern w:val="0"/>
                <w:sz w:val="21"/>
                <w:szCs w:val="21"/>
                <w:highlight w:val="none"/>
                <w:lang w:bidi="ar"/>
              </w:rPr>
              <w:t>使用单节7号电池驱动，并带自动休眠节电设计。</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5.</w:t>
            </w:r>
            <w:r>
              <w:rPr>
                <w:rFonts w:hint="eastAsia" w:ascii="宋体" w:hAnsi="宋体" w:eastAsia="宋体" w:cs="宋体"/>
                <w:color w:val="auto"/>
                <w:kern w:val="0"/>
                <w:sz w:val="21"/>
                <w:szCs w:val="21"/>
                <w:highlight w:val="none"/>
                <w:lang w:bidi="ar"/>
              </w:rPr>
              <w:t>单接收器设计，android、windows双系统同时响应。只需安装一个接收器，双系统都能响应智能笔的操作指令。</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6.</w:t>
            </w:r>
            <w:r>
              <w:rPr>
                <w:rFonts w:hint="eastAsia" w:ascii="宋体" w:hAnsi="宋体" w:eastAsia="宋体" w:cs="宋体"/>
                <w:color w:val="auto"/>
                <w:kern w:val="0"/>
                <w:sz w:val="21"/>
                <w:szCs w:val="21"/>
                <w:highlight w:val="none"/>
                <w:lang w:bidi="ar"/>
              </w:rPr>
              <w:t>支持白板课件、PPT、PDF等多种格式的课件进行远程无线翻页。</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7.</w:t>
            </w:r>
            <w:r>
              <w:rPr>
                <w:rFonts w:hint="eastAsia" w:ascii="宋体" w:hAnsi="宋体" w:eastAsia="宋体" w:cs="宋体"/>
                <w:color w:val="auto"/>
                <w:kern w:val="0"/>
                <w:sz w:val="21"/>
                <w:szCs w:val="21"/>
                <w:highlight w:val="none"/>
                <w:lang w:bidi="ar"/>
              </w:rPr>
              <w:t>功能按键可通过长按/短按实现两种快捷功能，方便教师操作。</w:t>
            </w:r>
          </w:p>
          <w:p>
            <w:pP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8.</w:t>
            </w:r>
            <w:r>
              <w:rPr>
                <w:rFonts w:hint="eastAsia" w:ascii="宋体" w:hAnsi="宋体" w:eastAsia="宋体" w:cs="宋体"/>
                <w:color w:val="auto"/>
                <w:kern w:val="0"/>
                <w:sz w:val="21"/>
                <w:szCs w:val="21"/>
                <w:highlight w:val="none"/>
                <w:lang w:bidi="ar"/>
              </w:rPr>
              <w:t>支持自定义按键功能，可选功能包括：一键启动任意通道批注、一键启动/退出PPT播放、一键启动PPT批注、一键启动任意通道冻结与放大屏幕内容。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top"/>
          </w:tcPr>
          <w:p>
            <w:pPr>
              <w:widowControl/>
              <w:numPr>
                <w:ilvl w:val="0"/>
                <w:numId w:val="1"/>
              </w:numPr>
              <w:spacing w:line="440" w:lineRule="exact"/>
              <w:jc w:val="lef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bidi="ar"/>
              </w:rPr>
              <w:t>序号</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bidi="ar"/>
              </w:rPr>
              <w:t>货物名称</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bidi="ar"/>
              </w:rPr>
              <w:t>单位</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bidi="ar"/>
              </w:rPr>
              <w:t>数量</w:t>
            </w:r>
          </w:p>
        </w:tc>
        <w:tc>
          <w:tcPr>
            <w:tcW w:w="7265" w:type="dxa"/>
            <w:noWrap w:val="0"/>
            <w:vAlign w:val="top"/>
          </w:tcPr>
          <w:p>
            <w:pPr>
              <w:pStyle w:val="3"/>
              <w:ind w:firstLine="308" w:firstLineChars="147"/>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学生机</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120</w:t>
            </w:r>
          </w:p>
        </w:tc>
        <w:tc>
          <w:tcPr>
            <w:tcW w:w="7265" w:type="dxa"/>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一、主机硬件设计：</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1.CPU：主频≥2.7GHz 、≥8核处理器8线程，二级缓存≥8MB。</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2.主板：ZX200芯片组或以上。</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3.内存：8GB DDR4 2666MT/s 内存或以上。最大可支持拓展64GB。</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4.硬盘：≥256 GB M.2 NVMe SSD硬盘，支持机械硬盘拓展。</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5.支持拓展9.5mm标准光驱。</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6.支持1000Mbps。网口支持wake on LAN。</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7.集成标准声卡。</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8.USB有线键盘、鼠标。</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9.前置面板：USB3.0≥3个；TypeC≥1个；音频接口≥1个（支持耳机麦克风二合一）</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10.支持物理网络开关按键。</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11.≥3前置USB端口支持在关机状态下对外供电。</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12.后置面板：USB3.0≥4个；HDMI输出≥1个；VGA输出≥1个；音频输入≥2个；音频输出≥1个；RJ45≥1个；PS/2≥2个；串口≥1个。</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13.显卡：集成显卡</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14.内部插槽：PCIEX16≥1个（支持拓展独立显卡）；PCIEX8≥2个；M.2≥2个；SATA≥4个。</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15.机箱体积：≤8L。</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16.电源功率：≤200W。</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二、配套显示器：</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1.显示屏≥21.5英寸显示屏幕，分辨率≥1920*1080。</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2.屏幕亮度≥250nit，VA屏</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3.支持VGA≥1，HDMI≥1。</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4.为保证屏幕色彩显示真实度，显示屏幕DCI-P3色域覆盖率≥ 90%。</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5.对比度达到3000:1，屏幕刷新率达到75Hz，响应时间≤7ms，可视角度178/178</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6.电源能效转换效率≥86%</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7.显示屏具备标准模式和炫彩模式选项。</w:t>
            </w:r>
          </w:p>
          <w:p>
            <w:pPr>
              <w:keepNext w:val="0"/>
              <w:keepLines w:val="0"/>
              <w:widowControl/>
              <w:suppressLineNumbers w:val="0"/>
              <w:jc w:val="left"/>
              <w:textAlignment w:val="center"/>
              <w:rPr>
                <w:rFonts w:hint="eastAsia"/>
                <w:strike w:val="0"/>
                <w:dstrike w:val="0"/>
                <w:color w:val="auto"/>
                <w:highlight w:val="none"/>
                <w:lang w:val="en-US" w:eastAsia="zh-CN"/>
              </w:rPr>
            </w:pPr>
            <w:r>
              <w:rPr>
                <w:rFonts w:hint="eastAsia"/>
                <w:strike w:val="0"/>
                <w:dstrike w:val="0"/>
                <w:color w:val="auto"/>
                <w:highlight w:val="none"/>
                <w:lang w:val="en-US" w:eastAsia="zh-CN"/>
              </w:rPr>
              <w:t>8.显示屏幕具备护眼模式，护眼模式下，蓝光比例≤20%。</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9.显示器提供阅读模式，为长时间阅读提供舒适的用眼体验。</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10.显示屏幕采用窄边设计，上左右边框≤3.6mm，下边框≤16.5mm，屏占比≥89%。</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11.为保护教师、学生视力健康，硬件具备无频闪功能。</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12.为保证兼容性，显示器与教学主机保持同一品牌。</w:t>
            </w:r>
          </w:p>
          <w:p>
            <w:pPr>
              <w:pStyle w:val="2"/>
              <w:rPr>
                <w:rFonts w:hint="eastAsia"/>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★投标文件中必须提供该项产品由国家确定的认证机构出具的处于有效期之内的节能产品认证证书并加盖投标人公章。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国产化教师机</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一、主机配置要求</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1.主频≥3.0GHz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2.≥8核处理器16线程</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 内存：8GB DDR4 3200MT/s 内存或以上</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 硬盘：≥512GB M.2 NVMe SSD硬盘；</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5.支持拓展12.7mm标准光驱。</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6.支持1000Mbps。</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 集成标准声卡。</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 USB有线键盘、鼠标。</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9.前置面板：USB3.0≥4个；耳麦接口≥1个（支持耳机麦克风二合一）；麦克风接口≥1个</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12.后置面板：USB3.0≥2个；USB2.0≥4个；音频输入≥2个；音频输出≥1个；RJ45≥1个；串口≥1个。</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13.配置独立显卡≥2GB</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14.内部插槽：PCIEX16≥2个（支持拓展独立显卡）；PCIEX8≥1个；PCIEX1≥1个；M.2≥2个。</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15.机箱体积：≤12L。</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16.电源功率：≤200W。</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二、配套显示器：</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1.显示屏≥23.8英寸显示屏幕，分辨率≥1920*1080，</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2.屏幕亮度≥250nit，VA屏</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3.支持VGA≥1，HDMI≥1。</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4.为保证屏幕色彩显示真实度，显示屏幕DCI-P3色域覆盖率≥ 90%；</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5.屏幕刷新率达到75Hz，响应时间≤7ms，可视角度178/178</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6.电源能效转换效率≥86%</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7.为了适应日常使用和更好的视频播放体验，显示屏分别提供标准模式和炫彩模式选项。</w:t>
            </w:r>
          </w:p>
          <w:p>
            <w:pPr>
              <w:keepNext w:val="0"/>
              <w:keepLines w:val="0"/>
              <w:widowControl/>
              <w:suppressLineNumbers w:val="0"/>
              <w:jc w:val="left"/>
              <w:textAlignment w:val="center"/>
              <w:rPr>
                <w:rFonts w:hint="eastAsia"/>
                <w:strike w:val="0"/>
                <w:dstrike w:val="0"/>
                <w:color w:val="auto"/>
                <w:highlight w:val="none"/>
                <w:lang w:val="en-US" w:eastAsia="zh-CN"/>
              </w:rPr>
            </w:pPr>
            <w:r>
              <w:rPr>
                <w:rFonts w:hint="eastAsia"/>
                <w:strike w:val="0"/>
                <w:dstrike w:val="0"/>
                <w:color w:val="auto"/>
                <w:highlight w:val="none"/>
                <w:lang w:val="en-US" w:eastAsia="zh-CN"/>
              </w:rPr>
              <w:t>8.为保证教师、学生的用眼舒适，显示屏幕提供护眼模式，护眼模式下，蓝光比例≤20%。</w:t>
            </w:r>
          </w:p>
          <w:p>
            <w:pPr>
              <w:keepNext w:val="0"/>
              <w:keepLines w:val="0"/>
              <w:widowControl/>
              <w:suppressLineNumbers w:val="0"/>
              <w:ind w:left="0" w:leftChars="0" w:firstLine="420" w:firstLineChars="200"/>
              <w:jc w:val="left"/>
              <w:textAlignment w:val="center"/>
              <w:rPr>
                <w:rFonts w:hint="eastAsia"/>
                <w:color w:val="auto"/>
                <w:highlight w:val="none"/>
                <w:lang w:val="en-US" w:eastAsia="zh-CN"/>
              </w:rPr>
            </w:pPr>
            <w:r>
              <w:rPr>
                <w:rFonts w:hint="eastAsia"/>
                <w:color w:val="auto"/>
                <w:highlight w:val="none"/>
                <w:lang w:val="en-US" w:eastAsia="zh-CN"/>
              </w:rPr>
              <w:t>9.显示器提供阅读模式，为长时间阅读提供舒适的用眼体验。</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10.显示屏幕采用窄边设计，上左右边框≤3.6mm，下边框≤16.5mm，屏占比≥89%。</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11.为保护教师、学生视力健康，硬件具备无频闪功能。</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三、配套电脑助手</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1.登录方式多样性：支持账号/密码和手机微信扫码两种登录方式。用户首次登录时绑定微信 ID 与账号的对应关系，绑定后即可通过微信扫码登录，无需再次输入账号/密码。</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2.终端关联设备：支持通过微信扫码进行设备与学校的绑定，设置当前设备类型与归属用户。</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3.设备详情：支持查看当前设备的硬件信息（包括 CPU、主板、显卡、硬盘、显示器、网卡、声卡）和系统信息（包括操作系统、系统激活状态、连接 ID、SN 、MAC 地址、内外网 IP）。</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4.设备运行状态：支持查看当前设备的内存、CPU、硬盘、系统盘、网速的实时占用状态等信息。</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5.整体描述：支持电脑使用终端应用软件发送文件至班班通设备的接收端。</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6.文件条件：支持一次发送多个文件；支持发送图片、视频、文档等类型的文件。</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7.文件发送：支持从不同的文件夹拖动或选择文件至发送区；支持查看待发送的文件列表，文件选择错误时支持移除。</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8.快捷发送：支持拖动文件至助手栏的快传进行文件发送；</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9.离线暂存：支持一次发送文件给多个接收端设备；接收端设备离线时文件支 持暂存云端，等接收端设备在线后进行自动下载。</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10.多系统接收：支持用户在麒麟系统发送的文件能在windows系统、麒麟系统、统信系统的接收端下载与查看；</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11.其他：支持查看发送进度；支持上传失败的文件重试。</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12.个性接收夹：支持在接收端设备上创建自己独立的文件接收夹，可个性化定义文件的名称与图标颜色；接收到新文件时，有提示新文件。</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13.文件列表：支持接收端设备展示当前已接收的文件列表，包括文件名称、接收时间、接收状态等信息；对已下载的文件可直接打开，未下载或下载失败的文件可手动下载；支持查看单个文件下载进度与总进度。</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14.自动下载：支持接收端设备在线状态下自动接收终端应用软件发送的文件。</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15.自动清理：支持自动清理超过 14 天的文件。</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16.查看：采用云端存储的方式，用户在电脑上使用终端应用软件进行查看上传的文件；查看方式支持列表视图和栅格视图，在列表视图中，还会展示更新时间和大小；支持在列表或栅格视图中展示小预览图；支持对文件按照名称、更新时间、大小排序；支持对文件进行图片、音视频、文档筛选；上传的文件支持用户在手机的移动应用软件中查看；支持查看当前的路径面包屑，点击后可直接跳转至目标文件夹；支持文件根据窗口的显示大小进行适配，从而一列显示不同的数量；</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17.编辑：支持用户在任意路径节点创建文件夹，并且可以自定义文件夹名称；支持用户对上传的文件和文件夹进行重命名；支持用户对文件和文件夹进行移动和批量移动；支持用户对文件和文件夹删除。</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18.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19.预览：支持在线预览图片、音视频、文档。支持预览的格式，图片：BMP、GIF、JPE、JPEG、JPG、PNG；音频：WAV、MP3.OGG视频：3GP、F4V、M4V、MKV、MP4.OGV、MOV；文档：DOC、DOCX、PDF、PPT、XLS、XLSX。</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20.发送到班级：支持用户在资料夹中把多个文件发送至班班通设备中，发送的文件不限格式，接收端自动下载该文件。</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21.快捷打开：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22.最近使用课件：助手栏展示最近使用的前3条课件，点击课件支持在终端应用软件内打开和编辑。</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23.编辑：支持用户自定义助手栏展示的内容，可根据自己的需求对内容进行移除、添加、移动位置，变更后数据会跟随当前登陆的账号，登录另一台电脑时会同步当前编辑的结果。</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24.网站：支持用户主动添加网址，添加的网站会呈现在助手栏中，点击即可在终端应用软件打开。</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25.移动：支持用户拖动助手栏到屏幕的任意位置，当用户拖动助手栏靠近屏幕边缘时会自动收到侧边；支持鼠标悬浮在侧边的时候，会弹出该助手栏，再次拖动助手栏会取消收起。</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26.远程关联：支持学校管理员手机扫描班班通设备上二维码，选择学校并输入设备的名称，班班通设备即可完成关联学校；支持学校管理员对已关联的设备进行修改设备名称。普通老师加入该学校后可在终端应用软件中看到该设备并可远程创建接收夹。</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27.退出关联：支持学校管理员手机扫描已关联的班班通设备上二维码退出学校，退出后普通老师无法在该学校对该设备远程创建接收夹；</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28.设备管理：支持查看当前学校的电脑列表，包括电脑在线状态、归属用户、操作系统、IP 地址、上线时间与最后在线时间；支持对设备分组管理；支持通过设备名称与归属用户进行搜索。</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29.设备信息：支持查看单个电脑的硬件信息与系统信息。</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30.指令下发：支持对单个电脑或批量设备下发关机与重启指令、移动分组、移除设备。</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31.状态查看：支持展示电脑实时的数据信息，包括 CPU、内存、系统盘、总存储、实时网速等数据信息，离线的设备也展示最后的数据信息。</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32.巡课：支持用户远程查看班级的学生实况，也可看到班班通设备的屏幕实时内容；支持对用户进行权限分配，仅能查看自己有权限的班级；</w:t>
            </w:r>
          </w:p>
          <w:p>
            <w:pPr>
              <w:pStyle w:val="2"/>
              <w:rPr>
                <w:rFonts w:hint="eastAsia"/>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★投标文件中必须提供该项产品由国家确定的认证机构出具的处于有效期之内的节能产品认证证书并加盖投标人公章。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操作系统</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122</w:t>
            </w:r>
          </w:p>
        </w:tc>
        <w:tc>
          <w:tcPr>
            <w:tcW w:w="726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rPr>
              <w:t>架构支持及内核：支持龙芯、兆芯、飞腾、鲲鹏、海光、海思麒麟、盘古等主流国产CPU，系统版本支持Linux 5.4版内核</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rPr>
              <w:t>产品标准符合：拥有自主知识产权的国产操作系统</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3.</w:t>
            </w:r>
            <w:r>
              <w:rPr>
                <w:rFonts w:hint="eastAsia" w:ascii="宋体" w:hAnsi="宋体" w:eastAsia="宋体" w:cs="宋体"/>
                <w:b w:val="0"/>
                <w:bCs w:val="0"/>
                <w:color w:val="auto"/>
                <w:sz w:val="21"/>
                <w:szCs w:val="21"/>
                <w:highlight w:val="none"/>
              </w:rPr>
              <w:t>用户界面：提供s桌面操作系统的图形化人机操作UI界面，具有良好的用户操作体验，窗口包括标题栏、菜单栏、状态栏等。</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rPr>
              <w:t>文件系统支持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支持Ext</w:t>
            </w:r>
            <w:r>
              <w:rPr>
                <w:rFonts w:hint="eastAsia" w:ascii="宋体" w:hAnsi="宋体" w:eastAsia="宋体" w:cs="宋体"/>
                <w:b w:val="0"/>
                <w:bCs w:val="0"/>
                <w:color w:val="auto"/>
                <w:sz w:val="21"/>
                <w:szCs w:val="21"/>
                <w:highlight w:val="none"/>
                <w:lang w:eastAsia="zh-CN"/>
              </w:rPr>
              <w:t>3.</w:t>
            </w:r>
            <w:r>
              <w:rPr>
                <w:rFonts w:hint="eastAsia" w:ascii="宋体" w:hAnsi="宋体" w:eastAsia="宋体" w:cs="宋体"/>
                <w:b w:val="0"/>
                <w:bCs w:val="0"/>
                <w:color w:val="auto"/>
                <w:sz w:val="21"/>
                <w:szCs w:val="21"/>
                <w:highlight w:val="none"/>
              </w:rPr>
              <w:t>Ext</w:t>
            </w:r>
            <w:r>
              <w:rPr>
                <w:rFonts w:hint="eastAsia"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rPr>
              <w:t>XFS、NTFS、Fat、Btrfs等文件系统。</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rPr>
              <w:t>全局搜索：支持多种搜索内容，支持拼音搜索和模糊搜索、快捷查找系统应用、设置项和文件（包括文本内容）</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6.</w:t>
            </w:r>
            <w:r>
              <w:rPr>
                <w:rFonts w:hint="eastAsia" w:ascii="宋体" w:hAnsi="宋体" w:eastAsia="宋体" w:cs="宋体"/>
                <w:b w:val="0"/>
                <w:bCs w:val="0"/>
                <w:color w:val="auto"/>
                <w:sz w:val="21"/>
                <w:szCs w:val="21"/>
                <w:highlight w:val="none"/>
              </w:rPr>
              <w:t>常用应用支持：支持火狐、奇安信浏览器、360浏览器;提供自研软件，包括视频播放器、截图软件、刻录软件、系统工具箱。</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7.</w:t>
            </w:r>
            <w:r>
              <w:rPr>
                <w:rFonts w:hint="eastAsia" w:ascii="宋体" w:hAnsi="宋体" w:eastAsia="宋体" w:cs="宋体"/>
                <w:b w:val="0"/>
                <w:bCs w:val="0"/>
                <w:color w:val="auto"/>
                <w:sz w:val="21"/>
                <w:szCs w:val="21"/>
                <w:highlight w:val="none"/>
              </w:rPr>
              <w:t>备份还原功能：系统默认提供备份还原工具，支持数据备份、数据还原，支持系统全量备份、系统增量备份，提供一键还原、一键Ghost功能。</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8.</w:t>
            </w:r>
            <w:r>
              <w:rPr>
                <w:rFonts w:hint="eastAsia" w:ascii="宋体" w:hAnsi="宋体" w:eastAsia="宋体" w:cs="宋体"/>
                <w:b w:val="0"/>
                <w:bCs w:val="0"/>
                <w:color w:val="auto"/>
                <w:sz w:val="21"/>
                <w:szCs w:val="21"/>
                <w:highlight w:val="none"/>
              </w:rPr>
              <w:t>文件保护箱：提供文件保护箱工具。用户可以创建不少于10个不同密码的文件保护箱，实现用户之间数据严格隔离，有效保护用户隐私数据。</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9.</w:t>
            </w:r>
            <w:r>
              <w:rPr>
                <w:rFonts w:hint="eastAsia" w:ascii="宋体" w:hAnsi="宋体" w:eastAsia="宋体" w:cs="宋体"/>
                <w:b w:val="0"/>
                <w:bCs w:val="0"/>
                <w:color w:val="auto"/>
                <w:sz w:val="21"/>
                <w:szCs w:val="21"/>
                <w:highlight w:val="none"/>
              </w:rPr>
              <w:t>生物识别：系统提供图形化生物识别管理工具，默认支持指纹、指静脉、虹膜等多种生物特征识别。图形界面可进行设备驱动开启、关闭及状态查看，默认内置20款以上指纹模块驱动</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0.</w:t>
            </w:r>
            <w:r>
              <w:rPr>
                <w:rFonts w:hint="eastAsia" w:ascii="宋体" w:hAnsi="宋体" w:eastAsia="宋体" w:cs="宋体"/>
                <w:b w:val="0"/>
                <w:bCs w:val="0"/>
                <w:color w:val="auto"/>
                <w:sz w:val="21"/>
                <w:szCs w:val="21"/>
                <w:highlight w:val="none"/>
              </w:rPr>
              <w:t>安全特性：提供安全中心管控工具，提供图形化应用执行控制工具，具有检查应用程序完整性、来源等功能。</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rPr>
              <w:t>账号安全配置：系统提供图形化账号安全配置工具，可支持图形化配置密码复杂度，包括用户名校验、长度、字符、账号锁定配置等。</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rPr>
              <w:t>系统安全级别管理：系统可提供安全增强组件，支持增加三权分立、白名单控制等安全功能。</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3.</w:t>
            </w:r>
            <w:r>
              <w:rPr>
                <w:rFonts w:hint="eastAsia" w:ascii="宋体" w:hAnsi="宋体" w:eastAsia="宋体" w:cs="宋体"/>
                <w:b w:val="0"/>
                <w:bCs w:val="0"/>
                <w:color w:val="auto"/>
                <w:sz w:val="21"/>
                <w:szCs w:val="21"/>
                <w:highlight w:val="none"/>
              </w:rPr>
              <w:t>外设管控：提供图形化的外设设备管控工具，管控USB、蓝牙等设备，支持动态显示未授权的设备信息，支持设置设备接入黑白名单策略，支持显示设备连接记录。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公有云机房运维系统（云桌面）</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（一）系统设计</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1.在配置管理平台使用终端设备时，支持多种身份识别方式。</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2.支持通过账号登录、手机扫码登录、无账号访客登录。</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3.支持断网使用，即在终端设备网络中断或管理平台连接中断时，正在操作的教学业务不受影响，依然可使用当前云桌面镜像继续开展业务，打开的程序也不会中断，保障业务连续性。</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4.账号互通：在配置管理平台使用终端设备时，支持统一互通的用户身份认证服务，账号登录进入云桌面镜像后，打开教学白板软件、学生行为评价软件的教学应用工具时无需再次输入账号密码重复登录。</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5.支持终端设备运行时无需运行独立的虚拟化系统，终端设备配置的IP与进入云桌面镜像后的IP能够保持一致，同一个终端无需使用多个IP，简化运维管理与网络规划复杂度。</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6.支持在终端设备部署多个云桌面镜像切换使用，支持Windows、UOS、KylinOS、Ubuntu等桌面操作系统的云桌面镜像支持国产化操作系统的使用，包括但不限于UOS、银河麒麟。</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7.支持在无法进入操作系统的情况下，快速恢复操作系统的使用，无需依赖网络、服务器、以及还原类软件。</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8.支持包括Windows、统信、麒麟云桌面镜像，在对应云桌面镜像系统中查看设备的CPU型号、GPU型号、系统型号、BIOS版本等系统信息显示与终端物理设备一致。</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（二）管理平台设计</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 管理平台采用B/S架构，中文图形化操作界面；无需本地额外部署服务器等设备，通过浏览器打开即可运维管理云桌面终端设备，支持手机扫码登录/账号密码登录完成鉴权。</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★2.具备基于广域网统一纳管多分支机构云桌面的能力，支持三层网络、多校区等复杂网络环境安装。</w:t>
            </w:r>
            <w:r>
              <w:rPr>
                <w:rFonts w:hint="eastAsia" w:ascii="宋体" w:hAnsi="宋体" w:cs="宋体"/>
                <w:color w:val="auto"/>
                <w:kern w:val="0"/>
                <w:szCs w:val="21"/>
                <w:highlight w:val="none"/>
                <w:lang w:eastAsia="zh-CN" w:bidi="ar"/>
              </w:rPr>
              <w:t>（提供证明材料：包括但不限于厂家证明或功能截图或国家认可的第三方检测报告并加盖供应商公章）</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 基于Web浏览器，提供用户统一登录认证功能，包括：手机号码注册、登录、忘记密码、扫码登录、账号管理功能。</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4.支持PC终端设备与云桌面终端设备统一管理，支持在同一个设备分组中添加不同类型的PC和云桌面设备，并支持对选择的PC和云桌面设备的批量操作。</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5.支持查看全部设备和分组下设备的运行状态，包括CPU、内存、磁盘的使用率，CPU温度，实时上下行网速与上下行网络流量。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5</w:t>
            </w:r>
          </w:p>
        </w:tc>
        <w:tc>
          <w:tcPr>
            <w:tcW w:w="888"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电脑桌椅</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62</w:t>
            </w:r>
          </w:p>
        </w:tc>
        <w:tc>
          <w:tcPr>
            <w:tcW w:w="7265" w:type="dxa"/>
            <w:noWrap w:val="0"/>
            <w:vAlign w:val="center"/>
          </w:tcPr>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双人电脑桌</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1.规格：1200*600*750mm（±10mm偏差）。</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2.材质：桌面板采用25mm厚优质三聚氰胺饰面刨花板，其余板材采用15mm厚优质三聚氰胺饰面刨花板；桌子整体结构采用连接板固定。</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2.封边：采用不小于1mm厚pvc封边条。</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电脑椅子（2张）</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1.规格：340mm*400mm*420mm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2.凳架：采用标准20*40mm管，壁厚为</w:t>
            </w:r>
            <w:r>
              <w:rPr>
                <w:rFonts w:hint="eastAsia"/>
                <w:color w:val="auto"/>
                <w:highlight w:val="none"/>
                <w:lang w:val="en-US" w:eastAsia="zh-CN"/>
              </w:rPr>
              <w:t>≤</w:t>
            </w:r>
            <w:r>
              <w:rPr>
                <w:rFonts w:hint="eastAsia" w:ascii="宋体" w:hAnsi="宋体" w:eastAsia="宋体" w:cs="宋体"/>
                <w:b w:val="0"/>
                <w:bCs w:val="0"/>
                <w:color w:val="auto"/>
                <w:sz w:val="21"/>
                <w:szCs w:val="21"/>
                <w:highlight w:val="none"/>
                <w:lang w:bidi="ar"/>
              </w:rPr>
              <w:t>1.0mm。</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3.凳面采用钢板压制成型，加固钢制凳面托，确保摔倒后凳面不损坏、开裂。</w:t>
            </w:r>
          </w:p>
          <w:p>
            <w:pPr>
              <w:pStyle w:val="3"/>
              <w:spacing w:line="440" w:lineRule="exact"/>
              <w:ind w:firstLine="0" w:firstLineChars="0"/>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bidi="ar"/>
              </w:rPr>
              <w:t>4.凳架焊接牢固，无毛刺，不割手。形制规整，整个凳架需防锈处理，表面静电喷涂。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教室广播软件</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1.登录方式多样性：支持账号/密码和手机微信扫码两种登录方式。</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2.设备管理：可实现实时监控学生机画面、以及进行统一的教学管理，文件共享和回收。</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3.人员管理：学校超级管理员可以添加教师和管理员的角色，添加之后管理员能够绑定设备和进行正常的授课工作，教师只能在终端应用软件进行授课操作。</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4.教师云空间：支持老师自定义上传、存储文件内容。</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支持上传的格式有：</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文档：ppt、pptx、word、pdf;</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图片：bmp、png、jpg、jpeg、gif;</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音视频：mp3.wav、ogg、aac、mp4</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5.教师广播：不需要借助任何外接设备，支持将教师机的画面以及声音广播给全班学生。</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6.学生演示：支持老师将指定学生的屏幕画面广播给其他所有学生，同时老师也能看到该指定学生的屏幕图像。</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strike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7.下发课堂活动：在开启授课时支持教师发起不低于4种课堂活动，支持学生拖动答案进行作答，系统将自动判断是否正确。</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t>8.课堂活动作答：支持学生在完成教师下发的课堂活动时，查看自己的排名、耗时以及答题情况。</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9.学生未进入课堂通知：支持在管理后台录入学生名单后，教师选择授课班级，学生在开课后输入个人姓名即可完成班级点名签到，当未签到人数低于6人时会自动显示未进入课堂的学生名单。</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10.切换课堂通知：当课堂通知大于或等于2条时，支持用户手动切换查看。</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t>11.教学白板课件同步：支持同步教学白板软件的课件内容，支持按照大小、更新时间进行排序，支持按照按照文件类型进行筛选。</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12.文件上传：支持上传“本地文件”到终端应用软件的教师云空间。</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t>13.文件共享：支持教师把云空间的文件批量共享给指定的多个授课班级，资料被删除后文件仍可重新下载。支持教师把已共享的资料进行取消共享</w:t>
            </w:r>
            <w:r>
              <w:rPr>
                <w:rFonts w:hint="eastAsia" w:ascii="宋体" w:hAnsi="宋体" w:eastAsia="宋体" w:cs="宋体"/>
                <w:b w:val="0"/>
                <w:bCs w:val="0"/>
                <w:i w:val="0"/>
                <w:iCs w:val="0"/>
                <w:strike w:val="0"/>
                <w:dstrike w:val="0"/>
                <w:color w:val="auto"/>
                <w:kern w:val="0"/>
                <w:sz w:val="21"/>
                <w:szCs w:val="21"/>
                <w:highlight w:val="none"/>
                <w:u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14.授课班级状态：当作业空间存在多个班级的时候，支持显示当前正在授课班级。</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15.文件查看：当开启需输入姓名进入课堂功能时，系统支持按照班级学生的姓名归档查看学生提交的作业文件。</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16.导入文件共享：支持教师直接把“我的文件”内容导入共享给班级学生。</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17.黑屏管控：教师可以选定学生执行黑屏操作。</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18.离线自动黑屏：支持教师统一配置授课是否开启离线黑屏。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稳压器</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380V工业全自动交流大功率稳压电源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p>
        </w:tc>
        <w:tc>
          <w:tcPr>
            <w:tcW w:w="888" w:type="dxa"/>
            <w:noWrap w:val="0"/>
            <w:vAlign w:val="top"/>
          </w:tcPr>
          <w:p>
            <w:pPr>
              <w:pStyle w:val="3"/>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网络交换机</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1.网络标准：IEEE 802.3 、IEEE 802.3i、IEEE 802.3u、IEEE 802.3ab、IEEE 802.3x </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2.端口：24个10/100/1000Mbps RJ45 端口</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3.性能 ：存储转发  支持8K的MAC地址表深度</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4.使用环境 ：工作温度：0℃～40℃、存储温度：-40℃～70℃、工作湿度：10%～90%RH，不凝露、存储湿度：5%～90%RH，不凝露</w:t>
            </w:r>
          </w:p>
          <w:p>
            <w:pPr>
              <w:pStyle w:val="3"/>
              <w:spacing w:line="440" w:lineRule="exact"/>
              <w:ind w:firstLine="0" w:firstLineChars="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5.外形尺寸（L×W×H） 、294mm x 180mm x 44mm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6.三模式切换 、标准交换、VLAN隔离、网络克隆</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7.输入电源 、100-240V～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w:t>
            </w:r>
          </w:p>
        </w:tc>
        <w:tc>
          <w:tcPr>
            <w:tcW w:w="888" w:type="dxa"/>
            <w:noWrap w:val="0"/>
            <w:vAlign w:val="top"/>
          </w:tcPr>
          <w:p>
            <w:pPr>
              <w:pStyle w:val="3"/>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光纤路由</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3000M Wi-Fi 6 企业级无线路由器，金属壳体，有5个千兆电口，最大支持4个WAN口，推荐2000M带宽接入，最大带终端数150台，其中无线最大80台，支持内置带机可视化软件，最大支持无线接入速率2976Mbps，支持802.11a/b/g/n/ac Wave1 Wave2/ax协议，支持160M频宽，支持APP组网特性，支持与AP间AI漫游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888" w:type="dxa"/>
            <w:noWrap w:val="0"/>
            <w:vAlign w:val="center"/>
          </w:tcPr>
          <w:p>
            <w:pPr>
              <w:pStyle w:val="3"/>
              <w:spacing w:line="440" w:lineRule="exact"/>
              <w:ind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bidi="ar"/>
              </w:rPr>
              <w:t>机柜</w:t>
            </w:r>
          </w:p>
        </w:tc>
        <w:tc>
          <w:tcPr>
            <w:tcW w:w="630" w:type="dxa"/>
            <w:gridSpan w:val="2"/>
            <w:noWrap w:val="0"/>
            <w:vAlign w:val="center"/>
          </w:tcPr>
          <w:p>
            <w:pPr>
              <w:pStyle w:val="3"/>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bidi="ar"/>
              </w:rPr>
              <w:t>台</w:t>
            </w:r>
          </w:p>
        </w:tc>
        <w:tc>
          <w:tcPr>
            <w:tcW w:w="645" w:type="dxa"/>
            <w:noWrap w:val="0"/>
            <w:vAlign w:val="center"/>
          </w:tcPr>
          <w:p>
            <w:pPr>
              <w:pStyle w:val="3"/>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w:t>
            </w:r>
          </w:p>
        </w:tc>
        <w:tc>
          <w:tcPr>
            <w:tcW w:w="7265" w:type="dxa"/>
            <w:noWrap w:val="0"/>
            <w:vAlign w:val="center"/>
          </w:tcPr>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hAnsi="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bidi="ar"/>
              </w:rPr>
              <w:t>14u 落地机柜</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宽600*深600*高800mm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符合ANSI/EIA RS-310-D、IEC297-2.DIN41494；PART1.DIN41494;PART7.GB/T3047.2-92；兼容ETSI标准。</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hAnsi="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bidi="ar"/>
              </w:rPr>
              <w:t>单开玻璃前门</w:t>
            </w:r>
            <w:r>
              <w:rPr>
                <w:rFonts w:hint="eastAsia" w:hAnsi="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单开网孔后门；前门配高级典雅锁；防护等级:IP20</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3.主要材料:方孔条与安装梁：耐指纹敷铝锌板,镀铝锌板材质方孔条与安装梁,设备安装时自动等电位,无锐边方孔条,在安装维护中不割伤手；</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其余：SPCC优质冷轧板；</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表面处理:方孔条、安装横梁：镀铝锌板 ；其余：脱脂、硅烷化处理 、静电喷塑。</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机柜安装：方孔条可调节深度，前后共4根。</w:t>
            </w:r>
          </w:p>
          <w:p>
            <w:pPr>
              <w:pStyle w:val="3"/>
              <w:spacing w:line="440" w:lineRule="exact"/>
              <w:ind w:firstLine="0" w:firstLineChars="0"/>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bidi="ar"/>
              </w:rPr>
              <w:t>配件：每柜一块固定层板，每柜配一个散热风扇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w:t>
            </w:r>
          </w:p>
        </w:tc>
        <w:tc>
          <w:tcPr>
            <w:tcW w:w="888" w:type="dxa"/>
            <w:noWrap w:val="0"/>
            <w:vAlign w:val="top"/>
          </w:tcPr>
          <w:p>
            <w:pPr>
              <w:pStyle w:val="3"/>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综合布线</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项</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漏电开关、水晶头、电源插座、电源线、网线、PVC线槽、抗踩踏线槽、钉子、胶布及施工等。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三、学生上下架床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单位</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7265" w:type="dxa"/>
            <w:noWrap w:val="0"/>
            <w:vAlign w:val="top"/>
          </w:tcPr>
          <w:p>
            <w:pPr>
              <w:pStyle w:val="3"/>
              <w:ind w:firstLine="308" w:firstLineChars="147"/>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888" w:type="dxa"/>
            <w:noWrap w:val="0"/>
            <w:vAlign w:val="top"/>
          </w:tcPr>
          <w:p>
            <w:pPr>
              <w:pStyle w:val="20"/>
              <w:ind w:left="0" w:leftChars="0" w:firstLine="0" w:firstLineChars="0"/>
              <w:rPr>
                <w:rFonts w:hint="default" w:eastAsia="宋体"/>
                <w:color w:val="auto"/>
                <w:highlight w:val="none"/>
                <w:lang w:val="en-US" w:eastAsia="zh-CN"/>
              </w:rPr>
            </w:pPr>
            <w:r>
              <w:rPr>
                <w:rFonts w:hint="eastAsia"/>
                <w:color w:val="auto"/>
                <w:highlight w:val="none"/>
                <w:lang w:val="en-US" w:eastAsia="zh-CN"/>
              </w:rPr>
              <w:t>上下架床</w:t>
            </w:r>
          </w:p>
          <w:p>
            <w:pPr>
              <w:pStyle w:val="3"/>
              <w:ind w:left="0" w:leftChars="0" w:firstLine="0" w:firstLineChars="0"/>
              <w:jc w:val="both"/>
              <w:rPr>
                <w:rFonts w:hint="eastAsia" w:ascii="宋体" w:hAnsi="宋体" w:eastAsia="宋体" w:cs="宋体"/>
                <w:b w:val="0"/>
                <w:bCs w:val="0"/>
                <w:color w:val="auto"/>
                <w:kern w:val="0"/>
                <w:sz w:val="21"/>
                <w:szCs w:val="21"/>
                <w:highlight w:val="none"/>
                <w:lang w:bidi="ar"/>
              </w:rPr>
            </w:pP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400</w:t>
            </w:r>
          </w:p>
        </w:tc>
        <w:tc>
          <w:tcPr>
            <w:tcW w:w="7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的型号尺寸</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的型号规格及结构应符合国家标准GB/T3328-2016《家具床类主要尺寸》的规定要求。</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尺寸分为中学、小学用两种。</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（一）中学</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的尺寸：</w:t>
            </w:r>
          </w:p>
          <w:p>
            <w:pPr>
              <w:pStyle w:val="3"/>
              <w:spacing w:line="440" w:lineRule="exact"/>
              <w:ind w:firstLine="0" w:firstLineChars="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2000 mm×900 mm×1800mm（长×宽×高），上下床铺面间的层间净高为1000mm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（二）小学</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的尺寸：</w:t>
            </w:r>
          </w:p>
          <w:p>
            <w:pPr>
              <w:pStyle w:val="3"/>
              <w:spacing w:line="440" w:lineRule="exact"/>
              <w:ind w:firstLine="0" w:firstLineChars="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1850 mm×800 mm×1700mm（长×宽×高），上下床铺面间的层间净高为900mm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的材料要求</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（一）金属件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1.主体材料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bidi="ar"/>
              </w:rPr>
              <w:t>边主柱：方管约40mm×40mm，厚度不小于1.5mm。</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主柱横担：矩形管约30mm×20mm，厚度不小于1.2mm。</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床梃（床母）：矩形管约50mm×25mm，厚度不小于1.5mm。</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strike w:val="0"/>
                <w:dstrike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床梃（床母）横担：矩形管约30mm×20mm，厚度不小于1.2mm，上床铺床梃（床母）横担不少于4根，下床铺床梃（床母）横担不少于4根。</w:t>
            </w:r>
          </w:p>
          <w:p>
            <w:pPr>
              <w:pStyle w:val="3"/>
              <w:spacing w:line="440" w:lineRule="exact"/>
              <w:ind w:firstLine="0" w:firstLineChars="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上床铺面安全栏板及床两端护栏：</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的安全栏板规格：1100mm×300mm（长×高）</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，安全栏竖管不少于5根，钢管直径19mm，管壁厚：1.0mm。安全栏板与主柱距离（缺口长度）为500mm。</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主柱卡口规格：≤26mm×26mm</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床梃（床母）卡梢部位钢材厚度不小于1.5mm，卡梢总宽度不小于20mm，卡梢进深不少于15mm，床梃（床母）扣件规格不小于200mm×50mm</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床梯子：方管约25mm×25mm，厚度不小于1.2mm，床梯宽度约为300mm，脚踏数量不少于4根。</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上床铺蚊帐架采用不小于Φ16×δ1.0的圆管制成，床铺蚊帐圈孔径Φ30mm。</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2.材料质量</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的金属件的技术要求和试验方法符合国家标准GB/T 3325-2017《金属家具通用技术条件》的规定。</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所用钢材不低于高频焊接冷轧钢板，质量</w:t>
            </w:r>
            <w:r>
              <w:rPr>
                <w:rFonts w:hint="eastAsia" w:ascii="宋体" w:hAnsi="宋体" w:cs="宋体"/>
                <w:b w:val="0"/>
                <w:bCs w:val="0"/>
                <w:i w:val="0"/>
                <w:iCs w:val="0"/>
                <w:color w:val="auto"/>
                <w:kern w:val="0"/>
                <w:sz w:val="21"/>
                <w:szCs w:val="21"/>
                <w:highlight w:val="none"/>
                <w:u w:val="none"/>
                <w:lang w:val="en-US" w:eastAsia="zh-CN" w:bidi="ar"/>
              </w:rPr>
              <w:t>需</w:t>
            </w:r>
            <w:r>
              <w:rPr>
                <w:rFonts w:hint="eastAsia" w:ascii="宋体" w:hAnsi="宋体" w:eastAsia="宋体" w:cs="宋体"/>
                <w:b w:val="0"/>
                <w:bCs w:val="0"/>
                <w:i w:val="0"/>
                <w:iCs w:val="0"/>
                <w:color w:val="auto"/>
                <w:kern w:val="0"/>
                <w:sz w:val="21"/>
                <w:szCs w:val="21"/>
                <w:highlight w:val="none"/>
                <w:u w:val="none"/>
                <w:lang w:val="en-US" w:eastAsia="zh-CN" w:bidi="ar"/>
              </w:rPr>
              <w:t>符合国家标准GB/T700-2006《碳素结构钢》要求，钢材表面粗糙度Ra的最大值为1.6μm，金属件材质不允许使用出现孔洞、缺口、开裂、尖角、裂缝、叠缝、腐蚀、离层、结疤、氧化皮等影响产品结构强度、外观和安全的材料。</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结构</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床架钢件部分分为6个组件，具体为：1.床左拼，2.床右拼，3.上床架（含安全栏），4.下床架，5.蚊帐架1副，6.床梯子1套。</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（二）木制件</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color w:val="auto"/>
                <w:kern w:val="0"/>
                <w:szCs w:val="21"/>
                <w:highlight w:val="none"/>
                <w:lang w:bidi="ar"/>
              </w:rPr>
              <w:t>★</w:t>
            </w:r>
            <w:r>
              <w:rPr>
                <w:rFonts w:hint="eastAsia" w:ascii="宋体" w:hAnsi="宋体" w:eastAsia="宋体" w:cs="宋体"/>
                <w:b w:val="0"/>
                <w:bCs w:val="0"/>
                <w:i w:val="0"/>
                <w:iCs w:val="0"/>
                <w:color w:val="auto"/>
                <w:kern w:val="0"/>
                <w:sz w:val="21"/>
                <w:szCs w:val="21"/>
                <w:highlight w:val="none"/>
                <w:u w:val="none"/>
                <w:lang w:val="en-US" w:eastAsia="zh-CN" w:bidi="ar"/>
              </w:rPr>
              <w:t>1.床板：（中学）1915 mm×840 mm（长×宽）</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；采用厚度不小于17mm的双面光杉木板；每块床板的拼装板料数量最多不得超过8块；固定横条不少于3条，规格为</w:t>
            </w:r>
            <w:r>
              <w:rPr>
                <w:rFonts w:hint="eastAsia" w:ascii="宋体" w:hAnsi="宋体" w:cs="宋体"/>
                <w:b w:val="0"/>
                <w:bCs w:val="0"/>
                <w:i w:val="0"/>
                <w:iCs w:val="0"/>
                <w:color w:val="auto"/>
                <w:kern w:val="0"/>
                <w:sz w:val="21"/>
                <w:szCs w:val="21"/>
                <w:highlight w:val="none"/>
                <w:u w:val="none"/>
                <w:lang w:val="en-US" w:eastAsia="zh-CN" w:bidi="ar"/>
              </w:rPr>
              <w:t>约为</w:t>
            </w:r>
            <w:r>
              <w:rPr>
                <w:rFonts w:hint="eastAsia" w:ascii="宋体" w:hAnsi="宋体" w:eastAsia="宋体" w:cs="宋体"/>
                <w:b w:val="0"/>
                <w:bCs w:val="0"/>
                <w:i w:val="0"/>
                <w:iCs w:val="0"/>
                <w:color w:val="auto"/>
                <w:kern w:val="0"/>
                <w:sz w:val="21"/>
                <w:szCs w:val="21"/>
                <w:highlight w:val="none"/>
                <w:u w:val="none"/>
                <w:lang w:val="en-US" w:eastAsia="zh-CN" w:bidi="ar"/>
              </w:rPr>
              <w:t>30mm×20mm的实木方料。</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所用木材</w:t>
            </w:r>
            <w:r>
              <w:rPr>
                <w:rFonts w:hint="eastAsia" w:ascii="宋体" w:hAnsi="宋体" w:cs="宋体"/>
                <w:b w:val="0"/>
                <w:bCs w:val="0"/>
                <w:i w:val="0"/>
                <w:iCs w:val="0"/>
                <w:color w:val="auto"/>
                <w:kern w:val="0"/>
                <w:sz w:val="21"/>
                <w:szCs w:val="21"/>
                <w:highlight w:val="none"/>
                <w:u w:val="none"/>
                <w:lang w:val="en-US" w:eastAsia="zh-CN" w:bidi="ar"/>
              </w:rPr>
              <w:t>需</w:t>
            </w:r>
            <w:r>
              <w:rPr>
                <w:rFonts w:hint="eastAsia" w:ascii="宋体" w:hAnsi="宋体" w:eastAsia="宋体" w:cs="宋体"/>
                <w:b w:val="0"/>
                <w:bCs w:val="0"/>
                <w:i w:val="0"/>
                <w:iCs w:val="0"/>
                <w:color w:val="auto"/>
                <w:kern w:val="0"/>
                <w:sz w:val="21"/>
                <w:szCs w:val="21"/>
                <w:highlight w:val="none"/>
                <w:u w:val="none"/>
                <w:lang w:val="en-US" w:eastAsia="zh-CN" w:bidi="ar"/>
              </w:rPr>
              <w:t>进行防虫、除脂、干燥处理，不允许使用有边角缺陷、虫蛀、腐朽、霉变、开裂、变形等影响产品结构强度和外观的材料，材质符合国家标准要求。每张</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配2块床板。</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3.含水率：</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加工所用木板含水率应不高于16%。</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板出厂时木材含水率不高于16%。</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（三）其它材料</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1.脚套。</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床脚和床主柱顶端的脚套为内嵌式黑色脚套，采用超高分子量PE材料制作，壁厚不小于2mm,底厚不小于5mm，进深不小于30mm，加强筋不少于5圈, 加强筋厚度不小于1.2mm，底面规格不小于42mm×42mm,脚套与床脚（或主柱顶端）应结合紧密，牢靠，不脱落。建议：加强筋内径不小于36mm×36mm，加强筋外径不小于39mm×39mm。</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的加工要求</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（一）金属件加工要求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1.金属件外观、加工要求按照QB/T 2741-2013《学生公寓多功能家具》中5.3的规定执行。</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2.管材应无裂缝、叠缝，外露管口端面应封闭。</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焊接件焊接时采用二氧化碳保护焊接。焊接件之间的连接部分均应全部圈焊接（结构不需要时除外），不允许脱焊、虚焊、焊穿、错位现象；焊接处应无夹渣、气孔、焊瘤、焊丝头、咬边、飞溅；焊疤表面波纹应均匀、高低之差应不大于1mm。焊接后</w:t>
            </w:r>
            <w:r>
              <w:rPr>
                <w:rFonts w:hint="eastAsia" w:ascii="宋体" w:hAnsi="宋体" w:cs="宋体"/>
                <w:b w:val="0"/>
                <w:bCs w:val="0"/>
                <w:i w:val="0"/>
                <w:iCs w:val="0"/>
                <w:color w:val="auto"/>
                <w:kern w:val="0"/>
                <w:sz w:val="21"/>
                <w:szCs w:val="21"/>
                <w:highlight w:val="none"/>
                <w:u w:val="none"/>
                <w:lang w:val="en-US" w:eastAsia="zh-CN" w:bidi="ar"/>
              </w:rPr>
              <w:t>需</w:t>
            </w:r>
            <w:r>
              <w:rPr>
                <w:rFonts w:hint="eastAsia" w:ascii="宋体" w:hAnsi="宋体" w:eastAsia="宋体" w:cs="宋体"/>
                <w:b w:val="0"/>
                <w:bCs w:val="0"/>
                <w:i w:val="0"/>
                <w:iCs w:val="0"/>
                <w:color w:val="auto"/>
                <w:kern w:val="0"/>
                <w:sz w:val="21"/>
                <w:szCs w:val="21"/>
                <w:highlight w:val="none"/>
                <w:u w:val="none"/>
                <w:lang w:val="en-US" w:eastAsia="zh-CN" w:bidi="ar"/>
              </w:rPr>
              <w:t>经打磨处理。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4.冲压件应无脱层、裂缝。</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（二）木制件加工要求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木制件外观、加工要求等按照QB/T 2741-2013《学生公寓多功能家具》中5.3的规定执行。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（三）金属件的连接</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1.床梃（床母）与主柱连接方式为卡梢式，连接件需防锈处理。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2.其他金属零、部件的连接方式采用焊接连接，不允许采用铆钉连接（铆接）和螺钉连接。（除铭牌、床梯子与床梃（床母）、主柱与床梃（床母）连接外）。</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3.床梯子与床梃（床母）的联接采用与上下床梃（床母）垂直插入定位方。</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4.床两端护栏及安全栏板与床梃（床母）连接圈焊，安全栏板两侧插孔焊接。</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预设2个固定装置以便与墙体进行固定，固定装置设置在安全栏对面床梃（床母）适当位置，放置内径10mm的钢制中空内芯。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6.下床铺在合适位置设置固定蚊帐装置。</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加工尺寸要求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的外形尺寸，形状和位置公差分别按照QB/T 2741-2013《学生公寓多功能家具》中的5.1和5.2的规定执行。</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（五）</w:t>
            </w: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的力学性能要求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上下架床</w:t>
            </w:r>
            <w:r>
              <w:rPr>
                <w:rFonts w:hint="eastAsia" w:ascii="宋体" w:hAnsi="宋体" w:eastAsia="宋体" w:cs="宋体"/>
                <w:b w:val="0"/>
                <w:bCs w:val="0"/>
                <w:i w:val="0"/>
                <w:iCs w:val="0"/>
                <w:color w:val="auto"/>
                <w:kern w:val="0"/>
                <w:sz w:val="21"/>
                <w:szCs w:val="21"/>
                <w:highlight w:val="none"/>
                <w:u w:val="none"/>
                <w:lang w:val="en-US" w:eastAsia="zh-CN" w:bidi="ar"/>
              </w:rPr>
              <w:t>的力学性能要求按照QB/T 2741-2013《学生公寓多功能家具》中5.5的规定执行。</w:t>
            </w:r>
          </w:p>
          <w:p>
            <w:pPr>
              <w:keepNext w:val="0"/>
              <w:keepLines w:val="0"/>
              <w:pageBreakBefore w:val="0"/>
              <w:widowControl/>
              <w:kinsoku/>
              <w:wordWrap/>
              <w:overflowPunct/>
              <w:topLinePunct w:val="0"/>
              <w:bidi w:val="0"/>
              <w:snapToGrid/>
              <w:spacing w:line="440" w:lineRule="exac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kern w:val="0"/>
                <w:szCs w:val="21"/>
                <w:highlight w:val="none"/>
                <w:lang w:bidi="ar"/>
              </w:rPr>
              <w:t>★</w:t>
            </w:r>
            <w:r>
              <w:rPr>
                <w:rFonts w:hint="eastAsia" w:ascii="宋体" w:hAnsi="宋体" w:cs="宋体"/>
                <w:color w:val="auto"/>
                <w:kern w:val="0"/>
                <w:szCs w:val="21"/>
                <w:highlight w:val="none"/>
                <w:lang w:val="en-US" w:eastAsia="zh-CN" w:bidi="ar"/>
              </w:rPr>
              <w:t>四</w:t>
            </w:r>
            <w:r>
              <w:rPr>
                <w:rFonts w:hint="eastAsia" w:ascii="宋体" w:hAnsi="宋体" w:eastAsia="宋体" w:cs="宋体"/>
                <w:color w:val="auto"/>
                <w:kern w:val="0"/>
                <w:szCs w:val="21"/>
                <w:highlight w:val="none"/>
                <w:lang w:bidi="ar"/>
              </w:rPr>
              <w:t>、竞标时必须提供上下架床</w:t>
            </w:r>
            <w:r>
              <w:rPr>
                <w:rFonts w:hint="eastAsia" w:ascii="宋体" w:hAnsi="宋体" w:cs="宋体"/>
                <w:color w:val="auto"/>
                <w:kern w:val="0"/>
                <w:szCs w:val="21"/>
                <w:highlight w:val="none"/>
                <w:lang w:val="en-US" w:eastAsia="zh-CN" w:bidi="ar"/>
              </w:rPr>
              <w:t>中金属喷漆工艺要求</w:t>
            </w:r>
            <w:r>
              <w:rPr>
                <w:rFonts w:hint="eastAsia" w:ascii="宋体" w:hAnsi="宋体" w:eastAsia="宋体" w:cs="宋体"/>
                <w:color w:val="auto"/>
                <w:kern w:val="0"/>
                <w:szCs w:val="21"/>
                <w:highlight w:val="none"/>
                <w:lang w:bidi="ar"/>
              </w:rPr>
              <w:t>的证明材料(包括但不限于厂家证明或产品彩页或国家认可的第三方检测报告)</w:t>
            </w:r>
            <w:r>
              <w:rPr>
                <w:rFonts w:hint="eastAsia" w:ascii="宋体" w:hAnsi="宋体" w:cs="宋体"/>
                <w:color w:val="auto"/>
                <w:kern w:val="0"/>
                <w:szCs w:val="21"/>
                <w:highlight w:val="none"/>
                <w:lang w:eastAsia="zh-CN" w:bidi="ar"/>
              </w:rPr>
              <w:t>并加盖供应商公章</w:t>
            </w:r>
            <w:r>
              <w:rPr>
                <w:rFonts w:hint="eastAsia" w:ascii="宋体" w:hAnsi="宋体" w:eastAsia="宋体" w:cs="宋体"/>
                <w:color w:val="auto"/>
                <w:kern w:val="0"/>
                <w:szCs w:val="21"/>
                <w:highlight w:val="none"/>
                <w:lang w:bidi="ar"/>
              </w:rPr>
              <w:t>。包含以下内容：金属喷漆(塑)涂层(硬度≥H、附着力应不低于2级)、重金属含量(限色漆)(可溶性铅≤90mg/kg</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可溶性铬≤60mg/kg、可溶性汞≤60mg/kg)、甲醛释放量≤1.5mg/L。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w:t>
            </w:r>
            <w:r>
              <w:rPr>
                <w:rFonts w:hint="eastAsia" w:ascii="宋体" w:hAnsi="宋体" w:cs="宋体"/>
                <w:b w:val="0"/>
                <w:bCs w:val="0"/>
                <w:i w:val="0"/>
                <w:iCs w:val="0"/>
                <w:color w:val="auto"/>
                <w:kern w:val="0"/>
                <w:sz w:val="21"/>
                <w:szCs w:val="21"/>
                <w:highlight w:val="none"/>
                <w:u w:val="none"/>
                <w:lang w:val="en-US" w:eastAsia="zh-CN" w:bidi="ar"/>
              </w:rPr>
              <w:t>课桌椅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单人 双柱课桌</w:t>
            </w:r>
          </w:p>
        </w:tc>
        <w:tc>
          <w:tcPr>
            <w:tcW w:w="630" w:type="dxa"/>
            <w:gridSpan w:val="2"/>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r>
              <w:rPr>
                <w:rFonts w:hint="eastAsia" w:ascii="宋体" w:hAnsi="宋体" w:cs="宋体"/>
                <w:b w:val="0"/>
                <w:bCs w:val="0"/>
                <w:color w:val="auto"/>
                <w:kern w:val="0"/>
                <w:sz w:val="21"/>
                <w:szCs w:val="21"/>
                <w:highlight w:val="none"/>
                <w:lang w:val="en-US" w:eastAsia="zh-CN" w:bidi="ar"/>
              </w:rPr>
              <w:t>00</w:t>
            </w:r>
          </w:p>
        </w:tc>
        <w:tc>
          <w:tcPr>
            <w:tcW w:w="7265" w:type="dxa"/>
            <w:noWrap w:val="0"/>
            <w:vAlign w:val="center"/>
          </w:tcPr>
          <w:p>
            <w:pPr>
              <w:pStyle w:val="3"/>
              <w:spacing w:line="440" w:lineRule="exac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尺寸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长</w:t>
            </w:r>
            <w:r>
              <w:rPr>
                <w:rFonts w:hint="eastAsia" w:ascii="宋体" w:hAnsi="宋体" w:eastAsia="宋体" w:cs="宋体"/>
                <w:b w:val="0"/>
                <w:bCs w:val="0"/>
                <w:color w:val="auto"/>
                <w:sz w:val="21"/>
                <w:szCs w:val="21"/>
                <w:highlight w:val="none"/>
                <w:lang w:val="en-US" w:eastAsia="zh-CN"/>
              </w:rPr>
              <w:t>650</w:t>
            </w:r>
            <w:r>
              <w:rPr>
                <w:rFonts w:hint="eastAsia" w:ascii="宋体" w:hAnsi="宋体" w:eastAsia="宋体" w:cs="宋体"/>
                <w:b w:val="0"/>
                <w:bCs w:val="0"/>
                <w:color w:val="auto"/>
                <w:sz w:val="21"/>
                <w:szCs w:val="21"/>
                <w:highlight w:val="none"/>
              </w:rPr>
              <w:t>×宽</w:t>
            </w:r>
            <w:r>
              <w:rPr>
                <w:rFonts w:hint="eastAsia" w:ascii="宋体" w:hAnsi="宋体" w:eastAsia="宋体" w:cs="宋体"/>
                <w:b w:val="0"/>
                <w:bCs w:val="0"/>
                <w:color w:val="auto"/>
                <w:sz w:val="21"/>
                <w:szCs w:val="21"/>
                <w:highlight w:val="none"/>
                <w:lang w:val="en-US" w:eastAsia="zh-CN"/>
              </w:rPr>
              <w:t>450</w:t>
            </w:r>
            <w:r>
              <w:rPr>
                <w:rFonts w:hint="eastAsia" w:ascii="宋体" w:hAnsi="宋体" w:eastAsia="宋体" w:cs="宋体"/>
                <w:b w:val="0"/>
                <w:bCs w:val="0"/>
                <w:color w:val="auto"/>
                <w:sz w:val="21"/>
                <w:szCs w:val="21"/>
                <w:highlight w:val="none"/>
              </w:rPr>
              <w:t>×高760mm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eastAsia="zh-CN"/>
              </w:rPr>
              <w:t>课桌</w:t>
            </w:r>
            <w:r>
              <w:rPr>
                <w:rFonts w:hint="eastAsia" w:ascii="宋体" w:hAnsi="宋体" w:eastAsia="宋体" w:cs="宋体"/>
                <w:b w:val="0"/>
                <w:bCs w:val="0"/>
                <w:color w:val="auto"/>
                <w:sz w:val="21"/>
                <w:szCs w:val="21"/>
                <w:highlight w:val="none"/>
              </w:rPr>
              <w:t>高度可调节</w:t>
            </w:r>
            <w:r>
              <w:rPr>
                <w:rFonts w:hint="eastAsia" w:ascii="宋体" w:hAnsi="宋体" w:eastAsia="宋体" w:cs="宋体"/>
                <w:b w:val="0"/>
                <w:bCs w:val="0"/>
                <w:color w:val="auto"/>
                <w:sz w:val="21"/>
                <w:szCs w:val="21"/>
                <w:highlight w:val="none"/>
                <w:lang w:eastAsia="zh-CN"/>
              </w:rPr>
              <w:t>通过螺丝调节升降</w:t>
            </w:r>
            <w:r>
              <w:rPr>
                <w:rFonts w:hint="eastAsia" w:ascii="宋体" w:hAnsi="宋体" w:cs="宋体"/>
                <w:b w:val="0"/>
                <w:bCs w:val="0"/>
                <w:color w:val="auto"/>
                <w:sz w:val="21"/>
                <w:szCs w:val="21"/>
                <w:highlight w:val="none"/>
                <w:lang w:eastAsia="zh-CN"/>
              </w:rPr>
              <w:t>）</w:t>
            </w:r>
          </w:p>
          <w:p>
            <w:pPr>
              <w:pStyle w:val="3"/>
              <w:spacing w:line="440" w:lineRule="exact"/>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桌面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桌面规格：</w:t>
            </w:r>
            <w:r>
              <w:rPr>
                <w:rFonts w:hint="eastAsia" w:ascii="宋体" w:hAnsi="宋体" w:eastAsia="宋体" w:cs="宋体"/>
                <w:b w:val="0"/>
                <w:bCs w:val="0"/>
                <w:color w:val="auto"/>
                <w:sz w:val="21"/>
                <w:szCs w:val="21"/>
                <w:highlight w:val="none"/>
                <w:lang w:val="en-US" w:eastAsia="zh-CN"/>
              </w:rPr>
              <w:t>650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450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橡木指接板</w:t>
            </w:r>
            <w:r>
              <w:rPr>
                <w:rFonts w:hint="eastAsia" w:ascii="宋体" w:hAnsi="宋体" w:eastAsia="宋体" w:cs="宋体"/>
                <w:b w:val="0"/>
                <w:bCs w:val="0"/>
                <w:color w:val="auto"/>
                <w:sz w:val="21"/>
                <w:szCs w:val="21"/>
                <w:highlight w:val="none"/>
              </w:rPr>
              <w:t>桌面厚度≥</w:t>
            </w: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注塑包边工艺</w:t>
            </w:r>
            <w:r>
              <w:rPr>
                <w:rFonts w:hint="eastAsia" w:ascii="宋体" w:hAnsi="宋体" w:eastAsia="宋体" w:cs="宋体"/>
                <w:b w:val="0"/>
                <w:bCs w:val="0"/>
                <w:color w:val="auto"/>
                <w:sz w:val="21"/>
                <w:szCs w:val="21"/>
                <w:highlight w:val="none"/>
              </w:rPr>
              <w:t>。外观：人性化设计，美观大方，边缘平整圆滑，美观坚固。</w:t>
            </w:r>
            <w:r>
              <w:rPr>
                <w:rFonts w:hint="eastAsia" w:ascii="宋体" w:hAnsi="宋体" w:eastAsia="宋体" w:cs="宋体"/>
                <w:b w:val="0"/>
                <w:bCs w:val="0"/>
                <w:color w:val="auto"/>
                <w:sz w:val="21"/>
                <w:szCs w:val="21"/>
                <w:highlight w:val="none"/>
                <w:lang w:val="en-US" w:eastAsia="zh-CN"/>
              </w:rPr>
              <w:t>桌面采用无笔槽设计。</w:t>
            </w:r>
          </w:p>
          <w:p>
            <w:pPr>
              <w:pStyle w:val="3"/>
              <w:spacing w:line="440" w:lineRule="exact"/>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桌斗</w:t>
            </w:r>
            <w:r>
              <w:rPr>
                <w:rFonts w:hint="eastAsia" w:ascii="宋体" w:hAnsi="宋体" w:eastAsia="宋体" w:cs="宋体"/>
                <w:b w:val="0"/>
                <w:bCs w:val="0"/>
                <w:color w:val="auto"/>
                <w:sz w:val="21"/>
                <w:szCs w:val="21"/>
                <w:highlight w:val="none"/>
                <w:lang w:eastAsia="zh-CN"/>
              </w:rPr>
              <w:t>：采用</w:t>
            </w:r>
            <w:r>
              <w:rPr>
                <w:rFonts w:hint="eastAsia" w:ascii="宋体" w:hAnsi="宋体" w:eastAsia="宋体" w:cs="宋体"/>
                <w:b w:val="0"/>
                <w:bCs w:val="0"/>
                <w:color w:val="auto"/>
                <w:sz w:val="21"/>
                <w:szCs w:val="21"/>
                <w:highlight w:val="none"/>
                <w:lang w:val="en-US" w:eastAsia="zh-CN"/>
              </w:rPr>
              <w:t>组合抽屉：尺寸500*330*170mm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val="en-US" w:eastAsia="zh-CN"/>
              </w:rPr>
              <w:t>厚度0.8mm</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桌腿/桌脚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桌腿与桌脚为直角支撑，桌腿和桌脚采用椭圆钢管钢管2</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mm使桌斗和桌面稳定性更强。桌斗支撑管和桌腿升降杆焊为一体，桌脚两端配置高强度增强尼龙塑料外套。桌腿和桌脚成直角焊接，牢固可靠。桌斗下方两侧桌腿与桌脚设有横档</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升降性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螺丝调节升降</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工艺要求</w:t>
            </w: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sz w:val="21"/>
                <w:szCs w:val="21"/>
                <w:highlight w:val="none"/>
              </w:rPr>
              <w:t>焊接、涂装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所有铁件做到焊接平整、满焊、无虚焊、无明显焊疤、焊接处需打磨光滑。</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外露金属件表面喷塑前进行抛丸打砂工艺处理，再高压静电喷塑，</w:t>
            </w:r>
            <w:r>
              <w:rPr>
                <w:rFonts w:hint="eastAsia" w:ascii="宋体" w:hAnsi="宋体" w:eastAsia="宋体" w:cs="宋体"/>
                <w:b w:val="0"/>
                <w:bCs w:val="0"/>
                <w:color w:val="auto"/>
                <w:kern w:val="0"/>
                <w:sz w:val="21"/>
                <w:szCs w:val="21"/>
                <w:highlight w:val="none"/>
              </w:rPr>
              <w:t>高温烘烤</w:t>
            </w:r>
            <w:r>
              <w:rPr>
                <w:rFonts w:hint="eastAsia" w:ascii="宋体" w:hAnsi="宋体" w:eastAsia="宋体" w:cs="宋体"/>
                <w:b w:val="0"/>
                <w:bCs w:val="0"/>
                <w:color w:val="auto"/>
                <w:sz w:val="21"/>
                <w:szCs w:val="21"/>
                <w:highlight w:val="none"/>
              </w:rPr>
              <w:t>，涂层与金属表面的附着力强，不易腐蚀和脱落，涂装件不得有明显的气泡、流痕、漏底、皱皮和其它损伤。</w:t>
            </w:r>
            <w:r>
              <w:rPr>
                <w:rFonts w:hint="eastAsia" w:ascii="宋体" w:hAnsi="宋体" w:eastAsia="宋体" w:cs="宋体"/>
                <w:b w:val="0"/>
                <w:bCs w:val="0"/>
                <w:color w:val="auto"/>
                <w:sz w:val="21"/>
                <w:szCs w:val="21"/>
                <w:highlight w:val="none"/>
                <w:lang w:val="zh-CN"/>
              </w:rPr>
              <w:t>对漆膜的附着力、硬度、耐冲击力等均符合国家标准GB1720.GB1730.GB1732等硬度≥0.4，冲击强度﹥4N／M。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888"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椅</w:t>
            </w:r>
            <w:r>
              <w:rPr>
                <w:rFonts w:hint="eastAsia" w:ascii="宋体" w:hAnsi="宋体" w:cs="宋体"/>
                <w:b w:val="0"/>
                <w:bCs w:val="0"/>
                <w:i w:val="0"/>
                <w:iCs w:val="0"/>
                <w:color w:val="auto"/>
                <w:kern w:val="0"/>
                <w:sz w:val="21"/>
                <w:szCs w:val="21"/>
                <w:highlight w:val="none"/>
                <w:u w:val="none"/>
                <w:lang w:val="en-US" w:eastAsia="zh-CN" w:bidi="ar"/>
              </w:rPr>
              <w:t>子</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r>
              <w:rPr>
                <w:rFonts w:hint="eastAsia" w:ascii="宋体" w:hAnsi="宋体" w:cs="宋体"/>
                <w:b w:val="0"/>
                <w:bCs w:val="0"/>
                <w:color w:val="auto"/>
                <w:kern w:val="0"/>
                <w:sz w:val="21"/>
                <w:szCs w:val="21"/>
                <w:highlight w:val="none"/>
                <w:lang w:val="en-US" w:eastAsia="zh-CN" w:bidi="ar"/>
              </w:rPr>
              <w:t>00</w:t>
            </w:r>
          </w:p>
        </w:tc>
        <w:tc>
          <w:tcPr>
            <w:tcW w:w="7265" w:type="dxa"/>
            <w:noWrap w:val="0"/>
            <w:vAlign w:val="center"/>
          </w:tcPr>
          <w:p>
            <w:pPr>
              <w:pStyle w:val="3"/>
              <w:spacing w:line="440" w:lineRule="exac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color w:val="auto"/>
                <w:sz w:val="21"/>
                <w:szCs w:val="21"/>
                <w:highlight w:val="none"/>
              </w:rPr>
              <w:t>尺寸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长宽高380*360*760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rPr>
              <w:t>，(注:凳面高度可调节</w:t>
            </w:r>
            <w:r>
              <w:rPr>
                <w:rFonts w:hint="eastAsia" w:ascii="宋体" w:hAnsi="宋体" w:eastAsia="宋体" w:cs="宋体"/>
                <w:b w:val="0"/>
                <w:bCs w:val="0"/>
                <w:color w:val="auto"/>
                <w:sz w:val="21"/>
                <w:szCs w:val="21"/>
                <w:highlight w:val="none"/>
                <w:lang w:eastAsia="zh-CN"/>
              </w:rPr>
              <w:t>通过螺丝调节升降）</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r>
              <w:rPr>
                <w:rFonts w:hint="eastAsia" w:ascii="宋体" w:hAnsi="宋体" w:eastAsia="宋体" w:cs="宋体"/>
                <w:b w:val="0"/>
                <w:bCs w:val="0"/>
                <w:color w:val="auto"/>
                <w:sz w:val="21"/>
                <w:szCs w:val="21"/>
                <w:highlight w:val="none"/>
                <w:lang w:eastAsia="zh-CN"/>
              </w:rPr>
              <w:t>座板：</w:t>
            </w:r>
            <w:r>
              <w:rPr>
                <w:rFonts w:hint="eastAsia" w:ascii="宋体" w:hAnsi="宋体" w:eastAsia="宋体" w:cs="宋体"/>
                <w:b w:val="0"/>
                <w:bCs w:val="0"/>
                <w:color w:val="auto"/>
                <w:sz w:val="21"/>
                <w:szCs w:val="21"/>
                <w:highlight w:val="none"/>
                <w:lang w:val="en-US" w:eastAsia="zh-CN"/>
              </w:rPr>
              <w:t>采用橡木指接板</w:t>
            </w:r>
            <w:r>
              <w:rPr>
                <w:rFonts w:hint="eastAsia" w:ascii="宋体" w:hAnsi="宋体" w:eastAsia="宋体" w:cs="宋体"/>
                <w:b w:val="0"/>
                <w:bCs w:val="0"/>
                <w:color w:val="auto"/>
                <w:sz w:val="21"/>
                <w:szCs w:val="21"/>
                <w:highlight w:val="none"/>
              </w:rPr>
              <w:t>桌面厚度≥</w:t>
            </w:r>
            <w:r>
              <w:rPr>
                <w:rFonts w:hint="eastAsia" w:ascii="宋体" w:hAnsi="宋体" w:eastAsia="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椅面尺寸380*360mm，靠背380*170mm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其抗外力冲击强度更强，具有良好的抗吸湿性、抗酸碱腐蚀性、抗氧化性。外观：人性化设计，美观大方，边缘平整圆滑，美观坚固。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椅腿/椅脚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椅腿和椅脚采用椭圆钢管并</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mm×1.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mm,椅脚两端配置高强度增强尼龙塑料外套。椅腿与椅脚成直角焊接，牢固可靠。两椅腿间设有横档，横档采用椭圆钢管</w:t>
            </w:r>
            <w:r>
              <w:rPr>
                <w:rFonts w:hint="eastAsia" w:ascii="宋体" w:hAnsi="宋体" w:eastAsia="宋体" w:cs="宋体"/>
                <w:b w:val="0"/>
                <w:bCs w:val="0"/>
                <w:color w:val="auto"/>
                <w:sz w:val="21"/>
                <w:szCs w:val="21"/>
                <w:highlight w:val="none"/>
                <w:lang w:val="en-US" w:eastAsia="zh-CN"/>
              </w:rPr>
              <w:t>.横梁数量2根。升降铁皮厚度1.0mm</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升降性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螺丝调节</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工艺要求</w:t>
            </w: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sz w:val="21"/>
                <w:szCs w:val="21"/>
                <w:highlight w:val="none"/>
              </w:rPr>
              <w:t>颜色、外观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表面不允许有裂纹、破损、明显修补痕迹，明显色差等缺陷；边缘平整圆滑，无分层；外表和内表以及手指可触及的隐蔽处，均不得有锐利的棱角、毛刺。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top"/>
          </w:tcPr>
          <w:p>
            <w:pPr>
              <w:pStyle w:val="3"/>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五、心理健康专用教室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货物名称</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数量</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单位</w:t>
            </w:r>
          </w:p>
        </w:tc>
        <w:tc>
          <w:tcPr>
            <w:tcW w:w="7265" w:type="dxa"/>
            <w:noWrap w:val="0"/>
            <w:vAlign w:val="top"/>
          </w:tcPr>
          <w:p>
            <w:pPr>
              <w:pStyle w:val="3"/>
              <w:ind w:firstLine="308" w:firstLineChars="147"/>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办公桌椅（2人位）</w:t>
            </w:r>
          </w:p>
        </w:tc>
        <w:tc>
          <w:tcPr>
            <w:tcW w:w="630" w:type="dxa"/>
            <w:gridSpan w:val="2"/>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726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材质：橡木色板材，桌面文理清晰，健康环保木材，符合国家级环保要求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颜色：橡木木纹+白/黑色+白，手工打造，高温烤漆工艺</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规格：180cm*80cm*75cm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活动柜：</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规格：160cm*40cm*60cm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三抽屉、可移动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书柜</w:t>
            </w:r>
          </w:p>
        </w:tc>
        <w:tc>
          <w:tcPr>
            <w:tcW w:w="630" w:type="dxa"/>
            <w:gridSpan w:val="2"/>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pStyle w:val="3"/>
              <w:spacing w:line="440" w:lineRule="exact"/>
              <w:ind w:firstLine="0" w:firstLineChars="0"/>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规格：1850mm×850mm×390mm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pStyle w:val="3"/>
              <w:spacing w:line="44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结构：分为上下两个个部分，上部分为对开玻璃门，内置一块隔板，下部分为铁门，内置一块隔板。</w:t>
            </w:r>
          </w:p>
          <w:p>
            <w:pPr>
              <w:pStyle w:val="3"/>
              <w:spacing w:line="44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板材采用≥0.5mm一级冷轧钢板，各面钢板</w:t>
            </w:r>
            <w:r>
              <w:rPr>
                <w:rFonts w:hint="eastAsia"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 xml:space="preserve">是无拼接，钢板厚误差不超过±0.05mm； </w:t>
            </w:r>
          </w:p>
          <w:p>
            <w:pPr>
              <w:pStyle w:val="3"/>
              <w:spacing w:line="44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金属件涂饰工艺要求：涂饰前零、部件的表面应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w:t>
            </w:r>
          </w:p>
          <w:p>
            <w:pPr>
              <w:pStyle w:val="3"/>
              <w:spacing w:line="440" w:lineRule="exact"/>
              <w:ind w:firstLine="0" w:firstLineChars="0"/>
              <w:rPr>
                <w:rFonts w:hint="eastAsia" w:ascii="宋体" w:hAnsi="宋体" w:eastAsia="宋体" w:cs="宋体"/>
                <w:bCs/>
                <w:color w:val="auto"/>
                <w:kern w:val="2"/>
                <w:sz w:val="21"/>
                <w:szCs w:val="21"/>
                <w:highlight w:val="none"/>
                <w:shd w:val="clear" w:color="auto" w:fill="FFFFFF"/>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表面除锈喷塑工艺要求：表面经过：除油-水洗-酸洗-除锈-清洗-中和-磷化-水洗-烘干处理。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档案柜</w:t>
            </w:r>
          </w:p>
        </w:tc>
        <w:tc>
          <w:tcPr>
            <w:tcW w:w="630" w:type="dxa"/>
            <w:gridSpan w:val="2"/>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pStyle w:val="3"/>
              <w:spacing w:line="440" w:lineRule="exact"/>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规格：1800mm*850mm*390mm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，冷轧钢板，碳钢喷塑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卡通自助仪</w:t>
            </w:r>
          </w:p>
        </w:tc>
        <w:tc>
          <w:tcPr>
            <w:tcW w:w="630" w:type="dxa"/>
            <w:gridSpan w:val="2"/>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一、功能要求</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1.整体系统包含12大模块，功能模块技术参数集成：心理科普、心理悦读、心理影视、心理图库、能力训练、趣味测试、心语心声、心理FM、咨询辅导、放松减压、心理互动、机构介绍等系统模块。</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2.心理科普：心理百科、心理学专业名词解释、心理学效应简介、心理学实验介绍。</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3.心理悦读：包含心理学经典书籍、自我成长、励志美文、情绪调节、心理故事、人际交往等内容。</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4.心理影视包含经典电影赏析、名师课程视频、放松视频、科普视频、其它视频等内容。</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5.心理图库包含测试图片、似动图片、、双关图片、错觉图片、奇异图片、视觉后象，其它图片等。</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6.能力训练：包含记忆游戏、想象力游戏、感知力游戏、反应能力游戏、推理策略类游戏，不少于五类专业心理游戏。</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7.心语心声包含有声读物、山林音乐、有声读物、山林音乐、沉思音乐、放松音乐、灵感音乐、α波音乐、情境音乐、清晰音乐、冥思音乐、其他音乐等音频。</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8.心理课堂包含小学、初中、高中、大学等心理课堂资料。</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9.放松减压包含沉思法、呼吸调整训练、肌肉放松训练、渐进式、放松训练。</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10.心理互动：支持各类型心理互动训练游戏。</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11.心理FM：不少于成长、关系、减压、情绪等系统自带的四大类表。</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12.咨询辅导：包含经典案例、自助方案，咨询预约等。</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13.各模块下支持无限添加二级栏目，文章无限扩充，支持视频，文章、图片、音频等格式的添加。</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14.分前后台账号分级管理，管理账号可根据自己的情况设置，安全可靠;</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15.趣味测试包含性格测试、社交测试、智商测试、健康测试、其他测试，不少于五类趣味测试。</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16.心理测验：支持心理健康、认知诊断、一般人格、生活适应行为、自我调节能力、基本能力倾向测验等测评内容。</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17.机构简介：支持定制版，根据用户提供的资料设置用户单位简介。</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二、配置要求</w:t>
            </w:r>
          </w:p>
          <w:p>
            <w:pPr>
              <w:keepNext w:val="0"/>
              <w:keepLines w:val="0"/>
              <w:widowControl/>
              <w:suppressLineNumbers w:val="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内嵌式一体机一台：显示尺寸≥27英寸，分辨率≥1920(H)×1080（V），触摸类型≥10点触摸，运行内存≥4G，存储内存≥32G。机身外形：卡通人物大白造型，玻璃钢机壳，金属烤漆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接待沙发茶几</w:t>
            </w:r>
          </w:p>
        </w:tc>
        <w:tc>
          <w:tcPr>
            <w:tcW w:w="630" w:type="dxa"/>
            <w:gridSpan w:val="2"/>
            <w:noWrap w:val="0"/>
            <w:vAlign w:val="bottom"/>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bottom"/>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1.实木框架，密度海绵，面料采用高档棉麻，增加了面料的透气性与耐磨性;坐包与靠包可拆洗设计，温馨淡色，3+1组合。</w:t>
            </w:r>
          </w:p>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2.实木茶几，尺寸约长97cm宽50cm高44cm。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百灵音乐放松椅</w:t>
            </w:r>
          </w:p>
        </w:tc>
        <w:tc>
          <w:tcPr>
            <w:tcW w:w="630" w:type="dxa"/>
            <w:gridSpan w:val="2"/>
            <w:noWrap w:val="0"/>
            <w:vAlign w:val="bottom"/>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45" w:type="dxa"/>
            <w:noWrap w:val="0"/>
            <w:vAlign w:val="bottom"/>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一、产品功能</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1.系统不少于自然治疗、潜意识调整、心理影视、呼吸训练等四大自助减压模块。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自然治疗：通过一些自然的音乐来缓解和调节心理和精神的上的压力，比如：流水声、鸟鸣、风声、海浪等等。有一部分音乐在播放的过程中，还会以轮播的方式呈现不同的画面，是使用者有种身临其境的感觉，场景不少于15个。</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3.潜意识调整：主要是通过讲解加音乐来实现放松和缓解心理压力，包含充沛精力、调整心灵、肌肉放松、精神提升、静心养疗、情绪控制身心放松、深度冥想等不少于37种场景。</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4.心理影视：通过视频来缓解心理的压力。</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5.呼吸训练：同视频一块进行肢体动作，来实现压力的释放。</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6.该系统可以自助对系统进行资源的添加，将对应的jpg，mp3，mp4等相关资源文件按照相对应的目录增加，即可在系统中展现新增资源。</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系统采用了视频播放器（支持mp4.avi等高清视频）支持主流的视频格式，音频播放（支持主流的视频格式）。系统优化了图片的缓存和加载框架Glide，快速高效的显示。程序的各项操作都在方便用户的角度设计，体验度较好，且支持pad，用户可使用该系统放松。</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二、配置要求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1.头等舱设计开发的座椅，腿部气囊按摩功能</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2.劲部、背部、腰部、臀部等部份多方位放松模式</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3.靠背与腿部可实现100º至180º任意角度电动调节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4.高保真立体声蓝牙音频模块，同时兼容内存卡、U盘、音频线多种音频输入方式</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5.额定电压：100-240V50/60HZ</w:t>
            </w:r>
          </w:p>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6.额定功率：≤120W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HRV智能音乐放松按摩椅</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一、功能要求</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专业的六大调养方案，搭配反射式脑波牵引灯达到最好的诱发α脑波效果，采用PWM技术，根据人的放松状态，主动引导检测，反馈自适应调节，达到更好放松状态，与舒缓的心理学音乐一起构成您的私人减压专家。</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2.系统包含：呼吸训练、恢复调养、全身放松、睡眠模式、健康检测等10大模块。健康检测时实时展示脉搏波。</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3.健康检测可显示用户心率、稳定指数、抗压能力、自主神径、脉搏波、HRV波形、检测倒计时，检测完成后显示检测结果。</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4.侧边工具栏可以进行开关机、靠背升降、小腿升降、音量大小、体感强弱、热疗、气囊按摩、足疗、暂停等功能按键，显示椅子、传感器、多媒体连接状态。</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5.调养中心包含但不限于肌肉放松、想象放松、精力恢复、消除焦虑、深度减压、崔眠释压、身心合一训练项目，每个项目均可选男声、女声引导语。</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6.自主调养可以自由选择按摩模式进行调养放松。</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7.图表管理可通过用户名检索某用户的图表，也可查看全部。</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8.报告列表检测列表可以显示检测时间、用户名、真实姓名、检测项目、报告有效性内容。</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检测报告包含用户基本信息（用户名、性别、年龄等信息），检测日期、训练时长、平均心率、时域指标、频域指标、直方图、散点图、平衡图、疲劳指数、压力指数、情绪指数、稳定指数、评价与建议等。检测报告可以导出PDF文件</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10.用户管理功能，可自行注册用户信息，可添加用户。</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11.红外热疗：皮垫下内置红外热疗发生装置，人性化设计，温暖舒适利于身心放松，同时可促进血液循环和微循环。</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12.智能操控，系统提供控制手柄与软件系统对放松舱进行控制管理，可以同时使用也可独立使用任意方式管理控制放松舱。让用户在解放双手的状态下享受便捷的操控体验，交互性显著提升。</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13.太空舱结构外形，塑胶及皮革组合；零重力放松训练模式；背部腿部角度调节功能。</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14.采用智能机芯，全身多达18组按摩气囊，配合足底按摩滚轮、腰部红外加热垫，提供温暖、舒适、手法多样、力度精准的按摩放松体验。</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15.智能联动：调养中心每个子项目针对太空舱按摩程序、脑波灯牵引程序均需实现科学封装，在软件系统中一键进入任一调养项目，太空舱随即联动动作，自动展开姿态调整、音乐播放、脑波牵引等工作。</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二、配置要求</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1.尺寸：≥1350mm*750mm*1130mm</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2.音乐单元：肩部内置两个3W全频高保真喇叭</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3.体感单元：50W体感振动单元</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4.电压：220V</w:t>
            </w:r>
          </w:p>
          <w:p>
            <w:pPr>
              <w:keepNext w:val="0"/>
              <w:keepLines w:val="0"/>
              <w:widowControl/>
              <w:suppressLineNumbers w:val="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5.整机功耗：200W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沙盘套装-标准版</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一、功能要求</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1.标准沙盘：实木材质内侧尺寸为720mm×570mm×70mm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，边厚17mm，全实木材质，内侧海蓝色设计，表面光滑不伤手，耐磨不掉色；底部安装防滑处理，在动沙过程中沙箱在桌面不会移动,用于个体和团体治疗的国际标准沙箱，上下分体式安装，便于移动和搬运。</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2.沙具摆放柜：实木材质，尺寸为1600×1200×300mm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，5层9阶设计（充分满足不同类别玩具按不同阶层分类摆放，便于来访者清晰地看到全部沙具），结构稳定大方、天然木纹色、外观考究（表面清漆涂层）。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沙具国际标准分类，分大类和次类别。包括人物、动物、植物、建筑物、食品果实、家具生活用品、交通工具、宇宙天体、自然景观、宗教等18大类及若干次类别。通过次类别的划分面向不同群体的应用需求。通过次类别的划分面向不同群体的应用需求。材质为树脂、陶瓷、ABS工程塑料。玩具或物品接近于现实之物。</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4.海沙：天然海沙。</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5.书籍：专业心理沙盘游戏指导</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6.工具：沙盘、刮沙板等</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二、配置要求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1.标准沙盘*1套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2.沙具摆放柜*2个</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3.沙具*1200个</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4.海沙*</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15KG</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5.心理沙盘书籍疗*1本</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6.沙盘教辅工具*1套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三、资质要求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1.沙盘套装沙盘、沙具、沙具架、沙子等甲醛释放量符合GB18584-2001标准</w:t>
            </w:r>
            <w:r>
              <w:rPr>
                <w:rFonts w:hint="eastAsia" w:ascii="宋体" w:hAnsi="宋体" w:cs="宋体"/>
                <w:i w:val="0"/>
                <w:iCs w:val="0"/>
                <w:color w:val="auto"/>
                <w:kern w:val="0"/>
                <w:sz w:val="21"/>
                <w:szCs w:val="21"/>
                <w:highlight w:val="none"/>
                <w:u w:val="none"/>
                <w:lang w:val="en-US" w:eastAsia="zh-CN" w:bidi="ar"/>
              </w:rPr>
              <w:t>。</w:t>
            </w:r>
          </w:p>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2.草皮、树、水草、十二生肖、动物鸟类、狮身人面、古方碑、金字塔、盘古、夸父、嫦娥奔月、后羿射日、埃及馆、妣思奴等特定元素符合GB6675.4-2014标准</w:t>
            </w:r>
            <w:r>
              <w:rPr>
                <w:rFonts w:hint="eastAsia" w:ascii="宋体" w:hAnsi="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88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咨询沙发茶几</w:t>
            </w:r>
          </w:p>
        </w:tc>
        <w:tc>
          <w:tcPr>
            <w:tcW w:w="630" w:type="dxa"/>
            <w:gridSpan w:val="2"/>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1.心理咨询师对学员进行一对一深度咨询及档案资料储存的场所；</w:t>
            </w:r>
          </w:p>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2.实木框架，密度海绵，面料采用高档棉麻，增加了面料的透气性与耐磨性;坐包与靠包可拆洗设计，温馨淡色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心理挂图</w:t>
            </w:r>
          </w:p>
        </w:tc>
        <w:tc>
          <w:tcPr>
            <w:tcW w:w="630" w:type="dxa"/>
            <w:gridSpan w:val="2"/>
            <w:noWrap w:val="0"/>
            <w:vAlign w:val="bottom"/>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p>
        </w:tc>
        <w:tc>
          <w:tcPr>
            <w:tcW w:w="645" w:type="dxa"/>
            <w:noWrap w:val="0"/>
            <w:vAlign w:val="bottom"/>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副</w:t>
            </w:r>
          </w:p>
        </w:tc>
        <w:tc>
          <w:tcPr>
            <w:tcW w:w="726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1.含心理咨询室功能，渲染氛围，缓解紧张情绪，包含不可能图、两歧图等</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    质：实木边框</w:t>
            </w:r>
          </w:p>
          <w:p>
            <w:pPr>
              <w:pStyle w:val="3"/>
              <w:spacing w:line="440" w:lineRule="exact"/>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3.尺    寸：40cm*50cm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88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击打呐喊宣泄仪</w:t>
            </w:r>
          </w:p>
        </w:tc>
        <w:tc>
          <w:tcPr>
            <w:tcW w:w="630" w:type="dxa"/>
            <w:gridSpan w:val="2"/>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击打、呐喊两类宣泄方式为一体的新一代智能宣泄系统，击打、呐喊模式随心切换。用户可根据当前的心理状态选择适合的主题，系统有声引导用户开始宣泄，过程中宣泄场景将随用户表现而变化，直观反映用户的宣泄力度，结束后可查看宣泄效果报告，还可进行压力测试及放松训练，为用户提供全方位宣体验。</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1.系统包含快速宣泄、专业宣泄、报告显示、智能放松、设置入口等模块五大板块，心理学色彩搭配，能使受训者快速找到定位。</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不少于情感挫折、家庭关系、人际关系、环境适应、工作学习压力、消极情绪、心理挫折、自卑情绪、处事拖延、心理压力等10个主题式宣泄模式；宣泄分为两种模式，可在首页设置里选择击打宣泄或者呐喊宣泄，宣泄结束给出报告，含有基本信息、结果及建议等，报告结果有导出保存功能。</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3.每个宣泄主题包含心花怒放、火焰奔腾、大雨淋漓、大雪纷飞、腾云驾雾、电闪雷鸣、青枝绿叶、落花流水、沤浮泡影、包罗万象十类宣泄场景，通过丰富的场景体验与引导语对情绪问题进行有效宣泄。</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4.智能引导正向激励同时还可以播放音乐指导、视频指导、语音指导和正能量的小故事，系统内置上下两个收音装置，可针对不同身高人群进行心理数据采集。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5.智能放松模块，不少于10个不同类别的心理放松游戏。受训者可以随意选择不同类别的游戏来进行放松训练。为来访者创造一个轻松愉快的放松环境，来释放内心的不良情绪。</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6.内置PSTR压力自测量表，其结果可做为参考了解自我心理压力水平，自测结束后将自动生成测评报告。</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7.智能放松模块的视频放松模块，部分心理音乐配有专业视频引导，含广角风景、山水等。</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8.压力报告模块，后台自动储存来访者压力报告，用户可以自主的查看压力报告结果，并可以导出保存。</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9.屏显智能呐喊系统，人体学设计，上下两个呐喊采集模块，适用于各阶段不同身高人群使用。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二、配置要求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1.一级冷轧钢板，喷塑工艺，尺寸≥990mm×1630mm×450mm。</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2.内嵌触摸终端1台：显示尺寸≥42英寸，分辨率≥1920(H)×1080（V），触摸类型≥10点触摸，处理器≥i5，内存≥8G，固态硬盘≥120G。</w:t>
            </w:r>
          </w:p>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3.击打柱：圆柱式外形，采用PU皮包裹，高回力芯填充，整体高度≥160cm，底座可选择注沙或注水。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智能击打宣泄仪</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1.采用7寸液晶屏由Android语言开发，系统稳定流畅，界面清晰易懂，操作方便易上手。</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2.需要自行注册用户登录账号，也可登录管理员admin账号里的用户管理进行添加用户登录账号。</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触控操作键盘：高清彩色触摸屏，点触反应灵敏并伴有数据显示功能，可实时显示当前宣泄能量进度，并可记录此次训练的最高值。高档美观，操作方便简单。疏导、缓解、克服、调整、释放、消除、战胜、脱离八个不同的宣泄主题。</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项目介绍：可以选择任意一个宣泄主题进行宣泄，会立即播放项目介绍语，程序进行宣泄计时，介绍语结束后可以进行宣泄，按照仪器上的宣泄方式进行合理的呐喊或者击打，当用户宣泄超过系统设置的宣泄阀值，每次超过阀值则会播放宣泄引导语，当十分钟内有效宣泄超过48次则自动结束当前宣泄项目，跳转出宣泄报告，如十分钟后有效宣泄不足48次自动结束当前宣泄项目退回至系统主页。</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主题切换通过控制键盘完成。在即定主题模式指导下进行宣泄，智能引导到一个正确的途径进行宣泄。每个主题都有相关的语音引导（即：主题不同，使用的引导语音不同，其他流程类似），语音会另外提供。多种宣泄主题页可理解为：可以根据心理问题、行业人群的不同，设计制作有针对性的引导沟通语言，逻辑关系和外形面版。</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6.宣泄报告：可以查看用户端自己的宣泄记录信息，时间由近到远进行排序，点击单条宣泄记录跳转到该报告的详细信息。长按单条数据可以进行删除该条报告数据。</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7.高清语音智能引导：全程高清语音引导，引导声男女可随意切换，音量大小自主调节。系统智能分析宣泄者的行为，判断出其情绪宣泄的程度，根据不同宣泄的程度进行智能化的正向语音引导、激励。</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8.智能数值提醒：根据呐喊的音量通过触摸屏上显示本次的最高值，与数码管同时显示实时数值，系统智能显示效果，有积极的心理暗示作用。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9.智能训练结束提醒：当宣泄使用一定时间后语音提醒，防止过度宣泄。</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10.音乐放松：可以通过音乐疗法、潜意识疏导、心理投射等多种心理疏导技巧进行心理健康调节、稳定个体情绪、协调自我生理状态的疏导系统。为用户提供适宜的减压途径，以达到心理放松和身心健康的目的。</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11.仿真宣泄靶：靶心直径不低于35CM，采用高品质PU皮包裹高弹性海绵，四组弹簧与精密轴承系统共同作用吸收击打力度，能承受250公斤的力。</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二、配置要求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1.尺寸：≥1750mm*750mm*500mm</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2.材质：高级白色钢琴烤漆，防锈防磁防静电处理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3.系统：安卓系统</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4.电源：AC220V</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5.功耗：≤60W</w:t>
            </w:r>
          </w:p>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6.音响：双声道防磁立体声音响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卡通宣泄套装</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让使用者通过运动及力量展示的方式宣泄内心压抑的不良情绪、释放压力，进而恢复到健康状态。宣泄套件包括橡胶宣泄人1个，宣泄沙袋1个，宣泄球1个，宣泄棒4个，宣泄手套一副。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多维交互训练仪</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1.系统主要包括训练中心，学习中心，报告中心，系统中心四个模块。</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2.系统借助安卓平台，可以实现更为便捷的携带和存放，在任意场合，任意地点，都可以任意使用。</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用户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4.训练中心模块主要有：空间认知，逻辑思维训练，注意广度，数字记忆广度，工作记忆，反应时能力训练，决策能力，威斯康星卡片、眼动训练游戏测评模块。用户可通过对应的训练进行逻辑能力提升。</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5.空间认知包含三种难度的3D空间场景训练模式。</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6.工作记忆可以提供不少于15关记忆类模拟场景进行训练。</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7.反应时能力训练可以提供不少于5种反应速度测试场景进行训练。</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8.决策能力可以提供不少于15关模拟游戏进行训练。</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9.眼动训练可以通过虚拟咨询师语音指导下，引导用户进行眼动脱敏训练。</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10.逻辑思维训练由最初简单3个训练逐级可以到7个级别的难度训练。</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11.训练中心每个训练都有详细的训练介绍和操作说明，便于用户理解上手。</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12.学习中心模块分为专注力提升、压力舒缓、深度放松、静心冥想四大类。</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13.专注力提升包含四种α脑波音乐；压力舒缓包含沉浸式肌肉放松，视觉放松；深度放松包含海底世界，花鸟迎春；静心冥想包含宁静，大自然，奇妙感觉，放松冥想音乐。</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14.训练报告列表内容包括：用户名、姓名、性别、年龄、训练项目、训练日期。可查看详细的训练报告。</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训练报告详细的检测报告包含训练用户的用户名、性别等个人信息、训练日期、训练时间、训练时长、训练项目、训练结果还有相应的训练知识小贴士，方便用户获取自己的训练项目对应的训练结果，便于了解相应的训练知识。</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16.系统管理模块可设置训练时的背景音乐和音效的开启和关闭。</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二、配置要求</w:t>
            </w:r>
          </w:p>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1.电容触摸平板1台：显示尺寸≥10英寸，分辨率≥1920×1200，运行内存≥4G，存储内存≥128G。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团体活动箱</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活动指导手册包含团体辅导基础理论、组织技巧、基本过程、操作样图、活动反馈问卷等。每个活动都包括活动目的、活动道具、活动时间、活动场地、活动准备、活动步骤、活动评价及注意事项等具体说明活动的完整方案。</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活动设计不少于44个团体辅导活动，涵盖热身分组、团队建设、人际交往、积极心态、环境适应、思维开拓、职业生涯等多种主题活动。具体活动包含：珠行万里、神笔马良、光盘拔河、呼吸的力量、急速60秒、彩虹伞、撕名牌、人际和谐、盗梦空间、人生价值观、省察等，配有专业操作道具和活动操作样图。</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3.团体活动反馈问卷不少于六种团体活动反馈问卷，用于及时反馈活动实施情况，了解参与活动的人群的具体心理需求及参与活动的效果。</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道具种类不少于100种，部分道具根据活动设置了收纳组合套装，例如：光盘拔河套装、神笔马良套装、呼吸的力量套装、集体荣誉套装，撕名牌套装等；含有数十种精品道具，例如，世界地图喷绘、盗梦卡、齐眉杆、多功能名牌贴、彩虹伞、彩虹圈、棋盘等。</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二、配置要求</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1.尺寸：≥940mm*560mm*380mm</w:t>
            </w:r>
          </w:p>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2.构成：道具箱、团体活动道具、方案、团体反馈问卷、团体心理辅导活动指导手册、资料光盘等五部分组成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催眠配件</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7265"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钟摆催眠仪主要由两部分组成，摆锤和钟摆操作器。通过直流电压带动钟摆操作器，使钟摆产生摆动。</w:t>
            </w:r>
          </w:p>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摆锤组件包括摆锤、摆杆。摆锤和摆杆的重量在25g，摆锤和摆杆的材质为铝皮，摆锤是一个直径为7cm的圆形铝片，摆杆的长度为23cm。钟摆的转速在50-60r/min，，钟摆的摆幅在5-10度之间。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888"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bidi="ar"/>
              </w:rPr>
            </w:pPr>
            <w:r>
              <w:rPr>
                <w:rFonts w:hint="eastAsia"/>
                <w:color w:val="auto"/>
                <w:highlight w:val="none"/>
                <w:lang w:val="en-US" w:eastAsia="zh-CN"/>
              </w:rPr>
              <w:t>环境布置</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7265" w:type="dxa"/>
            <w:noWrap w:val="0"/>
            <w:vAlign w:val="center"/>
          </w:tcPr>
          <w:p>
            <w:pPr>
              <w:pStyle w:val="32"/>
              <w:numPr>
                <w:ilvl w:val="0"/>
                <w:numId w:val="0"/>
              </w:numPr>
              <w:ind w:left="-200" w:leftChars="0"/>
              <w:jc w:val="both"/>
              <w:rPr>
                <w:rFonts w:hint="eastAsia"/>
                <w:color w:val="auto"/>
                <w:sz w:val="21"/>
                <w:szCs w:val="21"/>
                <w:highlight w:val="none"/>
                <w:lang w:val="en-US" w:eastAsia="zh-CN"/>
              </w:rPr>
            </w:pPr>
            <w:r>
              <w:rPr>
                <w:rFonts w:hint="eastAsia"/>
                <w:color w:val="auto"/>
                <w:highlight w:val="none"/>
                <w:lang w:val="en-US" w:eastAsia="zh-CN"/>
              </w:rPr>
              <w:t>1</w:t>
            </w:r>
            <w:r>
              <w:rPr>
                <w:rFonts w:hint="eastAsia"/>
                <w:color w:val="auto"/>
                <w:sz w:val="21"/>
                <w:szCs w:val="21"/>
                <w:highlight w:val="none"/>
                <w:lang w:val="en-US" w:eastAsia="zh-CN"/>
              </w:rPr>
              <w:t>1.石膏板二级天花98</w:t>
            </w:r>
            <w:r>
              <w:rPr>
                <w:rFonts w:hint="eastAsia" w:ascii="宋体" w:hAnsi="宋体" w:eastAsia="宋体" w:cs="宋体"/>
                <w:color w:val="auto"/>
                <w:sz w:val="21"/>
                <w:szCs w:val="21"/>
                <w:highlight w:val="none"/>
                <w:lang w:val="en-US" w:eastAsia="zh-CN"/>
              </w:rPr>
              <w:t>㎡</w:t>
            </w:r>
          </w:p>
          <w:p>
            <w:pPr>
              <w:pStyle w:val="32"/>
              <w:numPr>
                <w:ilvl w:val="0"/>
                <w:numId w:val="0"/>
              </w:numPr>
              <w:ind w:left="-200" w:leftChars="0"/>
              <w:jc w:val="both"/>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22.装</w:t>
            </w:r>
            <w:r>
              <w:rPr>
                <w:rFonts w:hint="default"/>
                <w:color w:val="auto"/>
                <w:sz w:val="21"/>
                <w:szCs w:val="21"/>
                <w:highlight w:val="none"/>
                <w:lang w:val="en-US" w:eastAsia="zh-CN"/>
              </w:rPr>
              <w:t>饰窗</w:t>
            </w:r>
            <w:r>
              <w:rPr>
                <w:rFonts w:hint="eastAsia"/>
                <w:color w:val="auto"/>
                <w:sz w:val="21"/>
                <w:szCs w:val="21"/>
                <w:highlight w:val="none"/>
                <w:lang w:val="en-US" w:eastAsia="zh-CN"/>
              </w:rPr>
              <w:t>帘19</w:t>
            </w:r>
            <w:r>
              <w:rPr>
                <w:rFonts w:hint="eastAsia" w:ascii="宋体" w:hAnsi="宋体" w:eastAsia="宋体" w:cs="宋体"/>
                <w:color w:val="auto"/>
                <w:sz w:val="21"/>
                <w:szCs w:val="21"/>
                <w:highlight w:val="none"/>
                <w:lang w:val="en-US" w:eastAsia="zh-CN"/>
              </w:rPr>
              <w:t>㎡</w:t>
            </w:r>
          </w:p>
          <w:p>
            <w:pPr>
              <w:pStyle w:val="32"/>
              <w:numPr>
                <w:ilvl w:val="0"/>
                <w:numId w:val="0"/>
              </w:numPr>
              <w:ind w:left="-200" w:leftChars="0"/>
              <w:jc w:val="both"/>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color w:val="auto"/>
                <w:sz w:val="21"/>
                <w:szCs w:val="21"/>
                <w:highlight w:val="none"/>
                <w:lang w:val="en-US" w:eastAsia="zh-CN"/>
              </w:rPr>
              <w:t>3.</w:t>
            </w:r>
            <w:r>
              <w:rPr>
                <w:rFonts w:hint="default"/>
                <w:color w:val="auto"/>
                <w:sz w:val="21"/>
                <w:szCs w:val="21"/>
                <w:highlight w:val="none"/>
                <w:lang w:val="en-US" w:eastAsia="zh-CN"/>
              </w:rPr>
              <w:t>灯</w:t>
            </w:r>
            <w:r>
              <w:rPr>
                <w:rFonts w:hint="eastAsia"/>
                <w:color w:val="auto"/>
                <w:sz w:val="21"/>
                <w:szCs w:val="21"/>
                <w:highlight w:val="none"/>
                <w:lang w:val="en-US" w:eastAsia="zh-CN"/>
              </w:rPr>
              <w:t>带</w:t>
            </w:r>
            <w:r>
              <w:rPr>
                <w:rFonts w:hint="default"/>
                <w:color w:val="auto"/>
                <w:sz w:val="21"/>
                <w:szCs w:val="21"/>
                <w:highlight w:val="none"/>
                <w:lang w:val="en-US" w:eastAsia="zh-CN"/>
              </w:rPr>
              <w:t>、灯光</w:t>
            </w:r>
            <w:r>
              <w:rPr>
                <w:rFonts w:hint="eastAsia"/>
                <w:color w:val="auto"/>
                <w:sz w:val="21"/>
                <w:szCs w:val="21"/>
                <w:highlight w:val="none"/>
                <w:lang w:val="en-US" w:eastAsia="zh-CN"/>
              </w:rPr>
              <w:t>100米</w:t>
            </w:r>
          </w:p>
          <w:p>
            <w:pPr>
              <w:pStyle w:val="32"/>
              <w:numPr>
                <w:ilvl w:val="0"/>
                <w:numId w:val="0"/>
              </w:numPr>
              <w:ind w:left="-200" w:leftChars="0"/>
              <w:jc w:val="both"/>
              <w:rPr>
                <w:rFonts w:hint="default"/>
                <w:color w:val="auto"/>
                <w:sz w:val="21"/>
                <w:szCs w:val="21"/>
                <w:highlight w:val="none"/>
                <w:lang w:val="en-US" w:eastAsia="zh-CN"/>
              </w:rPr>
            </w:pPr>
            <w:r>
              <w:rPr>
                <w:rFonts w:hint="eastAsia"/>
                <w:color w:val="auto"/>
                <w:sz w:val="21"/>
                <w:szCs w:val="21"/>
                <w:highlight w:val="none"/>
                <w:lang w:val="en-US" w:eastAsia="zh-CN"/>
              </w:rPr>
              <w:t>44.</w:t>
            </w:r>
            <w:r>
              <w:rPr>
                <w:rFonts w:hint="default"/>
                <w:color w:val="auto"/>
                <w:sz w:val="21"/>
                <w:szCs w:val="21"/>
                <w:highlight w:val="none"/>
                <w:lang w:val="en-US" w:eastAsia="zh-CN"/>
              </w:rPr>
              <w:t>功能区门牌</w:t>
            </w:r>
            <w:r>
              <w:rPr>
                <w:rFonts w:hint="eastAsia"/>
                <w:color w:val="auto"/>
                <w:sz w:val="21"/>
                <w:szCs w:val="21"/>
                <w:highlight w:val="none"/>
                <w:lang w:val="en-US" w:eastAsia="zh-CN"/>
              </w:rPr>
              <w:t xml:space="preserve"> 亚克力牌 4</w:t>
            </w:r>
            <w:r>
              <w:rPr>
                <w:rFonts w:hint="default"/>
                <w:color w:val="auto"/>
                <w:sz w:val="21"/>
                <w:szCs w:val="21"/>
                <w:highlight w:val="none"/>
                <w:lang w:val="en-US" w:eastAsia="zh-CN"/>
              </w:rPr>
              <w:t>套</w:t>
            </w:r>
          </w:p>
          <w:p>
            <w:pPr>
              <w:pStyle w:val="32"/>
              <w:numPr>
                <w:ilvl w:val="0"/>
                <w:numId w:val="0"/>
              </w:numPr>
              <w:ind w:left="-200" w:leftChars="0"/>
              <w:jc w:val="both"/>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55.</w:t>
            </w:r>
            <w:r>
              <w:rPr>
                <w:rFonts w:hint="default"/>
                <w:color w:val="auto"/>
                <w:sz w:val="21"/>
                <w:szCs w:val="21"/>
                <w:highlight w:val="none"/>
                <w:lang w:val="en-US" w:eastAsia="zh-CN"/>
              </w:rPr>
              <w:t>墙面贴纸</w:t>
            </w:r>
            <w:r>
              <w:rPr>
                <w:rFonts w:hint="eastAsia"/>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w:t>
            </w:r>
          </w:p>
          <w:p>
            <w:pPr>
              <w:pStyle w:val="32"/>
              <w:numPr>
                <w:ilvl w:val="0"/>
                <w:numId w:val="0"/>
              </w:numPr>
              <w:ind w:left="-200" w:leftChars="0"/>
              <w:jc w:val="both"/>
              <w:rPr>
                <w:rFonts w:hint="default"/>
                <w:color w:val="auto"/>
                <w:sz w:val="21"/>
                <w:szCs w:val="21"/>
                <w:highlight w:val="none"/>
                <w:lang w:val="en-US" w:eastAsia="zh-CN"/>
              </w:rPr>
            </w:pPr>
            <w:r>
              <w:rPr>
                <w:rFonts w:hint="eastAsia"/>
                <w:color w:val="auto"/>
                <w:sz w:val="21"/>
                <w:szCs w:val="21"/>
                <w:highlight w:val="none"/>
                <w:lang w:val="en-US" w:eastAsia="zh-CN"/>
              </w:rPr>
              <w:t>6.6.</w:t>
            </w:r>
            <w:r>
              <w:rPr>
                <w:rFonts w:hint="default"/>
                <w:color w:val="auto"/>
                <w:sz w:val="21"/>
                <w:szCs w:val="21"/>
                <w:highlight w:val="none"/>
                <w:lang w:val="en-US" w:eastAsia="zh-CN"/>
              </w:rPr>
              <w:t>宣泄室</w:t>
            </w:r>
            <w:r>
              <w:rPr>
                <w:rFonts w:hint="eastAsia"/>
                <w:color w:val="auto"/>
                <w:sz w:val="21"/>
                <w:szCs w:val="21"/>
                <w:highlight w:val="none"/>
                <w:lang w:val="en-US" w:eastAsia="zh-CN"/>
              </w:rPr>
              <w:t>涂色50</w:t>
            </w:r>
            <w:r>
              <w:rPr>
                <w:rFonts w:hint="eastAsia" w:ascii="宋体" w:hAnsi="宋体" w:eastAsia="宋体" w:cs="宋体"/>
                <w:color w:val="auto"/>
                <w:sz w:val="21"/>
                <w:szCs w:val="21"/>
                <w:highlight w:val="none"/>
                <w:lang w:val="en-US" w:eastAsia="zh-CN"/>
              </w:rPr>
              <w:t>㎡</w:t>
            </w:r>
          </w:p>
          <w:p>
            <w:pPr>
              <w:pStyle w:val="32"/>
              <w:numPr>
                <w:ilvl w:val="0"/>
                <w:numId w:val="0"/>
              </w:numPr>
              <w:ind w:left="-200" w:leftChars="0"/>
              <w:jc w:val="both"/>
              <w:rPr>
                <w:rFonts w:hint="default"/>
                <w:color w:val="auto"/>
                <w:sz w:val="21"/>
                <w:szCs w:val="21"/>
                <w:highlight w:val="none"/>
                <w:lang w:val="en-US" w:eastAsia="zh-CN"/>
              </w:rPr>
            </w:pPr>
            <w:r>
              <w:rPr>
                <w:rFonts w:hint="eastAsia"/>
                <w:color w:val="auto"/>
                <w:sz w:val="21"/>
                <w:szCs w:val="21"/>
                <w:highlight w:val="none"/>
                <w:lang w:val="en-US" w:eastAsia="zh-CN"/>
              </w:rPr>
              <w:t>77.</w:t>
            </w:r>
            <w:r>
              <w:rPr>
                <w:rFonts w:hint="default"/>
                <w:color w:val="auto"/>
                <w:sz w:val="21"/>
                <w:szCs w:val="21"/>
                <w:highlight w:val="none"/>
                <w:lang w:val="en-US" w:eastAsia="zh-CN"/>
              </w:rPr>
              <w:t>文化</w:t>
            </w:r>
            <w:r>
              <w:rPr>
                <w:rFonts w:hint="eastAsia"/>
                <w:color w:val="auto"/>
                <w:sz w:val="21"/>
                <w:szCs w:val="21"/>
                <w:highlight w:val="none"/>
                <w:lang w:val="en-US" w:eastAsia="zh-CN"/>
              </w:rPr>
              <w:t>墙</w:t>
            </w:r>
            <w:r>
              <w:rPr>
                <w:rFonts w:hint="default"/>
                <w:color w:val="auto"/>
                <w:sz w:val="21"/>
                <w:szCs w:val="21"/>
                <w:highlight w:val="none"/>
                <w:lang w:val="en-US" w:eastAsia="zh-CN"/>
              </w:rPr>
              <w:t>1项</w:t>
            </w:r>
            <w:r>
              <w:rPr>
                <w:rFonts w:hint="eastAsia"/>
                <w:color w:val="auto"/>
                <w:sz w:val="21"/>
                <w:szCs w:val="21"/>
                <w:highlight w:val="none"/>
                <w:lang w:val="en-US" w:eastAsia="zh-CN"/>
              </w:rPr>
              <w:t>，亚克力 10</w:t>
            </w:r>
            <w:r>
              <w:rPr>
                <w:rFonts w:hint="eastAsia" w:ascii="宋体" w:hAnsi="宋体" w:eastAsia="宋体" w:cs="宋体"/>
                <w:color w:val="auto"/>
                <w:sz w:val="21"/>
                <w:szCs w:val="21"/>
                <w:highlight w:val="none"/>
                <w:lang w:val="en-US" w:eastAsia="zh-CN"/>
              </w:rPr>
              <w:t>㎡</w:t>
            </w:r>
          </w:p>
          <w:p>
            <w:pPr>
              <w:numPr>
                <w:ilvl w:val="0"/>
                <w:numId w:val="0"/>
              </w:numPr>
              <w:ind w:leftChars="0"/>
              <w:jc w:val="left"/>
              <w:rPr>
                <w:rFonts w:hint="eastAsia"/>
                <w:color w:val="auto"/>
                <w:highlight w:val="none"/>
                <w:lang w:val="en-US" w:eastAsia="zh-CN"/>
              </w:rPr>
            </w:pPr>
            <w:r>
              <w:rPr>
                <w:rFonts w:hint="eastAsia"/>
                <w:color w:val="auto"/>
                <w:highlight w:val="none"/>
                <w:lang w:val="en-US" w:eastAsia="zh-CN"/>
              </w:rPr>
              <w:t>8.中标人参考以下效果图布置心理功能室环境</w:t>
            </w:r>
          </w:p>
          <w:p>
            <w:pPr>
              <w:numPr>
                <w:ilvl w:val="0"/>
                <w:numId w:val="0"/>
              </w:numPr>
              <w:ind w:left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lang w:val="en-US" w:eastAsia="zh-CN"/>
              </w:rPr>
              <w:t>9.心理健康室</w:t>
            </w:r>
            <w:r>
              <w:rPr>
                <w:rFonts w:hint="eastAsia" w:ascii="宋体" w:hAnsi="宋体" w:eastAsia="宋体" w:cs="宋体"/>
                <w:i w:val="0"/>
                <w:iCs w:val="0"/>
                <w:color w:val="auto"/>
                <w:kern w:val="0"/>
                <w:sz w:val="21"/>
                <w:szCs w:val="21"/>
                <w:highlight w:val="none"/>
                <w:u w:val="none"/>
                <w:lang w:val="en-US" w:eastAsia="zh-CN" w:bidi="ar"/>
              </w:rPr>
              <w:t>装修事项（不含打墙）的所有安装工程、线材、辅材及垃圾清运。</w:t>
            </w:r>
          </w:p>
          <w:p>
            <w:pPr>
              <w:pStyle w:val="2"/>
              <w:rPr>
                <w:rFonts w:hint="default"/>
                <w:lang w:val="en-US" w:eastAsia="zh-CN"/>
              </w:rPr>
            </w:pPr>
            <w:r>
              <w:rPr>
                <w:rFonts w:hint="eastAsia" w:ascii="宋体" w:hAnsi="宋体" w:cs="宋体"/>
                <w:i w:val="0"/>
                <w:iCs w:val="0"/>
                <w:color w:val="auto"/>
                <w:kern w:val="0"/>
                <w:sz w:val="21"/>
                <w:szCs w:val="21"/>
                <w:highlight w:val="none"/>
                <w:u w:val="none"/>
                <w:lang w:val="en-US" w:eastAsia="zh-CN" w:bidi="ar"/>
              </w:rPr>
              <w:t>参考图如下：（仅供参考，以实际需求为准）</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drawing>
                <wp:anchor distT="0" distB="0" distL="114300" distR="114300" simplePos="0" relativeHeight="251660288" behindDoc="0" locked="0" layoutInCell="1" allowOverlap="1">
                  <wp:simplePos x="0" y="0"/>
                  <wp:positionH relativeFrom="column">
                    <wp:posOffset>-10795</wp:posOffset>
                  </wp:positionH>
                  <wp:positionV relativeFrom="paragraph">
                    <wp:posOffset>185420</wp:posOffset>
                  </wp:positionV>
                  <wp:extent cx="4421505" cy="1683385"/>
                  <wp:effectExtent l="0" t="0" r="17145" b="12065"/>
                  <wp:wrapNone/>
                  <wp:docPr id="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3"/>
                          <pic:cNvPicPr>
                            <a:picLocks noChangeAspect="1"/>
                          </pic:cNvPicPr>
                        </pic:nvPicPr>
                        <pic:blipFill>
                          <a:blip r:embed="rId14"/>
                          <a:stretch>
                            <a:fillRect/>
                          </a:stretch>
                        </pic:blipFill>
                        <pic:spPr>
                          <a:xfrm>
                            <a:off x="0" y="0"/>
                            <a:ext cx="4421505" cy="1683385"/>
                          </a:xfrm>
                          <a:prstGeom prst="rect">
                            <a:avLst/>
                          </a:prstGeom>
                          <a:noFill/>
                          <a:ln>
                            <a:noFill/>
                          </a:ln>
                        </pic:spPr>
                      </pic:pic>
                    </a:graphicData>
                  </a:graphic>
                </wp:anchor>
              </w:drawing>
            </w:r>
          </w:p>
          <w:p>
            <w:pPr>
              <w:rPr>
                <w:rFonts w:hint="eastAsia"/>
                <w:color w:val="auto"/>
                <w:highlight w:val="none"/>
                <w:lang w:val="en-US" w:eastAsia="zh-CN"/>
              </w:rPr>
            </w:pPr>
          </w:p>
          <w:p>
            <w:pPr>
              <w:pStyle w:val="2"/>
              <w:rPr>
                <w:rFonts w:hint="eastAsia" w:ascii="宋体" w:hAnsi="宋体" w:eastAsia="宋体" w:cs="宋体"/>
                <w:color w:val="auto"/>
                <w:sz w:val="21"/>
                <w:szCs w:val="21"/>
                <w:highlight w:val="none"/>
                <w:lang w:val="en-US" w:eastAsia="zh-CN"/>
              </w:rPr>
            </w:pPr>
          </w:p>
          <w:p>
            <w:pPr>
              <w:pStyle w:val="2"/>
              <w:numPr>
                <w:ilvl w:val="0"/>
                <w:numId w:val="0"/>
              </w:numPr>
              <w:rPr>
                <w:rFonts w:hint="eastAsia" w:ascii="宋体" w:hAnsi="宋体" w:eastAsia="宋体" w:cs="宋体"/>
                <w:color w:val="auto"/>
                <w:sz w:val="21"/>
                <w:szCs w:val="21"/>
                <w:highlight w:val="none"/>
                <w:lang w:val="en-US" w:eastAsia="zh-CN"/>
              </w:rPr>
            </w:pPr>
          </w:p>
          <w:p>
            <w:pPr>
              <w:pStyle w:val="2"/>
              <w:numPr>
                <w:ilvl w:val="0"/>
                <w:numId w:val="0"/>
              </w:numPr>
              <w:rPr>
                <w:rFonts w:hint="eastAsia" w:ascii="宋体" w:hAnsi="宋体" w:eastAsia="宋体" w:cs="宋体"/>
                <w:color w:val="auto"/>
                <w:sz w:val="21"/>
                <w:szCs w:val="21"/>
                <w:highlight w:val="none"/>
                <w:lang w:val="en-US" w:eastAsia="zh-CN"/>
              </w:rPr>
            </w:pPr>
          </w:p>
          <w:p>
            <w:pPr>
              <w:pStyle w:val="2"/>
              <w:numPr>
                <w:ilvl w:val="0"/>
                <w:numId w:val="0"/>
              </w:numPr>
              <w:rPr>
                <w:rFonts w:hint="eastAsia" w:ascii="宋体" w:hAnsi="宋体" w:eastAsia="宋体" w:cs="宋体"/>
                <w:color w:val="auto"/>
                <w:sz w:val="21"/>
                <w:szCs w:val="21"/>
                <w:highlight w:val="none"/>
                <w:lang w:val="en-US" w:eastAsia="zh-CN"/>
              </w:rPr>
            </w:pPr>
          </w:p>
          <w:p>
            <w:pPr>
              <w:pStyle w:val="2"/>
              <w:numPr>
                <w:ilvl w:val="0"/>
                <w:numId w:val="0"/>
              </w:numPr>
              <w:rPr>
                <w:rFonts w:hint="eastAsia" w:ascii="宋体" w:hAnsi="宋体" w:eastAsia="宋体" w:cs="宋体"/>
                <w:color w:val="auto"/>
                <w:sz w:val="21"/>
                <w:szCs w:val="21"/>
                <w:highlight w:val="none"/>
                <w:lang w:val="en-US" w:eastAsia="zh-CN"/>
              </w:rPr>
            </w:pPr>
          </w:p>
          <w:p>
            <w:pPr>
              <w:pStyle w:val="2"/>
              <w:numPr>
                <w:ilvl w:val="0"/>
                <w:numId w:val="0"/>
              </w:num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noWrap w:val="0"/>
            <w:vAlign w:val="center"/>
          </w:tcPr>
          <w:p>
            <w:pPr>
              <w:pStyle w:val="3"/>
              <w:ind w:left="0" w:leftChars="0" w:firstLine="0" w:firstLineChars="0"/>
              <w:jc w:val="both"/>
              <w:rPr>
                <w:rFonts w:hint="default" w:ascii="宋体" w:hAnsi="宋体" w:eastAsia="宋体" w:cs="宋体"/>
                <w:i w:val="0"/>
                <w:iCs w:val="0"/>
                <w:color w:val="auto"/>
                <w:kern w:val="0"/>
                <w:sz w:val="21"/>
                <w:szCs w:val="21"/>
                <w:highlight w:val="none"/>
                <w:u w:val="none"/>
                <w:lang w:val="en-US" w:eastAsia="zh-CN" w:bidi="ar"/>
              </w:rPr>
            </w:pPr>
            <w:r>
              <w:rPr>
                <w:rFonts w:hint="eastAsia" w:hAnsi="宋体" w:cs="宋体"/>
                <w:b w:val="0"/>
                <w:bCs w:val="0"/>
                <w:color w:val="auto"/>
                <w:kern w:val="0"/>
                <w:sz w:val="21"/>
                <w:szCs w:val="21"/>
                <w:highlight w:val="none"/>
                <w:lang w:val="en-US" w:eastAsia="zh-CN" w:bidi="ar"/>
              </w:rPr>
              <w:t>18</w:t>
            </w:r>
          </w:p>
        </w:tc>
        <w:tc>
          <w:tcPr>
            <w:tcW w:w="888" w:type="dxa"/>
            <w:noWrap w:val="0"/>
            <w:vAlign w:val="center"/>
          </w:tcPr>
          <w:p>
            <w:pPr>
              <w:pStyle w:val="3"/>
              <w:ind w:left="0" w:leftChars="0" w:firstLine="0" w:firstLineChars="0"/>
              <w:jc w:val="both"/>
              <w:rPr>
                <w:rFonts w:hint="eastAsia"/>
                <w:color w:val="auto"/>
                <w:highlight w:val="none"/>
                <w:lang w:val="en-US" w:eastAsia="zh-CN"/>
              </w:rPr>
            </w:pPr>
            <w:r>
              <w:rPr>
                <w:rFonts w:hint="eastAsia" w:hAnsi="宋体" w:cs="宋体"/>
                <w:b w:val="0"/>
                <w:bCs w:val="0"/>
                <w:color w:val="auto"/>
                <w:kern w:val="0"/>
                <w:sz w:val="21"/>
                <w:szCs w:val="21"/>
                <w:highlight w:val="none"/>
                <w:lang w:val="en-US" w:eastAsia="zh-CN" w:bidi="ar"/>
              </w:rPr>
              <w:t>移动</w:t>
            </w:r>
            <w:r>
              <w:rPr>
                <w:rFonts w:hint="eastAsia" w:ascii="宋体" w:hAnsi="宋体" w:eastAsia="宋体" w:cs="宋体"/>
                <w:b w:val="0"/>
                <w:bCs w:val="0"/>
                <w:color w:val="auto"/>
                <w:kern w:val="0"/>
                <w:sz w:val="21"/>
                <w:szCs w:val="21"/>
                <w:highlight w:val="none"/>
                <w:lang w:val="en-US" w:eastAsia="zh-CN" w:bidi="ar"/>
              </w:rPr>
              <w:t>教学一体机</w:t>
            </w:r>
          </w:p>
        </w:tc>
        <w:tc>
          <w:tcPr>
            <w:tcW w:w="630" w:type="dxa"/>
            <w:gridSpan w:val="2"/>
            <w:noWrap w:val="0"/>
            <w:vAlign w:val="center"/>
          </w:tcPr>
          <w:p>
            <w:pPr>
              <w:pStyle w:val="3"/>
              <w:ind w:left="0" w:leftChars="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hAnsi="宋体" w:cs="宋体"/>
                <w:b w:val="0"/>
                <w:bCs w:val="0"/>
                <w:color w:val="auto"/>
                <w:kern w:val="0"/>
                <w:sz w:val="21"/>
                <w:szCs w:val="21"/>
                <w:highlight w:val="none"/>
                <w:lang w:val="en-US" w:eastAsia="zh-CN" w:bidi="ar"/>
              </w:rPr>
              <w:t>1</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一、整体设计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1.整机采用一体设计，外部无任何可见内部功能模块连接线。</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2.整机采用全金属外壳设计，边角采用弧形设计，表面无尖锐边缘或凸起；整机屏幕边缘采用金属圆角包边防护，整机背板采用金属材质。</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3.整机采用UHD超高清LED液晶屏，显示分辨率3840*2160，可视角度≥178°。</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4.整机屏幕采用86英寸液晶显示器。</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5.整机采用LED液晶A规屏，显示比例16:9。</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6.屏幕采用≥3.2mm防眩钢化玻璃保护，表面硬度≥莫氏8级，硬度大于等于9H，透光率不低于93%，雾度≤8%，</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7.整机支持色彩空间可选，包含标准模式和sRGB，在sRGB模式下可做到高色准△E≤1。</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二、整机设计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整机为双系统设计，内置安卓系统，CPU核数不小于8核，GPU核数不小于4核，嵌入式安卓操作系统版本为Android14；同时嵌入式Android操作系统下可实现windows系统中常用的教学应用功能，具有白板书写、WPS软件使用和网页浏览，安卓系统ram：4G；rom：32G。；</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2.整机CPU，可编程逻辑芯片、时钟芯片、采用国产自主芯片；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3.前置USB接口支持Android系统、Windows系统读取外接移动存储设备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4.通过一根线（无需重复连接触摸信号）连接到整机的电脑或手机在投屏的同时即可直接读写整机前置USB接口的移动存储设备数据，连接整机前置USB接口的翻页笔和无线鼠标外接设备可直接使用于外接电脑。</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5.整机内置扬声器采用针孔发声技术，喇叭采用槽式开口设计；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6.整机内置2.2声道音响，前朝向额定15W中高音扬声器2个，后朝向额定15W低音扬声器2个，额定总功率≥60W，谐振频率低于300Hz。</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7.整机支持高级音效设置，可以调节左右声道平衡；在中低频段125Hz～1KHz，高频段2KHz～16KHz分别有-12dB～12dB范围的调节功能；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8.整机扬声器在100%音量下，可做到1米处声压级≥90db，10米处声压级≥79dB，能够有效保障教室后排学生听觉感受。</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为满足教师实际教学需求，可便捷外接所需的设备，整机前置USB3.0接口≥3个；HDMI接口≥1个；全功能Type-C接口≥1个（具备音视频传输、触控传输、充电、U盘数据传输功能，快速充电功能，接管摄像头在外接电脑即可控制整机拍摄教室画面、调用扬声器），可将整机网络共享给外接电脑，并支持反向触控控制功能，且前置接口采用可防护的磁吸式盖板；侧置输入接口具备≥1路HDMIIN、≥1路RS232.≥2路USB接口；侧置输出接口具备≥1路音频输入输出、≥1路触控USB输出。整机前置接口具有丝印标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9.前置Type-C接口，支持通过不带转换转置的外部线缆，实现外接电脑HDMI信号的接入显示。外接电脑设备经双头Type-C线连接至整机，可调用整机内置的摄像头、麦克风、扬声器，在外接电脑即可控制整机拍摄教室画面。</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0.外接电脑设备经双头Type-C线连接至整机，可将整机网络共享给外接电脑，并支持反向触控控制功能。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11.前置接口具备翻转盖板，翻转角度180°;在有U盘插入时盖板能对U盘进行保护，防止推拉黑板误关对U盘造成损伤。</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12.触摸最小识别物≤3mm，触控首点响应时间≤4ms，连续响应时间≤2ms。</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13.整机采用红外触控技术，支持Windows及安卓双系统下50点触控；支持同一红外笔笔头、笔尾书写不同的颜色，且颜色可自定义。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14.整机内置≥1600万像素摄像头麦克风，无需外接线材连接，任何可见外接线材及模块化拼接痕迹，未占用整机设备端口，支持远程巡课、简易录播的应用，摄像视场角≥145°,水平视场角可达到121°,支持输出4:3.16:9比例的图片和视频；可拍摄输出4K分辨率的视频、图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15.具备摄像头工作指示灯，摄像头运行时，有指示灯提示。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16.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17.整机内置非独立外扩展的8阵列麦克风，拾音角度≥180°,可用于对教室环境音频进行采集，拾音距离≥12m。</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18.整机内置独立音频处理器，支持麦克风自动增益控制（AGC）、自动抑制噪声（ANC）、自动回声消除（AEC），提升麦克风拾音效果。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19.整机内置专属的4核音频CPU处理器，最多支持8路麦克风数据处理，采样率支持192K，同时不占用整机系统的CPU能力。</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20.支持标准、听力、影院、自定义模式以及AI空间感知音效模式，AI空间感知音效模式可通过内置麦克风采集教室物理环境声音，自动生成符合当前教室物理环境的频段、音量、音效。</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21.整机具有NFC模块，支持主从模式，在同一NFC模块中实现一碰投屏和IC卡刷卡解锁设备，无需手动切换模式；支持搭配具有NFC功能的手机、平板，通过接触整机设备上的NFC标签，即可实现手机、wifi连接后平板与大屏的连接并同步手机、平板的画面到设备上，无需其他操作设置，支持9台手机、平板同时连接并显示；同一NFC模块可以一碰投屏同时支持使用已绑定的IC卡接触NFC模块对整机大屏解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22.在无ops的情况下，整机支持有线及无线方式联网，无线支持wifi6；在具备ops的情况下，整机可支持通过一根网线实现双系统上网，同时ops也具备独立网口和wifi。</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23.整机无需外接无线网卡，在Windows系统下可实现Wi-Fi无线上网连接、AP无线热点发射和BT蓝牙连接功能。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24.在Android和Windows系统下，可实现Wi-Fi无线上网连接、AP无线热点发射，在Android下支持无线设备同时连接数量≥32个，在Windows系统下支持无线设备同时连接≥8个。</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25.为适应未来无线网络发展，无需更换设备，整机整机支持Wi-Fi6版本，Wi-Fi制式支持802.11a/b/g/n/ac/ax，整机内置无线网络模块，PC模块无任何外接或转接天线、网卡可同时实现Wi-Fi无线上网连接和AP无线热点发射。Wi-Fi和AP热点均支持双频2.4G&amp;5G。</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26.内置无线传屏接收端，无需外接接收部件，无线传屏发射器与整机匹配后即可实现传屏功能，将外部电脑的屏幕画面通过无线方式传输到整机上显示。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27.整机内置蓝牙模块，黑板在安卓和Windows系统下均可由该模块实现外部蓝牙设备的连接和数据传输，支持蓝牙Bluetooth5.4标准，内置蓝牙模块工作距离至少15米。</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28.整机内置支持2.4GHz和5GHz双频WiFi，支持蓝牙5.4；Wi-Fi和AP热点工作距离15m，AP热点支持50个用户终端在线网络连接。</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29.具有物联，大屏显示界面可显示教室温度、湿度，集控平台可查看每个教室的环境温湿度；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30.整机屏体无需操作即可实现蓝光防护，具备物理防蓝光功能；整机采用硬件低蓝光背光技术，在源头减少有害蓝光波段能量，蓝光占比（有害蓝光415～455nm能量综合）/（整体蓝光400～500能量综合）&lt;50%，低蓝光保护显示不偏色、不泛黄。</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31.支持护眼模式，可通过前置面板物理功能按键一键启用护眼模式，一键滤减蓝光。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32.整机支持全通道支持4KUI界面显示，包括安卓通道、PC通道、HDMI通道、Type-C通道。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33.整机色域覆盖率（NTSC）85%。</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34.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三、主要功能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2.开关机设置：整机本地支持自定义设置开机时间和关机时间，组数不少于5组，无需网络环境即可实现。</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整机具备智能手势识别功能，在任意信号源通道下均可识别五指上、下、左、右方向手势，五指画O、画~、左右晃动、缩/放方向手势滑动并调用相应功能。支持将各手势滑动方向自定义设置为无操作、熄屏、批注、桌面、半屏模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4.在HDMI、Android以及Windows信号源模式下，整机屏幕支持手势下移实现半屏显示，下移同时可做到整屏缩小，画面完整、无任何画面裁剪且触控正常。</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快捷小工具：支持自定义悬浮球菜单中的小工具功能，用户在任意通道下可调取系统工具，聚光灯、批注、熄屏、锁屏、硬件自检、内存加速等小工具，也可以调取应用软件；并支持根据用户习惯任意调整显示顺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5.当整机处于黑暗环境中并无人操作，一分钟后整机将可以自动进入熄屏模式。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6.整机处于非内置PC通道下，支持调用屏幕快捷键一键回到PC通道。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7.支持通道记忆功能，开机默认回到最近一次关机时的显示通道。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8.整机教学桌面小工具，支持调用摄像头支持人脸识别、清点人数、随机抽人；识别所有学生，显示标记，然后随机抽选，同时显示标记不少于60人。</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9.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10.嵌入式Android操作系统下，互动白板支持不同背景颜色，同时提供学科背景，如：五线谱、信纸、田字格、英文格、篮球和足球场地平面图。</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11.在嵌入式系统下使用白板软件时，整机可根据用户书写操作智能调节屏幕亮度。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12.嵌入式Android操作系统下，白板支持对已经书写的笔迹和形状的颜色进行更换。</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13.无PC状态下，嵌入式系统内置互动白板支持十笔书写及手掌擦除（手掌擦除面积根据手掌与屏幕的接触面大小自动调整），支持10种平面图形工具，支持8种立体图形工具。</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14.整机全通道侧边栏支持在任意通道、页面使用批注小工具进行批注讲解，可切换书写笔颜色、截屏保存批注内容、快速清屏，可根据手与屏幕的接触面积自动调整板擦工具的大小。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15.整机全通道侧边栏支持自行选择所需截取屏幕范围，点击截屏即可成功截取屏幕，并自动保存。</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16.整机全通道侧边栏提供秒表正计时，点击开始计时便自动开始，并实时显示时间；支持倒计时，输入某特定时间值，可精确到秒，点击开始即进入倒计时。</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17.整机全通道侧边栏支持快速将设备屏幕降低为半屏幕状态，点击上半屏幕可以快速返回全屏状态。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18.整机全通道侧边栏支持放大任意区域内容；并可支持对未选中区域关灯处理。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19.整机安卓和全部外接通道（HDMI、Type-c）下侧边栏支持通过扫描二维码加入班级，老师设置题型，学生回答后提交，教师查看正确率比例及详细讲解；支持随机抽选、实时弹幕；支持管理当前班级成员；支持导出学生报告，支持设置任意倒数日。</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20.具备前置光感，通过感受环境光亮度来改变屏幕显示亮度；设备具备红外接收头，可通过红外与麦克风进行配对。</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21.整机在任意通道下支持五指熄屏，并且可根据需要关闭或打开。</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22.整机全通道侧边栏快捷菜单包含的小工具有：批注、截屏、计时、降半屏、放大镜、日历、班级记忆。在Android通道和全部外接通道（HDMI、Type-C），还具备答题、倒数日、节拍器小工具。</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23.整机一体化设计，集成支持Windows和Android双系统智能设计；在内嵌式Android系统下可实现：书写擦除、多颜色更换、全局预览和漫游等白板软件功能，调用办公文档软件、网页浏览、对多媒体USB文件自动归类和分类查找的播放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24.整机Windows通道支持文件传输应用，支持通过扫码、wifi直联、超声三种方式与手机进行握手连接，实现文件传输功能。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25.整机Windows通道支持文件传输应用，传输方式支持公网传输、局域网传输、WiFi直连传输。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26.整机关机状态下，通过长按电源键进入设置界面后，可点击屏幕选择故障检测、系统还原功能，系统还原可单独还原PC系统，单独还原整机系统。</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27.整机设备教学桌面支持查看设备盘符，支持本地磁盘和外接U盘、移动硬盘，点击即可打开该磁盘查看磁盘文件。教学桌面支持显示存储空间状态，当存储空间即将满载时候进行红色标记明显提示。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28.整机设备教学桌面支持对常用应用替换和添加，支持对应用卸载。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29.整机设备教学桌面的教师登录账号后，可自动获取并在桌面显示最近使用的教学课件，点击课件可直接进入授课模式；并支持查看所有个人教学课件资源。</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30.整机设备教学桌面支持进行壁纸编辑，内置10张以上壁纸，并支持自定义壁纸。</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31.整机设备教学桌面支持进行重启、关机操作。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32.独立扩声系统，可实现单独听功能，在关闭显示部分的待机情况下仍可将接入的多媒体信号混音后通过设备内置音箱播出实现扩声功能，轻触显示部分可点亮屏幕。</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33.双系统具有智能手势开关整机背光功能、双系统一键切换、双系统共享USB接口、双系统网络共享。</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34.在Windows任意界面下均可开启录课功能，可实现三种录制模式，包括屏幕录制、屏幕+摄像头、专业级录制及直播。</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35.设备前置物理按键可实现一键录屏功能，可将屏幕中的课件、音频内容与授课老师的声音同步录制。</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36.整机从安卓系统将设备添加至集控平台，安卓系统接入集控平台后，OPS自动完成设备接入，无需输入学校代码及密钥，支持集控平台直接对大屏进行屏幕解锁，息屏亮屏，关机，重启，信息发布，异常报警（温度、内存、CPU等），远程升级，并可显示设备信息（设备序列号，运行时长，显示模式，整机音量，设备温度，cpu使用率，内存使用率，声音模式，健康度，在离线，型号，安卓版本，系统版本等），方便老师进行教室设备管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37.整机支持windows系统和android系统之间进行串口通信，android系统可获取OPS的CPU型号，内存，网卡型号，序列号等信息，android系统下可一键还原windows操作系统，控制OPS的开关机；</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38.设备端安卓系统支持对教室内物联传感器进行控制，无需安装OPS，即可实现获取展现教室内的温湿度、PM2.5等信息，支持控制教室内物联传感器，控制灯光、窗帘、空调等物联开关，并支持上课模式、投影模式、休息模式、放学模式的设置，方便老师操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39.整机嵌入式系统支持对重要设置内容进行安全保护，通过输入密码才可以进入网络设置选项控制有线及无线网络设置，高级设置选项控制安卓恢复出厂设置及windows系统一键还原；</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40.整机嵌入式系统支持视力检测，学生站在距离屏幕的一定距离，可通过遥控器、手势识别两种方式标识方向，测试完成后可直接生成视力检测结果，并可建立学生视力档案，对学生视力情况进行管理；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41.整机嵌入式系统支持日历功能，通过云端平台可以下发待办或者考试计划到日历中，可自动展现历史上的今天并显示出名人故事等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42.整机嵌入式系统支持钢琴演奏app，模拟钢琴按键，支持自动播放不小于3首音乐，且学生弹奏后可模拟钢琴声音发声，可自动判断弹奏的准确率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43.整机嵌入式系统支持地图app，支持显示中国地图（包含中国地图，中国主要的山川湖泊，地势图），世界地图（包含世界地图，地势图），可以打开地球仪，支持自有旋转，方便老师教学；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四、OPS</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1.采用模块化电脑方案，PC 模块可抽拉式插入整机，可实现无单独接线的插拔。</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2.CPU：主频≥2.0GHz，8核12线程或以上性能。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3.内存：16G 笔记本内存或更优配置。</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4.硬盘：256G SSD 固态硬盘或更优配置。</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5.具有独立非外扩展的视频输出接口：≥1 路 HDMI 。</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6.具有独立非外扩展的电脑 USB 接口：≥2 路 USB。</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7.内置网卡：10M/100M/1000M。</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8.支持系统还原保护。</w:t>
            </w:r>
          </w:p>
          <w:p>
            <w:pPr>
              <w:keepNext w:val="0"/>
              <w:keepLines w:val="0"/>
              <w:widowControl/>
              <w:suppressLineNumbers w:val="0"/>
              <w:spacing w:line="360" w:lineRule="auto"/>
              <w:ind w:left="0" w:leftChars="0" w:firstLine="0" w:firstLineChars="0"/>
              <w:jc w:val="left"/>
              <w:textAlignment w:val="top"/>
              <w:rPr>
                <w:color w:val="auto"/>
                <w:highlight w:val="none"/>
              </w:rPr>
            </w:pPr>
            <w:r>
              <w:rPr>
                <w:rFonts w:hint="eastAsia"/>
                <w:color w:val="auto"/>
                <w:highlight w:val="none"/>
                <w:lang w:val="en-US" w:eastAsia="zh-CN"/>
              </w:rPr>
              <w:t>9.ops电脑无故障运行时间不小于20万小时。</w:t>
            </w:r>
          </w:p>
          <w:p>
            <w:pPr>
              <w:pStyle w:val="2"/>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五、移动支架</w:t>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50≥净重≥18 kg</w:t>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最大承重≥100kg</w:t>
            </w:r>
            <w:r>
              <w:rPr>
                <w:rFonts w:hint="eastAsia" w:ascii="宋体" w:hAnsi="宋体" w:eastAsia="宋体" w:cs="宋体"/>
                <w:strike w:val="0"/>
                <w:dstrike w:val="0"/>
                <w:color w:val="auto"/>
                <w:kern w:val="0"/>
                <w:sz w:val="21"/>
                <w:szCs w:val="21"/>
                <w:highlight w:val="none"/>
              </w:rPr>
              <w:tab/>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可承载机型尺寸：65-86英寸</w:t>
            </w:r>
          </w:p>
          <w:p>
            <w:pPr>
              <w:keepNext w:val="0"/>
              <w:keepLines w:val="0"/>
              <w:pageBreakBefore w:val="0"/>
              <w:kinsoku/>
              <w:wordWrap/>
              <w:overflowPunct/>
              <w:topLinePunct w:val="0"/>
              <w:bidi w:val="0"/>
              <w:snapToGrid w:val="0"/>
              <w:spacing w:line="440" w:lineRule="exact"/>
              <w:ind w:left="0" w:leftChars="0" w:firstLine="0" w:firstLineChars="0"/>
              <w:rPr>
                <w:rFonts w:hint="default"/>
                <w:color w:val="auto"/>
                <w:highlight w:val="none"/>
                <w:lang w:val="en-US" w:eastAsia="zh-CN"/>
              </w:rPr>
            </w:pPr>
            <w:r>
              <w:rPr>
                <w:rFonts w:hint="eastAsia" w:ascii="宋体" w:hAnsi="宋体" w:eastAsia="宋体" w:cs="宋体"/>
                <w:strike w:val="0"/>
                <w:dstrike w:val="0"/>
                <w:color w:val="auto"/>
                <w:kern w:val="0"/>
                <w:sz w:val="21"/>
                <w:szCs w:val="21"/>
                <w:highlight w:val="none"/>
              </w:rPr>
              <w:t>脚轮尺寸≥2英寸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六、精品录播专用教室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单位</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7265" w:type="dxa"/>
            <w:noWrap w:val="0"/>
            <w:vAlign w:val="top"/>
          </w:tcPr>
          <w:p>
            <w:pPr>
              <w:pStyle w:val="3"/>
              <w:ind w:firstLine="308" w:firstLineChars="147"/>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智能分析主机</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1.要求主机采用标准19英寸机架式安装，前面板采用单键式极简设计，简约实用。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2.要求主机采用不大于DC12V安全电压供电，低功耗无风扇设计,工作噪音≤21db(A)。</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▲3.要求采用嵌入式架构，内置AIoT智能芯片，支持AI图像跟踪技术，能够达到5TOPS标准或以上的算力。</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4.集教师跟踪、学生定位、板书定位、学生巡视等导播切换策略于一体。</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5.要求具备≥4路USB接口，支持接入I/O设备，要求具备≥1路HDMI OUT。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6.要求具备≥1路LAN网络接口，支持网络传输高清视频，对云台摄像机、录播设备的控制采用网络通讯。</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▲7.整机采用耐腐蚀技术处理，需通过符合标准的盐雾试验，试验时间不少于60小时。要求产品通过GB/T 2423.17-2008盐雾实验。</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8.为避免运输过程中出现碰撞导致设备损坏或内部松动，要求产品通过GB/T 2423.5-2019冲击实验。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图像跟踪系统</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1.要求支持智能图像分析，结合具体的场景能够实现多个活动过程的跟踪识别，并对现场视频图像进行分析，实现常态化教学下的老师、学生多人跟踪识别。</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2.可快速设定教学有效区域的，光线、场景完全自适应，无论人的正面和侧面都会被准确识别，并能够通过后台查看到多人识别效果。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3.要求具备身高自适应功能，无论老师、学生挥手，左右晃动，前后仰俯晃动等都不会被误判。</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4.要求具备较强的抗干扰能力，采用领先的防抖动特征跟踪算法，图像识别系统不受外在环境影响。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5.要求系统结构设计合理，设置简单，可以实现全自动跟踪识别；支持实时定位，可以自动识别目标位置、实时控制摄像头精确定位，实现特写拍摄。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6.要求系统支持web界面访问，支持预览视频分析状态，可远程操控图像跟踪系统。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7.要求系统支持摄像机自动跟踪，摄像机自动定位学生起立和教师移动，教师走进学生区域时，实时切换成教室全景画面。</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8.要求系统支持区域聚焦功能，可通过浏览器在监视画面框选出聚焦区域，以该区域作为聚焦参考区域。系统对讲台区域监视画面框选时，聚焦区域包括教师跟踪、黑板跟踪等，确保智能跟踪分析的准确性。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▲9.要求系统支持焦距守望功能，可通过浏览器对监视画面设置守望点，可同时设置不少于4个守望点相连实现智能跟踪。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10.要求系统具备跟踪拍摄和切换拍摄两种模式，两种模式之间支持一键切换。</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▲11.要求系统智能识别教师身体朝向。当教师面朝学生时，智能切换至教师特写；当教师面向黑板时，智能切换至板书特写。板书特写采用伴随跟踪拍摄方式。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12.要求支持手势识别功能，可一键开启此功能。教师可以通过手势控制学生摄像机的拍摄。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13.要求系统支持TCP、UDP两种传输协议，可以同时获取≥4路IP视频流进行智能图像分析，可对教师全景、板书全景、学生全景、学生巡视等景位进行设置。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14.要求支持两种跟踪模式：伴随式模式、“特写”与“全景”切换跟踪模式。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15.具有“模糊防抖”功能，避免人员小幅度活动时引起的摄像机画面抖动现象。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16.要求支持学生起立跟踪功能，支持当学生起立时学生特写摄像机跟踪拍摄，支持多个学生起立切换为学生全景拍摄。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▲17.要求系统支持切换规则定制，可以精确调整切换时间，设置云台速度，速度系数不少于0～99可调。</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18.要求系统可设置变焦速度，速度系数不少于1～7可调,实现焦距拉伸时间的调节。</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19.要求系统可设置跟踪灵敏度，灵敏度系数不少于0～9000可调。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跟踪半球</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1.传感器类型1/2.8英寸CMOS。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2.像素 200万，最大分辨率1920×1080。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最低照度：0.01Lux(彩色模式);0.001Lux(黑白模式);0Lux(补光灯开启)；最大补光距离：50m（红外）。</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镜头类型：手动变焦；镜头焦距2.8mm~12mm。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视频压缩标准：H.265；H.264；H.264B。</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6.音频输入：1路（RCA头）；音频输出：1路（RCA头）；供电方式：DC12V/POE；防护等级：IP67。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录播一体机</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1.要求录播主机采用一体化嵌入式硬件设计架构，≤24V供电，支持7*24小时工作。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2.内置嵌入式Linux操作系统，满足录制、直播、点播、互动、导播管理、存储、切换、视音频编码等功能，支持远程互动教学，实现远程互动网络课堂。</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▲3.视频输入接口：要求支持≥8路本地高清信号采集接口，至少包括5路SDI（5路SDI接口均支持POC供电及信号检测指示灯，支持自动检测到POC摄像机后指示灯亮）、2路HDMI、1路VGA、1路YPBPR。</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4.视频输出接口：要求支持≥3路本地视频输出接口，接口类型为≥2路HDMI高清数字接口（支持4K合成HDMI输出），≥1路VGA接口。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音频接口：为保证教室内音频采集，支持≥4路本地音频信号采集接口，接口分别为≥2路吊麦,≥3路立体声音频输入接口，其中≥2路吊麦支持48V供电，支持≥4路立体声音频输出接口，其中≥1路为3.5mm本地耳机监听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▲6.要求支持≥1路100/1000Mbps自适应网口，≥8路RJ45控制接口（兼容RS232.RS422控制协议，支持接入控制面板、硬件导播台、LED计时器等外部设备）。</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7.要求具备≥4路USB接口，支持连接鼠标、键盘进行导播控制以及主机连接U盘进行课程视频的录制、下载，其中至少支持2路USB 2.0和2路USB3.0接口。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▲8.要求主机前面板配置≥2.1英寸液晶显示屏。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9．存储容量：要求配置≥2T硬盘。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10.整机采用耐腐蚀技术处理，需通过符合标准的盐雾试验，试验时间不少于60小时。要求产品通过GB/T 2423.17-2008盐雾实验。</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11.为避免运输过程中出现碰撞导致设备损坏或内部松动，要求产品通过GB/T 2423.5-2019冲击实验。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嵌入式录播系统</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1.要求支持B/S架构设计，能够方便教师使用IE、360等主流浏览器通过网络直接访问录播主机进行导播和管理。主界面可以显示录制信息，包括录制时间、视频信息、地址及硬盘容量等。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2.为保证教室内教学场景拍摄录制及教学相关设备信号接入，要求具备6路信号的加载预监功能，能根据课堂教学进程，对教师、学生、VGA等画面进行智能切换。</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3.视频采集：要求支持高清摄像机信号接入进行画面采集和编码录制，要求支持多路信号以资源模式与导播后的电影模式同时录制，支持对视频文件进行点播回放以及拖拽播放进度条播放。</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▲4.视频编码：要求支持H.264/H.265视频编码，录制视频格式支持MP4,支持自定义录制分辨率、帧率和码流，视频编码码流应支持32Kbps至16Mbps可设，视频编码码流支持≥19档调节。</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5.音频编码：要求支持AAC音频编码，音频采样率应支持8KHz、16KHz、32KHz、48KHz等。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6.直播推送：支持自定义直播分辨率和码率，以适应不同网络环境下保持直播的流畅性。支持RTMP和RTSP视频传输协议，支持对接资源管理平台/第三方平台实现实时直播、录制视频文件自动上传等功能。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7.支持恢复出厂设置，能够实时初始化系统状态。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8.分段录制：支持录制单个文件和限时自动分割录制功能，支持自定义限时自动分割时长。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9.要求支持手动、自动导播的无缝切换，既支持手动录制，又支持录播系统与全自动跟踪系统的无缝对接。</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要求支持切换策略可编辑功能。可以在老师特写、学生特写、教师全景、学生全景、板书特写和老师电脑图像等机位之间进行自动切换，图像切换平滑，没有“跳动”现象，正常情况下出现老师画面，老师使用电脑时能自动切换到电脑画面，学生回答问题时能够自动切换到学生特写画面，老师离开讲台并走到学生中间，摄像机又能切换到学生全景。支持VGA锁定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11.要求支持多种画面布局设置，提供双分屏、三分屏、四分屏以及自定义画面布局，支持多个视频图层自由叠加组合。本地导播界面下可直接通过鼠标拖动通道画面即可实现多分屏布局显示画面的替换。</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12.要求支持渐变、淡入淡出、开门、关门、睁眼、闭眼、划像等≥12路切换特效。</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▲13.摄像机控制：要求每个云台摄像机支持≥8个预置位功能，支持在画面调整完成之后手动点击鼠标拖动画面到预置位数字按钮处实现预置位保存。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14.要求支持自定义台标显示位置，支持设置≥8条预设字幕，本地导播界面下支持通过鼠标拖拽设置台标、字幕显示位置。系统界面提供虚拟软键盘，无需外接键盘即可进行中英文输入。</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▲15.支持创建互动房间，对每个互动房间自动分配短号，支持通过房间号直接加入已创建的互动房间，支持房间加密。互动房间界面，具有互动时间显示、双流、静音、全屏等功能</w:t>
            </w:r>
            <w:r>
              <w:rPr>
                <w:rFonts w:hint="eastAsia" w:ascii="宋体" w:hAnsi="宋体" w:cs="宋体"/>
                <w:i w:val="0"/>
                <w:iCs w:val="0"/>
                <w:color w:val="auto"/>
                <w:kern w:val="0"/>
                <w:sz w:val="21"/>
                <w:szCs w:val="21"/>
                <w:highlight w:val="none"/>
                <w:u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16.支持互动列表，列表中可以显示所有与会者的信息；支持互动画面布局的显示，布局支持单分屏，双分屏，三分屏，四分屏显示。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17.通话带宽设置功能：可根据网络情况选择多种分辨率及码流进行互动。设备支持SIP协议，可直接向SIP服务器进行注册。</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18.授课模式：授课模式需贴近实际同步课堂教学场景，听课端观看的互动画面有主讲端控制。支持将主讲老师和课件信号双分屏或画中画模式共享给听课端观看。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19.授课预监：授课过程中，录播主机屏幕将实时显示授课教室和参与互动的听课教室画面，用户可实时查看授课教室的拍摄效果及互动教室的听课状态。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20.课堂互动：要求支持主讲端在互动过程中对其余互动参与者的发言权限进行控制，支持单人禁言/开启以及全场禁言/开启的控制方式。</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支持板书同步互动功能，授课过程中支持用户调用白板工具，在大屏上进行板书，板书内容将在听课端实时同步；且支持听课端在大屏上板书，反向实时同步至授课端及其他听课端，真正实现教师在A教室的板书出题，学生在B教室的板书上答题，并将双方在不同地方协同书写的板书内容实时加入互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高清云台摄像机</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硬件部分：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1.图像传感器： 采用1/2.8英寸，207万有效像素，HD CMOS传感器。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2.视频编码标准: H.264/MJEPG；视频码率：128Kbps ～  8192Kbps。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3.音频压缩标准：AAC；音频码率96Kbps, 128Kbps, 256Kbps。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4.超高帧率：1080P下输出帧频可达60fps。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5.信号系统1080P60，1080P50，1080P30，1080P25，720P60，720P50。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光学变焦：20X; 镜头f4.42mm ～  88.5mm, F1.8 ～ F2.8。数字变焦：16X.</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7.信噪比: ≥55dB。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 水平视场角: 60.7°～ 3.36°;垂直视场角: 34.1°～ 1.89°。</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9.转动范围：水平转动范围±170°，垂直转动范围-30°～+90°，水平转动速度范围1.7°～ 100°/s，垂直转动速度范围1.7°～69°/s。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10.快门: 1/30s～1/10000s。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11.图像冻结: 支持。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12.供电: DC12V、PoE。</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13.预置位数量: 255个。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14.视频码流: 支持主码流、辅码流。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15.产品亮度分解力（水平）1000电视线。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16.在监视或录像状态下，监视画面无明显缺损，物体移动时画面边缘无明显锯齿、拉毛现象。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17.集合定点看全景、动点看细节的优势，达到既能看全又能看清的效果，适用于教室学生人脸点名及学生行为分析。</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18.高清输出: 1路HDMI, ≥1路3G-SDI。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19.网络接口：1路RJ45。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20.其它接口：1路3.5mm Line In音频接口； 1路USB 2.0接口；1路RS232 In ；1路RS232 Out；1路RS485。</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21.功耗：最大功率12W。</w:t>
            </w:r>
          </w:p>
          <w:p>
            <w:pPr>
              <w:keepNext w:val="0"/>
              <w:keepLines w:val="0"/>
              <w:widowControl/>
              <w:suppressLineNumbers w:val="0"/>
              <w:ind w:left="0" w:leftChars="0" w:firstLine="0" w:firstLineChars="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软件部分：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1.采用B/S架构，支持通用浏览器直接访问进行管理。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2.支持网络参数设置与修改，支持一键恢复默认参数。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3.支持曝光模式设置功能，包括自动、手动。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4.支持抗闪烁频率、动态范围、光圈、快门参数设置。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5.支持自动白平衡设置功能，红、蓝增益可调。</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6.支持噪声抑制设置功能，支持2D、3D降噪。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7.支持摄像机图像质量调节功能，包括亮度、对比度、色调、饱和度。</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8.支持摄像机控制功能，包括云台控制、预置位设置与调用、焦距调节等。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7 </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教师定位电子云镜摄像机</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硬件部分：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1.支持846万像素，采用1/2.8英寸CMOS传感器。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2.配置4K Sensor和4K镜头,实现高清电子云台效果。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3.支持智能教学跟踪，内置领先的图像识别和跟踪算法，无需任何辅助定位摄像机或跟踪主机即可实现平滑自然的跟踪效果。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4.AF镜头自动对焦无畸变镜头，焦距: f8.2mm，水平视场角: 40°，数字变焦8x。</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5.最低照度： 0.5 Lux</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6.视频编码：H.265/H.264/MJPEG；视频码率：32Kbps～16384Kbps。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7.音频压缩：AAC/G711A；音频码率：96Kbps、128Kbps。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8.支持四路码流。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9.在监视或录像状态下，监视画面无明显缺损，物体移动时画面边缘无明显锯齿、拉毛现象。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10.人脸检测功能检验：可对监视画面中出现的人脸进行检测。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11.电子快门：1/30s ~ 1/10000s。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12.白平衡：支持自动、室内、室外、 一键式、手动、指定色温设置。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13.数字降噪：2D, 3D数字降噪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14.支持背光补偿。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15.供电：DC12V、POE、POC。</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16.接口：1*3G-SDI，1*USB2.0接口，1*RJ45接口，1*Line in 3芯凤凰口，1路RS485 2芯凤凰口。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17.设备采用耐高低温技术处理，通过根据GB/T 2423.1-2008和GB/T 2423.2-2008标准条件和方法下，承受低温-10℃～高温40℃环境，试验时间不少于8小时，设备无异常，确保产品使用的持久性和耐高低温性能。</w:t>
            </w:r>
          </w:p>
          <w:p>
            <w:pPr>
              <w:keepNext w:val="0"/>
              <w:keepLines w:val="0"/>
              <w:widowControl/>
              <w:suppressLineNumbers w:val="0"/>
              <w:ind w:left="0" w:leftChars="0" w:firstLine="0" w:firstLineChars="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软件部分：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1.摄像机管理软件采用B/S架构，支持通用浏览器直接访问进行管理。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2.摄像机内置电子云镜功能，无需其他跟踪辅助设备，通过一台摄像机即可实现教师全景与教师特写的拍摄。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3.全景画面与特写画面采用相同图像传感器和图像处理器，确保两者图像输出亮度、颜色、风格等保持一致。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4.全景景别视频和特写景别视频之间可配置为自动切换模式。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5.支持网络参数设置与修改，支持一键恢复默认参数。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6.支持摄像机图像质量调节功能，包括亮度、对比度、色调、饱和度。</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7.支持摄像机控制功能，包括电子云台控制、焦距调节等。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.支持多速度等级的电子云台控制。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.支持交织模式，可实现单摄像头单SDI接口同时输出全景和特写信号。</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.支持老师跟踪，单摄像机同时实现全景景别和跟踪特写景别拍摄。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.支持对教师行为的精准检测定位；支持教师行为检测功能；当检测区域内有教师走动，支持对运动中的教师人脸进行检测、跟踪、抓拍。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.全景画面支持畸变矫正功能。</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支持人脸检测：支持跟踪；支持背光补偿、宽动态、增益控制、2D/3D降噪等；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8 </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学生定位电子云镜摄像机</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硬件部分：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1.支持846万像素，采用1/2.8英寸CMOS传感器。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2.配置4K Sensor和4K镜头,实现高清电子云台效果。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3.支持智能教学跟踪，内置领先的图像识别和跟踪算法，无需任何辅助定位摄像机或跟踪主机即可实现平滑自然的跟踪效果。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4.AF镜头自动对焦无畸变镜头，f2.8mm，水平视场角:84°，数字变焦8x。</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5.最低照度：不大于0.5 Lux</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6.视频编码：H.265/H.264/MJPEG；视频码率：32Kbps～16384Kbps。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7.音频压缩：AAC/G711A；音频码率：96Kbps、128Kbps。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8.支持四路码流。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9.在监视或录像状态下，监视画面无明显缺损，物体移动时画面边缘无明显锯齿、拉毛现象。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10.人脸检测功能检验：可对监视画面中出现的人脸进行检测，进行人脸小图抓拍及上传。</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11.电子快门：1/30s ~ 1/10000s。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12.白平衡：支持自动、室内、室外、 一键式、手动、指定色温设置。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13.数字降噪：2D、3D数字降噪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14.要求支持背光补偿。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15.供电：DC12V、POE、POC。</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16.接口：1*3G-SDI，1*USB2.0接口，1*RJ45接口，1*Line in 3芯凤凰口，≥1路RS485 2芯凤凰口。 </w:t>
            </w:r>
          </w:p>
          <w:p>
            <w:pPr>
              <w:keepNext w:val="0"/>
              <w:keepLines w:val="0"/>
              <w:widowControl/>
              <w:suppressLineNumbers w:val="0"/>
              <w:ind w:left="0" w:leftChars="0" w:firstLine="0" w:firstLineChars="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软件部分：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1.摄像机管理软件采用B/S架构，支持通用浏览器直接访问进行管理。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2.摄像机内置电子云镜功能，无需其他跟踪辅助设备，通过一台摄像机即可实现教师全景与教师特写的拍摄。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3.全景景别和特写景别颜色、亮度等保持一致。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4.全景景别视频和特写景别视频之间可配置为自动切换模式。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5.支持网络参数设置与修改，支持一键恢复默认参数。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6.支持摄像机图像质量调节功能，包括亮度、对比度、色调、饱和度。</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7.支持摄像机控制功能，包括电子云台控制、焦距调节等。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8.支持多速度等级的电子云台控制。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9.支持交织模式，可实现单摄像头单SDI接口同时输出全景和特写信号。</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10.根据学生远近自动变焦，始终保持合适大小。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11.智能识别单人或者多人起立和坐下动作，并给出单人或者多人的特写定位镜头。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12.可识别站立后的离座走开动作。</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13.学生起立、坐下等切换码可通过参数设置界面任意自定义。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时序电源控制器</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1.整机最大电流：30A</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2.单路最大电流：13A</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3.继电器最大电流：30A</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4.输出路数：8路受控，2路直通</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5.USB输出：5V1A</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6.显示方式：2.4吋显示屏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7.通讯方式：支持RS232.网口</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8.级联数：255台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 </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数字音频矩阵</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1.信号处理：主机采用4核高速DSP处理芯片，64bit处理内核，主频≥1GHz,最大主频1.3GHz，最快信号处理延时≦8ms；支持48KHz采样率；支持≥24KHz带宽处理噪声抑制和回声消除功能。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2.音频输入/输出：16路音频通道输入，16路音频通道输出。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3.麦克风输入：8路48V幻象供电的麦克风输入，幻象供电可软件开关。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4.模拟音频输入：6路差分信号输入</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5.模拟音频输出：10路差分信号输出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6.增益调节：支持麦克风ADC增益0到35dB可调；支持DAC输出增益0到127等级可调；支持噪声抑制有0到18等级可调，混响抑制0到4级可调，扩声还原度0到10级可调。</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7.回声消除（AEC）：回音消除尾音长度：512ms，回声消除幅度：60dB,收敛速度：100dB/S，AEC有16等级可调，AEC延迟值4-255ms。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8.反馈抑制（AFC）：反馈抑制效果器支持控制开关，并且支持16段自适应频率滤波器；反馈抑制频率可手动调整；反馈抑制效果器可有效提升传声增益幅度：≥15dB。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9.自动增益控制（AGC）：增益控制幅度-24dB到24dB可调，并可开关自动增益控制功能。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10.AI智能降噪（ANS）：内置AI智能降噪算法，有效降低和滤除教室内常见稳态噪声，同时还可有效降低和滤除教室内瞬态噪声，最大噪声抑制幅度≥36dB。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11.设备调音：主机软件可根据现场需求，分别支持反馈抑制调音、手持麦扩声调音和AEC调音功能。</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一键调音：设备机身和调试软件均支持一键AI自适应声场调音。调音时，主机操作音箱自行发出调试声音，并在参数调试完成后自行结束调试。调试后，观察主机软件，可正确显示房间内吊麦及音箱数量，并明确显示调音成功或调音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11 </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指向性话筒</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支</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1.单体: 背极式驻极体</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2.指向性: 心型指向/超心型指向</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3.频率响应: 50Hz-16kHz</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4.灵敏度: -45dB±2dB (0dB=1V/Pa at 1kHz)  灵敏度高，失真小，动态范围大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5.输出阻抗: 500Ω / 1600Ω±30% (at 1kHz)</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6.负载阻抗: 1000Ω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7.使用电压: 48V幻象电源</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8.单体尺寸: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 Ø22 x 278mm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9.清晰的人声拾音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10.幻象电源供电方式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11.内置晶体管放大器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12.配弹簧传输线</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13.连接端：XLR三针公卡侬；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12  </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桌面式触摸面板</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1.采用7英寸触摸式控制面板，采用6位真彩色RGB显示(64K色)，一键式控制，与录播和时序电源控制器配套使用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2.支持控制录播系统的录制、暂停、停止、VGA锁定、手自动切换等操作；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3.支持对录播系统进行台标与字幕的显示控制；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4.支持预览通道选择，以及画面布局切换，通过中控即可进行画中画、师生对话、三分屏等画面布局的选择；</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5.支持一键开启，与一键关闭的操作；</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6.支持对摄像机进行预置位选择；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13 </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有源音箱</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功能描述：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1.箱体采用高密度中纤板材质，棉网网罩设计；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2.支持1路话筒输入、1路线路输入，话筒音量、总音量独立调节功能；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3.音箱标配壁挂安装配件，安装简单方便。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设备参数：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1.额定功率：50W；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2.额定阻抗：4Ω；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3.频率响应：40Hz～20KHz(±3dB)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4.驱动器：采用5寸低音×1，3寸高音×1；</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5.接口：1路线路输入，1路话筒接口；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6.输入灵敏度：音频输入:550mV/600Ω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7.信噪比：≥90dB；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8.最大声压级：78dB；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9.箱体型式：倒相式；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10.箱体及外饰： 高密度中纤板（咖啡色）箱体，棉网；；</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11.安装：标配壁挂架；</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12.箱体尺寸（L×W×H）（只）：185×165×290（单位：mm）  </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14  </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多媒体讲台</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1.整体设计符合人机工程学；木扶手悬空设计，扶靠舒适，为标配</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2.整体采用分体式结构，规格为长770mm、宽565mm、高930mm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3.多媒体讲台整体采用1.0mm优质冷轧钢板，无接缝，边缘及拐角均采用圆弧设计，确保学生安全，耐冲击性强，防盗性能优越。</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4.颜色选用木纹色与哑光灰白色，表面经脱脂磷化工艺处理后选用优质塑粉静电喷涂而成，耐腐蚀性强，有效保护学生视力，美观耐用。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5.所有布线孔均采用绝缘品装置隔离电源线，安全可靠。</w:t>
            </w:r>
          </w:p>
          <w:p>
            <w:pPr>
              <w:keepNext w:val="0"/>
              <w:keepLines w:val="0"/>
              <w:widowControl/>
              <w:suppressLineNumbers w:val="0"/>
              <w:ind w:left="0" w:leftChars="0" w:firstLine="0" w:firstLineChars="0"/>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6.全部的加工件均采用模具成型，先进的工装夹具、配合全自动焊接工艺，保障尺寸精度及各部件一致性。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15  </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机柜</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19寸22U机柜；宽600，深1000，高1200MM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，容量22U，符合ANSI/EIA RS-310-D、IEC297-2.DIN41494；PART1.DIN41494;PART7.GB/T3047.2-92；兼容ETSI标准。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观摩电视机</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能效等级：二级</w:t>
            </w:r>
            <w:r>
              <w:rPr>
                <w:rFonts w:hint="eastAsia" w:ascii="宋体" w:hAnsi="宋体" w:cs="宋体"/>
                <w:i w:val="0"/>
                <w:iCs w:val="0"/>
                <w:color w:val="auto"/>
                <w:kern w:val="0"/>
                <w:sz w:val="21"/>
                <w:szCs w:val="21"/>
                <w:highlight w:val="none"/>
                <w:u w:val="none"/>
                <w:lang w:val="en-US" w:eastAsia="zh-CN" w:bidi="ar"/>
              </w:rPr>
              <w:t>及以上</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屏幕尺寸55英寸</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屏幕分辨率全高清（1920x1080）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屏幕比例16:9</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2"/>
                <w:sz w:val="21"/>
                <w:szCs w:val="24"/>
                <w:highlight w:val="none"/>
                <w:lang w:val="en-US" w:eastAsia="zh-CN" w:bidi="ar-SA"/>
              </w:rPr>
              <w:t>★投标文件中必须提供该项产品由国家确定的认证机构出具的处于有效期之内的节能产品认证证书并加盖投标人公章。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有源音箱</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功能描述：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1.箱体采用高密度中纤板材质，棉网网罩设计；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2.支持1路话筒输入、1路线路输入，话筒音量、总音量独立调节功能；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3.音箱标配壁挂安装配件，安装简单方便。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设备参数：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1.额定功率：50W；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2.额定阻抗：4Ω；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3.频率响应：40Hz～20KHz(±3dB)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4.驱动器：采用5寸低音×1，3寸高音×1；</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5.接口：1路线路输入，1路话筒接口；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6.输入灵敏度：音频输入:550mV/600Ω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7.信噪比：≥90dB；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8.最大声压级：78dB；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9.箱体型式：倒相式；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10.箱体及外饰： 高密度中纤板（咖啡色）箱体，棉网；；</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11.安装：标配壁挂架；</w:t>
            </w:r>
          </w:p>
          <w:p>
            <w:pPr>
              <w:pStyle w:val="3"/>
              <w:spacing w:line="44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12.箱体尺寸（L×W×H）（只）：185×165×290（单位：mm）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18</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施工及辅材</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批</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center"/>
          </w:tcPr>
          <w:p>
            <w:pPr>
              <w:spacing w:line="288" w:lineRule="auto"/>
              <w:jc w:val="left"/>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施工配件、耗材</w:t>
            </w:r>
            <w:r>
              <w:rPr>
                <w:rFonts w:hint="eastAsia" w:ascii="宋体" w:hAnsi="宋体" w:cs="宋体"/>
                <w:i w:val="0"/>
                <w:iCs w:val="0"/>
                <w:color w:val="auto"/>
                <w:kern w:val="0"/>
                <w:sz w:val="21"/>
                <w:szCs w:val="21"/>
                <w:highlight w:val="none"/>
                <w:u w:val="none"/>
                <w:lang w:val="en-US" w:eastAsia="zh-CN" w:bidi="ar"/>
              </w:rPr>
              <w:t>，线材。</w:t>
            </w:r>
            <w:r>
              <w:rPr>
                <w:rFonts w:hint="eastAsia" w:ascii="宋体" w:hAnsi="宋体" w:eastAsia="宋体" w:cs="宋体"/>
                <w:i w:val="0"/>
                <w:iCs w:val="0"/>
                <w:color w:val="auto"/>
                <w:kern w:val="0"/>
                <w:sz w:val="21"/>
                <w:szCs w:val="21"/>
                <w:highlight w:val="none"/>
                <w:u w:val="none"/>
                <w:lang w:val="en-US" w:eastAsia="zh-CN" w:bidi="ar"/>
              </w:rPr>
              <w:t>线材</w:t>
            </w:r>
            <w:r>
              <w:rPr>
                <w:rFonts w:hint="eastAsia" w:ascii="宋体" w:hAnsi="宋体" w:cs="宋体"/>
                <w:i w:val="0"/>
                <w:iCs w:val="0"/>
                <w:color w:val="auto"/>
                <w:kern w:val="0"/>
                <w:sz w:val="21"/>
                <w:szCs w:val="21"/>
                <w:highlight w:val="none"/>
                <w:u w:val="none"/>
                <w:lang w:val="en-US" w:eastAsia="zh-CN" w:bidi="ar"/>
              </w:rPr>
              <w:t>包括</w:t>
            </w:r>
            <w:r>
              <w:rPr>
                <w:rFonts w:hint="eastAsia" w:ascii="宋体" w:hAnsi="宋体" w:cs="宋体"/>
                <w:color w:val="auto"/>
                <w:szCs w:val="21"/>
                <w:highlight w:val="none"/>
              </w:rPr>
              <w:t>音频线、音频接头、水晶头、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Cs w:val="21"/>
                <w:highlight w:val="none"/>
              </w:rPr>
              <w:t>网线、电源线、</w:t>
            </w:r>
            <w:r>
              <w:rPr>
                <w:rFonts w:hint="eastAsia" w:ascii="宋体" w:hAnsi="宋体" w:cs="宋体"/>
                <w:color w:val="auto"/>
                <w:szCs w:val="21"/>
                <w:highlight w:val="none"/>
                <w:lang w:val="en-US" w:eastAsia="zh-CN"/>
              </w:rPr>
              <w:t>HDMI线、</w:t>
            </w:r>
            <w:r>
              <w:rPr>
                <w:rFonts w:hint="eastAsia" w:ascii="宋体" w:hAnsi="宋体" w:cs="宋体"/>
                <w:color w:val="auto"/>
                <w:szCs w:val="21"/>
                <w:highlight w:val="none"/>
              </w:rPr>
              <w:t>其它辅助材料（绝缘胶布）</w:t>
            </w:r>
            <w:r>
              <w:rPr>
                <w:rFonts w:hint="eastAsia" w:ascii="宋体" w:hAnsi="宋体" w:eastAsia="宋体" w:cs="宋体"/>
                <w:i w:val="0"/>
                <w:iCs w:val="0"/>
                <w:color w:val="auto"/>
                <w:kern w:val="0"/>
                <w:sz w:val="21"/>
                <w:szCs w:val="21"/>
                <w:highlight w:val="none"/>
                <w:u w:val="none"/>
                <w:lang w:val="en-US" w:eastAsia="zh-CN" w:bidi="ar"/>
              </w:rPr>
              <w:t>等</w:t>
            </w:r>
            <w:r>
              <w:rPr>
                <w:rFonts w:hint="eastAsia" w:ascii="宋体" w:hAnsi="宋体" w:cs="宋体"/>
                <w:i w:val="0"/>
                <w:iCs w:val="0"/>
                <w:color w:val="auto"/>
                <w:kern w:val="0"/>
                <w:sz w:val="21"/>
                <w:szCs w:val="21"/>
                <w:highlight w:val="none"/>
                <w:u w:val="none"/>
                <w:lang w:val="en-US" w:eastAsia="zh-CN" w:bidi="ar"/>
              </w:rPr>
              <w:t>。以及设备的布线和安装。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19</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color w:val="auto"/>
                <w:highlight w:val="none"/>
                <w:lang w:val="en-US" w:eastAsia="zh-CN"/>
              </w:rPr>
              <w:t>设备安装及环境布置要求</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1.装修录播教室（含木地板）具体造型以现场设计为准；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2.国产优质 VGA 线/电源线/控制线/高清 SDI 线/音频线/网络线等线材、接头以及线槽/插板、交换机等材料；</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132</w:t>
            </w:r>
            <w:r>
              <w:rPr>
                <w:rFonts w:hint="eastAsia" w:ascii="宋体" w:hAnsi="宋体" w:eastAsia="宋体" w:cs="宋体"/>
                <w:i w:val="0"/>
                <w:iCs w:val="0"/>
                <w:color w:val="auto"/>
                <w:kern w:val="0"/>
                <w:sz w:val="21"/>
                <w:szCs w:val="21"/>
                <w:highlight w:val="none"/>
                <w:u w:val="none"/>
                <w:lang w:val="en-US" w:eastAsia="zh-CN" w:bidi="ar"/>
              </w:rPr>
              <w:t>㎡墙面吸音板</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蜂巢吸音板，能直接和人体接触，不会产生任何有害作用，要求无毒、无害、无污染材料；</w:t>
            </w:r>
          </w:p>
          <w:p>
            <w:pPr>
              <w:pStyle w:val="2"/>
              <w:ind w:left="0" w:leftChars="0" w:firstLine="0" w:firstLineChars="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4.81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140mm厚，600*600</w:t>
            </w:r>
            <w:r>
              <w:rPr>
                <w:rFonts w:hint="eastAsia" w:cs="宋体"/>
                <w:color w:val="auto"/>
                <w:kern w:val="0"/>
                <w:sz w:val="21"/>
                <w:szCs w:val="21"/>
                <w:highlight w:val="none"/>
              </w:rPr>
              <w:t>mm</w:t>
            </w:r>
            <w:r>
              <w:rPr>
                <w:rFonts w:hint="eastAsia" w:ascii="宋体" w:hAnsi="宋体" w:cs="宋体"/>
                <w:i w:val="0"/>
                <w:iCs w:val="0"/>
                <w:color w:val="auto"/>
                <w:kern w:val="0"/>
                <w:sz w:val="21"/>
                <w:szCs w:val="21"/>
                <w:highlight w:val="none"/>
                <w:u w:val="none"/>
                <w:lang w:val="en-US" w:eastAsia="zh-CN" w:bidi="ar"/>
              </w:rPr>
              <w:t>矿棉吸音板天花.</w:t>
            </w:r>
          </w:p>
          <w:p>
            <w:pPr>
              <w:ind w:left="0" w:leftChars="0" w:firstLine="0" w:firstLineChars="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5.3米20mm*20mm封口边角边，40条</w:t>
            </w:r>
          </w:p>
          <w:p>
            <w:pPr>
              <w:pStyle w:val="2"/>
              <w:numPr>
                <w:ilvl w:val="0"/>
                <w:numId w:val="2"/>
              </w:numPr>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方钢木板隔墙 15</w:t>
            </w:r>
            <w:r>
              <w:rPr>
                <w:rFonts w:hint="eastAsia" w:ascii="宋体" w:hAnsi="宋体" w:eastAsia="宋体" w:cs="宋体"/>
                <w:i w:val="0"/>
                <w:iCs w:val="0"/>
                <w:color w:val="auto"/>
                <w:kern w:val="0"/>
                <w:sz w:val="21"/>
                <w:szCs w:val="21"/>
                <w:highlight w:val="none"/>
                <w:u w:val="none"/>
                <w:lang w:val="en-US" w:eastAsia="zh-CN" w:bidi="ar"/>
              </w:rPr>
              <w:t>㎡</w:t>
            </w:r>
          </w:p>
          <w:p>
            <w:pPr>
              <w:numPr>
                <w:ilvl w:val="0"/>
                <w:numId w:val="0"/>
              </w:numPr>
              <w:rPr>
                <w:rFonts w:hint="default"/>
                <w:color w:val="auto"/>
                <w:highlight w:val="none"/>
                <w:lang w:val="en-US" w:eastAsia="zh-CN"/>
              </w:rPr>
            </w:pPr>
            <w:r>
              <w:rPr>
                <w:rFonts w:hint="eastAsia"/>
                <w:color w:val="auto"/>
                <w:highlight w:val="none"/>
                <w:lang w:val="en-US" w:eastAsia="zh-CN"/>
              </w:rPr>
              <w:t>7.Led方灯600*600</w:t>
            </w:r>
            <w:r>
              <w:rPr>
                <w:rFonts w:hint="eastAsia" w:cs="宋体"/>
                <w:color w:val="auto"/>
                <w:kern w:val="0"/>
                <w:sz w:val="21"/>
                <w:szCs w:val="21"/>
                <w:highlight w:val="none"/>
              </w:rPr>
              <w:t>mm</w:t>
            </w:r>
            <w:r>
              <w:rPr>
                <w:rFonts w:hint="eastAsia"/>
                <w:color w:val="auto"/>
                <w:highlight w:val="none"/>
                <w:lang w:val="en-US" w:eastAsia="zh-CN"/>
              </w:rPr>
              <w:t>，68W，铝合金材料20个</w:t>
            </w:r>
          </w:p>
          <w:p>
            <w:pPr>
              <w:pStyle w:val="2"/>
              <w:numPr>
                <w:ilvl w:val="0"/>
                <w:numId w:val="2"/>
              </w:numPr>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cs="宋体"/>
                <w:color w:val="auto"/>
                <w:kern w:val="0"/>
                <w:sz w:val="21"/>
                <w:szCs w:val="21"/>
                <w:highlight w:val="none"/>
                <w:lang w:val="en-US" w:eastAsia="zh-CN"/>
              </w:rPr>
              <w:t>10</w:t>
            </w:r>
            <w:r>
              <w:rPr>
                <w:rFonts w:hint="eastAsia" w:cs="宋体"/>
                <w:color w:val="auto"/>
                <w:kern w:val="0"/>
                <w:sz w:val="21"/>
                <w:szCs w:val="21"/>
                <w:highlight w:val="none"/>
              </w:rPr>
              <w:t>mm钢化玻璃</w:t>
            </w:r>
            <w:r>
              <w:rPr>
                <w:rFonts w:hint="eastAsia" w:cs="宋体"/>
                <w:color w:val="auto"/>
                <w:kern w:val="0"/>
                <w:sz w:val="21"/>
                <w:szCs w:val="21"/>
                <w:highlight w:val="none"/>
                <w:lang w:val="en-US" w:eastAsia="zh-CN"/>
              </w:rPr>
              <w:t>7</w:t>
            </w:r>
            <w:r>
              <w:rPr>
                <w:rFonts w:hint="eastAsia" w:ascii="宋体" w:hAnsi="宋体" w:eastAsia="宋体" w:cs="宋体"/>
                <w:i w:val="0"/>
                <w:iCs w:val="0"/>
                <w:color w:val="auto"/>
                <w:kern w:val="0"/>
                <w:sz w:val="21"/>
                <w:szCs w:val="21"/>
                <w:highlight w:val="none"/>
                <w:u w:val="none"/>
                <w:lang w:val="en-US" w:eastAsia="zh-CN" w:bidi="ar"/>
              </w:rPr>
              <w:t>㎡</w:t>
            </w:r>
            <w:r>
              <w:rPr>
                <w:rFonts w:hint="eastAsia" w:cs="宋体"/>
                <w:color w:val="auto"/>
                <w:kern w:val="0"/>
                <w:sz w:val="21"/>
                <w:szCs w:val="21"/>
                <w:highlight w:val="none"/>
              </w:rPr>
              <w:t>，单项透视玻璃，观摩室可通过玻璃看到录播室上课效果,含材料安装人工</w:t>
            </w:r>
          </w:p>
          <w:p>
            <w:pPr>
              <w:keepNext w:val="0"/>
              <w:keepLines w:val="0"/>
              <w:widowControl/>
              <w:numPr>
                <w:ilvl w:val="0"/>
                <w:numId w:val="2"/>
              </w:numPr>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cs="宋体"/>
                <w:color w:val="auto"/>
                <w:kern w:val="0"/>
                <w:sz w:val="21"/>
                <w:szCs w:val="21"/>
                <w:highlight w:val="none"/>
              </w:rPr>
              <w:t>强弱电布线</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81</w:t>
            </w:r>
            <w:r>
              <w:rPr>
                <w:rFonts w:hint="eastAsia" w:ascii="宋体" w:hAnsi="宋体" w:eastAsia="宋体" w:cs="宋体"/>
                <w:i w:val="0"/>
                <w:iCs w:val="0"/>
                <w:color w:val="auto"/>
                <w:kern w:val="0"/>
                <w:sz w:val="21"/>
                <w:szCs w:val="21"/>
                <w:highlight w:val="none"/>
                <w:u w:val="none"/>
                <w:lang w:val="en-US" w:eastAsia="zh-CN" w:bidi="ar"/>
              </w:rPr>
              <w:t>㎡，符合国家标准的铜线，负载满足要求，三线分色分类阻燃分离布线；</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.网线：六类双绞线；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.插座：符合国家标准，满足连接需求；</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.安装：满足项目所需安装要求；</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．施工用各种辅助材料；</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．含录播教室和观摩教室装修事项（不含打墙）的所有安装工程、线材、辅材及垃圾清运。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sz w:val="21"/>
                <w:szCs w:val="21"/>
                <w:highlight w:val="none"/>
                <w:vertAlign w:val="baseline"/>
                <w:lang w:val="en-US" w:eastAsia="zh-CN"/>
              </w:rPr>
              <w:t>20</w:t>
            </w:r>
          </w:p>
        </w:tc>
        <w:tc>
          <w:tcPr>
            <w:tcW w:w="888" w:type="dxa"/>
            <w:noWrap w:val="0"/>
            <w:vAlign w:val="top"/>
          </w:tcPr>
          <w:p>
            <w:pPr>
              <w:pStyle w:val="3"/>
              <w:ind w:left="0" w:leftChars="0" w:firstLine="0" w:firstLineChars="0"/>
              <w:jc w:val="both"/>
              <w:rPr>
                <w:rFonts w:hint="eastAsia"/>
                <w:color w:val="auto"/>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86寸</w:t>
            </w:r>
            <w:r>
              <w:rPr>
                <w:rFonts w:hint="eastAsia" w:hAnsi="宋体" w:cs="宋体"/>
                <w:b w:val="0"/>
                <w:bCs w:val="0"/>
                <w:color w:val="auto"/>
                <w:sz w:val="21"/>
                <w:szCs w:val="21"/>
                <w:highlight w:val="none"/>
                <w:vertAlign w:val="baseline"/>
                <w:lang w:val="en-US" w:eastAsia="zh-CN"/>
              </w:rPr>
              <w:t>交互式一体机</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vertAlign w:val="baseline"/>
                <w:lang w:val="en-US" w:eastAsia="zh-CN"/>
              </w:rPr>
              <w:t>台</w:t>
            </w:r>
          </w:p>
        </w:tc>
        <w:tc>
          <w:tcPr>
            <w:tcW w:w="645" w:type="dxa"/>
            <w:noWrap w:val="0"/>
            <w:vAlign w:val="top"/>
          </w:tcPr>
          <w:p>
            <w:pPr>
              <w:pStyle w:val="3"/>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hAnsi="宋体" w:cs="宋体"/>
                <w:b w:val="0"/>
                <w:bCs w:val="0"/>
                <w:color w:val="auto"/>
                <w:sz w:val="21"/>
                <w:szCs w:val="21"/>
                <w:highlight w:val="none"/>
                <w:vertAlign w:val="baseline"/>
                <w:lang w:val="en-US" w:eastAsia="zh-CN"/>
              </w:rPr>
              <w:t>1</w:t>
            </w:r>
          </w:p>
        </w:tc>
        <w:tc>
          <w:tcPr>
            <w:tcW w:w="726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一、摄像效果设计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1.整机上边框内置非独立式摄像头，采用一体化集成设计，摄像头数量≥4个。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2.上边框内置非独立式≥3个智能拼接摄像头，视场角≥141度，水平视场角≥139度，支持输出≥8192×2048分辨率的照片和视频，支持画面畸变矫正功能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3.整机内置至少三个摄像头，像素值均大于800 万，同时输出至少 3 路视频流，同时支持课堂远程巡课、课堂教学数据采集、本地画面预览（拍照或视频录制）。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4.具备摄像头工作指示灯，摄像头运行时，有指示灯提示。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二、整机接口设计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1.侧置输入接口具备≥2路HDMI、≥1路RS232.≥1路USB接口。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2.侧置输出接口具备≥1路音频输出、≥1路触控USB输出。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3.前置输入接口≥3路USB接口（包含≥1路Type-C、≥2路USB），前置USB接口支持Android系统、Windows系统读取外接移动存储设备。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5.外接电脑设备经双头Type-C线连接至整机，可调用整机内置的摄像头、麦克风、扬声器，在外接电脑即可控制整机拍摄教室画面。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6.支持通过Type-C接口U盘进行文件传输，兼容Type-C接口手机充电。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三、整机安全设计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1.整机全通道支持纸质护眼模式，可实现画面纹理的实时调整；支持纸质纹理：牛皮纸、素描纸、宣纸、水彩纸、水纹纸；支持透明度调节；支持色温调节。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2.纸质护眼模式下，显示画面各像素点灰度不规则，减少背景干扰。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3.支持经典护眼模式，可通过前置面板物理功能按键一键启用经典护眼模式。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4.机身具备防盐雾锈蚀特性，且满足GB4943.1-2011标准中的防火要求。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5.整机具备抗振动、防跌落特性，保证整机运输或使用过程中不易受损。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7.整机在0℃- 40℃环境下可正常工作，在-20℃—60℃的环境下可正常贮存且贮存后功能无损。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四、整机屏幕设计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3.整机屏幕采用≥86英寸液晶显示器，采用UHD超高清LED液晶屏，显示比例16:9，分辨率3840×2160，色域覆盖率≥72%，灰度等级≥256级。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4.整机采用全物理钢化玻璃，有效保护屏幕显示画面，采用防眩光玻璃，屏幕支持防眩光功能，钢化玻璃表面硬度≥9H。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5.整机背光系统支持DC调光方式，多级亮度调节，支持白颜色背景下最暗亮度≤100nit，用于提升显示对比度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7.整机支持支持可自定义图像设置，可对对比度、屏幕色温、图像亮度、亮度范围、色彩空间进行更进一步调节设置。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8.整机支持色彩空间可选，包含标准模式和sRGB模式，在sRGB模式下可做到高色准△E≤1.0。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五、多媒体教学设计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1.整机全通道侧边栏快捷菜单包含如下小工具：批注、降半屏、截屏、放大镜、倒计时、日历、聚光灯、秒表、冻屏、倒数日、答题、节拍器。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2.整机全通道侧边栏支持使用批注小工具进行批注讲解，可切换书写笔颜色、截屏保存批注内容、清屏，可根据手与屏幕的接触面积自动调整板擦工具的大小。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3.整机全通道侧边栏快捷菜单支持快捷调节音量、亮度，支持自动亮度模式，支持点击静音按钮静音。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4.教学中可以实时查看物联设备的连接情况，点击任意一台设备图标即可调出中控菜单进行管控。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5.整机安卓和全部外接通道（HDMI、Type-c）下侧边栏支持节拍器，支持设置节拍、轻重、节拍播放速度。全通道下可支持通过自定义按键调出该功能。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6.整机安卓和全部外接通道（HDMI、Type-C）下侧边栏支持设置倒数日。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7.整机全通道侧边栏支持倒计时、正计时功能；倒计时，输入某特定时间值，可精确到秒，点击开始进入倒计时；正计时，点击开始计时便自动开始，并实时显示时间。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8.教学支持放大任意区域内容；并可支持对未选中区域关灯处理，实现聚光灯效果。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六、整机系统设计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（一）电脑系统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1.CPU：主频≥2.0GHz，8核12线程或以上性能。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2.内存：16GB DDR4笔记本内存或以上配置。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3.硬盘：256 GB或以上SSD固态硬盘。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4.PC模块可抽拉式插入整机，可实现无单独接线的插拔，和整机的连接采用万兆级接口，传输速率≥10Gbps。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5.采用按压式卡扣，无需工具就可快速拆卸电脑模块。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6.PC模块的USB接口</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为冗余备份接口，在正常使用整机的内置摄像头、内置麦克风功能时，USB接口不被占用，确保教师有足够的接口外接存储设备及显示设备。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7.具有独立非外扩展的视频输出接口：≥1路HDMI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8.具有独立非外拓展的电脑 USB 接口：至少具备 3个USB3.0 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9.整机具备供电保护模块，能够检测内置电脑是否插好在位，在内置电脑未在位的情况下，内置电脑无法上电工作。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（二）触摸系统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1.采用红外触控技术，支持Windows系统中进行40点或以上触控，支持在Android系统中进行40点或以上触控。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2.整机屏幕触摸有效识别高度不超过1.5mm，即触摸物体距离玻璃外表面高度不超过1.5mm时，触摸屏识别为点击操作。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3.整机触控书写功能集成预测算法，在书写速度≥50cm/s，支持笔迹距离笔的距离小于20mm。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4.整机系统支持书写触控延迟≤25ms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5.整机支持提笔书写，在Windows系统下可实现无需点击任意功能入口，当检测到红外笔笔尖接触屏幕时，自动进入书写模式。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6.支持智能板擦功能，系统可根据触控物体的形状自动识别出实物板擦，可擦除电子白板中的内容，无需依赖外部电子设备。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7.支持Windows 7.Windows 8.Windows 10.Windows 11.Linux、Mac Os、UOS和麒麟系统外置电脑操作系统接入时，无需安装触摸驱动。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8.整机触摸支持动态压力感应，支持无任何电子功能的普通书写笔在整机上书写或点压时，整机能感应压力变化，书写或点压过程笔迹呈现不同粗细。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（三）嵌入式系统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1.嵌入式系统版本不低于Android 13，内存≥2GB，存储空间≥8GB。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2.嵌入式Android操作系统下，白板支持对已经书写的笔迹和形状的颜色进行更换。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3.在嵌入式系统下使用白板软件时，整机可自行调节屏幕亮度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4.嵌入式Android操作系统下，互动白板支持不同背景颜色，同时提供学科背景，如：五线谱、信纸、田字格、英文格、篮球和足球场地平面图。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6.无PC状态下，嵌入式系统内置互动白板支持全局漫游，并能在工具栏中对全局内容进行预览和移动。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7.无PC状态下，嵌入式Android操作系统下可使用白板书写、WPS软件和网页浏览。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七、综合素质管理软件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2.移动端支持教师/家长双重身份无缝切换，软件内可直接切换账户类型，无需安装多个APP应用或退出账号重新登录。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3.兼容多平台系统，可在PC、Web、安卓、iOS等系统使用，且各终端数据互通，教师可多场景下对学生进行管理与评价。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4.支持汇总查看校内的班级评价排名，可以列表形式查看班主任、班级学生数、家长数、班级代码等信息。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5.支持查看校内某个班级的详细信息及学生个人表现记录，便于进行教学行为分析。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6.支持创建新班级，可批量添加学生，同时支持将已有班级的学生与家长快速导入新班级。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7.支持进行校级、年级学生综合素质量表快速导入，教师可将针对不同年级学段以及校级综合素质量表快速导入班级。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8.支持按学生或小组的首字母、总分、表扬分数、待改进分数等维度进行排序，方便老师快速找到需要评价的学生或小组。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9.支持考勤功能，可对学生的出勤、迟到、缺勤、请假状态进行记录，并支持查看课堂考勤统计报表，可详细查看班级考勤概览数据。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八、教学功能设计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2.设备支持通过前置面板物理按键一键启动录屏功能，可将屏幕中显示的课件、音频内容与人声同时录制。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4.整机支持自定义图像设置，可对对比度、屏幕色温、图像亮度、亮度范围、色彩空间调节设置。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5.整机关机状态下，通过长按电源键进入设置界面后，可点击屏幕选择故障检测、系统还原功能，系统还原可单独还原PC系统，单独还原整机系统。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6.整机无需外接无线网卡，在Android和Windows系统下可实现Wi-Fi无线上网连接、AP无线热点发射和BT蓝牙连接功能。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7.Wi-Fi和AP热点工作距离≥12m。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8.整机支持蓝牙Bluetooth 5.4标准，固件版本号HCI13.0/LMP13.0。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9.整机支持发出频率为18kHz-22kHz超声波信号，智能手机通过麦克风接收后，智能手机与整机无需在同一局域网内，可实现配对，一键投屏，用户无需手动输入投屏码或扫码获取投屏码。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10.整机PC端支持主动发现蓝牙外设从而连接（无需整机进入发现模式），支持连接外部蓝牙音箱播放音频。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11.整机内置双WiFi6无线网卡，在Android下支持无线设备同时连接数量≥32个，在Windows系统下支持无线设备同时连接≥8个。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12.支持标准、听力、观影和AI空间感知音效模式，AI空间感知音效模式可通过内置麦克风采集教室物理环境声音，自动生成符合当前教室物理环境的频段、音量、音效。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13.整机可选择高级音效设置，支持在左右声道平衡显示范围中进行更改；中低频段显示调节范围125Hz～1KHz，高频段显示调节范围 2KHz～16KHz，分贝显示-12dB～12dB 调节范围。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14.整机扬声器在100%音量下，可做到1米处声压级≥88db，10米处声压级≥79dB。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15.整机设备自带地震预警软件。支持在地震预警页面中获取位置，可以手动进行位置校准。支持在地震预警页面中选择提醒阈值。支持在地震预警界面中开启和关闭地震预警服务。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16.整机内置2.2声道扬声器，位于设备上边框，顶置朝前发声，前朝向≥10W高音扬声器≥2个，上朝向≥20W中低音扬声器≥2个，额定总功率≥60W。采用缝隙发声技术，喇叭采用槽式开口设计，不大于5.8mm。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17.整机内置非独立外扩展的8阵列麦克风，拾音角度≥180°，可用于对教室环境音频进行采集，拾音距离≥12m。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18.整机上边框内置非独立的广角高清摄像头，在距离整机1.7米情况下，且拍摄范围可以覆盖摄像头垂直法线左右距离大于等于4米，可以实现人脸识别。</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19.整机上边框内置非独式广角摄像头和智能拼接摄像头， 均支持 3D 降噪算法和数字宽动态范围成像WDR 技术，支持输出 MJPG、 H.264 视频格式。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20.整机摄像头支持人脸识别、清点人数、随机抽人；识别所有学生，显示标记，然后随机抽选，同时显示标记不少于60人。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21.整机设备教学桌面支持教学常用的教学白板软件和文件管理软件软件；教学桌面首页支持自定义桌面应用，支持展示8个应用入口。并提供进入本机所有应用的入口。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22.整机设备教学桌面支持查看设备盘符，支持本地磁盘和外接 U 盘、移动硬盘，点击即可打开该磁盘查看磁盘文件。教学桌面支持显示存储空间状态，当存储空间即将满载时候进行红色标记明显提示。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九、教学备授课软件设计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（一）白板教学PC端应用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2.教学系统</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6.支持软件联网自动静默升级，无需用户手动更新。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7.课件背景：提供不少于8种以上背景模板供老师选择，持自定义背景。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12.数学公式编辑器：支持复杂数学公式输入，提供不少于 20 个数学符号及模板，输出的公式内容支持不同颜色标记及二次编辑。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13.数学画板功能：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a)能在白板中插入在线画板，授课时可以一键打开,方便老师配合课件内容进行讲解。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b)提供不少于 500 个数学画板资源，覆盖小学、初中、高中学段数学学科主要知识点，并按照知识点分类，便于老师查找。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15.表格：</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a)具有表格插入功能，并提供5种以上表格样式供老师选择。</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b)表格能自适应，可一键将表格的行、列调整到最合适的大小。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c)具有表格遮罩功能，可对表格中任意一格添加遮罩，在授课模式下通过点击可消除遮罩，方便老师设置互动活动。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d)在授课模式下，支持表格克隆功能，可克隆出多个相同表格，</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方便老师请多位同学进行答题互动。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16.图表：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a)具有图表插入功能，并提供柱状图、扇形图、折线图 3 种图表形式，且每种形式提供不少于5种样式供选择。</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b)具有图表二维及三维展示形式任意切换，且三维图表支持旋转，方便多角度展示数据变化。</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c)具有图表添加超链接，可连接至课件其他页面、网页、软件自带小工具等地方。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d)在授课模式下，支持图表克隆功能，可克隆出多个相同图表，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方便老师进行对比观察。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17.古诗词资源：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a)提供覆盖多学段的古诗词、古文资源，包含原文、翻译、背景介绍、作者介绍、朗诵音频等。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b)支持用户根据年级、朝代、诗人等进行分类查找，也可直接搜索诗词、古文名称或作者名查找。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c)提供不少于9种古诗词专用背景模板，老师可贴合古诗词意境选择合适背景进行教学。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d)每篇古诗词、古文均提供原文及翻译、背景介绍、作者介绍等，同时支持一键跳转打开网页，展示对应的背景或作者介绍。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e)支持老师备课时对原文进行注释、标重点等操作，方便老师讲解重点字词。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19.美术画板：具有美术画板工具，提供铅笔、毛笔、油画笔，可实现模拟调色盘功能，老师可自由选择不同颜色进行混合调色，搭配出任意色彩。</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20.美术工具：具备图形自由创作工具，教师可自由绘制复杂的任意多边图形及曲边图形；教师自主创作的图形可存储至个人云空间便于后续使用。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（二）白板软件移动端应用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2.可在移动平台选择是否接收获取的分享课件，接收后课件储存至个人云空间，可在移动平台的互动课件列表预览。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3.移动平台可对云空间互动课件和课件组移动、删除和重命名，课件及课件组支持批量移动、删除。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4.移动平台可将课件通过微信、朋友圈、云空间帐号、二维码、公开链接、加密链接等方式进行分享，分享有效期支持自定义。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十、教学PPT小工具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1.不借助其他软件情况下，播放PPT时即可实现书写、擦除功能；可支持课件所有页面的预览、可随意进行页面跳转和实现上下翻页。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2.不借助其他软件情况下，播放PPT时即可支持板中板功能，直接调用板中板辅助教学，可实现批注及加页，不影响课件整体内容。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4.不借助其他软件情况下，播放PPT时即可调用放大镜、聚光灯小工具辅助教学。</w:t>
            </w:r>
          </w:p>
          <w:p>
            <w:pPr>
              <w:keepNext w:val="0"/>
              <w:keepLines w:val="0"/>
              <w:widowControl/>
              <w:suppressLineNumbers w:val="0"/>
              <w:ind w:firstLine="420" w:firstLineChars="200"/>
              <w:jc w:val="left"/>
              <w:textAlignment w:val="center"/>
              <w:rPr>
                <w:rFonts w:hint="eastAsia" w:ascii="宋体" w:hAnsi="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sz w:val="21"/>
                <w:szCs w:val="21"/>
                <w:highlight w:val="none"/>
                <w:vertAlign w:val="baseline"/>
                <w:lang w:val="en-US" w:eastAsia="zh-CN"/>
              </w:rPr>
              <w:t>21</w:t>
            </w:r>
          </w:p>
        </w:tc>
        <w:tc>
          <w:tcPr>
            <w:tcW w:w="888" w:type="dxa"/>
            <w:noWrap w:val="0"/>
            <w:vAlign w:val="top"/>
          </w:tcPr>
          <w:p>
            <w:pPr>
              <w:pStyle w:val="3"/>
              <w:ind w:left="0" w:leftChars="0" w:firstLine="0" w:firstLineChars="0"/>
              <w:jc w:val="both"/>
              <w:rPr>
                <w:rFonts w:hint="eastAsia"/>
                <w:color w:val="auto"/>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变轨黑板</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vertAlign w:val="baseline"/>
                <w:lang w:val="en-US" w:eastAsia="zh-CN"/>
              </w:rPr>
              <w:t>套</w:t>
            </w:r>
          </w:p>
        </w:tc>
        <w:tc>
          <w:tcPr>
            <w:tcW w:w="645" w:type="dxa"/>
            <w:noWrap w:val="0"/>
            <w:vAlign w:val="top"/>
          </w:tcPr>
          <w:p>
            <w:pPr>
              <w:pStyle w:val="3"/>
              <w:ind w:left="0" w:leftChars="0" w:firstLine="0" w:firstLineChars="0"/>
              <w:jc w:val="both"/>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hAnsi="宋体" w:cs="宋体"/>
                <w:b w:val="0"/>
                <w:bCs w:val="0"/>
                <w:color w:val="auto"/>
                <w:sz w:val="21"/>
                <w:szCs w:val="21"/>
                <w:highlight w:val="none"/>
                <w:vertAlign w:val="baseline"/>
                <w:lang w:val="en-US" w:eastAsia="zh-CN"/>
              </w:rPr>
              <w:t>1</w:t>
            </w:r>
          </w:p>
        </w:tc>
        <w:tc>
          <w:tcPr>
            <w:tcW w:w="726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1.结构：主要由两块滑动板、两块固定板、一套外框组成，当滑动板闭合时，可自动向内变轨至与固定板平齐。闭合后，滑动板应与固定板处在同一平面。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2.尺寸：长度≥4350mm，高度可根据所配电子产品适当调整，确保与电子产品的有效配套。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3.内板：正面左右两侧无边框设计，上下边框正面高度不超15mm，最大限度的增大书写面。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板面：采用金属烤漆书写板面，亚光、墨绿色，光泽度≤12光泽单位，没有因教学书写板本身原因产生的眩光，书写流畅字迹清晰、色彩协调可视效果佳，有效的缓解学生视觉疲劳；可吸附磁钉、磁片，便于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5.背板：采用优质镀锌钢板，机械化流水线一次成型。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6.衬板：选用高强度、吸音、防潮、阻燃聚苯乙烯板,厚度≥14mm。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7.覆板：采用自动化流水线覆板作业，避免人工作业刷胶不均导致粘贴不牢、起鼓等现象。甲醛释放量≤0.2mg/L，符合GB 28231-2011《书写板安全卫生要求》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边框：采用高强度银白色铝合金型材，横框规格≥45×100mmmm，立框规格≥35mm×135mm。立框应隐藏于固定板后部，以使闭合后整体性效果更美观，并从根本上解决滑动板撞击立框造成夹手及影响产品寿命的情形。横立框不可采用拼接方式以确保强度。边框应具有良好的耐磨性及耐腐蚀性，耐腐蚀性CASS 72H不得低于10级，耐磨性（落沙试验）应不低于3900g。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9.置物：液晶屏下侧应设有置物空间，可放置粉笔、教鞭等。置物空间后部及左右两侧应有封堵，避免物品掉落。其下侧面向学生侧应有避免物品从前端滚落的凸起。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10.滑轮：采用高精度轴承滑轮，上下各4组。为确保产品耐久性，滑轮使用寿命应不低于10万次。</w:t>
            </w:r>
          </w:p>
          <w:p>
            <w:pPr>
              <w:keepNext w:val="0"/>
              <w:keepLines w:val="0"/>
              <w:widowControl/>
              <w:suppressLineNumbers w:val="0"/>
              <w:ind w:firstLine="420" w:firstLineChars="20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11.拉手：拉手位置在安装完毕后，仍应可由用户在水平方向调整，确保舒适。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22</w:t>
            </w:r>
          </w:p>
        </w:tc>
        <w:tc>
          <w:tcPr>
            <w:tcW w:w="888" w:type="dxa"/>
            <w:noWrap w:val="0"/>
            <w:vAlign w:val="top"/>
          </w:tcPr>
          <w:p>
            <w:pPr>
              <w:pStyle w:val="3"/>
              <w:ind w:left="0" w:leftChars="0" w:firstLine="0" w:firstLineChars="0"/>
              <w:jc w:val="both"/>
              <w:rPr>
                <w:rFonts w:hint="default"/>
                <w:color w:val="auto"/>
                <w:highlight w:val="none"/>
                <w:lang w:val="en-US" w:eastAsia="zh-CN"/>
              </w:rPr>
            </w:pPr>
            <w:r>
              <w:rPr>
                <w:rFonts w:hint="eastAsia" w:ascii="宋体" w:hAnsi="宋体" w:eastAsia="宋体" w:cs="宋体"/>
                <w:color w:val="auto"/>
                <w:kern w:val="0"/>
                <w:sz w:val="21"/>
                <w:szCs w:val="21"/>
                <w:highlight w:val="none"/>
                <w:u w:val="none"/>
                <w:lang w:val="en-US" w:eastAsia="zh-CN" w:bidi="ar"/>
              </w:rPr>
              <w:t>视频展台</w:t>
            </w:r>
          </w:p>
        </w:tc>
        <w:tc>
          <w:tcPr>
            <w:tcW w:w="630" w:type="dxa"/>
            <w:gridSpan w:val="2"/>
            <w:noWrap w:val="0"/>
            <w:vAlign w:val="top"/>
          </w:tcPr>
          <w:p>
            <w:pPr>
              <w:pStyle w:val="3"/>
              <w:ind w:left="0" w:leftChars="0" w:firstLine="0" w:firstLineChars="0"/>
              <w:jc w:val="both"/>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hAnsi="宋体" w:cs="宋体"/>
                <w:b w:val="0"/>
                <w:bCs w:val="0"/>
                <w:i w:val="0"/>
                <w:iCs w:val="0"/>
                <w:color w:val="auto"/>
                <w:kern w:val="0"/>
                <w:sz w:val="21"/>
                <w:szCs w:val="21"/>
                <w:highlight w:val="none"/>
                <w:u w:val="none"/>
                <w:lang w:val="en-US" w:eastAsia="zh-CN" w:bidi="ar"/>
              </w:rPr>
              <w:t>台</w:t>
            </w:r>
          </w:p>
        </w:tc>
        <w:tc>
          <w:tcPr>
            <w:tcW w:w="645" w:type="dxa"/>
            <w:noWrap w:val="0"/>
            <w:vAlign w:val="top"/>
          </w:tcPr>
          <w:p>
            <w:pPr>
              <w:pStyle w:val="3"/>
              <w:ind w:left="0" w:leftChars="0" w:firstLine="0" w:firstLineChars="0"/>
              <w:jc w:val="both"/>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hAnsi="宋体" w:cs="宋体"/>
                <w:b w:val="0"/>
                <w:bCs w:val="0"/>
                <w:i w:val="0"/>
                <w:iCs w:val="0"/>
                <w:color w:val="auto"/>
                <w:kern w:val="0"/>
                <w:sz w:val="21"/>
                <w:szCs w:val="21"/>
                <w:highlight w:val="none"/>
                <w:u w:val="none"/>
                <w:lang w:val="en-US" w:eastAsia="zh-CN" w:bidi="ar"/>
              </w:rPr>
              <w:t>1</w:t>
            </w:r>
          </w:p>
        </w:tc>
        <w:tc>
          <w:tcPr>
            <w:tcW w:w="7265" w:type="dxa"/>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color w:val="auto"/>
                <w:kern w:val="0"/>
                <w:szCs w:val="21"/>
                <w:highlight w:val="none"/>
                <w:u w:val="none"/>
                <w:lang w:eastAsia="zh-CN" w:bidi="ar"/>
              </w:rPr>
            </w:pPr>
            <w:r>
              <w:rPr>
                <w:rFonts w:hint="eastAsia" w:ascii="宋体" w:hAnsi="宋体" w:eastAsia="宋体" w:cs="宋体"/>
                <w:color w:val="auto"/>
                <w:kern w:val="0"/>
                <w:szCs w:val="21"/>
                <w:highlight w:val="none"/>
                <w:u w:val="none"/>
                <w:lang w:bidi="ar"/>
              </w:rPr>
              <w:t>1.采用≥800万像素摄像头；采用 USB五伏电源直接供电，无需额外配置电源适配器，环保无辐射；箱内USB连线采用隐藏式设计，箱内无可见连线且USB口下出，有效防止积尘，且方便布线和返修。</w:t>
            </w:r>
          </w:p>
          <w:p>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color w:val="auto"/>
                <w:kern w:val="0"/>
                <w:szCs w:val="21"/>
                <w:highlight w:val="none"/>
                <w:u w:val="none"/>
                <w:lang w:eastAsia="zh-CN" w:bidi="ar"/>
              </w:rPr>
            </w:pPr>
            <w:r>
              <w:rPr>
                <w:rFonts w:hint="eastAsia" w:ascii="宋体" w:hAnsi="宋体" w:eastAsia="宋体" w:cs="宋体"/>
                <w:color w:val="auto"/>
                <w:kern w:val="0"/>
                <w:szCs w:val="21"/>
                <w:highlight w:val="none"/>
                <w:u w:val="none"/>
                <w:lang w:bidi="ar"/>
              </w:rPr>
              <w:t>2.A4大小拍摄幅面，1080P动态视频预览达到30帧/秒；托板及挂墙部分采用金属加强，托板可承重3kg，整机壁挂式安装。</w:t>
            </w:r>
          </w:p>
          <w:p>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color w:val="auto"/>
                <w:kern w:val="0"/>
                <w:szCs w:val="21"/>
                <w:highlight w:val="none"/>
                <w:u w:val="none"/>
                <w:lang w:eastAsia="zh-CN" w:bidi="ar"/>
              </w:rPr>
            </w:pPr>
            <w:r>
              <w:rPr>
                <w:rFonts w:hint="eastAsia" w:ascii="宋体" w:hAnsi="宋体" w:eastAsia="宋体" w:cs="宋体"/>
                <w:color w:val="auto"/>
                <w:kern w:val="0"/>
                <w:szCs w:val="21"/>
                <w:highlight w:val="none"/>
                <w:u w:val="none"/>
                <w:lang w:bidi="ar"/>
              </w:rPr>
              <w:t>3.支持展台成像画面实时批注，预设多种笔划粗细及颜色供选择，且支持对展台成像画面联同批注内容进行同步缩放、移动。</w:t>
            </w:r>
          </w:p>
          <w:p>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color w:val="auto"/>
                <w:kern w:val="0"/>
                <w:szCs w:val="21"/>
                <w:highlight w:val="none"/>
                <w:u w:val="none"/>
                <w:lang w:eastAsia="zh-CN" w:bidi="ar"/>
              </w:rPr>
            </w:pPr>
            <w:r>
              <w:rPr>
                <w:rFonts w:hint="eastAsia" w:ascii="宋体" w:hAnsi="宋体" w:eastAsia="宋体" w:cs="宋体"/>
                <w:color w:val="auto"/>
                <w:kern w:val="0"/>
                <w:szCs w:val="21"/>
                <w:highlight w:val="none"/>
                <w:u w:val="none"/>
                <w:lang w:bidi="ar"/>
              </w:rPr>
              <w:t>4.展示托板正上方具备LED补光灯，保证展示区域的亮度及展示效果，补光灯开关采用触摸按键设计，同时可通过交互智能平板中的软件直接控制开关；带自动对焦摄像头。</w:t>
            </w:r>
          </w:p>
          <w:p>
            <w:pPr>
              <w:keepNext w:val="0"/>
              <w:keepLines w:val="0"/>
              <w:pageBreakBefore w:val="0"/>
              <w:widowControl/>
              <w:kinsoku/>
              <w:wordWrap/>
              <w:overflowPunct/>
              <w:topLinePunct w:val="0"/>
              <w:bidi w:val="0"/>
              <w:snapToGrid/>
              <w:spacing w:line="440" w:lineRule="exact"/>
              <w:ind w:firstLine="420" w:firstLineChars="200"/>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Cs w:val="21"/>
                <w:highlight w:val="none"/>
                <w:u w:val="none"/>
                <w:lang w:bidi="ar"/>
              </w:rPr>
              <w:t>5.具有故障自动检测功能：在调用展台却无法出现镜头采集画面信号时，可自动出现检测链接，并给出导致性原因（如硬件连接、摄像头占用、配套软件版本等问题）。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23</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color w:val="auto"/>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单人 双柱课桌</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kern w:val="0"/>
                <w:sz w:val="21"/>
                <w:szCs w:val="21"/>
                <w:highlight w:val="none"/>
                <w:lang w:val="en-US" w:eastAsia="zh-CN" w:bidi="ar"/>
              </w:rPr>
              <w:t>35</w:t>
            </w:r>
          </w:p>
        </w:tc>
        <w:tc>
          <w:tcPr>
            <w:tcW w:w="7265" w:type="dxa"/>
            <w:noWrap w:val="0"/>
            <w:vAlign w:val="center"/>
          </w:tcPr>
          <w:p>
            <w:pPr>
              <w:pStyle w:val="3"/>
              <w:spacing w:line="440" w:lineRule="exac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尺寸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长</w:t>
            </w:r>
            <w:r>
              <w:rPr>
                <w:rFonts w:hint="eastAsia" w:ascii="宋体" w:hAnsi="宋体" w:eastAsia="宋体" w:cs="宋体"/>
                <w:b w:val="0"/>
                <w:bCs w:val="0"/>
                <w:color w:val="auto"/>
                <w:sz w:val="21"/>
                <w:szCs w:val="21"/>
                <w:highlight w:val="none"/>
                <w:lang w:val="en-US" w:eastAsia="zh-CN"/>
              </w:rPr>
              <w:t>650</w:t>
            </w:r>
            <w:r>
              <w:rPr>
                <w:rFonts w:hint="eastAsia" w:ascii="宋体" w:hAnsi="宋体" w:eastAsia="宋体" w:cs="宋体"/>
                <w:b w:val="0"/>
                <w:bCs w:val="0"/>
                <w:color w:val="auto"/>
                <w:sz w:val="21"/>
                <w:szCs w:val="21"/>
                <w:highlight w:val="none"/>
              </w:rPr>
              <w:t>×宽</w:t>
            </w:r>
            <w:r>
              <w:rPr>
                <w:rFonts w:hint="eastAsia" w:ascii="宋体" w:hAnsi="宋体" w:eastAsia="宋体" w:cs="宋体"/>
                <w:b w:val="0"/>
                <w:bCs w:val="0"/>
                <w:color w:val="auto"/>
                <w:sz w:val="21"/>
                <w:szCs w:val="21"/>
                <w:highlight w:val="none"/>
                <w:lang w:val="en-US" w:eastAsia="zh-CN"/>
              </w:rPr>
              <w:t>450</w:t>
            </w:r>
            <w:r>
              <w:rPr>
                <w:rFonts w:hint="eastAsia" w:ascii="宋体" w:hAnsi="宋体" w:eastAsia="宋体" w:cs="宋体"/>
                <w:b w:val="0"/>
                <w:bCs w:val="0"/>
                <w:color w:val="auto"/>
                <w:sz w:val="21"/>
                <w:szCs w:val="21"/>
                <w:highlight w:val="none"/>
              </w:rPr>
              <w:t>×高760mm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eastAsia="zh-CN"/>
              </w:rPr>
              <w:t>课桌</w:t>
            </w:r>
            <w:r>
              <w:rPr>
                <w:rFonts w:hint="eastAsia" w:ascii="宋体" w:hAnsi="宋体" w:eastAsia="宋体" w:cs="宋体"/>
                <w:b w:val="0"/>
                <w:bCs w:val="0"/>
                <w:color w:val="auto"/>
                <w:sz w:val="21"/>
                <w:szCs w:val="21"/>
                <w:highlight w:val="none"/>
              </w:rPr>
              <w:t>高度可调节</w:t>
            </w:r>
            <w:r>
              <w:rPr>
                <w:rFonts w:hint="eastAsia" w:ascii="宋体" w:hAnsi="宋体" w:eastAsia="宋体" w:cs="宋体"/>
                <w:b w:val="0"/>
                <w:bCs w:val="0"/>
                <w:color w:val="auto"/>
                <w:sz w:val="21"/>
                <w:szCs w:val="21"/>
                <w:highlight w:val="none"/>
                <w:lang w:eastAsia="zh-CN"/>
              </w:rPr>
              <w:t>通过螺丝调节升降</w:t>
            </w:r>
            <w:r>
              <w:rPr>
                <w:rFonts w:hint="eastAsia" w:ascii="宋体" w:hAnsi="宋体" w:cs="宋体"/>
                <w:b w:val="0"/>
                <w:bCs w:val="0"/>
                <w:color w:val="auto"/>
                <w:sz w:val="21"/>
                <w:szCs w:val="21"/>
                <w:highlight w:val="none"/>
                <w:lang w:eastAsia="zh-CN"/>
              </w:rPr>
              <w:t>）</w:t>
            </w:r>
          </w:p>
          <w:p>
            <w:pPr>
              <w:pStyle w:val="3"/>
              <w:spacing w:line="440" w:lineRule="exact"/>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桌面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桌面规格：</w:t>
            </w:r>
            <w:r>
              <w:rPr>
                <w:rFonts w:hint="eastAsia" w:ascii="宋体" w:hAnsi="宋体" w:eastAsia="宋体" w:cs="宋体"/>
                <w:b w:val="0"/>
                <w:bCs w:val="0"/>
                <w:color w:val="auto"/>
                <w:sz w:val="21"/>
                <w:szCs w:val="21"/>
                <w:highlight w:val="none"/>
                <w:lang w:val="en-US" w:eastAsia="zh-CN"/>
              </w:rPr>
              <w:t>650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450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橡木指接板</w:t>
            </w:r>
            <w:r>
              <w:rPr>
                <w:rFonts w:hint="eastAsia" w:ascii="宋体" w:hAnsi="宋体" w:eastAsia="宋体" w:cs="宋体"/>
                <w:b w:val="0"/>
                <w:bCs w:val="0"/>
                <w:color w:val="auto"/>
                <w:sz w:val="21"/>
                <w:szCs w:val="21"/>
                <w:highlight w:val="none"/>
              </w:rPr>
              <w:t>桌面厚度≥</w:t>
            </w: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注塑包边工艺</w:t>
            </w:r>
            <w:r>
              <w:rPr>
                <w:rFonts w:hint="eastAsia" w:ascii="宋体" w:hAnsi="宋体" w:eastAsia="宋体" w:cs="宋体"/>
                <w:b w:val="0"/>
                <w:bCs w:val="0"/>
                <w:color w:val="auto"/>
                <w:sz w:val="21"/>
                <w:szCs w:val="21"/>
                <w:highlight w:val="none"/>
              </w:rPr>
              <w:t>。外观：人性化设计，美观大方，边缘平整圆滑，美观坚固。</w:t>
            </w:r>
            <w:r>
              <w:rPr>
                <w:rFonts w:hint="eastAsia" w:ascii="宋体" w:hAnsi="宋体" w:eastAsia="宋体" w:cs="宋体"/>
                <w:b w:val="0"/>
                <w:bCs w:val="0"/>
                <w:color w:val="auto"/>
                <w:sz w:val="21"/>
                <w:szCs w:val="21"/>
                <w:highlight w:val="none"/>
                <w:lang w:val="en-US" w:eastAsia="zh-CN"/>
              </w:rPr>
              <w:t>桌面采用无笔槽设计。</w:t>
            </w:r>
          </w:p>
          <w:p>
            <w:pPr>
              <w:pStyle w:val="3"/>
              <w:spacing w:line="440" w:lineRule="exact"/>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桌斗</w:t>
            </w:r>
            <w:r>
              <w:rPr>
                <w:rFonts w:hint="eastAsia" w:ascii="宋体" w:hAnsi="宋体" w:eastAsia="宋体" w:cs="宋体"/>
                <w:b w:val="0"/>
                <w:bCs w:val="0"/>
                <w:color w:val="auto"/>
                <w:sz w:val="21"/>
                <w:szCs w:val="21"/>
                <w:highlight w:val="none"/>
                <w:lang w:eastAsia="zh-CN"/>
              </w:rPr>
              <w:t>：采用</w:t>
            </w:r>
            <w:r>
              <w:rPr>
                <w:rFonts w:hint="eastAsia" w:ascii="宋体" w:hAnsi="宋体" w:eastAsia="宋体" w:cs="宋体"/>
                <w:b w:val="0"/>
                <w:bCs w:val="0"/>
                <w:color w:val="auto"/>
                <w:sz w:val="21"/>
                <w:szCs w:val="21"/>
                <w:highlight w:val="none"/>
                <w:lang w:val="en-US" w:eastAsia="zh-CN"/>
              </w:rPr>
              <w:t>组合抽屉：尺寸500*330*170mm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val="en-US" w:eastAsia="zh-CN"/>
              </w:rPr>
              <w:t>厚度0.8mm</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桌腿/桌脚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桌腿与桌脚为直角支撑，桌腿和桌脚采用椭圆钢管钢管2</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mm使桌斗和桌面稳定性更强。桌斗支撑管和桌腿升降杆焊为一体，桌脚两端配置高强度增强尼龙塑料外套。桌腿和桌脚成直角焊接，牢固可靠。桌斗下方两侧桌腿与桌脚设有横档</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升降性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螺丝调节升降</w:t>
            </w:r>
          </w:p>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工艺要求</w:t>
            </w: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sz w:val="21"/>
                <w:szCs w:val="21"/>
                <w:highlight w:val="none"/>
              </w:rPr>
              <w:t>焊接、涂装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所有铁件做到焊接平整、满焊、无虚焊、无明显焊疤、焊接处需打磨光滑。</w:t>
            </w:r>
          </w:p>
          <w:p>
            <w:pPr>
              <w:keepNext w:val="0"/>
              <w:keepLines w:val="0"/>
              <w:widowControl/>
              <w:numPr>
                <w:ilvl w:val="0"/>
                <w:numId w:val="0"/>
              </w:numPr>
              <w:suppressLineNumbers w:val="0"/>
              <w:ind w:left="0" w:leftChars="0" w:firstLine="0" w:firstLine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外露金属件表面喷塑前进行抛丸打砂工艺处理，再高压静电喷塑，</w:t>
            </w:r>
            <w:r>
              <w:rPr>
                <w:rFonts w:hint="eastAsia" w:ascii="宋体" w:hAnsi="宋体" w:eastAsia="宋体" w:cs="宋体"/>
                <w:b w:val="0"/>
                <w:bCs w:val="0"/>
                <w:color w:val="auto"/>
                <w:kern w:val="0"/>
                <w:sz w:val="21"/>
                <w:szCs w:val="21"/>
                <w:highlight w:val="none"/>
              </w:rPr>
              <w:t>高温烘烤</w:t>
            </w:r>
            <w:r>
              <w:rPr>
                <w:rFonts w:hint="eastAsia" w:ascii="宋体" w:hAnsi="宋体" w:eastAsia="宋体" w:cs="宋体"/>
                <w:b w:val="0"/>
                <w:bCs w:val="0"/>
                <w:color w:val="auto"/>
                <w:sz w:val="21"/>
                <w:szCs w:val="21"/>
                <w:highlight w:val="none"/>
              </w:rPr>
              <w:t>，涂层与金属表面的附着力强，不易腐蚀和脱落，涂装件不得有明显的气泡、流痕、漏底、皱皮和其它损伤。</w:t>
            </w:r>
            <w:r>
              <w:rPr>
                <w:rFonts w:hint="eastAsia" w:ascii="宋体" w:hAnsi="宋体" w:eastAsia="宋体" w:cs="宋体"/>
                <w:b w:val="0"/>
                <w:bCs w:val="0"/>
                <w:color w:val="auto"/>
                <w:sz w:val="21"/>
                <w:szCs w:val="21"/>
                <w:highlight w:val="none"/>
                <w:lang w:val="zh-CN"/>
              </w:rPr>
              <w:t>对漆膜的附着力、硬度、耐冲击力等均符合国家标准GB1720.GB1730.GB1732等硬度≥0.4，冲击强度﹥4N／M。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cs="宋体"/>
                <w:b w:val="0"/>
                <w:bCs w:val="0"/>
                <w:color w:val="auto"/>
                <w:kern w:val="0"/>
                <w:sz w:val="21"/>
                <w:szCs w:val="21"/>
                <w:highlight w:val="none"/>
                <w:lang w:val="en-US" w:eastAsia="zh-CN" w:bidi="ar"/>
              </w:rPr>
              <w:t>4</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color w:val="auto"/>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椅</w:t>
            </w:r>
            <w:r>
              <w:rPr>
                <w:rFonts w:hint="eastAsia" w:ascii="宋体" w:hAnsi="宋体" w:cs="宋体"/>
                <w:b w:val="0"/>
                <w:bCs w:val="0"/>
                <w:i w:val="0"/>
                <w:iCs w:val="0"/>
                <w:color w:val="auto"/>
                <w:kern w:val="0"/>
                <w:sz w:val="21"/>
                <w:szCs w:val="21"/>
                <w:highlight w:val="none"/>
                <w:u w:val="none"/>
                <w:lang w:val="en-US" w:eastAsia="zh-CN" w:bidi="ar"/>
              </w:rPr>
              <w:t>子</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kern w:val="0"/>
                <w:sz w:val="21"/>
                <w:szCs w:val="21"/>
                <w:highlight w:val="none"/>
                <w:lang w:val="en-US" w:eastAsia="zh-CN" w:bidi="ar"/>
              </w:rPr>
              <w:t>35</w:t>
            </w:r>
          </w:p>
        </w:tc>
        <w:tc>
          <w:tcPr>
            <w:tcW w:w="7265" w:type="dxa"/>
            <w:noWrap w:val="0"/>
            <w:vAlign w:val="center"/>
          </w:tcPr>
          <w:p>
            <w:pPr>
              <w:pStyle w:val="3"/>
              <w:spacing w:line="440" w:lineRule="exac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color w:val="auto"/>
                <w:sz w:val="21"/>
                <w:szCs w:val="21"/>
                <w:highlight w:val="none"/>
              </w:rPr>
              <w:t>尺寸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长宽高380*360*760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rPr>
              <w:t>，(注:凳面高度可调节</w:t>
            </w:r>
            <w:r>
              <w:rPr>
                <w:rFonts w:hint="eastAsia" w:ascii="宋体" w:hAnsi="宋体" w:eastAsia="宋体" w:cs="宋体"/>
                <w:b w:val="0"/>
                <w:bCs w:val="0"/>
                <w:color w:val="auto"/>
                <w:sz w:val="21"/>
                <w:szCs w:val="21"/>
                <w:highlight w:val="none"/>
                <w:lang w:eastAsia="zh-CN"/>
              </w:rPr>
              <w:t>通过螺丝调节升降）</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r>
              <w:rPr>
                <w:rFonts w:hint="eastAsia" w:ascii="宋体" w:hAnsi="宋体" w:eastAsia="宋体" w:cs="宋体"/>
                <w:b w:val="0"/>
                <w:bCs w:val="0"/>
                <w:color w:val="auto"/>
                <w:sz w:val="21"/>
                <w:szCs w:val="21"/>
                <w:highlight w:val="none"/>
                <w:lang w:eastAsia="zh-CN"/>
              </w:rPr>
              <w:t>座板：</w:t>
            </w:r>
            <w:r>
              <w:rPr>
                <w:rFonts w:hint="eastAsia" w:ascii="宋体" w:hAnsi="宋体" w:eastAsia="宋体" w:cs="宋体"/>
                <w:b w:val="0"/>
                <w:bCs w:val="0"/>
                <w:color w:val="auto"/>
                <w:sz w:val="21"/>
                <w:szCs w:val="21"/>
                <w:highlight w:val="none"/>
                <w:lang w:val="en-US" w:eastAsia="zh-CN"/>
              </w:rPr>
              <w:t>采用橡木指接板</w:t>
            </w:r>
            <w:r>
              <w:rPr>
                <w:rFonts w:hint="eastAsia" w:ascii="宋体" w:hAnsi="宋体" w:eastAsia="宋体" w:cs="宋体"/>
                <w:b w:val="0"/>
                <w:bCs w:val="0"/>
                <w:color w:val="auto"/>
                <w:sz w:val="21"/>
                <w:szCs w:val="21"/>
                <w:highlight w:val="none"/>
              </w:rPr>
              <w:t>桌面厚度≥</w:t>
            </w: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椅面尺寸380*360mm，靠背380*170mm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其抗外力冲击强度更强，具有良好的抗吸湿性、抗酸碱腐蚀性、抗氧化性。外观：人性化设计，美观大方，边缘平整圆滑，美观坚固。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椅腿/椅脚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椅腿和椅脚采用椭圆钢管并</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mm×</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mm×1.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mm,椅脚两端配置高强度增强尼龙塑料外套。椅腿与椅脚成直角焊接，牢固可靠。两椅腿间设有横档，横档采用椭圆钢管</w:t>
            </w:r>
            <w:r>
              <w:rPr>
                <w:rFonts w:hint="eastAsia" w:ascii="宋体" w:hAnsi="宋体" w:eastAsia="宋体" w:cs="宋体"/>
                <w:b w:val="0"/>
                <w:bCs w:val="0"/>
                <w:color w:val="auto"/>
                <w:sz w:val="21"/>
                <w:szCs w:val="21"/>
                <w:highlight w:val="none"/>
                <w:lang w:val="en-US" w:eastAsia="zh-CN"/>
              </w:rPr>
              <w:t>.横梁数量2根。升降铁皮厚度1.0mm</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升降性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螺丝调节</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工艺要求</w:t>
            </w: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sz w:val="21"/>
                <w:szCs w:val="21"/>
                <w:highlight w:val="none"/>
              </w:rPr>
              <w:t>颜色、外观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表面不允许有裂纹、破损、明显修补痕迹，明显色差等缺陷；边缘平整圆滑，无分层；外表和内表以及手指可触及的隐蔽处，均不得有锐利的棱角、毛刺。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七、通用实验室成套设备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1.实践室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单位</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7265" w:type="dxa"/>
            <w:noWrap w:val="0"/>
            <w:vAlign w:val="top"/>
          </w:tcPr>
          <w:p>
            <w:pPr>
              <w:pStyle w:val="3"/>
              <w:ind w:firstLine="308" w:firstLineChars="147"/>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教师演示台</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pStyle w:val="3"/>
              <w:spacing w:line="44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2400*700*800mm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1.面板：25mm厚优质实木颗粒台面，平整光亮，具有耐磨、耐压、耐撞击等特点。</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.台身：采用25mm实木颗粒板框架支撑，15mm三聚氰氨板作分隔板，带门锁。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.结构：下边为掩门式储存柜，左侧有抽拉式抽屉可以放实物展台（300mm高度）设实验室专用。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脚垫：采用ABS工程塑料，模具注塑成型，防水及防潮，延长使用寿命。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学生设计桌</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7265" w:type="dxa"/>
            <w:noWrap w:val="0"/>
            <w:vAlign w:val="top"/>
          </w:tcPr>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i w:val="0"/>
                <w:iCs w:val="0"/>
                <w:color w:val="auto"/>
                <w:kern w:val="0"/>
                <w:sz w:val="21"/>
                <w:szCs w:val="21"/>
                <w:highlight w:val="none"/>
                <w:u w:val="none"/>
                <w:lang w:val="en-US" w:eastAsia="zh-CN" w:bidi="ar"/>
              </w:rPr>
              <w:t>1. 钢木结构  2400*1200*780</w:t>
            </w:r>
            <w:r>
              <w:rPr>
                <w:rFonts w:hint="eastAsia" w:hAnsi="宋体" w:cs="宋体"/>
                <w:i w:val="0"/>
                <w:iCs w:val="0"/>
                <w:color w:val="auto"/>
                <w:kern w:val="0"/>
                <w:sz w:val="21"/>
                <w:szCs w:val="21"/>
                <w:highlight w:val="none"/>
                <w:u w:val="none"/>
                <w:lang w:val="en-US" w:eastAsia="zh-CN" w:bidi="ar"/>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面板：25mm厚实木颗粒板台面，木质颜色自然，台面表面清漆处理，清漆表面光滑，平整光亮，具有耐磨、耐压、耐撞击等特点。</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柜身：柜身为悬柜，基材为15mm厚E1级实验室专用三聚氰胺板制作。可见截面均经过PVC封边;贴面和封边部件应严密、平整，不允许脱胶、鼓泡、凹陷、压痕以及表面划伤、麻点、裂痕、崩角和刃口，外表的圆角、倒棱应均匀一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钢架部分：主框架采用40*60*1.2mm优质方管，焊接成型，表面经酸洗磷化、纯环氧树脂塑粉高温固化处理，平整光滑，不允许有喷涂层脱落、鼓泡、凹陷、压痕以及表面划伤、麻点、裂痕、崩角和刃口等，切割、钻孔和倒角应去毛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导轨及铰链：优质静音导轨及大弯铰链，抽拉及开合次数达到500万次以上；</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拉手：C形拉手；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可调脚：采用ABS专用注塑可调脚，金属螺杆，高度可调节，防滑减震；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仪器柜</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7265" w:type="dxa"/>
            <w:noWrap w:val="0"/>
            <w:vAlign w:val="top"/>
          </w:tcPr>
          <w:p>
            <w:pPr>
              <w:pStyle w:val="3"/>
              <w:spacing w:line="44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1.尺寸：板式：1400*450*900mm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2.材质：实木颗粒板；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3.工艺：采用标准E1级板，厚度25/15mm,基材采用优质实木颗粒板，面贴优质防火板，ABS直封边制作。五金件采用液压铰链，缓冲效果是普通铰链的五倍；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工具墙</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1.120*50CM方孔板参数，内折边厚度20mm，优质冷轧钢，板厚1.2MM加喷塑烤漆约1.4MM抗磨、耐压、不变形，一体成型工艺，静电粉末喷漆工艺，蓝色、白色、黄色、银灰、黑色5色可选，标准方孔孔径10*10mm，方孔中心间距38mm，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6.6kg</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零件盒（红色）+挂片2套、零件盒（黄色）+挂片2套、235mm六杆挂钩1个、单斜挂钩6个、100*60mm导线挂钩1个、圆形挂钩3个、U型挂钩3个、套筒挂板1个、100mm杆件托架2个、150mm钳类挂钩1个，共计26个。（一套零件盒=零件盒+挂片各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3.235mm六杆挂钩1个、75mm双斜挂钩2个、50mm双直挂钩2个、50mm单斜挂钩2个、100*60mm导线挂钩1个、40mm圆形挂钩1个、U型挂钩3个、45mm套筒挂钩1个、60mm杆件托架2个、150mm钳类挂钩1个，共计16个。（不含组装安装)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教师转椅</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椅子：1.面  料：一级网布覆面，厚度1.3-1.5mm；经液氨多道浸色及防潮、防腐等工艺处理；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2.海  绵：优质高弹性聚胺脂定型海棉(模具一次成型)，泡棉密度≥35kg/m³，回弹率≥41%，不含氟氨化合物，表面涂有防止老化变形的保护膜。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3.脚　架：五星式可旋转脚架，管壁厚2mm以上。</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4.升降杆：优质液压升降杆。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5.颜色：可选。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6</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学生实验凳</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48</w:t>
            </w:r>
          </w:p>
        </w:tc>
        <w:tc>
          <w:tcPr>
            <w:tcW w:w="7265" w:type="dxa"/>
            <w:noWrap w:val="0"/>
            <w:vAlign w:val="top"/>
          </w:tcPr>
          <w:p>
            <w:pPr>
              <w:pStyle w:val="3"/>
              <w:spacing w:line="44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1.规格：320*240*440mm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2.材质：25mm厚E1级OSB板面，表面三聚氰胺贴面，1.5mm厚PVC封边条封边，钢制脚架；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3.颜色：可选。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7</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彩色打印机</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olor w:val="auto"/>
                <w:szCs w:val="21"/>
                <w:highlight w:val="none"/>
              </w:rPr>
              <w:t>A</w:t>
            </w:r>
            <w:r>
              <w:rPr>
                <w:rFonts w:hint="eastAsia" w:ascii="宋体" w:hAnsi="宋体" w:eastAsia="宋体" w:cs="宋体"/>
                <w:i w:val="0"/>
                <w:iCs w:val="0"/>
                <w:color w:val="auto"/>
                <w:kern w:val="0"/>
                <w:sz w:val="21"/>
                <w:szCs w:val="21"/>
                <w:highlight w:val="none"/>
                <w:u w:val="none"/>
                <w:lang w:val="en-US" w:eastAsia="zh-CN" w:bidi="ar"/>
              </w:rPr>
              <w:t>4打印/复印/扫描一体机（支持三合一/有线/无线连接）</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1.首页输出时间：黑白12.4秒；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2.打印速度：黑白18PPM，彩色4PPM；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3.打印分辨率：600dpi；</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4.打印语言：GDI（基于主机语言）；</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5.内存： 128 MB；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6.处理器：800MHz；</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7.进纸器容量：150页进纸盒，50页出纸盒；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8.打印负荷：20000页/月；</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9.接口：高速USB 2.0 端口；内置高速以太网10/100 Base-TX网络端口；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10.复印速度：黑白18PPM，彩色4PPM；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11.复印分辨率：600dpi；</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12.扫描分辨率：高达600 x 600 dpi(ADF)；</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13.自动开机关机；无线直连打印,支持移动app打印；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14.保修：一年送修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15.耗材类型：四色硒鼓(黑色、青色、品红色、黄色各1个)；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16.随机碳粉仓：700黑/500彩；成像鼓</w:t>
            </w:r>
          </w:p>
          <w:p>
            <w:pPr>
              <w:pStyle w:val="2"/>
              <w:spacing w:line="240" w:lineRule="auto"/>
              <w:ind w:firstLine="0" w:firstLineChars="0"/>
              <w:rPr>
                <w:rFonts w:hint="eastAsia"/>
                <w:color w:val="auto"/>
                <w:highlight w:val="none"/>
                <w:lang w:val="en-US" w:eastAsia="zh-CN"/>
              </w:rPr>
            </w:pPr>
            <w:r>
              <w:rPr>
                <w:rFonts w:hint="eastAsia" w:ascii="宋体" w:hAnsi="宋体" w:cs="宋体"/>
                <w:color w:val="auto"/>
                <w:sz w:val="21"/>
                <w:szCs w:val="21"/>
                <w:highlight w:val="none"/>
              </w:rPr>
              <w:t>★</w:t>
            </w:r>
            <w:r>
              <w:rPr>
                <w:rFonts w:hint="eastAsia" w:ascii="宋体" w:hAnsi="宋体"/>
                <w:color w:val="auto"/>
                <w:sz w:val="21"/>
                <w:szCs w:val="21"/>
                <w:highlight w:val="none"/>
              </w:rPr>
              <w:t>投标文件中必须提供该产品由国家确定的认证机构出具的处于有效期之内的节能产品认证证书并加盖投标人公章。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8</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极速智能激光切割机</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265" w:type="dxa"/>
            <w:noWrap w:val="0"/>
            <w:vAlign w:val="center"/>
          </w:tcPr>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▲1.加工平台≥592*889mm丝杆电动升降平台，双平台配置，蜂巢板平台+铝刀条平台； </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2.激光类型与功率≥70w二氧化碳激光管；</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3.激光寻焦方式：支持自动对焦及手动对焦双模式；</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4.平台高度：平台支持升降，升降纵深≥200mm；</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5.定位方式：支持机头定位巡边，支持摄像头辅助定位；</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6.定位指示：红光射线与CO2光束重叠定位；</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7.速度与精度：采用高速伺服驱动电机，最大运行速度≥963mm/s；Z轴精密丝杆高速电动启停；</w:t>
            </w:r>
          </w:p>
          <w:p>
            <w:pPr>
              <w:widowControl/>
              <w:spacing w:line="360" w:lineRule="auto"/>
              <w:ind w:firstLine="0" w:firstLineChars="0"/>
              <w:jc w:val="left"/>
              <w:textAlignment w:val="top"/>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▲8.安全设计：漏电保护系统；强制水冷保护系统；盖板开盖保护功能；工作状态急停保护系统；封闭式光路系统；精美工作展示窗设计；设备主体接口采用凹入防磕碰设计</w:t>
            </w:r>
            <w:r>
              <w:rPr>
                <w:rFonts w:hint="eastAsia" w:ascii="宋体" w:hAnsi="宋体" w:cs="宋体"/>
                <w:color w:val="auto"/>
                <w:kern w:val="0"/>
                <w:szCs w:val="21"/>
                <w:highlight w:val="none"/>
                <w:lang w:eastAsia="zh-CN" w:bidi="ar"/>
              </w:rPr>
              <w:t>。</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9.状态指示灯：超大钢化玻璃安全罩、智能液晶状态显示灯设计，状态灯效显示加工状态；</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10.产品尺寸≤1</w:t>
            </w:r>
            <w:r>
              <w:rPr>
                <w:rFonts w:ascii="宋体" w:hAnsi="宋体" w:cs="宋体"/>
                <w:color w:val="auto"/>
                <w:kern w:val="0"/>
                <w:szCs w:val="21"/>
                <w:highlight w:val="none"/>
                <w:lang w:bidi="ar"/>
              </w:rPr>
              <w:t>500</w:t>
            </w:r>
            <w:r>
              <w:rPr>
                <w:rFonts w:hint="eastAsia" w:ascii="宋体" w:hAnsi="宋体" w:cs="宋体"/>
                <w:color w:val="auto"/>
                <w:kern w:val="0"/>
                <w:szCs w:val="21"/>
                <w:highlight w:val="none"/>
                <w:lang w:bidi="ar"/>
              </w:rPr>
              <w:t>mm*10</w:t>
            </w:r>
            <w:r>
              <w:rPr>
                <w:rFonts w:ascii="宋体" w:hAnsi="宋体" w:cs="宋体"/>
                <w:color w:val="auto"/>
                <w:kern w:val="0"/>
                <w:szCs w:val="21"/>
                <w:highlight w:val="none"/>
                <w:lang w:bidi="ar"/>
              </w:rPr>
              <w:t>8</w:t>
            </w:r>
            <w:r>
              <w:rPr>
                <w:rFonts w:hint="eastAsia" w:ascii="宋体" w:hAnsi="宋体" w:cs="宋体"/>
                <w:color w:val="auto"/>
                <w:kern w:val="0"/>
                <w:szCs w:val="21"/>
                <w:highlight w:val="none"/>
                <w:lang w:bidi="ar"/>
              </w:rPr>
              <w:t>0mm*10</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0mm;</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11.内置智能高清摄像头：500W超大广角鱼眼摄像头，支持手绘图像由摄像头直接提取并一键加工，能实现动图精准定位且定位精度≤0.1mm；</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12.控制台：液晶屏触摸控制台，智能UI界面显示，能实现离线精准控制；</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13.软件支持：支持激光软件、矢量图绘制软件等包括：CorelDraw、AutoCAD，Inkscape，Sketchup，Lightburn等；</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14.文件支持格式：可直接打开SVG，DXF，PLT，AI等矢量格式，JPG，BMP等图片格式。</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15.加工支持：支持多种加工模式：切割、雕刻、图片雕刻、浮雕雕刻；</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16.加工特效：支持切缝补偿、路径自优化、自动吹气、自动工时预估、仿真预览等。</w:t>
            </w:r>
          </w:p>
          <w:p>
            <w:pPr>
              <w:widowControl/>
              <w:spacing w:line="360" w:lineRule="auto"/>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17.维护与保养清理：配套专业保养维护工具包、便捷式倾倒废料台。</w:t>
            </w:r>
          </w:p>
          <w:p>
            <w:pPr>
              <w:widowControl/>
              <w:spacing w:line="360" w:lineRule="auto"/>
              <w:ind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 xml:space="preserve">18.配套教材：配套课堂教材，创意手册及配套耗材，提供不少于20种加工材料认知微课课程；20种材料认知AR体验APP；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w:t>
            </w:r>
          </w:p>
        </w:tc>
        <w:tc>
          <w:tcPr>
            <w:tcW w:w="88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激光切割机三维设计软件</w:t>
            </w:r>
          </w:p>
        </w:tc>
        <w:tc>
          <w:tcPr>
            <w:tcW w:w="630" w:type="dxa"/>
            <w:gridSpan w:val="2"/>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64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1、设计功能：可实现实体设计、草图绘制和模型编辑功能。</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 xml:space="preserve">2、矢量图生成：可以直接将*.jpg、*.png、*.gif、*.bmp、*.tif等格式的图片自动转换成二维草图。 </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3、截断切口：在等厚板材的交界位置，自动生成截断切口。将实体切割成多个独立的板材结构。</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 xml:space="preserve">4、拼插槽：在板材侧边添加可互相拼插的插槽且可以调整长度、数量以及深度。 </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 xml:space="preserve">5、板材投影：无需转动板材，可以直接对面或实体进行投影生成二维图。6、结构转换：将任何实体造型转换成拼插或堆叠结构并自动排版布局，生成二维图形。 </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7、侧面板材设计：沿板材边缘自动生成可直接调整角度、长度、高度、公差大小的侧面板材，且可将造型展开或折叠。</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 xml:space="preserve">8、沿线折叠：在板材上任意画一条直线，将板材沿着直线折叠，可以直接调整角度、高度、公差的大小。 </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9、布局参数：可以布局平板的长度、宽度，切片间距以及激光切割补偿值。</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10、纹理贴图：将*.bmp、*.gif、*.jpg、*.jpeg、*.png、*.tif图片直接</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11、附着在实体表面上，可通过草图进行描绘。</w:t>
            </w:r>
          </w:p>
          <w:p>
            <w:pPr>
              <w:keepNext w:val="0"/>
              <w:keepLines w:val="0"/>
              <w:widowControl/>
              <w:suppressLineNumbers w:val="0"/>
              <w:ind w:left="0" w:leftChars="0" w:firstLine="0" w:firstLineChars="0"/>
              <w:jc w:val="left"/>
              <w:textAlignment w:val="top"/>
              <w:rPr>
                <w:rFonts w:hint="eastAsia"/>
                <w:color w:val="auto"/>
                <w:highlight w:val="none"/>
              </w:rPr>
            </w:pPr>
            <w:r>
              <w:rPr>
                <w:rFonts w:hint="eastAsia"/>
                <w:color w:val="auto"/>
                <w:highlight w:val="none"/>
              </w:rPr>
              <w:t>12、导出激光切割文件：二维图形输出，支持任何激光切割机使用的DWG/DXF格式文件。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rPr>
              <w:t>13、资源与管理：软件和网络资源社区无缝连接，提供免费的个人云盘和学校云盘。用户可直接在软件里拖曳下载社区内以及云盘中的三维模型，也可以将软件中模型直接上传到云盘和社区。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3D打印机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widowControl/>
              <w:ind w:firstLine="0" w:firstLineChars="0"/>
              <w:jc w:val="left"/>
              <w:textAlignment w:val="top"/>
              <w:rPr>
                <w:color w:val="auto"/>
                <w:highlight w:val="none"/>
              </w:rPr>
            </w:pPr>
            <w:r>
              <w:rPr>
                <w:rFonts w:hint="eastAsia"/>
                <w:color w:val="auto"/>
                <w:highlight w:val="none"/>
              </w:rPr>
              <w:t>1.打印技术：熔融堆积（FDM）</w:t>
            </w:r>
          </w:p>
          <w:p>
            <w:pPr>
              <w:widowControl/>
              <w:ind w:firstLine="0" w:firstLineChars="0"/>
              <w:jc w:val="left"/>
              <w:textAlignment w:val="top"/>
              <w:rPr>
                <w:color w:val="auto"/>
                <w:highlight w:val="none"/>
              </w:rPr>
            </w:pPr>
            <w:r>
              <w:rPr>
                <w:rFonts w:hint="eastAsia"/>
                <w:color w:val="auto"/>
                <w:highlight w:val="none"/>
              </w:rPr>
              <w:t>2.XY轴定位：0.01mm；Z轴定位：0.002mm；</w:t>
            </w:r>
          </w:p>
          <w:p>
            <w:pPr>
              <w:widowControl/>
              <w:ind w:firstLine="0" w:firstLineChars="0"/>
              <w:jc w:val="left"/>
              <w:textAlignment w:val="top"/>
              <w:rPr>
                <w:color w:val="auto"/>
                <w:highlight w:val="none"/>
              </w:rPr>
            </w:pPr>
            <w:r>
              <w:rPr>
                <w:rFonts w:hint="eastAsia"/>
                <w:color w:val="auto"/>
                <w:highlight w:val="none"/>
              </w:rPr>
              <w:t>3.打印速度</w:t>
            </w:r>
            <w:r>
              <w:rPr>
                <w:rFonts w:hint="eastAsia" w:ascii="宋体" w:hAnsi="宋体" w:cs="宋体"/>
                <w:color w:val="auto"/>
                <w:kern w:val="0"/>
                <w:szCs w:val="21"/>
                <w:highlight w:val="none"/>
                <w:lang w:bidi="ar"/>
              </w:rPr>
              <w:t>≥</w:t>
            </w:r>
            <w:r>
              <w:rPr>
                <w:rFonts w:hint="eastAsia"/>
                <w:color w:val="auto"/>
                <w:highlight w:val="none"/>
              </w:rPr>
              <w:t>10-120mm/s；</w:t>
            </w:r>
          </w:p>
          <w:p>
            <w:pPr>
              <w:widowControl/>
              <w:ind w:firstLine="0" w:firstLineChars="0"/>
              <w:jc w:val="left"/>
              <w:textAlignment w:val="top"/>
              <w:rPr>
                <w:color w:val="auto"/>
                <w:highlight w:val="none"/>
              </w:rPr>
            </w:pPr>
            <w:r>
              <w:rPr>
                <w:rFonts w:hint="eastAsia"/>
                <w:color w:val="auto"/>
                <w:highlight w:val="none"/>
              </w:rPr>
              <w:t xml:space="preserve">4.打印软件：JGcreat2.5.0 /Cura    </w:t>
            </w:r>
          </w:p>
          <w:p>
            <w:pPr>
              <w:widowControl/>
              <w:ind w:firstLine="0" w:firstLineChars="0"/>
              <w:jc w:val="left"/>
              <w:textAlignment w:val="top"/>
              <w:rPr>
                <w:color w:val="auto"/>
                <w:highlight w:val="none"/>
              </w:rPr>
            </w:pPr>
            <w:r>
              <w:rPr>
                <w:rFonts w:hint="eastAsia"/>
                <w:color w:val="auto"/>
                <w:highlight w:val="none"/>
              </w:rPr>
              <w:t>5.打印方式：USB或者U盘脱机打印；</w:t>
            </w:r>
          </w:p>
          <w:p>
            <w:pPr>
              <w:widowControl/>
              <w:ind w:firstLine="0" w:firstLineChars="0"/>
              <w:jc w:val="left"/>
              <w:textAlignment w:val="top"/>
              <w:rPr>
                <w:color w:val="auto"/>
                <w:highlight w:val="none"/>
              </w:rPr>
            </w:pPr>
            <w:r>
              <w:rPr>
                <w:rFonts w:hint="eastAsia"/>
                <w:color w:val="auto"/>
                <w:highlight w:val="none"/>
              </w:rPr>
              <w:t>6.输入文件格式：STL，OBJ，G-Code；</w:t>
            </w:r>
          </w:p>
          <w:p>
            <w:pPr>
              <w:widowControl/>
              <w:ind w:firstLine="0" w:firstLineChars="0"/>
              <w:jc w:val="left"/>
              <w:textAlignment w:val="top"/>
              <w:rPr>
                <w:color w:val="auto"/>
                <w:highlight w:val="none"/>
              </w:rPr>
            </w:pPr>
            <w:r>
              <w:rPr>
                <w:rFonts w:hint="eastAsia"/>
                <w:color w:val="auto"/>
                <w:highlight w:val="none"/>
              </w:rPr>
              <w:t>7.环境要求：5-50℃，湿度20-50%；</w:t>
            </w:r>
          </w:p>
          <w:p>
            <w:pPr>
              <w:widowControl/>
              <w:ind w:firstLine="0" w:firstLineChars="0"/>
              <w:jc w:val="left"/>
              <w:textAlignment w:val="top"/>
              <w:rPr>
                <w:color w:val="auto"/>
                <w:highlight w:val="none"/>
              </w:rPr>
            </w:pPr>
            <w:r>
              <w:rPr>
                <w:rFonts w:hint="eastAsia"/>
                <w:color w:val="auto"/>
                <w:highlight w:val="none"/>
              </w:rPr>
              <w:t>8.操作系统：Windows 、Lunis、Mac；</w:t>
            </w:r>
          </w:p>
          <w:p>
            <w:pPr>
              <w:widowControl/>
              <w:ind w:firstLine="0" w:firstLineChars="0"/>
              <w:jc w:val="left"/>
              <w:textAlignment w:val="top"/>
              <w:rPr>
                <w:color w:val="auto"/>
                <w:highlight w:val="none"/>
              </w:rPr>
            </w:pPr>
            <w:r>
              <w:rPr>
                <w:rFonts w:hint="eastAsia"/>
                <w:color w:val="auto"/>
                <w:highlight w:val="none"/>
              </w:rPr>
              <w:t>9.支持语言：中/英；</w:t>
            </w:r>
          </w:p>
          <w:p>
            <w:pPr>
              <w:widowControl/>
              <w:ind w:firstLine="0" w:firstLineChars="0"/>
              <w:jc w:val="left"/>
              <w:textAlignment w:val="top"/>
              <w:rPr>
                <w:color w:val="auto"/>
                <w:highlight w:val="none"/>
              </w:rPr>
            </w:pPr>
            <w:r>
              <w:rPr>
                <w:rFonts w:hint="eastAsia"/>
                <w:color w:val="auto"/>
                <w:highlight w:val="none"/>
              </w:rPr>
              <w:t>10.成型尺寸</w:t>
            </w:r>
            <w:r>
              <w:rPr>
                <w:rFonts w:hint="eastAsia" w:ascii="宋体" w:hAnsi="宋体" w:cs="宋体"/>
                <w:color w:val="auto"/>
                <w:kern w:val="0"/>
                <w:szCs w:val="21"/>
                <w:highlight w:val="none"/>
                <w:lang w:bidi="ar"/>
              </w:rPr>
              <w:t>≥</w:t>
            </w:r>
            <w:r>
              <w:rPr>
                <w:rFonts w:hint="eastAsia"/>
                <w:color w:val="auto"/>
                <w:highlight w:val="none"/>
              </w:rPr>
              <w:t>330*230*300mm</w:t>
            </w:r>
          </w:p>
          <w:p>
            <w:pPr>
              <w:widowControl/>
              <w:ind w:firstLine="0" w:firstLineChars="0"/>
              <w:jc w:val="left"/>
              <w:textAlignment w:val="top"/>
              <w:rPr>
                <w:color w:val="auto"/>
                <w:highlight w:val="none"/>
              </w:rPr>
            </w:pPr>
            <w:r>
              <w:rPr>
                <w:rFonts w:hint="eastAsia"/>
                <w:color w:val="auto"/>
                <w:highlight w:val="none"/>
              </w:rPr>
              <w:t xml:space="preserve">11.机器重量约36kg  </w:t>
            </w:r>
          </w:p>
          <w:p>
            <w:pPr>
              <w:widowControl/>
              <w:ind w:firstLine="0" w:firstLineChars="0"/>
              <w:jc w:val="left"/>
              <w:textAlignment w:val="top"/>
              <w:rPr>
                <w:color w:val="auto"/>
                <w:highlight w:val="none"/>
              </w:rPr>
            </w:pPr>
            <w:r>
              <w:rPr>
                <w:rFonts w:hint="eastAsia"/>
                <w:color w:val="auto"/>
                <w:highlight w:val="none"/>
              </w:rPr>
              <w:t>12.打印喷头：0.4mm孔径，单喷头，最高温度可达250℃ ；</w:t>
            </w:r>
          </w:p>
          <w:p>
            <w:pPr>
              <w:widowControl/>
              <w:ind w:firstLine="0" w:firstLineChars="0"/>
              <w:jc w:val="left"/>
              <w:textAlignment w:val="top"/>
              <w:rPr>
                <w:color w:val="auto"/>
                <w:highlight w:val="none"/>
              </w:rPr>
            </w:pPr>
            <w:r>
              <w:rPr>
                <w:rFonts w:hint="eastAsia"/>
                <w:color w:val="auto"/>
                <w:highlight w:val="none"/>
              </w:rPr>
              <w:t>13.耗材直径：1.75mm；</w:t>
            </w:r>
          </w:p>
          <w:p>
            <w:pPr>
              <w:widowControl/>
              <w:ind w:firstLine="0" w:firstLineChars="0"/>
              <w:jc w:val="left"/>
              <w:textAlignment w:val="top"/>
              <w:rPr>
                <w:rFonts w:hint="default"/>
                <w:color w:val="auto"/>
                <w:highlight w:val="none"/>
                <w:lang w:val="en-US" w:eastAsia="zh-CN"/>
              </w:rPr>
            </w:pPr>
            <w:r>
              <w:rPr>
                <w:rFonts w:hint="eastAsia"/>
                <w:color w:val="auto"/>
                <w:highlight w:val="none"/>
              </w:rPr>
              <w:t>14.打印厚度：0.05-0.3mm可调；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光固化3D打印机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widowControl/>
              <w:ind w:firstLine="0" w:firstLineChars="0"/>
              <w:jc w:val="left"/>
              <w:textAlignment w:val="top"/>
              <w:rPr>
                <w:color w:val="auto"/>
                <w:highlight w:val="none"/>
              </w:rPr>
            </w:pPr>
            <w:r>
              <w:rPr>
                <w:rFonts w:hint="eastAsia"/>
                <w:color w:val="auto"/>
                <w:highlight w:val="none"/>
              </w:rPr>
              <w:t>1.操控屏</w:t>
            </w:r>
            <w:r>
              <w:rPr>
                <w:rFonts w:hint="eastAsia" w:ascii="宋体" w:hAnsi="宋体" w:cs="宋体"/>
                <w:color w:val="auto"/>
                <w:kern w:val="0"/>
                <w:szCs w:val="21"/>
                <w:highlight w:val="none"/>
                <w:lang w:bidi="ar"/>
              </w:rPr>
              <w:t>≥</w:t>
            </w:r>
            <w:r>
              <w:rPr>
                <w:rFonts w:hint="eastAsia"/>
                <w:color w:val="auto"/>
                <w:highlight w:val="none"/>
              </w:rPr>
              <w:t xml:space="preserve"> 4.0英寸触摸屏</w:t>
            </w:r>
          </w:p>
          <w:p>
            <w:pPr>
              <w:widowControl/>
              <w:ind w:firstLine="0" w:firstLineChars="0"/>
              <w:jc w:val="left"/>
              <w:textAlignment w:val="top"/>
              <w:rPr>
                <w:color w:val="auto"/>
                <w:highlight w:val="none"/>
              </w:rPr>
            </w:pPr>
            <w:r>
              <w:rPr>
                <w:rFonts w:hint="eastAsia"/>
                <w:color w:val="auto"/>
                <w:highlight w:val="none"/>
              </w:rPr>
              <w:t>2.模型格式：STL、cbddlp</w:t>
            </w:r>
          </w:p>
          <w:p>
            <w:pPr>
              <w:widowControl/>
              <w:ind w:firstLine="0" w:firstLineChars="0"/>
              <w:jc w:val="left"/>
              <w:textAlignment w:val="top"/>
              <w:rPr>
                <w:color w:val="auto"/>
                <w:highlight w:val="none"/>
              </w:rPr>
            </w:pPr>
            <w:r>
              <w:rPr>
                <w:rFonts w:hint="eastAsia"/>
                <w:color w:val="auto"/>
                <w:highlight w:val="none"/>
              </w:rPr>
              <w:t>3.切片软件：ChiTuBox</w:t>
            </w:r>
          </w:p>
          <w:p>
            <w:pPr>
              <w:widowControl/>
              <w:ind w:firstLine="0" w:firstLineChars="0"/>
              <w:jc w:val="left"/>
              <w:textAlignment w:val="top"/>
              <w:rPr>
                <w:color w:val="auto"/>
                <w:highlight w:val="none"/>
              </w:rPr>
            </w:pPr>
            <w:r>
              <w:rPr>
                <w:rFonts w:hint="eastAsia"/>
                <w:color w:val="auto"/>
                <w:highlight w:val="none"/>
              </w:rPr>
              <w:t>4.打印方式：U盘脱机打印</w:t>
            </w:r>
          </w:p>
          <w:p>
            <w:pPr>
              <w:widowControl/>
              <w:ind w:firstLine="0" w:firstLineChars="0"/>
              <w:jc w:val="left"/>
              <w:textAlignment w:val="top"/>
              <w:rPr>
                <w:color w:val="auto"/>
                <w:highlight w:val="none"/>
              </w:rPr>
            </w:pPr>
            <w:r>
              <w:rPr>
                <w:rFonts w:hint="eastAsia"/>
                <w:color w:val="auto"/>
                <w:highlight w:val="none"/>
              </w:rPr>
              <w:t>5.成型技术：LCD屏光固化成型</w:t>
            </w:r>
          </w:p>
          <w:p>
            <w:pPr>
              <w:widowControl/>
              <w:ind w:firstLine="0" w:firstLineChars="0"/>
              <w:jc w:val="left"/>
              <w:textAlignment w:val="top"/>
              <w:rPr>
                <w:color w:val="auto"/>
                <w:highlight w:val="none"/>
              </w:rPr>
            </w:pPr>
            <w:r>
              <w:rPr>
                <w:rFonts w:hint="eastAsia"/>
                <w:color w:val="auto"/>
                <w:highlight w:val="none"/>
              </w:rPr>
              <w:t>6.光源配置：UV平行光源（波长405nm）</w:t>
            </w:r>
          </w:p>
          <w:p>
            <w:pPr>
              <w:widowControl/>
              <w:ind w:firstLine="0" w:firstLineChars="0"/>
              <w:jc w:val="left"/>
              <w:textAlignment w:val="top"/>
              <w:rPr>
                <w:color w:val="auto"/>
                <w:highlight w:val="none"/>
              </w:rPr>
            </w:pPr>
            <w:r>
              <w:rPr>
                <w:rFonts w:hint="eastAsia"/>
                <w:color w:val="auto"/>
                <w:highlight w:val="none"/>
              </w:rPr>
              <w:t>7.XY分辨率：4920*2880(像素点45微米)5K 10.1寸</w:t>
            </w:r>
          </w:p>
          <w:p>
            <w:pPr>
              <w:widowControl/>
              <w:ind w:firstLine="0" w:firstLineChars="0"/>
              <w:jc w:val="left"/>
              <w:textAlignment w:val="top"/>
              <w:rPr>
                <w:color w:val="auto"/>
                <w:highlight w:val="none"/>
              </w:rPr>
            </w:pPr>
            <w:r>
              <w:rPr>
                <w:rFonts w:hint="eastAsia"/>
                <w:color w:val="auto"/>
                <w:highlight w:val="none"/>
              </w:rPr>
              <w:t>8.额定功率：120W</w:t>
            </w:r>
          </w:p>
          <w:p>
            <w:pPr>
              <w:widowControl/>
              <w:ind w:firstLine="0" w:firstLineChars="0"/>
              <w:jc w:val="left"/>
              <w:textAlignment w:val="top"/>
              <w:rPr>
                <w:color w:val="auto"/>
                <w:highlight w:val="none"/>
              </w:rPr>
            </w:pPr>
            <w:r>
              <w:rPr>
                <w:rFonts w:hint="eastAsia"/>
                <w:color w:val="auto"/>
                <w:highlight w:val="none"/>
              </w:rPr>
              <w:t>9.机器尺寸：长683mm宽302mm高580mm</w:t>
            </w:r>
          </w:p>
          <w:p>
            <w:pPr>
              <w:widowControl/>
              <w:ind w:firstLine="0" w:firstLineChars="0"/>
              <w:jc w:val="left"/>
              <w:textAlignment w:val="top"/>
              <w:rPr>
                <w:color w:val="auto"/>
                <w:highlight w:val="none"/>
              </w:rPr>
            </w:pPr>
            <w:r>
              <w:rPr>
                <w:rFonts w:hint="eastAsia"/>
                <w:color w:val="auto"/>
                <w:highlight w:val="none"/>
              </w:rPr>
              <w:t>10.耗材倾向：405nm紫外光敏树脂</w:t>
            </w:r>
          </w:p>
          <w:p>
            <w:pPr>
              <w:widowControl/>
              <w:ind w:firstLine="0" w:firstLineChars="0"/>
              <w:jc w:val="left"/>
              <w:textAlignment w:val="top"/>
              <w:rPr>
                <w:color w:val="auto"/>
                <w:highlight w:val="none"/>
              </w:rPr>
            </w:pPr>
            <w:r>
              <w:rPr>
                <w:rFonts w:hint="eastAsia"/>
                <w:color w:val="auto"/>
                <w:highlight w:val="none"/>
              </w:rPr>
              <w:t>11.机器重量约30KG</w:t>
            </w:r>
          </w:p>
          <w:p>
            <w:pPr>
              <w:widowControl/>
              <w:ind w:firstLine="0" w:firstLineChars="0"/>
              <w:jc w:val="left"/>
              <w:textAlignment w:val="top"/>
              <w:rPr>
                <w:color w:val="auto"/>
                <w:highlight w:val="none"/>
              </w:rPr>
            </w:pPr>
            <w:r>
              <w:rPr>
                <w:rFonts w:hint="eastAsia" w:ascii="宋体" w:hAnsi="宋体" w:cs="宋体"/>
                <w:color w:val="auto"/>
                <w:kern w:val="0"/>
                <w:szCs w:val="21"/>
                <w:highlight w:val="none"/>
                <w:lang w:bidi="ar"/>
              </w:rPr>
              <w:t>▲</w:t>
            </w:r>
            <w:r>
              <w:rPr>
                <w:rFonts w:hint="eastAsia"/>
                <w:color w:val="auto"/>
                <w:highlight w:val="none"/>
              </w:rPr>
              <w:t>12.打印尺寸</w:t>
            </w:r>
            <w:r>
              <w:rPr>
                <w:rFonts w:hint="eastAsia" w:ascii="宋体" w:hAnsi="宋体" w:cs="宋体"/>
                <w:color w:val="auto"/>
                <w:kern w:val="0"/>
                <w:szCs w:val="21"/>
                <w:highlight w:val="none"/>
                <w:lang w:bidi="ar"/>
              </w:rPr>
              <w:t>≥</w:t>
            </w:r>
            <w:r>
              <w:rPr>
                <w:rFonts w:hint="eastAsia"/>
                <w:color w:val="auto"/>
                <w:highlight w:val="none"/>
              </w:rPr>
              <w:t>X:219mm Y:127mm Z:260mm</w:t>
            </w:r>
          </w:p>
          <w:p>
            <w:pPr>
              <w:widowControl/>
              <w:ind w:firstLine="0" w:firstLineChars="0"/>
              <w:jc w:val="left"/>
              <w:textAlignment w:val="top"/>
              <w:rPr>
                <w:color w:val="auto"/>
                <w:highlight w:val="none"/>
              </w:rPr>
            </w:pPr>
            <w:r>
              <w:rPr>
                <w:rFonts w:hint="eastAsia"/>
                <w:color w:val="auto"/>
                <w:highlight w:val="none"/>
              </w:rPr>
              <w:t>13.Z轴精确度：1.25微米</w:t>
            </w:r>
          </w:p>
          <w:p>
            <w:pPr>
              <w:widowControl/>
              <w:ind w:firstLine="0" w:firstLineChars="0"/>
              <w:jc w:val="left"/>
              <w:textAlignment w:val="top"/>
              <w:rPr>
                <w:color w:val="auto"/>
                <w:highlight w:val="none"/>
              </w:rPr>
            </w:pPr>
            <w:r>
              <w:rPr>
                <w:rFonts w:hint="eastAsia"/>
                <w:color w:val="auto"/>
                <w:highlight w:val="none"/>
              </w:rPr>
              <w:t>14.层厚度：10-150微米</w:t>
            </w:r>
          </w:p>
          <w:p>
            <w:pPr>
              <w:widowControl/>
              <w:ind w:firstLine="0" w:firstLineChars="0"/>
              <w:jc w:val="left"/>
              <w:textAlignment w:val="top"/>
              <w:rPr>
                <w:color w:val="auto"/>
                <w:highlight w:val="none"/>
              </w:rPr>
            </w:pPr>
            <w:r>
              <w:rPr>
                <w:rFonts w:hint="eastAsia" w:ascii="宋体" w:hAnsi="宋体" w:cs="宋体"/>
                <w:color w:val="auto"/>
                <w:kern w:val="0"/>
                <w:szCs w:val="21"/>
                <w:highlight w:val="none"/>
                <w:lang w:bidi="ar"/>
              </w:rPr>
              <w:t>▲</w:t>
            </w:r>
            <w:r>
              <w:rPr>
                <w:rFonts w:hint="eastAsia"/>
                <w:color w:val="auto"/>
                <w:highlight w:val="none"/>
              </w:rPr>
              <w:t>15.打印速度</w:t>
            </w:r>
            <w:r>
              <w:rPr>
                <w:rFonts w:hint="eastAsia" w:ascii="宋体" w:hAnsi="宋体" w:cs="宋体"/>
                <w:color w:val="auto"/>
                <w:kern w:val="0"/>
                <w:szCs w:val="21"/>
                <w:highlight w:val="none"/>
                <w:lang w:bidi="ar"/>
              </w:rPr>
              <w:t>≥</w:t>
            </w:r>
            <w:r>
              <w:rPr>
                <w:rFonts w:hint="eastAsia"/>
                <w:color w:val="auto"/>
                <w:highlight w:val="none"/>
              </w:rPr>
              <w:t>50mm/小时</w:t>
            </w:r>
          </w:p>
          <w:p>
            <w:pPr>
              <w:widowControl/>
              <w:ind w:firstLine="0" w:firstLineChars="0"/>
              <w:jc w:val="left"/>
              <w:textAlignment w:val="top"/>
              <w:rPr>
                <w:color w:val="auto"/>
                <w:highlight w:val="none"/>
              </w:rPr>
            </w:pPr>
            <w:r>
              <w:rPr>
                <w:rFonts w:hint="eastAsia"/>
                <w:color w:val="auto"/>
                <w:highlight w:val="none"/>
              </w:rPr>
              <w:t>16.斜拉式磁吸弹性平台</w:t>
            </w:r>
          </w:p>
          <w:p>
            <w:pPr>
              <w:widowControl/>
              <w:ind w:firstLine="0" w:firstLineChars="0"/>
              <w:jc w:val="left"/>
              <w:textAlignment w:val="top"/>
              <w:rPr>
                <w:rFonts w:hint="default"/>
                <w:color w:val="auto"/>
                <w:highlight w:val="none"/>
                <w:lang w:val="en-US" w:eastAsia="zh-CN"/>
              </w:rPr>
            </w:pPr>
            <w:r>
              <w:rPr>
                <w:rFonts w:hint="eastAsia" w:ascii="宋体" w:hAnsi="宋体" w:cs="宋体"/>
                <w:color w:val="auto"/>
                <w:kern w:val="0"/>
                <w:szCs w:val="21"/>
                <w:highlight w:val="none"/>
                <w:lang w:bidi="ar"/>
              </w:rPr>
              <w:t>▲</w:t>
            </w:r>
            <w:r>
              <w:rPr>
                <w:rFonts w:hint="eastAsia"/>
                <w:color w:val="auto"/>
                <w:highlight w:val="none"/>
              </w:rPr>
              <w:t>1</w:t>
            </w:r>
            <w:r>
              <w:rPr>
                <w:color w:val="auto"/>
                <w:highlight w:val="none"/>
              </w:rPr>
              <w:t>7</w:t>
            </w:r>
            <w:r>
              <w:rPr>
                <w:rFonts w:hint="eastAsia"/>
                <w:color w:val="auto"/>
                <w:highlight w:val="none"/>
              </w:rPr>
              <w:t>.一体钣金机身，集成一体打印机和超声波清洗和后处理固化三合一整机。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12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万用表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产品名称:数字万用表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产品尺寸: 138* 69*31mm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显示屏幕: 3位半LCD,最大显示1999</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 DC9V 6F22 纽扣电池</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数据保持:无</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背光功能:有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工作环境:工作温度0°C-40°C，相对湿度&lt;75%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电洛铁</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25</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陶瓷发热芯60W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温度范围℃：200-480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标配烙铁头：900M-T-B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搭配 吸锡带1.5米；锡线50克；助焊膏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台式热风枪</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功率消耗: 700W</w:t>
            </w:r>
          </w:p>
          <w:p>
            <w:pPr>
              <w:pStyle w:val="3"/>
              <w:spacing w:line="440" w:lineRule="exact"/>
              <w:ind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机身尺寸: 14.9*10.2*14.1cm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w:t>
            </w:r>
            <w:r>
              <w:rPr>
                <w:rFonts w:hint="eastAsia" w:ascii="宋体" w:hAnsi="宋体" w:eastAsia="宋体" w:cs="宋体"/>
                <w:b w:val="0"/>
                <w:bCs w:val="0"/>
                <w:color w:val="auto"/>
                <w:sz w:val="21"/>
                <w:szCs w:val="21"/>
                <w:highlight w:val="none"/>
                <w:lang w:val="en-US" w:eastAsia="zh-CN" w:bidi="ar"/>
              </w:rPr>
              <w:t>c</w:t>
            </w:r>
            <w:r>
              <w:rPr>
                <w:rFonts w:hint="eastAsia" w:ascii="宋体" w:hAnsi="宋体" w:eastAsia="宋体" w:cs="宋体"/>
                <w:b w:val="0"/>
                <w:bCs w:val="0"/>
                <w:color w:val="auto"/>
                <w:sz w:val="21"/>
                <w:szCs w:val="21"/>
                <w:highlight w:val="none"/>
                <w:lang w:bidi="ar"/>
              </w:rPr>
              <w:t>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机身重量:约1Kg</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显示形式: LED数显</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气流类型:无刷风机柔和风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风流量:≤120L/min</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噪音大小:≤45dB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风枪温度范围: 100°C-450°C</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风枪线长: 120cm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温度稳定度: +5°C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精密电动螺丝刀</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 3.6V/DC</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 1300mah</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转速: 250r/min</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最大扭力: 2N/M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充电时间: 5-7hours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木工砂带机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产品带砂水平方向砂也可以垂直方向砂光。砂盘工作台可砂盘用也可以砂带90度使用。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220V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砂带规格  </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100X915(mm)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砂盘直径 </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150MM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砂带机旋转角度 0-90度</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砂盘工作台面可调角度 0-60度</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电机功率  350W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砂带线速度  220M/MIN</w:t>
            </w:r>
          </w:p>
          <w:p>
            <w:pPr>
              <w:keepNext w:val="0"/>
              <w:keepLines w:val="0"/>
              <w:widowControl/>
              <w:suppressLineNumbers w:val="0"/>
              <w:ind w:left="0" w:leftChars="0" w:firstLine="0" w:firstLineChars="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砂带机外形尺寸  500X290X250</w:t>
            </w:r>
            <w:r>
              <w:rPr>
                <w:rFonts w:hint="eastAsia" w:ascii="宋体" w:hAnsi="宋体" w:cs="宋体"/>
                <w:i w:val="0"/>
                <w:iCs w:val="0"/>
                <w:color w:val="auto"/>
                <w:kern w:val="0"/>
                <w:sz w:val="21"/>
                <w:szCs w:val="21"/>
                <w:highlight w:val="none"/>
                <w:u w:val="none"/>
                <w:lang w:val="en-US" w:eastAsia="zh-CN" w:bidi="ar"/>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净重 </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14KG</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适合于各种材料：木头，塑料，铝材，钢板，铁，玻璃。金属非金属均可打磨抛光。可调角90度打磨。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砂轮机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 220V；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 50Hz；</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同步转速 3000r/min；</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额定输入功率 350W；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砂轮尺寸 200*20*32mm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砂轮外形尺寸 340*240*260mm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教学车床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最大工件长度 300mm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机床最大回转直径 180mm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中拖板上最大旋转直径 110mm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大拖板横向行程 200mm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主轴内孔锥度  MT3</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尾架套筒锥度  MT2</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三爪卡盘外径   80mm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主轴通孔直径 20mm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中拖板行程   65mm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尾座轴行程 40mm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刀架行程（小拖板行程） 35mm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公制螺纹范围   0.5~2.5mm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英制螺纹范围   12~52T.P.I</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主轴转速   低速：0-1100转数/分±10%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高速：0-2500转数/分±10%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电机功率   400W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电压/频率  230V/50Hz  or  120V/60Hz</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净重/毛重  </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38/42kg</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外形尺寸  710 ×300 ×310mm </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包装尺寸 760 × 305 × 315mm 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可选配件：机夹车刀、莫氏2号活络顶尖、中心架、跟刀架、尾座夹头带锥柄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适用加工：能加工金属、铜、铝、树脂坯料、ABS 坯料、塑料、腊、电木等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教学钻铣床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最大钻孔直径 13mm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最大铣削直径 16mm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最大端面铣削直径   30mm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主轴箱行程（ Z ） 180mm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横向行程（ X ） 300mm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纵向行程（ Y ） 130mm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回转角度   -45°~+45°</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输出功率   550w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主轴转速范围  低速：0-1100转数/分±10%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高速：0-2500转数/分±10%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主轴孔莫氏锥度  MT#3</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T型槽宽度  12mm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净重/毛重  </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70/87kg</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外形尺寸 620×620×770mm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包装尺寸 700×700×850mm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适用加工：能加工金属、铜、铝、树脂坯料、ABS 坯料、塑料、腊、电木等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全金属钻床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1.所有机械部分全部采用金属结构，结构件和结构件之间利用2个梯形槽对接，用金属梯形连接块；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2.电机内置散热风扇达到延长寿命和增加马力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3.电机主轴皮带轮和被动轮全部为金属结构；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4.主轴箱和电机箱为一体设计，电机可以前后移动调整皮带松紧。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适用加工：木料，软金属（铜，铝等），有机玻璃 ，塑胶等。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技术指标：</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1.马达转速：20000转/分钟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2.输入电压/电流/功率/：12VDC/3A/36W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3.滑块行程：30~50mm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4.夹头：1-6mm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5.配微型机床专用底板，优质亚克力材质，外形美观，规格：300*200mm。底板上有2处安装孔，配有2颗单孔槽螺母与螺丝，可固定机床。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全金属车床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1.所有机械部分全部采用金属结构，结构件和结构件之间利用2个梯形槽对接，用金属梯形连接块；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2.电机内置散热风扇达到延长寿命和增加马力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3.电机主轴皮带轮和被动轮全部为金属结构；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4.主轴箱和电机箱为一体设计，电机可以前后移动调整皮带松紧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技术参数：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1.马达转速：20000转/分钟。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2.输入电压/电流/功率：12VDC/3A/36W。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3.加工材料最大直径：45mm。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4.加工材料长度：135mm。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5.加工材料：木材、工程塑料、软金属(铝、铜等)。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变压器具有过电流，过压，过热保护。</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7.加工材料：木质塑料,软金属(铝,铜等)，有机玻璃，塑胶等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8.配微型机床专用底板，优质亚克力材质，外形美观，规格：300*200mm。底板上有2处安装孔，配有2颗单孔槽螺母与螺丝，可固定机床。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全金属分度钻床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1.所有机械部分全部采用金属结构，结构件和结构件之间利用2个梯形槽对接，用金属梯形连接块；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2.电机内置散热风扇达到延长寿命和增加马力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3.电机主轴皮带轮和被动轮全部为金属结构；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4.主轴箱和电机箱为一体设计，电机可以前后移动调整皮带松紧。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5.配合分度盘使用，可以对圆形工件进行等分钻孔加工。</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6.分度盘上有三组圆周等份分布的小孔，分别是36.40.48个小孔.可以根据实际需要选择分度孔的组别。</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1.马达转速：20000转/分钟。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2.输入电压/电流/功率：12VDC/3A/36W。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3.加工材料：木材、工程塑料、软金属(铝、铜等)。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4.三爪夹盘可夹持工件的最大直径为50mm。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变压器具有过电流，过压，过热保护。</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6.配微型机床专用底板，优质亚克力材质，外形美观，规格：300*200mm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。底板上有2处安装孔，配有2颗单孔槽螺母与螺丝，可固定机床。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全金属微型磨床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1.所有机械部分全部采用金属结构，结构件和结构件之间利用2个梯形槽对接，用金属梯形连接块；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2.电机内置散热风扇达到延长寿命和增加马力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3.电机主轴皮带轮和被动轮全部为金属结构；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4.主轴箱和电机箱为一体设计，电机可以前后移动调整皮带松紧。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5.可以用来抛光、打磨,也可以手持进行各种角度研磨。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6.中心高25mm，砂纸粒度一般为100＃，可根据不同的工件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及加工表面要求选择砂纸。</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1.马达转速：20000转/分钟。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2.输入电压/电流/功率：12VDC/3A/36W。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3.工作桌面积：123 x 100mm。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4.加工材料：木材、工程塑料、软金属(铝、铜等)。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变压器具有过电流，过压，过热保护</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6.配微型机床专用底板，优质亚克力材质，外形美观，规格：300*200mm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。底板上有2处安装孔，配有2颗单孔槽螺母与螺丝，可固定机床。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全金属弓形臂锯床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1.所有机械部分全部采用金属结构，如主轴箱，中间块，线锯箱底座，线锯箱，线锯台,连接块等都采用全金属结构,结构件和结构件之间利用2个梯形槽对接，用金属梯形连接块；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2.电机内置散热风扇达到延长寿命和增加马力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3.电机主轴皮带轮和被动轮全部为金属结构；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4.主轴箱和电机箱为一体设计，电机可以前后移动调整皮带松紧。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5.经过特殊设计,安全不伤手,就算锯齿碰到皮肤,也只会引起轻微的振动,不会割伤。</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6.可以直线,曲线任意切割。</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1.马达转速：20000转/分钟。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2.输入电压/电流/功率：12VDC/3A/36W。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3.工作台面积：90mm x 90mm。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4.线锯加工最大的切锯深度硬木为 4mm、三夹板为7mm、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软木为18mm、薄铝片为0.5mm、有机玻璃为2mm。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5.变压器具有过电流，过压，过热保护。</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6.配微型机床专用底板，优质亚克力材质，外形美观，规格：300*200mm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。底板上有2处安装孔，配有2颗单孔槽螺母与螺丝，可固定机床。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全金属微型锣床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1.所有机械部分全部采用金属结构，结构件和结构件之间利用2个梯形槽对接，用金属梯形连接块；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2.电机内置散热风扇达到延长寿命和增加马力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3.电机主轴皮带轮和被动轮全部为金属结构；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4.主轴箱和电机箱为一体设计，电机可以前后移动调整皮带松紧。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技术参数：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1.马达转速：20000转/分钟。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2.输入电压/电流/功率：12VDC/3A/36W。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3.加工材料最大直径：45mm。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4.加工材料长度：135mm。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5.加工材料：木材、工程塑料、软金属(铝、铜等)。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变压器具有过电流，过压，过热保护。</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配微型机床专用底板，优质亚克力材质，外形美观，规格：300*200mm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。底板上有2处安装孔，配有2颗单孔槽螺母与螺丝，可固定机床。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全金属微型铣床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1.所有机械部分全部采用金属结构，结构件和结构件之间利用2个梯形槽对接，用金属梯形连接块；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2.电机内置散热风扇达到延长寿命和增加马力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3.电机主轴皮带轮和被动轮全部为金属结构；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4.主轴箱和电机箱为一体设计，电机可以前后移动调整皮带松紧。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5.铣床用的刀具是铣刀，铣刀的侧面和前面都是刀刃，有一定的危险性，所以一定要在专业人士的指导下使用。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适用加工：木料，软金属（铜，铝等），有机玻璃 ，塑胶等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技术指标：</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1.马达转速：20000转/分钟；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2.输入电压/电流/功率/：12VDC/3A/36W；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3.滑块行程：30～50mm；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4.夹头：1-6mm；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5.虎钳的夹持尺寸：25～35mm；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配微型机床专用底板，优质亚克力材质，外形美观，规格：300*200mm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。底板上有2处安装孔，配有2颗单孔槽螺母与螺丝，可固定机床。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教学专用数显铣床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特点：1.配有液晶数显软硬件系统，用RS-232串口线连接电脑，可用硬件系统调速或软件系统　定义主轴速度级别；同时显示刀具或工件的位移量和主轴的转速；Ｘ、Ｙ、Ｚ位　移清零；公英制转换。</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2.可精确立体三维定位加工。</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3.铣床用的刀具是铣刀，这铣刀的侧面和前面都是刀刃，有一定的危险性，所以一定要在老师的指导下使用。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技术指标：</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1.可从0-3000转无级地调整主轴的转速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1.马达转速：20000转/分钟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2.输入电压/电流/功率/：12VDC/3A/36W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3.滑块行程：30~50mm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4.夹头：1-6mm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5.虎钳的夹持尺寸：25~35mm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6.加工材料：木质塑料,软金属(铝,铜等)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变压器具有过电流，过压，过热保护</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 配微型机床专用底板，优质亚克力材质，外形美观，规格：300*200mm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。底板上有2处安装孔，配有2颗单孔槽螺母与螺丝，可固定机床。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教学专用数显钻床</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特点：1.配有液晶数显软硬件系统，用RS-232串口线连接电脑，可用硬件系统调速或软件系统　定义主轴速度级别；同时显示刀具或工件的位移量和主轴的转速；Ｘ、Ｙ、Ｚ位　移清零；公英制转换。</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2.可精确钻平面阵列孔。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3.加工的材料也非常广泛，木板、三合板、铝塑板，全可以加工。</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4.倾斜滑块，可以调整钻孔的角度。立式钻床配合不同的部件还可以演变成不同的机床，如摇臂钻、手钻等，配合分度盘使用，更可以钻等分的孔。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技术指标：</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1.可从0-3000转无级地调整主轴的转速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2.马达转速：20000转/分钟</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3.输入电压/电流/功率/：12VDC/3A/36W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4.滑块行程：30和50mm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5.夹头：1-6mm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6.配微型机床专用底板，优质亚克力材质，外形美观，规格：300*200mm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。底板上有2处安装孔，配有2颗单孔槽螺母与螺丝，可固定机床</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7.工作桌面积：123 x 100mm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 变压器具有过电流，过压，过热保护。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车刀</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7件套机夹车刀10*10，适配教学车床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平口钳</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快速平口钳100毫米，适配教学钻铣床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铣刀</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HSS键槽铣刀（4刃铣7把） 适配教学钻铣床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G型夹</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center"/>
          </w:tcPr>
          <w:p>
            <w:pPr>
              <w:widowControl/>
              <w:ind w:firstLine="0" w:firstLineChars="0"/>
              <w:jc w:val="left"/>
              <w:textAlignment w:val="top"/>
              <w:rPr>
                <w:rFonts w:hAnsi="宋体"/>
                <w:color w:val="auto"/>
                <w:szCs w:val="21"/>
                <w:highlight w:val="none"/>
                <w:lang w:bidi="ar"/>
              </w:rPr>
            </w:pPr>
            <w:r>
              <w:rPr>
                <w:rFonts w:hint="eastAsia" w:ascii="宋体" w:hAnsi="宋体" w:cs="宋体"/>
                <w:color w:val="auto"/>
                <w:kern w:val="0"/>
                <w:szCs w:val="21"/>
                <w:highlight w:val="none"/>
                <w:lang w:bidi="ar"/>
              </w:rPr>
              <w:t>3寸</w:t>
            </w:r>
            <w:r>
              <w:rPr>
                <w:rFonts w:hint="eastAsia" w:hAnsi="宋体"/>
                <w:color w:val="auto"/>
                <w:szCs w:val="21"/>
                <w:highlight w:val="none"/>
                <w:lang w:bidi="ar"/>
              </w:rPr>
              <w:t>G型夹</w:t>
            </w:r>
          </w:p>
          <w:p>
            <w:pPr>
              <w:widowControl/>
              <w:ind w:firstLine="0" w:firstLineChars="0"/>
              <w:jc w:val="left"/>
              <w:textAlignment w:val="top"/>
              <w:rPr>
                <w:rFonts w:hAnsi="宋体"/>
                <w:color w:val="auto"/>
                <w:szCs w:val="21"/>
                <w:highlight w:val="none"/>
                <w:lang w:bidi="ar"/>
              </w:rPr>
            </w:pPr>
            <w:r>
              <w:rPr>
                <w:rFonts w:hint="eastAsia" w:hAnsi="宋体"/>
                <w:color w:val="auto"/>
                <w:szCs w:val="21"/>
                <w:highlight w:val="none"/>
                <w:lang w:bidi="ar"/>
              </w:rPr>
              <w:t>长度约2</w:t>
            </w:r>
            <w:r>
              <w:rPr>
                <w:rFonts w:hAnsi="宋体"/>
                <w:color w:val="auto"/>
                <w:szCs w:val="21"/>
                <w:highlight w:val="none"/>
                <w:lang w:bidi="ar"/>
              </w:rPr>
              <w:t>50</w:t>
            </w:r>
            <w:r>
              <w:rPr>
                <w:rFonts w:hint="eastAsia" w:hAnsi="宋体"/>
                <w:color w:val="auto"/>
                <w:szCs w:val="21"/>
                <w:highlight w:val="none"/>
                <w:lang w:bidi="ar"/>
              </w:rPr>
              <w:t xml:space="preserve">mm </w:t>
            </w:r>
          </w:p>
          <w:p>
            <w:pPr>
              <w:widowControl/>
              <w:ind w:firstLine="0" w:firstLineChars="0"/>
              <w:jc w:val="left"/>
              <w:textAlignment w:val="top"/>
              <w:rPr>
                <w:rFonts w:hAnsi="宋体"/>
                <w:color w:val="auto"/>
                <w:szCs w:val="21"/>
                <w:highlight w:val="none"/>
                <w:lang w:bidi="ar"/>
              </w:rPr>
            </w:pPr>
            <w:r>
              <w:rPr>
                <w:rFonts w:hint="eastAsia" w:hAnsi="宋体"/>
                <w:color w:val="auto"/>
                <w:szCs w:val="21"/>
                <w:highlight w:val="none"/>
                <w:lang w:bidi="ar"/>
              </w:rPr>
              <w:t>宽度约1</w:t>
            </w:r>
            <w:r>
              <w:rPr>
                <w:rFonts w:hAnsi="宋体"/>
                <w:color w:val="auto"/>
                <w:szCs w:val="21"/>
                <w:highlight w:val="none"/>
                <w:lang w:bidi="ar"/>
              </w:rPr>
              <w:t>00</w:t>
            </w:r>
            <w:r>
              <w:rPr>
                <w:rFonts w:hint="eastAsia" w:hAnsi="宋体"/>
                <w:color w:val="auto"/>
                <w:szCs w:val="21"/>
                <w:highlight w:val="none"/>
                <w:lang w:bidi="ar"/>
              </w:rPr>
              <w:t xml:space="preserve">mm </w:t>
            </w:r>
          </w:p>
          <w:p>
            <w:pPr>
              <w:widowControl/>
              <w:ind w:firstLine="0" w:firstLineChars="0"/>
              <w:jc w:val="left"/>
              <w:textAlignment w:val="top"/>
              <w:rPr>
                <w:rFonts w:hAnsi="宋体"/>
                <w:color w:val="auto"/>
                <w:szCs w:val="21"/>
                <w:highlight w:val="none"/>
                <w:lang w:bidi="ar"/>
              </w:rPr>
            </w:pPr>
            <w:r>
              <w:rPr>
                <w:rFonts w:hint="eastAsia" w:hAnsi="宋体"/>
                <w:color w:val="auto"/>
                <w:szCs w:val="21"/>
                <w:highlight w:val="none"/>
                <w:lang w:bidi="ar"/>
              </w:rPr>
              <w:t>喉深约4</w:t>
            </w:r>
            <w:r>
              <w:rPr>
                <w:rFonts w:hAnsi="宋体"/>
                <w:color w:val="auto"/>
                <w:szCs w:val="21"/>
                <w:highlight w:val="none"/>
                <w:lang w:bidi="ar"/>
              </w:rPr>
              <w:t>8</w:t>
            </w:r>
            <w:r>
              <w:rPr>
                <w:rFonts w:hint="eastAsia" w:hAnsi="宋体"/>
                <w:color w:val="auto"/>
                <w:szCs w:val="21"/>
                <w:highlight w:val="none"/>
                <w:lang w:bidi="ar"/>
              </w:rPr>
              <w:t>mm</w:t>
            </w:r>
          </w:p>
          <w:p>
            <w:pPr>
              <w:widowControl/>
              <w:ind w:firstLine="0" w:firstLineChars="0"/>
              <w:jc w:val="left"/>
              <w:textAlignment w:val="top"/>
              <w:rPr>
                <w:rFonts w:hAnsi="宋体"/>
                <w:color w:val="auto"/>
                <w:szCs w:val="21"/>
                <w:highlight w:val="none"/>
                <w:lang w:bidi="ar"/>
              </w:rPr>
            </w:pPr>
            <w:r>
              <w:rPr>
                <w:rFonts w:hint="eastAsia" w:hAnsi="宋体"/>
                <w:color w:val="auto"/>
                <w:szCs w:val="21"/>
                <w:highlight w:val="none"/>
                <w:lang w:bidi="ar"/>
              </w:rPr>
              <w:t>夹持范围：</w:t>
            </w:r>
            <w:r>
              <w:rPr>
                <w:rFonts w:hAnsi="宋体"/>
                <w:color w:val="auto"/>
                <w:szCs w:val="21"/>
                <w:highlight w:val="none"/>
                <w:lang w:bidi="ar"/>
              </w:rPr>
              <w:t xml:space="preserve"> 0~80mm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hAnsi="宋体"/>
                <w:color w:val="auto"/>
                <w:szCs w:val="21"/>
                <w:highlight w:val="none"/>
                <w:lang w:bidi="ar"/>
              </w:rPr>
              <w:t>重量约2</w:t>
            </w:r>
            <w:r>
              <w:rPr>
                <w:rFonts w:hAnsi="宋体"/>
                <w:color w:val="auto"/>
                <w:szCs w:val="21"/>
                <w:highlight w:val="none"/>
                <w:lang w:bidi="ar"/>
              </w:rPr>
              <w:t>17</w:t>
            </w:r>
            <w:r>
              <w:rPr>
                <w:rFonts w:hint="eastAsia" w:hAnsi="宋体"/>
                <w:color w:val="auto"/>
                <w:szCs w:val="21"/>
                <w:highlight w:val="none"/>
                <w:lang w:bidi="ar"/>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码钉枪</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手动码钉枪，钉枪整体采用全钢材质</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适用钉子：1008F</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重量约430g</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规格：</w:t>
            </w:r>
            <w:r>
              <w:rPr>
                <w:rFonts w:ascii="宋体" w:hAnsi="宋体" w:cs="宋体"/>
                <w:color w:val="auto"/>
                <w:kern w:val="0"/>
                <w:szCs w:val="21"/>
                <w:highlight w:val="none"/>
                <w:lang w:bidi="ar"/>
              </w:rPr>
              <w:t>176mmx80mmx21mm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吸尘器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桶式吸尘器</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1、额定功率: 1000W</w:t>
            </w:r>
          </w:p>
          <w:p>
            <w:pPr>
              <w:widowControl/>
              <w:ind w:firstLine="0" w:firstLineChars="0"/>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、真空度:18kPa</w:t>
            </w:r>
          </w:p>
          <w:p>
            <w:pPr>
              <w:widowControl/>
              <w:ind w:firstLine="0" w:firstLineChars="0"/>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、电线长度:约</w:t>
            </w: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米</w:t>
            </w:r>
          </w:p>
          <w:p>
            <w:pPr>
              <w:widowControl/>
              <w:ind w:firstLine="0" w:firstLineChars="0"/>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、尘桶容量: 1</w:t>
            </w:r>
            <w:r>
              <w:rPr>
                <w:rFonts w:ascii="宋体" w:hAnsi="宋体" w:cs="宋体"/>
                <w:color w:val="auto"/>
                <w:kern w:val="0"/>
                <w:szCs w:val="21"/>
                <w:highlight w:val="none"/>
                <w:lang w:bidi="ar"/>
              </w:rPr>
              <w:t>0</w:t>
            </w:r>
            <w:r>
              <w:rPr>
                <w:rFonts w:hint="eastAsia" w:ascii="宋体" w:hAnsi="宋体" w:cs="宋体"/>
                <w:color w:val="auto"/>
                <w:kern w:val="0"/>
                <w:szCs w:val="21"/>
                <w:highlight w:val="none"/>
                <w:lang w:bidi="ar"/>
              </w:rPr>
              <w:t>L</w:t>
            </w:r>
          </w:p>
          <w:p>
            <w:pPr>
              <w:keepNext w:val="0"/>
              <w:keepLines w:val="0"/>
              <w:widowControl/>
              <w:suppressLineNumbers w:val="0"/>
              <w:ind w:left="0" w:leftChars="0" w:firstLine="0" w:firstLineChars="0"/>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、尺寸: 343*323*427.7mm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、电机转速:约</w:t>
            </w: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2000r/min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台虎钳</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3寸</w:t>
            </w:r>
            <w:r>
              <w:rPr>
                <w:rFonts w:hint="eastAsia" w:hAnsi="宋体"/>
                <w:color w:val="auto"/>
                <w:szCs w:val="21"/>
                <w:highlight w:val="none"/>
                <w:lang w:bidi="ar"/>
              </w:rPr>
              <w:t>台虎钳，</w:t>
            </w:r>
            <w:r>
              <w:rPr>
                <w:rFonts w:hint="eastAsia" w:ascii="宋体" w:hAnsi="宋体" w:cs="宋体"/>
                <w:color w:val="auto"/>
                <w:kern w:val="0"/>
                <w:szCs w:val="21"/>
                <w:highlight w:val="none"/>
                <w:lang w:bidi="ar"/>
              </w:rPr>
              <w:t>开口125mm ，铸铁材质（国标22号铸铁钳体45号钢丝杠）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桌虎钳</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1、材质:铝合金压铸成型</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2、夹持厚度：</w:t>
            </w:r>
            <w:r>
              <w:rPr>
                <w:rFonts w:ascii="宋体" w:hAnsi="宋体" w:cs="宋体"/>
                <w:color w:val="auto"/>
                <w:kern w:val="0"/>
                <w:szCs w:val="21"/>
                <w:highlight w:val="none"/>
                <w:lang w:bidi="ar"/>
              </w:rPr>
              <w:t>32mm</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3、夹持范围：</w:t>
            </w:r>
            <w:r>
              <w:rPr>
                <w:rFonts w:ascii="宋体" w:hAnsi="宋体" w:cs="宋体"/>
                <w:color w:val="auto"/>
                <w:kern w:val="0"/>
                <w:szCs w:val="21"/>
                <w:highlight w:val="none"/>
                <w:lang w:bidi="ar"/>
              </w:rPr>
              <w:t>0</w:t>
            </w: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25mm</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4、钳口直径</w:t>
            </w:r>
            <w:r>
              <w:rPr>
                <w:rFonts w:ascii="宋体" w:hAnsi="宋体" w:cs="宋体"/>
                <w:color w:val="auto"/>
                <w:kern w:val="0"/>
                <w:szCs w:val="21"/>
                <w:highlight w:val="none"/>
                <w:lang w:bidi="ar"/>
              </w:rPr>
              <w:t>36mm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5、净重约</w:t>
            </w:r>
            <w:r>
              <w:rPr>
                <w:rFonts w:ascii="宋体" w:hAnsi="宋体" w:cs="宋体"/>
                <w:color w:val="auto"/>
                <w:kern w:val="0"/>
                <w:szCs w:val="21"/>
                <w:highlight w:val="none"/>
                <w:lang w:bidi="ar"/>
              </w:rPr>
              <w:t>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铸铁平板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400mm×400mm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技术与设计1挂图及规章制度</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与教材配套，亚克力加KT板材质，挂图6张，规章制度2张，8张为1套；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2.设计室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教师演示台</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2400*700*800mm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1.面板：25mm厚优质实木颗粒台面，平整光亮，具有耐磨、耐压、耐撞击等特点。</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3.台身：采用25mm实木颗粒板框架支撑，15mm三聚氰氨板作分隔板，带门锁。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4.结构：下边为掩门式储存柜，左侧有抽拉式抽屉可以放实物展台（300mm高度）设实验室专用。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脚垫：采用ABS工程塑料，模具注塑成型，防水及防潮，延长使用寿命。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学生设计桌</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钢木结构  2400*1200*780</w:t>
            </w:r>
            <w:r>
              <w:rPr>
                <w:rFonts w:hint="eastAsia" w:ascii="宋体" w:hAnsi="宋体" w:cs="宋体"/>
                <w:i w:val="0"/>
                <w:iCs w:val="0"/>
                <w:color w:val="auto"/>
                <w:kern w:val="0"/>
                <w:sz w:val="21"/>
                <w:szCs w:val="21"/>
                <w:highlight w:val="none"/>
                <w:u w:val="none"/>
                <w:lang w:val="en-US" w:eastAsia="zh-CN" w:bidi="ar"/>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面板：25mm厚实木颗粒板台面，木质颜色自然，台面表面清漆处理，清漆表面光滑，平整光亮，具有耐磨、耐压、耐撞击等特点。</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柜身：柜身为悬柜，基材为15mm厚E1级实验室专用三聚氰胺板制作。可见截面均经过PVC封边;贴面和封边部件应严密、平整，不允许脱胶、鼓泡、凹陷、压痕以及表面划伤、麻点、裂痕、崩角和刃口，外表的圆角、倒棱应均匀一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钢架部分：主框架采用40*60*1.2mm优质方管，焊接成型，表面经酸洗磷化、纯环氧树脂塑粉高温固化处理，平整光滑，不允许有喷涂层脱落、鼓泡、凹陷、压痕以及表面划伤、麻点、裂痕、崩角和刃口等，切割、钻孔和倒角应去毛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导轨及铰链：优质静音导轨及大弯铰链，抽拉及开合次数达到500万次以上；</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拉手：C形拉手；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可调脚：采用ABS专用注塑可调脚，金属螺杆，高度可调节，防滑减震；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仪器柜</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1.尺寸：板式：1400*450*900mm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2.材质：实木颗粒板；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3.工艺：采用标准E1级板，厚度25/15mm,基材采用优质实木颗粒板，面贴优质防火板，ABS直封边制作。五金件采用液压铰链，缓冲效果是普通铰链的五倍；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教师转椅</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椅子：1.面  料：一级网布覆面，厚度1.3-1.5mm；经液氨多道浸色及防潮、防腐等工艺处理；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2.海  绵：优质高弹性聚胺脂定型海棉(模具一次成型)，泡棉密度≥35kg/m³，回弹率≥41%，不含氟氨化合物，表面涂有防止老化变形的保护膜。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3.脚　架：五星式可旋转脚架，管壁厚2mm以上。</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4.升降杆：优质液压升降杆。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5.颜色：可选。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学生实验凳</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48</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1.规格：320*240*440mm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2.材质：25mm厚E1级OSB板面，表面三聚氰胺贴面，1.5mm厚PVC封边条封边，钢制脚架；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3.颜色：可选。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人工智能实验室套装L1</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（2）积木件数量≥500个，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（3）种类≥80种；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2.辅助结构件≥7类，梁类、齿轮、轴类 、实销类、虚销类、连接销、紧固件类</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3.颜色&gt;8种，含有红、黄、蓝、灰、深灰、白、土黄、黑等颜色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4.传动配件：≥11种 40齿齿轮2个，36齿齿轮2个，24齿齿轮4个，20齿齿轮2个，16齿齿轮1个，12齿双锥齿轮2个，8齿齿轮2个，12齿的锥形齿1个、蜗杆1个、星轮2个、大半格齿轮1个、齿条3个、实现多种传动方式。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5.梁类：7种直梁和7种异形梁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6.销与连接件：≥28种  用于连接、紧固的各种，有丰富的搭建方式且易于实现。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7.轮胎：2个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56*22mm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（2）胎皮材料：采用热塑性弹性体，环保无异味，耐磨性高；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（3）轮毂材料：采用高强度工程料，防爆，高刚性，弹性模量高，弹性变形后恢复快，配合孔耐磨耐用；连接孔为十字结构。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热塑性轮胎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（4）支持十字结构连接孔；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8.包装：1个套装塑料箱和1个分类盒。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9.案例：搭建成风车屋、陀螺发射器、水泥搅拌车、三球仪、 缆车等。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10.课程：≥32节课，。每节课不少于2个应用项目。含课程课件、教学教案、搭建图、演示视频。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人工智能实验室套装L2</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1.控制器：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（1）处理器：≥32位ARM处理器，Cortex-M4芯片；8M内存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（2）接口：满足5路RJ11传感器接口（数字/模拟复用），4 路带驱动专用编码马达接口（具有自我保护功能）。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（3）液晶显示模块：1）尺寸≥2.4 英寸；</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2)可触控高清彩色液晶显示模块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3)电源：内置充电电路，内置7.4V一体锂电池。</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（4）音量测量模块：探测范围 40-120 分贝，精度不低于 1%，频率范围 20－16000Hz</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（5）内置电源电压测量模块、蜂鸣器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（6）免驱动安装 ，支持 U 盘程序下载，；支持 U 盘模式的固件升级。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（7）内置蓝牙模块，蓝牙程序下载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2.电子件：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（1）材料： 电子件全部带ABS一体外壳。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（2）接口：采用标准的RJ11接口。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（3）包括：高速马达 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内置角度传感器，可以精确到 1 度的控制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转速300+10%RPM，额定电压5－7.2V，工作电流135mA@6V。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（2）积木件数量≥140个，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（3）种类≥50种；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4.辅助结构件：7类，梁类、齿轮、轴类 、实销类、虚销类、连接销、紧固件类</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5.颜色&gt;7种，含有红、黄、灰、深灰、白、土黄、黑等颜色 。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6.传动配件：≥3种 ：转台1个，凸轮2个，16齿齿轮1个，实现多种传动方式。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7.梁类：4种直梁和1种异形梁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8.销与连接件：≥17种  用于连接、紧固的各种，有丰富的搭建方式且易于实现。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9.包装：1个套装塑料箱和1个分类盒。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10.案例：架桥机、升降机、机械尺蠖、越野车、直升飞机等。。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11.课程：≥32节课，每节课不少于2个应用项目。含课程课件、教学教案、搭建图、演示视频。</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二、软件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1.编程方式：（1）机器人编程软件同时支持图形化编程和代码编程方式；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（2）可以支持SCRATCH2.0和SCRATCH3.0编程方式，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（3）支持控制器通过内置蓝牙直接连接 SCRATCH 在线编程与下载，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（4）具备多任务编程方式；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(5)控制器支持多任务程序。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支持 手机/平板APP 的程序编写、遥控与Python文件程序下载并保存控制器磁盘中。</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 控制器同时支持Python语言和C语言，支持直接运行.py文件与.bin文件。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人工智能实验室套装L3</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1.电子件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（1）材料： 电子件全部带ABS一体外壳。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（2）接口：采用标准的RJ11接口。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（3）数量：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a.</w:t>
            </w:r>
            <w:r>
              <w:rPr>
                <w:rFonts w:hint="eastAsia" w:ascii="宋体" w:hAnsi="宋体" w:eastAsia="宋体" w:cs="宋体"/>
                <w:i w:val="0"/>
                <w:iCs w:val="0"/>
                <w:color w:val="auto"/>
                <w:kern w:val="0"/>
                <w:sz w:val="21"/>
                <w:szCs w:val="21"/>
                <w:highlight w:val="none"/>
                <w:u w:val="none"/>
                <w:lang w:val="en-US" w:eastAsia="zh-CN" w:bidi="ar"/>
              </w:rPr>
              <w:t>碰触传感器 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b.彩灯模块 1个，含半透明外壳，可全彩颜色显示；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c.光电模块 2个，发光灯为可见光，可以控制发光灯亮灭，并带有阈值指示灯；</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 高速马达 2个，内置角度传感器，可以精确到 1 度的控制；转速300+10%RPM，额定电压5－7.2V，工作电流135mA@6V。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 73 个积木件。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（3）种类：≥12种。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（4）辅助结构部件：7 类  包括：梁类、齿轮、轴类 、实销类、虚销类、连接销、紧固件类。</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（5）颜色&gt;7种，含有红、蓝、灰、深灰、白、土黄、黑等颜色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3.传动配件：≥11种   包括：40齿齿轮两个，36齿齿轮2个，24齿齿轮2个，20齿齿轮2个，16齿齿轮4个，12齿双锥齿轮2个，8齿齿轮2个，12齿的锥形齿1个、蜗杆1个、转台1组、星轮4个、差速器1个、大半格齿轮1个、齿条2个、履带2两组等，实现多种传动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4.销与连接件≥32种，有丰富的搭建方式且易于实现。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（1）数量：两个宽轮胎。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65*22mm。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（3）胎皮材质：热塑性弹性体，环保无异味，耐磨性高。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（4）轮毂材料：采用高强度工程料，防爆，高刚性，弹性模量高，弹性变形后恢复快，配合孔耐磨耐用。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（5）连接孔：十字结构。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6.粱：1种异形梁。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7.面板：3X7右弯/左弯面板各一个。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5X5面板2个。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8.包装：1个套装塑料箱和1个分类盒。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9.案例：送餐机器人、硬币计数器、智能晾衣架、排爆机器人、 智能闹钟等。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人工智能实验室套装L4</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1.电子件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（1）材料： 电子件全部带ABS一体外壳。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（2）接口：采用标准的RJ11接口。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（3）数量：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 碰触传感器 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 颜色传感器1个：具有颜色识别功能，可以识别6种颜色，具备自动白平衡功能和颜色学习功能，并且可以设置和读取参考值；</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 智慧眼模块2个，支持连续渐变和图形显示，可发送和接收红外线信号，具备接近检测功能；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 姿态传感器1个，支持三轴加速度、三轴角速度输出和欧拉角数据输出；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 大型马达2个，内置角度传感器，可以精确到 1 度的控制；转速180+10%RPM，额定电压5－7.2V，工作电流180mA@7.2V；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 超声波传感器1个，具有超声波检测物体距离功能，并且通过LED灯颜色状态显示距离，有效测量范围 7cm-180cm；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 红外传感器1个，内置红发发射LED和红外接收LED,测量距离大约为3-20cm；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 气压传感器1个，能够检测出当前位置的大气压值，分辨率达0.2Pa，测量范围300-1100hPa（绝压）；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 磁敏传感器1个，支持磁场强度检测和极性检测，检测距离0-5cm。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 100 个积木件。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（3）种类：≥40种。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（4）辅助结构部件：7 类  包括：梁类、齿轮、轴类 、实销类、虚销类、连接销、紧固件类</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（5）颜色&gt;6种，含有红、蓝、灰、深灰、白、黑等颜色。</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3.传动配件：≥11种   包括：40齿齿轮2个，36齿齿轮2个，24齿齿轮2个，星轮2个、齿条2个、转台1个，实现多种传动方式。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4.销与连接件≥4种，有丰富的搭建方式且易于实现。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粱：4种直梁和1种异形梁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6.面板：配有5X5面板2个。 配有5X15面板1个。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8.包装：1个套装塑料箱和1个分类盒。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9.案例：智能头盔、杂技小人、气压升降机、颜色识别器、电吉他等。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10.课程：≥32节课，每节课不少于2个应用项目。含课程课件、教学教案、搭建图、演示视频。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人工智能实验室套装L5</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1.电子件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（1）材料： 电子件全部带ABS一体外壳。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（2）接口：采用标准的RJ11接口。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（3）数量：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a. 激光传感器 1个，检测距离的精度1mm，标准模式检测范围为20—1200mm，长距离模式最远测距距离2米；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b. 点阵屏模块 2个，可用于显示汉字、字母、数字和表情的模块，可实现：16级亮度可以调节、自定义每一个点的亮灭、滚动显示字符串、显示手绘表情等；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c. 手势传感器 1个，能够检测手部姿势变化的传感器。检测有效距离为3-10cm，可识别8种手势；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d. 扫码摄像头 1个，可用于扫描二维码和条形码的器件，可解码多种格式的条码和二维码，扫码的范围大约是5-18cm。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 100 个积木件。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（3）种类：≥13种。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（4）辅助结构部件：6 类  包括：梁类、轴类 、实销类、虚销类、连接销、紧固件类</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（5）颜色&gt;6种，含有红、灰、深灰、白、土黄、黑等颜色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3.传动配件：≥3种   包括：蜗轮1个，履带轮2个，履带片56个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4.销与连接件≥4种，有丰富的搭建方式且易于实现。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粱：2种直梁。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6.包装：1个套装塑料箱和1个分类盒。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7.案例：点餐机器人、自动售货机、无人流水线、超市寄存柜、 扫地机器人等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8.课程：≥32节课，每节课不少于2个应用项目。含课程课件、教学教案、搭建图、演示视频。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人工智能实验室套装L6</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1.电子件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（1）材料： 电子件全部带ABS一体外壳。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（2）接口：采用标准的RJ11接口。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（3）数量：AI模块： 1个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200W像素、80°摄像头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1.54寸240X240 TFT液晶显示屏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支持python编程。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内置了13种功能，分别为颜色检测、二维码识别、小球识别、道路识别、人脸检测、图像分类、标签码识别、颜色识别学习、人脸识别学习、手势识别、图像分类学习、交通标志识别、五通道巡线。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 250积木件。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（3）种类：≥40种。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（4）辅助结构部件：7 类  包括：梁类、轴类 、实销类、虚销类、连接销、紧固件类</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（5）颜色&gt;8种，含红、黄、蓝、灰、深灰、白、土黄、黑等颜色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3.传动配件：≥5种   36齿齿轮2个，12齿齿轮4个，8齿齿轮2个，蜗轮1个，齿条10个，实现多种传动方式。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4.销与连接件≥16种，有丰富的搭建方式且易于实现。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5.粱：7种直梁和4种异形梁。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6.面板：5X15面板2个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6.包装：1个套装塑料箱和1个分类盒。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7.案例：救援机器人、对弈裁判员、摘苹果机器人、视力检查仪、 智能赛艇等。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8.课程：≥32节课，每节课不少于2个应用项目。含课程课件、教学教案、搭建图、演示视频。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科技动力教育系统</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1.电源模块：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（1）配有一个两路马达电源模块，该电源模块可同时给两个马达供电，并能通过拨动各自的开关来切换马达的工作方向。</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（2）内置锂电池，工作电压3.7V。可通过USB充电，充电电压5V。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（3）配有工作指示灯，电压低时显示橙色。</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2.电机：转速260-280RPM，运行扭矩10Ncm，失速扭矩15Ncm。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（1）孔距：设计比例基于标准的10毫米积木，无螺丝的搭建设计。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（2）数量：≥545个积木件，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（3）种类：≥95种。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（3）辅助结构部件：8类：梁类、齿轮、轴类、实销类、虚销类、连接件、紧固件、板类。</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（4）颜色&gt; 8 种，含有红、黄、蓝、灰、深灰、白、土黄、黄色、黑等颜色。</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4.连接板：5X15cm多孔连接板1块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5X5cm多孔连接板2块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5.梁类：7种直梁和9种异形梁。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传动配件：≥15种传动配件：40齿齿轮2个，36齿齿轮2个，24齿齿轮4个，20齿齿轮2个，16齿齿轮2个，12齿齿轮2个，8齿齿轮2个，并配有20齿和12齿的锥形齿、凸轮、蜗杆、齿条、万向节、转台，以及≥90节链条，以实现多种传动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7.连接件：于连接、紧固的各种销与连接件≥34种，有丰富的搭建方式且易于实现。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8.宽轮胎：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（1）型号：直径5.6宽度2.8cm，直径4.3宽度2.2cm。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（2）数量：4个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（3）胎皮材料：采用热塑性弹性体，环保无异味，耐磨性高。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（4）轮毂材料：采用高强度工程料，防爆，高刚性，弹性模量高，弹性变形后恢复快，配合孔耐磨耐用；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（5）连接孔：十字结构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9.面板：3X11cm右弯/左弯面板各一个，配有3X7cm右弯/左弯面板各一个。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10.包装：一个套装塑料箱和两个分类盒。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案例：恐龙、企鹅、翻斗车、F1赛车、海盗船、旋转木马、吊桥、升降机等。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11.课程：最少配有3阶段，48节课，含课程PPT、教案以及搭建图。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机器人传感器控制系统</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w:t>
            </w:r>
            <w:r>
              <w:rPr>
                <w:rFonts w:hint="eastAsia" w:ascii="宋体" w:hAnsi="宋体" w:cs="宋体"/>
                <w:i w:val="0"/>
                <w:iCs w:val="0"/>
                <w:color w:val="auto"/>
                <w:kern w:val="0"/>
                <w:sz w:val="21"/>
                <w:szCs w:val="21"/>
                <w:highlight w:val="none"/>
                <w:u w:val="none"/>
                <w:lang w:val="en-US" w:eastAsia="zh-CN" w:bidi="ar"/>
              </w:rPr>
              <w:t>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传感器规格：</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1.气压传感器：1个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（1）检测出环境的气压值并返回相应的数值。</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（2）接口：气压传感器使用标准中鸣RCU通用电话线；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（4）压力分辨率：高达0.2Pa，能在300 - 1100hPa的宽广范围内工作；</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（5）温度分辨率：最高可达0.004摄氏度的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（6）高度分辨率：最高可达10cm。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2.磁敏传感器：1个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（1）接口：中鸣RCU通用电话线；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（2）工作电压：5V；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（3）灵明度：Bop低至0.9mT;抗机械应力。</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（4）磁敏传感器返回当前传感器附近的磁场强度和方向。</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3.陀螺仪传感器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（1）接口：中鸣RCU通用电话线；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（2）工作电压：5V；具备自动校准功能；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（3）提供姿态方位数据（AHRS)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（4）同时具备加速度、角度速度和陀螺仪功能；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（5）角度精度：±0.1°，加速度精度±0.01g。</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（6）返回当前传感器的角运动状态，包含XYZ三轴的倾斜角度、运动速度、运动加速度信息。</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4.手势传感器：1个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（1）接口：标准中鸣RCU通用电话线；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（2）工作电压：5V；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（3）手势检测：5种。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非接触式检测。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检测距离为3-10cm。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识别前方一定距离内的手势的运动方向并返回相应的数值，返回值如下：（观察方向为传感器方向，且连接孔朝下），1-向左挥手；2-向右挥手；3-向下挥手；4-向上挥手；5-向前挥手；6-向后挥手；7-顺时针挥手；8-逆时针挥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5.温湿度传感器：1个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（1）功能：检测环境的温度和湿度并返回相应的数值。</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（2）接口：标准中鸣RCU通用电话线接口；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（4）温度检测范围：-40-125℃，湿度检测范围0-100%RH；</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（5）温湿度的剧变时，需要5分钟左右才能返回准确数值；</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6.激光测距传感器：1个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（1）功能：通过发射激光信号，并接收被测距对像反射的激光信号来判断距离。</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（2）接口：标准中鸣RCU通用电话线接口；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（4）检测距离：2-120CM，精度1CM。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7.红外测距传感器：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（1）功能：通过发射红外线信号，并接收被测距对像反射的红外线信号来判断距离。</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（2）接口：标准中鸣RCU通用电话线；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（4）检测：1 0档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（5）感应距离：3-20CM。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二、蓝牙适配器：1个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（1）功能：通过U S B连接电脑，与控制器进行数据传输。</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（2）支持USB热插拔，支持一键连接和自动连接。</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（3）最大传输速率8K/S。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（4）有效通讯距离10M。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三、AI视觉模块：1个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（1）可以完成机器视觉的应用，也可以通过语音与其交互。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（2）模块支持python编程，可以与RCU进行数据交互，从而实现硬件无缝对接。</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（3）接口：采用标准中鸣RCU通用电话线接口；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（4）工作电压：5V；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（5）处理器：ARMCorteM7 处理器，480MHz，1MBRAM，2MBflash；</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（6）图像格式：Grayscale、RGB565.JPEG图像格式；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（7）30W像素，80摄像头；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（8）液晶显示屏：1.54寸240X240TFT；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内置58条语音指令；</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尺寸：50mm*50mm*34mm。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四、扫码摄像头：1个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（1）功能：扫描标准二维码；扫描标准条形码；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（2）接口：采用标准中鸣RCU通用电话线接口；串口通讯；</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（4）测量使用范围：5cm-18cm；备注：标准二维码及条型码支持解码种类详见。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五、智慧眼：2个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（1）具有8颗24色真彩色LED灯，可通过程序单独控制，这些灯的工作状态和颜色。</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（2）内置红外发射/接收模块，可接收红外遥控器信号，或智慧眼与智慧眼进行红外通讯。</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（3）采用标准中鸣RCU通用电话线接口；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（4）工作电压5V；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（5）内置8颗24b i t真彩色发光灯；</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（6）支持连续渐变和简单图形显示；可发送和接收红外线信号。</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六、16x16蓝色点阵：2个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（1）可以显示一个汉字，两个字母、数字或符号，自定义的图案或表情。</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（2）支持16级亮度调节；</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（3）适配智能风暴套装；</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（4）采用HT1632C芯片，运行速度256KHz；</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（5）支持电压：2.4-5.5V；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（6）使用标准接口。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创意扩展教育系统</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 1000 个积木件。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（3）种类：≥64种。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（4）辅助结构部件：≥ 7 类  含：梁类、齿轮、轴类 、实销类、虚销类、连接销、紧固件：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（5）积木颜色：≥8种 含有红、黄、蓝、灰、深灰、白、土黄、黄色、黑等颜色。</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（6）传动配件有：≥8种：36齿齿轮2个，20齿齿轮2个、凸轮、齿条、万向节、转台，以及不少于50节链条，不少于80节履带以实现多种传动方式。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（7）梁类：7种直梁和5种异形梁。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（8）连接件：用于连接、紧固的各种销与连接件≥34种，有丰富的搭建方式且易于实现。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（1）数量：1个宽轮胎。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（2）规格：直径5.6宽度2.8cm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（3）胎皮材质：采用热塑性弹性体，环保无异味，耐磨性高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（4）轮毂材料：采用高强度工程料，防爆，高刚性，弹性模量高，弹性变形后恢复快，配合孔耐磨耐用。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（5）连接孔：十字结构。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3.麦克纳姆轮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（1）数量：两种型号麦克纳姆轮共4个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（2）直径97mm，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（3）轮毂材料：采用高强度工程料，防爆，高刚性；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（4）连接孔：分别</w:t>
            </w:r>
            <w:r>
              <w:rPr>
                <w:rFonts w:hint="eastAsia" w:ascii="宋体" w:hAnsi="宋体" w:cs="宋体"/>
                <w:i w:val="0"/>
                <w:iCs w:val="0"/>
                <w:color w:val="auto"/>
                <w:kern w:val="0"/>
                <w:sz w:val="21"/>
                <w:szCs w:val="21"/>
                <w:highlight w:val="none"/>
                <w:u w:val="none"/>
                <w:lang w:val="en-US" w:eastAsia="zh-CN" w:bidi="ar"/>
              </w:rPr>
              <w:t>为</w:t>
            </w:r>
            <w:r>
              <w:rPr>
                <w:rFonts w:hint="eastAsia" w:ascii="宋体" w:hAnsi="宋体" w:eastAsia="宋体" w:cs="宋体"/>
                <w:i w:val="0"/>
                <w:iCs w:val="0"/>
                <w:color w:val="auto"/>
                <w:kern w:val="0"/>
                <w:sz w:val="21"/>
                <w:szCs w:val="21"/>
                <w:highlight w:val="none"/>
                <w:u w:val="none"/>
                <w:lang w:val="en-US" w:eastAsia="zh-CN" w:bidi="ar"/>
              </w:rPr>
              <w:t>螺丝孔和销孔。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4.魔方：</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（1）数量：1，</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（2）内部含有磁铁辅助翻转。</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5.包装：配有一个套装塑料箱和一个分类盒。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6.案例：产品配合基础套装能搭建成魔方机器人、方履带机器人、搬运机器人、六足机器人、坦克、霸王龙等案例。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建图资料：≥配有8款搭建图资料。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捍卫者小威奇（加强版）</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1.主控器：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（1）、处理器：≥32位ARM处理器，Cortex-M4芯片。</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（2）存储：8M内存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（3）接口：5路RJ11传感器接口（数字/模拟复用），4 路带驱动专用编码马达接口（具有自我保护功能）。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（4）显示屏：可触控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高清彩色液晶显示模块,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液晶显示屏尺寸≥ 2.4 英寸；</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（5）充电：内置充电电路，内置7.4V一体锂电池。</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（6）电源电压测量模块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（7）音量测量模块：（探测范围 40-120 分贝，精度不低于 1%，频率范围 20－16000Hz）和蜂鸣器。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免驱动安装 ，支持 U 盘程序下载，内置蓝牙模块，蓝牙程序下载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 U 盘模式的固件升级。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2.电子件：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（1）材料： 电子件全部带ABS一体外壳。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（2）接口：采用标准的RJ11接口。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（3）包括：1) 碰触传感器 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彩灯模块 1个，含半透明外壳，可全彩颜色显示；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光电模块 2个，发光灯为可见光，可以控制发光灯亮灭，并带有阈值指示灯；</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4)高速马达 2个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内置角度传感器，可以精确到 1 度的控制；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转速160+10%RPM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额定电压5－7.2V，工作电流135mA@6V。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 446个积木件。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（3）种类：≥85种。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（4）辅助结构部件：≥ 7 类  含：梁类、齿轮、轴类 、实销类、虚销类、连接销、紧固件：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（5）积木颜色：≥9种，含有红、黄、蓝、灰、深灰、白、土黄、黄色、黑等颜色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传动配件有：≥11种：40齿齿轮两个，36齿齿轮2个，24齿齿轮2个，20齿齿轮2个，16齿齿轮4个，12齿双锥齿轮2个，8齿齿轮2个，12齿的锥形齿1个、蜗杆1个、转台1组、星轮4个、差速器1个、大半格齿轮1个、齿条2个、履带2两组等，实现多种传动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（7）梁类：7种直梁和9种异形梁。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（8）连接件：用于连接、紧固的各种销与连接件≥32种，有丰富的搭建方式且易于实现。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（1）数量：两个宽轮胎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（2）规格：56*22mm。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（3）胎皮材料：采用热塑性弹性体，环保无异味，耐磨性高；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（4）轮毂材料：采用高强度工程料，防爆，高刚性，弹性模量高，弹性变形后恢复快，配合孔耐磨耐用；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（5）连接孔：十字结构。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面板：配有3X7右弯/左弯面板各一个。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包装：配有1个套装塑料箱和1个分类盒。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二、软件参数：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1.编程方式:机器人编程软件同时支持图形化编程和代码编程方式；可以支持SCRATCH2.0和SCRATCH3.0编程方式.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2.支持控制器通过内置蓝牙直接连接 SCRATCH 在线编程与下载，具备多任务编程方式；控制器支持多任务程序。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支持 手机/平板APP 的程序编写、遥控与Python文件程序下载并保存控制器磁盘中。</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控制器同时支持Python语言和C语言，支持直接运行.py文件与.bin文件。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三、案例：产品能搭建成捍卫者机器人、电子宠物狗、智能叉车、送餐机器人、 机械爪等。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四、课程：最少配有48节课，含课程PPT、教案以及搭建图；并配备IOS和安卓版本课程中心APP，以上课程内置在该APP内。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智能风暴教育系统</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1.控制器：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（1）处理器：32位ARM处理器，STM32F407系列。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（2）主频：168MHz，1M程序存储器，192K数据缓冲器。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（3）存储：内置16MB程序存储器（可存放超100个独立程序，2MB 可作字库使用）。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（4）显示：支持中文显示。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（5）接口：≥8路RJ11传感器接口，≥4 路带驱动专用编码马达接口（具有自我保护功能）。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（6）显示屏：液晶显示屏：≥2.4 英寸。</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支持触摸。</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分辨率不低于 320*240。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色彩不低于 65K。</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（7）充电：内置7.4V 2000mAh一体锂电池。</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（8）蓝牙：内置蓝牙模块，支持蓝牙程序下载。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（9）支持电源电压测量。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（10）支持音量测量模块（探测范围 40-120 分贝，精度不低于 1%，频率范围 20－16000Hz）和蜂鸣器。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（11）免驱动安装 ，支持 U 盘程序下载，支持 U 盘模式的固件升级。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（12）MP3播放和≥16MB 音乐存储器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2.传感器：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（1）材料： 电子件全部带ABS一体外壳。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（2）接口：采用标准的RJ11接口。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（3）数量： 碰触传感器 2个。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彩灯模块 1个（半透明外壳，可全彩颜色显示）。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光电模块 2个（发光灯为可见光，可以控制发光灯亮灭，并带有阈值指示灯）。超声测距模块 1个（带有透明外壳全彩发光表情灯光，输出数字量）。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颜色传感器 1个（可识别 6 种固定颜色，可读取RGB色彩分量数值，自带可控全彩发光灯）。</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（4）AI摄像头：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支持颜色检测、二维码识别、小球识别、道路识别、人脸检测、图像分类、标签码识别、颜色识别学习、人脸识别学习、手势识别、图像分类学习、交通标志识别、五通道寻线、语音识别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3.伺服电机：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（1）大型伺服电机 2个：内置角度传感器，可以精确到 1 度的控制；测速反馈精度：170 - 190 RPM，运行扭矩21Ncm，失速转矩42Ncm。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（2）中型伺服电机 1个：内置角度传感器，测速反馈精度：260 - 280 RPM，运行扭矩10Ncm，失速转矩15Ncm。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 590 个积木件。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（3）种类：≥83种。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（4）辅助结构部件：≥ 7 类  含：梁类、齿轮、轴类 、实销类、虚销类、连接销、紧固件：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（5）积木颜色：≥10种（含有红、黄、蓝、绿、灰、深灰、白、土黄、黄色、黑等颜色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（6）传动配件有：≥11种：含40齿齿轮两个，36齿齿轮2个，24齿齿轮4个，20齿齿轮2个，16齿齿轮4个，12齿齿轮2个，8齿齿轮4个，12齿的锥形齿1个、蜗杆1个、转台1组、十字齿轮4个等），实现多种传动方式。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（7）梁类：7种直梁和9种异形梁。</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（8）连接件：用于连接、紧固的各种销与连接件≥32种，有丰富的搭建方式且易于实现。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（9）面板：3X11右弯/左弯面板各一个，3X7右弯/左弯面板各一个。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（1）数量：两个宽轮胎。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（2）规格：65*22mm。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（3）胎皮材质：热塑性弹性体，环保无异味，耐磨性高。</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（4）轮毂材料：采用高强度工程料，防爆，高刚性，弹性模量高，弹性变形后恢复快，配合孔耐磨耐用。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（5）连接孔：十字结构。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6.包装： 配有一个套装塑料箱和两个分类盒。</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7.软件：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（1）机器人编程软件同时支持图形化编程和代码编程方式。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（2）可以支持SCRATCH2.0和SCRATCH3.0编程方式。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（3）支持控制器通过内置蓝牙直接连接 SCRATCH 在线编程与下载，具备多任务编程方式；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（4）控制器支持多任务程序。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（5）支持手机/平板APP 的程序编写、遥控与Python文件程序下载并保存控制器磁盘中；且APP内可提供3D搭建图。</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（6）控制器同时支持Python语言和C语言，支持直接运行.py文件与.bin文件。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8.案例：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魔方还原机器人（只需增加积木件）、双腿步行机器人、摄像头人脸识别、摄像头遥控车、 蓝牙手机遥控小车、机械手、起重机、寻迹车等。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9.课程：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配有6阶段，96节课，含课程PPT、教案以及搭建图；并配备IOS和安卓版本课程中心APP，以上课程内置在该APP内。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竞赛版积木减速电机(带线)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1.工作电压范围:  4.8V～8.4V（DC）2.转速：200RPM (at 8.4V)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3.空载电流：&lt;=420mA</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4.负载电流：&lt;=1.5A(建议)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5.堵转扭矩：&gt;=2 Kgf.cm ( AT:8.4V )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6.齿轮箱采用高精度全金属齿           </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7.增量式编码输出（AB相）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竞赛版积木数字舵机(带线)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1.采用IIC/UART复合硬件接口设计，能同时支持IIC接口与UART双线接口，兼容公用的舵机控制协议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2.支持带角度反馈与零位修正功能</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3.支持360 度全角度范围控制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4.支持多种工作模式（舵机模式、减速电机模式、编码电机模式）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5.采用高精度全金属齿设计，锁位准确，无抖动，无过冲，具过流与堵转保护，有效延长使用寿命。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2.4G智控手柄</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手柄参数：输入电压3V，6数据通道，频率2.4GHz，带编码旋钮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收发模块参数：RJ11水晶头接口，一键自动配对，输入电压4~12V，接口信号电平3.3V，UART接口115200bps，频率2.4GHz；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IOT无线物联网模块（带线）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体积大小：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43mm x 30mm x 20mm；接线类型：RJ11；工作电压：5V；I2C速率：100kbit/s；WIFI频段：2.4G(2400~2483.5MHz)；</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支持MQTT协议；具备工作状态指示灯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光电传感器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1.标准RCU通用电话线接口；2.工作电压5V；3.连续模拟信号输出；4.快速检测及响应；5.带阈值指示灯，抗日光。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智能循迹模块</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标准RCU通用电话线接口；2.工作电压5V；3.可以切换7种不同的颜色，具有一定抗环境光的功能；4.内置蜂鸣器；5.具备自动设置参考与手动设定参考值功能，可以读取每路传感器的模拟数值和与参考值的判断值；6.具有高速I2C接口，支持固件升级；7.模块最佳高度为板顶离地面14mm,最高不要高于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AI风暴 魔方机器人套装</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一、基本参数：</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1.主控器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（1）处理器：8核 12nm处理器，16GROM，2GRAM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（2）端口：12路通用RJ11端口，每路使用UART通讯方式，可以接专用的传感器和专用的编码电机。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（3）屏幕：内置4寸IPS屏幕，分辨率800X480，电容式触摸屏</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（4）内置锂电池 7.4V 2500mAh；</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（5）内置蓝牙</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（6）内置2.4GHz/5G 双频段WIFI模块；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（7）内置喇叭和麦克风。</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（8）支持TF卡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（9）尺寸为11cm X 7cm X 4cm，ABS材料</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2.传感器及马达</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（1）200W AHD摄像头  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（2）大型伺服电机 3个：RJ11接口，串口协议，全金属齿轮组，360度绝对位置检测和控制。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3.积木结构件：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（1）孔距：标准的 10 毫米积木，无螺丝的搭建设计。</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（2）数量：≥ 500 个积木件。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（3）种类：≥80种。</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4.配置带磁魔方 三阶5.6*5.6*5.6cm，六面UV印刷。</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5.包装：配有一个套装塑料箱</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6.软件：PC软件：控制器配套编程软件同时支持图形化编程和代码编程方式，支持3D虚拟搭建。控制器软件：解魔方的过程支持2D魔方扩展图或者3D魔方模型展示。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7.支持人工智能功能：人体姿态识别、人脸检测、物体识别、物体检测、二维码识别、颜色识别、语音识别、文字识别、手势功能、物体追踪、姿态识别、物联网、AI大模型等。</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8.案例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套装能搭建完整的解魔方模型，体积不超过33cm X 31cm X 34cm，可以还原打乱的通用3阶魔方。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可拓展型人工智能编程主控普及套装</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采用掌控板作为主控，塑胶一体式外壳，尺寸不大于60*60*30mm，支持拓展，兼容塑料积木，可完成多种创意应用。每套含20块编程主控和20条数据线。</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1.主控</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处理器：双核处理器（一核处理高速连接；一核独立应用开发）；</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主频：高达240MHz的时钟频率；</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SRAM：520KB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Flash：8MB；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Wi-Fi：802.11 b/g/n最高150 Mbps；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频率范围：2.4~2.5 GHz；</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蓝牙协议：符合蓝牙v4.2 BR/EDR和BLE标准；</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2.集成模块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陀螺仪：最高可测±2048dps；</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三轴加速度计：最高可测±16 g；</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磁场传感器：3轴 量程±30 G；</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光线传感器：0-4095；</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麦克风：支持语音识别；</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RGB灯：3 颗全彩ws2812灯珠；</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喇叭：8欧1瓦</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1.3英寸OLED显示屏，支持16*16字符显示，分辨率128x64；</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2个物理按键(A/B)；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6个触摸按键；</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3.拓展接口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1路IIC接口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6个拓展I/O口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2个电机驱动接口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4.电源</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电池：1000mAh可充电锂电池</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充电电流：500mA</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充电接口：Type-C接口</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充电指示灯：1个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电源开关：1个</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电量指示灯：1个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循迹传感器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数据类型：黑色--1  白色--0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探测距离：0.5-1cm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红外探测</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数据类型：模拟采样值</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探测距离：0-5cm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颜色</w:t>
            </w:r>
            <w:r>
              <w:rPr>
                <w:rFonts w:hint="eastAsia" w:hAnsi="宋体"/>
                <w:color w:val="auto"/>
                <w:sz w:val="21"/>
                <w:szCs w:val="21"/>
                <w:highlight w:val="none"/>
                <w:lang w:bidi="ar"/>
              </w:rPr>
              <w:t>传感器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数据类型：RGB 采样值（0-255）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按键</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数据类型：按下--1  松开--0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摇杆</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数据类型：模拟采样值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温湿度</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旋钮电位器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数据类型：模拟采样值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32</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热敏温度</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33</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光线</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数据类型：模拟采样值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34</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震动</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数据类型：震动--1  静止--0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35</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人体感应</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数据类型：触发--1 未触发--0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磁控开关</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数据类型：触发--1  未触发--0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限位开关</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数据类型：触发--1  未触发--0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38</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烟雾</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数据类型：模拟采样值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39</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手势</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超声波传感器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32*48mm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测量范围：5-250cm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电子标签</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32*48mm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探测距离：0.5-1cm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数据类型：ID和电子钱包信息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42</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土壤湿度</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固定安装：2个螺丝孔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数据类型：模拟采样值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43</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水位</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固定安装：2个螺丝孔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数据类型：模拟采样值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红外接收</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数据类型：触发--1  未触发--0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接收距离：0-10m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45</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心率血氧</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数据类型：心率、血氧检测值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46</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LED</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（红）</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控制方式：数字输入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47</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LED</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控制方式：数字输入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48</w:t>
            </w:r>
          </w:p>
        </w:tc>
        <w:tc>
          <w:tcPr>
            <w:tcW w:w="888"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RGB LED</w:t>
            </w:r>
            <w:r>
              <w:rPr>
                <w:rFonts w:hint="eastAsia" w:hAnsi="宋体"/>
                <w:color w:val="auto"/>
                <w:sz w:val="21"/>
                <w:szCs w:val="21"/>
                <w:highlight w:val="none"/>
                <w:lang w:bidi="ar"/>
              </w:rPr>
              <w:t>传感器</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控制方式：RGB分量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RGB LED(4灯)</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控制方式：RGB分量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蜂鸣器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控制方式：数字输入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激光发射</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控制方式：数字输入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驱动器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控制方式：数字输入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继电器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32*48mm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控制方式：数字输入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数码管</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32*48mm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显示范围：0-9999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语音录放</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32*48mm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控制方式：数字输入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金属轴舵机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旋转角度：0-180度</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工作扭矩：1.6KG/CM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反应转速：0.12-0.13/60°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舵机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旋转角度：0-180度</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工作扭矩：1.6KG/CM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反应转速：0.12-0.13/60°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光环板(24灯)</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固定安装：2个螺丝孔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控制方式：RGB分量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RGB灯带成品(7灯)</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外观防护：防水硅胶套</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控制方式：RGB分量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电机风扇</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工作电压：VCC 3.3-5V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转速：15000rpm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轴径：2mm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水泵</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工作电压：DC3.3—5V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 0.36W</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最大流量：100L/H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满天星灯带</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工作电压：VCC 3.3-5V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长：2.0米</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LED灯：5色，20颗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TT马达</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工作电压：DC3.3—5V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70*27*22mm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减速比： 1：48</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 速 : 115rpm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轴径： 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积木马达</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工作电压：3.3—7V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58*25*25mm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转速：560—580RPM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扭力：1.6kg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马达</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工作电压：3—6V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40*24*24mm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扭力：1.8kg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音乐播放</w:t>
            </w:r>
            <w:r>
              <w:rPr>
                <w:rFonts w:hint="eastAsia" w:hAnsi="宋体"/>
                <w:color w:val="auto"/>
                <w:sz w:val="21"/>
                <w:szCs w:val="21"/>
                <w:highlight w:val="none"/>
                <w:lang w:bidi="ar"/>
              </w:rPr>
              <w:t>传感器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32*48mm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通讯方式：串口，波特率9600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文件格式：MP3/WAV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分支</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 VCC 3.3V -5V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32*48mm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固定安装：2个兼容塑料积木通孔</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功能：一分二或二合一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4pin线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根</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Y2.0双头定制传感器连接线；</w:t>
            </w:r>
            <w:r>
              <w:rPr>
                <w:rFonts w:ascii="宋体" w:hAnsi="宋体" w:cs="宋体"/>
                <w:color w:val="auto"/>
                <w:kern w:val="0"/>
                <w:szCs w:val="21"/>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TT马达车轮</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 xml:space="preserve"> 宽约27mm</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 xml:space="preserve">直径约65mm </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重量约40g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万向轮</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钢珠万向轮</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cs="宋体"/>
                <w:color w:val="auto"/>
                <w:kern w:val="0"/>
                <w:szCs w:val="21"/>
                <w:highlight w:val="none"/>
                <w:lang w:bidi="ar"/>
              </w:rPr>
              <w:t>17.7g</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钢珠尺寸和材质：Φ15，钢</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支架材质：尼龙</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固定架孔距：40mm</w:t>
            </w:r>
          </w:p>
          <w:p>
            <w:pPr>
              <w:widowControl/>
              <w:ind w:firstLine="0" w:firstLineChars="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固定孔直径: Φ3.1mm</w:t>
            </w:r>
          </w:p>
          <w:p>
            <w:pPr>
              <w:widowControl/>
              <w:ind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7</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万向轮整体高度：</w:t>
            </w:r>
            <w:r>
              <w:rPr>
                <w:rFonts w:ascii="宋体" w:hAnsi="宋体" w:cs="宋体"/>
                <w:color w:val="auto"/>
                <w:kern w:val="0"/>
                <w:szCs w:val="21"/>
                <w:highlight w:val="none"/>
                <w:lang w:bidi="ar"/>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type-C数据线</w:t>
            </w:r>
          </w:p>
        </w:tc>
        <w:tc>
          <w:tcPr>
            <w:tcW w:w="630" w:type="dxa"/>
            <w:gridSpan w:val="2"/>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根</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U</w:t>
            </w:r>
            <w:r>
              <w:rPr>
                <w:rFonts w:ascii="宋体" w:hAnsi="宋体" w:cs="宋体"/>
                <w:color w:val="auto"/>
                <w:kern w:val="0"/>
                <w:szCs w:val="21"/>
                <w:highlight w:val="none"/>
                <w:lang w:bidi="ar"/>
              </w:rPr>
              <w:t>SB</w:t>
            </w:r>
            <w:r>
              <w:rPr>
                <w:rFonts w:hint="eastAsia" w:ascii="宋体" w:hAnsi="宋体" w:cs="宋体"/>
                <w:color w:val="auto"/>
                <w:kern w:val="0"/>
                <w:szCs w:val="21"/>
                <w:highlight w:val="none"/>
                <w:lang w:bidi="ar"/>
              </w:rPr>
              <w:t xml:space="preserve">连接线 </w:t>
            </w:r>
            <w:r>
              <w:rPr>
                <w:rFonts w:hint="eastAsia" w:hAnsi="宋体"/>
                <w:color w:val="auto"/>
                <w:szCs w:val="21"/>
                <w:highlight w:val="none"/>
                <w:lang w:bidi="ar"/>
              </w:rPr>
              <w:t>type-C接口 长度</w:t>
            </w:r>
            <w:r>
              <w:rPr>
                <w:rFonts w:hAnsi="宋体"/>
                <w:color w:val="auto"/>
                <w:szCs w:val="21"/>
                <w:highlight w:val="none"/>
                <w:lang w:bidi="ar"/>
              </w:rPr>
              <w:t>1</w:t>
            </w:r>
            <w:r>
              <w:rPr>
                <w:rFonts w:hint="eastAsia" w:hAnsi="宋体"/>
                <w:color w:val="auto"/>
                <w:szCs w:val="21"/>
                <w:highlight w:val="none"/>
                <w:lang w:bidi="ar"/>
              </w:rPr>
              <w:t>m</w:t>
            </w:r>
            <w:r>
              <w:rPr>
                <w:rFonts w:ascii="宋体" w:hAnsi="宋体" w:cs="宋体"/>
                <w:color w:val="auto"/>
                <w:kern w:val="0"/>
                <w:szCs w:val="21"/>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中小学通用赛事套装</w:t>
            </w:r>
          </w:p>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（专业版）</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1、编程主控≥2 块</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(1)处理器：双核处理器或以上;</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(2)主频：≥240MHz 的时钟频率;</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(3)Wi-Fi：802.11 b/g/n，≥150 Mbps</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(4)频率范围：2.4-2.5 GHz;</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(5)陀螺仪最高可测范围±2048dps;</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(6)三轴加速度计最高可测范围±16 g;</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(7)磁场传感器：3轴量程±30G;</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(8)光线传感器：亮度范围值是0至4000，光线亮度检测0时表示为全黑，随数值增加而增大亮度，数字表述为范围而不是指定为中间某个数值。</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(9)麦克风：支持语音识别;</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(10)RGB 灯：≥3颗全彩ws2812灯珠;</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(11)喇叭：≥8欧 ,1瓦，</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 xml:space="preserve">▲(12)OLED显示屏：≥1.2英寸，支持 16*16 字符显示，分辨率 128x64 </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(13)按键：≥2个物理按键(A/B)，≥6 个触摸按键，</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(14)接口：≥1 路 IIC 接口，≥4 个拓展 I/O 口，≥1 个电机驱动接口;</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(15)电池：可充电锂电池，</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(16)外观：ABS 塑料外壳，兼容塑料积木；</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2、电子模块</w:t>
            </w:r>
          </w:p>
          <w:p>
            <w:pPr>
              <w:keepNext w:val="0"/>
              <w:keepLines w:val="0"/>
              <w:widowControl/>
              <w:suppressLineNumbers w:val="0"/>
              <w:spacing w:line="360" w:lineRule="auto"/>
              <w:ind w:left="0" w:leftChars="0" w:firstLine="0" w:firstLineChars="0"/>
              <w:jc w:val="left"/>
              <w:textAlignment w:val="top"/>
              <w:rPr>
                <w:rFonts w:hint="eastAsia"/>
                <w:color w:val="auto"/>
                <w:highlight w:val="none"/>
              </w:rPr>
            </w:pPr>
            <w:r>
              <w:rPr>
                <w:rFonts w:hint="eastAsia"/>
                <w:color w:val="auto"/>
                <w:highlight w:val="none"/>
              </w:rPr>
              <w:t>(1)采用塑料外壳保护电路，同时避免学生使用时受伤；设有标准圆孔，方便固定；兼容塑料积木，方便拓展。</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rPr>
              <w:t>▲(2)电子模块的种类≥18种且每个种类的数量≥1。包括且不限于：温湿度传感器、土壤湿度传感器、热敏温度、电压传感器、电流传感器、力传感器、超声波传感器、摇杆传感器、颜色传感器、满天星LED彩灯、旋钮电位器、红外探测传感器、MP3音乐播放、数码管、RGB-LED灯带、RGB光环板、马达、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编程积木无人机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一、主要功能</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1.兼容积木机械组件；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2.基于图形化编程、python 编程；</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3.支持蜂鸣器，LED 灯多种传感器；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4.动力组件带桨叶保护环，有效预防桨叶伤害 ；</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二、性能参数</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1.重量：≤130g</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2.轴距：≥148mm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3.桨叶：≥76mm 双叶桨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4.电机：1020/32000rpm@7.4V</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5.电池：2S/7.4V/≥600 mAh</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6.飞行时间：≥9min</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7.遥控距离：≥80m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无人机配件</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定位辅助：位置标签</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编程LED： W2812(RGB)</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颜色识别：黑红绿蓝</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舵机控制：180°数字舵机</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工作电压：4.8-6.0V</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扭力：0.3Kg·cm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速度：0.09 sec/60°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机械臂最大张开角度：180°</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最大被夹取物直径：80mm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最大夹取重量：8g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磁吸激光模块</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搬运物参数：</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1.质量约：3.16g</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宽12mm*长80 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3.材质：金属</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识别模块参数：</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1.尺寸：40*40*9mm </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2.工作电压：5V </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3.工作电流：90mA </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4.测量范围：3-200cm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赛事道具</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top"/>
          </w:tcPr>
          <w:p>
            <w:pPr>
              <w:widowControl/>
              <w:numPr>
                <w:ilvl w:val="0"/>
                <w:numId w:val="3"/>
              </w:numPr>
              <w:spacing w:line="360" w:lineRule="auto"/>
              <w:ind w:firstLine="0" w:firstLineChars="0"/>
              <w:jc w:val="left"/>
              <w:rPr>
                <w:color w:val="auto"/>
                <w:highlight w:val="none"/>
              </w:rPr>
            </w:pPr>
            <w:r>
              <w:rPr>
                <w:rFonts w:hint="eastAsia" w:ascii="宋体" w:hAnsi="宋体" w:cs="宋体"/>
                <w:color w:val="auto"/>
                <w:kern w:val="0"/>
                <w:szCs w:val="21"/>
                <w:highlight w:val="none"/>
                <w:lang w:bidi="ar"/>
              </w:rPr>
              <w:t>格圆环（直径约为 500mm、600mm、700mm）</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2个；</w:t>
            </w:r>
          </w:p>
          <w:p>
            <w:pPr>
              <w:widowControl/>
              <w:numPr>
                <w:ilvl w:val="0"/>
                <w:numId w:val="3"/>
              </w:numPr>
              <w:spacing w:line="360" w:lineRule="auto"/>
              <w:ind w:firstLine="0" w:firstLineChars="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障碍物平台是横截面约 20mm×20mm、长度约 800mm 的方形架空横杆</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1个；</w:t>
            </w:r>
          </w:p>
          <w:p>
            <w:pPr>
              <w:widowControl/>
              <w:numPr>
                <w:ilvl w:val="0"/>
                <w:numId w:val="3"/>
              </w:numPr>
              <w:spacing w:line="360" w:lineRule="auto"/>
              <w:ind w:firstLine="0" w:firstLineChars="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标记物尺寸上限为100mm×100mm，总数不超过 10 个；</w:t>
            </w:r>
          </w:p>
          <w:p>
            <w:pPr>
              <w:widowControl/>
              <w:spacing w:line="360" w:lineRule="auto"/>
              <w:ind w:firstLine="0" w:firstLineChars="0"/>
              <w:jc w:val="left"/>
              <w:textAlignment w:val="top"/>
              <w:rPr>
                <w:rFonts w:ascii="宋体" w:hAnsi="宋体"/>
                <w:color w:val="auto"/>
                <w:szCs w:val="21"/>
                <w:highlight w:val="none"/>
              </w:rPr>
            </w:pPr>
            <w:r>
              <w:rPr>
                <w:rFonts w:hint="eastAsia" w:ascii="宋体" w:hAnsi="宋体"/>
                <w:color w:val="auto"/>
                <w:szCs w:val="21"/>
                <w:highlight w:val="none"/>
              </w:rPr>
              <w:t>4、符合2025年全国师生信息素养提升实践活动以及广西师生信息素养提升实践活动编程无人机B主题比赛需求</w:t>
            </w:r>
          </w:p>
          <w:p>
            <w:pPr>
              <w:widowControl/>
              <w:spacing w:line="360" w:lineRule="auto"/>
              <w:ind w:firstLine="0" w:firstLineChars="0"/>
              <w:jc w:val="left"/>
              <w:textAlignment w:val="top"/>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olor w:val="auto"/>
                <w:szCs w:val="21"/>
                <w:highlight w:val="none"/>
              </w:rPr>
              <w:t>符合2025年全国师生信息素养提升实践活动以及广西师生信息素养提升实践活动编程无人机B主题比赛需求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喷绘地图</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widowControl/>
              <w:spacing w:line="360" w:lineRule="auto"/>
              <w:ind w:firstLine="0" w:firstLineChars="0"/>
              <w:jc w:val="left"/>
              <w:textAlignment w:val="top"/>
              <w:rPr>
                <w:rFonts w:hint="eastAsia" w:ascii="宋体" w:hAnsi="宋体"/>
                <w:color w:val="auto"/>
                <w:sz w:val="21"/>
                <w:szCs w:val="21"/>
                <w:highlight w:val="none"/>
              </w:rPr>
            </w:pPr>
            <w:r>
              <w:rPr>
                <w:rFonts w:hint="eastAsia" w:ascii="宋体" w:hAnsi="宋体"/>
                <w:color w:val="auto"/>
                <w:sz w:val="21"/>
                <w:szCs w:val="21"/>
                <w:highlight w:val="none"/>
              </w:rPr>
              <w:t>1、飞行场地尺寸：≥4000mm*4000mm喷绘一张，包含：基地和检修区分别为约 400mm×400mm 的正方形，物流平台长宽约 400mm，高度约 800-1000mm；</w:t>
            </w:r>
          </w:p>
          <w:p>
            <w:pPr>
              <w:widowControl/>
              <w:spacing w:line="360" w:lineRule="auto"/>
              <w:ind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olor w:val="auto"/>
                <w:sz w:val="21"/>
                <w:szCs w:val="21"/>
                <w:highlight w:val="none"/>
              </w:rPr>
              <w:t>2、符合2025年全国师生信息素养提升实践活动以及广西师生信息素养提升实践活动编程无人机B主题比赛需求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配件包</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电池*2</w:t>
            </w:r>
            <w:r>
              <w:rPr>
                <w:rFonts w:hint="eastAsia" w:ascii="宋体" w:hAnsi="宋体" w:cs="宋体"/>
                <w:i w:val="0"/>
                <w:iCs w:val="0"/>
                <w:color w:val="auto"/>
                <w:kern w:val="0"/>
                <w:sz w:val="21"/>
                <w:szCs w:val="21"/>
                <w:highlight w:val="none"/>
                <w:u w:val="none"/>
                <w:lang w:val="en-US" w:eastAsia="zh-CN" w:bidi="ar"/>
              </w:rPr>
              <w:t>，规格：</w:t>
            </w:r>
            <w:r>
              <w:rPr>
                <w:rFonts w:hint="eastAsia" w:ascii="宋体" w:hAnsi="宋体" w:eastAsia="宋体" w:cs="宋体"/>
                <w:i w:val="0"/>
                <w:iCs w:val="0"/>
                <w:color w:val="auto"/>
                <w:kern w:val="0"/>
                <w:sz w:val="21"/>
                <w:szCs w:val="21"/>
                <w:highlight w:val="none"/>
                <w:u w:val="none"/>
                <w:lang w:val="en-US" w:eastAsia="zh-CN" w:bidi="ar"/>
              </w:rPr>
              <w:t>工作电压：4.8-6.0V</w:t>
            </w:r>
            <w:r>
              <w:rPr>
                <w:rFonts w:hint="eastAsia" w:ascii="宋体" w:hAnsi="宋体" w:cs="宋体"/>
                <w:i w:val="0"/>
                <w:iCs w:val="0"/>
                <w:color w:val="auto"/>
                <w:kern w:val="0"/>
                <w:sz w:val="21"/>
                <w:szCs w:val="21"/>
                <w:highlight w:val="none"/>
                <w:u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电机*1</w:t>
            </w:r>
            <w:r>
              <w:rPr>
                <w:rFonts w:hint="eastAsia" w:ascii="宋体" w:hAnsi="宋体" w:cs="宋体"/>
                <w:i w:val="0"/>
                <w:iCs w:val="0"/>
                <w:color w:val="auto"/>
                <w:kern w:val="0"/>
                <w:sz w:val="21"/>
                <w:szCs w:val="21"/>
                <w:highlight w:val="none"/>
                <w:u w:val="none"/>
                <w:lang w:val="en-US" w:eastAsia="zh-CN" w:bidi="ar"/>
              </w:rPr>
              <w:t>，规格：</w:t>
            </w:r>
            <w:r>
              <w:rPr>
                <w:rFonts w:hint="eastAsia" w:ascii="宋体" w:hAnsi="宋体" w:eastAsia="宋体" w:cs="宋体"/>
                <w:i w:val="0"/>
                <w:iCs w:val="0"/>
                <w:color w:val="auto"/>
                <w:kern w:val="0"/>
                <w:sz w:val="21"/>
                <w:szCs w:val="21"/>
                <w:highlight w:val="none"/>
                <w:u w:val="none"/>
                <w:lang w:val="en-US" w:eastAsia="zh-CN" w:bidi="ar"/>
              </w:rPr>
              <w:t>1020/32000rpm@7.4V</w:t>
            </w:r>
            <w:r>
              <w:rPr>
                <w:rFonts w:hint="eastAsia" w:ascii="宋体" w:hAnsi="宋体" w:cs="宋体"/>
                <w:i w:val="0"/>
                <w:iCs w:val="0"/>
                <w:color w:val="auto"/>
                <w:kern w:val="0"/>
                <w:sz w:val="21"/>
                <w:szCs w:val="21"/>
                <w:highlight w:val="none"/>
                <w:u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桨叶*4</w:t>
            </w:r>
            <w:r>
              <w:rPr>
                <w:rFonts w:hint="eastAsia"/>
                <w:color w:val="auto"/>
                <w:highlight w:val="none"/>
                <w:lang w:eastAsia="zh-CN"/>
              </w:rPr>
              <w:t>，</w:t>
            </w:r>
            <w:r>
              <w:rPr>
                <w:rFonts w:hint="eastAsia"/>
                <w:color w:val="auto"/>
                <w:highlight w:val="none"/>
                <w:lang w:val="en-US" w:eastAsia="zh-CN"/>
              </w:rPr>
              <w:t>规格：</w:t>
            </w:r>
            <w:r>
              <w:rPr>
                <w:rFonts w:hint="eastAsia" w:ascii="宋体" w:hAnsi="宋体" w:eastAsia="宋体" w:cs="宋体"/>
                <w:i w:val="0"/>
                <w:iCs w:val="0"/>
                <w:color w:val="auto"/>
                <w:kern w:val="0"/>
                <w:sz w:val="21"/>
                <w:szCs w:val="21"/>
                <w:highlight w:val="none"/>
                <w:u w:val="none"/>
                <w:lang w:val="en-US" w:eastAsia="zh-CN" w:bidi="ar"/>
              </w:rPr>
              <w:t>≥76mm 双叶桨</w:t>
            </w:r>
            <w:r>
              <w:rPr>
                <w:rFonts w:hint="eastAsia" w:ascii="宋体" w:hAnsi="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79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充电器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1、输入电压：AC 100-240V/50-60Hz</w:t>
            </w:r>
          </w:p>
          <w:p>
            <w:pPr>
              <w:keepNext w:val="0"/>
              <w:keepLines w:val="0"/>
              <w:widowControl/>
              <w:suppressLineNumbers w:val="0"/>
              <w:spacing w:line="360" w:lineRule="auto"/>
              <w:ind w:left="0" w:leftChars="0" w:firstLine="0" w:firstLineChars="0"/>
              <w:jc w:val="left"/>
              <w:textAlignment w:val="top"/>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2、输出电压：8.4V</w:t>
            </w:r>
          </w:p>
          <w:p>
            <w:pPr>
              <w:keepNext w:val="0"/>
              <w:keepLines w:val="0"/>
              <w:widowControl/>
              <w:suppressLineNumbers w:val="0"/>
              <w:spacing w:line="360" w:lineRule="auto"/>
              <w:ind w:left="0" w:leftChars="0" w:firstLine="0" w:firstLineChars="0"/>
              <w:jc w:val="left"/>
              <w:textAlignment w:val="top"/>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3、输出电流：1.5A</w:t>
            </w:r>
          </w:p>
          <w:p>
            <w:pPr>
              <w:keepNext w:val="0"/>
              <w:keepLines w:val="0"/>
              <w:widowControl/>
              <w:suppressLineNumbers w:val="0"/>
              <w:spacing w:line="360" w:lineRule="auto"/>
              <w:ind w:left="0" w:leftChars="0" w:firstLine="0" w:firstLineChars="0"/>
              <w:jc w:val="left"/>
              <w:textAlignment w:val="top"/>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4、充电功率：4*15W</w:t>
            </w:r>
          </w:p>
          <w:p>
            <w:pPr>
              <w:keepNext w:val="0"/>
              <w:keepLines w:val="0"/>
              <w:widowControl/>
              <w:suppressLineNumbers w:val="0"/>
              <w:spacing w:line="360" w:lineRule="auto"/>
              <w:ind w:left="0" w:leftChars="0" w:firstLine="0" w:firstLineChars="0"/>
              <w:jc w:val="left"/>
              <w:textAlignment w:val="top"/>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5、电池类型：锂电池</w:t>
            </w:r>
          </w:p>
          <w:p>
            <w:pPr>
              <w:keepNext w:val="0"/>
              <w:keepLines w:val="0"/>
              <w:widowControl/>
              <w:suppressLineNumbers w:val="0"/>
              <w:spacing w:line="360" w:lineRule="auto"/>
              <w:ind w:left="0" w:leftChars="0" w:firstLine="0" w:firstLineChars="0"/>
              <w:jc w:val="left"/>
              <w:textAlignment w:val="top"/>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6、充电时长约30分钟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w:t>
            </w:r>
            <w:r>
              <w:rPr>
                <w:rFonts w:hint="eastAsia" w:hAnsi="宋体" w:cs="宋体"/>
                <w:b/>
                <w:bCs/>
                <w:color w:val="auto"/>
                <w:kern w:val="0"/>
                <w:sz w:val="21"/>
                <w:szCs w:val="21"/>
                <w:highlight w:val="none"/>
                <w:lang w:val="en-US" w:eastAsia="zh-CN" w:bidi="ar"/>
              </w:rPr>
              <w:t>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仪器柜</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基本规格：1000 mm×500 mm×2000 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柜体材质：顶板、底板、侧板及背板采用16mm厚三聚氰胺双贴面板柜体结构：防火板材质框架结构。对开掩门设计（木框镶嵌5厘白玻），上部橱柜高1000mm，内部1层活动隔板，加承重钢筋；下部橱柜高为1000mm，对开掩门设计（木框镶嵌5厘白玻）内部一层活动隔板；隔板16mm厚三聚氰胺双贴面板制作。整体结构科学合理、造型美观,展示作品用 ，带门锁。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物料架</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基本规格：1200 mm×400 mm×1800 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。钢架结构，实木隔板，总四层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三合板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50</w:t>
            </w:r>
          </w:p>
        </w:tc>
        <w:tc>
          <w:tcPr>
            <w:tcW w:w="7265" w:type="dxa"/>
            <w:noWrap w:val="0"/>
            <w:vAlign w:val="center"/>
          </w:tcPr>
          <w:p>
            <w:pPr>
              <w:widowControl/>
              <w:ind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长600*宽600mm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五合板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50</w:t>
            </w:r>
          </w:p>
        </w:tc>
        <w:tc>
          <w:tcPr>
            <w:tcW w:w="7265" w:type="dxa"/>
            <w:noWrap w:val="0"/>
            <w:vAlign w:val="center"/>
          </w:tcPr>
          <w:p>
            <w:pPr>
              <w:widowControl/>
              <w:ind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长600*宽600mm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厚度</w:t>
            </w: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KT板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50</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3mm厚  600*600mm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亚克力板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50</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3mm厚  600*600mm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丝印三合板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50</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20*15cm微型机床使用耗材。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圆木棒</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直径10.15.20mm各100根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3D打印机耗材</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瓶</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LCD光敏树脂</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1.粘度：150-200MPa·s (NDJ-8S 旋转粘度仪（25℃）)</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2.吸收波段：355nm-410nm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3.密度：1.05-1.25g/cm（密度计（25℃））</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500G、1KG</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5.弯曲模量：1.882-2.385 Mpa</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6.弯曲强度：59-70 Mpa</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7.体积收缩率：3.72-4.24%</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8.热变形温度：120℃</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9.拉伸强度：36-62Mpa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3D打印机耗材</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1.熔点：200-260℃</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2.熔体流动速率：1.43g/10min</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3.拉伸强度：40.96Mpa</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4.弯曲强度：45.44Mpa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激光切割机耗材包</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1.椴木板尺寸：3mm*210*300  共25件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2.椴木板尺寸：5mm*210*300 共10件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3.奥松板尺寸：3mm*210*300 共25件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4.奥松板尺寸：5mm*210*300 共10件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5.牛皮纸尺寸：0.5mm*210*297 共20件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6.瓦楞纸尺寸：3mm*200*300 共30件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7.瓦楞纸尺寸：6mm*200*300 共10件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8.榉木板尺寸：3mm*100*200 共4件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9.透明亚克力尺寸：3mm*200*275 共4件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手动机床课程套装</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耗材包包含：课程板材、课程配件、课12节课的课程书籍，以下为对应的课程板材及配件：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1.双轨怪坡课程及其耗材：厚度3mm椴木板1张、20mm直径玻璃珠1只、长度200直径5mm木棍2只；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2.悬浮笔课程及其耗材：厚度3mm椴木板1张、直径6mm*长度150mm木棍一根、直径16mm*厚5mm孔直径7mm圆环形带孔普磁吸铁石6个、直径10mm，厚3mm、外直径16mm，内直径5mm，厚3mm，EVA泡棉4个、扁头 M2.3*5自攻螺丝5个；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3.舞蹈小球课程及其耗材：厚度3mm椴木板一张、长16cm*宽13cm，圆角亚克力板一张、直径2mm保丽龙珠10个、宽30cm*长3m锡箔纸一张；</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4.会回家的滚轮课程及其耗材：厚度3mm椴木板一张、38号扁形黄色橡皮筋一根、M16螺母一个；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5.重力小车课程及其耗材：厚度3mm椴木板一张、M16螺母一个、直径27mm*孔径2mm*厚度8mm车轮4个、直径2mm*长度8cm车轴2根、直径2mm*长度2cm车轴1根、孔径2mm轴套6个、直径16.5mm*孔径2mm*厚度4.6mm滑轮3个、3股线 棉线长度40cm 1根、扁头M2.3*5自攻螺丝10个；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6.投石车课程及其耗材：厚度3mm椴木板一张、38号扁形黄色橡皮筋1根、直径2mm保丽龙珠4个；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7.液压机械手课程及其耗材：厚度3mm椴木板一张、直径2mm*钉4mm*长度13mm，光轴打头轴12个、孔径2mm轴套12个、3ML直口注射器2个、长度120mm扎带3个、0.25米不带针头注射器延长线1根；</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8.七彩光纤灯课程及其耗材：厚度3mm椴木板一张、2节5号电池电池盒带闸刀1个、5号电池2个、3mm*12.7mm导光柱1根、3mm七彩慢闪发光二极管1根、85mm*54mm 3M双面胶1个、XH2.54-2P 端子线*长度10cm端子线2个；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9.穿越火线课程及其耗材：厚度3mm椴木板一张、2节5号电池电池盒1个、5号电池2个、25cm鳄鱼夹带线1根、直径1mm镀锌铁线长度60cm 1根、长度120mm扎带3根、10cm，杜邦线，公对母2根、XH2.54-2P 端子线*长度10cm端子线2根、5#羊眼钉1根、3mm发光二极管1个、2pin双通接线端子1个；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10.电梯升降机课程及其耗材：厚度3mm椴木板一张、线控盒1个、3股线棉线15cm1根、130马达1个、130马达固定支架1个、w6*10蜗杆1个、36-2A齿轮1个、Hello Kitty玩偶1个、宽8MM3M双面胶1个、直径2mm*长度5cm车轴1个、孔径2mm轴套12个、L型角铁大号2个、圆头M2*6自攻螺丝3个、扁头M2.3*5自攻螺丝4个；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风力悬浮球课程及其耗材：厚度3mm椴木板一张、2节5号电池电池盒带闸刀1个、直径2mm保丽龙珠2个、直径25mm*80mmPVC管长度8cm1根、130马达1个、130马达固定支架1个、85mm*54mm3M双面胶1个、3叶风扇1个、直径10mm，厚3mm，单面胶EVA泡棉4个、外径26mm*2mm密封O型圈2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12.啄木鸟课程及其耗材：厚度3mm椴木板一张、2节5号电池电池盒带闸刀1个、带公线TT马达1个、M3*15mm双通铜柱4个、M3*8盘头螺丝4个、38号圆形黄色橡皮筋1个、XH2.54-2P 端子线*长度10cm端子线2个、宽8MM3M双面胶1个、M3*30盘头螺丝2个、M3螺母2个、直径2mm*长度2cm车轴1个、孔径2mm轴套12个、M2*10自攻螺丝1个；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13.包含有课程书籍一本，课程书籍附带对应的结构图纸和结构文件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14.配套对应的胶水（白乳胶、3M双面胶等）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热熔胶枪</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把</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24</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220V，60W，11mm～11.5mm白色热熔胶用，安全符合国家标准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胶条</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箱</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5公斤一箱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手电钻</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额定电压220V，50HZ；有安全保护装置。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钻头</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φ2.5mm～φ6mm，每套规格4个；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工作服</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件</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蓝色卡其布，长衫，袖口可扣紧。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护目镜</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副</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防机械冲击，符合国家防冲击眼镜检测标准；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普通</w:t>
            </w:r>
            <w:r>
              <w:rPr>
                <w:rFonts w:hint="eastAsia" w:ascii="宋体" w:hAnsi="宋体" w:eastAsia="宋体" w:cs="宋体"/>
                <w:b w:val="0"/>
                <w:bCs w:val="0"/>
                <w:color w:val="auto"/>
                <w:kern w:val="0"/>
                <w:sz w:val="21"/>
                <w:szCs w:val="21"/>
                <w:highlight w:val="none"/>
                <w:lang w:val="en-US" w:eastAsia="zh-CN" w:bidi="ar"/>
              </w:rPr>
              <w:t>防尘口罩</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包</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普通</w:t>
            </w:r>
            <w:r>
              <w:rPr>
                <w:rFonts w:hint="eastAsia" w:ascii="宋体" w:hAnsi="宋体" w:eastAsia="宋体" w:cs="宋体"/>
                <w:i w:val="0"/>
                <w:iCs w:val="0"/>
                <w:color w:val="auto"/>
                <w:kern w:val="0"/>
                <w:sz w:val="21"/>
                <w:szCs w:val="21"/>
                <w:highlight w:val="none"/>
                <w:u w:val="none"/>
                <w:lang w:val="en-US" w:eastAsia="zh-CN" w:bidi="ar"/>
              </w:rPr>
              <w:t>一次性口罩，每包50个。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套袖</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双</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蓝色卡其布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手套</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双</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棉线手套，手掌覆胶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木工工具箱</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专用配套工具箱20件套，含18种必备常用工具，方便使用和管理。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金工工具箱</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专用配套工具箱55件套，含26种必备常用工具，方便使用和管理。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具包括：钢丝钳，1把，7"，45#钢；尖嘴钳，1把，6"，45#钢；钢直尺，1把，300mm钢直尺；扁锉刀，1把，200mm尖头；半圆锉刀，1把，200mm半圆；三角锉，1把，200mm三角；圆锉刀，1把，200mm圆锉；划针，1把，200mm；划线规，1把，150mm划规；样冲，1把，GP100C-2ΦD2mm，L100mm；什锦锉，6件/套（轴承钢，半圆锉、三角锉、方锉、圆锉、尖头扁锉、齐头扁锉）；钳工锤，1把，300g木柄；圆头锤，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电工工具箱</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1.专用配套工具箱34件套，含22种必备常用工具，方便使用和管理。</w:t>
            </w:r>
          </w:p>
          <w:p>
            <w:pPr>
              <w:keepNext w:val="0"/>
              <w:keepLines w:val="0"/>
              <w:widowControl/>
              <w:suppressLineNumbers w:val="0"/>
              <w:spacing w:line="360" w:lineRule="auto"/>
              <w:ind w:left="0" w:leftChars="0" w:firstLine="0" w:firstLineChars="0"/>
              <w:jc w:val="left"/>
              <w:textAlignment w:val="top"/>
              <w:rPr>
                <w:rFonts w:hint="default"/>
                <w:color w:val="auto"/>
                <w:highlight w:val="none"/>
                <w:lang w:val="en-US" w:eastAsia="zh-CN"/>
              </w:rPr>
            </w:pPr>
            <w:r>
              <w:rPr>
                <w:rFonts w:hint="eastAsia"/>
                <w:color w:val="auto"/>
                <w:highlight w:val="none"/>
                <w:lang w:val="en-US" w:eastAsia="zh-CN"/>
              </w:rPr>
              <w:t>2.工具包括：电工胶布，1卷，5mPVC电工胶布；芝麻柄螺丝批，2把，6*100mmPH2# 十字一字各一支；芝麻柄螺丝批，2把，5*75mmPH1#，十字一字各一支；芝麻柄螺丝批，2把，3*150mmPH0# 十字一字各一支；钢卷尺，1把，3m*12.5mm公制白色涂脂尺带；吸锡器，1个，铝塑吸锡泵；剥线钳，1把，磨齿剥线钳、剥线经0.6-2.6mm、后面切线功能；刷子，1把，软毛刷；焊锡丝，1卷，1.0mm FLNX 2.0%；小钢锯，1把，配一根锯条；测电笔，1支，氖管；活动扳手，1把，8”；羊角锤，1把，0.25KG钢管柄；钢丝钳，1把，7”；尖嘴钳，1把，6"；斜口钳，1把，7" ；数显万用表，1台，DT830B数字；精密螺丝批，6把/套，PH00 PH0 -3.0 -2.0 -1.2；电烙铁，1把，220V50Hz60W；美工刀，1把，单发包胶；烙铁架，1付。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25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移动</w:t>
            </w:r>
            <w:r>
              <w:rPr>
                <w:rFonts w:hint="eastAsia" w:ascii="宋体" w:hAnsi="宋体" w:eastAsia="宋体" w:cs="宋体"/>
                <w:b w:val="0"/>
                <w:bCs w:val="0"/>
                <w:color w:val="auto"/>
                <w:kern w:val="0"/>
                <w:sz w:val="21"/>
                <w:szCs w:val="21"/>
                <w:highlight w:val="none"/>
                <w:lang w:val="en-US" w:eastAsia="zh-CN" w:bidi="ar"/>
              </w:rPr>
              <w:t>教学一体机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2</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一、整体设计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1.整机采用一体设计，外部无任何可见内部功能模块连接线。</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2.整机采用全金属外壳设计，边角采用弧形设计，表面无尖锐边缘或凸起；整机屏幕边缘采用金属圆角包边防护，整机背板采用金属材质。</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3.整机采用UHD超高清LED液晶屏，显示分辨率3840*2160，可视角度≥178°。</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4.整机屏幕采用86英寸液晶显示器。</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5.整机采用LED液晶A规屏，显示比例16:9。</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6.屏幕采用≥3.2mm防眩钢化玻璃保护，表面硬度≥莫氏8级，硬度大于等于9H，透光率不低于93%，雾度≤8%，</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7.整机支持色彩空间可选，包含标准模式和sRGB，在sRGB模式下可做到高色准△E≤1。</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二、整机设计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整机为双系统设计，内置安卓系统，CPU核数不小于8核，GPU核数不小于4核，嵌入式安卓操作系统版本为Android14；同时嵌入式Android操作系统下可实现windows系统中常用的教学应用功能，具有白板书写、WPS软件使用和网页浏览，安卓系统ram：4G；rom：32G。；</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2.整机CPU，可编程逻辑芯片、时钟芯片、采用国产自主芯片；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3.前置USB接口支持Android系统、Windows系统读取外接移动存储设备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4.通过一根线（无需重复连接触摸信号）连接到整机的电脑或手机在投屏的同时即可直接读写整机前置USB接口的移动存储设备数据，连接整机前置USB接口的翻页笔和无线鼠标外接设备可直接使用于外接电脑。</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5.整机内置扬声器采用针孔发声技术，喇叭采用槽式开口设计；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6.整机内置2.2声道音响，前朝向额定15W中高音扬声器2个，后朝向额定15W低音扬声器2个，额定总功率≥60W，谐振频率低于300Hz。</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7.整机支持高级音效设置，可以调节左右声道平衡；在中低频段125Hz～1KHz，高频段2KHz～16KHz分别有-12dB～12dB范围的调节功能；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8.整机扬声器在100%音量下，可做到1米处声压级≥90db，10米处声压级≥79dB，能够有效保障教室后排学生听觉感受。</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为满足教师实际教学需求，可便捷外接所需的设备，整机前置USB3.0接口≥3个；HDMI接口≥1个；全功能Type-C接口≥1个（具备音视频传输、触控传输、充电、U盘数据传输功能，快速充电功能，接管摄像头在外接电脑即可控制整机拍摄教室画面、调用扬声器），可将整机网络共享给外接电脑，并支持反向触控控制功能，且前置接口采用可防护的磁吸式盖板；侧置输入接口具备≥1路HDMIIN、≥1路RS232.≥2路USB接口；侧置输出接口具备≥1路音频输入输出、≥1路触控USB输出。整机前置接口具有丝印标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9.前置Type-C接口，支持通过不带转换转置的外部线缆，实现外接电脑HDMI信号的接入显示。外接电脑设备经双头Type-C线连接至整机，可调用整机内置的摄像头、麦克风、扬声器，在外接电脑即可控制整机拍摄教室画面。</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0.外接电脑设备经双头Type-C线连接至整机，可将整机网络共享给外接电脑，并支持反向触控控制功能。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11.前置接口具备翻转盖板，翻转角度180°;在有U盘插入时盖板能对U盘进行保护，防止推拉黑板误关对U盘造成损伤。</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12.触摸最小识别物≤3mm，触控首点响应时间≤4ms，连续响应时间≤2ms。</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13.整机采用红外触控技术，支持Windows及安卓双系统下50点触控；支持同一红外笔笔头、笔尾书写不同的颜色，且颜色可自定义。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14.整机内置≥1600万像素摄像头麦克风，无需外接线材连接，任何可见外接线材及模块化拼接痕迹，未占用整机设备端口，支持远程巡课、简易录播的应用，摄像视场角≥145°,水平视场角可达到121°,支持输出4:3.16:9比例的图片和视频；可拍摄输出4K分辨率的视频、图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15.具备摄像头工作指示灯，摄像头运行时，有指示灯提示。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16.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17.整机内置非独立外扩展的8阵列麦克风，拾音角度≥180°,可用于对教室环境音频进行采集，拾音距离≥12m。</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18.整机内置独立音频处理器，支持麦克风自动增益控制（AGC）、自动抑制噪声（ANC）、自动回声消除（AEC），提升麦克风拾音效果。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19.整机内置专属的4核音频CPU处理器，最多支持8路麦克风数据处理，采样率支持192K，同时不占用整机系统的CPU能力。</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20.支持标准、听力、影院、自定义模式以及AI空间感知音效模式，AI空间感知音效模式可通过内置麦克风采集教室物理环境声音，自动生成符合当前教室物理环境的频段、音量、音效。</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21.整机具有NFC模块，支持主从模式，在同一NFC模块中实现一碰投屏和IC卡刷卡解锁设备，无需手动切换模式；支持搭配具有NFC功能的手机、平板，通过接触整机设备上的NFC标签，即可实现手机、wifi连接后平板与大屏的连接并同步手机、平板的画面到设备上，无需其他操作设置，支持9台手机、平板同时连接并显示；同一NFC模块可以一碰投屏同时支持使用已绑定的IC卡接触NFC模块对整机大屏解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22.在无ops的情况下，整机支持有线及无线方式联网，无线支持wifi6；在具备ops的情况下，整机可支持通过一根网线实现双系统上网，同时ops也具备独立网口和wifi。</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23.整机无需外接无线网卡，在Windows系统下可实现Wi-Fi无线上网连接、AP无线热点发射和BT蓝牙连接功能。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24.在Android和Windows系统下，可实现Wi-Fi无线上网连接、AP无线热点发射，在Android下支持无线设备同时连接数量≥32个，在Windows系统下支持无线设备同时连接≥8个。</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25.为适应未来无线网络发展，无需更换设备，整机整机支持Wi-Fi6版本，Wi-Fi制式支持802.11a/b/g/n/ac/ax，整机内置无线网络模块，PC模块无任何外接或转接天线、网卡可同时实现Wi-Fi无线上网连接和AP无线热点发射。Wi-Fi和AP热点均支持双频2.4G&amp;5G。</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26.内置无线传屏接收端，无需外接接收部件，无线传屏发射器与整机匹配后即可实现传屏功能，将外部电脑的屏幕画面通过无线方式传输到整机上显示。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27.整机内置蓝牙模块，黑板在安卓和Windows系统下均可由该模块实现外部蓝牙设备的连接和数据传输，支持蓝牙Bluetooth5.4标准，内置蓝牙模块工作距离至少15米。</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28.整机内置支持2.4GHz和5GHz双频WiFi，支持蓝牙5.4；Wi-Fi和AP热点工作距离15m，AP热点支持50个用户终端在线网络连接。</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29.具有物联，大屏显示界面可显示教室温度、湿度，集控平台可查看每个教室的环境温湿度；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30.整机屏体无需操作即可实现蓝光防护，具备物理防蓝光功能；整机采用硬件低蓝光背光技术，在源头减少有害蓝光波段能量，蓝光占比（有害蓝光415～455nm能量综合）/（整体蓝光400～500能量综合）&lt;50%，低蓝光保护显示不偏色、不泛黄。</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31.支持护眼模式，可通过前置面板物理功能按键一键启用护眼模式，一键滤减蓝光。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32.整机支持全通道支持4KUI界面显示，包括安卓通道、PC通道、HDMI通道、Type-C通道。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33.整机色域覆盖率（NTSC）85%。</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34.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三、主要功能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2.开关机设置：整机本地支持自定义设置开机时间和关机时间，组数不少于5组，无需网络环境即可实现。</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整机具备智能手势识别功能，在任意信号源通道下均可识别五指上、下、左、右方向手势，五指画O、画~、左右晃动、缩/放方向手势滑动并调用相应功能。支持将各手势滑动方向自定义设置为无操作、熄屏、批注、桌面、半屏模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4.在HDMI、Android以及Windows信号源模式下，整机屏幕支持手势下移实现半屏显示，下移同时可做到整屏缩小，画面完整、无任何画面裁剪且触控正常。</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快捷小工具：支持自定义悬浮球菜单中的小工具功能，用户在任意通道下可调取系统工具，聚光灯、批注、熄屏、锁屏、硬件自检、内存加速等小工具，也可以调取应用软件；并支持根据用户习惯任意调整显示顺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5.当整机处于黑暗环境中并无人操作，一分钟后整机将可以自动进入熄屏模式。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6.整机处于非内置PC通道下，支持调用屏幕快捷键一键回到PC通道。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7.支持通道记忆功能，开机默认回到最近一次关机时的显示通道。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8.整机教学桌面小工具，支持调用摄像头支持人脸识别、清点人数、随机抽人；识别所有学生，显示标记，然后随机抽选，同时显示标记不少于60人。</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9.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10.嵌入式Android操作系统下，互动白板支持不同背景颜色，同时提供学科背景，如：五线谱、信纸、田字格、英文格、篮球和足球场地平面图。</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11.在嵌入式系统下使用白板软件时，整机可根据用户书写操作智能调节屏幕亮度。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12.嵌入式Android操作系统下，白板支持对已经书写的笔迹和形状的颜色进行更换。</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13.无PC状态下，嵌入式系统内置互动白板支持十笔书写及手掌擦除（手掌擦除面积根据手掌与屏幕的接触面大小自动调整），支持10种平面图形工具，支持8种立体图形工具。</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14.整机全通道侧边栏支持在任意通道、页面使用批注小工具进行批注讲解，可切换书写笔颜色、截屏保存批注内容、快速清屏，可根据手与屏幕的接触面积自动调整板擦工具的大小。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15.整机全通道侧边栏支持自行选择所需截取屏幕范围，点击截屏即可成功截取屏幕，并自动保存。</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16.整机全通道侧边栏提供秒表正计时，点击开始计时便自动开始，并实时显示时间；支持倒计时，输入某特定时间值，可精确到秒，点击开始即进入倒计时。</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17.整机全通道侧边栏支持快速将设备屏幕降低为半屏幕状态，点击上半屏幕可以快速返回全屏状态。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18.整机全通道侧边栏支持放大任意区域内容；并可支持对未选中区域关灯处理。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19.整机安卓和全部外接通道（HDMI、Type-c）下侧边栏支持通过扫描二维码加入班级，老师设置题型，学生回答后提交，教师查看正确率比例及详细讲解；支持随机抽选、实时弹幕；支持管理当前班级成员；支持导出学生报告，支持设置任意倒数日。</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20.具备前置光感，通过感受环境光亮度来改变屏幕显示亮度；设备具备红外接收头，可通过红外与麦克风进行配对。</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21.整机在任意通道下支持五指熄屏，并且可根据需要关闭或打开。</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22.整机全通道侧边栏快捷菜单包含的小工具有：批注、截屏、计时、降半屏、放大镜、日历、班级记忆。在Android通道和全部外接通道（HDMI、Type-C），还具备答题、倒数日、节拍器小工具。</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23.整机一体化设计，集成支持Windows和Android双系统智能设计；在内嵌式Android系统下可实现：书写擦除、多颜色更换、全局预览和漫游等白板软件功能，调用办公文档软件、网页浏览、对多媒体USB文件自动归类和分类查找的播放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24.整机Windows通道支持文件传输应用，支持通过扫码、wifi直联、超声三种方式与手机进行握手连接，实现文件传输功能。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25.整机Windows通道支持文件传输应用，传输方式支持公网传输、局域网传输、WiFi直连传输。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26.整机关机状态下，通过长按电源键进入设置界面后，可点击屏幕选择故障检测、系统还原功能，系统还原可单独还原PC系统，单独还原整机系统。</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27.整机设备教学桌面支持查看设备盘符，支持本地磁盘和外接U盘、移动硬盘，点击即可打开该磁盘查看磁盘文件。教学桌面支持显示存储空间状态，当存储空间即将满载时候进行红色标记明显提示。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28.整机设备教学桌面支持对常用应用替换和添加，支持对应用卸载。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29.整机设备教学桌面的教师登录账号后，可自动获取并在桌面显示最近使用的教学课件，点击课件可直接进入授课模式；并支持查看所有个人教学课件资源。</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30.整机设备教学桌面支持进行壁纸编辑，内置10张以上壁纸，并支持自定义壁纸。</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31.整机设备教学桌面支持进行重启、关机操作。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32.独立扩声系统，可实现单独听功能，在关闭显示部分的待机情况下仍可将接入的多媒体信号混音后通过设备内置音箱播出实现扩声功能，轻触显示部分可点亮屏幕。</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33.双系统具有智能手势开关整机背光功能、双系统一键切换、双系统共享USB接口、双系统网络共享。</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34.在Windows任意界面下均可开启录课功能，可实现三种录制模式，包括屏幕录制、屏幕+摄像头、专业级录制及直播。</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35.设备前置物理按键可实现一键录屏功能，可将屏幕中的课件、音频内容与授课老师的声音同步录制。</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36.整机从安卓系统将设备添加至集控平台，安卓系统接入集控平台后，OPS自动完成设备接入，无需输入学校代码及密钥，支持集控平台直接对大屏进行屏幕解锁，息屏亮屏，关机，重启，信息发布，异常报警（温度、内存、CPU等），远程升级，并可显示设备信息（设备序列号，运行时长，显示模式，整机音量，设备温度，cpu使用率，内存使用率，声音模式，健康度，在离线，型号，安卓版本，系统版本等），方便老师进行教室设备管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37.整机支持windows系统和android系统之间进行串口通信，android系统可获取OPS的CPU型号，内存，网卡型号，序列号等信息，android系统下可一键还原windows操作系统，控制OPS的开关机；</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38.设备端安卓系统支持对教室内物联传感器进行控制，无需安装OPS，即可实现获取展现教室内的温湿度、PM2.5等信息，支持控制教室内物联传感器，控制灯光、窗帘、空调等物联开关，并支持上课模式、投影模式、休息模式、放学模式的设置，方便老师操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39.整机嵌入式系统支持对重要设置内容进行安全保护，通过输入密码才可以进入网络设置选项控制有线及无线网络设置，高级设置选项控制安卓恢复出厂设置及windows系统一键还原；</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40.整机嵌入式系统支持视力检测，学生站在距离屏幕的一定距离，可通过遥控器、手势识别两种方式标识方向，测试完成后可直接生成视力检测结果，并可建立学生视力档案，对学生视力情况进行管理；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41.整机嵌入式系统支持日历功能，通过云端平台可以下发待办或者考试计划到日历中，可自动展现历史上的今天并显示出名人故事等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42.整机嵌入式系统支持钢琴演奏app，模拟钢琴按键，支持自动播放不小于3首音乐，且学生弹奏后可模拟钢琴声音发声，可自动判断弹奏的准确率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43.整机嵌入式系统支持地图app，支持显示中国地图（包含中国地图，中国主要的山川湖泊，地势图），世界地图（包含世界地图，地势图），可以打开地球仪，支持自有旋转，方便老师教学；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四、OPS</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1.采用模块化电脑方案，PC 模块可抽拉式插入整机，可实现无单独接线的插拔。</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2.CPU：主频≥2.0GHz，8核12线程或以上性能。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3.内存：16G 笔记本内存或更优配置。</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4.硬盘：256G SSD 固态硬盘或更优配置。</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5.具有独立非外扩展的视频输出接口：≥1 路 HDMI 。</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6.具有独立非外扩展的电脑 USB 接口：≥2 路 USB。</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7.内置网卡：10M/100M/1000M。</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8.支持系统还原保护。</w:t>
            </w:r>
          </w:p>
          <w:p>
            <w:pPr>
              <w:keepNext w:val="0"/>
              <w:keepLines w:val="0"/>
              <w:widowControl/>
              <w:suppressLineNumbers w:val="0"/>
              <w:spacing w:line="360" w:lineRule="auto"/>
              <w:ind w:left="0" w:leftChars="0" w:firstLine="0" w:firstLineChars="0"/>
              <w:jc w:val="left"/>
              <w:textAlignment w:val="top"/>
              <w:rPr>
                <w:color w:val="auto"/>
                <w:highlight w:val="none"/>
              </w:rPr>
            </w:pPr>
            <w:r>
              <w:rPr>
                <w:rFonts w:hint="eastAsia"/>
                <w:color w:val="auto"/>
                <w:highlight w:val="none"/>
                <w:lang w:val="en-US" w:eastAsia="zh-CN"/>
              </w:rPr>
              <w:t>9.ops电脑无故障运行时间不小于20万小时。</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五、移动支架</w:t>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50≥净重≥18 kg</w:t>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最大承重≥100kg</w:t>
            </w:r>
            <w:r>
              <w:rPr>
                <w:rFonts w:hint="eastAsia" w:ascii="宋体" w:hAnsi="宋体" w:eastAsia="宋体" w:cs="宋体"/>
                <w:strike w:val="0"/>
                <w:dstrike w:val="0"/>
                <w:color w:val="auto"/>
                <w:kern w:val="0"/>
                <w:sz w:val="21"/>
                <w:szCs w:val="21"/>
                <w:highlight w:val="none"/>
              </w:rPr>
              <w:tab/>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可承载机型尺寸：65-86英寸</w:t>
            </w:r>
          </w:p>
          <w:p>
            <w:pPr>
              <w:keepNext w:val="0"/>
              <w:keepLines w:val="0"/>
              <w:pageBreakBefore w:val="0"/>
              <w:kinsoku/>
              <w:wordWrap/>
              <w:overflowPunct/>
              <w:topLinePunct w:val="0"/>
              <w:bidi w:val="0"/>
              <w:snapToGrid w:val="0"/>
              <w:spacing w:line="440" w:lineRule="exact"/>
              <w:ind w:left="0" w:leftChars="0" w:firstLine="0" w:firstLineChars="0"/>
              <w:rPr>
                <w:rFonts w:hint="eastAsia"/>
                <w:color w:val="auto"/>
                <w:highlight w:val="none"/>
                <w:lang w:val="en-US" w:eastAsia="zh-CN"/>
              </w:rPr>
            </w:pPr>
            <w:r>
              <w:rPr>
                <w:rFonts w:hint="eastAsia" w:ascii="宋体" w:hAnsi="宋体" w:eastAsia="宋体" w:cs="宋体"/>
                <w:strike w:val="0"/>
                <w:dstrike w:val="0"/>
                <w:color w:val="auto"/>
                <w:kern w:val="0"/>
                <w:sz w:val="21"/>
                <w:szCs w:val="21"/>
                <w:highlight w:val="none"/>
              </w:rPr>
              <w:t>脚轮尺寸≥2英寸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八、音乐专用教室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序号</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货物名称</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单位</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数量</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五线谱电教板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有88键/61键/实体键可选的虚拟键盘，支持三种虚拟键盘组的显示，包含大字组、小字组、小字一组、小字二组等，分别有不同颜色区分区分键盘组。弹奏外接设备的同时，虚拟键盘高亮显示，在谱表中展示对应五线谱及简谱音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2.支持简谱、五线谱、高低音谱表、大谱表四种模式教学。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3.支持五度循环图：外圈调号、中圈大调、内圈小调，点击调号可直接更改谱表调式。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4.五线谱谱表或简谱谱表输入音符时可选择时值、音符及休止符，谱表小节自动识别时值，音符可通过上下拖动改变音高。点击音符符杆可添加变音记号和符杠。</w:t>
            </w:r>
            <w:r>
              <w:rPr>
                <w:rFonts w:hint="eastAsia" w:ascii="宋体" w:hAnsi="宋体" w:eastAsia="宋体" w:cs="宋体"/>
                <w:i w:val="0"/>
                <w:iCs w:val="0"/>
                <w:strike w:val="0"/>
                <w:dstrike w:val="0"/>
                <w:color w:val="auto"/>
                <w:kern w:val="0"/>
                <w:sz w:val="21"/>
                <w:szCs w:val="21"/>
                <w:highlight w:val="none"/>
                <w:u w:val="none"/>
                <w:lang w:val="en-US" w:eastAsia="zh-CN" w:bidi="ar"/>
              </w:rPr>
              <w:t>(</w:t>
            </w:r>
            <w:r>
              <w:rPr>
                <w:rFonts w:hint="eastAsia" w:ascii="宋体" w:hAnsi="宋体" w:cs="宋体"/>
                <w:color w:val="auto"/>
                <w:kern w:val="0"/>
                <w:szCs w:val="21"/>
                <w:highlight w:val="none"/>
                <w:lang w:eastAsia="zh-CN" w:bidi="ar"/>
              </w:rPr>
              <w:t>包括但不限于厂家证明或功能截图或国家认可的第三方检测报告并加盖供应商公章</w:t>
            </w:r>
            <w:r>
              <w:rPr>
                <w:rFonts w:hint="eastAsia" w:ascii="宋体" w:hAnsi="宋体" w:eastAsia="宋体" w:cs="宋体"/>
                <w:i w:val="0"/>
                <w:iCs w:val="0"/>
                <w:strike w:val="0"/>
                <w:dstrike w:val="0"/>
                <w:color w:val="auto"/>
                <w:kern w:val="0"/>
                <w:sz w:val="21"/>
                <w:szCs w:val="21"/>
                <w:highlight w:val="none"/>
                <w:u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5.支持在智能电教板中,曲谱上的所有音符进行上下行自由切换，可一键清除音符；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6.不低于八个单元110条以上课题的视唱练耳课程和12单元的乐理音基课堂教学内容资源。</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7.点击谱表或虚拟键盘，可通过钢琴自动演奏进行发声。</w:t>
            </w:r>
            <w:r>
              <w:rPr>
                <w:rFonts w:hint="eastAsia" w:ascii="宋体" w:hAnsi="宋体" w:eastAsia="宋体" w:cs="宋体"/>
                <w:i w:val="0"/>
                <w:iCs w:val="0"/>
                <w:strike w:val="0"/>
                <w:dstrike w:val="0"/>
                <w:color w:val="auto"/>
                <w:kern w:val="0"/>
                <w:sz w:val="21"/>
                <w:szCs w:val="21"/>
                <w:highlight w:val="none"/>
                <w:u w:val="none"/>
                <w:lang w:val="en-US" w:eastAsia="zh-CN" w:bidi="ar"/>
              </w:rPr>
              <w:t>(</w:t>
            </w:r>
            <w:r>
              <w:rPr>
                <w:rFonts w:hint="eastAsia" w:ascii="宋体" w:hAnsi="宋体" w:cs="宋体"/>
                <w:color w:val="auto"/>
                <w:kern w:val="0"/>
                <w:szCs w:val="21"/>
                <w:highlight w:val="none"/>
                <w:lang w:eastAsia="zh-CN" w:bidi="ar"/>
              </w:rPr>
              <w:t>包括但不限于厂家证明或功能截图或国家认可的第三方检测报告并加盖供应商公章</w:t>
            </w:r>
            <w:r>
              <w:rPr>
                <w:rFonts w:hint="eastAsia" w:ascii="宋体" w:hAnsi="宋体" w:eastAsia="宋体" w:cs="Times New Roman"/>
                <w:color w:val="auto"/>
                <w:szCs w:val="21"/>
                <w:highlight w:val="none"/>
              </w:rPr>
              <w:t>。</w:t>
            </w:r>
            <w:r>
              <w:rPr>
                <w:rFonts w:hint="eastAsia" w:ascii="宋体" w:hAnsi="宋体" w:eastAsia="宋体" w:cs="宋体"/>
                <w:i w:val="0"/>
                <w:iCs w:val="0"/>
                <w:strike w:val="0"/>
                <w:dstrike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五线谱教学黑板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线谱黑板功能模块，具有电子白板讲解标注功能。包括：铅笔，荧光笔，笔记粗细可支持六度调节，橡皮擦，擦除全部，手势操作放大/缩小/页面漫游，标注的笔迹可与课件同步缩放。具备键盘、谱表和简谱窗口三位一体同步功能，支持不低于15 种调式讲解，15度音程尺，32组和弦同时对照讲解。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电钢琴</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1.键盘 88键 （A-1 – C7）；白键表面仿象牙颜色，磨砂黑键。</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2.力度：灵敏度≥4种（强力/中等/柔和/固定），通过A6.A#6.B6.C7设置力度，控制键盘轻重。</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3.音源:要求为不低于纯正的大三角钢琴声音引擎采样，音色≥24种内置音色，复音数≥192种；伴奏≥20种 </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4.功能：</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具备电子钢琴控制器功能（智能设备应用程序—数码钢琴控制器能通过iPhone/iPad/iPod touch上运行的专门开发的电子钢琴控制器应用程序，能远程控制电子钢琴。此应用程序能在屏幕上显示各种参数，直观的可视化方式进行设置和教学）。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5.效果/功能：≥4种混响类型，具有制音踏板共鸣、声音增强功能。</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6.其他功能;不少于双音色、分割、双人演奏、Intelligent Acoustic Control（IAC，智能声学控制）功能；自动关机功能。</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7.内置乐曲：≥71首（21首音色示范乐曲 + 50首预设世界钢琴名曲（有详细的曲目））。</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9.乐曲录音：1个用户乐曲2个音轨。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10.音频蓝牙功能：有。</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11.节拍器功能：</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（1）≥10种节奏。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（2）速度调节≥5–280。</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12.连接接口≥以下接口： DC IN (12V)、PHONES *2</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13.不少于三个踏板；原装木架。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音乐教学挂图</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全新改版，175g铜版纸彩色印刷，规格：740×520mm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，全对开。挂图不低于85张，音乐家挂图40张，乐器挂图38张，识谱知识挂图7张，</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含中国音乐家：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李叔同、萧友梅、赵元任、刘天华、杨荫浏、黄 自、冼星海、吕骥、聂耳、马思聪、李焕之</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外国音乐家：约翰•塞巴斯蒂安•巴赫、乔治•弗里德里希•亨德尔、约瑟夫•海顿、沃尔夫冈•阿玛多伊斯•莫扎特、路德维希•冯•貝多芬、阿基诺•罗西尼</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弗朗兹•彼得•舒伯特、、赫克特•柏辽兹、米哈伊尔•伊凡诺维奇•格林卡、费利克斯•门德尔松、弗雷德里克•弗朗西斯克•肖邦、罗伯特•舒曼、弗朗兹•李斯特</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、朱塞佩•威尔第、贝德叶赫•斯美塔纳、约翰•施特劳斯、约翰内斯•勃拉姆斯、夏尔•卡米尔•圣桑、乔治•比才、穆捷斯特•彼得洛维奇•穆索尔斯基、彼得•伊里奇•柴科夫斯基</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安东尼•德沃夏克、爱德华•格里格、里姆斯基•科萨科夫、谢尔盖•谢尔盖耶维奇•普罗科菲耶夫、克罗德•德彪西、简•西贝柳斯、谢尔盖•拉赫马尼诺夫、德米特里•肖斯塔科维奇</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乐器部分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民族乐器：二胡、京胡、板胡、笛、唢呐、笙、琵琶、柳琴、阮、三弦、扬琴、筝、古琴、埙．云锣</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我国少数民族乐器：马头琴、艾捷克、冬不拉、芦笙、巴乌、札木聂、伽倻琴</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西洋乐器：小提琴、中提琴、大提琴、低音提琴、长笛、单簧管、双簧管、大管、小号、长号、圆号大号、萨克斯管 电贝司、民族管弦乐队、西洋管弦乐队</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乐理部分：五线谱、音阶与调式、音程、三和弦、大小调的调号与音阶、常用记号、常见的歌曲基本结构。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音乐教学用品柜</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center"/>
          </w:tcPr>
          <w:p>
            <w:pPr>
              <w:keepNext w:val="0"/>
              <w:keepLines w:val="0"/>
              <w:widowControl/>
              <w:numPr>
                <w:ilvl w:val="0"/>
                <w:numId w:val="4"/>
              </w:numPr>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规格：1000×2000×400mm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numPr>
                <w:ilvl w:val="0"/>
                <w:numId w:val="4"/>
              </w:numPr>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采用优质三聚氰胺饰面中颗粒板制作，板面厚度为18+25，两扇门，中间有三个隔板，用于搁放功放、DVD等。</w:t>
            </w:r>
          </w:p>
          <w:p>
            <w:pPr>
              <w:keepNext w:val="0"/>
              <w:keepLines w:val="0"/>
              <w:widowControl/>
              <w:numPr>
                <w:ilvl w:val="0"/>
                <w:numId w:val="4"/>
              </w:numPr>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采用优质合页及五金件，使用灵活、方便、经久耐用。</w:t>
            </w:r>
          </w:p>
          <w:p>
            <w:pPr>
              <w:keepNext w:val="0"/>
              <w:keepLines w:val="0"/>
              <w:widowControl/>
              <w:numPr>
                <w:ilvl w:val="0"/>
                <w:numId w:val="0"/>
              </w:numPr>
              <w:suppressLineNumbers w:val="0"/>
              <w:spacing w:line="360" w:lineRule="auto"/>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4.颜色：灰白、枫木可选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钢琴</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1.规格：119型或以上立式钢琴</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2.外观尺寸：长≥149cm，宽≥60cm，高≥119cm；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3.五金件：钢琴外观可见的五金件采用银色不易氧化的金属；顶盖铰链有加强筋的结构，能更稳定安全支撑顶盖。</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4.外壳：哑光黑色，采用新型环保材料。</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5.上门：上门板固定卡扣采用精密模具加工的高分子材料固定件（非弹簧结构），结构牢固，安全耐用；上门板内侧安装金属方管长梁，能防止上门板长时间受温湿度变化影响导致的变形，且方便上门板拆装。</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6.下门：采用下门边框装配结构，使下门板开合时避免与琴腿碰撞。</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7.谱架：采用实木制作。谱架铰链有插销固定结构，使谱架在闭合时可通过插销固定，防止时间长了之后铰链松动导致谱架闭合不紧，从而影响键盘盖关闭受阻。</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8.铁板工艺：翻砂工艺铸铁板。</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9.铁板高度：≥109.5cm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10.琴弦：圆形弦（截面为正圆形），镀锡防锈钢线；最大有效弦长不少于118cm，30#音有效弦长不小于94cm。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11.音板：采用寒带地区缓慢生长的鱼鳞松制作的实木音板；音板</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有防开裂防变形的特殊工艺或结构。</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12.肋木：使用与音板相同材质木材，数量不少于10根。</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13.弦轴板：由15-17层坚硬的榉木交错压榨制成。</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14.弦码：采用多层榉木制作。</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15.背柱：实木制作，五背柱设计，且背柱截面尺寸≥80*70mm；背柱整体严密牢固，无明显缝隙或粘贴痕迹。</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16.键盘：键板采用不易变形的杨木层积材制作，含水率要求：6-12%；中座板采用椴木或杨木，含水率要求6-14%；使用铁粒代替传统铅粒配重，减少重金属使用，保证环保无污染。</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17.中盘：使用稳定不易变形的木材制作而成。除螺丝外中盘上面不加装任何金属加固或金属链接结构。</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18.弦槌：要求用纯羊毛毡及鹅耳枥木制作。弦槌木芯采用数控设备成形，加以铆钉夹具装配，使弦槌整体更牢固。</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击弦机部件：转击器、联动杆、制音杆要求使用鹅耳枥木制作；鹅耳枥木实木（非多层）制作的调节档，不得有金属包裹；使用ABS或碳纤维材质的顶杆，顶杆轴架的粘合面底部增加藏胶槽，使组件装配更稳固，增加粘连的稳定性。</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20.击弦机性能：通过耐干耐湿性、耐冷耐热性、耐久性的检测，符合QB/T2279-2013《钢琴击弦机》的要求。</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21.踏瓣系统：使用拉杆结构。结构装配稳定，不受环境因素影响而变形，保持长期稳定的状态。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教学电子琴</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1.键盘：61键力度触感标准键盘。</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2.显示：多功能LCD背光液晶显示。</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3.复音数：128。</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4.音色：862种音色，包括93种中国民族音色、11组键盘打击乐音色和1组效果音色。</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5.直选音色：40种。</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6.音色控制：双音色、分离音色，音色音量，八度，音量平衡，颤音，延音，移调，音分微调，混响，合唱，滑音轮.</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7.踏板功能：接多功能踏板（另配），提供7种踏板功能。</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8.效果：10种混响，混响深度可调节，混响开关；13种合唱，合唱深度可调节，合唱开关。</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9.节奏：273种节奏+1种用户节奏，包括50种中国民族节奏。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10.直选节奏：40种。</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11.伴奏控制：同步启动， 启动/停止， 前奏/尾奏，间奏，节奏速度，伴奏音量，节拍器。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12.键盘控制：和弦、全和弦、分离、双音色。</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13.示范曲：482首（含311首学习歌曲）。</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14.学习功能：3步学习（单键、跟随、合奏）。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15.录音功能：实时录音/放音。</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16.状态记忆：5x8组面板设定状态。</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17.音色库：100个。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18.外置声卡：USB AUDIO(USB音频)。</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19.其他功能：Local 开关控制、左右手音色输出通道选择、MIDI输入/输出</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20.接口：电源，耳机/输出，线路输入（可连接蓝牙音频适配器）， 踏板，麦克风，USB接口（USB MIDI和USB AUDIO）， 可连接智能手机（iphone、安卓系统手机） 平板电脑（iPad、安卓系统平板）。</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21.附件：乐谱架、说明书、保修卡。</w:t>
            </w:r>
          </w:p>
          <w:p>
            <w:pPr>
              <w:keepNext w:val="0"/>
              <w:keepLines w:val="0"/>
              <w:widowControl/>
              <w:numPr>
                <w:ilvl w:val="0"/>
                <w:numId w:val="0"/>
              </w:numPr>
              <w:suppressLineNumbers w:val="0"/>
              <w:spacing w:line="360" w:lineRule="auto"/>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22.体积：950x350x130mm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电子琴</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1.键盘：61键力度触感标准键盘。</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2.显示：多功能LCD背光液晶显示。</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3.复音数：128。</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4.音色：862种音色，包括93种中国民族音色、11组键盘打击乐音色和1组效果音色。</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5.直选音色：40种。</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6.音色控制：双音色、分离音色，音色音量，八度，音量平衡，颤音，延音，移调，音分微调，混响，合唱，滑音轮.</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7.踏板功能：接多功能踏板（另配），提供7种踏板功能。</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8.效果：10种混响，混响深度可调节，混响开关；13种合唱，合唱深度可调节，合唱开关。</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9.节奏：273种节奏+1种用户节奏，包括50种中国民族节奏。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10.直选节奏：40种。</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11.伴奏控制：同步启动， 启动/停止， 前奏/尾奏，间奏，节奏速度，伴奏音量，节拍器。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12.键盘控制：和弦、全和弦、分离、双音色。</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13.示范曲：482首（含311首学习歌曲）。</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14.学习功能：3步学习（单键、跟随、合奏）。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15.录音功能：实时录音/放音。</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16.状态记忆：5x8组面板设定状态。</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17.音色库：100个。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18.外置声卡：USB AUDIO(USB音频)。</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19.其他功能：Local 开关控制、左右手音色输出通道选择、MIDI输入/输出</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20.接口：电源，耳机/输出，线路输入（可连接蓝牙音频适配器）， 踏板，麦克风，USB接口（USB MIDI和USB AUDIO）， 可连接智能手机（iphone、安卓系统手机） 平板电脑（iPad、安卓系统平板）。</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21.附件：乐谱架、说明书、保修卡。</w:t>
            </w:r>
          </w:p>
          <w:p>
            <w:pPr>
              <w:keepNext w:val="0"/>
              <w:keepLines w:val="0"/>
              <w:widowControl/>
              <w:numPr>
                <w:ilvl w:val="0"/>
                <w:numId w:val="0"/>
              </w:numPr>
              <w:suppressLineNumbers w:val="0"/>
              <w:spacing w:line="360" w:lineRule="auto"/>
              <w:ind w:left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22.体积：950x350x130mm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电子琴架</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加厚钢材，环保喷漆工艺</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高度：550*870mm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宽：805mm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电子琴凳</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材质：铁、海绵。单个重量：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1.4KG,规格：40*30*40--49CM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1c</w:t>
            </w:r>
            <w:r>
              <w:rPr>
                <w:rFonts w:hint="eastAsia" w:ascii="宋体" w:hAnsi="宋体" w:eastAsia="宋体" w:cs="宋体"/>
                <w:b w:val="0"/>
                <w:bCs w:val="0"/>
                <w:color w:val="auto"/>
                <w:sz w:val="21"/>
                <w:szCs w:val="21"/>
                <w:highlight w:val="none"/>
                <w:lang w:bidi="ar"/>
              </w:rPr>
              <w:t>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指挥台</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便携可调指挥台</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谱台板尺寸: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67*44公分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二层台板尺寸: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30*44公分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谱台板高度尺寸: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80-120公分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护栏高度尺寸:高</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93公分 宽</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76公分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站台尺寸: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100*125*26公分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合唱台</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组</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尺寸：三层 钢架 层高20cm 板宽40cm 长约125cm 踏板厚度1.8cm，包红毯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六面体凳</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把</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56</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30CM*35CM*41CM，带木龙骨 一面带手扣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教材配套音像资料</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乐理书籍包括：基础知识、乐音体系、谱号五线谱音律、自然半音、自然全音、三连音、为旋律配和声、音乐主题等。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音像教学资料</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乐理小视频包括：音的产生与特性、基本音级的名称、音的分组、等音、自然变化、音域、五线谱、音符、休止符、附点等常用乐理知识的讲解。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音乐教学软件</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包括不限于音程识别、和弦识别、调号识别、音阶识别等多款素养训练小程序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节拍器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功能：调音节拍器定音三合一</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调式：C、F、Bb、Eb</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97*65*16mm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A4频率范围：430-450HZ</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拾音方式：MIC拾音或拾音夹拾音</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节拍速度：30-240拍/分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校音误差：土1音分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吉他</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把</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1．面板、背侧板：南洋木；琴颈：那都；指板、琴码：玫瑰木；完成：哑光。2．采用十二平均律，标准音为为440HZ，符QB/T 1153-2014的要求。3．六弦、有效弦长648mm，指板上宽41.5±0.5mm,指板下宽53.5±0.5mm，指板表面光滑，品位标志可在第3.5.7.9.12.15.17品位的正面或侧面选择标示。4．各音的音准误差在负10正15个音分之内。5．弦器：半封闭弦钮。6．木材经过干燥处理，含水律不超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小堂鼓</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胶木鼓腔 7寸 高17cm直径23cm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小军鼓</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面</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16</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1.材质:聚酯膜鼓皮,多层桦木鼓腔,不锈钢压圈,有可</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调手动变音装置</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2.直径:</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350mm:高:140mm;安装“沙带”。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3.配件:一副鼓槌、背带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5*14cm（14*5）。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大军鼓</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面</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1.材质:优质聚酯膜鼓皮,多层桦木鼓腔,铝合金压铸鼓圈</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2.规格:直径不低于560mm,鼓高度不低于250mm（22*10）。</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3.配件:一副鼓槌、背带。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架子鼓</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鼓皮：双层油皮</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鼓腔：杨木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硬件：R70合金镲片</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c-100吊镲架*1</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H-100踩镲架*1</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p-50踩锤*1</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s-200军鼓架*1</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尺寸：底鼓22*16</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落地嗵鼓16*16；</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军鼓14*5.5 ;</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1通鼓12*8；2通鼓13*9；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口风琴</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支</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15</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尺寸：约53*11*4.5cm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调性: C调</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产地：江苏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音色：优美</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重量：约1.1KG(含包装）</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用途：自学、教学、演奏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竹笛</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支</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音色：清脆明亮</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材质：苦竹，不锈钢单插口</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表面：光滑无毛刺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手鼓</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面</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15</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材质：桦木4层鼓圈，NC底漆+NC面漆，本色（厚羊皮），皮革条，铜泡钉。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谱架</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18铝合金接头，可折叠，谱板：460mm*300mm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,整体高度：700mm-1350mm,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扬琴</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色木，酒红色 ，荷塘月色图案，专业402。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非洲鼓</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15</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标准8寸 整木掏空 直径20cm高度40cm 含包、含背带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葫芦丝</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普通型可拆三音葫芦丝，天然紫竹，B调,十二平均律，标准音440HZ。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电吉他</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把</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音色：1个音量，1个音色</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材质：桐木琴体，枫木琴颈，玫瑰木指板，白铜品丝，21品，3单单拾音器，五挡开关，6弦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表面：环保漆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电贝司</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把</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rPr>
              <w:t>桐木琴体，枫木琴颈，玫瑰木指板，白铜品丝，21品，单拾音器，四弦。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32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移动</w:t>
            </w:r>
            <w:r>
              <w:rPr>
                <w:rFonts w:hint="eastAsia" w:ascii="宋体" w:hAnsi="宋体" w:eastAsia="宋体" w:cs="宋体"/>
                <w:b w:val="0"/>
                <w:bCs w:val="0"/>
                <w:color w:val="auto"/>
                <w:kern w:val="0"/>
                <w:sz w:val="21"/>
                <w:szCs w:val="21"/>
                <w:highlight w:val="none"/>
                <w:lang w:val="en-US" w:eastAsia="zh-CN" w:bidi="ar"/>
              </w:rPr>
              <w:t>教学一体机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一、整体设计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1.整机采用一体设计，外部无任何可见内部功能模块连接线。</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2.整机采用全金属外壳设计，边角采用弧形设计，表面无尖锐边缘或凸起；整机屏幕边缘采用金属圆角包边防护，整机背板采用金属材质。</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3.整机采用UHD超高清LED液晶屏，显示分辨率3840*2160，可视角度≥178°。</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4.整机屏幕采用86英寸液晶显示器。</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5.整机采用LED液晶A规屏，显示比例16:9。</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6.屏幕采用≥3.2mm防眩钢化玻璃保护，表面硬度≥莫氏8级，硬度大于等于9H，透光率不低于93%，雾度≤8%，</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7.整机支持色彩空间可选，包含标准模式和sRGB，在sRGB模式下可做到高色准△E≤1。</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二、整机设计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整机为双系统设计，内置安卓系统，CPU核数不小于8核，GPU核数不小于4核，嵌入式安卓操作系统版本为Android14；同时嵌入式Android操作系统下可实现windows系统中常用的教学应用功能，具有白板书写、WPS软件使用和网页浏览，安卓系统ram：4G；rom：32G。；</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2.整机CPU，可编程逻辑芯片、时钟芯片、采用国产自主芯片；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3.前置USB接口支持Android系统、Windows系统读取外接移动存储设备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4.通过一根线（无需重复连接触摸信号）连接到整机的电脑或手机在投屏的同时即可直接读写整机前置USB接口的移动存储设备数据，连接整机前置USB接口的翻页笔和无线鼠标外接设备可直接使用于外接电脑。</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5.整机内置扬声器采用针孔发声技术，喇叭采用槽式开口设计；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6.整机内置2.2声道音响，前朝向额定15W中高音扬声器2个，后朝向额定15W低音扬声器2个，额定总功率≥60W，谐振频率低于300Hz。</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7.整机支持高级音效设置，可以调节左右声道平衡；在中低频段125Hz～1KHz，高频段2KHz～16KHz分别有-12dB～12dB范围的调节功能；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8.整机扬声器在100%音量下，可做到1米处声压级≥90db，10米处声压级≥79dB，能够有效保障教室后排学生听觉感受。</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为满足教师实际教学需求，可便捷外接所需的设备，整机前置USB3.0接口≥3个；HDMI接口≥1个；全功能Type-C接口≥1个（具备音视频传输、触控传输、充电、U盘数据传输功能，快速充电功能，接管摄像头在外接电脑即可控制整机拍摄教室画面、调用扬声器），可将整机网络共享给外接电脑，并支持反向触控控制功能，且前置接口采用可防护的磁吸式盖板；侧置输入接口具备≥1路HDMIIN、≥1路RS232.≥2路USB接口；侧置输出接口具备≥1路音频输入输出、≥1路触控USB输出。整机前置接口具有丝印标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9.前置Type-C接口，支持通过不带转换转置的外部线缆，实现外接电脑HDMI信号的接入显示。外接电脑设备经双头Type-C线连接至整机，可调用整机内置的摄像头、麦克风、扬声器，在外接电脑即可控制整机拍摄教室画面。</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0.外接电脑设备经双头Type-C线连接至整机，可将整机网络共享给外接电脑，并支持反向触控控制功能。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11.前置接口具备翻转盖板，翻转角度180°;在有U盘插入时盖板能对U盘进行保护，防止推拉黑板误关对U盘造成损伤。</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12.触摸最小识别物≤3mm，触控首点响应时间≤4ms，连续响应时间≤2ms。</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13.整机采用红外触控技术，支持Windows及安卓双系统下50点触控；支持同一红外笔笔头、笔尾书写不同的颜色，且颜色可自定义。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14.整机内置≥1600万像素摄像头麦克风，无需外接线材连接，任何可见外接线材及模块化拼接痕迹，未占用整机设备端口，支持远程巡课、简易录播的应用，摄像视场角≥145°,水平视场角可达到121°,支持输出4:3.16:9比例的图片和视频；可拍摄输出4K分辨率的视频、图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15.具备摄像头工作指示灯，摄像头运行时，有指示灯提示。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16.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17.整机内置非独立外扩展的8阵列麦克风，拾音角度≥180°,可用于对教室环境音频进行采集，拾音距离≥12m。</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18.整机内置独立音频处理器，支持麦克风自动增益控制（AGC）、自动抑制噪声（ANC）、自动回声消除（AEC），提升麦克风拾音效果。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19.整机内置专属的4核音频CPU处理器，最多支持8路麦克风数据处理，采样率支持192K，同时不占用整机系统的CPU能力。</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20.支持标准、听力、影院、自定义模式以及AI空间感知音效模式，AI空间感知音效模式可通过内置麦克风采集教室物理环境声音，自动生成符合当前教室物理环境的频段、音量、音效。</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21.整机具有NFC模块，支持主从模式，在同一NFC模块中实现一碰投屏和IC卡刷卡解锁设备，无需手动切换模式；支持搭配具有NFC功能的手机、平板，通过接触整机设备上的NFC标签，即可实现手机、wifi连接后平板与大屏的连接并同步手机、平板的画面到设备上，无需其他操作设置，支持9台手机、平板同时连接并显示；同一NFC模块可以一碰投屏同时支持使用已绑定的IC卡接触NFC模块对整机大屏解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22.在无ops的情况下，整机支持有线及无线方式联网，无线支持wifi6；在具备ops的情况下，整机可支持通过一根网线实现双系统上网，同时ops也具备独立网口和wifi。</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23.整机无需外接无线网卡，在Windows系统下可实现Wi-Fi无线上网连接、AP无线热点发射和BT蓝牙连接功能。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24.在Android和Windows系统下，可实现Wi-Fi无线上网连接、AP无线热点发射，在Android下支持无线设备同时连接数量≥32个，在Windows系统下支持无线设备同时连接≥8个。</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25.为适应未来无线网络发展，无需更换设备，整机整机支持Wi-Fi6版本，Wi-Fi制式支持802.11a/b/g/n/ac/ax，整机内置无线网络模块，PC模块无任何外接或转接天线、网卡可同时实现Wi-Fi无线上网连接和AP无线热点发射。Wi-Fi和AP热点均支持双频2.4G&amp;5G。</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26.内置无线传屏接收端，无需外接接收部件，无线传屏发射器与整机匹配后即可实现传屏功能，将外部电脑的屏幕画面通过无线方式传输到整机上显示。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27.整机内置蓝牙模块，黑板在安卓和Windows系统下均可由该模块实现外部蓝牙设备的连接和数据传输，支持蓝牙Bluetooth5.4标准，内置蓝牙模块工作距离至少15米。</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28.整机内置支持2.4GHz和5GHz双频WiFi，支持蓝牙5.4；Wi-Fi和AP热点工作距离15m，AP热点支持50个用户终端在线网络连接。</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29.具有物联，大屏显示界面可显示教室温度、湿度，集控平台可查看每个教室的环境温湿度；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30.整机屏体无需操作即可实现蓝光防护，具备物理防蓝光功能；整机采用硬件低蓝光背光技术，在源头减少有害蓝光波段能量，蓝光占比（有害蓝光415～455nm能量综合）/（整体蓝光400～500能量综合）&lt;50%，低蓝光保护显示不偏色、不泛黄。</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31.支持护眼模式，可通过前置面板物理功能按键一键启用护眼模式，一键滤减蓝光。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32.整机支持全通道支持4KUI界面显示，包括安卓通道、PC通道、HDMI通道、Type-C通道。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33.整机色域覆盖率（NTSC）85%。</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34.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三、主要功能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2.开关机设置：整机本地支持自定义设置开机时间和关机时间，组数不少于5组，无需网络环境即可实现。</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整机具备智能手势识别功能，在任意信号源通道下均可识别五指上、下、左、右方向手势，五指画O、画~、左右晃动、缩/放方向手势滑动并调用相应功能。支持将各手势滑动方向自定义设置为无操作、熄屏、批注、桌面、半屏模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4.在HDMI、Android以及Windows信号源模式下，整机屏幕支持手势下移实现半屏显示，下移同时可做到整屏缩小，画面完整、无任何画面裁剪且触控正常。</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快捷小工具：支持自定义悬浮球菜单中的小工具功能，用户在任意通道下可调取系统工具，聚光灯、批注、熄屏、锁屏、硬件自检、内存加速等小工具，也可以调取应用软件；并支持根据用户习惯任意调整显示顺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5.当整机处于黑暗环境中并无人操作，一分钟后整机将可以自动进入熄屏模式。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6.整机处于非内置PC通道下，支持调用屏幕快捷键一键回到PC通道。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7.支持通道记忆功能，开机默认回到最近一次关机时的显示通道。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8.整机教学桌面小工具，支持调用摄像头支持人脸识别、清点人数、随机抽人；识别所有学生，显示标记，然后随机抽选，同时显示标记不少于60人。</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9.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10.嵌入式Android操作系统下，互动白板支持不同背景颜色，同时提供学科背景，如：五线谱、信纸、田字格、英文格、篮球和足球场地平面图。</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11.在嵌入式系统下使用白板软件时，整机可根据用户书写操作智能调节屏幕亮度。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12.嵌入式Android操作系统下，白板支持对已经书写的笔迹和形状的颜色进行更换。</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13.无PC状态下，嵌入式系统内置互动白板支持十笔书写及手掌擦除（手掌擦除面积根据手掌与屏幕的接触面大小自动调整），支持10种平面图形工具，支持8种立体图形工具。</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14.整机全通道侧边栏支持在任意通道、页面使用批注小工具进行批注讲解，可切换书写笔颜色、截屏保存批注内容、快速清屏，可根据手与屏幕的接触面积自动调整板擦工具的大小。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15.整机全通道侧边栏支持自行选择所需截取屏幕范围，点击截屏即可成功截取屏幕，并自动保存。</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16.整机全通道侧边栏提供秒表正计时，点击开始计时便自动开始，并实时显示时间；支持倒计时，输入某特定时间值，可精确到秒，点击开始即进入倒计时。</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17.整机全通道侧边栏支持快速将设备屏幕降低为半屏幕状态，点击上半屏幕可以快速返回全屏状态。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18.整机全通道侧边栏支持放大任意区域内容；并可支持对未选中区域关灯处理。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19.整机安卓和全部外接通道（HDMI、Type-c）下侧边栏支持通过扫描二维码加入班级，老师设置题型，学生回答后提交，教师查看正确率比例及详细讲解；支持随机抽选、实时弹幕；支持管理当前班级成员；支持导出学生报告，支持设置任意倒数日。</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20.具备前置光感，通过感受环境光亮度来改变屏幕显示亮度；设备具备红外接收头，可通过红外与麦克风进行配对。</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21.整机在任意通道下支持五指熄屏，并且可根据需要关闭或打开。</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22.整机全通道侧边栏快捷菜单包含的小工具有：批注、截屏、计时、降半屏、放大镜、日历、班级记忆。在Android通道和全部外接通道（HDMI、Type-C），还具备答题、倒数日、节拍器小工具。</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23.整机一体化设计，集成支持Windows和Android双系统智能设计；在内嵌式Android系统下可实现：书写擦除、多颜色更换、全局预览和漫游等白板软件功能，调用办公文档软件、网页浏览、对多媒体USB文件自动归类和分类查找的播放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24.整机Windows通道支持文件传输应用，支持通过扫码、wifi直联、超声三种方式与手机进行握手连接，实现文件传输功能。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25.整机Windows通道支持文件传输应用，传输方式支持公网传输、局域网传输、WiFi直连传输。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26.整机关机状态下，通过长按电源键进入设置界面后，可点击屏幕选择故障检测、系统还原功能，系统还原可单独还原PC系统，单独还原整机系统。</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27.整机设备教学桌面支持查看设备盘符，支持本地磁盘和外接U盘、移动硬盘，点击即可打开该磁盘查看磁盘文件。教学桌面支持显示存储空间状态，当存储空间即将满载时候进行红色标记明显提示。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28.整机设备教学桌面支持对常用应用替换和添加，支持对应用卸载。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29.整机设备教学桌面的教师登录账号后，可自动获取并在桌面显示最近使用的教学课件，点击课件可直接进入授课模式；并支持查看所有个人教学课件资源。</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30.整机设备教学桌面支持进行壁纸编辑，内置10张以上壁纸，并支持自定义壁纸。</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31.整机设备教学桌面支持进行重启、关机操作。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32.独立扩声系统，可实现单独听功能，在关闭显示部分的待机情况下仍可将接入的多媒体信号混音后通过设备内置音箱播出实现扩声功能，轻触显示部分可点亮屏幕。</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33.双系统具有智能手势开关整机背光功能、双系统一键切换、双系统共享USB接口、双系统网络共享。</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34.在Windows任意界面下均可开启录课功能，可实现三种录制模式，包括屏幕录制、屏幕+摄像头、专业级录制及直播。</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35.设备前置物理按键可实现一键录屏功能，可将屏幕中的课件、音频内容与授课老师的声音同步录制。</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36.整机从安卓系统将设备添加至集控平台，安卓系统接入集控平台后，OPS自动完成设备接入，无需输入学校代码及密钥，支持集控平台直接对大屏进行屏幕解锁，息屏亮屏，关机，重启，信息发布，异常报警（温度、内存、CPU等），远程升级，并可显示设备信息（设备序列号，运行时长，显示模式，整机音量，设备温度，cpu使用率，内存使用率，声音模式，健康度，在离线，型号，安卓版本，系统版本等），方便老师进行教室设备管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37.整机支持windows系统和android系统之间进行串口通信，android系统可获取OPS的CPU型号，内存，网卡型号，序列号等信息，android系统下可一键还原windows操作系统，控制OPS的开关机；</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38.设备端安卓系统支持对教室内物联传感器进行控制，无需安装OPS，即可实现获取展现教室内的温湿度、PM2.5等信息，支持控制教室内物联传感器，控制灯光、窗帘、空调等物联开关，并支持上课模式、投影模式、休息模式、放学模式的设置，方便老师操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39.整机嵌入式系统支持对重要设置内容进行安全保护，通过输入密码才可以进入网络设置选项控制有线及无线网络设置，高级设置选项控制安卓恢复出厂设置及windows系统一键还原；</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40.整机嵌入式系统支持视力检测，学生站在距离屏幕的一定距离，可通过遥控器、手势识别两种方式标识方向，测试完成后可直接生成视力检测结果，并可建立学生视力档案，对学生视力情况进行管理；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41.整机嵌入式系统支持日历功能，通过云端平台可以下发待办或者考试计划到日历中，可自动展现历史上的今天并显示出名人故事等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42.整机嵌入式系统支持钢琴演奏app，模拟钢琴按键，支持自动播放不小于3首音乐，且学生弹奏后可模拟钢琴声音发声，可自动判断弹奏的准确率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43.整机嵌入式系统支持地图app，支持显示中国地图（包含中国地图，中国主要的山川湖泊，地势图），世界地图（包含世界地图，地势图），可以打开地球仪，支持自有旋转，方便老师教学；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四、OPS</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1.采用模块化电脑方案，PC 模块可抽拉式插入整机，可实现无单独接线的插拔。</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2.CPU：主频≥2.0GHz，8核12线程或以上性能。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3.内存：16G 笔记本内存或更优配置。</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4.硬盘：256G SSD 固态硬盘或更优配置。</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5.具有独立非外扩展的视频输出接口：≥1 路 HDMI 。</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6.具有独立非外扩展的电脑 USB 接口：≥2 路 USB。</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7.内置网卡：10M/100M/1000M。</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8.支持系统还原保护。</w:t>
            </w:r>
          </w:p>
          <w:p>
            <w:pPr>
              <w:keepNext w:val="0"/>
              <w:keepLines w:val="0"/>
              <w:widowControl/>
              <w:suppressLineNumbers w:val="0"/>
              <w:spacing w:line="360" w:lineRule="auto"/>
              <w:ind w:left="0" w:leftChars="0" w:firstLine="0" w:firstLineChars="0"/>
              <w:jc w:val="left"/>
              <w:textAlignment w:val="top"/>
              <w:rPr>
                <w:color w:val="auto"/>
                <w:highlight w:val="none"/>
              </w:rPr>
            </w:pPr>
            <w:r>
              <w:rPr>
                <w:rFonts w:hint="eastAsia"/>
                <w:color w:val="auto"/>
                <w:highlight w:val="none"/>
                <w:lang w:val="en-US" w:eastAsia="zh-CN"/>
              </w:rPr>
              <w:t>9.ops电脑无故障运行时间不小于20万小时。</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五、移动支架</w:t>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50≥净重≥18 kg</w:t>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最大承重≥100kg</w:t>
            </w:r>
            <w:r>
              <w:rPr>
                <w:rFonts w:hint="eastAsia" w:ascii="宋体" w:hAnsi="宋体" w:eastAsia="宋体" w:cs="宋体"/>
                <w:strike w:val="0"/>
                <w:dstrike w:val="0"/>
                <w:color w:val="auto"/>
                <w:kern w:val="0"/>
                <w:sz w:val="21"/>
                <w:szCs w:val="21"/>
                <w:highlight w:val="none"/>
              </w:rPr>
              <w:tab/>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可承载机型尺寸：65-86英寸</w:t>
            </w:r>
          </w:p>
          <w:p>
            <w:pPr>
              <w:keepNext w:val="0"/>
              <w:keepLines w:val="0"/>
              <w:pageBreakBefore w:val="0"/>
              <w:kinsoku/>
              <w:wordWrap/>
              <w:overflowPunct/>
              <w:topLinePunct w:val="0"/>
              <w:bidi w:val="0"/>
              <w:snapToGrid w:val="0"/>
              <w:spacing w:line="440" w:lineRule="exact"/>
              <w:ind w:left="0" w:leftChars="0" w:firstLine="0" w:firstLineChars="0"/>
              <w:rPr>
                <w:rFonts w:hint="eastAsia"/>
                <w:color w:val="auto"/>
                <w:highlight w:val="none"/>
              </w:rPr>
            </w:pPr>
            <w:r>
              <w:rPr>
                <w:rFonts w:hint="eastAsia" w:ascii="宋体" w:hAnsi="宋体" w:eastAsia="宋体" w:cs="宋体"/>
                <w:strike w:val="0"/>
                <w:dstrike w:val="0"/>
                <w:color w:val="auto"/>
                <w:kern w:val="0"/>
                <w:sz w:val="21"/>
                <w:szCs w:val="21"/>
                <w:highlight w:val="none"/>
              </w:rPr>
              <w:t>脚轮尺寸≥2英寸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九、美术专用教室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序号</w:t>
            </w:r>
          </w:p>
        </w:tc>
        <w:tc>
          <w:tcPr>
            <w:tcW w:w="888"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货物名称</w:t>
            </w:r>
          </w:p>
        </w:tc>
        <w:tc>
          <w:tcPr>
            <w:tcW w:w="630" w:type="dxa"/>
            <w:gridSpan w:val="2"/>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单位</w:t>
            </w:r>
          </w:p>
        </w:tc>
        <w:tc>
          <w:tcPr>
            <w:tcW w:w="645" w:type="dxa"/>
            <w:noWrap w:val="0"/>
            <w:vAlign w:val="top"/>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数量</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衬布</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1.尺寸：900mm×1500mm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2.衬布材质为丝质颜色鲜艳。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遮光窗帘</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1.尺寸：2000mm×1800mm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遮光窗帘、平绒材质、正面为暗红色、反面亮银色；</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2.高强遮光，共8折，贴边宽80mm，配镀鉻挂钩10个。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写生凳</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1.规格：不小于220mm×290mm×390mm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2.采用塑料折叠凳。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写生灯</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落地升降高度600mm-2400mm；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1.3节升降杆,由三根直径分别为22mm、16mm、10mm钢管组成,升降固定钮用PCV压铸而成；</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2.落地配三角底座；</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3.聚光灯罩钢板喷塑,直径260mm，配灯罩沿；</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4.三角支撑架用铝合金压铸而成,三角支撑杆用直径16mm不锈钢管制成。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工作台</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1.规格：尺寸不小于1800mm×800mm×750mm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2.台面：板厚不小于厚18mm，采用环保型中密度板，灰白色三聚氰胺板贴面，优质PVC封边，可折叠；</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3.台架采用不小于30mm×30mm、30mm×25mm无缝钢管，钢管厚度1.0mm，可拆装结构；</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4.台架工艺要求：经酸洗磷化处理，静电喷涂，无虚焊、无焊渣，焊点光滑、美观，结构稳固，颜色灰白，漆面不脱落。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美术教学用品柜</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1.规格：1000mm×500mm×2000mm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2.柜体衬板：用厚度为16mm±0.3mm.灰白色双面三聚氰胺板（即双饰面板）作为台体衬板，其内芯的基材为聚木屑纤维板，外漏截面采用1.5mm厚塑制优质封边条机械封边；甲醛释放限量指标应符合GB18580的要求；</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4.柜门：上部为专用木框对开玻璃门，下部为对开木门，不锈钢拉手。柜门采用优质不锈钢定位铰链，铰链的壁厚不小于1.5mm，安全、牢固、防腐、耐用；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6.高度升降条：上部柜体内侧均应安装高度升降条（1.0mm冷轧钢板制作），每侧2根，至少带12个活动支撑座（位置可调）。高度升降条和支撑座表面应采用纯环氧树脂静电喷涂高温固化，具有较高耐蚀性能；</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7.支脚：采用直径不小于10mm的金属螺杆与ABS工程塑料一次注塑成型的脚垫，高度可调节，并可锁紧。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静物台</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1.台面：不小于600MM×600MM，带背板，双重折叠支撑架；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2.优质木材；可折叠，支撑稳定，工艺精细，漆面均匀光亮。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磁性白黑板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1.规格2000mm×1000mm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2.书写面为单面白色板面，表面平正，涂复层无脱落、起泡、龟裂、针孔、斑痕、凹凸不平等不良现象。铝合金边框。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中学美术教学挂图</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1.幅数48幅，纸张规格不低于128g铜版纸，印刷符合GB/T7705-2008《平版装潢印刷品》的要求；</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2.符合新课标教学的要求。四色彩印。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影像资料</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幻灯片、光盘、数字化美术教学资源库、虚拟美术博物馆、美术展等。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写生画板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450×320(mm)×厚15mm；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2.双面采用优质胶合板，木条框架，四周包边，边框采用45°割角拼接。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画板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56</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1.2#图板，规格600mm×450mm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2.板面采用优质合板，木条框架，四周包边。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画架</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梯形画架。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1.材质:松木，防蛀、防裂，表面平滑、无毛刺。</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2.丁字活动脚。</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3.外形尺寸不小于：厚20mm×宽400mm×高1500mm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写生画箱</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1．材质：优质实木；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2．支架高度不小于700mm，箱体不小于480mm×335mm×80mm；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3．特点：便携式、木质箱，箱体分为上箱体和下箱体，可以打开闭合，并可以在0°-120°范围调节，铝合金腿、可伸缩、可折叠。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写生教具（1）</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1.石膏像类,4尊,高强度石膏浇制、洁白光滑、无裂痕；</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2.伏尔泰不小于200mm×430mm×520mm；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3.海盗不小于280mm×250mm×550mm；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4.阿格里巴不小于380mm×250mm×530mm；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5.小卫不小于380mm×680mm×400mm。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写生教具（2）</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1.几何形体15件，高强度石膏浇制、洁白光滑、无裂痕、加厚形；</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2.圆切体，多面体,正六锥体,棱锥接棱柱,正八边棱柱,正方体,十字柱，圆球，正三角体,圆锥体,圆柱体,切面圆柱,圆锥接圆柱,正六边棱柱,正四面锥体。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写生教具（3）</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1.陶器、禽鸟标本等写生用品28件；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2.陶罐10个,蜡果10种,标本,家兔1只,仿真啄木鸟1只,塑花1束,彩蛋5个。实物大小、分形面线条清晰。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版画工具</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1.木刻刀5把、手柄木制，直径11mm长105mm；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2.笔刀1把、铝合金柄身、总长120mm，笔刀片3件、刀刃长20mm；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3.电烙铁1把、200V/240V、35W；</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4.木蘑托1只、蘑托头直径50mm、手柄长95mm；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5.胶滚1套、胶滚面宽度95mm、手柄长105mm；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6.油石1件、尺寸70*50*16mm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7.2H、2B、中华绘图铅笔各2支；</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8.石刻刀1件、长135mm；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9.马莲1件、注塑成型直径98mm，中空注塑定位包装。</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10.参照JY0001-2003《教学仪器设备产品的一般质量要求》标准，满足以下4项要求：</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10-1.教学仪器设备产品的外观要造型美观、色彩协调、规整光洁。表面不应有明显的擦伤、划痕和碰撞的坑疤；</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10-2.漆层附着牢固，不脱落，表面平整光滑、色调美观、薄厚均匀，不应有流疤、龟裂、皱皮、剥落和露底。美术漆层应花纹清楚，裂纹层不应露出底漆；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10-3.塑料件表面应平整清洁，不应有划痕、溶迹、缩迹，不应有气泡、烧粉和夹生，边缘不应有毛刺、变形、破边和凹凸不平，不应有明显的浇口飞边；</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10-4.木质件应平整清洁，无霉变、虫眼、死节、树脂漆（明子）和明显变形。且其检测结果均为与标准要求一致。</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11.参照GB21027-2020《学生用品的安全通用要求》标准，可迁移元素mg/kg（锑、钡、铬、汞、砷、镉、铅、硒）其检测结果为黄色塑料均未检出。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绘图仪器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1.直尺1把、有效量程300mm；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2.25cm三角板1套，有效量程220mm；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3.曲线板1件、长度240mm；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4.蛇形尺1件、有效量程300mm；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5.HB、2H、2B铅笔各一支；</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6.美工橡皮1个；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7.大圆规大分规各1个、胶带1卷、美工刀1个。中空注塑定位包装。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曲线板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1.教师用；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2.材质：有机玻璃；</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3.外形尺寸不小于250mm；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4.板面平整、光洁、透明、无划痕、不变形。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三角板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付</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1.330mm；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2.有机玻璃,厚度不得小于3.0mm；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3.45°等腰、60°直角各1件。最小刻度为1mm。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大三角板</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付</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1.每副三角板60度、45度各1块；</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2.用无节疤、无裂纹、不易变形、坚硬并经脱脂干燥处理的木材制成；</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3.等腰三角形，两底角为45度；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4.所有角度误差不超过±2度；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5.示值全长误差和任一中间分度至刻度尺的零点的误差不超过±1mm。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6.三角板的刻度线应垂直达到尺边，刻线和数码应清晰、正确、不得有重线、断线、缺字。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大圆规</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把</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1.塑料尺寸不小于390mm，由规身、粉笔套、规脚等三部分组成；</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2.规身分双片和单片，由优质木材制成，上部用M5螺栓和鱼尾螺母连接紧固；</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3.粉笔套由塑料开口夹和紧固卡圈组成，规脚由不锈钢钉和吸盘组成。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直尺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把</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1.尺寸：长度600mm，最小刻度直尺为1mm；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2.材质：有机玻璃。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丁字尺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1.有机玻璃：1000mm；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2.丁字头与丁字成直角固定中间；</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3.直尺边上印有刻线数码，有效示值全长为1000mm；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4.示值全长误差和任一中间分度至尺的零点的误差不超过±1mm；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5.丁字直尺的刻度线应垂直达到尺边，刻线和数码应清晰、正确，不得有重线、断线、缺字；</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6.产品应符合JY0001《教学仪器产品一般质量要求》。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绘画工具</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56</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每套工具包括：</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1.水粉画笔1-12#各1支；</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2.油画笔1-12#各1支；</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3.毛笔8支：加健毛笔，大、中、小提斗，大、中、小白云，花枝俏1支，小依纹1支；</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4.调色盒1件：24眼；</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5.调色板1件：17眼；中空吹塑包装。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泥工工具</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每套工具包括：</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1.拍板1件：木质，弧形背板；</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2.泥塑刀6件：黄杨木材质；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3.环型刀3件；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4.刮刀2件：环型刀头；</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5.型板1件：黄杨木型板；</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6.切割线1件；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7.海绵1块；</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8.喷壶1件；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9.刮板1件：中空吹塑包装。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制作工具</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每套工具包括：</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1.油画刀5把：长210mm、205mm、180mm、185mm、170mm；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2.什锦锉5把：长160mm；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3.美工刀1把：长160mm；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4.垫板1块：190mm×90mm；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5.钩刀1把：长120mm；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6.电烙铁1把：长200mm；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7.木刻刀5把：长130mm；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8.打孔器1件：长12.5cm单孔孔径0.6cm；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9.剪刀2把：长140mm、125mm；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10.多用锯1把：长230mm宽100mm；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11.尖嘴钳1把：长165mm；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12.板刷1把：145mm×20mm；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13.锥子1件：长120mm；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14.多功能小锤1把：长160mm；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15.油石1件：140mm×70mm×20mm；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16.锯条10根：长155mm；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17.凿子1件：长185mm；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18.篆刻刀1把：长140mm；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19.鸭嘴锤1把：长250mm；中空吹塑包装。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篆刻工具</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56</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1.印床1个:优质木材制成；</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2.石刻刀3支：锰钢制成，长度：140±2mm,刀口分别为3mm、4mm、5mm；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3.木刻刀3支:长度不小于130mm,木柄；</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4.印泥盒1个：铁盒包装，直径=90±1mm，高度=18±1mm；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5.铅笔1支；</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6.美工刀1把:塑料手柄，长度不小于130mm；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7.勾线笔1支：优质狼毫笔头，实木笔杆；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8.油石1块；</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9.章料2块:优质石质；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10.砂纸2纸；</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12.板刷1把：木柄尼龙刷头，总长度不小135mm,刷头宽不小于23mm；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13.吹塑定位包装盒。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书法工具</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56</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配置：</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1.笔洗1件：青花瓷材质；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2.笔架1件：青花瓷材质；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3.砚台1件：石砚，雕花带盖；</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4.印盒1件：青花瓷材质，带印泥；</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5.墨1件：金不换；</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6.毛笔8件：加健毛笔，大、中、小提斗，大、中、小白云，花枝俏，小依纹各1支；</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7.画毡1件：毛毡长宽厚：不小于450mm×580mm×2mm；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8.调色盘1件：聚丙稀材质，10眼梅花型；</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9.笔帘1件：竹制；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10.镇尺一副：石质雕花；</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11.工具箱1件：ABS材质；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12.中空吹塑定位包装，所有产品均有单独卡槽定位于箱子内，不得串动；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13.应符合JY0001-2003的有关规定。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国画和书法工具</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1.笔洗1件：青花瓷材质，直径150mm、高度50mm；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2.笔架1件：青花瓷材质，长度130mm，高度45mm；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3.砚台1件：带盖石砚，直径120mm；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4.毛笔8件：加健毛笔，大、中、小提斗，大、中、小白云、花枝俏1枝，小依纹1枝；</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5.画毡1件：毛毡长宽厚：500mm×500mm×3mm；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6.调色盘1件：聚丙稀材质，13眼梅花型，直径14mm；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7.笔帘1件：竹制；</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8.镇尺一对：石质，黑色或灰色；</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9.墨块：金不换；</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10.印尼盒1件：直径70mm；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11.工具箱1件：中空吹塑包装。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美术学具</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一、适用范围：适用于小学、初中美术教学使用；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二、技术要求：</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1.毛笔5支：加健毛笔，大白云、中白云、小白云、花枝俏、小依纹各1支；</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2.小剪刀1件：无刃、圆头；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3.调色盘1个：10眼梅花型；</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4.笔洗1个：可折叠；</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5.美工刀1把：塑料材质手柄；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6.水溶性油墨1支：黑色；</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7.黑色胶辊1件：滚筒为木质手柄；</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8.毛毡1块：尺寸不小于450*600mm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9.刻纸刀1把：合金手柄长度不小于100mm；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10.笔刀刀头3件：猛钢刀头不小于35mm；</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11.水粉画笔6支：优质尼龙笔头；</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12.调色盒1件：24格；</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13.直尺1把：有机塑料材质；</w:t>
            </w:r>
          </w:p>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14.工具箱1件；中空吹塑定位包装，所有产品均有单独卡槽定位于箱子内，不得串动，便于携带、存放。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毛笔</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28</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9支为一套大兰竹、中兰竹、小兰竹，狼毫大楷、中楷、小楷，大白云、中白云、小白云。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民间美术欣赏及写生样本</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中国结、京剧脸谱、扎染、蜡染、皮影、年画、木板年画、剪纸、面具、泥塑、玩具、风车、纹样、风筝、唐三彩、彩陶器、瓷器。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人体结构活动模型</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16</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高不低于40cm，椴木、表面无毛刺、关节活动灵活。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陶瓷样本</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中国各大名窑实物(仿)十四件及简介，可陈设、展示、欣赏。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展示画框</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120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1.学生用；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2.尺寸：60cm×45cm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w:t>
            </w:r>
            <w:r>
              <w:rPr>
                <w:rFonts w:hint="eastAsia" w:ascii="宋体" w:hAnsi="宋体" w:eastAsia="宋体" w:cs="宋体"/>
                <w:b w:val="0"/>
                <w:bCs w:val="0"/>
                <w:color w:val="auto"/>
                <w:sz w:val="21"/>
                <w:szCs w:val="21"/>
                <w:highlight w:val="none"/>
                <w:lang w:val="en-US" w:eastAsia="zh-CN" w:bidi="ar"/>
              </w:rPr>
              <w:t>c</w:t>
            </w:r>
            <w:r>
              <w:rPr>
                <w:rFonts w:hint="eastAsia" w:ascii="宋体" w:hAnsi="宋体" w:eastAsia="宋体" w:cs="宋体"/>
                <w:b w:val="0"/>
                <w:bCs w:val="0"/>
                <w:color w:val="auto"/>
                <w:sz w:val="21"/>
                <w:szCs w:val="21"/>
                <w:highlight w:val="none"/>
                <w:lang w:bidi="ar"/>
              </w:rPr>
              <w:t>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3.由框架、透明塑料面板、底板、锁扣等组成；</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4.透明塑料面板≥2㎜；</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5.悬挂件牢固、可靠，能承受自身重力的2～3倍。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38</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展示画框</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个</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28</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1.教师用；</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2.尺寸：60cm×90cm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w:t>
            </w:r>
            <w:r>
              <w:rPr>
                <w:rFonts w:hint="eastAsia" w:ascii="宋体" w:hAnsi="宋体" w:eastAsia="宋体" w:cs="宋体"/>
                <w:b w:val="0"/>
                <w:bCs w:val="0"/>
                <w:color w:val="auto"/>
                <w:sz w:val="21"/>
                <w:szCs w:val="21"/>
                <w:highlight w:val="none"/>
                <w:lang w:val="en-US" w:eastAsia="zh-CN" w:bidi="ar"/>
              </w:rPr>
              <w:t>c</w:t>
            </w:r>
            <w:r>
              <w:rPr>
                <w:rFonts w:hint="eastAsia" w:ascii="宋体" w:hAnsi="宋体" w:eastAsia="宋体" w:cs="宋体"/>
                <w:b w:val="0"/>
                <w:bCs w:val="0"/>
                <w:color w:val="auto"/>
                <w:sz w:val="21"/>
                <w:szCs w:val="21"/>
                <w:highlight w:val="none"/>
                <w:lang w:bidi="ar"/>
              </w:rPr>
              <w:t>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3.由框架、透明塑料面板、底板、锁扣等组成；</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4.透明塑料面板≥2㎜；</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5.悬挂件牢固、可靠，能承受自身重力的2～3倍。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39</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椅子</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张</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1.背海棉：采用高密度冷发泡PU定型海棉。背海棉长度为735mm，宽读为471mm，头顶高度为85mm，底高度为95mm，海棉密度为45KG/M3。</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2.座海棉：采用高密度冷发泡PU定型海棉。座海棉长度为520mm，宽度为470mm，头顶高度为97mm，底高度为60mm，海棉密度为60KG/M3。</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3.背内板：采用优质夹板经模具压弯成型。外型成弧型，美观大方，具有曲线美。尺寸规格：长度为688 mm，宽度为445mm，厚度为12 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4.背胶壳：采用优质PP（聚丙烯）多元素复合材料经模具压铸成型，尺寸规格：长度为745 mm，宽度为451 mm，厚度为3mm。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5.座胶壳：采用优质PP（聚丙烯）多元素复合材料经模具压铸成型，尺寸规格：长度为495 mm，宽度为425 mm，厚度为3 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6.回位功能：座内采用弹簧加钢架回位结构，持久耐用，而且无回位噪音。</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7.扶手面：采用进口橡木或进口榉木或高弹PU扶手，厚度为20mm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9.面料：座背面料采用麻绒专用布料，阻然，抗污，防褪色。</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10.侧板：采用优质夹板，外包面料。厚度为2mm。</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11.脚架：扶手框架采用优质T2.0mm热轧板，底脚板采用2 mm优质冷轧钢冲压成型，脚管采用80X40XT1.2优质方管经二氧化碳焊接成型，表面采用防锈静电喷亚光黑处理。</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12.座椅外形：设计符合人体工程学原理，舒适度好。</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13.地面固定：采用防锈静电喷涂内六角膨胀螺丝，不易生锈。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40</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移动</w:t>
            </w:r>
            <w:r>
              <w:rPr>
                <w:rFonts w:hint="eastAsia" w:ascii="宋体" w:hAnsi="宋体" w:eastAsia="宋体" w:cs="宋体"/>
                <w:b w:val="0"/>
                <w:bCs w:val="0"/>
                <w:color w:val="auto"/>
                <w:kern w:val="0"/>
                <w:sz w:val="21"/>
                <w:szCs w:val="21"/>
                <w:highlight w:val="none"/>
                <w:lang w:val="en-US" w:eastAsia="zh-CN" w:bidi="ar"/>
              </w:rPr>
              <w:t>教学一体机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3</w:t>
            </w:r>
          </w:p>
        </w:tc>
        <w:tc>
          <w:tcPr>
            <w:tcW w:w="7265" w:type="dxa"/>
            <w:noWrap w:val="0"/>
            <w:vAlign w:val="top"/>
          </w:tcPr>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一、整体设计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1.整机采用一体设计，外部无任何可见内部功能模块连接线。</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2.整机采用全金属外壳设计，边角采用弧形设计，表面无尖锐边缘或凸起；整机屏幕边缘采用金属圆角包边防护，整机背板采用金属材质。</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3.整机采用UHD超高清LED液晶屏，显示分辨率3840*2160，可视角度≥178°。</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4.整机屏幕采用86英寸液晶显示器。</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5.整机采用LED液晶A规屏，显示比例16:9。</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6.屏幕采用≥3.2mm防眩钢化玻璃保护，表面硬度≥莫氏8级，硬度大于等于9H，透光率不低于93%，雾度≤8%，</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7.整机支持色彩空间可选，包含标准模式和sRGB，在sRGB模式下可做到高色准△E≤1。</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二、整机设计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整机为双系统设计，内置安卓系统，CPU核数不小于8核，GPU核数不小于4核，嵌入式安卓操作系统版本为Android14；同时嵌入式Android操作系统下可实现windows系统中常用的教学应用功能，具有白板书写、WPS软件使用和网页浏览，安卓系统ram：4G；rom：32G。；</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2.整机CPU，可编程逻辑芯片、时钟芯片、采用国产自主芯片；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3.前置USB接口支持Android系统、Windows系统读取外接移动存储设备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4.通过一根线（无需重复连接触摸信号）连接到整机的电脑或手机在投屏的同时即可直接读写整机前置USB接口的移动存储设备数据，连接整机前置USB接口的翻页笔和无线鼠标外接设备可直接使用于外接电脑。</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5.整机内置扬声器采用针孔发声技术，喇叭采用槽式开口设计；</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6.整机内置2.2声道音响，前朝向额定15W中高音扬声器2个，后朝向额定15W低音扬声器2个，额定总功率≥60W，谐振频率低于300Hz。</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7.整机支持高级音效设置，可以调节左右声道平衡；在中低频段125Hz～1KHz，高频段2KHz～16KHz分别有-12dB～12dB范围的调节功能；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8.整机扬声器在100%音量下，可做到1米处声压级≥90db，10米处声压级≥79dB，能够有效保障教室后排学生听觉感受。</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为满足教师实际教学需求，可便捷外接所需的设备，整机前置USB3.0接口≥3个；HDMI接口≥1个；全功能Type-C接口≥1个（具备音视频传输、触控传输、充电、U盘数据传输功能，快速充电功能，接管摄像头在外接电脑即可控制整机拍摄教室画面、调用扬声器），可将整机网络共享给外接电脑，并支持反向触控控制功能，且前置接口采用可防护的磁吸式盖板；侧置输入接口具备≥1路HDMIIN、≥1路RS232.≥2路USB接口；侧置输出接口具备≥1路音频输入输出、≥1路触控USB输出。整机前置接口具有丝印标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9.前置Type-C接口，支持通过不带转换转置的外部线缆，实现外接电脑HDMI信号的接入显示。外接电脑设备经双头Type-C线连接至整机，可调用整机内置的摄像头、麦克风、扬声器，在外接电脑即可控制整机拍摄教室画面。</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0.外接电脑设备经双头Type-C线连接至整机，可将整机网络共享给外接电脑，并支持反向触控控制功能。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11.前置接口具备翻转盖板，翻转角度180°;在有U盘插入时盖板能对U盘进行保护，防止推拉黑板误关对U盘造成损伤。</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12.触摸最小识别物≤3mm，触控首点响应时间≤4ms，连续响应时间≤2ms。</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13.整机采用红外触控技术，支持Windows及安卓双系统下50点触控；支持同一红外笔笔头、笔尾书写不同的颜色，且颜色可自定义。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14.整机内置≥1600万像素摄像头麦克风，无需外接线材连接，任何可见外接线材及模块化拼接痕迹，未占用整机设备端口，支持远程巡课、简易录播的应用，摄像视场角≥145°,水平视场角可达到121°,支持输出4:3.16:9比例的图片和视频；可拍摄输出4K分辨率的视频、图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15.具备摄像头工作指示灯，摄像头运行时，有指示灯提示。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16.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17.整机内置非独立外扩展的8阵列麦克风，拾音角度≥180°,可用于对教室环境音频进行采集，拾音距离≥12m。</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18.整机内置独立音频处理器，支持麦克风自动增益控制（AGC）、自动抑制噪声（ANC）、自动回声消除（AEC），提升麦克风拾音效果。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19.整机内置专属的4核音频CPU处理器，最多支持8路麦克风数据处理，采样率支持192K，同时不占用整机系统的CPU能力。</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20.支持标准、听力、影院、自定义模式以及AI空间感知音效模式，AI空间感知音效模式可通过内置麦克风采集教室物理环境声音，自动生成符合当前教室物理环境的频段、音量、音效。</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21.整机具有NFC模块，支持主从模式，在同一NFC模块中实现一碰投屏和IC卡刷卡解锁设备，无需手动切换模式；支持搭配具有NFC功能的手机、平板，通过接触整机设备上的NFC标签，即可实现手机、wifi连接后平板与大屏的连接并同步手机、平板的画面到设备上，无需其他操作设置，支持9台手机、平板同时连接并显示；同一NFC模块可以一碰投屏同时支持使用已绑定的IC卡接触NFC模块对整机大屏解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22.在无ops的情况下，整机支持有线及无线方式联网，无线支持wifi6；在具备ops的情况下，整机可支持通过一根网线实现双系统上网，同时ops也具备独立网口和wifi。</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23.整机无需外接无线网卡，在Windows系统下可实现Wi-Fi无线上网连接、AP无线热点发射和BT蓝牙连接功能。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24.在Android和Windows系统下，可实现Wi-Fi无线上网连接、AP无线热点发射，在Android下支持无线设备同时连接数量≥32个，在Windows系统下支持无线设备同时连接≥8个。</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25.为适应未来无线网络发展，无需更换设备，整机整机支持Wi-Fi6版本，Wi-Fi制式支持802.11a/b/g/n/ac/ax，整机内置无线网络模块，PC模块无任何外接或转接天线、网卡可同时实现Wi-Fi无线上网连接和AP无线热点发射。Wi-Fi和AP热点均支持双频2.4G&amp;5G。</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26.内置无线传屏接收端，无需外接接收部件，无线传屏发射器与整机匹配后即可实现传屏功能，将外部电脑的屏幕画面通过无线方式传输到整机上显示。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27.整机内置蓝牙模块，黑板在安卓和Windows系统下均可由该模块实现外部蓝牙设备的连接和数据传输，支持蓝牙Bluetooth5.4标准，内置蓝牙模块工作距离至少15米。</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28.整机内置支持2.4GHz和5GHz双频WiFi，支持蓝牙5.4；Wi-Fi和AP热点工作距离15m，AP热点支持50个用户终端在线网络连接。</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29.具有物联，大屏显示界面可显示教室温度、湿度，集控平台可查看每个教室的环境温湿度；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30.整机屏体无需操作即可实现蓝光防护，具备物理防蓝光功能；整机采用硬件低蓝光背光技术，在源头减少有害蓝光波段能量，蓝光占比（有害蓝光415～455nm能量综合）/（整体蓝光400～500能量综合）&lt;50%，低蓝光保护显示不偏色、不泛黄。</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31.支持护眼模式，可通过前置面板物理功能按键一键启用护眼模式，一键滤减蓝光。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32.整机支持全通道支持4KUI界面显示，包括安卓通道、PC通道、HDMI通道、Type-C通道。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33.整机色域覆盖率（NTSC）85%。</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34.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三、主要功能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2.开关机设置：整机本地支持自定义设置开机时间和关机时间，组数不少于5组，无需网络环境即可实现。</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整机具备智能手势识别功能，在任意信号源通道下均可识别五指上、下、左、右方向手势，五指画O、画~、左右晃动、缩/放方向手势滑动并调用相应功能。支持将各手势滑动方向自定义设置为无操作、熄屏、批注、桌面、半屏模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4.在HDMI、Android以及Windows信号源模式下，整机屏幕支持手势下移实现半屏显示，下移同时可做到整屏缩小，画面完整、无任何画面裁剪且触控正常。</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快捷小工具：支持自定义悬浮球菜单中的小工具功能，用户在任意通道下可调取系统工具，聚光灯、批注、熄屏、锁屏、硬件自检、内存加速等小工具，也可以调取应用软件；并支持根据用户习惯任意调整显示顺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5.当整机处于黑暗环境中并无人操作，一分钟后整机将可以自动进入熄屏模式。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6.整机处于非内置PC通道下，支持调用屏幕快捷键一键回到PC通道。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7.支持通道记忆功能，开机默认回到最近一次关机时的显示通道。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8.整机教学桌面小工具，支持调用摄像头支持人脸识别、清点人数、随机抽人；识别所有学生，显示标记，然后随机抽选，同时显示标记不少于60人。</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9.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10.嵌入式Android操作系统下，互动白板支持不同背景颜色，同时提供学科背景，如：五线谱、信纸、田字格、英文格、篮球和足球场地平面图。</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11.在嵌入式系统下使用白板软件时，整机可根据用户书写操作智能调节屏幕亮度。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12.嵌入式Android操作系统下，白板支持对已经书写的笔迹和形状的颜色进行更换。</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13.无PC状态下，嵌入式系统内置互动白板支持十笔书写及手掌擦除（手掌擦除面积根据手掌与屏幕的接触面大小自动调整），支持10种平面图形工具，支持8种立体图形工具。</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14.整机全通道侧边栏支持在任意通道、页面使用批注小工具进行批注讲解，可切换书写笔颜色、截屏保存批注内容、快速清屏，可根据手与屏幕的接触面积自动调整板擦工具的大小。</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15.整机全通道侧边栏支持自行选择所需截取屏幕范围，点击截屏即可成功截取屏幕，并自动保存。</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16.整机全通道侧边栏提供秒表正计时，点击开始计时便自动开始，并实时显示时间；支持倒计时，输入某特定时间值，可精确到秒，点击开始即进入倒计时。</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17.整机全通道侧边栏支持快速将设备屏幕降低为半屏幕状态，点击上半屏幕可以快速返回全屏状态。</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18.整机全通道侧边栏支持放大任意区域内容；并可支持对未选中区域关灯处理。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19.整机安卓和全部外接通道（HDMI、Type-c）下侧边栏支持通过扫描二维码加入班级，老师设置题型，学生回答后提交，教师查看正确率比例及详细讲解；支持随机抽选、实时弹幕；支持管理当前班级成员；支持导出学生报告，支持设置任意倒数日。</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20.具备前置光感，通过感受环境光亮度来改变屏幕显示亮度；设备具备红外接收头，可通过红外与麦克风进行配对。</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21.整机在任意通道下支持五指熄屏，并且可根据需要关闭或打开。</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22.整机全通道侧边栏快捷菜单包含的小工具有：批注、截屏、计时、降半屏、放大镜、日历、班级记忆。在Android通道和全部外接通道（HDMI、Type-C），还具备答题、倒数日、节拍器小工具。</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23.整机一体化设计，集成支持Windows和Android双系统智能设计；在内嵌式Android系统下可实现：书写擦除、多颜色更换、全局预览和漫游等白板软件功能，调用办公文档软件、网页浏览、对多媒体USB文件自动归类和分类查找的播放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24.整机Windows通道支持文件传输应用，支持通过扫码、wifi直联、超声三种方式与手机进行握手连接，实现文件传输功能。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25.整机Windows通道支持文件传输应用，传输方式支持公网传输、局域网传输、WiFi直连传输。</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26.整机关机状态下，通过长按电源键进入设置界面后，可点击屏幕选择故障检测、系统还原功能，系统还原可单独还原PC系统，单独还原整机系统。</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27.整机设备教学桌面支持查看设备盘符，支持本地磁盘和外接U盘、移动硬盘，点击即可打开该磁盘查看磁盘文件。教学桌面支持显示存储空间状态，当存储空间即将满载时候进行红色标记明显提示。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28.整机设备教学桌面支持对常用应用替换和添加，支持对应用卸载。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29.整机设备教学桌面的教师登录账号后，可自动获取并在桌面显示最近使用的教学课件，点击课件可直接进入授课模式；并支持查看所有个人教学课件资源。</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30.整机设备教学桌面支持进行壁纸编辑，内置10张以上壁纸，并支持自定义壁纸。</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31.整机设备教学桌面支持进行重启、关机操作。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32.独立扩声系统，可实现单独听功能，在关闭显示部分的待机情况下仍可将接入的多媒体信号混音后通过设备内置音箱播出实现扩声功能，轻触显示部分可点亮屏幕。</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33.双系统具有智能手势开关整机背光功能、双系统一键切换、双系统共享USB接口、双系统网络共享。</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34.在Windows任意界面下均可开启录课功能，可实现三种录制模式，包括屏幕录制、屏幕+摄像头、专业级录制及直播。</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35.设备前置物理按键可实现一键录屏功能，可将屏幕中的课件、音频内容与授课老师的声音同步录制。</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36.整机从安卓系统将设备添加至集控平台，安卓系统接入集控平台后，OPS自动完成设备接入，无需输入学校代码及密钥，支持集控平台直接对大屏进行屏幕解锁，息屏亮屏，关机，重启，信息发布，异常报警（温度、内存、CPU等），远程升级，并可显示设备信息（设备序列号，运行时长，显示模式，整机音量，设备温度，cpu使用率，内存使用率，声音模式，健康度，在离线，型号，安卓版本，系统版本等），方便老师进行教室设备管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37.整机支持windows系统和android系统之间进行串口通信，android系统可获取OPS的CPU型号，内存，网卡型号，序列号等信息，android系统下可一键还原windows操作系统，控制OPS的开关机；</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38.设备端安卓系统支持对教室内物联传感器进行控制，无需安装OPS，即可实现获取展现教室内的温湿度、PM2.5等信息，支持控制教室内物联传感器，控制灯光、窗帘、空调等物联开关，并支持上课模式、投影模式、休息模式、放学模式的设置，方便老师操作；</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39.整机嵌入式系统支持对重要设置内容进行安全保护，通过输入密码才可以进入网络设置选项控制有线及无线网络设置，高级设置选项控制安卓恢复出厂设置及windows系统一键还原；</w:t>
            </w:r>
          </w:p>
          <w:p>
            <w:pPr>
              <w:widowControl/>
              <w:spacing w:line="360" w:lineRule="auto"/>
              <w:ind w:firstLine="0" w:firstLineChars="0"/>
              <w:jc w:val="left"/>
              <w:textAlignment w:val="top"/>
              <w:rPr>
                <w:rFonts w:hint="eastAsia"/>
                <w:color w:val="auto"/>
                <w:highlight w:val="none"/>
                <w:lang w:val="en-US" w:eastAsia="zh-CN"/>
              </w:rPr>
            </w:pPr>
            <w:r>
              <w:rPr>
                <w:rFonts w:hint="eastAsia"/>
                <w:color w:val="auto"/>
                <w:highlight w:val="none"/>
                <w:lang w:val="en-US" w:eastAsia="zh-CN"/>
              </w:rPr>
              <w:t>40.整机嵌入式系统支持视力检测，学生站在距离屏幕的一定距离，可通过遥控器、手势识别两种方式标识方向，测试完成后可直接生成视力检测结果，并可建立学生视力档案，对学生视力情况进行管理；</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41.整机嵌入式系统支持日历功能，通过云端平台可以下发待办或者考试计划到日历中，可自动展现历史上的今天并显示出名人故事等</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42.整机嵌入式系统支持钢琴演奏app，模拟钢琴按键，支持自动播放不小于3首音乐，且学生弹奏后可模拟钢琴声音发声，可自动判断弹奏的准确率</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43.整机嵌入式系统支持地图app，支持显示中国地图（包含中国地图，中国主要的山川湖泊，地势图），世界地图（包含世界地图，地势图），可以打开地球仪，支持自有旋转，方便老师教学；</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四、OPS</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1.采用模块化电脑方案，PC 模块可抽拉式插入整机，可实现无单独接线的插拔。</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2.CPU：主频≥2.0GHz，8核12线程或以上性能。</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3.内存：16G 笔记本内存或更优配置。</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4.硬盘：256G SSD 固态硬盘或更优配置。</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5.具有独立非外扩展的视频输出接口：≥1 路 HDMI 。</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6.具有独立非外扩展的电脑 USB 接口：≥2 路 USB。</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7.内置网卡：10M/100M/1000M。</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8.支持系统还原保护。</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9.ops电脑无故障运行时间不小于20万小时。</w:t>
            </w:r>
          </w:p>
          <w:p>
            <w:pPr>
              <w:pStyle w:val="2"/>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五、移动支架</w:t>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50≥净重≥18 kg</w:t>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最大承重≥100kg</w:t>
            </w:r>
            <w:r>
              <w:rPr>
                <w:rFonts w:hint="eastAsia" w:ascii="宋体" w:hAnsi="宋体" w:eastAsia="宋体" w:cs="宋体"/>
                <w:strike w:val="0"/>
                <w:dstrike w:val="0"/>
                <w:color w:val="auto"/>
                <w:kern w:val="0"/>
                <w:sz w:val="21"/>
                <w:szCs w:val="21"/>
                <w:highlight w:val="none"/>
              </w:rPr>
              <w:tab/>
            </w:r>
          </w:p>
          <w:p>
            <w:pPr>
              <w:keepNext w:val="0"/>
              <w:keepLines w:val="0"/>
              <w:pageBreakBefore w:val="0"/>
              <w:kinsoku/>
              <w:wordWrap/>
              <w:overflowPunct/>
              <w:topLinePunct w:val="0"/>
              <w:bidi w:val="0"/>
              <w:snapToGrid w:val="0"/>
              <w:spacing w:line="440" w:lineRule="exact"/>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可承载机型尺寸：65-86英寸</w:t>
            </w:r>
          </w:p>
          <w:p>
            <w:pPr>
              <w:pStyle w:val="2"/>
              <w:ind w:left="0" w:leftChars="0" w:firstLine="0" w:firstLineChars="0"/>
              <w:rPr>
                <w:rFonts w:hint="eastAsia"/>
                <w:color w:val="auto"/>
                <w:highlight w:val="none"/>
                <w:lang w:val="en-US" w:eastAsia="zh-CN"/>
              </w:rPr>
            </w:pPr>
            <w:r>
              <w:rPr>
                <w:rFonts w:hint="eastAsia" w:ascii="宋体" w:hAnsi="宋体" w:eastAsia="宋体" w:cs="宋体"/>
                <w:strike w:val="0"/>
                <w:dstrike w:val="0"/>
                <w:color w:val="auto"/>
                <w:kern w:val="0"/>
                <w:sz w:val="21"/>
                <w:szCs w:val="21"/>
                <w:highlight w:val="none"/>
              </w:rPr>
              <w:t>脚轮尺寸≥2英寸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智能音频主机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1.信噪比：≥93dB。</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2.功率放大器的输出功率≥2*45W。</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3.频率响应：20Hz-20kHz（±1.5dB）。</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4.总谐波失真：≤0.5%（1kHz）。</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5.增益差：≤0.2dB。</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6.反馈抑制（AFC）：传声增益提升幅度：≥14dB。</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7.自适应背景降噪（ANS）：信噪比提升≥20dB。</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8.自动增益控制（AGC）：增益控制幅度：-12dB-+12dB。</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9.回声消除强度(AEC)：≥-60dB。</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10.回音消除尾音长度：≥256ms。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52</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吊麦</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1.频率范围:20-20KHZ。</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2.灵敏度:-34dB士3dB(re0dB=1V/Pa@1kHz)。</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3.指向性:超心型 &lt;130。</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4.最大声压级:135dBSPL(A计权@1KHz，THD≤3%)。</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5.输出阻抗 :200Ω士30%。</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6.输出幅度:Max300mV。</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7.动态范围:≥80dB(A)。</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8.信噪比:≥80dB(A)(re 94dBSPL=1Pa@1KHz)。</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9.幻象供电:直流 48V。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43</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扩声系统音箱</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1.额定功率:&gt;30W。</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2.灵敏度:&lt;88dB。</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3.频率响应:60Hz~20KHZ。</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4.阻抗:8Ω。</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5.高音单元:1寸丝膜高音。</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6.中低音单元5.25寸</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7.材质:木箱。</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8.无源/有源:无源。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44</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无线智能遥控器</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套</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1.控制面板采取红外接收模式，符合日立编码协议，实现20米超远距离接收；</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2.面板具备吊麦声音大小调节功能、音量加减、男女生模式等；</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3.可实现一键休眠功能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45</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空调</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3匹柜机</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能效等级：二级</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冷暖类型：冷暖</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变频/定频：变频</w:t>
            </w:r>
          </w:p>
          <w:p>
            <w:pPr>
              <w:keepNext w:val="0"/>
              <w:keepLines w:val="0"/>
              <w:widowControl/>
              <w:suppressLineNumbers w:val="0"/>
              <w:spacing w:line="360" w:lineRule="auto"/>
              <w:ind w:left="0" w:leftChars="0" w:firstLine="0" w:firstLineChars="0"/>
              <w:jc w:val="left"/>
              <w:textAlignment w:val="top"/>
              <w:rPr>
                <w:rFonts w:hint="default" w:ascii="Times New Roman" w:hAnsi="Times New Roman" w:cs="Times New Roman"/>
                <w:color w:val="auto"/>
                <w:highlight w:val="none"/>
                <w:lang w:val="en-US" w:eastAsia="zh-CN"/>
              </w:rPr>
            </w:pPr>
            <w:r>
              <w:rPr>
                <w:rFonts w:hint="eastAsia"/>
                <w:color w:val="auto"/>
                <w:highlight w:val="none"/>
                <w:lang w:val="en-US" w:eastAsia="zh-CN"/>
              </w:rPr>
              <w:t>额定制冷量：</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PingFangSC-Medium" w:cs="Times New Roman"/>
                <w:i w:val="0"/>
                <w:iCs w:val="0"/>
                <w:caps w:val="0"/>
                <w:color w:val="auto"/>
                <w:spacing w:val="0"/>
                <w:sz w:val="21"/>
                <w:szCs w:val="21"/>
                <w:highlight w:val="none"/>
                <w:shd w:val="clear" w:fill="FFFFFF"/>
              </w:rPr>
              <w:t>7210W</w:t>
            </w:r>
          </w:p>
          <w:p>
            <w:pPr>
              <w:keepNext w:val="0"/>
              <w:keepLines w:val="0"/>
              <w:widowControl/>
              <w:suppressLineNumbers w:val="0"/>
              <w:spacing w:line="360" w:lineRule="auto"/>
              <w:ind w:left="0" w:leftChars="0" w:firstLine="0" w:firstLineChars="0"/>
              <w:jc w:val="left"/>
              <w:textAlignment w:val="top"/>
              <w:rPr>
                <w:rFonts w:hint="default"/>
                <w:color w:val="auto"/>
                <w:highlight w:val="none"/>
                <w:lang w:val="en-US" w:eastAsia="zh-CN"/>
              </w:rPr>
            </w:pPr>
            <w:r>
              <w:rPr>
                <w:rFonts w:hint="eastAsia"/>
                <w:color w:val="auto"/>
                <w:highlight w:val="none"/>
                <w:lang w:val="en-US" w:eastAsia="zh-CN"/>
              </w:rPr>
              <w:t>制冷功率：</w:t>
            </w:r>
            <w:r>
              <w:rPr>
                <w:rFonts w:hint="eastAsia" w:ascii="宋体" w:hAnsi="宋体" w:eastAsia="宋体" w:cs="宋体"/>
                <w:i w:val="0"/>
                <w:iCs w:val="0"/>
                <w:color w:val="auto"/>
                <w:kern w:val="0"/>
                <w:sz w:val="21"/>
                <w:szCs w:val="21"/>
                <w:highlight w:val="none"/>
                <w:u w:val="none"/>
                <w:lang w:val="en-US" w:eastAsia="zh-CN" w:bidi="ar"/>
              </w:rPr>
              <w:t>≤</w:t>
            </w:r>
            <w:r>
              <w:rPr>
                <w:rFonts w:hint="eastAsia"/>
                <w:color w:val="auto"/>
                <w:highlight w:val="none"/>
                <w:lang w:val="en-US" w:eastAsia="zh-CN"/>
              </w:rPr>
              <w:t>1970</w:t>
            </w:r>
            <w:r>
              <w:rPr>
                <w:rFonts w:hint="default" w:ascii="Times New Roman" w:hAnsi="Times New Roman" w:eastAsia="PingFangSC-Medium" w:cs="Times New Roman"/>
                <w:i w:val="0"/>
                <w:iCs w:val="0"/>
                <w:caps w:val="0"/>
                <w:color w:val="auto"/>
                <w:spacing w:val="0"/>
                <w:sz w:val="21"/>
                <w:szCs w:val="21"/>
                <w:highlight w:val="none"/>
                <w:shd w:val="clear" w:fill="FFFFFF"/>
              </w:rPr>
              <w:t>W</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制热量：≤9660</w:t>
            </w:r>
            <w:r>
              <w:rPr>
                <w:rFonts w:hint="default"/>
                <w:color w:val="auto"/>
                <w:highlight w:val="none"/>
                <w:lang w:val="en-US" w:eastAsia="zh-CN"/>
              </w:rPr>
              <w:t>W</w:t>
            </w:r>
          </w:p>
          <w:p>
            <w:pPr>
              <w:keepNext w:val="0"/>
              <w:keepLines w:val="0"/>
              <w:widowControl/>
              <w:suppressLineNumbers w:val="0"/>
              <w:spacing w:line="360" w:lineRule="auto"/>
              <w:ind w:left="0" w:leftChars="0" w:firstLine="0" w:firstLineChars="0"/>
              <w:jc w:val="left"/>
              <w:textAlignment w:val="top"/>
              <w:rPr>
                <w:rFonts w:hint="default"/>
                <w:color w:val="auto"/>
                <w:highlight w:val="none"/>
                <w:lang w:val="en-US" w:eastAsia="zh-CN"/>
              </w:rPr>
            </w:pPr>
            <w:r>
              <w:rPr>
                <w:rFonts w:hint="eastAsia"/>
                <w:color w:val="auto"/>
                <w:highlight w:val="none"/>
                <w:lang w:val="en-US" w:eastAsia="zh-CN"/>
              </w:rPr>
              <w:t>制热功率：</w:t>
            </w:r>
            <w:r>
              <w:rPr>
                <w:rFonts w:hint="eastAsia" w:ascii="宋体" w:hAnsi="宋体" w:eastAsia="宋体" w:cs="宋体"/>
                <w:i w:val="0"/>
                <w:iCs w:val="0"/>
                <w:color w:val="auto"/>
                <w:kern w:val="0"/>
                <w:sz w:val="21"/>
                <w:szCs w:val="21"/>
                <w:highlight w:val="none"/>
                <w:u w:val="none"/>
                <w:lang w:val="en-US" w:eastAsia="zh-CN" w:bidi="ar"/>
              </w:rPr>
              <w:t>≤</w:t>
            </w:r>
            <w:r>
              <w:rPr>
                <w:rFonts w:hint="eastAsia"/>
                <w:color w:val="auto"/>
                <w:highlight w:val="none"/>
                <w:lang w:val="en-US" w:eastAsia="zh-CN"/>
              </w:rPr>
              <w:t>2950</w:t>
            </w:r>
            <w:r>
              <w:rPr>
                <w:rFonts w:hint="default" w:ascii="Times New Roman" w:hAnsi="Times New Roman" w:eastAsia="PingFangSC-Medium" w:cs="Times New Roman"/>
                <w:i w:val="0"/>
                <w:iCs w:val="0"/>
                <w:caps w:val="0"/>
                <w:color w:val="auto"/>
                <w:spacing w:val="0"/>
                <w:sz w:val="21"/>
                <w:szCs w:val="21"/>
                <w:highlight w:val="none"/>
                <w:shd w:val="clear" w:fill="FFFFFF"/>
              </w:rPr>
              <w:t>W</w:t>
            </w:r>
          </w:p>
          <w:p>
            <w:pPr>
              <w:keepNext w:val="0"/>
              <w:keepLines w:val="0"/>
              <w:widowControl/>
              <w:suppressLineNumbers w:val="0"/>
              <w:spacing w:line="360" w:lineRule="auto"/>
              <w:ind w:left="0" w:leftChars="0" w:firstLine="0" w:firstLineChars="0"/>
              <w:jc w:val="left"/>
              <w:textAlignment w:val="top"/>
              <w:rPr>
                <w:rFonts w:hint="eastAsia"/>
                <w:color w:val="auto"/>
                <w:highlight w:val="none"/>
                <w:lang w:val="en-US" w:eastAsia="zh-CN"/>
              </w:rPr>
            </w:pPr>
            <w:r>
              <w:rPr>
                <w:rFonts w:hint="eastAsia"/>
                <w:color w:val="auto"/>
                <w:highlight w:val="none"/>
                <w:lang w:val="en-US" w:eastAsia="zh-CN"/>
              </w:rPr>
              <w:t>电辅热：</w:t>
            </w:r>
            <w:r>
              <w:rPr>
                <w:rFonts w:hint="eastAsia" w:ascii="宋体" w:hAnsi="宋体" w:eastAsia="宋体" w:cs="宋体"/>
                <w:i w:val="0"/>
                <w:iCs w:val="0"/>
                <w:color w:val="auto"/>
                <w:kern w:val="0"/>
                <w:sz w:val="21"/>
                <w:szCs w:val="21"/>
                <w:highlight w:val="none"/>
                <w:u w:val="none"/>
                <w:lang w:val="en-US" w:eastAsia="zh-CN" w:bidi="ar"/>
              </w:rPr>
              <w:t>≤</w:t>
            </w:r>
            <w:r>
              <w:rPr>
                <w:rFonts w:hint="eastAsia"/>
                <w:color w:val="auto"/>
                <w:highlight w:val="none"/>
                <w:lang w:val="en-US" w:eastAsia="zh-CN"/>
              </w:rPr>
              <w:t>2300</w:t>
            </w:r>
          </w:p>
          <w:p>
            <w:pPr>
              <w:keepNext w:val="0"/>
              <w:keepLines w:val="0"/>
              <w:widowControl/>
              <w:suppressLineNumbers w:val="0"/>
              <w:spacing w:line="360" w:lineRule="auto"/>
              <w:ind w:left="0" w:leftChars="0" w:firstLine="0" w:firstLineChars="0"/>
              <w:jc w:val="left"/>
              <w:textAlignment w:val="top"/>
              <w:rPr>
                <w:rFonts w:hint="default"/>
                <w:color w:val="auto"/>
                <w:highlight w:val="none"/>
                <w:lang w:val="en-US" w:eastAsia="zh-CN"/>
              </w:rPr>
            </w:pPr>
            <w:r>
              <w:rPr>
                <w:rFonts w:hint="eastAsia"/>
                <w:color w:val="auto"/>
                <w:highlight w:val="none"/>
                <w:lang w:val="en-US" w:eastAsia="zh-CN"/>
              </w:rPr>
              <w:t>内机循环风量：≤1300</w:t>
            </w:r>
          </w:p>
          <w:p>
            <w:pPr>
              <w:keepNext w:val="0"/>
              <w:keepLines w:val="0"/>
              <w:widowControl/>
              <w:suppressLineNumbers w:val="0"/>
              <w:spacing w:line="360" w:lineRule="auto"/>
              <w:ind w:left="0" w:leftChars="0" w:firstLine="0" w:firstLineChars="0"/>
              <w:jc w:val="left"/>
              <w:textAlignment w:val="top"/>
              <w:rPr>
                <w:rFonts w:hint="default"/>
                <w:color w:val="auto"/>
                <w:highlight w:val="none"/>
                <w:lang w:val="en-US" w:eastAsia="zh-CN"/>
              </w:rPr>
            </w:pPr>
            <w:r>
              <w:rPr>
                <w:rFonts w:hint="eastAsia"/>
                <w:color w:val="auto"/>
                <w:highlight w:val="none"/>
                <w:lang w:val="en-US" w:eastAsia="zh-CN"/>
              </w:rPr>
              <w:t>内机噪音(高档）</w:t>
            </w:r>
            <w:r>
              <w:rPr>
                <w:rFonts w:hint="eastAsia" w:ascii="宋体" w:hAnsi="宋体" w:eastAsia="宋体" w:cs="宋体"/>
                <w:i w:val="0"/>
                <w:iCs w:val="0"/>
                <w:color w:val="auto"/>
                <w:kern w:val="0"/>
                <w:sz w:val="21"/>
                <w:szCs w:val="21"/>
                <w:highlight w:val="none"/>
                <w:u w:val="none"/>
                <w:lang w:val="en-US" w:eastAsia="zh-CN" w:bidi="ar"/>
              </w:rPr>
              <w:t>≤</w:t>
            </w:r>
            <w:r>
              <w:rPr>
                <w:rFonts w:hint="eastAsia"/>
                <w:color w:val="auto"/>
                <w:highlight w:val="none"/>
                <w:lang w:val="en-US" w:eastAsia="zh-CN"/>
              </w:rPr>
              <w:t>：22</w:t>
            </w:r>
          </w:p>
          <w:p>
            <w:pPr>
              <w:pStyle w:val="2"/>
              <w:spacing w:line="360" w:lineRule="auto"/>
              <w:ind w:left="0" w:leftChars="0" w:firstLine="0" w:firstLineChars="0"/>
              <w:rPr>
                <w:rFonts w:hint="eastAsia"/>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★投标文件中必须提供该产品由国家确定的认证机构出具的处于有效期之内的节能产品认证证书并加盖投标人公章。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46</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录像机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闪存式DV：</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光学变焦倍数：30倍</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屏幕尺寸：3英寸</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数码像素：201-300万</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附加功能：支持WIFI、防抖性能、五轴防抖</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传感器尺寸：1/5.8英寸</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感光元件：CMOS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47</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云台相机</w:t>
            </w:r>
          </w:p>
        </w:tc>
        <w:tc>
          <w:tcPr>
            <w:tcW w:w="630" w:type="dxa"/>
            <w:gridSpan w:val="2"/>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 mm f/2.0镜头</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全像素相位对焦</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2英寸OLED旋转屏，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556x314像素</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可旋转切换横竖拍</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三轴云台机械增稳</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智能跟随6.0(主角跟随、预构图跟随)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立体声收音</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16分钟充满80%电量</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1080p/24fps 166分钟续航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支持外接续航手柄，</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额外增加103分钟续航</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支持自动轴锁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val="0"/>
                <w:bCs w:val="0"/>
                <w:color w:val="auto"/>
                <w:kern w:val="0"/>
                <w:sz w:val="21"/>
                <w:szCs w:val="21"/>
                <w:highlight w:val="none"/>
                <w:lang w:val="en-US" w:eastAsia="zh-CN" w:bidi="ar"/>
              </w:rPr>
              <w:t>十</w:t>
            </w:r>
            <w:r>
              <w:rPr>
                <w:rFonts w:hint="eastAsia" w:ascii="宋体" w:hAnsi="宋体" w:eastAsia="宋体" w:cs="宋体"/>
                <w:b w:val="0"/>
                <w:bCs w:val="0"/>
                <w:color w:val="auto"/>
                <w:kern w:val="0"/>
                <w:sz w:val="21"/>
                <w:szCs w:val="21"/>
                <w:highlight w:val="none"/>
                <w:lang w:val="en-US" w:eastAsia="zh-CN" w:bidi="ar"/>
              </w:rPr>
              <w:t>、集成服务及安装调试服务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w:t>
            </w:r>
          </w:p>
        </w:tc>
        <w:tc>
          <w:tcPr>
            <w:tcW w:w="888" w:type="dxa"/>
            <w:noWrap w:val="0"/>
            <w:vAlign w:val="center"/>
          </w:tcPr>
          <w:p>
            <w:pPr>
              <w:pStyle w:val="3"/>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集成服务及安装调试服务</w:t>
            </w:r>
          </w:p>
        </w:tc>
        <w:tc>
          <w:tcPr>
            <w:tcW w:w="630" w:type="dxa"/>
            <w:gridSpan w:val="2"/>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项</w:t>
            </w:r>
          </w:p>
        </w:tc>
        <w:tc>
          <w:tcPr>
            <w:tcW w:w="645" w:type="dxa"/>
            <w:noWrap w:val="0"/>
            <w:vAlign w:val="center"/>
          </w:tcPr>
          <w:p>
            <w:pPr>
              <w:pStyle w:val="3"/>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w:t>
            </w:r>
          </w:p>
        </w:tc>
        <w:tc>
          <w:tcPr>
            <w:tcW w:w="7265" w:type="dxa"/>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按需求提供集成服务及安装调试服务。</w:t>
            </w:r>
          </w:p>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商务要求</w:t>
            </w:r>
            <w:r>
              <w:rPr>
                <w:rFonts w:hint="eastAsia" w:ascii="宋体" w:hAnsi="宋体" w:eastAsia="宋体" w:cs="宋体"/>
                <w:b w:val="0"/>
                <w:bCs w:val="0"/>
                <w:color w:val="auto"/>
                <w:sz w:val="21"/>
                <w:szCs w:val="21"/>
                <w:highlight w:val="none"/>
                <w:lang w:val="en-US" w:eastAsia="zh-CN"/>
              </w:rPr>
              <w:t>：</w:t>
            </w:r>
          </w:p>
        </w:tc>
      </w:tr>
      <w:bookmark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要求</w:t>
            </w:r>
          </w:p>
        </w:tc>
        <w:tc>
          <w:tcPr>
            <w:tcW w:w="8403" w:type="dxa"/>
            <w:gridSpan w:val="3"/>
            <w:noWrap w:val="0"/>
            <w:vAlign w:val="center"/>
          </w:tcPr>
          <w:p>
            <w:pPr>
              <w:spacing w:line="3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b w:val="0"/>
                <w:bCs w:val="0"/>
                <w:color w:val="auto"/>
                <w:szCs w:val="21"/>
                <w:highlight w:val="none"/>
              </w:rPr>
              <w:t>1.投标人提供的产品必须是全新、完整、未使用过的、符合国家有关质量安全标准的合格产品。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合同签订期</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自中标通知书发出之日起10日内。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交货时间及地点</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1.交货期：合同签订之日起</w:t>
            </w:r>
            <w:r>
              <w:rPr>
                <w:rFonts w:hint="eastAsia" w:ascii="宋体" w:hAnsi="宋体" w:cs="宋体"/>
                <w:b w:val="0"/>
                <w:bCs w:val="0"/>
                <w:color w:val="auto"/>
                <w:kern w:val="0"/>
                <w:sz w:val="21"/>
                <w:szCs w:val="21"/>
                <w:highlight w:val="none"/>
                <w:lang w:val="en-US" w:eastAsia="zh-CN" w:bidi="ar"/>
              </w:rPr>
              <w:t>30</w:t>
            </w:r>
            <w:r>
              <w:rPr>
                <w:rFonts w:hint="eastAsia" w:ascii="宋体" w:hAnsi="宋体" w:eastAsia="宋体" w:cs="宋体"/>
                <w:b w:val="0"/>
                <w:bCs w:val="0"/>
                <w:color w:val="auto"/>
                <w:kern w:val="0"/>
                <w:sz w:val="21"/>
                <w:szCs w:val="21"/>
                <w:highlight w:val="none"/>
                <w:lang w:val="en-US" w:eastAsia="zh-CN" w:bidi="ar"/>
              </w:rPr>
              <w:t>个日历日</w:t>
            </w:r>
            <w:r>
              <w:rPr>
                <w:rFonts w:hint="eastAsia" w:ascii="宋体" w:hAnsi="宋体" w:cs="宋体"/>
                <w:b w:val="0"/>
                <w:bCs w:val="0"/>
                <w:color w:val="auto"/>
                <w:kern w:val="0"/>
                <w:sz w:val="21"/>
                <w:szCs w:val="21"/>
                <w:highlight w:val="none"/>
                <w:lang w:val="en-US" w:eastAsia="zh-CN" w:bidi="ar"/>
              </w:rPr>
              <w:t>内</w:t>
            </w:r>
            <w:r>
              <w:rPr>
                <w:rFonts w:hint="eastAsia" w:ascii="Times New Roman" w:hAnsi="Times New Roman" w:eastAsia="宋体" w:cs="Times New Roman"/>
                <w:b w:val="0"/>
                <w:bCs w:val="0"/>
                <w:color w:val="auto"/>
                <w:highlight w:val="none"/>
              </w:rPr>
              <w:t>安装调试竣工验收交付使用。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2.交货地点：</w:t>
            </w:r>
            <w:r>
              <w:rPr>
                <w:rFonts w:hint="eastAsia" w:ascii="宋体" w:hAnsi="宋体" w:cs="宋体"/>
                <w:b w:val="0"/>
                <w:bCs w:val="0"/>
                <w:color w:val="auto"/>
                <w:kern w:val="0"/>
                <w:sz w:val="21"/>
                <w:szCs w:val="21"/>
                <w:highlight w:val="none"/>
                <w:lang w:val="en-US" w:eastAsia="zh-CN" w:bidi="ar"/>
              </w:rPr>
              <w:t>广西钦州浦北县</w:t>
            </w:r>
            <w:r>
              <w:rPr>
                <w:rFonts w:hint="eastAsia" w:ascii="宋体" w:hAnsi="宋体" w:eastAsia="宋体" w:cs="宋体"/>
                <w:b w:val="0"/>
                <w:bCs w:val="0"/>
                <w:color w:val="auto"/>
                <w:kern w:val="0"/>
                <w:sz w:val="21"/>
                <w:szCs w:val="21"/>
                <w:highlight w:val="none"/>
                <w:lang w:val="en-US" w:eastAsia="zh-CN" w:bidi="ar"/>
              </w:rPr>
              <w:t>采购人指定地点；</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质保期限</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按国家有关产品“三包”规定执行“三包”，自货物验收合格之日起计算，产品质保期最短不少于 1 年（“技术参数要求”有要求的则按其要求）。若厂家质保期超过此年限的，合同履行过程中按厂家规定执行。质保期满后，终身维护。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售后服务要求</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1.中标人按采购人指定的地点负责送货上门、安装、调试，负责培训使用人员和维护人员。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中标人必须提供安装、配线以及软硬件的测试和调整服务。系统安装之前，应先对用户人员进行现场培训。开始安装时，应让用户的硬软件和系统集成人员参与安装、检测和排除故障。中标人在施工、安装、调试等全过程中接受采购人的监督。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3.在中标人承诺的质保期内，设备保修包换所需要的配件均是原厂原装，不得使用兼容货物。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4.售后服务按厂家承诺执行。中标人超过厂家承诺标准的，按中标人提交的售后服务承诺书执行。中标人定期回访以及对设备进行维护；质保期后中标人需提供维修维护服务。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5.中标人在质量保证期内应当为采购人提供以下技术支持和服务：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（1）电话咨询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中标人应当为采购人提供技术援助电话，解答采购人在使用中遇到的问题，及时为采购人提出解决问题的建议。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（2）服务响应时间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质保期内，采购人遇到使用或技术问题，电话咨询不能解决的，中标人应在 8小时内到达现场进行处理，到达现场后 5 小时内排除故障，恢复正常使用。保证采购人正常使用，产生的一切费用由中标人承担。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（3）技术升级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在质保期内，如果中标人的产品或服务升级，中标人应及时通知采购人，如采购人有相应要求，中标人应对采购人购买的产品或服务进行升级。</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6.质保期外服务要求质量保证期过后，采购人需要继续由原中标人提供售后服务的，中标人应提供电话咨询服务，并应承诺提供产品或服务上门维护，中标人和制造商应以优惠价格提供售后服务。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7.备品备件及易损件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中标人售后服务中，维修使用的备品备件及易损件应为原厂配件，未经采购人同意不得使用非原厂配件。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8.培训要求：中标人对其提供产品或服务的使用和操作应尽培训义务。中标人应提供对本项目的使用单位进行培训服务，涉及的相关费用应计算在项目报价内，并使使用人员能独立、熟练操作系统。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付款方式</w:t>
            </w:r>
          </w:p>
        </w:tc>
        <w:tc>
          <w:tcPr>
            <w:tcW w:w="8403" w:type="dxa"/>
            <w:gridSpan w:val="3"/>
            <w:noWrap w:val="0"/>
            <w:vAlign w:val="center"/>
          </w:tcPr>
          <w:p>
            <w:pPr>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Cs w:val="21"/>
                <w:highlight w:val="none"/>
              </w:rPr>
              <w:t>本项目无预付款，按业主要求交货完毕且经验收合格后180日内支付。支付前成交供应商需开具发票给采购人，采购人收到发票后10个工作日内支付合同总价给成交供应商。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报价要求</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投标报价为采购人指定地点的现场交货价，包括但不限于：投标报价包含货物采购、备品备件、工具、运抵指定交货地点、装卸费、现场安装、</w:t>
            </w:r>
            <w:r>
              <w:rPr>
                <w:rFonts w:hint="eastAsia" w:ascii="宋体" w:hAnsi="宋体" w:cs="宋体"/>
                <w:b w:val="0"/>
                <w:bCs w:val="0"/>
                <w:color w:val="auto"/>
                <w:kern w:val="0"/>
                <w:sz w:val="21"/>
                <w:szCs w:val="21"/>
                <w:highlight w:val="none"/>
                <w:lang w:val="en-US" w:eastAsia="zh-CN" w:bidi="ar"/>
              </w:rPr>
              <w:t>环境布置、设备</w:t>
            </w:r>
            <w:r>
              <w:rPr>
                <w:rFonts w:hint="eastAsia" w:ascii="宋体" w:hAnsi="宋体" w:eastAsia="宋体" w:cs="宋体"/>
                <w:b w:val="0"/>
                <w:bCs w:val="0"/>
                <w:color w:val="auto"/>
                <w:kern w:val="0"/>
                <w:sz w:val="21"/>
                <w:szCs w:val="21"/>
                <w:highlight w:val="none"/>
                <w:lang w:val="en-US" w:eastAsia="zh-CN" w:bidi="ar"/>
              </w:rPr>
              <w:t>调试及验收的各种费用和售后服务、保险、税金、培训及其他所有成本费用的总和。项目实施过程中产生的所有费用均由中标人承担。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备品备件及耗材等要求</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规范标准</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验收标准及要求</w:t>
            </w:r>
          </w:p>
        </w:tc>
        <w:tc>
          <w:tcPr>
            <w:tcW w:w="8403" w:type="dxa"/>
            <w:gridSpan w:val="3"/>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1.验收依据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按合同要求及国家标准进行验收。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2.验收标准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（1）所供产品的规格、数量、功能、材质、颜色等符合招标文件采购需求及采购合同约定的要求。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（2）所供产品的外观完好，无严重碰撞、表皮脱落、五金件生锈等明显瑕疵。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（3）所供产品结构牢固，无安全隐患。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（4）如有抽检要求的，检测结果符合招标文件采购需求及采购合同约定的要求。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（5）所有产品均已运输至指定地点，并安装调试完毕。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（6）招标文件采购需求及采购合同约定的附件、工具、技术资料等齐全；提供产品使用说明书、合格证。 </w:t>
            </w:r>
          </w:p>
          <w:p>
            <w:pPr>
              <w:pStyle w:val="32"/>
              <w:ind w:left="0" w:leftChars="0" w:firstLine="0" w:firstLineChars="0"/>
              <w:rPr>
                <w:rFonts w:hint="default"/>
                <w:color w:val="auto"/>
                <w:highlight w:val="none"/>
                <w:lang w:val="en-US"/>
              </w:rPr>
            </w:pPr>
            <w:r>
              <w:rPr>
                <w:rFonts w:hint="eastAsia" w:ascii="宋体" w:hAnsi="宋体" w:cs="宋体"/>
                <w:b w:val="0"/>
                <w:bCs w:val="0"/>
                <w:color w:val="auto"/>
                <w:kern w:val="0"/>
                <w:sz w:val="21"/>
                <w:szCs w:val="21"/>
                <w:highlight w:val="none"/>
                <w:lang w:val="en-US" w:eastAsia="zh-CN" w:bidi="ar"/>
              </w:rPr>
              <w:t>（7）环境布置达到项目采购需求标准。</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3.验收要求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（1）采购人可以根据采购项目具体情况自行组织验收，或者委托第三方机构或部门开展采购项目履约验收工作，验收过程中所产生的一切费用均由中标人承担，报价时应考虑相关费用。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（2）本项目验收如委托第三方机构组织实施的，由验收小组对照招标文件的技术参数要求核对检验，如不符合招标文件的技术参数要求的，按合同约定执行， 中标人承担所有责任和费用。采购人保留进一步追究责任的权利。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①验收活动开始前，中标人应对货物作出全面检查和对验收文件进行整理，并列出清单，作为采购人收货验收和使用的技术条件依据。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②因验收不合格的，需要再次组织验收的，由此产生相关成本费用由中标人承担。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（3）验收时中标人提供验收文档，具体如下：技术方案、实施方案、售后服务方案、培训方案、系统部署文档、测试文档、使用说明书、电子文档等。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4）对所有要求出具的证明文件的原件进行核查，如不符合招标文件的技术需求及要求，以及提供虚假承诺的，按相关规定做退货处理及违约处理，中标人承担所有责任和费用，采购人保留进一步追究责任的权利。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（5）项目验收过程中，需委托第三方检测机构介入的，费用由中标人另行承担。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核心产品</w:t>
            </w:r>
          </w:p>
        </w:tc>
        <w:tc>
          <w:tcPr>
            <w:tcW w:w="8403" w:type="dxa"/>
            <w:gridSpan w:val="3"/>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cs="宋体"/>
                <w:b w:val="0"/>
                <w:bCs w:val="0"/>
                <w:i w:val="0"/>
                <w:iCs w:val="0"/>
                <w:color w:val="auto"/>
                <w:kern w:val="0"/>
                <w:sz w:val="21"/>
                <w:szCs w:val="21"/>
                <w:highlight w:val="none"/>
                <w:u w:val="none"/>
                <w:lang w:val="en-US" w:eastAsia="zh-CN" w:bidi="ar"/>
              </w:rPr>
              <w:t>本项目需求表中第一大项</w:t>
            </w:r>
            <w:r>
              <w:rPr>
                <w:rFonts w:hint="eastAsia" w:ascii="宋体" w:hAnsi="宋体" w:eastAsia="宋体" w:cs="宋体"/>
                <w:b w:val="0"/>
                <w:bCs w:val="0"/>
                <w:i w:val="0"/>
                <w:iCs w:val="0"/>
                <w:color w:val="auto"/>
                <w:kern w:val="0"/>
                <w:sz w:val="21"/>
                <w:szCs w:val="21"/>
                <w:highlight w:val="none"/>
                <w:u w:val="none"/>
                <w:lang w:val="en-US" w:eastAsia="zh-CN" w:bidi="ar"/>
              </w:rPr>
              <w:t>教学一体机</w:t>
            </w:r>
            <w:r>
              <w:rPr>
                <w:rFonts w:hint="eastAsia" w:ascii="宋体" w:hAnsi="宋体" w:cs="宋体"/>
                <w:b w:val="0"/>
                <w:bCs w:val="0"/>
                <w:i w:val="0"/>
                <w:iCs w:val="0"/>
                <w:color w:val="auto"/>
                <w:kern w:val="0"/>
                <w:sz w:val="21"/>
                <w:szCs w:val="21"/>
                <w:highlight w:val="none"/>
                <w:u w:val="none"/>
                <w:lang w:val="en-US" w:eastAsia="zh-CN" w:bidi="ar"/>
              </w:rPr>
              <w:t xml:space="preserve">中 </w:t>
            </w:r>
            <w:r>
              <w:rPr>
                <w:rFonts w:hint="eastAsia" w:ascii="宋体" w:hAnsi="宋体" w:eastAsia="宋体" w:cs="宋体"/>
                <w:b w:val="0"/>
                <w:bCs w:val="0"/>
                <w:color w:val="auto"/>
                <w:kern w:val="0"/>
                <w:sz w:val="21"/>
                <w:szCs w:val="21"/>
                <w:highlight w:val="none"/>
                <w:lang w:val="en-US" w:eastAsia="zh-CN" w:bidi="ar"/>
              </w:rPr>
              <w:t>第</w:t>
            </w:r>
            <w:r>
              <w:rPr>
                <w:rFonts w:hint="eastAsia" w:ascii="宋体" w:hAnsi="宋体" w:cs="宋体"/>
                <w:b w:val="0"/>
                <w:bCs w:val="0"/>
                <w:color w:val="auto"/>
                <w:kern w:val="0"/>
                <w:sz w:val="21"/>
                <w:szCs w:val="21"/>
                <w:highlight w:val="none"/>
                <w:u w:val="none"/>
                <w:lang w:val="en-US" w:eastAsia="zh-CN" w:bidi="ar"/>
              </w:rPr>
              <w:t>1项“86寸交互式一体机”</w:t>
            </w:r>
            <w:r>
              <w:rPr>
                <w:rFonts w:hint="eastAsia" w:ascii="宋体" w:hAnsi="宋体" w:eastAsia="宋体" w:cs="宋体"/>
                <w:b w:val="0"/>
                <w:bCs w:val="0"/>
                <w:color w:val="auto"/>
                <w:kern w:val="0"/>
                <w:sz w:val="21"/>
                <w:szCs w:val="21"/>
                <w:highlight w:val="none"/>
                <w:lang w:val="en-US" w:eastAsia="zh-CN" w:bidi="ar"/>
              </w:rPr>
              <w:t xml:space="preserve">为核心产品。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default"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现场踏勘</w:t>
            </w:r>
          </w:p>
        </w:tc>
        <w:tc>
          <w:tcPr>
            <w:tcW w:w="8403" w:type="dxa"/>
            <w:gridSpan w:val="3"/>
            <w:noWrap w:val="0"/>
            <w:vAlign w:val="top"/>
          </w:tcPr>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为保证报价符合采购需求，投标人应在浦北中学组织下</w:t>
            </w:r>
            <w:r>
              <w:rPr>
                <w:rFonts w:hint="eastAsia" w:ascii="宋体" w:hAnsi="宋体" w:cs="宋体"/>
                <w:color w:val="auto"/>
                <w:spacing w:val="0"/>
                <w:kern w:val="2"/>
                <w:sz w:val="22"/>
                <w:szCs w:val="24"/>
                <w:highlight w:val="none"/>
                <w:lang w:val="en-US" w:eastAsia="zh-CN" w:bidi="ar-SA"/>
              </w:rPr>
              <w:t>统一</w:t>
            </w:r>
            <w:r>
              <w:rPr>
                <w:rFonts w:hint="eastAsia" w:ascii="宋体" w:hAnsi="宋体" w:eastAsia="宋体" w:cs="宋体"/>
                <w:color w:val="auto"/>
                <w:spacing w:val="0"/>
                <w:kern w:val="2"/>
                <w:sz w:val="22"/>
                <w:szCs w:val="24"/>
                <w:highlight w:val="none"/>
                <w:lang w:val="en-US" w:eastAsia="zh-CN" w:bidi="ar-SA"/>
              </w:rPr>
              <w:t>进行实地勘查了解现场实际情况。供应商的现场踏勘实行自愿原则，车辆和勘察费用自理。现场勘查须携带的资料：供应商代表持获取采购文件回执函、单位介绍信原件或授权委托书、个人身份证原件。</w:t>
            </w:r>
          </w:p>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踏勘时间：202</w:t>
            </w:r>
            <w:r>
              <w:rPr>
                <w:rFonts w:hint="eastAsia" w:ascii="宋体" w:hAnsi="宋体" w:cs="宋体"/>
                <w:color w:val="auto"/>
                <w:spacing w:val="0"/>
                <w:kern w:val="2"/>
                <w:sz w:val="22"/>
                <w:szCs w:val="24"/>
                <w:highlight w:val="none"/>
                <w:lang w:val="en-US" w:eastAsia="zh-CN" w:bidi="ar-SA"/>
              </w:rPr>
              <w:t>5</w:t>
            </w:r>
            <w:r>
              <w:rPr>
                <w:rFonts w:hint="eastAsia" w:ascii="宋体" w:hAnsi="宋体" w:eastAsia="宋体" w:cs="宋体"/>
                <w:color w:val="auto"/>
                <w:spacing w:val="0"/>
                <w:kern w:val="2"/>
                <w:sz w:val="22"/>
                <w:szCs w:val="24"/>
                <w:highlight w:val="none"/>
                <w:lang w:val="en-US" w:eastAsia="zh-CN" w:bidi="ar-SA"/>
              </w:rPr>
              <w:t>年</w:t>
            </w:r>
            <w:r>
              <w:rPr>
                <w:rFonts w:hint="eastAsia" w:ascii="宋体" w:hAnsi="宋体" w:cs="宋体"/>
                <w:color w:val="auto"/>
                <w:spacing w:val="0"/>
                <w:kern w:val="2"/>
                <w:sz w:val="22"/>
                <w:szCs w:val="24"/>
                <w:highlight w:val="none"/>
                <w:lang w:val="en-US" w:eastAsia="zh-CN" w:bidi="ar-SA"/>
              </w:rPr>
              <w:t>5</w:t>
            </w:r>
            <w:r>
              <w:rPr>
                <w:rFonts w:hint="eastAsia" w:ascii="宋体" w:hAnsi="宋体" w:eastAsia="宋体" w:cs="宋体"/>
                <w:color w:val="auto"/>
                <w:spacing w:val="0"/>
                <w:kern w:val="2"/>
                <w:sz w:val="22"/>
                <w:szCs w:val="24"/>
                <w:highlight w:val="none"/>
                <w:lang w:val="en-US" w:eastAsia="zh-CN" w:bidi="ar-SA"/>
              </w:rPr>
              <w:t>月</w:t>
            </w:r>
            <w:r>
              <w:rPr>
                <w:rFonts w:hint="eastAsia" w:ascii="宋体" w:hAnsi="宋体" w:cs="宋体"/>
                <w:color w:val="auto"/>
                <w:spacing w:val="0"/>
                <w:kern w:val="2"/>
                <w:sz w:val="22"/>
                <w:szCs w:val="24"/>
                <w:highlight w:val="none"/>
                <w:lang w:val="en-US" w:eastAsia="zh-CN" w:bidi="ar-SA"/>
              </w:rPr>
              <w:t>25</w:t>
            </w:r>
            <w:r>
              <w:rPr>
                <w:rFonts w:hint="eastAsia" w:ascii="宋体" w:hAnsi="宋体" w:eastAsia="宋体" w:cs="宋体"/>
                <w:color w:val="auto"/>
                <w:spacing w:val="0"/>
                <w:kern w:val="2"/>
                <w:sz w:val="22"/>
                <w:szCs w:val="24"/>
                <w:highlight w:val="none"/>
                <w:lang w:val="en-US" w:eastAsia="zh-CN" w:bidi="ar-SA"/>
              </w:rPr>
              <w:t>日上午10:50分（逾期不候）</w:t>
            </w:r>
          </w:p>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 xml:space="preserve">集合地点：浦北中学科技图书综合楼大厅  </w:t>
            </w:r>
          </w:p>
          <w:p>
            <w:pPr>
              <w:pStyle w:val="2"/>
              <w:rPr>
                <w:rFonts w:hint="eastAsia" w:ascii="宋体" w:hAnsi="宋体" w:cs="宋体"/>
                <w:color w:val="auto"/>
                <w:sz w:val="21"/>
                <w:szCs w:val="21"/>
                <w:highlight w:val="none"/>
                <w:lang w:val="en-US" w:eastAsia="zh-CN"/>
              </w:rPr>
            </w:pPr>
            <w:r>
              <w:rPr>
                <w:rFonts w:hint="eastAsia" w:ascii="宋体" w:hAnsi="宋体" w:eastAsia="宋体" w:cs="宋体"/>
                <w:color w:val="auto"/>
                <w:spacing w:val="0"/>
                <w:kern w:val="2"/>
                <w:sz w:val="22"/>
                <w:szCs w:val="24"/>
                <w:highlight w:val="none"/>
                <w:lang w:val="en-US" w:eastAsia="zh-CN" w:bidi="ar-SA"/>
              </w:rPr>
              <w:t xml:space="preserve">现场踏勘联系人及电话：张老师，15207873104  </w:t>
            </w:r>
          </w:p>
        </w:tc>
      </w:tr>
    </w:tbl>
    <w:p>
      <w:pPr>
        <w:ind w:firstLine="0" w:firstLineChars="0"/>
        <w:rPr>
          <w:rFonts w:hint="eastAsia" w:ascii="宋体" w:hAnsi="宋体"/>
          <w:color w:val="auto"/>
          <w:szCs w:val="21"/>
          <w:highlight w:val="none"/>
        </w:rPr>
      </w:pPr>
      <w:r>
        <w:rPr>
          <w:rFonts w:hint="eastAsia" w:ascii="宋体" w:hAnsi="宋体"/>
          <w:b w:val="0"/>
          <w:bCs w:val="0"/>
          <w:color w:val="auto"/>
          <w:szCs w:val="21"/>
          <w:highlight w:val="none"/>
        </w:rPr>
        <w:br w:type="page"/>
      </w:r>
      <w:bookmarkEnd w:id="64"/>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6"/>
        <w:ind w:left="0" w:leftChars="0" w:right="0" w:rightChars="0" w:firstLine="0" w:firstLineChars="0"/>
        <w:jc w:val="center"/>
        <w:rPr>
          <w:color w:val="auto"/>
          <w:highlight w:val="none"/>
        </w:rPr>
      </w:pPr>
      <w:bookmarkStart w:id="67" w:name="_Toc91512285"/>
      <w:r>
        <w:rPr>
          <w:rFonts w:hint="eastAsia"/>
          <w:color w:val="auto"/>
          <w:highlight w:val="none"/>
        </w:rPr>
        <w:t>第三章  投标人须知及前附表</w:t>
      </w:r>
      <w:bookmarkEnd w:id="63"/>
      <w:bookmarkEnd w:id="67"/>
    </w:p>
    <w:p>
      <w:pPr>
        <w:pStyle w:val="6"/>
        <w:ind w:firstLine="0" w:firstLineChars="0"/>
        <w:jc w:val="center"/>
        <w:rPr>
          <w:rFonts w:ascii="宋体" w:hAnsi="宋体" w:eastAsia="宋体"/>
          <w:color w:val="auto"/>
          <w:kern w:val="44"/>
          <w:sz w:val="44"/>
          <w:szCs w:val="44"/>
          <w:highlight w:val="none"/>
        </w:rPr>
      </w:pPr>
      <w:r>
        <w:rPr>
          <w:rFonts w:ascii="方正小标宋_GBK" w:hAnsi="方正小标宋_GBK" w:eastAsia="方正小标宋_GBK"/>
          <w:color w:val="auto"/>
          <w:highlight w:val="none"/>
        </w:rPr>
        <w:br w:type="page"/>
      </w:r>
      <w:r>
        <w:rPr>
          <w:rFonts w:hint="eastAsia" w:ascii="宋体" w:hAnsi="宋体" w:eastAsia="宋体"/>
          <w:color w:val="auto"/>
          <w:kern w:val="44"/>
          <w:sz w:val="44"/>
          <w:szCs w:val="44"/>
          <w:highlight w:val="none"/>
        </w:rPr>
        <w:t>投标人须知前附表</w:t>
      </w:r>
    </w:p>
    <w:tbl>
      <w:tblPr>
        <w:tblStyle w:val="49"/>
        <w:tblpPr w:leftFromText="180" w:rightFromText="180" w:vertAnchor="text" w:horzAnchor="margin" w:tblpX="108" w:tblpY="39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序号</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1</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Style w:val="58"/>
                <w:rFonts w:hint="eastAsia" w:ascii="宋体" w:hAnsi="宋体" w:eastAsia="宋体" w:cs="Arial"/>
                <w:bCs/>
                <w:color w:val="auto"/>
                <w:szCs w:val="21"/>
                <w:highlight w:val="none"/>
                <w:u w:val="none"/>
                <w:lang w:eastAsia="zh-CN"/>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"_一、总__则" </w:instrText>
            </w:r>
            <w:r>
              <w:rPr>
                <w:rFonts w:hAnsi="宋体"/>
                <w:color w:val="auto"/>
                <w:highlight w:val="none"/>
              </w:rPr>
              <w:fldChar w:fldCharType="separate"/>
            </w:r>
            <w:r>
              <w:rPr>
                <w:rStyle w:val="58"/>
                <w:rFonts w:hint="eastAsia" w:hAnsi="宋体"/>
                <w:color w:val="auto"/>
                <w:highlight w:val="none"/>
                <w:u w:val="none"/>
              </w:rPr>
              <w:t>项目名称：</w:t>
            </w:r>
            <w:r>
              <w:rPr>
                <w:rStyle w:val="58"/>
                <w:rFonts w:hint="eastAsia" w:hAnsi="宋体"/>
                <w:color w:val="auto"/>
                <w:highlight w:val="none"/>
                <w:u w:val="none"/>
                <w:lang w:eastAsia="zh-CN"/>
              </w:rPr>
              <w:t>浦北中学改善普通高中办学条件教学设备</w:t>
            </w:r>
          </w:p>
          <w:p>
            <w:pPr>
              <w:snapToGrid w:val="0"/>
              <w:spacing w:line="340" w:lineRule="exact"/>
              <w:ind w:firstLine="8" w:firstLineChars="4"/>
              <w:rPr>
                <w:rFonts w:hint="eastAsia" w:hAnsi="宋体" w:eastAsia="宋体"/>
                <w:color w:val="auto"/>
                <w:highlight w:val="none"/>
                <w:lang w:eastAsia="zh-CN"/>
              </w:rPr>
            </w:pPr>
            <w:r>
              <w:rPr>
                <w:rStyle w:val="58"/>
                <w:rFonts w:hint="eastAsia" w:ascii="宋体" w:hAnsi="宋体"/>
                <w:color w:val="auto"/>
                <w:highlight w:val="none"/>
                <w:u w:val="none"/>
              </w:rPr>
              <w:t>项目编号：</w:t>
            </w:r>
            <w:r>
              <w:rPr>
                <w:rFonts w:hAnsi="宋体"/>
                <w:color w:val="auto"/>
                <w:highlight w:val="none"/>
              </w:rPr>
              <w:fldChar w:fldCharType="end"/>
            </w:r>
            <w:r>
              <w:rPr>
                <w:rFonts w:hint="eastAsia" w:hAnsi="宋体"/>
                <w:color w:val="auto"/>
                <w:highlight w:val="none"/>
                <w:lang w:eastAsia="zh-CN"/>
              </w:rPr>
              <w:t>QZZC2025-G1-220081-QZSZ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color w:val="auto"/>
                <w:highlight w:val="none"/>
              </w:rPr>
            </w:pPr>
            <w:r>
              <w:rPr>
                <w:color w:val="auto"/>
                <w:highlight w:val="none"/>
              </w:rPr>
              <w:t>2</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8" w:firstLineChars="4"/>
              <w:rPr>
                <w:rStyle w:val="58"/>
                <w:rFonts w:ascii="宋体" w:hAnsi="宋体"/>
                <w:color w:val="auto"/>
                <w:highlight w:val="none"/>
                <w:u w:val="none"/>
              </w:rPr>
            </w:pPr>
            <w:r>
              <w:rPr>
                <w:rStyle w:val="58"/>
                <w:rFonts w:ascii="宋体" w:hAnsi="宋体"/>
                <w:color w:val="auto"/>
                <w:highlight w:val="none"/>
                <w:u w:val="none"/>
              </w:rPr>
              <w:fldChar w:fldCharType="begin"/>
            </w:r>
            <w:r>
              <w:rPr>
                <w:rStyle w:val="58"/>
                <w:rFonts w:ascii="宋体" w:hAnsi="宋体"/>
                <w:color w:val="auto"/>
                <w:highlight w:val="none"/>
                <w:u w:val="none"/>
              </w:rPr>
              <w:instrText xml:space="preserve"> </w:instrText>
            </w:r>
            <w:r>
              <w:rPr>
                <w:rStyle w:val="58"/>
                <w:rFonts w:hint="eastAsia" w:ascii="宋体" w:hAnsi="宋体"/>
                <w:color w:val="auto"/>
                <w:highlight w:val="none"/>
                <w:u w:val="none"/>
              </w:rPr>
              <w:instrText xml:space="preserve">HYPERLINK </w:instrText>
            </w:r>
            <w:r>
              <w:rPr>
                <w:rStyle w:val="58"/>
                <w:rFonts w:ascii="宋体" w:hAnsi="宋体"/>
                <w:color w:val="auto"/>
                <w:highlight w:val="none"/>
                <w:u w:val="none"/>
              </w:rPr>
              <w:instrText xml:space="preserve"> \l "_一、总__则" </w:instrText>
            </w:r>
            <w:r>
              <w:rPr>
                <w:rStyle w:val="58"/>
                <w:rFonts w:ascii="宋体" w:hAnsi="宋体"/>
                <w:color w:val="auto"/>
                <w:highlight w:val="none"/>
                <w:u w:val="none"/>
              </w:rPr>
              <w:fldChar w:fldCharType="separate"/>
            </w:r>
            <w:r>
              <w:rPr>
                <w:rStyle w:val="58"/>
                <w:rFonts w:hint="eastAsia" w:ascii="宋体" w:hAnsi="宋体"/>
                <w:color w:val="auto"/>
                <w:highlight w:val="none"/>
                <w:u w:val="none"/>
              </w:rPr>
              <w:t>投标人资格：</w:t>
            </w:r>
          </w:p>
          <w:p>
            <w:pPr>
              <w:spacing w:line="340" w:lineRule="exact"/>
              <w:ind w:firstLine="0" w:firstLineChars="0"/>
              <w:rPr>
                <w:rStyle w:val="58"/>
                <w:rFonts w:hint="eastAsia" w:ascii="宋体" w:hAnsi="宋体"/>
                <w:color w:val="auto"/>
                <w:highlight w:val="none"/>
                <w:u w:val="none"/>
              </w:rPr>
            </w:pPr>
            <w:r>
              <w:rPr>
                <w:rStyle w:val="58"/>
                <w:rFonts w:hint="eastAsia" w:ascii="宋体" w:hAnsi="宋体"/>
                <w:color w:val="auto"/>
                <w:highlight w:val="none"/>
                <w:u w:val="none"/>
              </w:rPr>
              <w:t>1.满足《中华人民共和国政府采购法》第二十二条规定</w:t>
            </w:r>
          </w:p>
          <w:p>
            <w:pPr>
              <w:spacing w:line="340" w:lineRule="exact"/>
              <w:ind w:firstLine="0" w:firstLineChars="0"/>
              <w:rPr>
                <w:rStyle w:val="58"/>
                <w:rFonts w:hint="eastAsia" w:ascii="宋体" w:hAnsi="宋体"/>
                <w:color w:val="auto"/>
                <w:highlight w:val="none"/>
                <w:u w:val="none"/>
              </w:rPr>
            </w:pPr>
            <w:r>
              <w:rPr>
                <w:rStyle w:val="58"/>
                <w:rFonts w:hint="eastAsia" w:ascii="宋体" w:hAnsi="宋体"/>
                <w:color w:val="auto"/>
                <w:highlight w:val="none"/>
                <w:u w:val="none"/>
              </w:rPr>
              <w:t>2.落实政府采购政策需满足的资格要求：无</w:t>
            </w:r>
          </w:p>
          <w:p>
            <w:pPr>
              <w:spacing w:line="340" w:lineRule="exact"/>
              <w:ind w:firstLine="0" w:firstLineChars="0"/>
              <w:rPr>
                <w:rFonts w:ascii="宋体" w:hAnsi="宋体"/>
                <w:color w:val="auto"/>
                <w:highlight w:val="none"/>
              </w:rPr>
            </w:pPr>
            <w:r>
              <w:rPr>
                <w:rStyle w:val="58"/>
                <w:rFonts w:hint="eastAsia" w:ascii="宋体" w:hAnsi="宋体"/>
                <w:color w:val="auto"/>
                <w:highlight w:val="none"/>
                <w:u w:val="none"/>
              </w:rPr>
              <w:t>3.本项目的特定资格要求：无</w:t>
            </w:r>
            <w:r>
              <w:rPr>
                <w:rStyle w:val="58"/>
                <w:rFonts w:ascii="宋体" w:hAnsi="宋体"/>
                <w:color w:val="auto"/>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3</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w:instrText>
            </w:r>
            <w:r>
              <w:rPr>
                <w:rFonts w:ascii="宋体" w:hAnsi="宋体"/>
                <w:color w:val="auto"/>
                <w:szCs w:val="21"/>
                <w:highlight w:val="none"/>
              </w:rPr>
              <w:instrText xml:space="preserve"> \l "_三、投标文件" </w:instrText>
            </w:r>
            <w:r>
              <w:rPr>
                <w:rFonts w:ascii="宋体" w:hAnsi="宋体"/>
                <w:color w:val="auto"/>
                <w:szCs w:val="21"/>
                <w:highlight w:val="none"/>
              </w:rPr>
              <w:fldChar w:fldCharType="separate"/>
            </w:r>
            <w:r>
              <w:rPr>
                <w:rStyle w:val="58"/>
                <w:rFonts w:hint="eastAsia" w:ascii="宋体" w:hAnsi="宋体"/>
                <w:color w:val="auto"/>
                <w:szCs w:val="21"/>
                <w:highlight w:val="none"/>
                <w:u w:val="none"/>
              </w:rPr>
              <w:t>投标文件组成</w:t>
            </w:r>
            <w:bookmarkStart w:id="68" w:name="_Hlt92979199"/>
            <w:r>
              <w:rPr>
                <w:rStyle w:val="58"/>
                <w:rFonts w:hint="eastAsia" w:ascii="宋体" w:hAnsi="宋体"/>
                <w:color w:val="auto"/>
                <w:szCs w:val="21"/>
                <w:highlight w:val="none"/>
                <w:u w:val="none"/>
              </w:rPr>
              <w:t>：</w:t>
            </w:r>
            <w:bookmarkEnd w:id="68"/>
            <w:r>
              <w:rPr>
                <w:rStyle w:val="58"/>
                <w:rFonts w:hint="eastAsia" w:ascii="宋体" w:hAnsi="宋体" w:cs="Arial"/>
                <w:color w:val="auto"/>
                <w:szCs w:val="21"/>
                <w:highlight w:val="none"/>
                <w:u w:val="none"/>
              </w:rPr>
              <w:t>资格</w:t>
            </w:r>
            <w:bookmarkStart w:id="69" w:name="_Hlt92979142"/>
            <w:r>
              <w:rPr>
                <w:rStyle w:val="58"/>
                <w:rFonts w:hint="eastAsia" w:ascii="宋体" w:hAnsi="宋体" w:cs="Arial"/>
                <w:color w:val="auto"/>
                <w:szCs w:val="21"/>
                <w:highlight w:val="none"/>
                <w:u w:val="none"/>
              </w:rPr>
              <w:t>文</w:t>
            </w:r>
            <w:bookmarkEnd w:id="69"/>
            <w:r>
              <w:rPr>
                <w:rStyle w:val="58"/>
                <w:rFonts w:hint="eastAsia" w:ascii="宋体" w:hAnsi="宋体" w:cs="Arial"/>
                <w:color w:val="auto"/>
                <w:szCs w:val="21"/>
                <w:highlight w:val="none"/>
                <w:u w:val="none"/>
              </w:rPr>
              <w:t>件、商务技术文件、</w:t>
            </w:r>
            <w:r>
              <w:rPr>
                <w:rStyle w:val="58"/>
                <w:rFonts w:hint="eastAsia" w:ascii="宋体" w:hAnsi="宋体"/>
                <w:color w:val="auto"/>
                <w:szCs w:val="21"/>
                <w:highlight w:val="none"/>
                <w:u w:val="none"/>
              </w:rPr>
              <w:t>报价文件。</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4</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"_（五）投标报价" </w:instrText>
            </w:r>
            <w:r>
              <w:rPr>
                <w:rFonts w:hAnsi="宋体"/>
                <w:color w:val="auto"/>
                <w:highlight w:val="none"/>
              </w:rPr>
              <w:fldChar w:fldCharType="separate"/>
            </w:r>
            <w:r>
              <w:rPr>
                <w:rStyle w:val="58"/>
                <w:rFonts w:hint="eastAsia" w:hAnsi="宋体"/>
                <w:color w:val="auto"/>
                <w:highlight w:val="none"/>
                <w:u w:val="none"/>
              </w:rPr>
              <w:t>投标报价：投标人</w:t>
            </w:r>
            <w:r>
              <w:rPr>
                <w:rStyle w:val="58"/>
                <w:rFonts w:hint="eastAsia"/>
                <w:color w:val="auto"/>
                <w:highlight w:val="none"/>
                <w:u w:val="none"/>
              </w:rPr>
              <w:t>必须就本项目/标项货物及服务内容作完整唯一报价，否则投标无效。</w:t>
            </w:r>
            <w:r>
              <w:rPr>
                <w:rFonts w:hAnsi="宋体"/>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5</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"_（六）投标文件有效期" </w:instrText>
            </w:r>
            <w:r>
              <w:rPr>
                <w:rFonts w:hAnsi="宋体"/>
                <w:color w:val="auto"/>
                <w:highlight w:val="none"/>
              </w:rPr>
              <w:fldChar w:fldCharType="separate"/>
            </w:r>
            <w:r>
              <w:rPr>
                <w:rStyle w:val="58"/>
                <w:rFonts w:hint="eastAsia" w:hAnsi="宋体"/>
                <w:color w:val="auto"/>
                <w:highlight w:val="none"/>
                <w:u w:val="none"/>
              </w:rPr>
              <w:t>投标有效</w:t>
            </w:r>
            <w:bookmarkStart w:id="70" w:name="_Hlt113541149"/>
            <w:bookmarkStart w:id="71" w:name="_Hlt113541150"/>
            <w:r>
              <w:rPr>
                <w:rStyle w:val="58"/>
                <w:rFonts w:hint="eastAsia" w:hAnsi="宋体"/>
                <w:color w:val="auto"/>
                <w:highlight w:val="none"/>
                <w:u w:val="none"/>
              </w:rPr>
              <w:t>期</w:t>
            </w:r>
            <w:bookmarkEnd w:id="70"/>
            <w:bookmarkEnd w:id="71"/>
            <w:r>
              <w:rPr>
                <w:rStyle w:val="58"/>
                <w:rFonts w:hint="eastAsia" w:hAnsi="宋体"/>
                <w:color w:val="auto"/>
                <w:highlight w:val="none"/>
                <w:u w:val="none"/>
              </w:rPr>
              <w:t>：9</w:t>
            </w:r>
            <w:r>
              <w:rPr>
                <w:rStyle w:val="58"/>
                <w:rFonts w:hAnsi="宋体"/>
                <w:color w:val="auto"/>
                <w:highlight w:val="none"/>
                <w:u w:val="none"/>
              </w:rPr>
              <w:t>0</w:t>
            </w:r>
            <w:bookmarkStart w:id="72" w:name="_Hlt113541412"/>
            <w:r>
              <w:rPr>
                <w:rStyle w:val="58"/>
                <w:rFonts w:hint="eastAsia" w:hAnsi="宋体"/>
                <w:color w:val="auto"/>
                <w:highlight w:val="none"/>
                <w:u w:val="none"/>
              </w:rPr>
              <w:t>天</w:t>
            </w:r>
            <w:bookmarkEnd w:id="72"/>
            <w:r>
              <w:rPr>
                <w:rFonts w:hAnsi="宋体"/>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6</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rPr>
                <w:rStyle w:val="58"/>
                <w:rFonts w:hint="default" w:ascii="宋体" w:hAnsi="宋体" w:eastAsia="宋体" w:cs="宋体"/>
                <w:color w:val="auto"/>
                <w:kern w:val="0"/>
                <w:szCs w:val="21"/>
                <w:highlight w:val="none"/>
                <w:u w:val="none"/>
                <w:lang w:val="en-US" w:eastAsia="zh-CN"/>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"_（七）投标保证金" </w:instrText>
            </w:r>
            <w:r>
              <w:rPr>
                <w:rFonts w:ascii="宋体" w:hAnsi="宋体" w:cs="宋体"/>
                <w:color w:val="auto"/>
                <w:kern w:val="0"/>
                <w:szCs w:val="21"/>
                <w:highlight w:val="none"/>
              </w:rPr>
              <w:fldChar w:fldCharType="separate"/>
            </w:r>
            <w:r>
              <w:rPr>
                <w:rStyle w:val="58"/>
                <w:rFonts w:hint="eastAsia" w:ascii="宋体" w:hAnsi="宋体" w:cs="宋体"/>
                <w:color w:val="auto"/>
                <w:kern w:val="0"/>
                <w:szCs w:val="21"/>
                <w:highlight w:val="none"/>
                <w:u w:val="none"/>
              </w:rPr>
              <w:t>投标保证金：</w:t>
            </w:r>
            <w:r>
              <w:rPr>
                <w:rStyle w:val="58"/>
                <w:rFonts w:hint="eastAsia" w:ascii="宋体" w:hAnsi="宋体" w:cs="宋体"/>
                <w:color w:val="auto"/>
                <w:kern w:val="0"/>
                <w:szCs w:val="21"/>
                <w:highlight w:val="none"/>
                <w:u w:val="none"/>
                <w:lang w:val="en-US" w:eastAsia="zh-CN"/>
              </w:rPr>
              <w:t>叁万元整</w:t>
            </w:r>
            <w:r>
              <w:rPr>
                <w:rFonts w:hint="eastAsia"/>
                <w:color w:val="auto"/>
                <w:highlight w:val="none"/>
              </w:rPr>
              <w:t>(￥</w:t>
            </w:r>
            <w:r>
              <w:rPr>
                <w:rFonts w:hint="eastAsia"/>
                <w:color w:val="auto"/>
                <w:highlight w:val="none"/>
                <w:lang w:val="en-US" w:eastAsia="zh-CN"/>
              </w:rPr>
              <w:t>30</w:t>
            </w:r>
            <w:r>
              <w:rPr>
                <w:rFonts w:hint="eastAsia"/>
                <w:color w:val="auto"/>
                <w:highlight w:val="none"/>
              </w:rPr>
              <w:t>,000.00)</w:t>
            </w:r>
          </w:p>
          <w:p>
            <w:pPr>
              <w:widowControl/>
              <w:ind w:firstLine="0" w:firstLineChars="0"/>
              <w:rPr>
                <w:rStyle w:val="58"/>
                <w:rFonts w:hint="eastAsia" w:ascii="宋体"/>
                <w:color w:val="auto"/>
                <w:szCs w:val="21"/>
                <w:highlight w:val="none"/>
                <w:u w:val="none"/>
              </w:rPr>
            </w:pPr>
            <w:r>
              <w:rPr>
                <w:rStyle w:val="58"/>
                <w:rFonts w:hint="eastAsia" w:ascii="宋体"/>
                <w:color w:val="auto"/>
                <w:szCs w:val="21"/>
                <w:highlight w:val="none"/>
                <w:u w:val="none"/>
              </w:rPr>
              <w:t>注：</w:t>
            </w:r>
            <w:r>
              <w:rPr>
                <w:rStyle w:val="58"/>
                <w:rFonts w:hint="eastAsia"/>
                <w:color w:val="auto"/>
                <w:szCs w:val="21"/>
                <w:highlight w:val="none"/>
                <w:u w:val="none"/>
              </w:rPr>
              <w:t>1.</w:t>
            </w:r>
            <w:r>
              <w:rPr>
                <w:rStyle w:val="58"/>
                <w:rFonts w:hint="eastAsia"/>
                <w:color w:val="auto"/>
                <w:highlight w:val="none"/>
                <w:u w:val="none"/>
              </w:rPr>
              <w:t>以支票、汇票、本票或者金融机构、担保机构出具的保函等形式提交保证金的，</w:t>
            </w:r>
            <w:r>
              <w:rPr>
                <w:rStyle w:val="58"/>
                <w:rFonts w:hint="eastAsia"/>
                <w:b/>
                <w:bCs/>
                <w:color w:val="auto"/>
                <w:highlight w:val="none"/>
                <w:u w:val="none"/>
              </w:rPr>
              <w:t>投标人必须将</w:t>
            </w:r>
            <w:bookmarkStart w:id="73" w:name="_Hlk94188895"/>
            <w:r>
              <w:rPr>
                <w:rStyle w:val="58"/>
                <w:rFonts w:hint="eastAsia"/>
                <w:b/>
                <w:bCs/>
                <w:color w:val="auto"/>
                <w:highlight w:val="none"/>
                <w:u w:val="none"/>
              </w:rPr>
              <w:t>票据、保函</w:t>
            </w:r>
            <w:bookmarkEnd w:id="73"/>
            <w:r>
              <w:rPr>
                <w:rStyle w:val="58"/>
                <w:rFonts w:hint="eastAsia"/>
                <w:b/>
                <w:bCs/>
                <w:color w:val="auto"/>
                <w:highlight w:val="none"/>
                <w:u w:val="none"/>
              </w:rPr>
              <w:t>等原件于投标文件提交截止时间前递交至本中心财务室</w:t>
            </w:r>
            <w:r>
              <w:rPr>
                <w:rStyle w:val="58"/>
                <w:rFonts w:hint="eastAsia"/>
                <w:color w:val="auto"/>
                <w:highlight w:val="none"/>
                <w:u w:val="none"/>
              </w:rPr>
              <w:t>。</w:t>
            </w:r>
          </w:p>
          <w:p>
            <w:pPr>
              <w:autoSpaceDE w:val="0"/>
              <w:autoSpaceDN w:val="0"/>
              <w:snapToGrid w:val="0"/>
              <w:ind w:firstLine="8" w:firstLineChars="4"/>
              <w:textAlignment w:val="bottom"/>
              <w:rPr>
                <w:rFonts w:ascii="宋体" w:hAnsi="宋体"/>
                <w:color w:val="auto"/>
                <w:szCs w:val="21"/>
                <w:highlight w:val="none"/>
              </w:rPr>
            </w:pPr>
            <w:r>
              <w:rPr>
                <w:rStyle w:val="58"/>
                <w:rFonts w:hint="eastAsia"/>
                <w:color w:val="auto"/>
                <w:highlight w:val="none"/>
                <w:u w:val="none"/>
              </w:rPr>
              <w:t>2.</w:t>
            </w:r>
            <w:r>
              <w:rPr>
                <w:rStyle w:val="58"/>
                <w:rFonts w:hint="eastAsia"/>
                <w:color w:val="auto"/>
                <w:szCs w:val="21"/>
                <w:highlight w:val="none"/>
                <w:u w:val="none"/>
              </w:rPr>
              <w:t>以网上银行</w:t>
            </w:r>
            <w:r>
              <w:rPr>
                <w:rStyle w:val="58"/>
                <w:rFonts w:hint="eastAsia" w:ascii="宋体" w:hAnsi="宋体"/>
                <w:color w:val="auto"/>
                <w:szCs w:val="21"/>
                <w:highlight w:val="none"/>
                <w:u w:val="none"/>
              </w:rPr>
              <w:t>形</w:t>
            </w:r>
            <w:r>
              <w:rPr>
                <w:rStyle w:val="58"/>
                <w:rFonts w:hint="eastAsia"/>
                <w:color w:val="auto"/>
                <w:szCs w:val="21"/>
                <w:highlight w:val="none"/>
                <w:u w:val="none"/>
              </w:rPr>
              <w:t>式提交保证金的，投标人必须于投标文件提交截止时间前从投标人账户缴存至本中心银行账户（以到</w:t>
            </w:r>
            <w:bookmarkStart w:id="74" w:name="_Hlt169688195"/>
            <w:r>
              <w:rPr>
                <w:rStyle w:val="58"/>
                <w:rFonts w:hint="eastAsia"/>
                <w:color w:val="auto"/>
                <w:szCs w:val="21"/>
                <w:highlight w:val="none"/>
                <w:u w:val="none"/>
              </w:rPr>
              <w:t>账</w:t>
            </w:r>
            <w:bookmarkEnd w:id="74"/>
            <w:r>
              <w:rPr>
                <w:rStyle w:val="58"/>
                <w:rFonts w:hint="eastAsia"/>
                <w:color w:val="auto"/>
                <w:szCs w:val="21"/>
                <w:highlight w:val="none"/>
                <w:u w:val="none"/>
              </w:rPr>
              <w:t>时间为准）。</w:t>
            </w:r>
            <w:r>
              <w:rPr>
                <w:rFonts w:ascii="宋体" w:hAnsi="宋体" w:cs="宋体"/>
                <w:color w:val="auto"/>
                <w:kern w:val="0"/>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7</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pStyle w:val="27"/>
              <w:ind w:firstLine="8" w:firstLineChars="4"/>
              <w:rPr>
                <w:color w:val="auto"/>
                <w:highlight w:val="none"/>
              </w:rPr>
            </w:pPr>
            <w:r>
              <w:rPr>
                <w:rFonts w:hint="eastAsia"/>
                <w:b/>
                <w:color w:val="auto"/>
                <w:highlight w:val="none"/>
              </w:rPr>
              <w:t>投标文件提交截止时间及开标时间：</w:t>
            </w:r>
            <w:r>
              <w:rPr>
                <w:rFonts w:hint="eastAsia" w:hAnsi="宋体" w:cs="Arial"/>
                <w:color w:val="auto"/>
                <w:highlight w:val="none"/>
              </w:rPr>
              <w:t>202</w:t>
            </w:r>
            <w:r>
              <w:rPr>
                <w:rFonts w:hint="eastAsia" w:hAnsi="宋体" w:cs="Arial"/>
                <w:color w:val="auto"/>
                <w:highlight w:val="none"/>
                <w:lang w:val="en-US" w:eastAsia="zh-CN"/>
              </w:rPr>
              <w:t>5</w:t>
            </w:r>
            <w:r>
              <w:rPr>
                <w:rFonts w:hint="eastAsia" w:hAnsi="宋体" w:cs="Arial"/>
                <w:color w:val="auto"/>
                <w:highlight w:val="none"/>
              </w:rPr>
              <w:t>年</w:t>
            </w:r>
            <w:r>
              <w:rPr>
                <w:rFonts w:hint="eastAsia" w:hAnsi="宋体" w:cs="Arial"/>
                <w:color w:val="auto"/>
                <w:highlight w:val="none"/>
                <w:lang w:val="en-US" w:eastAsia="zh-CN"/>
              </w:rPr>
              <w:t>6月11日</w:t>
            </w:r>
            <w:r>
              <w:rPr>
                <w:rFonts w:hint="eastAsia" w:hAnsi="宋体" w:cs="Arial"/>
                <w:color w:val="auto"/>
                <w:highlight w:val="none"/>
              </w:rPr>
              <w:t>09</w:t>
            </w:r>
            <w:r>
              <w:rPr>
                <w:rFonts w:hAnsi="宋体" w:cs="Arial"/>
                <w:color w:val="auto"/>
                <w:highlight w:val="none"/>
              </w:rPr>
              <w:t>:</w:t>
            </w:r>
            <w:r>
              <w:rPr>
                <w:rFonts w:hint="eastAsia" w:hAnsi="宋体" w:cs="Arial"/>
                <w:color w:val="auto"/>
                <w:highlight w:val="none"/>
              </w:rPr>
              <w:t>3</w:t>
            </w:r>
            <w:r>
              <w:rPr>
                <w:rFonts w:hAnsi="宋体" w:cs="Arial"/>
                <w:color w:val="auto"/>
                <w:highlight w:val="none"/>
              </w:rPr>
              <w:t>0</w:t>
            </w:r>
            <w:r>
              <w:rPr>
                <w:rFonts w:hint="eastAsia"/>
                <w:color w:val="auto"/>
                <w:highlight w:val="none"/>
              </w:rPr>
              <w:t>（北京时间）</w:t>
            </w:r>
          </w:p>
          <w:p>
            <w:pPr>
              <w:ind w:firstLine="8" w:firstLineChars="4"/>
              <w:rPr>
                <w:rFonts w:hint="eastAsia"/>
                <w:color w:val="auto"/>
                <w:szCs w:val="21"/>
                <w:highlight w:val="none"/>
              </w:rPr>
            </w:pPr>
            <w:r>
              <w:rPr>
                <w:rFonts w:hint="eastAsia"/>
                <w:color w:val="auto"/>
                <w:szCs w:val="21"/>
                <w:highlight w:val="none"/>
              </w:rPr>
              <w:t>投标地点(网址）：</w:t>
            </w:r>
            <w:r>
              <w:rPr>
                <w:rFonts w:hint="eastAsia" w:ascii="宋体" w:hAnsi="宋体" w:cs="Courier New"/>
                <w:color w:val="auto"/>
                <w:szCs w:val="21"/>
                <w:highlight w:val="none"/>
              </w:rPr>
              <w:t>请登录广西政府采购云平台投标客户端投标</w:t>
            </w:r>
          </w:p>
          <w:p>
            <w:pPr>
              <w:ind w:firstLine="8" w:firstLineChars="4"/>
              <w:rPr>
                <w:color w:val="auto"/>
                <w:szCs w:val="21"/>
                <w:highlight w:val="none"/>
              </w:rPr>
            </w:pPr>
            <w:r>
              <w:rPr>
                <w:rFonts w:hint="eastAsia"/>
                <w:color w:val="auto"/>
                <w:szCs w:val="21"/>
                <w:highlight w:val="none"/>
              </w:rPr>
              <w:t>开标地点：</w:t>
            </w:r>
            <w:r>
              <w:rPr>
                <w:rFonts w:hint="eastAsia"/>
                <w:color w:val="auto"/>
                <w:highlight w:val="none"/>
              </w:rPr>
              <w:t>广西钦州市金海湾东大</w:t>
            </w:r>
            <w:bookmarkStart w:id="75" w:name="_Hlt169688185"/>
            <w:r>
              <w:rPr>
                <w:rFonts w:hint="eastAsia"/>
                <w:color w:val="auto"/>
                <w:highlight w:val="none"/>
              </w:rPr>
              <w:t>街</w:t>
            </w:r>
            <w:bookmarkEnd w:id="75"/>
            <w:r>
              <w:rPr>
                <w:rFonts w:hint="eastAsia"/>
                <w:color w:val="auto"/>
                <w:highlight w:val="none"/>
              </w:rPr>
              <w:t>8号市</w:t>
            </w:r>
            <w:bookmarkStart w:id="76" w:name="_Hlt169688171"/>
            <w:bookmarkStart w:id="77" w:name="_Hlt169688172"/>
            <w:r>
              <w:rPr>
                <w:rFonts w:hint="eastAsia"/>
                <w:color w:val="auto"/>
                <w:highlight w:val="none"/>
              </w:rPr>
              <w:t>政</w:t>
            </w:r>
            <w:bookmarkEnd w:id="76"/>
            <w:bookmarkEnd w:id="77"/>
            <w:r>
              <w:rPr>
                <w:rFonts w:hint="eastAsia"/>
                <w:color w:val="auto"/>
                <w:highlight w:val="none"/>
              </w:rPr>
              <w:t>务服务中心三楼开标室</w:t>
            </w:r>
          </w:p>
          <w:p>
            <w:pPr>
              <w:ind w:firstLine="8" w:firstLineChars="4"/>
              <w:rPr>
                <w:rFonts w:hint="eastAsia"/>
                <w:b/>
                <w:bCs/>
                <w:color w:val="auto"/>
                <w:highlight w:val="none"/>
              </w:rPr>
            </w:pPr>
            <w:r>
              <w:rPr>
                <w:b/>
                <w:bCs/>
                <w:color w:val="auto"/>
                <w:highlight w:val="none"/>
              </w:rPr>
              <w:fldChar w:fldCharType="begin"/>
            </w:r>
            <w:r>
              <w:rPr>
                <w:rFonts w:hint="eastAsia"/>
                <w:b/>
                <w:bCs/>
                <w:color w:val="auto"/>
                <w:highlight w:val="none"/>
              </w:rPr>
              <w:instrText xml:space="preserve">HYPERLINK </w:instrText>
            </w:r>
            <w:r>
              <w:rPr>
                <w:b/>
                <w:bCs/>
                <w:color w:val="auto"/>
                <w:highlight w:val="none"/>
              </w:rPr>
              <w:instrText xml:space="preserve"> \l "</w:instrText>
            </w:r>
            <w:r>
              <w:rPr>
                <w:rFonts w:hint="eastAsia"/>
                <w:b/>
                <w:bCs/>
                <w:color w:val="auto"/>
                <w:highlight w:val="none"/>
              </w:rPr>
              <w:instrText xml:space="preserve">_四、开标</w:instrText>
            </w:r>
            <w:r>
              <w:rPr>
                <w:b/>
                <w:bCs/>
                <w:color w:val="auto"/>
                <w:highlight w:val="none"/>
              </w:rPr>
              <w:instrText xml:space="preserve">"</w:instrText>
            </w:r>
            <w:r>
              <w:rPr>
                <w:b/>
                <w:bCs/>
                <w:color w:val="auto"/>
                <w:highlight w:val="none"/>
              </w:rPr>
              <w:fldChar w:fldCharType="separate"/>
            </w:r>
            <w:r>
              <w:rPr>
                <w:rStyle w:val="58"/>
                <w:rFonts w:hint="eastAsia"/>
                <w:b/>
                <w:bCs/>
                <w:color w:val="auto"/>
                <w:highlight w:val="none"/>
                <w:u w:val="none"/>
              </w:rPr>
              <w:t>注：</w:t>
            </w:r>
            <w:bookmarkStart w:id="78" w:name="_Hlk90299755"/>
            <w:r>
              <w:rPr>
                <w:rStyle w:val="58"/>
                <w:rFonts w:hint="eastAsia"/>
                <w:b/>
                <w:bCs/>
                <w:color w:val="auto"/>
                <w:highlight w:val="none"/>
                <w:u w:val="none"/>
              </w:rPr>
              <w:t>投标人法定代表人或委</w:t>
            </w:r>
            <w:bookmarkStart w:id="79" w:name="_Hlt169688258"/>
            <w:r>
              <w:rPr>
                <w:rStyle w:val="58"/>
                <w:rFonts w:hint="eastAsia"/>
                <w:b/>
                <w:bCs/>
                <w:color w:val="auto"/>
                <w:highlight w:val="none"/>
                <w:u w:val="none"/>
              </w:rPr>
              <w:t>托</w:t>
            </w:r>
            <w:bookmarkEnd w:id="79"/>
            <w:r>
              <w:rPr>
                <w:rStyle w:val="58"/>
                <w:rFonts w:hint="eastAsia"/>
                <w:b/>
                <w:bCs/>
                <w:color w:val="auto"/>
                <w:highlight w:val="none"/>
                <w:u w:val="none"/>
              </w:rPr>
              <w:t>代理人须按时登录</w:t>
            </w:r>
            <w:r>
              <w:rPr>
                <w:rStyle w:val="58"/>
                <w:rFonts w:hint="eastAsia" w:hAnsi="宋体"/>
                <w:b/>
                <w:bCs/>
                <w:color w:val="auto"/>
                <w:highlight w:val="none"/>
                <w:u w:val="none"/>
              </w:rPr>
              <w:t>政采云远程开标大厅</w:t>
            </w:r>
            <w:r>
              <w:rPr>
                <w:rStyle w:val="58"/>
                <w:rFonts w:hint="eastAsia"/>
                <w:b/>
                <w:bCs/>
                <w:color w:val="auto"/>
                <w:highlight w:val="none"/>
                <w:u w:val="none"/>
              </w:rPr>
              <w:t>，保持全程在线并关注开标评标进度，评标期间评标委员会提出澄清等要求时，投标人须在规定时间内进行在线应答，否则按招标文件或政采云平台的相关规定执行。</w:t>
            </w:r>
            <w:bookmarkEnd w:id="78"/>
            <w:r>
              <w:rPr>
                <w:b/>
                <w:bCs/>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8</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0" w:firstLineChars="0"/>
              <w:textAlignment w:val="bottom"/>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w:instrText>
            </w:r>
            <w:r>
              <w:rPr>
                <w:rFonts w:ascii="宋体" w:hAnsi="宋体"/>
                <w:color w:val="auto"/>
                <w:szCs w:val="21"/>
                <w:highlight w:val="none"/>
              </w:rPr>
              <w:instrText xml:space="preserve"> \l "_五、评标" </w:instrText>
            </w:r>
            <w:r>
              <w:rPr>
                <w:rFonts w:ascii="宋体" w:hAnsi="宋体"/>
                <w:color w:val="auto"/>
                <w:szCs w:val="21"/>
                <w:highlight w:val="none"/>
              </w:rPr>
              <w:fldChar w:fldCharType="separate"/>
            </w:r>
            <w:r>
              <w:rPr>
                <w:rStyle w:val="58"/>
                <w:rFonts w:hint="eastAsia" w:ascii="宋体" w:hAnsi="宋体"/>
                <w:color w:val="auto"/>
                <w:szCs w:val="21"/>
                <w:highlight w:val="none"/>
                <w:u w:val="none"/>
              </w:rPr>
              <w:t>评标</w:t>
            </w:r>
            <w:bookmarkStart w:id="80" w:name="_Hlt111715137"/>
            <w:bookmarkStart w:id="81" w:name="_Hlt111715136"/>
            <w:r>
              <w:rPr>
                <w:rStyle w:val="58"/>
                <w:rFonts w:hint="eastAsia" w:ascii="宋体" w:hAnsi="宋体"/>
                <w:color w:val="auto"/>
                <w:szCs w:val="21"/>
                <w:highlight w:val="none"/>
                <w:u w:val="none"/>
              </w:rPr>
              <w:t>方</w:t>
            </w:r>
            <w:bookmarkEnd w:id="80"/>
            <w:bookmarkEnd w:id="81"/>
            <w:r>
              <w:rPr>
                <w:rStyle w:val="58"/>
                <w:rFonts w:hint="eastAsia" w:ascii="宋体" w:hAnsi="宋体"/>
                <w:color w:val="auto"/>
                <w:szCs w:val="21"/>
                <w:highlight w:val="none"/>
                <w:u w:val="none"/>
              </w:rPr>
              <w:t>法：</w:t>
            </w:r>
            <w:r>
              <w:rPr>
                <w:rStyle w:val="58"/>
                <w:rFonts w:hint="eastAsia"/>
                <w:color w:val="auto"/>
                <w:highlight w:val="none"/>
                <w:u w:val="none"/>
              </w:rPr>
              <w:t>综合评分法</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noWrap w:val="0"/>
            <w:vAlign w:val="center"/>
          </w:tcPr>
          <w:p>
            <w:pPr>
              <w:ind w:left="-424" w:leftChars="-202" w:firstLine="420"/>
              <w:jc w:val="center"/>
              <w:rPr>
                <w:color w:val="auto"/>
                <w:highlight w:val="none"/>
              </w:rPr>
            </w:pPr>
            <w:r>
              <w:rPr>
                <w:color w:val="auto"/>
                <w:highlight w:val="none"/>
              </w:rPr>
              <w:t>9</w:t>
            </w:r>
          </w:p>
        </w:tc>
        <w:tc>
          <w:tcPr>
            <w:tcW w:w="9214" w:type="dxa"/>
            <w:noWrap w:val="0"/>
            <w:vAlign w:val="center"/>
          </w:tcPr>
          <w:p>
            <w:pPr>
              <w:pStyle w:val="27"/>
              <w:spacing w:line="340" w:lineRule="exact"/>
              <w:ind w:firstLine="8" w:firstLineChars="4"/>
              <w:rPr>
                <w:color w:val="auto"/>
                <w:highlight w:val="none"/>
              </w:rPr>
            </w:pPr>
            <w:bookmarkStart w:id="82" w:name="OLE_LINK5"/>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"_九、其他事项" </w:instrText>
            </w:r>
            <w:r>
              <w:rPr>
                <w:rFonts w:hAnsi="宋体"/>
                <w:color w:val="auto"/>
                <w:highlight w:val="none"/>
              </w:rPr>
              <w:fldChar w:fldCharType="separate"/>
            </w:r>
            <w:r>
              <w:rPr>
                <w:rStyle w:val="58"/>
                <w:rFonts w:hint="eastAsia" w:hAnsi="宋体"/>
                <w:color w:val="auto"/>
                <w:highlight w:val="none"/>
                <w:u w:val="none"/>
              </w:rPr>
              <w:t>代理服务费：本中心按钦州市物价局“钦市价费﹝2013﹞4号”文件规定向中标人收取代理服务费。中标人应向本中心一次性付清代理服务费。</w:t>
            </w:r>
            <w:r>
              <w:rPr>
                <w:rFonts w:hAnsi="宋体"/>
                <w:color w:val="auto"/>
                <w:highlight w:val="none"/>
              </w:rPr>
              <w:fldChar w:fldCharType="end"/>
            </w:r>
            <w:bookmarkEnd w:id="82"/>
          </w:p>
        </w:tc>
      </w:tr>
    </w:tbl>
    <w:p>
      <w:pPr>
        <w:ind w:firstLine="0" w:firstLineChars="0"/>
        <w:jc w:val="left"/>
        <w:rPr>
          <w:color w:val="auto"/>
          <w:highlight w:val="none"/>
        </w:rPr>
      </w:pPr>
      <w:r>
        <w:rPr>
          <w:color w:val="auto"/>
          <w:highlight w:val="none"/>
        </w:rPr>
        <w:br w:type="page"/>
      </w:r>
      <w:bookmarkStart w:id="83" w:name="_Toc352700405"/>
      <w:bookmarkStart w:id="84" w:name="_Toc352578843"/>
      <w:bookmarkStart w:id="85" w:name="_Toc353785275"/>
      <w:bookmarkStart w:id="86" w:name="_Toc352578861"/>
      <w:bookmarkStart w:id="87" w:name="_Toc352578891"/>
    </w:p>
    <w:p>
      <w:pPr>
        <w:spacing w:line="520" w:lineRule="exact"/>
        <w:ind w:firstLine="0" w:firstLineChars="0"/>
        <w:jc w:val="center"/>
        <w:rPr>
          <w:rFonts w:ascii="仿宋_GB2312" w:hAnsi="宋体" w:eastAsia="仿宋_GB2312"/>
          <w:b/>
          <w:color w:val="auto"/>
          <w:sz w:val="44"/>
          <w:szCs w:val="44"/>
          <w:highlight w:val="none"/>
        </w:rPr>
      </w:pPr>
      <w:bookmarkStart w:id="88" w:name="_Hlk92374740"/>
      <w:r>
        <w:rPr>
          <w:rFonts w:hint="eastAsia"/>
          <w:b/>
          <w:color w:val="auto"/>
          <w:sz w:val="44"/>
          <w:szCs w:val="44"/>
          <w:highlight w:val="none"/>
        </w:rPr>
        <w:t>投标人须知</w:t>
      </w:r>
      <w:bookmarkEnd w:id="83"/>
      <w:bookmarkEnd w:id="84"/>
      <w:bookmarkEnd w:id="85"/>
      <w:bookmarkEnd w:id="86"/>
      <w:bookmarkEnd w:id="87"/>
    </w:p>
    <w:p>
      <w:pPr>
        <w:pStyle w:val="6"/>
        <w:spacing w:before="0" w:after="0" w:line="410" w:lineRule="exact"/>
        <w:ind w:firstLine="0" w:firstLineChars="0"/>
        <w:rPr>
          <w:rFonts w:hint="eastAsia" w:ascii="方正小标宋_GBK" w:eastAsia="方正小标宋_GBK"/>
          <w:color w:val="auto"/>
          <w:sz w:val="24"/>
          <w:szCs w:val="24"/>
          <w:highlight w:val="none"/>
        </w:rPr>
      </w:pPr>
      <w:bookmarkStart w:id="89" w:name="_一、总__则"/>
      <w:bookmarkEnd w:id="89"/>
      <w:bookmarkStart w:id="90" w:name="_Toc352700406"/>
      <w:bookmarkStart w:id="91" w:name="_Toc353785276"/>
      <w:r>
        <w:rPr>
          <w:rFonts w:hint="eastAsia" w:ascii="方正小标宋_GBK" w:eastAsia="方正小标宋_GBK"/>
          <w:color w:val="auto"/>
          <w:sz w:val="24"/>
          <w:szCs w:val="24"/>
          <w:highlight w:val="none"/>
        </w:rPr>
        <w:t>一、总  则</w:t>
      </w:r>
      <w:bookmarkEnd w:id="90"/>
      <w:bookmarkEnd w:id="91"/>
    </w:p>
    <w:p>
      <w:pPr>
        <w:spacing w:line="410" w:lineRule="exact"/>
        <w:ind w:firstLine="211" w:firstLineChars="100"/>
        <w:rPr>
          <w:b/>
          <w:bCs/>
          <w:color w:val="auto"/>
          <w:highlight w:val="none"/>
        </w:rPr>
      </w:pPr>
      <w:r>
        <w:rPr>
          <w:rFonts w:hint="eastAsia"/>
          <w:b/>
          <w:bCs/>
          <w:color w:val="auto"/>
          <w:highlight w:val="none"/>
        </w:rPr>
        <w:t>（一）适用范围</w:t>
      </w:r>
    </w:p>
    <w:p>
      <w:pPr>
        <w:spacing w:line="410" w:lineRule="exact"/>
        <w:ind w:firstLine="420"/>
        <w:rPr>
          <w:rFonts w:hint="eastAsia" w:eastAsia="宋体"/>
          <w:color w:val="auto"/>
          <w:highlight w:val="none"/>
          <w:lang w:eastAsia="zh-CN"/>
        </w:rPr>
      </w:pPr>
      <w:bookmarkStart w:id="92" w:name="_Toc254970669"/>
      <w:bookmarkStart w:id="93" w:name="_Toc352700408"/>
      <w:bookmarkStart w:id="94" w:name="_Toc254970528"/>
      <w:bookmarkStart w:id="95" w:name="_Toc353785278"/>
      <w:r>
        <w:rPr>
          <w:rFonts w:hint="eastAsia"/>
          <w:color w:val="auto"/>
          <w:highlight w:val="none"/>
        </w:rPr>
        <w:t>1</w:t>
      </w:r>
      <w:r>
        <w:rPr>
          <w:color w:val="auto"/>
          <w:highlight w:val="none"/>
        </w:rPr>
        <w:t>.</w:t>
      </w:r>
      <w:r>
        <w:rPr>
          <w:rFonts w:hint="eastAsia"/>
          <w:color w:val="auto"/>
          <w:highlight w:val="none"/>
        </w:rPr>
        <w:t>项目名称：</w:t>
      </w:r>
      <w:r>
        <w:rPr>
          <w:rFonts w:hint="eastAsia"/>
          <w:color w:val="auto"/>
          <w:highlight w:val="none"/>
          <w:lang w:eastAsia="zh-CN"/>
        </w:rPr>
        <w:t>浦北中学改善普通高中办学条件教学设备</w:t>
      </w:r>
    </w:p>
    <w:p>
      <w:pPr>
        <w:spacing w:line="410" w:lineRule="exact"/>
        <w:ind w:firstLine="420"/>
        <w:rPr>
          <w:rFonts w:hint="eastAsia" w:eastAsia="宋体"/>
          <w:color w:val="auto"/>
          <w:highlight w:val="none"/>
          <w:lang w:eastAsia="zh-CN"/>
        </w:rPr>
      </w:pPr>
      <w:r>
        <w:rPr>
          <w:color w:val="auto"/>
          <w:highlight w:val="none"/>
        </w:rPr>
        <w:t>2.</w:t>
      </w:r>
      <w:r>
        <w:rPr>
          <w:rFonts w:hint="eastAsia"/>
          <w:color w:val="auto"/>
          <w:highlight w:val="none"/>
        </w:rPr>
        <w:t>项目编号：</w:t>
      </w:r>
      <w:r>
        <w:rPr>
          <w:rFonts w:hint="eastAsia"/>
          <w:color w:val="auto"/>
          <w:highlight w:val="none"/>
          <w:lang w:eastAsia="zh-CN"/>
        </w:rPr>
        <w:t>QZZC2025-G1-220081-QZSZ</w:t>
      </w:r>
    </w:p>
    <w:p>
      <w:pPr>
        <w:spacing w:line="410" w:lineRule="exact"/>
        <w:ind w:firstLine="420"/>
        <w:rPr>
          <w:color w:val="auto"/>
          <w:highlight w:val="none"/>
        </w:rPr>
      </w:pPr>
      <w:r>
        <w:rPr>
          <w:rFonts w:hint="eastAsia"/>
          <w:color w:val="auto"/>
          <w:highlight w:val="none"/>
        </w:rPr>
        <w:t>本招标文件仅适用于上述项目的招标、投标、评标、定标、验收、合同履约、付款等行为（法律、法规另有规定的，从其规定）。</w:t>
      </w:r>
    </w:p>
    <w:p>
      <w:pPr>
        <w:spacing w:line="410" w:lineRule="exact"/>
        <w:ind w:firstLine="211" w:firstLineChars="100"/>
        <w:rPr>
          <w:b/>
          <w:bCs/>
          <w:color w:val="auto"/>
          <w:highlight w:val="none"/>
        </w:rPr>
      </w:pPr>
      <w:r>
        <w:rPr>
          <w:rFonts w:hint="eastAsia"/>
          <w:b/>
          <w:bCs/>
          <w:color w:val="auto"/>
          <w:highlight w:val="none"/>
        </w:rPr>
        <w:t>（二）定义</w:t>
      </w:r>
      <w:bookmarkEnd w:id="92"/>
      <w:bookmarkEnd w:id="93"/>
      <w:bookmarkEnd w:id="94"/>
      <w:bookmarkEnd w:id="95"/>
    </w:p>
    <w:p>
      <w:pPr>
        <w:pStyle w:val="27"/>
        <w:snapToGrid w:val="0"/>
        <w:spacing w:line="410" w:lineRule="exact"/>
        <w:ind w:firstLine="420"/>
        <w:rPr>
          <w:rFonts w:hAnsi="宋体"/>
          <w:color w:val="auto"/>
          <w:highlight w:val="none"/>
        </w:rPr>
      </w:pPr>
      <w:bookmarkStart w:id="96" w:name="_Hlk92374304"/>
      <w:r>
        <w:rPr>
          <w:rFonts w:hAnsi="宋体"/>
          <w:bCs/>
          <w:color w:val="auto"/>
          <w:highlight w:val="none"/>
        </w:rPr>
        <w:t>1.</w:t>
      </w:r>
      <w:r>
        <w:rPr>
          <w:rFonts w:hint="eastAsia" w:hAnsi="宋体"/>
          <w:bCs/>
          <w:color w:val="auto"/>
          <w:highlight w:val="none"/>
        </w:rPr>
        <w:t>“采购人”系指</w:t>
      </w:r>
      <w:r>
        <w:rPr>
          <w:rFonts w:hAnsi="宋体"/>
          <w:color w:val="auto"/>
          <w:highlight w:val="none"/>
        </w:rPr>
        <w:t>依法进行政府采购的国家机关、事业单位、团体组织</w:t>
      </w:r>
    </w:p>
    <w:p>
      <w:pPr>
        <w:pStyle w:val="27"/>
        <w:snapToGrid w:val="0"/>
        <w:spacing w:line="41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“投标人”系指向招标方提交投标文件的单位或自然人。</w:t>
      </w:r>
    </w:p>
    <w:p>
      <w:pPr>
        <w:pStyle w:val="27"/>
        <w:snapToGrid w:val="0"/>
        <w:spacing w:line="410" w:lineRule="exact"/>
        <w:ind w:firstLine="420"/>
        <w:rPr>
          <w:rFonts w:hAnsi="宋体"/>
          <w:bCs/>
          <w:color w:val="auto"/>
          <w:highlight w:val="none"/>
        </w:rPr>
      </w:pPr>
      <w:r>
        <w:rPr>
          <w:rFonts w:hAnsi="宋体"/>
          <w:bCs/>
          <w:color w:val="auto"/>
          <w:highlight w:val="none"/>
        </w:rPr>
        <w:t>3.</w:t>
      </w:r>
      <w:r>
        <w:rPr>
          <w:rFonts w:hint="eastAsia" w:hAnsi="宋体"/>
          <w:bCs/>
          <w:color w:val="auto"/>
          <w:highlight w:val="none"/>
        </w:rPr>
        <w:t>“采购代理机构”系指组织本次招标的钦州市政府采购中心（以下简称“本中心）。</w:t>
      </w:r>
    </w:p>
    <w:p>
      <w:pPr>
        <w:pStyle w:val="27"/>
        <w:snapToGrid w:val="0"/>
        <w:spacing w:line="41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“货物”系指各种形态和种类的物品，包括原材料、燃料、设备、产品等。</w:t>
      </w:r>
    </w:p>
    <w:p>
      <w:pPr>
        <w:pStyle w:val="27"/>
        <w:snapToGrid w:val="0"/>
        <w:spacing w:line="410" w:lineRule="exact"/>
        <w:ind w:firstLine="420"/>
        <w:rPr>
          <w:rFonts w:hAnsi="宋体"/>
          <w:bCs/>
          <w:color w:val="auto"/>
          <w:highlight w:val="none"/>
        </w:rPr>
      </w:pPr>
      <w:r>
        <w:rPr>
          <w:rFonts w:hAnsi="宋体"/>
          <w:bCs/>
          <w:color w:val="auto"/>
          <w:highlight w:val="none"/>
        </w:rPr>
        <w:t>5.</w:t>
      </w:r>
      <w:r>
        <w:rPr>
          <w:rFonts w:hint="eastAsia" w:hAnsi="宋体"/>
          <w:bCs/>
          <w:color w:val="auto"/>
          <w:highlight w:val="none"/>
        </w:rPr>
        <w:t>“服务”系指除货物和工程以外的其他政府采购对象。</w:t>
      </w:r>
    </w:p>
    <w:p>
      <w:pPr>
        <w:pStyle w:val="27"/>
        <w:snapToGrid w:val="0"/>
        <w:spacing w:line="410" w:lineRule="exact"/>
        <w:ind w:firstLine="420"/>
        <w:rPr>
          <w:rFonts w:hAnsi="宋体"/>
          <w:bCs/>
          <w:color w:val="auto"/>
          <w:highlight w:val="none"/>
        </w:rPr>
      </w:pPr>
      <w:r>
        <w:rPr>
          <w:rFonts w:hAnsi="宋体"/>
          <w:bCs/>
          <w:color w:val="auto"/>
          <w:highlight w:val="none"/>
        </w:rPr>
        <w:t>6.</w:t>
      </w:r>
      <w:r>
        <w:rPr>
          <w:rFonts w:hint="eastAsia" w:hAnsi="宋体"/>
          <w:bCs/>
          <w:color w:val="auto"/>
          <w:highlight w:val="none"/>
        </w:rPr>
        <w:t>“项目”系指投标人按招标文件规定向采购人提供的产品和服务。</w:t>
      </w:r>
    </w:p>
    <w:p>
      <w:pPr>
        <w:pStyle w:val="27"/>
        <w:snapToGrid w:val="0"/>
        <w:spacing w:line="410" w:lineRule="exact"/>
        <w:ind w:firstLine="420"/>
        <w:rPr>
          <w:rFonts w:hAnsi="宋体"/>
          <w:bCs/>
          <w:color w:val="auto"/>
          <w:highlight w:val="none"/>
        </w:rPr>
      </w:pPr>
      <w:r>
        <w:rPr>
          <w:rFonts w:hAnsi="宋体"/>
          <w:bCs/>
          <w:color w:val="auto"/>
          <w:highlight w:val="none"/>
        </w:rPr>
        <w:t>7.</w:t>
      </w:r>
      <w:r>
        <w:rPr>
          <w:rFonts w:hint="eastAsia" w:hAnsi="宋体"/>
          <w:bCs/>
          <w:color w:val="auto"/>
          <w:highlight w:val="none"/>
        </w:rPr>
        <w:t>“书面形式”</w:t>
      </w:r>
      <w:bookmarkEnd w:id="96"/>
      <w:r>
        <w:rPr>
          <w:rFonts w:hint="eastAsia" w:hAnsi="宋体"/>
          <w:bCs/>
          <w:color w:val="auto"/>
          <w:highlight w:val="none"/>
        </w:rPr>
        <w:t>是合同书、信件、电报、电传、传真等可以有形地表现所载内容的形式。</w:t>
      </w:r>
    </w:p>
    <w:p>
      <w:pPr>
        <w:spacing w:line="410" w:lineRule="exact"/>
        <w:ind w:firstLine="211" w:firstLineChars="100"/>
        <w:rPr>
          <w:b/>
          <w:bCs/>
          <w:color w:val="auto"/>
          <w:highlight w:val="none"/>
        </w:rPr>
      </w:pPr>
      <w:bookmarkStart w:id="97" w:name="_Toc353785279"/>
      <w:r>
        <w:rPr>
          <w:rFonts w:hint="eastAsia"/>
          <w:b/>
          <w:bCs/>
          <w:color w:val="auto"/>
          <w:highlight w:val="none"/>
        </w:rPr>
        <w:t>（三）投标人资格</w:t>
      </w:r>
      <w:bookmarkEnd w:id="97"/>
    </w:p>
    <w:p>
      <w:pPr>
        <w:spacing w:line="412" w:lineRule="exact"/>
        <w:ind w:firstLine="420"/>
        <w:rPr>
          <w:b/>
          <w:color w:val="auto"/>
          <w:highlight w:val="none"/>
        </w:rPr>
      </w:pPr>
      <w:bookmarkStart w:id="98" w:name="_Toc254970670"/>
      <w:bookmarkStart w:id="99" w:name="_Toc254970529"/>
      <w:bookmarkStart w:id="100" w:name="_Toc352700409"/>
      <w:bookmarkStart w:id="101" w:name="_Toc353785280"/>
      <w:bookmarkStart w:id="102" w:name="_Hlk92444465"/>
      <w:r>
        <w:rPr>
          <w:rFonts w:hint="eastAsia"/>
          <w:color w:val="auto"/>
          <w:highlight w:val="none"/>
        </w:rPr>
        <w:t>1.满足《中华人民共和国政府采购法》第二十二条规定</w:t>
      </w:r>
    </w:p>
    <w:p>
      <w:pPr>
        <w:spacing w:line="412" w:lineRule="exact"/>
        <w:ind w:firstLine="420"/>
        <w:rPr>
          <w:color w:val="auto"/>
          <w:highlight w:val="none"/>
        </w:rPr>
      </w:pPr>
      <w:r>
        <w:rPr>
          <w:rFonts w:hint="eastAsia"/>
          <w:color w:val="auto"/>
          <w:highlight w:val="none"/>
        </w:rPr>
        <w:t>2.落实政府采购政策需满足的资格要求：无</w:t>
      </w:r>
    </w:p>
    <w:p>
      <w:pPr>
        <w:spacing w:line="410" w:lineRule="exact"/>
        <w:ind w:firstLine="420"/>
        <w:rPr>
          <w:rFonts w:hint="eastAsia" w:ascii="宋体" w:hAnsi="宋体"/>
          <w:color w:val="auto"/>
          <w:highlight w:val="none"/>
        </w:rPr>
      </w:pPr>
      <w:r>
        <w:rPr>
          <w:rFonts w:hint="eastAsia"/>
          <w:color w:val="auto"/>
          <w:highlight w:val="none"/>
        </w:rPr>
        <w:t>3.本项目的特定资格要求：无</w:t>
      </w:r>
    </w:p>
    <w:p>
      <w:pPr>
        <w:spacing w:line="410" w:lineRule="exact"/>
        <w:ind w:firstLine="211" w:firstLineChars="100"/>
        <w:rPr>
          <w:b/>
          <w:bCs/>
          <w:color w:val="auto"/>
          <w:highlight w:val="none"/>
        </w:rPr>
      </w:pPr>
      <w:r>
        <w:rPr>
          <w:rFonts w:hint="eastAsia"/>
          <w:b/>
          <w:bCs/>
          <w:color w:val="auto"/>
          <w:highlight w:val="none"/>
        </w:rPr>
        <w:t>（四）采购方式</w:t>
      </w:r>
      <w:bookmarkEnd w:id="98"/>
      <w:bookmarkEnd w:id="99"/>
      <w:bookmarkEnd w:id="100"/>
      <w:bookmarkEnd w:id="101"/>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公开招标方式。</w:t>
      </w:r>
    </w:p>
    <w:p>
      <w:pPr>
        <w:spacing w:line="410" w:lineRule="exact"/>
        <w:ind w:firstLine="211" w:firstLineChars="100"/>
        <w:rPr>
          <w:b/>
          <w:bCs/>
          <w:color w:val="auto"/>
          <w:highlight w:val="none"/>
        </w:rPr>
      </w:pPr>
      <w:bookmarkStart w:id="103" w:name="_Toc254970671"/>
      <w:bookmarkStart w:id="104" w:name="_Toc353785281"/>
      <w:bookmarkStart w:id="105" w:name="_Toc352700410"/>
      <w:bookmarkStart w:id="106" w:name="_Toc254970530"/>
      <w:r>
        <w:rPr>
          <w:rFonts w:hint="eastAsia"/>
          <w:b/>
          <w:bCs/>
          <w:color w:val="auto"/>
          <w:highlight w:val="none"/>
        </w:rPr>
        <w:t>（五）投标委托</w:t>
      </w:r>
      <w:bookmarkEnd w:id="103"/>
      <w:bookmarkEnd w:id="104"/>
      <w:bookmarkEnd w:id="105"/>
      <w:bookmarkEnd w:id="106"/>
    </w:p>
    <w:p>
      <w:pPr>
        <w:pStyle w:val="27"/>
        <w:snapToGrid w:val="0"/>
        <w:spacing w:line="410" w:lineRule="exact"/>
        <w:ind w:firstLine="420"/>
        <w:rPr>
          <w:rFonts w:hAnsi="宋体"/>
          <w:bCs/>
          <w:color w:val="auto"/>
          <w:highlight w:val="none"/>
        </w:rPr>
      </w:pPr>
      <w:r>
        <w:rPr>
          <w:rFonts w:hint="eastAsia" w:hAnsi="宋体"/>
          <w:bCs/>
          <w:color w:val="auto"/>
          <w:highlight w:val="none"/>
        </w:rPr>
        <w:t>委托投标的投标人须提供授权委托书（格式见第六章）。</w:t>
      </w:r>
    </w:p>
    <w:p>
      <w:pPr>
        <w:spacing w:line="410" w:lineRule="exact"/>
        <w:ind w:firstLine="211" w:firstLineChars="100"/>
        <w:rPr>
          <w:b/>
          <w:bCs/>
          <w:color w:val="auto"/>
          <w:highlight w:val="none"/>
        </w:rPr>
      </w:pPr>
      <w:bookmarkStart w:id="107" w:name="_Toc254970672"/>
      <w:bookmarkStart w:id="108" w:name="_Toc254970531"/>
      <w:bookmarkStart w:id="109" w:name="_Toc353785282"/>
      <w:bookmarkStart w:id="110" w:name="_Toc352700411"/>
      <w:r>
        <w:rPr>
          <w:rFonts w:hint="eastAsia"/>
          <w:b/>
          <w:bCs/>
          <w:color w:val="auto"/>
          <w:highlight w:val="none"/>
        </w:rPr>
        <w:t>（六）投标费用</w:t>
      </w:r>
      <w:bookmarkEnd w:id="107"/>
      <w:bookmarkEnd w:id="108"/>
      <w:bookmarkEnd w:id="109"/>
      <w:bookmarkEnd w:id="110"/>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投标人自行承担所有与投标有关的全部费用。</w:t>
      </w:r>
    </w:p>
    <w:p>
      <w:pPr>
        <w:spacing w:line="410" w:lineRule="exact"/>
        <w:ind w:firstLine="211" w:firstLineChars="100"/>
        <w:rPr>
          <w:b/>
          <w:bCs/>
          <w:color w:val="auto"/>
          <w:highlight w:val="none"/>
        </w:rPr>
      </w:pPr>
      <w:bookmarkStart w:id="111" w:name="_Toc352700413"/>
      <w:bookmarkStart w:id="112" w:name="_Toc353785283"/>
      <w:r>
        <w:rPr>
          <w:rFonts w:hint="eastAsia"/>
          <w:b/>
          <w:bCs/>
          <w:color w:val="auto"/>
          <w:highlight w:val="none"/>
        </w:rPr>
        <w:t>（七）转包与分包</w:t>
      </w:r>
      <w:bookmarkEnd w:id="111"/>
      <w:bookmarkEnd w:id="112"/>
    </w:p>
    <w:p>
      <w:pPr>
        <w:snapToGrid w:val="0"/>
        <w:spacing w:line="410" w:lineRule="exact"/>
        <w:ind w:firstLine="42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10" w:lineRule="exact"/>
        <w:ind w:firstLine="42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采购人允许采用分包方式履行合同的，应当在采购文件中明确可以分包履行的具体内容、金额或者比例。采购合同分包履行的</w:t>
      </w:r>
      <w:r>
        <w:rPr>
          <w:rFonts w:hint="eastAsia" w:ascii="宋体" w:hAnsi="宋体"/>
          <w:color w:val="auto"/>
          <w:kern w:val="0"/>
          <w:szCs w:val="21"/>
          <w:highlight w:val="none"/>
        </w:rPr>
        <w:t>，中标人就采购项目和分包项目向采购人负责，分包供应商就分包项目承担责任。</w:t>
      </w:r>
    </w:p>
    <w:p>
      <w:pPr>
        <w:snapToGrid w:val="0"/>
        <w:spacing w:line="410" w:lineRule="exact"/>
        <w:ind w:firstLine="42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bookmarkEnd w:id="102"/>
    <w:p>
      <w:pPr>
        <w:spacing w:line="410" w:lineRule="exact"/>
        <w:ind w:firstLine="211" w:firstLineChars="100"/>
        <w:rPr>
          <w:rFonts w:hint="eastAsia"/>
          <w:b/>
          <w:bCs/>
          <w:color w:val="auto"/>
          <w:highlight w:val="none"/>
        </w:rPr>
      </w:pPr>
      <w:bookmarkStart w:id="113" w:name="_Toc254970673"/>
      <w:bookmarkStart w:id="114" w:name="_Toc352700414"/>
      <w:bookmarkStart w:id="115" w:name="_Toc353785284"/>
      <w:bookmarkStart w:id="116" w:name="_Toc254970532"/>
      <w:bookmarkStart w:id="117" w:name="_Hlk92444771"/>
      <w:r>
        <w:rPr>
          <w:rFonts w:hint="eastAsia"/>
          <w:b/>
          <w:bCs/>
          <w:color w:val="auto"/>
          <w:highlight w:val="none"/>
        </w:rPr>
        <w:t>（八）特别说明：</w:t>
      </w:r>
      <w:bookmarkEnd w:id="113"/>
      <w:bookmarkEnd w:id="114"/>
      <w:bookmarkEnd w:id="115"/>
      <w:bookmarkEnd w:id="116"/>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关联供应商不得参加同一合同项下政府采购活动，否则投标文件将被视为无效：</w:t>
      </w:r>
    </w:p>
    <w:p>
      <w:pPr>
        <w:pStyle w:val="2"/>
        <w:rPr>
          <w:color w:val="auto"/>
          <w:highlight w:val="none"/>
        </w:rPr>
      </w:pPr>
    </w:p>
    <w:p>
      <w:pPr>
        <w:spacing w:line="410" w:lineRule="exact"/>
        <w:ind w:firstLine="210" w:firstLineChars="100"/>
        <w:rPr>
          <w:rFonts w:hint="eastAsia" w:ascii="宋体" w:hAnsi="宋体"/>
          <w:color w:val="auto"/>
          <w:highlight w:val="none"/>
        </w:rPr>
      </w:pPr>
      <w:bookmarkStart w:id="118" w:name="_Toc352700415"/>
      <w:bookmarkStart w:id="119" w:name="_Toc254970674"/>
      <w:bookmarkStart w:id="120" w:name="_Toc353785285"/>
      <w:bookmarkStart w:id="121" w:name="_Toc254970533"/>
      <w:r>
        <w:rPr>
          <w:rFonts w:hint="eastAsia" w:ascii="宋体" w:hAnsi="宋体"/>
          <w:color w:val="auto"/>
          <w:highlight w:val="none"/>
        </w:rPr>
        <w:t>1.单位负责人为同一人或者存在直接控股、管理关系的不同的投标人，不得参加同一合同项下的政府采购活动。</w:t>
      </w:r>
    </w:p>
    <w:p>
      <w:pPr>
        <w:spacing w:line="410" w:lineRule="exact"/>
        <w:ind w:firstLine="210" w:firstLineChars="100"/>
        <w:rPr>
          <w:rFonts w:hint="eastAsia" w:ascii="宋体" w:hAnsi="宋体"/>
          <w:color w:val="auto"/>
          <w:highlight w:val="none"/>
        </w:rPr>
      </w:pPr>
      <w:r>
        <w:rPr>
          <w:rFonts w:hint="eastAsia" w:ascii="宋体" w:hAnsi="宋体"/>
          <w:color w:val="auto"/>
          <w:highlight w:val="none"/>
        </w:rPr>
        <w:t>2.为采购项目提供整体设计、规范编制或者项目管理、监理、检测等服务的投标人，不得再参加该采购项目的其他采购活动。</w:t>
      </w:r>
    </w:p>
    <w:p>
      <w:pPr>
        <w:spacing w:line="410" w:lineRule="exact"/>
        <w:ind w:firstLine="211" w:firstLineChars="100"/>
        <w:rPr>
          <w:b/>
          <w:bCs/>
          <w:color w:val="auto"/>
          <w:highlight w:val="none"/>
        </w:rPr>
      </w:pPr>
      <w:r>
        <w:rPr>
          <w:rFonts w:hint="eastAsia"/>
          <w:b/>
          <w:bCs/>
          <w:color w:val="auto"/>
          <w:highlight w:val="none"/>
        </w:rPr>
        <w:t>（九）询问、质疑和投诉</w:t>
      </w:r>
      <w:bookmarkEnd w:id="118"/>
      <w:bookmarkEnd w:id="119"/>
      <w:bookmarkEnd w:id="120"/>
      <w:bookmarkEnd w:id="121"/>
    </w:p>
    <w:p>
      <w:pPr>
        <w:pStyle w:val="27"/>
        <w:snapToGrid w:val="0"/>
        <w:spacing w:line="410" w:lineRule="exact"/>
        <w:ind w:firstLine="420"/>
        <w:rPr>
          <w:rFonts w:hAnsi="宋体"/>
          <w:bCs/>
          <w:color w:val="auto"/>
          <w:highlight w:val="none"/>
        </w:rPr>
      </w:pPr>
      <w:r>
        <w:rPr>
          <w:rFonts w:hAnsi="宋体"/>
          <w:bCs/>
          <w:color w:val="auto"/>
          <w:highlight w:val="none"/>
        </w:rPr>
        <w:t>1.</w:t>
      </w:r>
      <w:r>
        <w:rPr>
          <w:rFonts w:hint="eastAsia" w:ascii="Arial" w:hAnsi="Arial" w:cs="Arial"/>
          <w:color w:val="auto"/>
          <w:kern w:val="0"/>
          <w:highlight w:val="none"/>
        </w:rPr>
        <w:t>投标人</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或本中心当在3个工作日内对投标人依法提出的询问作出答复</w:t>
      </w:r>
      <w:r>
        <w:rPr>
          <w:rFonts w:ascii="Arial" w:hAnsi="Arial" w:cs="Arial"/>
          <w:color w:val="auto"/>
          <w:kern w:val="0"/>
          <w:highlight w:val="none"/>
        </w:rPr>
        <w:t>，但答复的内容不得涉及商业秘密。</w:t>
      </w:r>
    </w:p>
    <w:p>
      <w:pPr>
        <w:pStyle w:val="27"/>
        <w:snapToGrid w:val="0"/>
        <w:spacing w:line="41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投标人认为招标文件、招标过程或中标结果使自己的合法权益受到损害的，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向采购人、采购代理机构提出质疑。</w:t>
      </w:r>
      <w:r>
        <w:rPr>
          <w:rFonts w:hint="eastAsia" w:hAnsi="宋体"/>
          <w:bCs/>
          <w:color w:val="auto"/>
          <w:highlight w:val="none"/>
        </w:rPr>
        <w:t>投标人必须在法定质疑期内一次性提出针对同一采购程序环节的质疑。</w:t>
      </w:r>
      <w:r>
        <w:rPr>
          <w:rFonts w:hint="eastAsia" w:hAnsi="宋体" w:cs="宋体"/>
          <w:color w:val="auto"/>
          <w:highlight w:val="none"/>
        </w:rPr>
        <w:t>投标人应知其权益受到损害之日，是指：</w:t>
      </w:r>
    </w:p>
    <w:p>
      <w:pPr>
        <w:pStyle w:val="27"/>
        <w:adjustRightInd w:val="0"/>
        <w:snapToGrid w:val="0"/>
        <w:spacing w:line="410"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对招标文件提出质疑的，为获取招标文件之日；</w:t>
      </w:r>
    </w:p>
    <w:p>
      <w:pPr>
        <w:pStyle w:val="27"/>
        <w:adjustRightInd w:val="0"/>
        <w:snapToGrid w:val="0"/>
        <w:spacing w:line="410"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对招标过程提出质疑的，为各采购程序环节结束之日；</w:t>
      </w:r>
    </w:p>
    <w:p>
      <w:pPr>
        <w:widowControl/>
        <w:adjustRightInd w:val="0"/>
        <w:snapToGrid w:val="0"/>
        <w:spacing w:line="410" w:lineRule="exact"/>
        <w:ind w:firstLine="102" w:firstLineChars="49"/>
        <w:jc w:val="left"/>
        <w:rPr>
          <w:rFonts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对中标结果提出质疑的，为中标结果公告期限届满之日。</w:t>
      </w:r>
    </w:p>
    <w:p>
      <w:pPr>
        <w:widowControl/>
        <w:adjustRightInd w:val="0"/>
        <w:snapToGrid w:val="0"/>
        <w:spacing w:line="410" w:lineRule="exact"/>
        <w:ind w:firstLine="420"/>
        <w:jc w:val="left"/>
        <w:rPr>
          <w:rFonts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投标人对采购人、本中心质疑答复不满意或者采购人、本中心未在规定时间内作出答复的，可以在答复期满后十五个工作日内向同级采购监管部门投诉。</w:t>
      </w:r>
    </w:p>
    <w:p>
      <w:pPr>
        <w:pStyle w:val="27"/>
        <w:snapToGrid w:val="0"/>
        <w:spacing w:line="41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质疑、投诉不接受传真形式）</w:t>
      </w:r>
    </w:p>
    <w:p>
      <w:pPr>
        <w:spacing w:line="410"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10" w:lineRule="exact"/>
        <w:ind w:firstLine="420"/>
        <w:jc w:val="left"/>
        <w:rPr>
          <w:rFonts w:hint="eastAsia"/>
          <w:color w:val="auto"/>
          <w:highlight w:val="none"/>
        </w:rPr>
      </w:pPr>
      <w:r>
        <w:rPr>
          <w:rFonts w:hint="eastAsia"/>
          <w:color w:val="auto"/>
          <w:highlight w:val="none"/>
        </w:rPr>
        <w:t xml:space="preserve">采购监管部门联系方式：浦北县财政局      </w:t>
      </w:r>
      <w:bookmarkStart w:id="122" w:name="OLE_LINK1"/>
      <w:r>
        <w:rPr>
          <w:rFonts w:hint="eastAsia"/>
          <w:color w:val="auto"/>
          <w:highlight w:val="none"/>
        </w:rPr>
        <w:t>0777-8314622</w:t>
      </w:r>
      <w:bookmarkEnd w:id="122"/>
    </w:p>
    <w:p>
      <w:pPr>
        <w:spacing w:line="410" w:lineRule="exact"/>
        <w:ind w:firstLine="211" w:firstLineChars="100"/>
        <w:rPr>
          <w:rFonts w:hAnsi="宋体"/>
          <w:color w:val="auto"/>
          <w:highlight w:val="none"/>
        </w:rPr>
      </w:pPr>
      <w:bookmarkStart w:id="123" w:name="_Hlk92793564"/>
      <w:r>
        <w:rPr>
          <w:rFonts w:hint="eastAsia"/>
          <w:b/>
          <w:bCs/>
          <w:color w:val="auto"/>
          <w:highlight w:val="none"/>
        </w:rPr>
        <w:t>（十）查询媒体</w:t>
      </w:r>
      <w:bookmarkEnd w:id="117"/>
      <w:bookmarkEnd w:id="123"/>
      <w:r>
        <w:rPr>
          <w:rFonts w:hint="eastAsia"/>
          <w:b/>
          <w:bCs/>
          <w:color w:val="auto"/>
          <w:highlight w:val="none"/>
        </w:rPr>
        <w:t>:</w:t>
      </w:r>
      <w:r>
        <w:rPr>
          <w:rFonts w:hAnsi="宋体"/>
          <w:color w:val="auto"/>
          <w:highlight w:val="none"/>
        </w:rPr>
        <w:fldChar w:fldCharType="begin"/>
      </w:r>
      <w:r>
        <w:rPr>
          <w:rFonts w:hAnsi="宋体"/>
          <w:color w:val="auto"/>
          <w:highlight w:val="none"/>
        </w:rPr>
        <w:instrText xml:space="preserve">HYPERLINK "http://www.ccgp.gov.cn/"</w:instrText>
      </w:r>
      <w:r>
        <w:rPr>
          <w:rFonts w:hAnsi="宋体"/>
          <w:color w:val="auto"/>
          <w:highlight w:val="none"/>
        </w:rPr>
        <w:fldChar w:fldCharType="separate"/>
      </w:r>
      <w:r>
        <w:rPr>
          <w:rStyle w:val="58"/>
          <w:rFonts w:hint="eastAsia" w:hAnsi="宋体"/>
          <w:color w:val="auto"/>
          <w:highlight w:val="none"/>
          <w:u w:val="none"/>
        </w:rPr>
        <w:t>中国政府采购网</w:t>
      </w:r>
      <w:r>
        <w:rPr>
          <w:rFonts w:hAnsi="宋体"/>
          <w:color w:val="auto"/>
          <w:highlight w:val="none"/>
        </w:rPr>
        <w:fldChar w:fldCharType="end"/>
      </w:r>
      <w:r>
        <w:rPr>
          <w:rFonts w:hint="eastAsia" w:hAnsi="宋体"/>
          <w:color w:val="auto"/>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olor w:val="auto"/>
          <w:highlight w:val="none"/>
        </w:rPr>
        <w:t>广西政府采购网</w:t>
      </w:r>
      <w:r>
        <w:rPr>
          <w:rFonts w:hAnsi="宋体"/>
          <w:color w:val="auto"/>
          <w:highlight w:val="none"/>
        </w:rPr>
        <w:fldChar w:fldCharType="end"/>
      </w:r>
      <w:r>
        <w:rPr>
          <w:rFonts w:hint="eastAsia" w:hAnsi="宋体"/>
          <w:color w:val="auto"/>
          <w:highlight w:val="none"/>
        </w:rPr>
        <w:t>。</w:t>
      </w:r>
    </w:p>
    <w:p>
      <w:pPr>
        <w:spacing w:line="410" w:lineRule="exact"/>
        <w:ind w:firstLine="211" w:firstLineChars="100"/>
        <w:rPr>
          <w:rFonts w:hint="eastAsia"/>
          <w:b/>
          <w:bCs/>
          <w:color w:val="auto"/>
          <w:highlight w:val="none"/>
        </w:rPr>
      </w:pPr>
    </w:p>
    <w:p>
      <w:pPr>
        <w:pStyle w:val="6"/>
        <w:spacing w:before="0" w:after="0" w:line="410" w:lineRule="exact"/>
        <w:ind w:firstLine="0" w:firstLineChars="0"/>
        <w:rPr>
          <w:rFonts w:ascii="方正小标宋_GBK" w:eastAsia="方正小标宋_GBK"/>
          <w:color w:val="auto"/>
          <w:sz w:val="24"/>
          <w:szCs w:val="24"/>
          <w:highlight w:val="none"/>
        </w:rPr>
      </w:pPr>
      <w:bookmarkStart w:id="124" w:name="_Toc352700416"/>
      <w:bookmarkStart w:id="125" w:name="_Toc353785286"/>
      <w:r>
        <w:rPr>
          <w:rFonts w:hint="eastAsia" w:ascii="方正小标宋_GBK" w:eastAsia="方正小标宋_GBK"/>
          <w:color w:val="auto"/>
          <w:sz w:val="24"/>
          <w:szCs w:val="24"/>
          <w:highlight w:val="none"/>
        </w:rPr>
        <w:t>二、招标文件</w:t>
      </w:r>
      <w:bookmarkEnd w:id="124"/>
      <w:bookmarkEnd w:id="125"/>
    </w:p>
    <w:p>
      <w:pPr>
        <w:spacing w:line="410" w:lineRule="exact"/>
        <w:ind w:firstLine="211" w:firstLineChars="100"/>
        <w:rPr>
          <w:b/>
          <w:bCs/>
          <w:color w:val="auto"/>
          <w:highlight w:val="none"/>
        </w:rPr>
      </w:pPr>
      <w:bookmarkStart w:id="126" w:name="_Toc352700417"/>
      <w:bookmarkStart w:id="127" w:name="_Toc353785287"/>
      <w:r>
        <w:rPr>
          <w:rFonts w:hint="eastAsia"/>
          <w:b/>
          <w:bCs/>
          <w:color w:val="auto"/>
          <w:highlight w:val="none"/>
        </w:rPr>
        <w:t>（一）招标文件的组成</w:t>
      </w:r>
      <w:bookmarkEnd w:id="126"/>
      <w:bookmarkEnd w:id="127"/>
    </w:p>
    <w:p>
      <w:pPr>
        <w:pStyle w:val="27"/>
        <w:snapToGrid w:val="0"/>
        <w:spacing w:line="410" w:lineRule="exact"/>
        <w:ind w:firstLine="420"/>
        <w:rPr>
          <w:rFonts w:hAnsi="宋体"/>
          <w:color w:val="auto"/>
          <w:highlight w:val="none"/>
        </w:rPr>
      </w:pPr>
      <w:r>
        <w:rPr>
          <w:rFonts w:hint="eastAsia" w:hAnsi="宋体"/>
          <w:color w:val="auto"/>
          <w:highlight w:val="none"/>
        </w:rPr>
        <w:t>第一章 招标公告</w:t>
      </w:r>
    </w:p>
    <w:p>
      <w:pPr>
        <w:pStyle w:val="27"/>
        <w:snapToGrid w:val="0"/>
        <w:spacing w:line="410" w:lineRule="exact"/>
        <w:ind w:firstLine="420"/>
        <w:rPr>
          <w:rFonts w:hAnsi="宋体"/>
          <w:color w:val="auto"/>
          <w:highlight w:val="none"/>
        </w:rPr>
      </w:pPr>
      <w:r>
        <w:rPr>
          <w:rFonts w:hint="eastAsia" w:hAnsi="宋体"/>
          <w:color w:val="auto"/>
          <w:highlight w:val="none"/>
        </w:rPr>
        <w:t>第二章 项目需求</w:t>
      </w:r>
    </w:p>
    <w:p>
      <w:pPr>
        <w:pStyle w:val="27"/>
        <w:snapToGrid w:val="0"/>
        <w:spacing w:line="410" w:lineRule="exact"/>
        <w:ind w:firstLine="420"/>
        <w:rPr>
          <w:rFonts w:hAnsi="宋体"/>
          <w:color w:val="auto"/>
          <w:highlight w:val="none"/>
        </w:rPr>
      </w:pPr>
      <w:r>
        <w:rPr>
          <w:rFonts w:hint="eastAsia" w:hAnsi="宋体"/>
          <w:color w:val="auto"/>
          <w:highlight w:val="none"/>
        </w:rPr>
        <w:t>第三章 投标人须知及前附表</w:t>
      </w:r>
    </w:p>
    <w:p>
      <w:pPr>
        <w:pStyle w:val="27"/>
        <w:snapToGrid w:val="0"/>
        <w:spacing w:line="410" w:lineRule="exact"/>
        <w:ind w:firstLine="420"/>
        <w:rPr>
          <w:rFonts w:hAnsi="宋体"/>
          <w:color w:val="auto"/>
          <w:highlight w:val="none"/>
        </w:rPr>
      </w:pPr>
      <w:r>
        <w:rPr>
          <w:rFonts w:hint="eastAsia" w:hAnsi="宋体"/>
          <w:color w:val="auto"/>
          <w:highlight w:val="none"/>
        </w:rPr>
        <w:t>第四章 评定标准及推荐原则</w:t>
      </w:r>
    </w:p>
    <w:p>
      <w:pPr>
        <w:pStyle w:val="27"/>
        <w:snapToGrid w:val="0"/>
        <w:spacing w:line="410" w:lineRule="exact"/>
        <w:ind w:firstLine="420"/>
        <w:rPr>
          <w:rFonts w:hAnsi="宋体"/>
          <w:color w:val="auto"/>
          <w:highlight w:val="none"/>
        </w:rPr>
      </w:pPr>
      <w:r>
        <w:rPr>
          <w:rFonts w:hint="eastAsia" w:hAnsi="宋体"/>
          <w:color w:val="auto"/>
          <w:highlight w:val="none"/>
        </w:rPr>
        <w:t>第五章 政府采购合同主要条款</w:t>
      </w:r>
    </w:p>
    <w:p>
      <w:pPr>
        <w:pStyle w:val="27"/>
        <w:snapToGrid w:val="0"/>
        <w:spacing w:line="410" w:lineRule="exact"/>
        <w:ind w:firstLine="420"/>
        <w:rPr>
          <w:rFonts w:hAnsi="宋体"/>
          <w:color w:val="auto"/>
          <w:highlight w:val="none"/>
        </w:rPr>
      </w:pPr>
      <w:r>
        <w:rPr>
          <w:rFonts w:hint="eastAsia" w:hAnsi="宋体"/>
          <w:color w:val="auto"/>
          <w:highlight w:val="none"/>
        </w:rPr>
        <w:t>第六章 投标文件格式</w:t>
      </w:r>
    </w:p>
    <w:p>
      <w:pPr>
        <w:spacing w:line="410" w:lineRule="exact"/>
        <w:ind w:firstLine="211" w:firstLineChars="100"/>
        <w:rPr>
          <w:b/>
          <w:bCs/>
          <w:color w:val="auto"/>
          <w:highlight w:val="none"/>
        </w:rPr>
      </w:pPr>
      <w:bookmarkStart w:id="128" w:name="_Toc352700419"/>
      <w:bookmarkStart w:id="129" w:name="_Toc353785289"/>
      <w:r>
        <w:rPr>
          <w:rFonts w:hint="eastAsia"/>
          <w:b/>
          <w:bCs/>
          <w:color w:val="auto"/>
          <w:highlight w:val="none"/>
        </w:rPr>
        <w:t>（二）招标文件的澄清与修改</w:t>
      </w:r>
      <w:bookmarkEnd w:id="128"/>
      <w:bookmarkEnd w:id="129"/>
    </w:p>
    <w:p>
      <w:pPr>
        <w:pStyle w:val="27"/>
        <w:snapToGrid w:val="0"/>
        <w:spacing w:line="410" w:lineRule="exact"/>
        <w:ind w:firstLine="420"/>
        <w:jc w:val="left"/>
        <w:rPr>
          <w:color w:val="auto"/>
          <w:highlight w:val="none"/>
        </w:rPr>
      </w:pPr>
      <w:r>
        <w:rPr>
          <w:rFonts w:hAnsi="宋体"/>
          <w:color w:val="auto"/>
          <w:highlight w:val="none"/>
        </w:rPr>
        <w:t>1.</w:t>
      </w:r>
      <w:r>
        <w:rPr>
          <w:color w:val="auto"/>
          <w:highlight w:val="none"/>
        </w:rPr>
        <w:t>采购人</w:t>
      </w:r>
      <w:r>
        <w:rPr>
          <w:rFonts w:hint="eastAsia"/>
          <w:color w:val="auto"/>
          <w:highlight w:val="none"/>
        </w:rPr>
        <w:t>或者本中心</w:t>
      </w:r>
      <w:r>
        <w:rPr>
          <w:color w:val="auto"/>
          <w:highlight w:val="none"/>
        </w:rPr>
        <w:t>可以对已发出的招标文件进行必要的</w:t>
      </w:r>
      <w:bookmarkStart w:id="130" w:name="_Hlk92287343"/>
      <w:r>
        <w:rPr>
          <w:color w:val="auto"/>
          <w:highlight w:val="none"/>
        </w:rPr>
        <w:t>澄清或者修改</w:t>
      </w:r>
      <w:bookmarkEnd w:id="130"/>
      <w:r>
        <w:rPr>
          <w:color w:val="auto"/>
          <w:highlight w:val="none"/>
        </w:rPr>
        <w:t>，但不得改变采购标的和资格条件。澄清或者修改应当在原公告发布媒体上发布澄清公告。澄清或者修改的内容为招标文件的组成部分。</w:t>
      </w:r>
    </w:p>
    <w:p>
      <w:pPr>
        <w:pStyle w:val="27"/>
        <w:snapToGrid w:val="0"/>
        <w:spacing w:line="410" w:lineRule="exact"/>
        <w:ind w:firstLine="420"/>
        <w:jc w:val="left"/>
        <w:rPr>
          <w:rFonts w:hAnsi="宋体"/>
          <w:color w:val="auto"/>
          <w:highlight w:val="none"/>
        </w:rPr>
      </w:pPr>
      <w:r>
        <w:rPr>
          <w:rFonts w:hAnsi="宋体"/>
          <w:color w:val="auto"/>
          <w:highlight w:val="none"/>
        </w:rPr>
        <w:t>2.澄清或者修改的内容可能影响投标文件编制的，采购人或者采购代理机构应当在投标截止时间至少15日前，以</w:t>
      </w:r>
      <w:r>
        <w:rPr>
          <w:rFonts w:hint="eastAsia" w:hAnsi="宋体"/>
          <w:color w:val="auto"/>
          <w:highlight w:val="none"/>
        </w:rPr>
        <w:t>书面形式</w:t>
      </w:r>
      <w:r>
        <w:rPr>
          <w:rFonts w:hAnsi="宋体"/>
          <w:color w:val="auto"/>
          <w:highlight w:val="none"/>
        </w:rPr>
        <w:t>通知所有</w:t>
      </w:r>
      <w:r>
        <w:rPr>
          <w:rFonts w:hint="eastAsia" w:hAnsi="宋体"/>
          <w:color w:val="auto"/>
          <w:highlight w:val="none"/>
        </w:rPr>
        <w:t>依法</w:t>
      </w:r>
      <w:r>
        <w:rPr>
          <w:rFonts w:hAnsi="宋体"/>
          <w:color w:val="auto"/>
          <w:highlight w:val="none"/>
        </w:rPr>
        <w:t>获取招标文件的潜在投标人；不足15日的，采购人或者采购代理机构应当顺延提交投标文件的截止时间。</w:t>
      </w:r>
    </w:p>
    <w:p>
      <w:pPr>
        <w:pStyle w:val="27"/>
        <w:snapToGrid w:val="0"/>
        <w:spacing w:line="410" w:lineRule="exact"/>
        <w:ind w:firstLine="420"/>
        <w:jc w:val="left"/>
        <w:rPr>
          <w:rFonts w:hint="eastAsia" w:ascii="Arial" w:hAnsi="Arial" w:cs="Arial"/>
          <w:color w:val="auto"/>
          <w:highlight w:val="none"/>
        </w:rPr>
      </w:pPr>
      <w:bookmarkStart w:id="131" w:name="_Hlk92446337"/>
      <w:r>
        <w:rPr>
          <w:rFonts w:hAnsi="宋体"/>
          <w:color w:val="auto"/>
          <w:highlight w:val="none"/>
        </w:rPr>
        <w:t>3.</w:t>
      </w:r>
      <w:r>
        <w:rPr>
          <w:rFonts w:ascii="Arial" w:hAnsi="Arial" w:cs="Arial"/>
          <w:color w:val="auto"/>
          <w:highlight w:val="none"/>
        </w:rPr>
        <w:t>提供期限届满后，获取招标文件的潜在投标人不足3家的，</w:t>
      </w:r>
      <w:r>
        <w:rPr>
          <w:rFonts w:hint="eastAsia" w:ascii="Arial" w:hAnsi="Arial" w:cs="Arial"/>
          <w:color w:val="auto"/>
          <w:highlight w:val="none"/>
        </w:rPr>
        <w:t>本中心</w:t>
      </w:r>
      <w:r>
        <w:rPr>
          <w:rFonts w:ascii="Arial" w:hAnsi="Arial" w:cs="Arial"/>
          <w:color w:val="auto"/>
          <w:highlight w:val="none"/>
        </w:rPr>
        <w:t>可以顺延提供期限，并予公告。</w:t>
      </w:r>
    </w:p>
    <w:bookmarkEnd w:id="131"/>
    <w:p>
      <w:pPr>
        <w:pStyle w:val="6"/>
        <w:spacing w:before="0" w:after="0" w:line="410" w:lineRule="exact"/>
        <w:ind w:firstLine="0" w:firstLineChars="0"/>
        <w:rPr>
          <w:rFonts w:ascii="方正小标宋_GBK" w:eastAsia="方正小标宋_GBK"/>
          <w:b w:val="0"/>
          <w:color w:val="auto"/>
          <w:sz w:val="24"/>
          <w:szCs w:val="24"/>
          <w:highlight w:val="none"/>
        </w:rPr>
      </w:pPr>
      <w:bookmarkStart w:id="132" w:name="_三、投标文件"/>
      <w:bookmarkEnd w:id="132"/>
      <w:bookmarkStart w:id="133" w:name="_Toc352700420"/>
      <w:bookmarkStart w:id="134" w:name="_Toc353785290"/>
      <w:bookmarkStart w:id="135" w:name="_Toc254970535"/>
      <w:bookmarkStart w:id="136" w:name="_Toc254970676"/>
      <w:r>
        <w:rPr>
          <w:rFonts w:hint="eastAsia" w:ascii="方正小标宋_GBK" w:eastAsia="方正小标宋_GBK"/>
          <w:b w:val="0"/>
          <w:color w:val="auto"/>
          <w:sz w:val="24"/>
          <w:szCs w:val="24"/>
          <w:highlight w:val="none"/>
        </w:rPr>
        <w:t>三、</w:t>
      </w:r>
      <w:bookmarkStart w:id="137" w:name="_Hlk92446512"/>
      <w:r>
        <w:rPr>
          <w:rFonts w:hint="eastAsia" w:ascii="方正小标宋_GBK" w:eastAsia="方正小标宋_GBK"/>
          <w:b w:val="0"/>
          <w:color w:val="auto"/>
          <w:sz w:val="24"/>
          <w:szCs w:val="24"/>
          <w:highlight w:val="none"/>
        </w:rPr>
        <w:t>投标文件</w:t>
      </w:r>
      <w:bookmarkEnd w:id="133"/>
      <w:bookmarkEnd w:id="134"/>
      <w:bookmarkEnd w:id="135"/>
      <w:bookmarkEnd w:id="136"/>
    </w:p>
    <w:p>
      <w:pPr>
        <w:spacing w:line="410" w:lineRule="exact"/>
        <w:ind w:firstLine="211" w:firstLineChars="100"/>
        <w:rPr>
          <w:rFonts w:hint="eastAsia" w:hAnsi="宋体"/>
          <w:b/>
          <w:bCs/>
          <w:color w:val="auto"/>
          <w:highlight w:val="none"/>
        </w:rPr>
      </w:pPr>
      <w:bookmarkStart w:id="138" w:name="_Toc254970536"/>
      <w:bookmarkStart w:id="139" w:name="_Toc352700421"/>
      <w:bookmarkStart w:id="140" w:name="_Toc254970677"/>
      <w:bookmarkStart w:id="141" w:name="_Toc353785291"/>
      <w:r>
        <w:rPr>
          <w:rFonts w:hint="eastAsia" w:hAnsi="宋体"/>
          <w:b/>
          <w:bCs/>
          <w:color w:val="auto"/>
          <w:highlight w:val="none"/>
        </w:rPr>
        <w:t>（一）投标人的风险</w:t>
      </w:r>
    </w:p>
    <w:p>
      <w:pPr>
        <w:spacing w:line="410" w:lineRule="exact"/>
        <w:ind w:firstLine="420"/>
        <w:rPr>
          <w:rFonts w:hAnsi="宋体"/>
          <w:color w:val="auto"/>
          <w:highlight w:val="none"/>
        </w:rPr>
      </w:pPr>
      <w:r>
        <w:rPr>
          <w:rFonts w:hAnsi="宋体"/>
          <w:color w:val="auto"/>
          <w:highlight w:val="none"/>
        </w:rPr>
        <w:t>1.</w:t>
      </w:r>
      <w:r>
        <w:rPr>
          <w:rFonts w:hint="eastAsia" w:hAnsi="宋体"/>
          <w:color w:val="auto"/>
          <w:highlight w:val="none"/>
        </w:rPr>
        <w:t>投标人应仔细阅读招标文件的全部内容，按照招标文件的要求提交投标文件，并对所提供的全部资料的真实性承担法律责任。</w:t>
      </w:r>
    </w:p>
    <w:p>
      <w:pPr>
        <w:spacing w:line="410"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投标人在投标活动中提供任何虚假材料的，评标委员会将报财政部门查处。</w:t>
      </w:r>
    </w:p>
    <w:bookmarkEnd w:id="137"/>
    <w:p>
      <w:pPr>
        <w:snapToGrid w:val="0"/>
        <w:spacing w:line="410" w:lineRule="exact"/>
        <w:ind w:firstLine="211" w:firstLineChars="100"/>
        <w:rPr>
          <w:rFonts w:ascii="宋体" w:hAnsi="宋体"/>
          <w:b/>
          <w:color w:val="auto"/>
          <w:szCs w:val="21"/>
          <w:highlight w:val="none"/>
        </w:rPr>
      </w:pPr>
      <w:bookmarkStart w:id="142" w:name="_Hlk92446638"/>
      <w:r>
        <w:rPr>
          <w:rFonts w:hint="eastAsia" w:hAnsi="宋体"/>
          <w:b/>
          <w:bCs/>
          <w:color w:val="auto"/>
          <w:highlight w:val="none"/>
        </w:rPr>
        <w:t>（二）</w:t>
      </w:r>
      <w:r>
        <w:rPr>
          <w:rFonts w:hint="eastAsia" w:ascii="宋体" w:hAnsi="宋体"/>
          <w:b/>
          <w:color w:val="auto"/>
          <w:szCs w:val="21"/>
          <w:highlight w:val="none"/>
        </w:rPr>
        <w:t>投标文件的组成</w:t>
      </w:r>
    </w:p>
    <w:p>
      <w:pPr>
        <w:snapToGrid w:val="0"/>
        <w:spacing w:line="410" w:lineRule="exact"/>
        <w:ind w:firstLine="422"/>
        <w:rPr>
          <w:rFonts w:hint="eastAsia" w:ascii="宋体" w:hAnsi="宋体"/>
          <w:b/>
          <w:color w:val="auto"/>
          <w:szCs w:val="21"/>
          <w:highlight w:val="none"/>
        </w:rPr>
      </w:pPr>
      <w:bookmarkStart w:id="143"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10"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144"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144"/>
    <w:p>
      <w:pPr>
        <w:tabs>
          <w:tab w:val="left" w:pos="3870"/>
          <w:tab w:val="left" w:pos="4085"/>
        </w:tabs>
        <w:snapToGrid w:val="0"/>
        <w:spacing w:line="410" w:lineRule="exact"/>
        <w:ind w:firstLine="420"/>
        <w:rPr>
          <w:rFonts w:hAnsi="宋体"/>
          <w:color w:val="auto"/>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投标人具备参加政府采购活动条件的承诺书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pPr>
        <w:tabs>
          <w:tab w:val="left" w:pos="3870"/>
          <w:tab w:val="left" w:pos="4085"/>
        </w:tabs>
        <w:snapToGrid w:val="0"/>
        <w:spacing w:line="410" w:lineRule="exact"/>
        <w:ind w:firstLine="420"/>
        <w:rPr>
          <w:rFonts w:hAnsi="宋体"/>
          <w:color w:val="auto"/>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highlight w:val="none"/>
        </w:rPr>
        <w:t>参加政府采购活动前3年内在经营活动中没有重大违法记录的书面声明(格式见第六章)</w:t>
      </w:r>
    </w:p>
    <w:p>
      <w:pPr>
        <w:snapToGrid w:val="0"/>
        <w:spacing w:line="410" w:lineRule="exact"/>
        <w:ind w:firstLine="422"/>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snapToGrid w:val="0"/>
        <w:spacing w:line="410" w:lineRule="exact"/>
        <w:ind w:firstLine="422"/>
        <w:rPr>
          <w:rFonts w:hint="eastAsia" w:ascii="宋体" w:hAnsi="宋体"/>
          <w:color w:val="auto"/>
          <w:szCs w:val="21"/>
          <w:highlight w:val="none"/>
        </w:rPr>
      </w:pPr>
      <w:r>
        <w:rPr>
          <w:rFonts w:ascii="宋体" w:hAnsi="宋体"/>
          <w:b/>
          <w:color w:val="auto"/>
          <w:szCs w:val="21"/>
          <w:highlight w:val="none"/>
        </w:rPr>
        <w:t xml:space="preserve"> </w:t>
      </w:r>
      <w:r>
        <w:rPr>
          <w:rFonts w:ascii="宋体" w:hAnsi="宋体"/>
          <w:color w:val="auto"/>
          <w:szCs w:val="21"/>
          <w:highlight w:val="none"/>
        </w:rPr>
        <w:t xml:space="preserve"> (1)</w:t>
      </w:r>
      <w:bookmarkStart w:id="145" w:name="_Hlk97803518"/>
      <w:r>
        <w:rPr>
          <w:rFonts w:hint="eastAsia" w:ascii="宋体" w:hAnsi="宋体"/>
          <w:color w:val="auto"/>
          <w:szCs w:val="21"/>
          <w:highlight w:val="none"/>
        </w:rPr>
        <w:t>投标保证金票据或转账凭证(户名、账号及开户行等信息清晰可辨）</w:t>
      </w:r>
      <w:bookmarkEnd w:id="145"/>
    </w:p>
    <w:p>
      <w:pPr>
        <w:tabs>
          <w:tab w:val="left" w:pos="3870"/>
          <w:tab w:val="left" w:pos="4085"/>
        </w:tabs>
        <w:snapToGrid w:val="0"/>
        <w:spacing w:line="410"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投标函（格式见第六章）</w:t>
      </w:r>
    </w:p>
    <w:p>
      <w:pPr>
        <w:tabs>
          <w:tab w:val="left" w:pos="3870"/>
          <w:tab w:val="left" w:pos="4085"/>
        </w:tabs>
        <w:snapToGrid w:val="0"/>
        <w:spacing w:line="410" w:lineRule="exact"/>
        <w:ind w:firstLine="42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法定代表人身份证</w:t>
      </w:r>
    </w:p>
    <w:p>
      <w:pPr>
        <w:snapToGrid w:val="0"/>
        <w:spacing w:line="410" w:lineRule="exact"/>
        <w:ind w:firstLine="417" w:firstLineChars="199"/>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法定代表人授权委托书和代理人身份证（委托代理时必须提供，格式见第六章）</w:t>
      </w:r>
    </w:p>
    <w:p>
      <w:pPr>
        <w:snapToGrid w:val="0"/>
        <w:spacing w:line="410" w:lineRule="exact"/>
        <w:ind w:firstLine="420" w:firstLineChars="199"/>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ascii="宋体" w:hAnsi="宋体"/>
          <w:color w:val="auto"/>
          <w:highlight w:val="none"/>
        </w:rPr>
        <w:t>商务响应表(格式见第六章)</w:t>
      </w:r>
    </w:p>
    <w:p>
      <w:pPr>
        <w:snapToGrid w:val="0"/>
        <w:spacing w:line="410" w:lineRule="exact"/>
        <w:ind w:firstLine="420" w:firstLineChars="199"/>
        <w:rPr>
          <w:rFonts w:ascii="宋体" w:hAnsi="宋体"/>
          <w:color w:val="auto"/>
          <w:highlight w:val="none"/>
        </w:rPr>
      </w:pPr>
      <w:r>
        <w:rPr>
          <w:rFonts w:hint="eastAsia" w:ascii="宋体" w:hAnsi="宋体"/>
          <w:b/>
          <w:color w:val="auto"/>
          <w:szCs w:val="21"/>
          <w:highlight w:val="none"/>
        </w:rPr>
        <w:t>★</w:t>
      </w:r>
      <w:r>
        <w:rPr>
          <w:rFonts w:hint="eastAsia" w:ascii="宋体" w:hAnsi="宋体"/>
          <w:color w:val="auto"/>
          <w:highlight w:val="none"/>
        </w:rPr>
        <w:t>(</w:t>
      </w:r>
      <w:r>
        <w:rPr>
          <w:rFonts w:ascii="宋体" w:hAnsi="宋体"/>
          <w:color w:val="auto"/>
          <w:highlight w:val="none"/>
        </w:rPr>
        <w:t>6)</w:t>
      </w:r>
      <w:r>
        <w:rPr>
          <w:rFonts w:hint="eastAsia" w:ascii="宋体" w:hAnsi="宋体"/>
          <w:color w:val="auto"/>
          <w:szCs w:val="21"/>
          <w:highlight w:val="none"/>
        </w:rPr>
        <w:t>技术响应表</w:t>
      </w:r>
      <w:bookmarkStart w:id="146" w:name="_Hlk92285954"/>
      <w:r>
        <w:rPr>
          <w:rFonts w:ascii="宋体" w:hAnsi="宋体"/>
          <w:color w:val="auto"/>
          <w:highlight w:val="none"/>
        </w:rPr>
        <w:t>(格式见第六章)</w:t>
      </w:r>
      <w:bookmarkEnd w:id="146"/>
    </w:p>
    <w:p>
      <w:pPr>
        <w:snapToGrid w:val="0"/>
        <w:spacing w:line="410" w:lineRule="exact"/>
        <w:ind w:firstLine="420" w:firstLineChars="199"/>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《项目需求》中要求必须提供的材料</w:t>
      </w:r>
    </w:p>
    <w:p>
      <w:pPr>
        <w:snapToGrid w:val="0"/>
        <w:spacing w:line="410" w:lineRule="exact"/>
        <w:ind w:firstLine="627" w:firstLineChars="299"/>
        <w:rPr>
          <w:rFonts w:ascii="宋体" w:hAnsi="宋体"/>
          <w:color w:val="auto"/>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highlight w:val="none"/>
        </w:rPr>
        <w:t>项目实施</w:t>
      </w:r>
      <w:r>
        <w:rPr>
          <w:rFonts w:hint="eastAsia" w:ascii="宋体" w:hAnsi="宋体" w:cs="宋体"/>
          <w:color w:val="auto"/>
          <w:szCs w:val="21"/>
          <w:highlight w:val="none"/>
        </w:rPr>
        <w:t>方案</w:t>
      </w:r>
      <w:r>
        <w:rPr>
          <w:rFonts w:hint="eastAsia" w:ascii="宋体" w:hAnsi="宋体"/>
          <w:color w:val="auto"/>
          <w:highlight w:val="none"/>
        </w:rPr>
        <w:t>（</w:t>
      </w:r>
      <w:r>
        <w:rPr>
          <w:rFonts w:hint="eastAsia" w:ascii="宋体" w:cs="宋体"/>
          <w:color w:val="auto"/>
          <w:kern w:val="0"/>
          <w:szCs w:val="21"/>
          <w:highlight w:val="none"/>
        </w:rPr>
        <w:t>根据项目需求及《评定标准及推荐原则》的要求提供，格式自拟</w:t>
      </w:r>
      <w:r>
        <w:rPr>
          <w:rFonts w:hint="eastAsia" w:ascii="宋体" w:hAnsi="宋体"/>
          <w:color w:val="auto"/>
          <w:highlight w:val="none"/>
        </w:rPr>
        <w:t>）</w:t>
      </w:r>
    </w:p>
    <w:p>
      <w:pPr>
        <w:snapToGrid w:val="0"/>
        <w:spacing w:line="410" w:lineRule="exact"/>
        <w:ind w:firstLine="627" w:firstLineChars="299"/>
        <w:rPr>
          <w:rFonts w:ascii="宋体" w:hAnsi="宋体"/>
          <w:color w:val="auto"/>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highlight w:val="none"/>
        </w:rPr>
        <w:t>售后服务</w:t>
      </w:r>
      <w:r>
        <w:rPr>
          <w:rFonts w:hint="eastAsia" w:ascii="宋体" w:hAnsi="宋体" w:cs="宋体"/>
          <w:color w:val="auto"/>
          <w:szCs w:val="21"/>
          <w:highlight w:val="none"/>
        </w:rPr>
        <w:t>方案</w:t>
      </w:r>
      <w:r>
        <w:rPr>
          <w:rFonts w:hint="eastAsia" w:ascii="宋体" w:hAnsi="宋体"/>
          <w:color w:val="auto"/>
          <w:highlight w:val="none"/>
        </w:rPr>
        <w:t>（</w:t>
      </w:r>
      <w:r>
        <w:rPr>
          <w:rFonts w:hint="eastAsia" w:ascii="宋体" w:cs="宋体"/>
          <w:color w:val="auto"/>
          <w:kern w:val="0"/>
          <w:szCs w:val="21"/>
          <w:highlight w:val="none"/>
        </w:rPr>
        <w:t>根据项目需求及《评定标准及推荐原则》的要求提供，格式自拟</w:t>
      </w:r>
      <w:r>
        <w:rPr>
          <w:rFonts w:hint="eastAsia" w:ascii="宋体" w:hAnsi="宋体"/>
          <w:color w:val="auto"/>
          <w:highlight w:val="none"/>
        </w:rPr>
        <w:t>）</w:t>
      </w:r>
    </w:p>
    <w:p>
      <w:pPr>
        <w:spacing w:line="410" w:lineRule="exact"/>
        <w:ind w:firstLine="630" w:firstLineChars="3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投标人/产品生产厂家具备相关管理体系认证的证明材料</w:t>
      </w:r>
    </w:p>
    <w:p>
      <w:pPr>
        <w:spacing w:line="410" w:lineRule="exact"/>
        <w:ind w:firstLine="630" w:firstLineChars="300"/>
        <w:rPr>
          <w:rFonts w:hint="eastAsia" w:ascii="宋体" w:hAnsi="宋体"/>
          <w:color w:val="auto"/>
          <w:szCs w:val="21"/>
          <w:highlight w:val="none"/>
        </w:rPr>
      </w:pPr>
      <w:r>
        <w:rPr>
          <w:rFonts w:hint="eastAsia" w:ascii="宋体" w:hAnsi="宋体"/>
          <w:color w:val="auto"/>
          <w:szCs w:val="21"/>
          <w:highlight w:val="none"/>
        </w:rPr>
        <w:t>(11)投标人自2020年以来获得相关行政部门颁发的荣誉或奖项的证明材料</w:t>
      </w:r>
    </w:p>
    <w:p>
      <w:pPr>
        <w:spacing w:line="410" w:lineRule="exact"/>
        <w:ind w:firstLine="630" w:firstLineChars="3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投标人自202</w:t>
      </w:r>
      <w:r>
        <w:rPr>
          <w:rFonts w:hint="eastAsia" w:ascii="宋体" w:hAnsi="宋体"/>
          <w:color w:val="auto"/>
          <w:szCs w:val="21"/>
          <w:highlight w:val="none"/>
          <w:lang w:val="en-US" w:eastAsia="zh-CN"/>
        </w:rPr>
        <w:t>1</w:t>
      </w:r>
      <w:r>
        <w:rPr>
          <w:rFonts w:hint="eastAsia" w:ascii="宋体" w:hAnsi="宋体"/>
          <w:color w:val="auto"/>
          <w:szCs w:val="21"/>
          <w:highlight w:val="none"/>
        </w:rPr>
        <w:t>年以来具有同类业务的</w:t>
      </w:r>
      <w:bookmarkStart w:id="259" w:name="_GoBack"/>
      <w:r>
        <w:rPr>
          <w:rFonts w:hint="eastAsia" w:ascii="宋体" w:hAnsi="宋体"/>
          <w:color w:val="auto"/>
          <w:szCs w:val="21"/>
          <w:highlight w:val="none"/>
        </w:rPr>
        <w:t>证明</w:t>
      </w:r>
      <w:bookmarkEnd w:id="259"/>
      <w:r>
        <w:rPr>
          <w:rFonts w:hint="eastAsia" w:ascii="宋体" w:hAnsi="宋体"/>
          <w:color w:val="auto"/>
          <w:szCs w:val="21"/>
          <w:highlight w:val="none"/>
        </w:rPr>
        <w:t>材料</w:t>
      </w:r>
    </w:p>
    <w:p>
      <w:pPr>
        <w:spacing w:line="410" w:lineRule="exact"/>
        <w:ind w:firstLine="630" w:firstLineChars="30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3</w:t>
      </w:r>
      <w:r>
        <w:rPr>
          <w:rFonts w:ascii="宋体" w:hAnsi="宋体"/>
          <w:color w:val="auto"/>
          <w:highlight w:val="none"/>
        </w:rPr>
        <w:t>)</w:t>
      </w:r>
      <w:r>
        <w:rPr>
          <w:rFonts w:hint="eastAsia" w:ascii="宋体" w:hAnsi="宋体"/>
          <w:color w:val="auto"/>
          <w:highlight w:val="none"/>
        </w:rPr>
        <w:t>投标人认为有必要提供的声明或材料(中小企业声明、残疾人福利性单位声明、监狱企业证明、节能或环境标志产品证书等)</w:t>
      </w:r>
    </w:p>
    <w:p>
      <w:pPr>
        <w:snapToGrid w:val="0"/>
        <w:spacing w:line="410" w:lineRule="exact"/>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1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color w:val="auto"/>
          <w:szCs w:val="21"/>
          <w:highlight w:val="none"/>
        </w:rPr>
        <w:t>开标一览表(格式见第六章</w:t>
      </w:r>
      <w:r>
        <w:rPr>
          <w:rFonts w:hint="eastAsia" w:ascii="宋体" w:hAnsi="宋体"/>
          <w:color w:val="auto"/>
          <w:szCs w:val="21"/>
          <w:highlight w:val="none"/>
          <w:lang w:eastAsia="zh-CN"/>
        </w:rPr>
        <w:t>）</w:t>
      </w:r>
    </w:p>
    <w:p>
      <w:pPr>
        <w:snapToGrid w:val="0"/>
        <w:spacing w:line="410" w:lineRule="exact"/>
        <w:ind w:firstLine="422"/>
        <w:rPr>
          <w:rFonts w:hint="eastAsia" w:ascii="宋体" w:hAnsi="宋体"/>
          <w:color w:val="auto"/>
          <w:highlight w:val="none"/>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2)</w:t>
      </w:r>
      <w:bookmarkStart w:id="147" w:name="_Hlk92265738"/>
      <w:r>
        <w:rPr>
          <w:rFonts w:hint="eastAsia" w:ascii="宋体" w:hAnsi="宋体"/>
          <w:bCs/>
          <w:color w:val="auto"/>
          <w:szCs w:val="21"/>
          <w:highlight w:val="none"/>
        </w:rPr>
        <w:t>报价明细表</w:t>
      </w:r>
      <w:bookmarkEnd w:id="147"/>
      <w:r>
        <w:rPr>
          <w:rFonts w:hint="eastAsia" w:ascii="宋体" w:hAnsi="宋体"/>
          <w:bCs/>
          <w:color w:val="auto"/>
          <w:szCs w:val="21"/>
          <w:highlight w:val="none"/>
        </w:rPr>
        <w:t>(格式见第六章)</w:t>
      </w:r>
    </w:p>
    <w:bookmarkEnd w:id="143"/>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注：标注★号的材料均为必须提供的材料须由投标人加盖公章，授权委托书必须由法定代表人签名，报价文件还须由法定代表人或授权代表签名，否则视为无效投标文件。</w:t>
      </w:r>
    </w:p>
    <w:bookmarkEnd w:id="138"/>
    <w:bookmarkEnd w:id="139"/>
    <w:bookmarkEnd w:id="140"/>
    <w:bookmarkEnd w:id="141"/>
    <w:bookmarkEnd w:id="142"/>
    <w:p>
      <w:pPr>
        <w:spacing w:line="410" w:lineRule="exact"/>
        <w:ind w:firstLine="211" w:firstLineChars="100"/>
        <w:rPr>
          <w:rFonts w:ascii="宋体" w:hAnsi="宋体"/>
          <w:b/>
          <w:bCs/>
          <w:color w:val="auto"/>
          <w:szCs w:val="21"/>
          <w:highlight w:val="none"/>
        </w:rPr>
      </w:pPr>
      <w:bookmarkStart w:id="148" w:name="_Hlk90906323"/>
      <w:bookmarkStart w:id="149" w:name="_Hlk92447223"/>
      <w:r>
        <w:rPr>
          <w:rFonts w:hint="eastAsia" w:ascii="宋体" w:hAnsi="宋体"/>
          <w:b/>
          <w:color w:val="auto"/>
          <w:szCs w:val="21"/>
          <w:highlight w:val="none"/>
        </w:rPr>
        <w:t>（三）</w:t>
      </w:r>
      <w:bookmarkStart w:id="150" w:name="_Toc254970678"/>
      <w:bookmarkStart w:id="151" w:name="_Toc353785292"/>
      <w:bookmarkStart w:id="152" w:name="_Toc352700422"/>
      <w:bookmarkStart w:id="153" w:name="_Toc254970537"/>
      <w:r>
        <w:rPr>
          <w:rFonts w:hint="eastAsia" w:ascii="宋体" w:hAnsi="宋体"/>
          <w:b/>
          <w:bCs/>
          <w:color w:val="auto"/>
          <w:szCs w:val="21"/>
          <w:highlight w:val="none"/>
        </w:rPr>
        <w:t>投标文件的编制、签署及加密</w:t>
      </w:r>
    </w:p>
    <w:p>
      <w:pPr>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投标人应认真阅读、并充分理解招标文件的全部内容(包括所有的补充、修改内容)，承诺履行其各项条款的规定并按要求编制，投标文件应为电子文件或扫描件(样品除外)。</w:t>
      </w:r>
    </w:p>
    <w:p>
      <w:pPr>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投标人应通过广西政府采购云平台客户端编制加密投标文件。</w:t>
      </w:r>
    </w:p>
    <w:p>
      <w:pPr>
        <w:spacing w:line="41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由资格文件、商务技术文件和报价文件组成，投标人应按规定的顺序编制并标注页码、准确设置评审关联点，未设置或未正确设置关联点而导致投标文件被误读、漏读或者查找不到相关响应内容的责任和后果由投标人承担。</w:t>
      </w:r>
    </w:p>
    <w:p>
      <w:pPr>
        <w:spacing w:line="410" w:lineRule="exact"/>
        <w:ind w:firstLine="0" w:firstLineChars="0"/>
        <w:rPr>
          <w:rFonts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投标文件由投标人在规定位置由法定代表人或授权委托人签名（可为电子签名）、填写投标人名称，并加盖公章(简称“盖章”，可为电子公章)，投标人名称应写全称。</w:t>
      </w:r>
    </w:p>
    <w:p>
      <w:pPr>
        <w:snapToGrid w:val="0"/>
        <w:spacing w:line="410" w:lineRule="exact"/>
        <w:ind w:firstLine="210" w:firstLineChars="100"/>
        <w:rPr>
          <w:rFonts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投标文件内容不完整、编排混乱、不清晰等原因导致被误读或漏读的责任和后果由投标人承担。</w:t>
      </w:r>
    </w:p>
    <w:bookmarkEnd w:id="148"/>
    <w:p>
      <w:pPr>
        <w:spacing w:line="410" w:lineRule="exact"/>
        <w:ind w:firstLine="211" w:firstLineChars="100"/>
        <w:rPr>
          <w:color w:val="auto"/>
          <w:highlight w:val="none"/>
        </w:rPr>
      </w:pPr>
      <w:r>
        <w:rPr>
          <w:rFonts w:hint="eastAsia"/>
          <w:b/>
          <w:bCs/>
          <w:color w:val="auto"/>
          <w:highlight w:val="none"/>
        </w:rPr>
        <w:t>（四）投标文件的语言及计量</w:t>
      </w:r>
      <w:bookmarkEnd w:id="150"/>
      <w:bookmarkEnd w:id="151"/>
      <w:bookmarkEnd w:id="152"/>
      <w:bookmarkEnd w:id="153"/>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投标文件以及投标人与采购人、本中心就有关投标事宜的所有来往函电，均应以中文汉语书写。除签名、盖章、专用名称等特殊情形外，以中文汉语以外的文字表述的视为无效文件。</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投标计量单位，招标文件已有明确规定的，使用招标文件规定的计量单位；招标文件没有规定的，应采用中华人民共和国法定计量单位（货币单位：人民币元），否则视为无效投标文件。</w:t>
      </w:r>
    </w:p>
    <w:bookmarkEnd w:id="149"/>
    <w:p>
      <w:pPr>
        <w:pStyle w:val="6"/>
        <w:spacing w:before="0" w:after="0" w:line="410" w:lineRule="exact"/>
        <w:ind w:firstLine="211" w:firstLineChars="100"/>
        <w:rPr>
          <w:rFonts w:ascii="宋体" w:hAnsi="宋体" w:eastAsia="宋体"/>
          <w:color w:val="auto"/>
          <w:sz w:val="21"/>
          <w:szCs w:val="21"/>
          <w:highlight w:val="none"/>
        </w:rPr>
      </w:pPr>
      <w:bookmarkStart w:id="154" w:name="_（五）投标报价"/>
      <w:bookmarkEnd w:id="154"/>
      <w:bookmarkStart w:id="155" w:name="_Toc254970679"/>
      <w:bookmarkStart w:id="156" w:name="_Toc352700423"/>
      <w:bookmarkStart w:id="157" w:name="_Toc254970538"/>
      <w:bookmarkStart w:id="158" w:name="_Toc353785293"/>
      <w:bookmarkStart w:id="159" w:name="_Hlk92447977"/>
      <w:r>
        <w:rPr>
          <w:rFonts w:hint="eastAsia" w:ascii="宋体" w:hAnsi="宋体" w:eastAsia="宋体"/>
          <w:color w:val="auto"/>
          <w:sz w:val="21"/>
          <w:szCs w:val="21"/>
          <w:highlight w:val="none"/>
        </w:rPr>
        <w:t>（五）投标报价</w:t>
      </w:r>
      <w:bookmarkEnd w:id="155"/>
      <w:bookmarkEnd w:id="156"/>
      <w:bookmarkEnd w:id="157"/>
      <w:bookmarkEnd w:id="158"/>
    </w:p>
    <w:p>
      <w:pPr>
        <w:pStyle w:val="27"/>
        <w:snapToGrid w:val="0"/>
        <w:spacing w:line="410" w:lineRule="exact"/>
        <w:ind w:firstLine="420"/>
        <w:rPr>
          <w:rFonts w:hAnsi="宋体"/>
          <w:color w:val="auto"/>
          <w:highlight w:val="none"/>
        </w:rPr>
      </w:pPr>
      <w:r>
        <w:rPr>
          <w:rFonts w:hAnsi="宋体"/>
          <w:color w:val="auto"/>
          <w:highlight w:val="none"/>
        </w:rPr>
        <w:t>1.</w:t>
      </w:r>
      <w:r>
        <w:rPr>
          <w:rFonts w:hint="eastAsia" w:hAnsi="宋体"/>
          <w:color w:val="auto"/>
          <w:highlight w:val="none"/>
        </w:rPr>
        <w:t>招标文件中未列明，而投标人认为必需的费用也须列入总报价。在合同实施时，采购人将不予支付中标人没有列入总报价的费用，并认为此项费用已包含在总报价中。</w:t>
      </w:r>
    </w:p>
    <w:p>
      <w:pPr>
        <w:pStyle w:val="27"/>
        <w:snapToGrid w:val="0"/>
        <w:spacing w:line="410" w:lineRule="exact"/>
        <w:ind w:firstLine="420"/>
        <w:rPr>
          <w:color w:val="auto"/>
          <w:highlight w:val="none"/>
        </w:rPr>
      </w:pPr>
      <w:r>
        <w:rPr>
          <w:rFonts w:hAnsi="宋体"/>
          <w:color w:val="auto"/>
          <w:highlight w:val="none"/>
        </w:rPr>
        <w:t>2.</w:t>
      </w:r>
      <w:r>
        <w:rPr>
          <w:rFonts w:hint="eastAsia" w:hAnsi="宋体"/>
          <w:color w:val="auto"/>
          <w:highlight w:val="none"/>
        </w:rPr>
        <w:t>投标报价应按招标文件中相关附表格式填写。投标人</w:t>
      </w:r>
      <w:r>
        <w:rPr>
          <w:rFonts w:hint="eastAsia"/>
          <w:color w:val="auto"/>
          <w:highlight w:val="none"/>
        </w:rPr>
        <w:t>必须就《项目需求》的内容作完整唯一报价。</w:t>
      </w:r>
    </w:p>
    <w:p>
      <w:pPr>
        <w:tabs>
          <w:tab w:val="left" w:pos="525"/>
        </w:tabs>
        <w:snapToGrid w:val="0"/>
        <w:spacing w:line="41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投标文件每标项只允许有一个总报价，有选择的或有条件的报价视为无效投标文件。</w:t>
      </w:r>
    </w:p>
    <w:p>
      <w:pPr>
        <w:pStyle w:val="6"/>
        <w:spacing w:before="0" w:after="0" w:line="410" w:lineRule="exact"/>
        <w:ind w:firstLine="211" w:firstLineChars="100"/>
        <w:rPr>
          <w:rFonts w:ascii="宋体" w:hAnsi="宋体" w:eastAsia="宋体"/>
          <w:color w:val="auto"/>
          <w:sz w:val="21"/>
          <w:szCs w:val="21"/>
          <w:highlight w:val="none"/>
        </w:rPr>
      </w:pPr>
      <w:bookmarkStart w:id="160" w:name="_（六）投标文件有效期"/>
      <w:bookmarkEnd w:id="160"/>
      <w:bookmarkStart w:id="161" w:name="_Toc353785294"/>
      <w:bookmarkStart w:id="162" w:name="_Toc352700424"/>
      <w:r>
        <w:rPr>
          <w:rFonts w:hint="eastAsia" w:ascii="宋体" w:hAnsi="宋体" w:eastAsia="宋体"/>
          <w:color w:val="auto"/>
          <w:sz w:val="21"/>
          <w:szCs w:val="21"/>
          <w:highlight w:val="none"/>
        </w:rPr>
        <w:t>（六）投标有效期</w:t>
      </w:r>
      <w:bookmarkEnd w:id="159"/>
      <w:bookmarkEnd w:id="161"/>
      <w:bookmarkEnd w:id="162"/>
      <w:bookmarkStart w:id="163" w:name="_（七）投标保证金"/>
      <w:bookmarkEnd w:id="163"/>
      <w:bookmarkStart w:id="164" w:name="_Toc254970541"/>
      <w:bookmarkStart w:id="165" w:name="_Toc254970682"/>
      <w:bookmarkStart w:id="166" w:name="_Toc352700425"/>
      <w:bookmarkStart w:id="167" w:name="_Toc353785295"/>
      <w:bookmarkStart w:id="168" w:name="_Hlk92448848"/>
    </w:p>
    <w:p>
      <w:pPr>
        <w:spacing w:line="410" w:lineRule="exact"/>
        <w:ind w:firstLine="420"/>
        <w:rPr>
          <w:color w:val="auto"/>
          <w:highlight w:val="none"/>
        </w:rPr>
      </w:pPr>
      <w:r>
        <w:rPr>
          <w:rFonts w:hint="eastAsia"/>
          <w:color w:val="auto"/>
          <w:highlight w:val="none"/>
        </w:rPr>
        <w:t>投标有效期从提交投标文件的截止之日起算。投标文件中承诺的投标有效期应当不少于9</w:t>
      </w:r>
      <w:r>
        <w:rPr>
          <w:color w:val="auto"/>
          <w:highlight w:val="none"/>
        </w:rPr>
        <w:t>0</w:t>
      </w:r>
      <w:r>
        <w:rPr>
          <w:rFonts w:hint="eastAsia"/>
          <w:color w:val="auto"/>
          <w:highlight w:val="none"/>
        </w:rPr>
        <w:t>天。</w:t>
      </w:r>
    </w:p>
    <w:p>
      <w:pPr>
        <w:pStyle w:val="6"/>
        <w:spacing w:before="0" w:after="0" w:line="410" w:lineRule="exact"/>
        <w:ind w:firstLine="211" w:firstLineChars="100"/>
        <w:rPr>
          <w:rFonts w:ascii="宋体" w:hAnsi="宋体" w:eastAsia="宋体"/>
          <w:color w:val="auto"/>
          <w:sz w:val="21"/>
          <w:szCs w:val="21"/>
          <w:highlight w:val="none"/>
        </w:rPr>
      </w:pPr>
      <w:r>
        <w:rPr>
          <w:rFonts w:hint="eastAsia" w:ascii="宋体" w:hAnsi="宋体" w:eastAsia="宋体"/>
          <w:color w:val="auto"/>
          <w:sz w:val="21"/>
          <w:szCs w:val="21"/>
          <w:highlight w:val="none"/>
        </w:rPr>
        <w:t>（七）投标保证金</w:t>
      </w:r>
      <w:bookmarkEnd w:id="164"/>
      <w:bookmarkEnd w:id="165"/>
      <w:bookmarkEnd w:id="166"/>
      <w:bookmarkEnd w:id="167"/>
    </w:p>
    <w:p>
      <w:pPr>
        <w:snapToGrid w:val="0"/>
        <w:spacing w:line="410" w:lineRule="exact"/>
        <w:ind w:firstLine="420"/>
        <w:rPr>
          <w:rFonts w:hint="eastAsia" w:ascii="宋体" w:hAnsi="宋体"/>
          <w:color w:val="auto"/>
          <w:szCs w:val="21"/>
          <w:highlight w:val="none"/>
        </w:rPr>
      </w:pPr>
      <w:bookmarkStart w:id="169" w:name="_Toc254970683"/>
      <w:bookmarkStart w:id="170" w:name="_Toc254970542"/>
      <w:bookmarkStart w:id="171" w:name="_Toc352700426"/>
      <w:bookmarkStart w:id="172" w:name="_Toc353785296"/>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投标保证金金额：叁万元整(￥30,000.00)</w:t>
      </w:r>
    </w:p>
    <w:p>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提交形式：以支票、汇票、本票、网上银行支付</w:t>
      </w:r>
      <w:bookmarkStart w:id="173" w:name="_Hlk91771269"/>
      <w:r>
        <w:rPr>
          <w:rFonts w:hint="eastAsia" w:ascii="宋体" w:hAnsi="宋体"/>
          <w:color w:val="auto"/>
          <w:szCs w:val="21"/>
          <w:highlight w:val="none"/>
        </w:rPr>
        <w:t>或者金融机构、担保机构出具的保函</w:t>
      </w:r>
      <w:bookmarkEnd w:id="173"/>
      <w:r>
        <w:rPr>
          <w:rFonts w:hint="eastAsia" w:ascii="宋体" w:hAnsi="宋体"/>
          <w:color w:val="auto"/>
          <w:szCs w:val="21"/>
          <w:highlight w:val="none"/>
        </w:rPr>
        <w:t>等非现金形式提交。</w:t>
      </w:r>
    </w:p>
    <w:p>
      <w:pPr>
        <w:snapToGrid w:val="0"/>
        <w:spacing w:line="410" w:lineRule="exact"/>
        <w:ind w:firstLine="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以支票、汇票、本票或者金融机构、担保机构出具的保函等形式提交保证金的，投标人必须将票据、保函等原件于投标文件提交截止时间前递交至本中心财务室（地址:广西钦州市钦南区水东街区金海湾东大街8号市政务服务中心二楼市采购中心财务室，联系方式:0777-2886026）。</w:t>
      </w:r>
    </w:p>
    <w:p>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以网上银行形式提交保证金的，投标人必须于投标文件提交截止时间前从投标人账户缴存至本中心银行账户并确保到账，否则视为无效保证金。</w:t>
      </w:r>
    </w:p>
    <w:p>
      <w:pPr>
        <w:snapToGrid w:val="0"/>
        <w:spacing w:line="410" w:lineRule="exact"/>
        <w:ind w:firstLine="0" w:firstLineChars="0"/>
        <w:rPr>
          <w:rFonts w:hint="eastAsia"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本中心银行账户：</w:t>
      </w:r>
    </w:p>
    <w:p>
      <w:pPr>
        <w:snapToGrid w:val="0"/>
        <w:spacing w:line="410" w:lineRule="exact"/>
        <w:ind w:firstLine="0" w:firstLineChars="0"/>
        <w:rPr>
          <w:rFonts w:ascii="宋体" w:hAnsi="宋体"/>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开户名称：钦州市政府采购中心</w:t>
      </w:r>
    </w:p>
    <w:p>
      <w:pPr>
        <w:snapToGrid w:val="0"/>
        <w:spacing w:line="410" w:lineRule="exact"/>
        <w:ind w:firstLine="0" w:firstLineChars="0"/>
        <w:rPr>
          <w:rFonts w:hint="eastAsia" w:ascii="宋体" w:hAnsi="宋体"/>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开户银行：中国工商银行股份有限公司钦州市永福东支行</w:t>
      </w:r>
    </w:p>
    <w:p>
      <w:pPr>
        <w:snapToGrid w:val="0"/>
        <w:spacing w:line="410" w:lineRule="exact"/>
        <w:ind w:firstLine="0" w:firstLineChars="0"/>
        <w:rPr>
          <w:rFonts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银行账号：2115591229100078724</w:t>
      </w:r>
    </w:p>
    <w:p>
      <w:pPr>
        <w:snapToGrid w:val="0"/>
        <w:spacing w:line="410" w:lineRule="exact"/>
        <w:ind w:firstLine="420" w:firstLineChars="0"/>
        <w:rPr>
          <w:rFonts w:hint="eastAsia" w:ascii="宋体" w:hAnsi="宋体"/>
          <w:bCs/>
          <w:color w:val="auto"/>
          <w:szCs w:val="21"/>
          <w:highlight w:val="none"/>
        </w:rPr>
      </w:pPr>
      <w:r>
        <w:rPr>
          <w:rFonts w:hint="eastAsia" w:ascii="宋体" w:hAnsi="宋体"/>
          <w:color w:val="auto"/>
          <w:szCs w:val="21"/>
          <w:highlight w:val="none"/>
        </w:rPr>
        <w:t>注：投标人无法选择以上开户银行的，请选择“中国工商银行股份有限公司钦州分行”进行缴存。</w:t>
      </w:r>
    </w:p>
    <w:p>
      <w:pPr>
        <w:snapToGrid w:val="0"/>
        <w:spacing w:line="410" w:lineRule="exact"/>
        <w:ind w:firstLine="0" w:firstLineChars="0"/>
        <w:rPr>
          <w:rFonts w:hint="eastAsia" w:ascii="宋体" w:hAnsi="宋体"/>
          <w:color w:val="auto"/>
          <w:szCs w:val="21"/>
          <w:highlight w:val="none"/>
        </w:rPr>
      </w:pPr>
      <w:r>
        <w:rPr>
          <w:rFonts w:hint="eastAsia" w:ascii="宋体" w:hAnsi="宋体"/>
          <w:color w:val="auto"/>
          <w:szCs w:val="21"/>
          <w:highlight w:val="none"/>
        </w:rPr>
        <w:tab/>
      </w:r>
      <w:r>
        <w:rPr>
          <w:rFonts w:ascii="宋体" w:hAnsi="宋体"/>
          <w:color w:val="auto"/>
          <w:szCs w:val="21"/>
          <w:highlight w:val="none"/>
        </w:rPr>
        <w:t>3.</w:t>
      </w:r>
      <w:r>
        <w:rPr>
          <w:rFonts w:hint="eastAsia" w:ascii="宋体" w:hAnsi="宋体"/>
          <w:color w:val="auto"/>
          <w:szCs w:val="21"/>
          <w:highlight w:val="none"/>
        </w:rPr>
        <w:t>评标委员会将以投标人递交的支票、汇票、本票、保函原件以及本中心财务室出具的《保证金收缴情况表》作为评审依据，对未按规定提交投标保证金的投标文件作无效处理。</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保证金的退付：</w:t>
      </w:r>
    </w:p>
    <w:tbl>
      <w:tblPr>
        <w:tblStyle w:val="49"/>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439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Borders>
              <w:tl2br w:val="single" w:color="auto" w:sz="4" w:space="0"/>
            </w:tcBorders>
            <w:noWrap w:val="0"/>
            <w:vAlign w:val="center"/>
          </w:tcPr>
          <w:p>
            <w:pPr>
              <w:snapToGrid w:val="0"/>
              <w:spacing w:line="410" w:lineRule="exact"/>
              <w:ind w:firstLine="33" w:firstLineChars="16"/>
              <w:rPr>
                <w:rFonts w:hint="eastAsia" w:ascii="宋体" w:hAnsi="宋体"/>
                <w:color w:val="auto"/>
                <w:szCs w:val="21"/>
                <w:highlight w:val="none"/>
              </w:rPr>
            </w:pPr>
            <w:r>
              <w:rPr>
                <w:rFonts w:hint="eastAsia" w:ascii="宋体" w:hAnsi="宋体"/>
                <w:color w:val="auto"/>
                <w:szCs w:val="21"/>
                <w:highlight w:val="none"/>
              </w:rPr>
              <w:t xml:space="preserve">     提交形式</w:t>
            </w:r>
          </w:p>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投标人</w:t>
            </w:r>
          </w:p>
        </w:tc>
        <w:tc>
          <w:tcPr>
            <w:tcW w:w="4394" w:type="dxa"/>
            <w:noWrap w:val="0"/>
            <w:vAlign w:val="center"/>
          </w:tcPr>
          <w:p>
            <w:pPr>
              <w:snapToGrid w:val="0"/>
              <w:spacing w:line="410" w:lineRule="exact"/>
              <w:ind w:firstLine="0" w:firstLineChars="0"/>
              <w:jc w:val="center"/>
              <w:rPr>
                <w:rFonts w:ascii="宋体" w:hAnsi="宋体"/>
                <w:color w:val="auto"/>
                <w:szCs w:val="21"/>
                <w:highlight w:val="none"/>
              </w:rPr>
            </w:pPr>
            <w:r>
              <w:rPr>
                <w:rFonts w:hint="eastAsia" w:ascii="宋体" w:hAnsi="宋体"/>
                <w:color w:val="auto"/>
                <w:szCs w:val="21"/>
                <w:highlight w:val="none"/>
              </w:rPr>
              <w:t>网上银行形式</w:t>
            </w:r>
          </w:p>
        </w:tc>
        <w:tc>
          <w:tcPr>
            <w:tcW w:w="3260" w:type="dxa"/>
            <w:noWrap w:val="0"/>
            <w:vAlign w:val="center"/>
          </w:tcPr>
          <w:p>
            <w:pPr>
              <w:snapToGrid w:val="0"/>
              <w:spacing w:line="410" w:lineRule="exact"/>
              <w:ind w:firstLine="0" w:firstLineChars="0"/>
              <w:jc w:val="center"/>
              <w:rPr>
                <w:rFonts w:ascii="宋体" w:hAnsi="宋体"/>
                <w:color w:val="auto"/>
                <w:spacing w:val="-10"/>
                <w:szCs w:val="21"/>
                <w:highlight w:val="none"/>
              </w:rPr>
            </w:pPr>
            <w:r>
              <w:rPr>
                <w:rFonts w:hint="eastAsia" w:ascii="宋体" w:hAnsi="宋体"/>
                <w:color w:val="auto"/>
                <w:spacing w:val="-10"/>
                <w:szCs w:val="21"/>
                <w:highlight w:val="none"/>
              </w:rPr>
              <w:t>支票、汇票、本票、保函等形式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410" w:lineRule="exact"/>
              <w:ind w:firstLine="0" w:firstLineChars="0"/>
              <w:jc w:val="center"/>
              <w:rPr>
                <w:rFonts w:ascii="宋体" w:hAnsi="宋体"/>
                <w:color w:val="auto"/>
                <w:szCs w:val="21"/>
                <w:highlight w:val="none"/>
              </w:rPr>
            </w:pPr>
            <w:r>
              <w:rPr>
                <w:rFonts w:hint="eastAsia" w:ascii="宋体" w:hAnsi="宋体"/>
                <w:color w:val="auto"/>
                <w:szCs w:val="21"/>
                <w:highlight w:val="none"/>
              </w:rPr>
              <w:t>未中标人</w:t>
            </w:r>
          </w:p>
        </w:tc>
        <w:tc>
          <w:tcPr>
            <w:tcW w:w="4394"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中标通知书(结果公告)发出之日起四个工作日内以网上银行形式退回到投标人银行账户。</w:t>
            </w:r>
          </w:p>
        </w:tc>
        <w:tc>
          <w:tcPr>
            <w:tcW w:w="3260"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中标通知书(结果公告)发出之日起四个工作日内退还。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410" w:lineRule="exact"/>
              <w:ind w:firstLine="33" w:firstLineChars="16"/>
              <w:jc w:val="center"/>
              <w:rPr>
                <w:rFonts w:ascii="宋体" w:hAnsi="宋体"/>
                <w:color w:val="auto"/>
                <w:szCs w:val="21"/>
                <w:highlight w:val="none"/>
              </w:rPr>
            </w:pPr>
            <w:r>
              <w:rPr>
                <w:rFonts w:hint="eastAsia" w:ascii="宋体" w:hAnsi="宋体"/>
                <w:color w:val="auto"/>
                <w:szCs w:val="21"/>
                <w:highlight w:val="none"/>
              </w:rPr>
              <w:t>中标人</w:t>
            </w:r>
          </w:p>
        </w:tc>
        <w:tc>
          <w:tcPr>
            <w:tcW w:w="4394"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在政府采购合同签订之日起四个工作日内以网上银行形式退回到投标人银行账户。</w:t>
            </w:r>
          </w:p>
        </w:tc>
        <w:tc>
          <w:tcPr>
            <w:tcW w:w="3260"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在政府采购合同签订之日起四个工作日内退还。</w:t>
            </w:r>
          </w:p>
        </w:tc>
      </w:tr>
    </w:tbl>
    <w:p>
      <w:pPr>
        <w:widowControl/>
        <w:spacing w:line="41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注：因投标人自身原因导致无法及时退还的除外</w:t>
      </w:r>
    </w:p>
    <w:p>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投标人有下列情形之一的，投标保证金将不予退还：</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投标人在投标有效期内撤回投标文件的；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投标人在投标文件中提供虚假材料的；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投标人与其他投标人或采购代理机构恶意串通的；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中标人无正当理由不与采购人签订采购合同的；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招标文件规定的其他情形。</w:t>
      </w:r>
    </w:p>
    <w:bookmarkEnd w:id="168"/>
    <w:bookmarkEnd w:id="169"/>
    <w:bookmarkEnd w:id="170"/>
    <w:bookmarkEnd w:id="171"/>
    <w:bookmarkEnd w:id="172"/>
    <w:p>
      <w:pPr>
        <w:spacing w:line="410" w:lineRule="exact"/>
        <w:ind w:firstLine="211" w:firstLineChars="100"/>
        <w:rPr>
          <w:b/>
          <w:bCs/>
          <w:color w:val="auto"/>
          <w:highlight w:val="none"/>
        </w:rPr>
      </w:pPr>
      <w:r>
        <w:rPr>
          <w:rFonts w:hint="eastAsia"/>
          <w:b/>
          <w:bCs/>
          <w:color w:val="auto"/>
          <w:highlight w:val="none"/>
        </w:rPr>
        <w:t>（八）投标文件的上传、提交、修改、撤回</w:t>
      </w:r>
    </w:p>
    <w:p>
      <w:pPr>
        <w:snapToGrid w:val="0"/>
        <w:spacing w:line="410" w:lineRule="exact"/>
        <w:ind w:firstLine="420"/>
        <w:rPr>
          <w:rFonts w:hint="eastAsia" w:ascii="宋体" w:hAnsi="宋体"/>
          <w:color w:val="auto"/>
          <w:szCs w:val="21"/>
          <w:highlight w:val="none"/>
        </w:rPr>
      </w:pPr>
      <w:bookmarkStart w:id="174" w:name="_Toc353785297"/>
      <w:bookmarkStart w:id="175" w:name="_Toc352700427"/>
      <w:r>
        <w:rPr>
          <w:rFonts w:ascii="宋体" w:hAnsi="宋体"/>
          <w:color w:val="auto"/>
          <w:szCs w:val="21"/>
          <w:highlight w:val="none"/>
        </w:rPr>
        <w:t>1.</w:t>
      </w:r>
      <w:r>
        <w:rPr>
          <w:rFonts w:hint="eastAsia" w:ascii="宋体" w:hAnsi="宋体"/>
          <w:color w:val="auto"/>
          <w:szCs w:val="21"/>
          <w:highlight w:val="none"/>
        </w:rPr>
        <w:t>投标文件的上传和提交:投标人须将编制好的加密投标文件上传至政府采购云平台，并在投标文件提交截止时间前提交，否则</w:t>
      </w:r>
      <w:bookmarkStart w:id="176" w:name="_Hlk91772691"/>
      <w:r>
        <w:rPr>
          <w:rFonts w:hint="eastAsia" w:ascii="宋体" w:hAnsi="宋体"/>
          <w:color w:val="auto"/>
          <w:szCs w:val="21"/>
          <w:highlight w:val="none"/>
        </w:rPr>
        <w:t>政府采购云平台</w:t>
      </w:r>
      <w:bookmarkEnd w:id="176"/>
      <w:r>
        <w:rPr>
          <w:rFonts w:hint="eastAsia" w:ascii="宋体" w:hAnsi="宋体"/>
          <w:color w:val="auto"/>
          <w:szCs w:val="21"/>
          <w:highlight w:val="none"/>
        </w:rPr>
        <w:t>将予以拒收。投标文件提交成功后，投标人可自行打印投标文件接收回执。</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的修改和撤回：投标人在投标文件提交截止时间前可对投标文件进行补充、修改或者撤回。补充或者修改投标文件的，应当先行撤回原投标文件，补充、修改后重新上传、提交。投标文件提交截止时间前未完成重新提交的，视为撤回投标文件，投标文件提交截止时间后提交投标文件的，政府采购云平台将予以拒收。投标文件提交截止时间后，投标人不得撤回、修改投标文件。补充、修改的内容应当按照招标文件要求签署、盖章，作为投标文件的组成部分。</w:t>
      </w:r>
    </w:p>
    <w:p>
      <w:pPr>
        <w:snapToGrid w:val="0"/>
        <w:spacing w:line="410" w:lineRule="exact"/>
        <w:ind w:firstLine="420"/>
        <w:rPr>
          <w:rFonts w:hint="eastAsia" w:ascii="宋体" w:hAnsi="宋体"/>
          <w:color w:val="auto"/>
          <w:szCs w:val="21"/>
          <w:highlight w:val="none"/>
        </w:rPr>
      </w:pPr>
    </w:p>
    <w:p>
      <w:pPr>
        <w:pStyle w:val="6"/>
        <w:spacing w:before="0" w:after="0" w:line="410" w:lineRule="exact"/>
        <w:ind w:firstLine="0" w:firstLineChars="0"/>
        <w:rPr>
          <w:rFonts w:hint="eastAsia" w:ascii="方正小标宋_GBK" w:eastAsia="方正小标宋_GBK"/>
          <w:b w:val="0"/>
          <w:bCs w:val="0"/>
          <w:color w:val="auto"/>
          <w:sz w:val="24"/>
          <w:szCs w:val="24"/>
          <w:highlight w:val="none"/>
        </w:rPr>
      </w:pPr>
      <w:bookmarkStart w:id="177" w:name="_四、开标"/>
      <w:bookmarkEnd w:id="177"/>
      <w:r>
        <w:rPr>
          <w:rFonts w:hint="eastAsia" w:ascii="方正小标宋_GBK" w:eastAsia="方正小标宋_GBK"/>
          <w:b w:val="0"/>
          <w:bCs w:val="0"/>
          <w:color w:val="auto"/>
          <w:sz w:val="24"/>
          <w:szCs w:val="24"/>
          <w:highlight w:val="none"/>
        </w:rPr>
        <w:t>四、开标</w:t>
      </w:r>
      <w:bookmarkStart w:id="178" w:name="_Toc353785300"/>
      <w:bookmarkStart w:id="179" w:name="_Toc352700430"/>
    </w:p>
    <w:bookmarkEnd w:id="178"/>
    <w:bookmarkEnd w:id="179"/>
    <w:p>
      <w:pPr>
        <w:spacing w:line="410"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（一）本中心将在投标文件提交截止时间后在</w:t>
      </w:r>
      <w:bookmarkStart w:id="180" w:name="_Hlk90300735"/>
      <w:r>
        <w:rPr>
          <w:rFonts w:hint="eastAsia"/>
          <w:color w:val="auto"/>
          <w:highlight w:val="none"/>
        </w:rPr>
        <w:t>政采云远程开标大厅</w:t>
      </w:r>
      <w:bookmarkEnd w:id="180"/>
      <w:r>
        <w:rPr>
          <w:rFonts w:hint="eastAsia"/>
          <w:color w:val="auto"/>
          <w:highlight w:val="none"/>
        </w:rPr>
        <w:t>进行开标，投标人法定代表人或委托代理人须按时登录</w:t>
      </w:r>
      <w:bookmarkStart w:id="181" w:name="_Hlk90300780"/>
      <w:r>
        <w:rPr>
          <w:rFonts w:hint="eastAsia"/>
          <w:color w:val="auto"/>
          <w:highlight w:val="none"/>
        </w:rPr>
        <w:t>政采云远程开标大厅</w:t>
      </w:r>
      <w:bookmarkEnd w:id="181"/>
      <w:r>
        <w:rPr>
          <w:rFonts w:hint="eastAsia"/>
          <w:color w:val="auto"/>
          <w:highlight w:val="none"/>
        </w:rPr>
        <w:t>（政府采购云平台-应用中心-项目采购-开标评标），保持全程在线并关注开标评标进度，评标期间评标委员会提出澄清等要求时，投标人须在规定时间内进行应答，否则按招标文件或政采云平台的相关规定执行。</w:t>
      </w:r>
      <w:bookmarkStart w:id="182" w:name="_Toc353785301"/>
      <w:bookmarkStart w:id="183" w:name="_Toc352700431"/>
    </w:p>
    <w:p>
      <w:pPr>
        <w:spacing w:line="410" w:lineRule="exact"/>
        <w:ind w:firstLine="210" w:firstLineChars="100"/>
        <w:rPr>
          <w:rFonts w:ascii="方正小标宋_GBK" w:hAnsi="Arial" w:eastAsia="方正小标宋_GBK"/>
          <w:bCs/>
          <w:color w:val="auto"/>
          <w:sz w:val="24"/>
          <w:highlight w:val="none"/>
        </w:rPr>
      </w:pPr>
      <w:r>
        <w:rPr>
          <w:rFonts w:hint="eastAsia"/>
          <w:color w:val="auto"/>
          <w:highlight w:val="none"/>
        </w:rPr>
        <w:t>（二）开标程序</w:t>
      </w:r>
      <w:bookmarkEnd w:id="182"/>
      <w:bookmarkEnd w:id="183"/>
    </w:p>
    <w:p>
      <w:pPr>
        <w:spacing w:line="410" w:lineRule="exact"/>
        <w:ind w:left="420" w:firstLine="0" w:firstLineChars="0"/>
        <w:rPr>
          <w:color w:val="auto"/>
          <w:highlight w:val="none"/>
        </w:rPr>
      </w:pPr>
      <w:r>
        <w:rPr>
          <w:color w:val="auto"/>
          <w:highlight w:val="none"/>
        </w:rPr>
        <w:t>1.</w:t>
      </w:r>
      <w:r>
        <w:rPr>
          <w:rFonts w:hint="eastAsia"/>
          <w:color w:val="auto"/>
          <w:highlight w:val="none"/>
        </w:rPr>
        <w:t>开标会由本中心主持；</w:t>
      </w:r>
    </w:p>
    <w:p>
      <w:pPr>
        <w:spacing w:line="410" w:lineRule="exact"/>
        <w:ind w:firstLine="420"/>
        <w:rPr>
          <w:color w:val="auto"/>
          <w:highlight w:val="none"/>
        </w:rPr>
      </w:pPr>
      <w:r>
        <w:rPr>
          <w:color w:val="auto"/>
          <w:highlight w:val="none"/>
        </w:rPr>
        <w:t>2.</w:t>
      </w:r>
      <w:r>
        <w:rPr>
          <w:rFonts w:hint="eastAsia"/>
          <w:b/>
          <w:bCs/>
          <w:color w:val="auto"/>
          <w:highlight w:val="none"/>
        </w:rPr>
        <w:t>解密：</w:t>
      </w:r>
      <w:r>
        <w:rPr>
          <w:rFonts w:hint="eastAsia"/>
          <w:color w:val="auto"/>
          <w:highlight w:val="none"/>
        </w:rPr>
        <w:t>投标文件提交时间截止后，我中心将向各提交投标文件的投标人发出电子加密投标文件解密通知，投标人代表应当在接到解密通知后30分钟内对已加密的电子投标文件进行在线解密。投标人未在规定时间内完成解密的，政府采购云平台视为投标人自主放弃投标。</w:t>
      </w:r>
    </w:p>
    <w:p>
      <w:pPr>
        <w:spacing w:line="410" w:lineRule="exact"/>
        <w:ind w:firstLine="420"/>
        <w:rPr>
          <w:color w:val="auto"/>
          <w:highlight w:val="none"/>
        </w:rPr>
      </w:pPr>
      <w:r>
        <w:rPr>
          <w:rFonts w:hint="eastAsia"/>
          <w:color w:val="auto"/>
          <w:highlight w:val="none"/>
        </w:rPr>
        <w:t>注：当招标项目(或分标</w:t>
      </w:r>
      <w:r>
        <w:rPr>
          <w:color w:val="auto"/>
          <w:highlight w:val="none"/>
        </w:rPr>
        <w:t>)</w:t>
      </w:r>
      <w:r>
        <w:rPr>
          <w:rFonts w:hint="eastAsia"/>
          <w:color w:val="auto"/>
          <w:highlight w:val="none"/>
        </w:rPr>
        <w:t>的投标人不足3家的，不开标。</w:t>
      </w:r>
    </w:p>
    <w:p>
      <w:pPr>
        <w:spacing w:line="410" w:lineRule="exact"/>
        <w:ind w:firstLine="211" w:firstLineChars="100"/>
        <w:rPr>
          <w:b/>
          <w:bCs/>
          <w:color w:val="auto"/>
          <w:highlight w:val="none"/>
        </w:rPr>
      </w:pPr>
      <w:r>
        <w:rPr>
          <w:rFonts w:hint="eastAsia"/>
          <w:b/>
          <w:bCs/>
          <w:color w:val="auto"/>
          <w:highlight w:val="none"/>
        </w:rPr>
        <w:t>（三）资格审查</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采购人依法对投标人的资格进行审查，招标项目(或分标)</w:t>
      </w:r>
      <w:r>
        <w:rPr>
          <w:rFonts w:ascii="Arial" w:hAnsi="Arial" w:cs="Arial"/>
          <w:color w:val="auto"/>
          <w:highlight w:val="none"/>
        </w:rPr>
        <w:t>合格投标人不足3家的，不评标</w:t>
      </w:r>
      <w:r>
        <w:rPr>
          <w:rFonts w:hint="eastAsia" w:ascii="宋体" w:hAnsi="宋体"/>
          <w:color w:val="auto"/>
          <w:szCs w:val="21"/>
          <w:highlight w:val="none"/>
        </w:rPr>
        <w:t>。</w:t>
      </w:r>
    </w:p>
    <w:p>
      <w:pPr>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资格性审查时，如发现下列情形之一的，投标文件将被视为无效：</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(2)资格证明文件不全的，或者不符合招标文件标明的资格要求的；</w:t>
      </w:r>
    </w:p>
    <w:p>
      <w:pPr>
        <w:snapToGrid w:val="0"/>
        <w:spacing w:line="410" w:lineRule="exact"/>
        <w:ind w:firstLine="42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投标文件递交截止时间的，将被拒绝参与本项目政府采购活动。</w:t>
      </w:r>
    </w:p>
    <w:p>
      <w:pPr>
        <w:pStyle w:val="6"/>
        <w:spacing w:before="0" w:after="0" w:line="410" w:lineRule="exact"/>
        <w:ind w:firstLine="0" w:firstLineChars="0"/>
        <w:rPr>
          <w:rFonts w:hint="eastAsia" w:ascii="方正小标宋_GBK" w:eastAsia="方正小标宋_GBK"/>
          <w:b w:val="0"/>
          <w:bCs w:val="0"/>
          <w:color w:val="auto"/>
          <w:sz w:val="24"/>
          <w:szCs w:val="24"/>
          <w:highlight w:val="none"/>
        </w:rPr>
      </w:pPr>
      <w:bookmarkStart w:id="184" w:name="_五、评标"/>
      <w:bookmarkEnd w:id="184"/>
      <w:bookmarkStart w:id="185" w:name="_Toc353785302"/>
      <w:bookmarkStart w:id="186" w:name="_Toc352700432"/>
      <w:bookmarkStart w:id="187" w:name="_Toc254970686"/>
      <w:bookmarkStart w:id="188" w:name="_Toc254970545"/>
      <w:r>
        <w:rPr>
          <w:rFonts w:hint="eastAsia" w:ascii="方正小标宋_GBK" w:eastAsia="方正小标宋_GBK"/>
          <w:b w:val="0"/>
          <w:bCs w:val="0"/>
          <w:color w:val="auto"/>
          <w:sz w:val="24"/>
          <w:szCs w:val="24"/>
          <w:highlight w:val="none"/>
        </w:rPr>
        <w:t>五、评标</w:t>
      </w:r>
      <w:bookmarkEnd w:id="185"/>
      <w:bookmarkEnd w:id="186"/>
      <w:bookmarkEnd w:id="187"/>
      <w:bookmarkEnd w:id="188"/>
    </w:p>
    <w:p>
      <w:pPr>
        <w:snapToGrid w:val="0"/>
        <w:spacing w:line="410" w:lineRule="exact"/>
        <w:ind w:firstLine="211" w:firstLineChars="100"/>
        <w:rPr>
          <w:rFonts w:ascii="宋体" w:hAnsi="宋体"/>
          <w:b/>
          <w:bCs/>
          <w:color w:val="auto"/>
          <w:szCs w:val="21"/>
          <w:highlight w:val="none"/>
        </w:rPr>
      </w:pPr>
      <w:bookmarkStart w:id="189" w:name="_Toc353785303"/>
      <w:bookmarkStart w:id="190" w:name="_Toc352700433"/>
      <w:r>
        <w:rPr>
          <w:rFonts w:hint="eastAsia" w:ascii="宋体" w:hAnsi="宋体"/>
          <w:b/>
          <w:bCs/>
          <w:color w:val="auto"/>
          <w:szCs w:val="21"/>
          <w:highlight w:val="none"/>
        </w:rPr>
        <w:t>（一）评标原则：</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评标委员会必须公平、公正、客观，不带任何倾向性和启发性；不得向外界透露任何与评标有关的内容；任何单位和个人不得干扰、影响评标的正常进行；评标委员会及有关工作人员不得私下接触投标人。</w:t>
      </w:r>
    </w:p>
    <w:p>
      <w:pPr>
        <w:snapToGrid w:val="0"/>
        <w:spacing w:line="410" w:lineRule="exact"/>
        <w:ind w:firstLine="420"/>
        <w:rPr>
          <w:rFonts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本项目采用不公开方式评标，评标的依据为招标文件和投标文件。</w:t>
      </w:r>
    </w:p>
    <w:p>
      <w:pPr>
        <w:snapToGrid w:val="0"/>
        <w:spacing w:line="410" w:lineRule="exact"/>
        <w:ind w:firstLine="420"/>
        <w:rPr>
          <w:rFonts w:hint="eastAsia" w:ascii="宋体" w:hAnsi="宋体"/>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宋体"/>
          <w:color w:val="auto"/>
          <w:szCs w:val="21"/>
          <w:highlight w:val="none"/>
        </w:rPr>
        <w:t>评标方法：综合评分法，即满足招标文件全部实质性要求且按照评审因素的量化指标评审得分最高的供应商为中标候选人。</w:t>
      </w:r>
    </w:p>
    <w:p>
      <w:pPr>
        <w:snapToGrid w:val="0"/>
        <w:spacing w:line="410" w:lineRule="exact"/>
        <w:ind w:firstLine="211" w:firstLineChars="100"/>
        <w:rPr>
          <w:rFonts w:ascii="宋体" w:hAnsi="宋体"/>
          <w:b/>
          <w:bCs/>
          <w:color w:val="auto"/>
          <w:szCs w:val="21"/>
          <w:highlight w:val="none"/>
        </w:rPr>
      </w:pPr>
      <w:r>
        <w:rPr>
          <w:rFonts w:hint="eastAsia"/>
          <w:b/>
          <w:bCs/>
          <w:color w:val="auto"/>
          <w:highlight w:val="none"/>
        </w:rPr>
        <w:t>（二）组建评标委员会</w:t>
      </w:r>
    </w:p>
    <w:p>
      <w:pPr>
        <w:snapToGrid w:val="0"/>
        <w:spacing w:line="410" w:lineRule="exact"/>
        <w:ind w:firstLine="420"/>
        <w:rPr>
          <w:rFonts w:hint="eastAsia" w:ascii="宋体" w:hAnsi="宋体"/>
          <w:color w:val="auto"/>
          <w:szCs w:val="21"/>
          <w:highlight w:val="none"/>
        </w:rPr>
      </w:pPr>
      <w:r>
        <w:rPr>
          <w:rFonts w:ascii="宋体" w:hAnsi="宋体" w:cs="Courier New"/>
          <w:bCs/>
          <w:color w:val="auto"/>
          <w:szCs w:val="21"/>
          <w:highlight w:val="none"/>
        </w:rPr>
        <w:t>评标委员会由采购人代表和评审专家组成，成员人数应当为</w:t>
      </w:r>
      <w:r>
        <w:rPr>
          <w:rFonts w:hint="eastAsia" w:ascii="宋体" w:hAnsi="宋体" w:cs="Courier New"/>
          <w:bCs/>
          <w:color w:val="auto"/>
          <w:szCs w:val="21"/>
          <w:highlight w:val="none"/>
        </w:rPr>
        <w:t>5</w:t>
      </w:r>
      <w:r>
        <w:rPr>
          <w:rFonts w:ascii="宋体" w:hAnsi="宋体" w:cs="Courier New"/>
          <w:bCs/>
          <w:color w:val="auto"/>
          <w:szCs w:val="21"/>
          <w:highlight w:val="none"/>
        </w:rPr>
        <w:t>人以上单数，其中评审专家不得少于成员总数的三分之二。</w:t>
      </w:r>
      <w:bookmarkEnd w:id="189"/>
      <w:bookmarkEnd w:id="190"/>
    </w:p>
    <w:p>
      <w:pPr>
        <w:spacing w:line="410"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（三）符合性审查</w:t>
      </w:r>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评标委员会对符合资格的投标人投标文件进行符合性审查，以确定其是否满足招标文件的实质性要求。</w:t>
      </w:r>
    </w:p>
    <w:p>
      <w:pPr>
        <w:snapToGrid w:val="0"/>
        <w:spacing w:line="410" w:lineRule="exact"/>
        <w:ind w:firstLine="422"/>
        <w:rPr>
          <w:rFonts w:hint="eastAsia"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符合性审查时，如发现下列情形之一的，投标文件将被视为无效：</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1)</w:t>
      </w:r>
      <w:r>
        <w:rPr>
          <w:rFonts w:hint="eastAsia" w:ascii="宋体" w:hAnsi="宋体"/>
          <w:b/>
          <w:bCs/>
          <w:color w:val="auto"/>
          <w:szCs w:val="21"/>
          <w:highlight w:val="none"/>
        </w:rPr>
        <w:t>商务评审:</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①应交未交投标保证金的；</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②投标文件未按投标文件编制要求提供或内容虚假的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③投标文件无法定代表人或其委托代理人签署、未提供授权委托书，或未按规定盖章的；</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④投标人代表未能出具身份证明或与法定代表人委托代理人身份不符的；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⑤投</w:t>
      </w:r>
      <w:bookmarkStart w:id="191" w:name="_Hlk112423038"/>
      <w:r>
        <w:rPr>
          <w:rFonts w:hint="eastAsia" w:ascii="宋体" w:hAnsi="宋体"/>
          <w:color w:val="auto"/>
          <w:szCs w:val="21"/>
          <w:highlight w:val="none"/>
        </w:rPr>
        <w:t>标有效期、交货时间、质保期等不允许偏离的实质性要求和条件不能满足招标文件要求的；</w:t>
      </w:r>
      <w:bookmarkEnd w:id="191"/>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⑥投标文件的实质性内容未使用中文表述、意思表述不明确、前后矛盾或者使用计量单位不符合招标文件要求的；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⑦未实质性响应招标文件要求或者投标文件有采购人不能接受的附加条件的；</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技术评审：</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hint="eastAsia" w:ascii="宋体" w:hAnsi="宋体"/>
          <w:color w:val="auto"/>
          <w:szCs w:val="21"/>
          <w:highlight w:val="none"/>
        </w:rPr>
        <w:t>未提供或未如实提供货物技术参数或服务响应，或投标文件标明的响应或偏离与事实不符的；</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②明显不符合招标文件要求的质量标准，或者与招标文件中的技术指标、功能、服务事项发生实质性较大偏离，已不符合采购人需求的；</w:t>
      </w:r>
    </w:p>
    <w:p>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③投标文件技术方案不明确，存在一个或一个以上备选（替代）投标方案的。</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3)</w:t>
      </w:r>
      <w:r>
        <w:rPr>
          <w:rFonts w:hint="eastAsia" w:ascii="宋体" w:hAnsi="宋体"/>
          <w:b/>
          <w:bCs/>
          <w:color w:val="auto"/>
          <w:szCs w:val="21"/>
          <w:highlight w:val="none"/>
        </w:rPr>
        <w:t>报价评审：</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ascii="宋体" w:hAnsi="宋体"/>
          <w:color w:val="auto"/>
          <w:spacing w:val="-4"/>
          <w:szCs w:val="21"/>
          <w:highlight w:val="none"/>
        </w:rPr>
        <w:t>报价超过招标文件中规定的预算金额或者最高限价的</w:t>
      </w:r>
      <w:r>
        <w:rPr>
          <w:rFonts w:hint="eastAsia" w:ascii="宋体" w:hAnsi="宋体"/>
          <w:color w:val="auto"/>
          <w:spacing w:val="-4"/>
          <w:szCs w:val="21"/>
          <w:highlight w:val="none"/>
        </w:rPr>
        <w:t>；</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②未采用人民币报价或者未按照招标文件标明的币种报价的；</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③投标报价具有选择性；</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④</w:t>
      </w:r>
      <w:r>
        <w:rPr>
          <w:rFonts w:hint="eastAsia" w:ascii="宋体" w:hAnsi="宋体" w:cs="Courier New"/>
          <w:color w:val="auto"/>
          <w:szCs w:val="21"/>
          <w:highlight w:val="none"/>
        </w:rPr>
        <w:t>评标委员会认为投标人的报价明显低于其他通过符合性审查投标人的报价，有可能影响产品质量或者不能诚信履约的，投标人不能证明其报价合理性的</w:t>
      </w:r>
      <w:r>
        <w:rPr>
          <w:rFonts w:hint="eastAsia" w:ascii="宋体" w:hAnsi="宋体"/>
          <w:color w:val="auto"/>
          <w:spacing w:val="-4"/>
          <w:szCs w:val="21"/>
          <w:highlight w:val="none"/>
        </w:rPr>
        <w:t>；</w:t>
      </w:r>
    </w:p>
    <w:p>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⑤</w:t>
      </w:r>
      <w:r>
        <w:rPr>
          <w:rFonts w:hint="eastAsia" w:ascii="宋体" w:hAnsi="宋体"/>
          <w:color w:val="auto"/>
          <w:szCs w:val="21"/>
          <w:highlight w:val="none"/>
        </w:rPr>
        <w:t>投标人在政采云平台制作投标文件时填写的报价金额与解密后“电子加密投标文件”中报价金额不一致的，以解密后“电子加密投标文件”中报价金额为准，投标人拒绝接受此调整的，视为无效投标文件。</w:t>
      </w:r>
    </w:p>
    <w:p>
      <w:pPr>
        <w:snapToGrid w:val="0"/>
        <w:spacing w:line="410" w:lineRule="exact"/>
        <w:ind w:firstLine="211" w:firstLineChars="100"/>
        <w:rPr>
          <w:rFonts w:ascii="宋体" w:hAnsi="宋体"/>
          <w:b/>
          <w:bCs/>
          <w:color w:val="auto"/>
          <w:szCs w:val="21"/>
          <w:highlight w:val="none"/>
        </w:rPr>
      </w:pPr>
      <w:r>
        <w:rPr>
          <w:rFonts w:hint="eastAsia" w:ascii="宋体" w:hAnsi="宋体"/>
          <w:b/>
          <w:bCs/>
          <w:color w:val="auto"/>
          <w:szCs w:val="21"/>
          <w:highlight w:val="none"/>
        </w:rPr>
        <w:t>（四）比较与评价</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Courier New" w:cs="Courier New"/>
          <w:color w:val="auto"/>
          <w:szCs w:val="21"/>
          <w:highlight w:val="none"/>
        </w:rPr>
        <w:t>评分细则：</w:t>
      </w:r>
      <w:bookmarkStart w:id="192" w:name="_Hlk92463857"/>
      <w:r>
        <w:rPr>
          <w:rFonts w:hint="eastAsia" w:ascii="宋体" w:hAnsi="Courier New" w:cs="Courier New"/>
          <w:color w:val="auto"/>
          <w:szCs w:val="21"/>
          <w:highlight w:val="none"/>
        </w:rPr>
        <w:t>详见第四章《评定标准及推荐原则》</w:t>
      </w:r>
      <w:bookmarkEnd w:id="192"/>
      <w:r>
        <w:rPr>
          <w:rFonts w:hint="eastAsia" w:ascii="宋体" w:hAnsi="Courier New" w:cs="Courier New"/>
          <w:color w:val="auto"/>
          <w:szCs w:val="21"/>
          <w:highlight w:val="none"/>
        </w:rPr>
        <w:t>。</w:t>
      </w:r>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评标委员会按评分细则对各投标人的投标文件进行评价打分，由政府采购云平台进行计算。</w:t>
      </w:r>
    </w:p>
    <w:p>
      <w:pPr>
        <w:snapToGrid w:val="0"/>
        <w:spacing w:line="410" w:lineRule="exact"/>
        <w:ind w:firstLine="420"/>
        <w:rPr>
          <w:rFonts w:hint="eastAsia" w:ascii="宋体" w:hAnsi="宋体"/>
          <w:color w:val="auto"/>
          <w:szCs w:val="21"/>
          <w:highlight w:val="none"/>
        </w:rPr>
      </w:pPr>
      <w:bookmarkStart w:id="193" w:name="_Hlk90303998"/>
      <w:r>
        <w:rPr>
          <w:rFonts w:ascii="宋体" w:hAnsi="宋体"/>
          <w:color w:val="auto"/>
          <w:szCs w:val="21"/>
          <w:highlight w:val="none"/>
        </w:rPr>
        <w:t>2.</w:t>
      </w:r>
      <w:r>
        <w:rPr>
          <w:rFonts w:hint="eastAsia" w:ascii="宋体" w:hAnsi="宋体"/>
          <w:color w:val="auto"/>
          <w:szCs w:val="21"/>
          <w:highlight w:val="none"/>
        </w:rPr>
        <w:t>评标委员会</w:t>
      </w:r>
      <w:bookmarkEnd w:id="193"/>
      <w:r>
        <w:rPr>
          <w:rFonts w:hint="eastAsia" w:ascii="宋体" w:hAnsi="宋体"/>
          <w:color w:val="auto"/>
          <w:szCs w:val="21"/>
          <w:highlight w:val="none"/>
        </w:rPr>
        <w:t>完成评标后,由政府采购云平台对各投标人各项得分进行汇总，计算各投标人最终得分。评标委员会按推荐原则推荐中标候选人同时形成评标报告。</w:t>
      </w:r>
      <w:bookmarkStart w:id="194" w:name="_Toc353785306"/>
      <w:bookmarkStart w:id="195" w:name="_Toc352700436"/>
    </w:p>
    <w:p>
      <w:pPr>
        <w:snapToGrid w:val="0"/>
        <w:spacing w:line="410" w:lineRule="exact"/>
        <w:ind w:firstLine="211" w:firstLineChars="100"/>
        <w:rPr>
          <w:rFonts w:ascii="宋体" w:hAnsi="宋体"/>
          <w:b/>
          <w:bCs/>
          <w:color w:val="auto"/>
          <w:szCs w:val="32"/>
          <w:highlight w:val="none"/>
        </w:rPr>
      </w:pPr>
      <w:r>
        <w:rPr>
          <w:rFonts w:hint="eastAsia" w:ascii="宋体" w:hAnsi="宋体"/>
          <w:b/>
          <w:bCs/>
          <w:color w:val="auto"/>
          <w:szCs w:val="32"/>
          <w:highlight w:val="none"/>
        </w:rPr>
        <w:t>（五）澄清问题的形式</w:t>
      </w:r>
      <w:bookmarkEnd w:id="194"/>
      <w:bookmarkEnd w:id="195"/>
    </w:p>
    <w:p>
      <w:pPr>
        <w:spacing w:line="410" w:lineRule="exact"/>
        <w:ind w:firstLine="420"/>
        <w:rPr>
          <w:color w:val="auto"/>
          <w:highlight w:val="none"/>
        </w:rPr>
      </w:pPr>
      <w:bookmarkStart w:id="196" w:name="_Toc353785307"/>
      <w:bookmarkStart w:id="197" w:name="_Toc352700437"/>
      <w:r>
        <w:rPr>
          <w:rFonts w:hint="eastAsia"/>
          <w:color w:val="auto"/>
          <w:highlight w:val="none"/>
        </w:rPr>
        <w:t>对于投标文件中含义不明确、同类问题表述不一致或者有明显文字和计算错误的内容，评标委员会应当以书面形式要求投标人作出必要的</w:t>
      </w:r>
      <w:bookmarkStart w:id="198" w:name="_Hlk92457660"/>
      <w:r>
        <w:rPr>
          <w:rFonts w:hint="eastAsia"/>
          <w:color w:val="auto"/>
          <w:highlight w:val="none"/>
        </w:rPr>
        <w:t>澄清、说明或者补正</w:t>
      </w:r>
      <w:bookmarkEnd w:id="198"/>
      <w:r>
        <w:rPr>
          <w:rFonts w:hint="eastAsia"/>
          <w:color w:val="auto"/>
          <w:highlight w:val="none"/>
        </w:rPr>
        <w:t>。投标人的澄清、说明或者补正应当采用书面形式，并加盖公章，或者由法定代表人或其授权的代表签名。投标人的澄清、说明或者补正不得超出投标文件的范围或者改变投标文件的实质性内容。</w:t>
      </w:r>
    </w:p>
    <w:p>
      <w:pPr>
        <w:spacing w:line="410" w:lineRule="exact"/>
        <w:ind w:firstLine="211" w:firstLineChars="100"/>
        <w:rPr>
          <w:b/>
          <w:bCs/>
          <w:color w:val="auto"/>
          <w:highlight w:val="none"/>
        </w:rPr>
      </w:pPr>
      <w:r>
        <w:rPr>
          <w:rFonts w:hint="eastAsia"/>
          <w:b/>
          <w:bCs/>
          <w:color w:val="auto"/>
          <w:highlight w:val="none"/>
        </w:rPr>
        <w:t>（六）错误修正</w:t>
      </w:r>
      <w:bookmarkEnd w:id="196"/>
      <w:bookmarkEnd w:id="197"/>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投标文件报价出现前后不一致的，除招标文件另有规定外，按照下列规定修正：</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1</w:t>
      </w:r>
      <w:r>
        <w:rPr>
          <w:rFonts w:ascii="宋体" w:hAnsi="宋体" w:cs="Courier New"/>
          <w:color w:val="auto"/>
          <w:szCs w:val="21"/>
          <w:highlight w:val="none"/>
        </w:rPr>
        <w:t>.</w:t>
      </w:r>
      <w:r>
        <w:rPr>
          <w:rFonts w:hint="eastAsia" w:ascii="宋体" w:hAnsi="宋体" w:cs="Courier New"/>
          <w:color w:val="auto"/>
          <w:szCs w:val="21"/>
          <w:highlight w:val="none"/>
        </w:rPr>
        <w:t>投标文件中开标一览表内容</w:t>
      </w:r>
      <w:bookmarkStart w:id="199" w:name="_Hlk92464203"/>
      <w:r>
        <w:rPr>
          <w:rFonts w:hint="eastAsia" w:ascii="宋体" w:hAnsi="宋体" w:cs="Courier New"/>
          <w:color w:val="auto"/>
          <w:szCs w:val="21"/>
          <w:highlight w:val="none"/>
        </w:rPr>
        <w:t>与投标文件中相应内容不一致的</w:t>
      </w:r>
      <w:bookmarkEnd w:id="199"/>
      <w:r>
        <w:rPr>
          <w:rFonts w:hint="eastAsia" w:ascii="宋体" w:hAnsi="宋体" w:cs="Courier New"/>
          <w:color w:val="auto"/>
          <w:szCs w:val="21"/>
          <w:highlight w:val="none"/>
        </w:rPr>
        <w:t>，以开标一览表为准；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2</w:t>
      </w:r>
      <w:r>
        <w:rPr>
          <w:rFonts w:ascii="宋体" w:hAnsi="宋体" w:cs="Courier New"/>
          <w:color w:val="auto"/>
          <w:szCs w:val="21"/>
          <w:highlight w:val="none"/>
        </w:rPr>
        <w:t>.</w:t>
      </w:r>
      <w:r>
        <w:rPr>
          <w:rFonts w:hint="eastAsia" w:ascii="宋体" w:hAnsi="宋体" w:cs="Courier New"/>
          <w:color w:val="auto"/>
          <w:szCs w:val="21"/>
          <w:highlight w:val="none"/>
        </w:rPr>
        <w:t>大写金额和小写金额不一致的，以大写金额为准；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Courier New"/>
          <w:color w:val="auto"/>
          <w:szCs w:val="21"/>
          <w:highlight w:val="none"/>
        </w:rPr>
        <w:t>单价金额小数点或者百分比有明显错位的，以开标一览表的总价为准，并修改单价；</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4</w:t>
      </w:r>
      <w:r>
        <w:rPr>
          <w:rFonts w:ascii="宋体" w:hAnsi="宋体" w:cs="Courier New"/>
          <w:color w:val="auto"/>
          <w:szCs w:val="21"/>
          <w:highlight w:val="none"/>
        </w:rPr>
        <w:t>.</w:t>
      </w:r>
      <w:r>
        <w:rPr>
          <w:rFonts w:hint="eastAsia" w:ascii="宋体" w:hAnsi="宋体" w:cs="Courier New"/>
          <w:color w:val="auto"/>
          <w:szCs w:val="21"/>
          <w:highlight w:val="none"/>
        </w:rPr>
        <w:t>总价金额与按单价汇总金额不一致的，以单价金额计算结果为准。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同时出现两种以上不一致的，按照前款规定的顺序修正。修正后的报价按照澄清、说明或者补正的规定经投标人确认后产生约束力，投标人不确认的，其投标无效。</w:t>
      </w:r>
    </w:p>
    <w:bookmarkEnd w:id="174"/>
    <w:bookmarkEnd w:id="175"/>
    <w:p>
      <w:pPr>
        <w:pStyle w:val="27"/>
        <w:spacing w:line="410" w:lineRule="exact"/>
        <w:ind w:firstLine="211" w:firstLineChars="100"/>
        <w:rPr>
          <w:rFonts w:hint="eastAsia" w:hAnsi="宋体"/>
          <w:b/>
          <w:color w:val="auto"/>
          <w:highlight w:val="none"/>
        </w:rPr>
      </w:pPr>
      <w:bookmarkStart w:id="200" w:name="_Toc254970544"/>
      <w:bookmarkStart w:id="201" w:name="_Toc352700429"/>
      <w:bookmarkStart w:id="202" w:name="_Toc254970685"/>
      <w:bookmarkStart w:id="203" w:name="_Toc353785299"/>
      <w:r>
        <w:rPr>
          <w:rFonts w:hint="eastAsia" w:hAnsi="宋体"/>
          <w:b/>
          <w:color w:val="auto"/>
          <w:highlight w:val="none"/>
        </w:rPr>
        <w:t>（七）核心产品相同品牌产品投标、串通投标、恶意串通行为的说明：</w:t>
      </w:r>
    </w:p>
    <w:p>
      <w:pPr>
        <w:spacing w:line="410" w:lineRule="exact"/>
        <w:ind w:firstLine="42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本项目不同投标人提供相同品牌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10" w:lineRule="exact"/>
        <w:ind w:firstLine="42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有下列情形之一的视为供应商相互串通投标，投标文件将被视为无效：</w:t>
      </w:r>
    </w:p>
    <w:p>
      <w:pPr>
        <w:spacing w:line="410" w:lineRule="exact"/>
        <w:ind w:firstLine="420"/>
        <w:rPr>
          <w:rFonts w:hint="eastAsia" w:ascii="宋体" w:hAnsi="宋体" w:eastAsia="宋体"/>
          <w:color w:val="auto"/>
          <w:highlight w:val="none"/>
          <w:lang w:eastAsia="zh-CN"/>
        </w:rPr>
      </w:pPr>
      <w:r>
        <w:rPr>
          <w:rFonts w:hint="eastAsia" w:ascii="宋体" w:hAnsi="宋体"/>
          <w:color w:val="auto"/>
          <w:highlight w:val="none"/>
        </w:rPr>
        <w:t>(</w:t>
      </w:r>
      <w:r>
        <w:rPr>
          <w:rFonts w:ascii="宋体" w:hAnsi="宋体"/>
          <w:color w:val="auto"/>
          <w:highlight w:val="none"/>
        </w:rPr>
        <w:t>1)不同投标人的投标文件由同一单位或者个人编制</w:t>
      </w:r>
      <w:bookmarkStart w:id="204" w:name="OLE_LINK10"/>
      <w:r>
        <w:rPr>
          <w:rFonts w:hint="eastAsia" w:ascii="宋体" w:hAnsi="宋体"/>
          <w:color w:val="auto"/>
          <w:highlight w:val="none"/>
          <w:lang w:eastAsia="zh-CN"/>
        </w:rPr>
        <w:t>；</w:t>
      </w:r>
      <w:r>
        <w:rPr>
          <w:rFonts w:hint="eastAsia" w:ascii="宋体" w:hAnsi="宋体"/>
          <w:color w:val="auto"/>
          <w:highlight w:val="none"/>
        </w:rPr>
        <w:t>或不同投标人报名的IP地址一致的</w:t>
      </w:r>
      <w:r>
        <w:rPr>
          <w:rFonts w:hint="eastAsia" w:ascii="宋体" w:hAnsi="宋体"/>
          <w:color w:val="auto"/>
          <w:highlight w:val="none"/>
          <w:lang w:eastAsia="zh-CN"/>
        </w:rPr>
        <w:t>；</w:t>
      </w:r>
      <w:bookmarkEnd w:id="204"/>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2)不同投标人委托同一单位或者个人办理投标事宜；</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3)不同投标人的投标文件载明的项目管理成员或者联系人员为同一人；</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4)不同投标人的投标文件异常一致或者投标报价呈规律性差异；</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5)不同投标人的投标文件相互混装；</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6)不同投标人的投标保证金从同一单位或者个人的账户转出。</w:t>
      </w:r>
    </w:p>
    <w:p>
      <w:pPr>
        <w:spacing w:line="410" w:lineRule="exact"/>
        <w:ind w:firstLine="42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供应商有下列情形之一的，属于</w:t>
      </w:r>
      <w:bookmarkStart w:id="205" w:name="_Hlk90304995"/>
      <w:r>
        <w:rPr>
          <w:rFonts w:hint="eastAsia" w:ascii="宋体" w:hAnsi="宋体"/>
          <w:color w:val="auto"/>
          <w:highlight w:val="none"/>
        </w:rPr>
        <w:t>恶意串通</w:t>
      </w:r>
      <w:bookmarkEnd w:id="205"/>
      <w:r>
        <w:rPr>
          <w:rFonts w:hint="eastAsia" w:ascii="宋体" w:hAnsi="宋体"/>
          <w:color w:val="auto"/>
          <w:highlight w:val="none"/>
        </w:rPr>
        <w:t>：</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供应商直接或者间接从采购人或者采购代理机构处获得其他供应商的相关信息并修改其投标文件：</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供应商按照采购人或者采购代理机构的授意撤换、修改投标文件；</w:t>
      </w:r>
    </w:p>
    <w:p>
      <w:pPr>
        <w:spacing w:line="410" w:lineRule="exact"/>
        <w:ind w:firstLine="0" w:firstLineChars="0"/>
        <w:rPr>
          <w:rFonts w:hint="eastAsia" w:ascii="宋体" w:hAnsi="宋体"/>
          <w:color w:val="auto"/>
          <w:highlight w:val="none"/>
        </w:rPr>
      </w:pPr>
      <w:r>
        <w:rPr>
          <w:rFonts w:ascii="宋体" w:hAnsi="宋体"/>
          <w:color w:val="auto"/>
          <w:highlight w:val="none"/>
        </w:rPr>
        <w:tab/>
      </w: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供应商之间协商报价、技术方案等投标文件的实质性内容；</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属于同一集团、协会、商会等组织成员的供应商按照该组织要求协同参加政府采购活动；</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供应商之间事先约定一致抬高或者压低报价，或者在采购项目中事先约定轮流以高价位或者低价位成交，或者事先约定由某一特定供应商成交，然后再参加投标；</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供应商之间商定部分供应商放弃参加政府采购活动或者放弃成交；</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供应商与采购人或者采购代理机构之间、供应商相互之间，为谋求特定供应商成交或者排斥其他供应商的其他串通行为。</w:t>
      </w:r>
    </w:p>
    <w:p>
      <w:pPr>
        <w:pStyle w:val="27"/>
        <w:spacing w:line="410" w:lineRule="exact"/>
        <w:ind w:firstLine="211" w:firstLineChars="100"/>
        <w:rPr>
          <w:rFonts w:hAnsi="宋体"/>
          <w:b/>
          <w:color w:val="auto"/>
          <w:highlight w:val="none"/>
        </w:rPr>
      </w:pPr>
      <w:r>
        <w:rPr>
          <w:rFonts w:hint="eastAsia" w:hAnsi="宋体"/>
          <w:b/>
          <w:color w:val="auto"/>
          <w:highlight w:val="none"/>
        </w:rPr>
        <w:t>（八）废标</w:t>
      </w:r>
    </w:p>
    <w:p>
      <w:pPr>
        <w:pStyle w:val="27"/>
        <w:spacing w:line="410" w:lineRule="exact"/>
        <w:ind w:firstLine="420"/>
        <w:rPr>
          <w:rFonts w:hAnsi="宋体"/>
          <w:color w:val="auto"/>
          <w:highlight w:val="none"/>
        </w:rPr>
      </w:pPr>
      <w:r>
        <w:rPr>
          <w:rFonts w:hAnsi="宋体"/>
          <w:color w:val="auto"/>
          <w:highlight w:val="none"/>
        </w:rPr>
        <w:t>出现下列情形之一的，应予废标：</w:t>
      </w:r>
    </w:p>
    <w:p>
      <w:pPr>
        <w:pStyle w:val="27"/>
        <w:spacing w:line="410" w:lineRule="exact"/>
        <w:ind w:firstLine="420"/>
        <w:rPr>
          <w:rFonts w:hAnsi="宋体"/>
          <w:color w:val="auto"/>
          <w:highlight w:val="none"/>
        </w:rPr>
      </w:pPr>
      <w:r>
        <w:rPr>
          <w:rFonts w:hint="eastAsia" w:hAnsi="宋体"/>
          <w:color w:val="auto"/>
          <w:highlight w:val="none"/>
        </w:rPr>
        <w:t>1</w:t>
      </w:r>
      <w:r>
        <w:rPr>
          <w:rFonts w:hAnsi="宋体"/>
          <w:color w:val="auto"/>
          <w:highlight w:val="none"/>
        </w:rPr>
        <w:t>.符合专业条件的供应商或者对招标文件作实质响应的供应商不足三家的；</w:t>
      </w:r>
    </w:p>
    <w:p>
      <w:pPr>
        <w:pStyle w:val="27"/>
        <w:spacing w:line="410" w:lineRule="exact"/>
        <w:ind w:firstLine="420"/>
        <w:rPr>
          <w:rFonts w:hAnsi="宋体"/>
          <w:color w:val="auto"/>
          <w:highlight w:val="none"/>
        </w:rPr>
      </w:pPr>
      <w:r>
        <w:rPr>
          <w:rFonts w:hint="eastAsia" w:hAnsi="宋体"/>
          <w:color w:val="auto"/>
          <w:highlight w:val="none"/>
        </w:rPr>
        <w:t>2</w:t>
      </w:r>
      <w:r>
        <w:rPr>
          <w:rFonts w:hAnsi="宋体"/>
          <w:color w:val="auto"/>
          <w:highlight w:val="none"/>
        </w:rPr>
        <w:t>.出现影响采购公正的违法、违规行为的；</w:t>
      </w:r>
    </w:p>
    <w:p>
      <w:pPr>
        <w:pStyle w:val="27"/>
        <w:spacing w:line="410" w:lineRule="exact"/>
        <w:ind w:firstLine="420"/>
        <w:rPr>
          <w:rFonts w:hAnsi="宋体"/>
          <w:color w:val="auto"/>
          <w:highlight w:val="none"/>
        </w:rPr>
      </w:pPr>
      <w:r>
        <w:rPr>
          <w:rFonts w:hint="eastAsia" w:hAnsi="宋体"/>
          <w:color w:val="auto"/>
          <w:highlight w:val="none"/>
        </w:rPr>
        <w:t>3</w:t>
      </w:r>
      <w:r>
        <w:rPr>
          <w:rFonts w:hAnsi="宋体"/>
          <w:color w:val="auto"/>
          <w:highlight w:val="none"/>
        </w:rPr>
        <w:t>.投标人的报价均超过了采购预算，采购人不能支付的；</w:t>
      </w:r>
    </w:p>
    <w:p>
      <w:pPr>
        <w:pStyle w:val="27"/>
        <w:spacing w:line="410" w:lineRule="exact"/>
        <w:ind w:firstLine="420"/>
        <w:rPr>
          <w:rFonts w:hAnsi="宋体"/>
          <w:color w:val="auto"/>
          <w:highlight w:val="none"/>
        </w:rPr>
      </w:pPr>
      <w:r>
        <w:rPr>
          <w:rFonts w:hint="eastAsia" w:hAnsi="宋体"/>
          <w:color w:val="auto"/>
          <w:highlight w:val="none"/>
        </w:rPr>
        <w:t>4</w:t>
      </w:r>
      <w:r>
        <w:rPr>
          <w:rFonts w:hAnsi="宋体"/>
          <w:color w:val="auto"/>
          <w:highlight w:val="none"/>
        </w:rPr>
        <w:t>.因重大变故，采购任务取消的。</w:t>
      </w:r>
      <w:bookmarkEnd w:id="200"/>
      <w:bookmarkEnd w:id="201"/>
      <w:bookmarkEnd w:id="202"/>
      <w:bookmarkEnd w:id="203"/>
    </w:p>
    <w:p>
      <w:pPr>
        <w:spacing w:line="410" w:lineRule="exact"/>
        <w:ind w:firstLine="211" w:firstLineChars="100"/>
        <w:rPr>
          <w:b/>
          <w:bCs/>
          <w:color w:val="auto"/>
          <w:highlight w:val="none"/>
        </w:rPr>
      </w:pPr>
      <w:bookmarkStart w:id="206" w:name="_Toc352700439"/>
      <w:bookmarkStart w:id="207" w:name="_Toc353785309"/>
      <w:r>
        <w:rPr>
          <w:rFonts w:hint="eastAsia"/>
          <w:b/>
          <w:bCs/>
          <w:color w:val="auto"/>
          <w:highlight w:val="none"/>
        </w:rPr>
        <w:t>（</w:t>
      </w:r>
      <w:r>
        <w:rPr>
          <w:rFonts w:hint="eastAsia" w:hAnsi="宋体"/>
          <w:b/>
          <w:color w:val="auto"/>
          <w:highlight w:val="none"/>
        </w:rPr>
        <w:t>九</w:t>
      </w:r>
      <w:r>
        <w:rPr>
          <w:rFonts w:hint="eastAsia"/>
          <w:b/>
          <w:bCs/>
          <w:color w:val="auto"/>
          <w:highlight w:val="none"/>
        </w:rPr>
        <w:t>）评标过程的监控</w:t>
      </w:r>
      <w:bookmarkEnd w:id="206"/>
      <w:bookmarkEnd w:id="207"/>
    </w:p>
    <w:p>
      <w:pPr>
        <w:snapToGrid w:val="0"/>
        <w:spacing w:line="410" w:lineRule="exact"/>
        <w:ind w:firstLine="420"/>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本项目评标过程实行全程录音、录像监控，投标人在评标过程中所进行的试图影响评标结果的不公正活动，可能导致其投标无效。</w:t>
      </w:r>
    </w:p>
    <w:p>
      <w:pPr>
        <w:snapToGrid w:val="0"/>
        <w:spacing w:line="410" w:lineRule="exact"/>
        <w:ind w:firstLine="420"/>
        <w:rPr>
          <w:rFonts w:hint="eastAsia" w:ascii="宋体" w:hAnsi="宋体"/>
          <w:color w:val="auto"/>
          <w:szCs w:val="21"/>
          <w:highlight w:val="none"/>
        </w:rPr>
      </w:pPr>
    </w:p>
    <w:p>
      <w:pPr>
        <w:pStyle w:val="6"/>
        <w:spacing w:before="0" w:after="0" w:line="410" w:lineRule="exact"/>
        <w:ind w:firstLine="0" w:firstLineChars="0"/>
        <w:rPr>
          <w:rFonts w:ascii="方正小标宋_GBK" w:eastAsia="方正小标宋_GBK"/>
          <w:b w:val="0"/>
          <w:color w:val="auto"/>
          <w:sz w:val="24"/>
          <w:szCs w:val="24"/>
          <w:highlight w:val="none"/>
        </w:rPr>
      </w:pPr>
      <w:bookmarkStart w:id="208" w:name="_Toc254970546"/>
      <w:bookmarkStart w:id="209" w:name="_Toc352700440"/>
      <w:bookmarkStart w:id="210" w:name="_Toc254970687"/>
      <w:bookmarkStart w:id="211" w:name="_Toc353785310"/>
      <w:r>
        <w:rPr>
          <w:rFonts w:hint="eastAsia" w:ascii="方正小标宋_GBK" w:eastAsia="方正小标宋_GBK"/>
          <w:b w:val="0"/>
          <w:color w:val="auto"/>
          <w:sz w:val="24"/>
          <w:szCs w:val="24"/>
          <w:highlight w:val="none"/>
        </w:rPr>
        <w:t>六、评标结果</w:t>
      </w:r>
      <w:bookmarkEnd w:id="208"/>
      <w:bookmarkEnd w:id="209"/>
      <w:bookmarkEnd w:id="210"/>
      <w:bookmarkEnd w:id="211"/>
    </w:p>
    <w:p>
      <w:pPr>
        <w:pStyle w:val="27"/>
        <w:spacing w:line="410" w:lineRule="exact"/>
        <w:ind w:firstLine="210" w:firstLineChars="100"/>
        <w:rPr>
          <w:rFonts w:hAnsi="宋体"/>
          <w:color w:val="auto"/>
          <w:highlight w:val="none"/>
        </w:rPr>
      </w:pPr>
      <w:r>
        <w:rPr>
          <w:rFonts w:hint="eastAsia" w:hAnsi="宋体"/>
          <w:bCs/>
          <w:color w:val="auto"/>
          <w:highlight w:val="none"/>
        </w:rPr>
        <w:t>（一）</w:t>
      </w:r>
      <w:r>
        <w:rPr>
          <w:rFonts w:hint="eastAsia" w:hAnsi="宋体"/>
          <w:color w:val="auto"/>
          <w:highlight w:val="none"/>
        </w:rPr>
        <w:t>本中心将在评标结束后2个工作日内将评标报告送采购人，采购人在5个工作日内按照评标报告中推荐的中标候选供应商顺序确定中标人。中标候选人并列的，由采购人或者采购人委托评标委员会按照招标文件规定的方式确定中标人；招标文件未规定的，采取随机抽取的方式确定。采购人也可以授权评标委员会直接确定中标人。</w:t>
      </w:r>
    </w:p>
    <w:p>
      <w:pPr>
        <w:snapToGrid w:val="0"/>
        <w:spacing w:line="410" w:lineRule="exact"/>
        <w:ind w:firstLine="210" w:firstLineChars="100"/>
        <w:rPr>
          <w:rFonts w:ascii="宋体" w:hAnsi="宋体"/>
          <w:color w:val="auto"/>
          <w:highlight w:val="none"/>
        </w:rPr>
      </w:pPr>
      <w:r>
        <w:rPr>
          <w:rFonts w:hint="eastAsia"/>
          <w:color w:val="auto"/>
          <w:highlight w:val="none"/>
        </w:rPr>
        <w:t>（二）中标人确定后，本中心</w:t>
      </w:r>
      <w:r>
        <w:rPr>
          <w:rFonts w:hint="eastAsia" w:ascii="宋体" w:hAnsi="宋体"/>
          <w:color w:val="auto"/>
          <w:highlight w:val="none"/>
        </w:rPr>
        <w:t>在省级以上财政部门指定的媒体上公告中标结果，</w:t>
      </w:r>
      <w:r>
        <w:rPr>
          <w:rFonts w:hint="eastAsia" w:hAnsi="宋体"/>
          <w:color w:val="auto"/>
          <w:highlight w:val="none"/>
        </w:rPr>
        <w:t>同时向中标人发出中标通知书</w:t>
      </w:r>
      <w:r>
        <w:rPr>
          <w:rFonts w:hint="eastAsia" w:ascii="宋体" w:hAnsi="宋体"/>
          <w:color w:val="auto"/>
          <w:highlight w:val="none"/>
        </w:rPr>
        <w:t>。</w:t>
      </w:r>
    </w:p>
    <w:p>
      <w:pPr>
        <w:pStyle w:val="27"/>
        <w:spacing w:line="410" w:lineRule="exact"/>
        <w:ind w:firstLine="210" w:firstLineChars="100"/>
        <w:rPr>
          <w:rFonts w:hint="eastAsia" w:hAnsi="宋体"/>
          <w:color w:val="auto"/>
          <w:highlight w:val="none"/>
        </w:rPr>
      </w:pPr>
      <w:r>
        <w:rPr>
          <w:rFonts w:hint="eastAsia" w:hAnsi="宋体"/>
          <w:color w:val="auto"/>
          <w:highlight w:val="none"/>
        </w:rPr>
        <w:t>（三）</w:t>
      </w:r>
      <w:bookmarkStart w:id="212" w:name="_Toc353785311"/>
      <w:bookmarkStart w:id="213" w:name="_Toc352700441"/>
      <w:r>
        <w:rPr>
          <w:rFonts w:hint="eastAsia" w:hAnsi="宋体"/>
          <w:color w:val="auto"/>
          <w:highlight w:val="none"/>
        </w:rPr>
        <w:t>中标通知书发出后，采购人不得违法改变中标结果，中标人无正当理由不得放弃中标。</w:t>
      </w:r>
    </w:p>
    <w:p>
      <w:pPr>
        <w:pStyle w:val="27"/>
        <w:spacing w:line="410" w:lineRule="exact"/>
        <w:ind w:firstLine="210" w:firstLineChars="100"/>
        <w:rPr>
          <w:rFonts w:hint="eastAsia" w:hAnsi="宋体"/>
          <w:color w:val="auto"/>
          <w:highlight w:val="none"/>
        </w:rPr>
      </w:pPr>
    </w:p>
    <w:p>
      <w:pPr>
        <w:pStyle w:val="6"/>
        <w:spacing w:before="0" w:after="0" w:line="410" w:lineRule="exact"/>
        <w:ind w:firstLine="0" w:firstLineChars="0"/>
        <w:rPr>
          <w:rFonts w:ascii="方正小标宋_GBK" w:eastAsia="方正小标宋_GBK"/>
          <w:b w:val="0"/>
          <w:color w:val="auto"/>
          <w:sz w:val="24"/>
          <w:szCs w:val="24"/>
          <w:highlight w:val="none"/>
        </w:rPr>
      </w:pPr>
      <w:r>
        <w:rPr>
          <w:rFonts w:hint="eastAsia" w:ascii="方正小标宋_GBK" w:eastAsia="方正小标宋_GBK"/>
          <w:b w:val="0"/>
          <w:color w:val="auto"/>
          <w:sz w:val="24"/>
          <w:szCs w:val="24"/>
          <w:highlight w:val="none"/>
        </w:rPr>
        <w:t>七、签订合同</w:t>
      </w:r>
      <w:bookmarkEnd w:id="212"/>
      <w:bookmarkEnd w:id="213"/>
    </w:p>
    <w:p>
      <w:pPr>
        <w:pStyle w:val="27"/>
        <w:spacing w:line="410" w:lineRule="exact"/>
        <w:ind w:firstLine="210" w:firstLineChars="100"/>
        <w:rPr>
          <w:rFonts w:hAnsi="宋体"/>
          <w:color w:val="auto"/>
          <w:highlight w:val="none"/>
        </w:rPr>
      </w:pPr>
      <w:r>
        <w:rPr>
          <w:rFonts w:hint="eastAsia" w:hAnsi="宋体" w:cs="Times New Roman"/>
          <w:color w:val="auto"/>
          <w:szCs w:val="32"/>
          <w:highlight w:val="none"/>
        </w:rPr>
        <w:t>（一）</w:t>
      </w:r>
      <w:r>
        <w:rPr>
          <w:rFonts w:hint="eastAsia" w:hAnsi="宋体"/>
          <w:color w:val="auto"/>
          <w:highlight w:val="none"/>
        </w:rPr>
        <w:t>采购人应当自中标通知书发出之日起15日内，按照招标文件和中标人投标文件的规定，与中标人签订书面合同。所签订的合同不得对招标文件确定的事项和中标人投标文件作实质性修改。</w:t>
      </w:r>
    </w:p>
    <w:p>
      <w:pPr>
        <w:pStyle w:val="27"/>
        <w:spacing w:line="410" w:lineRule="exact"/>
        <w:ind w:firstLine="210" w:firstLineChars="100"/>
        <w:rPr>
          <w:rFonts w:hAnsi="宋体"/>
          <w:color w:val="auto"/>
          <w:highlight w:val="none"/>
        </w:rPr>
      </w:pPr>
      <w:r>
        <w:rPr>
          <w:rFonts w:hint="eastAsia" w:hAnsi="宋体"/>
          <w:color w:val="auto"/>
          <w:highlight w:val="none"/>
        </w:rPr>
        <w:t>（二）中标通知书对采购人和中标人均具有法律效力。中标通知书发出后，采购人改变中标结果的，或者中标人放弃中标项目的，应当依法承担法律责任。</w:t>
      </w:r>
    </w:p>
    <w:p>
      <w:pPr>
        <w:pStyle w:val="27"/>
        <w:spacing w:line="410" w:lineRule="exact"/>
        <w:ind w:firstLine="210" w:firstLineChars="100"/>
        <w:rPr>
          <w:rFonts w:hAnsi="宋体"/>
          <w:color w:val="auto"/>
          <w:highlight w:val="none"/>
        </w:rPr>
      </w:pPr>
      <w:r>
        <w:rPr>
          <w:rFonts w:hint="eastAsia" w:hAnsi="宋体"/>
          <w:color w:val="auto"/>
          <w:highlight w:val="none"/>
        </w:rPr>
        <w:t>（三）</w:t>
      </w:r>
      <w:r>
        <w:rPr>
          <w:rFonts w:hint="eastAsia" w:hAnsi="宋体" w:cs="宋体"/>
          <w:color w:val="auto"/>
          <w:kern w:val="0"/>
          <w:highlight w:val="none"/>
        </w:rPr>
        <w:t>中标人可凭成交通知书或政府采购合同等在内的相关材料、信息，通过中征应收账款融资服务平台向银行业金融机构在线申请</w:t>
      </w:r>
      <w:r>
        <w:rPr>
          <w:rFonts w:hAnsi="宋体" w:cs="宋体"/>
          <w:color w:val="auto"/>
          <w:kern w:val="0"/>
          <w:highlight w:val="none"/>
        </w:rPr>
        <w:t>“</w:t>
      </w:r>
      <w:r>
        <w:rPr>
          <w:rFonts w:hint="eastAsia" w:hAnsi="宋体" w:cs="宋体"/>
          <w:color w:val="auto"/>
          <w:kern w:val="0"/>
          <w:highlight w:val="none"/>
        </w:rPr>
        <w:t>政采贷”融资。</w:t>
      </w:r>
    </w:p>
    <w:p>
      <w:pPr>
        <w:pStyle w:val="27"/>
        <w:spacing w:line="410" w:lineRule="exact"/>
        <w:ind w:firstLine="210" w:firstLineChars="100"/>
        <w:rPr>
          <w:rFonts w:hAnsi="宋体"/>
          <w:color w:val="auto"/>
          <w:highlight w:val="none"/>
        </w:rPr>
      </w:pPr>
      <w:r>
        <w:rPr>
          <w:rFonts w:hint="eastAsia" w:hAnsi="宋体"/>
          <w:color w:val="auto"/>
          <w:highlight w:val="none"/>
        </w:rPr>
        <w:t>（四）中标人拒绝与采购人签订合同的，采购人可以按照评标报告推荐的中标候选人名单排序，确定下一候选人为中标人，也可以重新开展政府采购活动。</w:t>
      </w:r>
    </w:p>
    <w:p>
      <w:pPr>
        <w:pStyle w:val="27"/>
        <w:spacing w:line="410" w:lineRule="exact"/>
        <w:ind w:firstLine="210" w:firstLineChars="100"/>
        <w:rPr>
          <w:rFonts w:hint="eastAsia" w:hAnsi="宋体"/>
          <w:color w:val="auto"/>
          <w:highlight w:val="none"/>
        </w:rPr>
      </w:pPr>
      <w:r>
        <w:rPr>
          <w:rFonts w:hint="eastAsia" w:hAnsi="宋体"/>
          <w:color w:val="auto"/>
          <w:highlight w:val="none"/>
        </w:rPr>
        <w:t>（五）采购人与中标人应当根据合同的约定依法履行合同义务。政府采购合同的履行、违约责任和解决争议的方法等适用《中华人民共和国民法典》。</w:t>
      </w:r>
    </w:p>
    <w:p>
      <w:pPr>
        <w:pStyle w:val="27"/>
        <w:spacing w:line="410" w:lineRule="exact"/>
        <w:ind w:firstLine="0" w:firstLineChars="0"/>
        <w:rPr>
          <w:rFonts w:hint="eastAsia" w:hAnsi="宋体"/>
          <w:color w:val="auto"/>
          <w:highlight w:val="none"/>
        </w:rPr>
      </w:pPr>
    </w:p>
    <w:p>
      <w:pPr>
        <w:spacing w:line="410" w:lineRule="exact"/>
        <w:ind w:firstLine="0" w:firstLineChars="0"/>
        <w:rPr>
          <w:rFonts w:ascii="方正小标宋_GBK" w:eastAsia="方正小标宋_GBK"/>
          <w:b/>
          <w:color w:val="auto"/>
          <w:sz w:val="24"/>
          <w:highlight w:val="none"/>
        </w:rPr>
      </w:pPr>
      <w:bookmarkStart w:id="214" w:name="_Toc352700445"/>
      <w:bookmarkStart w:id="215" w:name="_Toc352315998"/>
      <w:bookmarkStart w:id="216" w:name="_Toc353785315"/>
      <w:r>
        <w:rPr>
          <w:rFonts w:hint="eastAsia" w:ascii="方正小标宋_GBK" w:eastAsia="方正小标宋_GBK"/>
          <w:b/>
          <w:color w:val="auto"/>
          <w:sz w:val="24"/>
          <w:highlight w:val="none"/>
        </w:rPr>
        <w:t>八、适用法律</w:t>
      </w:r>
    </w:p>
    <w:p>
      <w:pPr>
        <w:spacing w:line="410" w:lineRule="exact"/>
        <w:ind w:firstLine="210" w:firstLineChars="100"/>
        <w:rPr>
          <w:rFonts w:ascii="宋体" w:hAnsi="宋体"/>
          <w:color w:val="auto"/>
          <w:szCs w:val="21"/>
          <w:highlight w:val="none"/>
        </w:rPr>
      </w:pPr>
      <w:r>
        <w:rPr>
          <w:rFonts w:hint="eastAsia" w:ascii="宋体" w:hAnsi="宋体"/>
          <w:color w:val="auto"/>
          <w:szCs w:val="21"/>
          <w:highlight w:val="none"/>
        </w:rPr>
        <w:t>本项目采购活动适用于《中华人民共和国政府采购法》及其实施条例、《政府采购货物和服务招标投标管理办法》等规定。</w:t>
      </w:r>
    </w:p>
    <w:p>
      <w:pPr>
        <w:spacing w:line="410" w:lineRule="exact"/>
        <w:ind w:firstLine="0" w:firstLineChars="0"/>
        <w:rPr>
          <w:rFonts w:hint="eastAsia" w:ascii="宋体" w:hAnsi="宋体"/>
          <w:color w:val="auto"/>
          <w:szCs w:val="21"/>
          <w:highlight w:val="none"/>
        </w:rPr>
      </w:pPr>
    </w:p>
    <w:p>
      <w:pPr>
        <w:pStyle w:val="6"/>
        <w:spacing w:before="0" w:after="0" w:line="410" w:lineRule="exact"/>
        <w:ind w:firstLine="0" w:firstLineChars="0"/>
        <w:rPr>
          <w:rFonts w:ascii="方正小标宋_GBK" w:eastAsia="方正小标宋_GBK"/>
          <w:b w:val="0"/>
          <w:color w:val="auto"/>
          <w:sz w:val="24"/>
          <w:szCs w:val="24"/>
          <w:highlight w:val="none"/>
        </w:rPr>
      </w:pPr>
      <w:bookmarkStart w:id="217" w:name="_九、其他事项"/>
      <w:bookmarkEnd w:id="217"/>
      <w:r>
        <w:rPr>
          <w:rFonts w:hint="eastAsia" w:ascii="方正小标宋_GBK" w:eastAsia="方正小标宋_GBK"/>
          <w:b w:val="0"/>
          <w:color w:val="auto"/>
          <w:sz w:val="24"/>
          <w:szCs w:val="24"/>
          <w:highlight w:val="none"/>
        </w:rPr>
        <w:t>九、其他事项</w:t>
      </w:r>
      <w:bookmarkEnd w:id="214"/>
      <w:bookmarkEnd w:id="215"/>
      <w:bookmarkEnd w:id="216"/>
    </w:p>
    <w:p>
      <w:pPr>
        <w:pStyle w:val="27"/>
        <w:spacing w:line="410" w:lineRule="exact"/>
        <w:ind w:firstLine="210" w:firstLineChars="100"/>
        <w:rPr>
          <w:rFonts w:hAnsi="宋体"/>
          <w:bCs/>
          <w:color w:val="auto"/>
          <w:highlight w:val="none"/>
        </w:rPr>
      </w:pPr>
      <w:r>
        <w:rPr>
          <w:rFonts w:hint="eastAsia" w:hAnsi="宋体"/>
          <w:bCs/>
          <w:color w:val="auto"/>
          <w:highlight w:val="none"/>
        </w:rPr>
        <w:t>（一）代理服务费</w:t>
      </w:r>
    </w:p>
    <w:p>
      <w:pPr>
        <w:pStyle w:val="27"/>
        <w:spacing w:line="410" w:lineRule="exact"/>
        <w:ind w:firstLine="420"/>
        <w:rPr>
          <w:rFonts w:hAnsi="宋体"/>
          <w:color w:val="auto"/>
          <w:highlight w:val="none"/>
        </w:rPr>
      </w:pPr>
      <w:r>
        <w:rPr>
          <w:rFonts w:hAnsi="宋体"/>
          <w:color w:val="auto"/>
          <w:highlight w:val="none"/>
        </w:rPr>
        <w:t>1.</w:t>
      </w:r>
      <w:bookmarkStart w:id="218" w:name="_Hlk92466646"/>
      <w:r>
        <w:rPr>
          <w:rFonts w:hint="eastAsia" w:hAnsi="宋体"/>
          <w:color w:val="auto"/>
          <w:highlight w:val="none"/>
        </w:rPr>
        <w:t>本中心按钦州市物价局“钦市价费﹝2013﹞4号”文件规定向中标人收取代理服务费，中标人须向本中心一次付清代理服务费。</w:t>
      </w:r>
      <w:bookmarkEnd w:id="218"/>
    </w:p>
    <w:p>
      <w:pPr>
        <w:pStyle w:val="27"/>
        <w:spacing w:line="410" w:lineRule="exact"/>
        <w:ind w:firstLine="420"/>
        <w:rPr>
          <w:rFonts w:hAnsi="宋体"/>
          <w:bCs/>
          <w:color w:val="auto"/>
          <w:highlight w:val="none"/>
        </w:rPr>
      </w:pPr>
      <w:r>
        <w:rPr>
          <w:rFonts w:hAnsi="宋体"/>
          <w:bCs/>
          <w:color w:val="auto"/>
          <w:highlight w:val="none"/>
        </w:rPr>
        <w:t>2.</w:t>
      </w:r>
      <w:bookmarkStart w:id="219" w:name="_Hlk92466736"/>
      <w:r>
        <w:rPr>
          <w:rFonts w:hint="eastAsia" w:hAnsi="宋体"/>
          <w:bCs/>
          <w:color w:val="auto"/>
          <w:highlight w:val="none"/>
        </w:rPr>
        <w:t>代理服务收费标准：</w:t>
      </w:r>
      <w:bookmarkEnd w:id="219"/>
    </w:p>
    <w:tbl>
      <w:tblPr>
        <w:tblStyle w:val="49"/>
        <w:tblW w:w="0" w:type="auto"/>
        <w:tblInd w:w="534" w:type="dxa"/>
        <w:tblLayout w:type="fixed"/>
        <w:tblCellMar>
          <w:top w:w="0" w:type="dxa"/>
          <w:left w:w="108" w:type="dxa"/>
          <w:bottom w:w="0" w:type="dxa"/>
          <w:right w:w="108" w:type="dxa"/>
        </w:tblCellMar>
      </w:tblPr>
      <w:tblGrid>
        <w:gridCol w:w="3255"/>
        <w:gridCol w:w="1899"/>
        <w:gridCol w:w="1980"/>
        <w:gridCol w:w="1980"/>
      </w:tblGrid>
      <w:tr>
        <w:tblPrEx>
          <w:tblCellMar>
            <w:top w:w="0" w:type="dxa"/>
            <w:left w:w="108" w:type="dxa"/>
            <w:bottom w:w="0" w:type="dxa"/>
            <w:right w:w="108" w:type="dxa"/>
          </w:tblCellMar>
        </w:tblPrEx>
        <w:trPr>
          <w:trHeight w:val="1870" w:hRule="atLeast"/>
        </w:trPr>
        <w:tc>
          <w:tcPr>
            <w:tcW w:w="3255" w:type="dxa"/>
            <w:tcBorders>
              <w:top w:val="single" w:color="auto" w:sz="4" w:space="0"/>
              <w:left w:val="single" w:color="000000" w:sz="4" w:space="0"/>
              <w:bottom w:val="single" w:color="000000" w:sz="4" w:space="0"/>
              <w:right w:val="single" w:color="000000" w:sz="4" w:space="0"/>
              <w:tl2br w:val="single" w:color="auto" w:sz="4" w:space="0"/>
            </w:tcBorders>
            <w:noWrap w:val="0"/>
            <w:vAlign w:val="top"/>
          </w:tcPr>
          <w:p>
            <w:pPr>
              <w:widowControl/>
              <w:ind w:firstLine="420"/>
              <w:rPr>
                <w:rFonts w:hint="eastAsia" w:ascii="宋体" w:hAnsi="宋体"/>
                <w:color w:val="auto"/>
                <w:kern w:val="0"/>
                <w:szCs w:val="21"/>
                <w:highlight w:val="none"/>
              </w:rPr>
            </w:pPr>
            <w:r>
              <w:rPr>
                <w:rFonts w:ascii="宋体" w:hAnsi="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8255</wp:posOffset>
                      </wp:positionV>
                      <wp:extent cx="914400" cy="1273810"/>
                      <wp:effectExtent l="5080" t="3810" r="20320" b="17780"/>
                      <wp:wrapNone/>
                      <wp:docPr id="1" name="Line 2"/>
                      <wp:cNvGraphicFramePr/>
                      <a:graphic xmlns:a="http://schemas.openxmlformats.org/drawingml/2006/main">
                        <a:graphicData uri="http://schemas.microsoft.com/office/word/2010/wordprocessingShape">
                          <wps:wsp>
                            <wps:cNvCnPr/>
                            <wps:spPr>
                              <a:xfrm>
                                <a:off x="0" y="0"/>
                                <a:ext cx="914400" cy="127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82.8pt;margin-top:0.65pt;height:100.3pt;width:72pt;z-index:251659264;mso-width-relative:page;mso-height-relative:page;" filled="f" stroked="t" coordsize="21600,21600" o:gfxdata="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ExngzWAAAACQEAAA8A&#10;AAAAAAAAAQAgAAAAIgAAAGRycy9kb3ducmV2LnhtbFBLAQIUABQAAAAIAIdO4kAdHVfq4AEAAN4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服务类型</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费率</w:t>
            </w:r>
          </w:p>
          <w:p>
            <w:pPr>
              <w:widowControl/>
              <w:ind w:left="2" w:firstLine="420"/>
              <w:jc w:val="left"/>
              <w:rPr>
                <w:rFonts w:ascii="宋体" w:hAnsi="宋体"/>
                <w:color w:val="auto"/>
                <w:kern w:val="0"/>
                <w:szCs w:val="21"/>
                <w:highlight w:val="none"/>
              </w:rPr>
            </w:pPr>
          </w:p>
          <w:p>
            <w:pPr>
              <w:widowControl/>
              <w:ind w:firstLine="0" w:firstLineChars="0"/>
              <w:jc w:val="left"/>
              <w:rPr>
                <w:rFonts w:ascii="宋体" w:hAnsi="宋体"/>
                <w:color w:val="auto"/>
                <w:kern w:val="0"/>
                <w:szCs w:val="21"/>
                <w:highlight w:val="none"/>
              </w:rPr>
            </w:pPr>
          </w:p>
          <w:p>
            <w:pPr>
              <w:widowControl/>
              <w:ind w:firstLine="0" w:firstLineChars="0"/>
              <w:jc w:val="left"/>
              <w:rPr>
                <w:rFonts w:ascii="宋体" w:hAnsi="宋体"/>
                <w:color w:val="auto"/>
                <w:kern w:val="0"/>
                <w:szCs w:val="21"/>
                <w:highlight w:val="none"/>
              </w:rPr>
            </w:pPr>
            <w:r>
              <w:rPr>
                <w:rFonts w:hint="eastAsia" w:ascii="宋体" w:hAnsi="宋体"/>
                <w:color w:val="auto"/>
                <w:kern w:val="0"/>
                <w:szCs w:val="21"/>
                <w:highlight w:val="none"/>
              </w:rPr>
              <w:t>中标金额（万元）</w:t>
            </w:r>
          </w:p>
        </w:tc>
        <w:tc>
          <w:tcPr>
            <w:tcW w:w="1899" w:type="dxa"/>
            <w:tcBorders>
              <w:top w:val="single" w:color="000000" w:sz="4" w:space="0"/>
              <w:left w:val="nil"/>
              <w:right w:val="single" w:color="auto"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货物招标</w:t>
            </w:r>
          </w:p>
        </w:tc>
        <w:tc>
          <w:tcPr>
            <w:tcW w:w="1980" w:type="dxa"/>
            <w:tcBorders>
              <w:top w:val="single" w:color="000000" w:sz="4" w:space="0"/>
              <w:left w:val="single" w:color="auto" w:sz="4" w:space="0"/>
              <w:right w:val="single" w:color="auto"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服务招标</w:t>
            </w:r>
          </w:p>
        </w:tc>
        <w:tc>
          <w:tcPr>
            <w:tcW w:w="1980" w:type="dxa"/>
            <w:tcBorders>
              <w:top w:val="single" w:color="000000" w:sz="4" w:space="0"/>
              <w:left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工程招标</w:t>
            </w:r>
          </w:p>
        </w:tc>
      </w:tr>
      <w:tr>
        <w:tblPrEx>
          <w:tblCellMar>
            <w:top w:w="0" w:type="dxa"/>
            <w:left w:w="108" w:type="dxa"/>
            <w:bottom w:w="0" w:type="dxa"/>
            <w:right w:w="108" w:type="dxa"/>
          </w:tblCellMar>
        </w:tblPrEx>
        <w:trPr>
          <w:trHeight w:val="397"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100以下</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0.8%</w:t>
            </w:r>
          </w:p>
        </w:tc>
      </w:tr>
      <w:tr>
        <w:tblPrEx>
          <w:tblCellMar>
            <w:top w:w="0" w:type="dxa"/>
            <w:left w:w="108" w:type="dxa"/>
            <w:bottom w:w="0" w:type="dxa"/>
            <w:right w:w="108" w:type="dxa"/>
          </w:tblCellMar>
        </w:tblPrEx>
        <w:trPr>
          <w:trHeight w:val="458"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100-500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0.88%</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0.56%</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51" w:firstLineChars="215"/>
              <w:jc w:val="center"/>
              <w:rPr>
                <w:rFonts w:ascii="宋体" w:hAnsi="宋体"/>
                <w:color w:val="auto"/>
                <w:kern w:val="0"/>
                <w:szCs w:val="21"/>
                <w:highlight w:val="none"/>
              </w:rPr>
            </w:pPr>
            <w:r>
              <w:rPr>
                <w:rFonts w:hint="eastAsia" w:ascii="宋体" w:hAnsi="宋体"/>
                <w:color w:val="auto"/>
                <w:kern w:val="0"/>
                <w:szCs w:val="21"/>
                <w:highlight w:val="none"/>
              </w:rPr>
              <w:t>500-1000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0.36%</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0.44%</w:t>
            </w:r>
          </w:p>
        </w:tc>
      </w:tr>
      <w:tr>
        <w:tblPrEx>
          <w:tblCellMar>
            <w:top w:w="0" w:type="dxa"/>
            <w:left w:w="108" w:type="dxa"/>
            <w:bottom w:w="0" w:type="dxa"/>
            <w:right w:w="108" w:type="dxa"/>
          </w:tblCellMar>
        </w:tblPrEx>
        <w:trPr>
          <w:trHeight w:val="456"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1000-5000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0.28%</w:t>
            </w:r>
          </w:p>
        </w:tc>
      </w:tr>
      <w:tr>
        <w:tblPrEx>
          <w:tblCellMar>
            <w:top w:w="0" w:type="dxa"/>
            <w:left w:w="108" w:type="dxa"/>
            <w:bottom w:w="0" w:type="dxa"/>
            <w:right w:w="108" w:type="dxa"/>
          </w:tblCellMar>
        </w:tblPrEx>
        <w:trPr>
          <w:trHeight w:val="448"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5000-10000</w:t>
            </w:r>
          </w:p>
        </w:tc>
        <w:tc>
          <w:tcPr>
            <w:tcW w:w="1899"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0.16%</w:t>
            </w:r>
          </w:p>
        </w:tc>
      </w:tr>
      <w:tr>
        <w:tblPrEx>
          <w:tblCellMar>
            <w:top w:w="0" w:type="dxa"/>
            <w:left w:w="108" w:type="dxa"/>
            <w:bottom w:w="0" w:type="dxa"/>
            <w:right w:w="108" w:type="dxa"/>
          </w:tblCellMar>
        </w:tblPrEx>
        <w:trPr>
          <w:trHeight w:val="455"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10000-50000</w:t>
            </w:r>
          </w:p>
        </w:tc>
        <w:tc>
          <w:tcPr>
            <w:tcW w:w="1899"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r>
      <w:tr>
        <w:tblPrEx>
          <w:tblCellMar>
            <w:top w:w="0" w:type="dxa"/>
            <w:left w:w="108" w:type="dxa"/>
            <w:bottom w:w="0" w:type="dxa"/>
            <w:right w:w="108" w:type="dxa"/>
          </w:tblCellMar>
        </w:tblPrEx>
        <w:trPr>
          <w:trHeight w:val="460"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50000-100000</w:t>
            </w:r>
          </w:p>
        </w:tc>
        <w:tc>
          <w:tcPr>
            <w:tcW w:w="1899"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r>
      <w:tr>
        <w:tblPrEx>
          <w:tblCellMar>
            <w:top w:w="0" w:type="dxa"/>
            <w:left w:w="108" w:type="dxa"/>
            <w:bottom w:w="0" w:type="dxa"/>
            <w:right w:w="108" w:type="dxa"/>
          </w:tblCellMar>
        </w:tblPrEx>
        <w:trPr>
          <w:trHeight w:val="466" w:hRule="atLeast"/>
        </w:trPr>
        <w:tc>
          <w:tcPr>
            <w:tcW w:w="3255" w:type="dxa"/>
            <w:tcBorders>
              <w:top w:val="single" w:color="auto" w:sz="4" w:space="0"/>
              <w:left w:val="single" w:color="000000" w:sz="4" w:space="0"/>
              <w:bottom w:val="single" w:color="auto"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100000-500000</w:t>
            </w:r>
          </w:p>
        </w:tc>
        <w:tc>
          <w:tcPr>
            <w:tcW w:w="1899"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r>
      <w:tr>
        <w:tblPrEx>
          <w:tblCellMar>
            <w:top w:w="0" w:type="dxa"/>
            <w:left w:w="108" w:type="dxa"/>
            <w:bottom w:w="0" w:type="dxa"/>
            <w:right w:w="108" w:type="dxa"/>
          </w:tblCellMar>
        </w:tblPrEx>
        <w:trPr>
          <w:trHeight w:val="444"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500000-1000000</w:t>
            </w:r>
          </w:p>
        </w:tc>
        <w:tc>
          <w:tcPr>
            <w:tcW w:w="1899"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1000000以上</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r>
    </w:tbl>
    <w:p>
      <w:pPr>
        <w:pStyle w:val="27"/>
        <w:spacing w:line="400" w:lineRule="atLeast"/>
        <w:ind w:firstLine="315" w:firstLineChars="150"/>
        <w:rPr>
          <w:rFonts w:hAnsi="宋体"/>
          <w:color w:val="auto"/>
          <w:highlight w:val="none"/>
        </w:rPr>
      </w:pPr>
      <w:r>
        <w:rPr>
          <w:rFonts w:hAnsi="宋体"/>
          <w:color w:val="auto"/>
          <w:highlight w:val="none"/>
        </w:rPr>
        <w:tab/>
      </w:r>
      <w:bookmarkStart w:id="220" w:name="_Hlk92466755"/>
      <w:r>
        <w:rPr>
          <w:rFonts w:hint="eastAsia" w:hAnsi="宋体"/>
          <w:color w:val="auto"/>
          <w:highlight w:val="none"/>
        </w:rPr>
        <w:t>注：代理服务收费按差额定率累进法计算</w:t>
      </w:r>
      <w:bookmarkEnd w:id="220"/>
      <w:r>
        <w:rPr>
          <w:rFonts w:hint="eastAsia" w:hAnsi="宋体"/>
          <w:color w:val="auto"/>
          <w:highlight w:val="none"/>
        </w:rPr>
        <w:t>。</w:t>
      </w:r>
    </w:p>
    <w:p>
      <w:pPr>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3.缴纳代理服务费银行账户：</w:t>
      </w:r>
    </w:p>
    <w:p>
      <w:pPr>
        <w:spacing w:line="410" w:lineRule="exact"/>
        <w:ind w:left="420" w:firstLine="210" w:firstLineChars="100"/>
        <w:rPr>
          <w:rFonts w:hint="eastAsia" w:ascii="宋体" w:hAnsi="宋体" w:cs="Courier New"/>
          <w:color w:val="auto"/>
          <w:szCs w:val="21"/>
          <w:highlight w:val="none"/>
        </w:rPr>
      </w:pPr>
      <w:r>
        <w:rPr>
          <w:rFonts w:hint="eastAsia" w:ascii="宋体" w:hAnsi="宋体" w:cs="Courier New"/>
          <w:color w:val="auto"/>
          <w:szCs w:val="21"/>
          <w:highlight w:val="none"/>
        </w:rPr>
        <w:t>开户名称:钦州市政府采购中心</w:t>
      </w:r>
    </w:p>
    <w:p>
      <w:pPr>
        <w:spacing w:line="410" w:lineRule="exact"/>
        <w:ind w:firstLine="630" w:firstLineChars="300"/>
        <w:rPr>
          <w:rFonts w:hint="eastAsia" w:ascii="宋体" w:hAnsi="宋体" w:cs="Courier New"/>
          <w:color w:val="auto"/>
          <w:szCs w:val="21"/>
          <w:highlight w:val="none"/>
        </w:rPr>
      </w:pPr>
      <w:r>
        <w:rPr>
          <w:rFonts w:hint="eastAsia" w:ascii="宋体" w:hAnsi="宋体" w:cs="Courier New"/>
          <w:color w:val="auto"/>
          <w:szCs w:val="21"/>
          <w:highlight w:val="none"/>
        </w:rPr>
        <w:t>开户银行:兴业银行钦州支行</w:t>
      </w:r>
    </w:p>
    <w:p>
      <w:pPr>
        <w:spacing w:line="410" w:lineRule="exact"/>
        <w:ind w:firstLine="630" w:firstLineChars="300"/>
        <w:rPr>
          <w:rFonts w:hint="eastAsia" w:ascii="仿宋_GB2312" w:hAnsi="宋体" w:eastAsia="仿宋_GB2312" w:cs="Courier New"/>
          <w:b/>
          <w:color w:val="auto"/>
          <w:sz w:val="28"/>
          <w:szCs w:val="28"/>
          <w:highlight w:val="none"/>
        </w:rPr>
      </w:pPr>
      <w:r>
        <w:rPr>
          <w:rFonts w:hint="eastAsia" w:ascii="宋体" w:hAnsi="宋体" w:cs="Courier New"/>
          <w:color w:val="auto"/>
          <w:szCs w:val="21"/>
          <w:highlight w:val="none"/>
        </w:rPr>
        <w:t>银行账号:554010100100129709</w:t>
      </w:r>
    </w:p>
    <w:p>
      <w:pPr>
        <w:pStyle w:val="27"/>
        <w:spacing w:line="400" w:lineRule="atLeast"/>
        <w:ind w:firstLine="210" w:firstLineChars="100"/>
        <w:rPr>
          <w:rFonts w:hAnsi="宋体"/>
          <w:bCs/>
          <w:color w:val="auto"/>
          <w:highlight w:val="none"/>
        </w:rPr>
      </w:pPr>
      <w:r>
        <w:rPr>
          <w:rFonts w:hint="eastAsia" w:hAnsi="宋体"/>
          <w:bCs/>
          <w:color w:val="auto"/>
          <w:highlight w:val="none"/>
        </w:rPr>
        <w:t>（二）解释权：</w:t>
      </w:r>
      <w:bookmarkStart w:id="221" w:name="_Hlk92466777"/>
      <w:r>
        <w:rPr>
          <w:rFonts w:hint="eastAsia" w:hAnsi="宋体"/>
          <w:bCs/>
          <w:color w:val="auto"/>
          <w:spacing w:val="-4"/>
          <w:highlight w:val="none"/>
        </w:rPr>
        <w:t>本招标文件解释权属本中心</w:t>
      </w:r>
      <w:bookmarkEnd w:id="221"/>
      <w:r>
        <w:rPr>
          <w:rFonts w:hint="eastAsia" w:hAnsi="宋体"/>
          <w:bCs/>
          <w:color w:val="auto"/>
          <w:spacing w:val="-4"/>
          <w:highlight w:val="none"/>
        </w:rPr>
        <w:t>。</w:t>
      </w:r>
    </w:p>
    <w:p>
      <w:pPr>
        <w:pStyle w:val="27"/>
        <w:spacing w:line="400" w:lineRule="atLeast"/>
        <w:ind w:firstLine="210" w:firstLineChars="100"/>
        <w:rPr>
          <w:rFonts w:hAnsi="宋体"/>
          <w:bCs/>
          <w:color w:val="auto"/>
          <w:highlight w:val="none"/>
        </w:rPr>
      </w:pPr>
      <w:r>
        <w:rPr>
          <w:rFonts w:hint="eastAsia" w:hAnsi="宋体"/>
          <w:bCs/>
          <w:color w:val="auto"/>
          <w:highlight w:val="none"/>
        </w:rPr>
        <w:t>（三）有关事宜</w:t>
      </w:r>
    </w:p>
    <w:p>
      <w:pPr>
        <w:pStyle w:val="27"/>
        <w:spacing w:line="400" w:lineRule="atLeast"/>
        <w:ind w:firstLine="0" w:firstLineChars="0"/>
        <w:rPr>
          <w:rFonts w:hAnsi="宋体"/>
          <w:color w:val="auto"/>
          <w:highlight w:val="none"/>
        </w:rPr>
      </w:pPr>
      <w:r>
        <w:rPr>
          <w:rFonts w:hAnsi="宋体"/>
          <w:color w:val="auto"/>
          <w:highlight w:val="none"/>
        </w:rPr>
        <w:tab/>
      </w:r>
      <w:r>
        <w:rPr>
          <w:rFonts w:hint="eastAsia" w:hAnsi="宋体"/>
          <w:color w:val="auto"/>
          <w:highlight w:val="none"/>
        </w:rPr>
        <w:t>所有与本招标文件有关的函件请按下列通讯地址联系：</w:t>
      </w:r>
    </w:p>
    <w:p>
      <w:pPr>
        <w:pStyle w:val="27"/>
        <w:spacing w:line="400" w:lineRule="atLeast"/>
        <w:ind w:firstLine="420"/>
        <w:rPr>
          <w:rFonts w:hAnsi="宋体"/>
          <w:color w:val="auto"/>
          <w:highlight w:val="none"/>
        </w:rPr>
      </w:pPr>
      <w:bookmarkStart w:id="222" w:name="_Hlk92466867"/>
      <w:r>
        <w:rPr>
          <w:rFonts w:hint="eastAsia" w:hAnsi="宋体"/>
          <w:color w:val="auto"/>
          <w:highlight w:val="none"/>
        </w:rPr>
        <w:t>钦州市政府采购中心</w:t>
      </w:r>
    </w:p>
    <w:p>
      <w:pPr>
        <w:pStyle w:val="27"/>
        <w:tabs>
          <w:tab w:val="left" w:pos="1990"/>
        </w:tabs>
        <w:spacing w:line="400" w:lineRule="atLeast"/>
        <w:ind w:firstLine="420"/>
        <w:rPr>
          <w:rFonts w:hAnsi="宋体"/>
          <w:color w:val="auto"/>
          <w:highlight w:val="none"/>
          <w:u w:val="single"/>
        </w:rPr>
      </w:pPr>
      <w:r>
        <w:rPr>
          <w:rFonts w:hint="eastAsia" w:hAnsi="宋体"/>
          <w:color w:val="auto"/>
          <w:highlight w:val="none"/>
        </w:rPr>
        <w:t>邮政编码：535000</w:t>
      </w:r>
    </w:p>
    <w:p>
      <w:pPr>
        <w:pStyle w:val="27"/>
        <w:tabs>
          <w:tab w:val="left" w:pos="1990"/>
        </w:tabs>
        <w:spacing w:line="400" w:lineRule="atLeast"/>
        <w:ind w:firstLine="420"/>
        <w:rPr>
          <w:rFonts w:hAnsi="宋体"/>
          <w:color w:val="auto"/>
          <w:spacing w:val="-4"/>
          <w:highlight w:val="none"/>
        </w:rPr>
      </w:pPr>
      <w:r>
        <w:rPr>
          <w:rFonts w:hint="eastAsia" w:hAnsi="宋体"/>
          <w:color w:val="auto"/>
          <w:highlight w:val="none"/>
        </w:rPr>
        <w:t>通讯地址：</w:t>
      </w:r>
      <w:r>
        <w:rPr>
          <w:rFonts w:hint="eastAsia" w:ascii="Times New Roman" w:hAnsi="Times New Roman" w:cs="Times New Roman"/>
          <w:color w:val="auto"/>
          <w:szCs w:val="24"/>
          <w:highlight w:val="none"/>
        </w:rPr>
        <w:t>钦州市金海湾东大街8号</w:t>
      </w:r>
    </w:p>
    <w:bookmarkEnd w:id="88"/>
    <w:bookmarkEnd w:id="222"/>
    <w:p>
      <w:pPr>
        <w:widowControl/>
        <w:spacing w:line="400" w:lineRule="atLeast"/>
        <w:ind w:firstLine="420"/>
        <w:jc w:val="left"/>
        <w:rPr>
          <w:color w:val="auto"/>
          <w:highlight w:val="none"/>
        </w:rPr>
      </w:pPr>
      <w:bookmarkStart w:id="223" w:name="_Hlk108515537"/>
      <w:r>
        <w:rPr>
          <w:rFonts w:hint="eastAsia" w:hAnsi="宋体"/>
          <w:color w:val="auto"/>
          <w:highlight w:val="none"/>
        </w:rPr>
        <w:t>钦州市政府采购中心联系方式</w:t>
      </w:r>
      <w:r>
        <w:rPr>
          <w:rFonts w:hint="eastAsia"/>
          <w:color w:val="auto"/>
          <w:highlight w:val="none"/>
        </w:rPr>
        <w:t>：</w:t>
      </w:r>
    </w:p>
    <w:p>
      <w:pPr>
        <w:widowControl/>
        <w:spacing w:line="400" w:lineRule="atLeast"/>
        <w:ind w:firstLine="420"/>
        <w:jc w:val="left"/>
        <w:rPr>
          <w:color w:val="auto"/>
          <w:highlight w:val="none"/>
        </w:rPr>
      </w:pPr>
      <w:r>
        <w:rPr>
          <w:rFonts w:hint="eastAsia"/>
          <w:color w:val="auto"/>
          <w:highlight w:val="none"/>
        </w:rPr>
        <w:t>(1)采购部(采购文件)</w:t>
      </w:r>
    </w:p>
    <w:p>
      <w:pPr>
        <w:widowControl/>
        <w:spacing w:line="400" w:lineRule="atLeast"/>
        <w:ind w:firstLine="42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00" w:lineRule="atLeast"/>
        <w:ind w:firstLine="420"/>
        <w:jc w:val="left"/>
        <w:rPr>
          <w:color w:val="auto"/>
          <w:highlight w:val="none"/>
        </w:rPr>
      </w:pPr>
      <w:r>
        <w:rPr>
          <w:rFonts w:hint="eastAsia"/>
          <w:color w:val="auto"/>
          <w:highlight w:val="none"/>
        </w:rPr>
        <w:t>(2)综合二部(保证金、开标、评标、中标及合同管理)</w:t>
      </w:r>
    </w:p>
    <w:p>
      <w:pPr>
        <w:widowControl/>
        <w:spacing w:line="400" w:lineRule="atLeast"/>
        <w:ind w:firstLine="42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pPr>
        <w:widowControl/>
        <w:spacing w:line="400" w:lineRule="atLeast"/>
        <w:ind w:firstLine="420"/>
        <w:jc w:val="left"/>
        <w:rPr>
          <w:color w:val="auto"/>
          <w:highlight w:val="none"/>
        </w:rPr>
      </w:pPr>
      <w:r>
        <w:rPr>
          <w:rFonts w:hint="eastAsia"/>
          <w:color w:val="auto"/>
          <w:highlight w:val="none"/>
        </w:rPr>
        <w:t>(</w:t>
      </w:r>
      <w:r>
        <w:rPr>
          <w:color w:val="auto"/>
          <w:highlight w:val="none"/>
        </w:rPr>
        <w:t>3)</w:t>
      </w:r>
      <w:r>
        <w:rPr>
          <w:rFonts w:hint="eastAsia"/>
          <w:color w:val="auto"/>
          <w:highlight w:val="none"/>
        </w:rPr>
        <w:t>邮箱：qzzfcgzx@126.com</w:t>
      </w:r>
    </w:p>
    <w:p>
      <w:pPr>
        <w:widowControl/>
        <w:spacing w:line="400" w:lineRule="atLeast"/>
        <w:ind w:firstLine="420"/>
        <w:jc w:val="left"/>
        <w:rPr>
          <w:color w:val="auto"/>
          <w:highlight w:val="none"/>
        </w:rPr>
      </w:pPr>
      <w:r>
        <w:rPr>
          <w:color w:val="auto"/>
          <w:highlight w:val="none"/>
        </w:rPr>
        <w:t>(4)</w:t>
      </w:r>
      <w:r>
        <w:rPr>
          <w:rFonts w:hint="eastAsia"/>
          <w:color w:val="auto"/>
          <w:highlight w:val="none"/>
        </w:rPr>
        <w:t>政采云技术支持热线：</w:t>
      </w:r>
      <w:r>
        <w:rPr>
          <w:rFonts w:hAnsi="宋体"/>
          <w:color w:val="auto"/>
          <w:highlight w:val="none"/>
        </w:rPr>
        <w:t>95763</w:t>
      </w:r>
    </w:p>
    <w:bookmarkEnd w:id="223"/>
    <w:p>
      <w:pPr>
        <w:ind w:firstLine="420"/>
        <w:rPr>
          <w:color w:val="auto"/>
          <w:highlight w:val="none"/>
        </w:rPr>
      </w:pPr>
      <w:r>
        <w:rPr>
          <w:color w:val="auto"/>
          <w:highlight w:val="none"/>
        </w:rPr>
        <w:br w:type="page"/>
      </w:r>
    </w:p>
    <w:p>
      <w:pPr>
        <w:ind w:firstLine="420"/>
        <w:rPr>
          <w:color w:val="auto"/>
          <w:highlight w:val="none"/>
        </w:rPr>
      </w:pPr>
    </w:p>
    <w:p>
      <w:pPr>
        <w:ind w:firstLine="420"/>
        <w:rPr>
          <w:color w:val="auto"/>
          <w:highlight w:val="none"/>
        </w:rPr>
      </w:pPr>
    </w:p>
    <w:p>
      <w:pPr>
        <w:ind w:firstLine="420"/>
        <w:rPr>
          <w:rFonts w:hint="eastAsia"/>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rFonts w:hint="eastAsia"/>
          <w:color w:val="auto"/>
          <w:highlight w:val="none"/>
        </w:rPr>
      </w:pPr>
    </w:p>
    <w:p>
      <w:pPr>
        <w:ind w:firstLine="420"/>
        <w:rPr>
          <w:rFonts w:hint="eastAsia"/>
          <w:color w:val="auto"/>
          <w:highlight w:val="none"/>
        </w:rPr>
      </w:pPr>
    </w:p>
    <w:p>
      <w:pPr>
        <w:pStyle w:val="46"/>
        <w:ind w:left="0" w:leftChars="0" w:right="0" w:rightChars="0" w:firstLine="0" w:firstLineChars="0"/>
        <w:jc w:val="center"/>
        <w:rPr>
          <w:color w:val="auto"/>
          <w:highlight w:val="none"/>
        </w:rPr>
      </w:pPr>
      <w:bookmarkStart w:id="224" w:name="_Toc91512286"/>
      <w:r>
        <w:rPr>
          <w:rFonts w:hint="eastAsia"/>
          <w:color w:val="auto"/>
          <w:highlight w:val="none"/>
        </w:rPr>
        <w:t xml:space="preserve">第四章  </w:t>
      </w:r>
      <w:bookmarkEnd w:id="224"/>
      <w:r>
        <w:rPr>
          <w:rFonts w:hint="eastAsia"/>
          <w:color w:val="auto"/>
          <w:highlight w:val="none"/>
        </w:rPr>
        <w:t>评定标准及推荐原则</w:t>
      </w:r>
    </w:p>
    <w:p>
      <w:pPr>
        <w:ind w:firstLine="0" w:firstLineChars="0"/>
        <w:rPr>
          <w:color w:val="auto"/>
          <w:highlight w:val="none"/>
        </w:rPr>
      </w:pPr>
      <w:r>
        <w:rPr>
          <w:color w:val="auto"/>
          <w:highlight w:val="none"/>
        </w:rPr>
        <w:br w:type="page"/>
      </w:r>
      <w:bookmarkStart w:id="225" w:name="_Hlk92268453"/>
    </w:p>
    <w:bookmarkEnd w:id="225"/>
    <w:p>
      <w:pPr>
        <w:spacing w:line="380" w:lineRule="exact"/>
        <w:ind w:firstLine="0" w:firstLineChars="0"/>
        <w:jc w:val="center"/>
        <w:rPr>
          <w:rFonts w:ascii="宋体" w:hAnsi="宋体"/>
          <w:b/>
          <w:color w:val="auto"/>
          <w:sz w:val="32"/>
          <w:szCs w:val="32"/>
          <w:highlight w:val="none"/>
        </w:rPr>
      </w:pPr>
      <w:r>
        <w:rPr>
          <w:rFonts w:hint="eastAsia" w:ascii="宋体" w:hAnsi="宋体"/>
          <w:b/>
          <w:color w:val="auto"/>
          <w:sz w:val="32"/>
          <w:highlight w:val="none"/>
        </w:rPr>
        <w:t>评定标准和推荐原则</w:t>
      </w:r>
    </w:p>
    <w:p>
      <w:pPr>
        <w:pStyle w:val="27"/>
        <w:spacing w:line="500" w:lineRule="exact"/>
        <w:ind w:firstLine="0" w:firstLineChars="0"/>
        <w:jc w:val="left"/>
        <w:rPr>
          <w:rFonts w:hAnsi="宋体"/>
          <w:b/>
          <w:bCs/>
          <w:color w:val="auto"/>
          <w:highlight w:val="none"/>
        </w:rPr>
      </w:pPr>
      <w:r>
        <w:rPr>
          <w:rFonts w:hint="eastAsia" w:hAnsi="宋体"/>
          <w:b/>
          <w:bCs/>
          <w:color w:val="auto"/>
          <w:highlight w:val="none"/>
        </w:rPr>
        <w:t>一、评标原则</w:t>
      </w:r>
    </w:p>
    <w:p>
      <w:pPr>
        <w:pStyle w:val="27"/>
        <w:spacing w:line="500" w:lineRule="exact"/>
        <w:ind w:firstLine="210" w:firstLineChars="100"/>
        <w:jc w:val="left"/>
        <w:rPr>
          <w:rFonts w:hAnsi="宋体"/>
          <w:color w:val="auto"/>
          <w:highlight w:val="none"/>
        </w:rPr>
      </w:pPr>
      <w:r>
        <w:rPr>
          <w:rFonts w:hint="eastAsia" w:hAnsi="宋体"/>
          <w:color w:val="auto"/>
          <w:highlight w:val="none"/>
        </w:rPr>
        <w:t>（一）评标依据：评标委员会将以招投标文件为评标依据，</w:t>
      </w:r>
      <w:r>
        <w:rPr>
          <w:rFonts w:hAnsi="宋体"/>
          <w:color w:val="auto"/>
          <w:highlight w:val="none"/>
        </w:rPr>
        <w:t>对投标人的投标报价、</w:t>
      </w:r>
      <w:r>
        <w:rPr>
          <w:rFonts w:hint="eastAsia" w:hAnsi="宋体"/>
          <w:bCs/>
          <w:color w:val="auto"/>
          <w:highlight w:val="none"/>
        </w:rPr>
        <w:t>技术商务资信</w:t>
      </w:r>
      <w:r>
        <w:rPr>
          <w:rFonts w:hAnsi="宋体"/>
          <w:color w:val="auto"/>
          <w:highlight w:val="none"/>
        </w:rPr>
        <w:t>等方面内容</w:t>
      </w:r>
      <w:r>
        <w:rPr>
          <w:rFonts w:hint="eastAsia" w:hAnsi="宋体"/>
          <w:color w:val="auto"/>
          <w:highlight w:val="none"/>
        </w:rPr>
        <w:t>进行评价。</w:t>
      </w:r>
    </w:p>
    <w:p>
      <w:pPr>
        <w:pStyle w:val="27"/>
        <w:spacing w:line="500" w:lineRule="exact"/>
        <w:ind w:firstLine="210" w:firstLineChars="100"/>
        <w:jc w:val="left"/>
        <w:rPr>
          <w:rFonts w:hAnsi="宋体"/>
          <w:color w:val="auto"/>
          <w:highlight w:val="none"/>
        </w:rPr>
      </w:pPr>
      <w:r>
        <w:rPr>
          <w:rFonts w:hint="eastAsia" w:hAnsi="宋体"/>
          <w:color w:val="auto"/>
          <w:highlight w:val="none"/>
        </w:rPr>
        <w:t>（二）评标委员会组成：由采购人代表和评审专家组成，成员人数应当为5人以上单数，其中评审专家的人数不得少于成员总数的三分之二。</w:t>
      </w:r>
    </w:p>
    <w:p>
      <w:pPr>
        <w:pStyle w:val="27"/>
        <w:spacing w:line="500" w:lineRule="exact"/>
        <w:ind w:firstLine="210" w:firstLineChars="100"/>
        <w:jc w:val="left"/>
        <w:rPr>
          <w:rFonts w:hAnsi="宋体"/>
          <w:color w:val="auto"/>
          <w:highlight w:val="none"/>
        </w:rPr>
      </w:pPr>
      <w:r>
        <w:rPr>
          <w:rFonts w:hint="eastAsia" w:hAnsi="宋体"/>
          <w:color w:val="auto"/>
          <w:highlight w:val="none"/>
        </w:rPr>
        <w:t>（三）评分方式：评标委员会各成员独立对每个投标人的投标文件进行评价。</w:t>
      </w:r>
    </w:p>
    <w:p>
      <w:pPr>
        <w:pStyle w:val="27"/>
        <w:spacing w:line="500" w:lineRule="exact"/>
        <w:ind w:firstLine="0" w:firstLineChars="0"/>
        <w:jc w:val="left"/>
        <w:rPr>
          <w:rFonts w:hAnsi="宋体"/>
          <w:b/>
          <w:bCs/>
          <w:color w:val="auto"/>
          <w:highlight w:val="none"/>
        </w:rPr>
      </w:pPr>
      <w:r>
        <w:rPr>
          <w:rFonts w:hint="eastAsia" w:hAnsi="宋体"/>
          <w:b/>
          <w:bCs/>
          <w:color w:val="auto"/>
          <w:highlight w:val="none"/>
        </w:rPr>
        <w:t>二、评分细则</w:t>
      </w:r>
    </w:p>
    <w:p>
      <w:pPr>
        <w:spacing w:line="5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综合评分法：对满足招标文件全部实质性要求的投标人投标文件</w:t>
      </w:r>
      <w:r>
        <w:rPr>
          <w:rFonts w:ascii="宋体" w:hAnsi="宋体" w:cs="Arial"/>
          <w:color w:val="auto"/>
          <w:szCs w:val="21"/>
          <w:highlight w:val="none"/>
        </w:rPr>
        <w:t>按照评审因素的量化指标评审</w:t>
      </w:r>
      <w:r>
        <w:rPr>
          <w:rFonts w:hint="eastAsia" w:ascii="宋体" w:hAnsi="宋体" w:cs="Arial"/>
          <w:color w:val="auto"/>
          <w:szCs w:val="21"/>
          <w:highlight w:val="none"/>
        </w:rPr>
        <w:t>并汇总(</w:t>
      </w:r>
      <w:r>
        <w:rPr>
          <w:rFonts w:hint="eastAsia" w:ascii="宋体" w:hAnsi="宋体" w:cs="Courier New"/>
          <w:color w:val="auto"/>
          <w:szCs w:val="21"/>
          <w:highlight w:val="none"/>
        </w:rPr>
        <w:t>四舍五入取至百分位)。</w:t>
      </w:r>
    </w:p>
    <w:p>
      <w:pPr>
        <w:spacing w:line="500" w:lineRule="exact"/>
        <w:ind w:firstLine="211" w:firstLineChars="100"/>
        <w:rPr>
          <w:rFonts w:ascii="宋体" w:hAnsi="宋体"/>
          <w:b/>
          <w:bCs/>
          <w:color w:val="auto"/>
          <w:highlight w:val="none"/>
        </w:rPr>
      </w:pPr>
      <w:r>
        <w:rPr>
          <w:rFonts w:hint="eastAsia" w:ascii="宋体" w:hAnsi="宋体"/>
          <w:b/>
          <w:bCs/>
          <w:color w:val="auto"/>
          <w:highlight w:val="none"/>
        </w:rPr>
        <w:t>（一）报价分（</w:t>
      </w:r>
      <w:r>
        <w:rPr>
          <w:rFonts w:ascii="宋体" w:hAnsi="宋体"/>
          <w:b/>
          <w:bCs/>
          <w:color w:val="auto"/>
          <w:highlight w:val="none"/>
        </w:rPr>
        <w:t>30</w:t>
      </w:r>
      <w:r>
        <w:rPr>
          <w:rFonts w:hint="eastAsia" w:ascii="宋体" w:hAnsi="宋体"/>
          <w:b/>
          <w:bCs/>
          <w:color w:val="auto"/>
          <w:highlight w:val="none"/>
        </w:rPr>
        <w:t>分）</w:t>
      </w:r>
    </w:p>
    <w:p>
      <w:pPr>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ab/>
      </w:r>
      <w:r>
        <w:rPr>
          <w:rFonts w:hint="eastAsia" w:ascii="宋体" w:hAnsi="宋体" w:cs="Courier New"/>
          <w:color w:val="auto"/>
          <w:szCs w:val="21"/>
          <w:highlight w:val="none"/>
        </w:rPr>
        <w:t>1.投标人的价格分统一按照下列公式计算：</w:t>
      </w:r>
    </w:p>
    <w:p>
      <w:pPr>
        <w:spacing w:line="500" w:lineRule="exact"/>
        <w:ind w:firstLine="422"/>
        <w:jc w:val="left"/>
        <w:rPr>
          <w:rFonts w:hint="eastAsia" w:ascii="宋体" w:hAnsi="宋体" w:cs="Courier New"/>
          <w:b/>
          <w:color w:val="auto"/>
          <w:szCs w:val="21"/>
          <w:highlight w:val="none"/>
        </w:rPr>
      </w:pPr>
      <w:r>
        <w:rPr>
          <w:rFonts w:hint="eastAsia" w:ascii="宋体" w:hAnsi="宋体" w:cs="Courier New"/>
          <w:b/>
          <w:color w:val="auto"/>
          <w:szCs w:val="21"/>
          <w:highlight w:val="none"/>
        </w:rPr>
        <w:tab/>
      </w:r>
      <w:r>
        <w:rPr>
          <w:rFonts w:hint="eastAsia" w:ascii="宋体" w:hAnsi="宋体" w:cs="Courier New"/>
          <w:b/>
          <w:color w:val="auto"/>
          <w:szCs w:val="21"/>
          <w:highlight w:val="none"/>
        </w:rPr>
        <w:t>某投标人价格分=（评标基准价/某投标人评标价）×30分</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注：</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提供的全部货物符合《政府采购促进中小企业发展管理办法》（财库﹝2020﹞46号）规定，并在投标文件中提供《中小企业声明函》（格式见第六章，投标人须对声明的真实性负责）。评审中将对小微型企业报价给予20%的扣除，扣除后的价格为评标价。</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highlight w:val="none"/>
        </w:rPr>
        <w:t>投标人获得政策性价格扣除的，评标价</w:t>
      </w:r>
      <w:r>
        <w:rPr>
          <w:rFonts w:ascii="宋体" w:hAnsi="宋体" w:cs="Courier New"/>
          <w:color w:val="auto"/>
          <w:highlight w:val="none"/>
        </w:rPr>
        <w:t>=</w:t>
      </w:r>
      <w:r>
        <w:rPr>
          <w:rFonts w:hint="eastAsia" w:ascii="宋体" w:hAnsi="宋体" w:cs="Courier New"/>
          <w:color w:val="auto"/>
          <w:highlight w:val="none"/>
        </w:rPr>
        <w:t>投标报价×（</w:t>
      </w:r>
      <w:r>
        <w:rPr>
          <w:rFonts w:ascii="宋体" w:hAnsi="宋体" w:cs="Courier New"/>
          <w:color w:val="auto"/>
          <w:highlight w:val="none"/>
        </w:rPr>
        <w:t>1-</w:t>
      </w:r>
      <w:r>
        <w:rPr>
          <w:rFonts w:hint="eastAsia" w:ascii="宋体" w:hAnsi="宋体" w:cs="Courier New"/>
          <w:color w:val="auto"/>
          <w:highlight w:val="none"/>
        </w:rPr>
        <w:t>2</w:t>
      </w:r>
      <w:r>
        <w:rPr>
          <w:rFonts w:ascii="宋体" w:hAnsi="宋体" w:cs="Courier New"/>
          <w:color w:val="auto"/>
          <w:highlight w:val="none"/>
        </w:rPr>
        <w:t>0%</w:t>
      </w:r>
      <w:r>
        <w:rPr>
          <w:rFonts w:hint="eastAsia" w:ascii="宋体" w:hAnsi="宋体" w:cs="Courier New"/>
          <w:color w:val="auto"/>
          <w:highlight w:val="none"/>
        </w:rPr>
        <w:t>），否则评标价</w:t>
      </w:r>
      <w:r>
        <w:rPr>
          <w:rFonts w:ascii="宋体" w:hAnsi="宋体" w:cs="Courier New"/>
          <w:color w:val="auto"/>
          <w:highlight w:val="none"/>
        </w:rPr>
        <w:t>=</w:t>
      </w:r>
      <w:r>
        <w:rPr>
          <w:rFonts w:hint="eastAsia" w:ascii="宋体" w:hAnsi="宋体" w:cs="Courier New"/>
          <w:color w:val="auto"/>
          <w:highlight w:val="none"/>
        </w:rPr>
        <w:t>投标报价。满足招标文件全部实质性要求的投标人最低评标价为评标基准价。评标价仅作评标时使用，中标金额＝投标报价。</w:t>
      </w:r>
    </w:p>
    <w:p>
      <w:pPr>
        <w:widowControl/>
        <w:spacing w:line="500" w:lineRule="exact"/>
        <w:ind w:firstLine="420"/>
        <w:jc w:val="left"/>
        <w:rPr>
          <w:rFonts w:hint="eastAsia" w:ascii="宋体" w:hAnsi="宋体" w:cs="Courier New"/>
          <w:color w:val="auto"/>
          <w:szCs w:val="21"/>
          <w:highlight w:val="none"/>
          <w:u w:val="none"/>
        </w:rPr>
      </w:pPr>
      <w:r>
        <w:rPr>
          <w:rFonts w:hint="eastAsia" w:ascii="宋体" w:hAnsi="宋体" w:cs="Courier New"/>
          <w:color w:val="auto"/>
          <w:szCs w:val="21"/>
          <w:highlight w:val="none"/>
          <w:u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numPr>
          <w:ilvl w:val="0"/>
          <w:numId w:val="5"/>
        </w:numPr>
        <w:spacing w:line="500" w:lineRule="exact"/>
        <w:ind w:firstLine="282" w:firstLineChars="134"/>
        <w:rPr>
          <w:rFonts w:hint="eastAsia" w:ascii="宋体" w:hAnsi="宋体" w:cs="宋体"/>
          <w:b/>
          <w:bCs/>
          <w:color w:val="auto"/>
          <w:spacing w:val="-12"/>
          <w:kern w:val="0"/>
          <w:szCs w:val="21"/>
          <w:highlight w:val="none"/>
          <w:u w:val="none"/>
        </w:rPr>
      </w:pPr>
      <w:r>
        <w:rPr>
          <w:rFonts w:hint="eastAsia" w:ascii="宋体" w:hAnsi="宋体" w:cs="宋体"/>
          <w:b/>
          <w:bCs/>
          <w:color w:val="auto"/>
          <w:kern w:val="0"/>
          <w:szCs w:val="21"/>
          <w:highlight w:val="none"/>
          <w:u w:val="none"/>
        </w:rPr>
        <w:t>技术商务资信分</w:t>
      </w:r>
      <w:r>
        <w:rPr>
          <w:rFonts w:hint="eastAsia" w:ascii="宋体" w:hAnsi="宋体" w:cs="宋体"/>
          <w:b/>
          <w:bCs/>
          <w:color w:val="auto"/>
          <w:spacing w:val="-12"/>
          <w:kern w:val="0"/>
          <w:szCs w:val="21"/>
          <w:highlight w:val="none"/>
          <w:u w:val="none"/>
        </w:rPr>
        <w:t>（</w:t>
      </w:r>
      <w:r>
        <w:rPr>
          <w:rFonts w:ascii="宋体" w:hAnsi="宋体" w:cs="宋体"/>
          <w:b/>
          <w:bCs/>
          <w:color w:val="auto"/>
          <w:spacing w:val="-12"/>
          <w:kern w:val="0"/>
          <w:szCs w:val="21"/>
          <w:highlight w:val="none"/>
          <w:u w:val="none"/>
        </w:rPr>
        <w:t>70</w:t>
      </w:r>
      <w:r>
        <w:rPr>
          <w:rFonts w:hint="eastAsia" w:ascii="宋体" w:hAnsi="宋体" w:cs="宋体"/>
          <w:b/>
          <w:bCs/>
          <w:color w:val="auto"/>
          <w:spacing w:val="-12"/>
          <w:kern w:val="0"/>
          <w:szCs w:val="21"/>
          <w:highlight w:val="none"/>
          <w:u w:val="none"/>
        </w:rPr>
        <w:t>分）</w:t>
      </w:r>
    </w:p>
    <w:p>
      <w:pPr>
        <w:widowControl/>
        <w:spacing w:line="500" w:lineRule="exact"/>
        <w:ind w:firstLine="422"/>
        <w:jc w:val="left"/>
        <w:outlineLvl w:val="1"/>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1.技术分(</w:t>
      </w:r>
      <w:r>
        <w:rPr>
          <w:rFonts w:hint="eastAsia" w:ascii="宋体" w:hAnsi="宋体" w:cs="宋体"/>
          <w:b/>
          <w:bCs/>
          <w:color w:val="auto"/>
          <w:kern w:val="0"/>
          <w:szCs w:val="21"/>
          <w:highlight w:val="none"/>
          <w:lang w:val="en-US" w:eastAsia="zh-CN" w:bidi="ar"/>
        </w:rPr>
        <w:t>57</w:t>
      </w:r>
      <w:r>
        <w:rPr>
          <w:rFonts w:hint="eastAsia" w:ascii="宋体" w:hAnsi="宋体" w:cs="宋体"/>
          <w:b/>
          <w:bCs/>
          <w:color w:val="auto"/>
          <w:kern w:val="0"/>
          <w:szCs w:val="21"/>
          <w:highlight w:val="none"/>
          <w:lang w:bidi="ar"/>
        </w:rPr>
        <w:t>分)</w:t>
      </w:r>
    </w:p>
    <w:p>
      <w:pPr>
        <w:widowControl/>
        <w:spacing w:line="500" w:lineRule="exact"/>
        <w:ind w:firstLine="422"/>
        <w:jc w:val="left"/>
        <w:outlineLvl w:val="1"/>
        <w:rPr>
          <w:rFonts w:ascii="宋体" w:hAnsi="宋体" w:cs="宋体"/>
          <w:b/>
          <w:bCs/>
          <w:color w:val="auto"/>
          <w:kern w:val="0"/>
          <w:szCs w:val="21"/>
          <w:highlight w:val="none"/>
          <w:u w:val="none"/>
          <w:lang w:bidi="ar"/>
        </w:rPr>
      </w:pPr>
      <w:r>
        <w:rPr>
          <w:rFonts w:hint="eastAsia" w:ascii="宋体" w:hAnsi="宋体" w:cs="宋体"/>
          <w:b/>
          <w:bCs/>
          <w:color w:val="auto"/>
          <w:kern w:val="0"/>
          <w:szCs w:val="21"/>
          <w:highlight w:val="none"/>
          <w:u w:val="none"/>
          <w:lang w:val="en-US" w:eastAsia="zh-CN" w:bidi="ar"/>
        </w:rPr>
        <w:t>1.1</w:t>
      </w:r>
      <w:r>
        <w:rPr>
          <w:rFonts w:hint="eastAsia" w:ascii="宋体" w:hAnsi="宋体" w:cs="宋体"/>
          <w:b/>
          <w:bCs/>
          <w:color w:val="auto"/>
          <w:kern w:val="0"/>
          <w:szCs w:val="21"/>
          <w:highlight w:val="none"/>
          <w:u w:val="none"/>
          <w:lang w:bidi="ar"/>
        </w:rPr>
        <w:t>货物性能分(</w:t>
      </w:r>
      <w:r>
        <w:rPr>
          <w:rFonts w:hint="eastAsia" w:ascii="宋体" w:hAnsi="宋体" w:cs="宋体"/>
          <w:b/>
          <w:bCs/>
          <w:color w:val="auto"/>
          <w:kern w:val="0"/>
          <w:szCs w:val="21"/>
          <w:highlight w:val="none"/>
          <w:u w:val="none"/>
          <w:lang w:val="en-US" w:eastAsia="zh-CN" w:bidi="ar"/>
        </w:rPr>
        <w:t>38</w:t>
      </w:r>
      <w:r>
        <w:rPr>
          <w:rFonts w:hint="eastAsia" w:ascii="宋体" w:hAnsi="宋体" w:cs="宋体"/>
          <w:b/>
          <w:bCs/>
          <w:color w:val="auto"/>
          <w:kern w:val="0"/>
          <w:szCs w:val="21"/>
          <w:highlight w:val="none"/>
          <w:u w:val="none"/>
          <w:lang w:bidi="ar"/>
        </w:rPr>
        <w:t>分)</w:t>
      </w:r>
    </w:p>
    <w:p>
      <w:pPr>
        <w:widowControl/>
        <w:spacing w:line="500" w:lineRule="exact"/>
        <w:ind w:firstLine="440"/>
        <w:jc w:val="left"/>
        <w:outlineLvl w:val="1"/>
        <w:rPr>
          <w:rFonts w:ascii="宋体" w:hAnsi="宋体" w:cs="宋体"/>
          <w:color w:val="auto"/>
          <w:sz w:val="22"/>
          <w:szCs w:val="28"/>
          <w:highlight w:val="none"/>
          <w:u w:val="none"/>
        </w:rPr>
      </w:pPr>
      <w:bookmarkStart w:id="226" w:name="OLE_LINK6"/>
      <w:r>
        <w:rPr>
          <w:rFonts w:hint="eastAsia" w:ascii="宋体" w:hAnsi="宋体" w:cs="宋体"/>
          <w:color w:val="auto"/>
          <w:sz w:val="22"/>
          <w:szCs w:val="28"/>
          <w:highlight w:val="none"/>
          <w:u w:val="none"/>
        </w:rPr>
        <w:t>经评标委员会评定，投标人投标产品满足《项目需求》技术参数及性能配置中标注▲项，并提供证明文件(国家认可的第三方认证(检测)机构出具的合格有效检测报告或厂家证明或产品彩页或功能截图加盖投标人公章）的,每项得</w:t>
      </w:r>
      <w:r>
        <w:rPr>
          <w:rFonts w:hint="eastAsia" w:ascii="宋体" w:hAnsi="宋体" w:cs="宋体"/>
          <w:color w:val="auto"/>
          <w:sz w:val="22"/>
          <w:szCs w:val="28"/>
          <w:highlight w:val="none"/>
          <w:u w:val="none"/>
          <w:lang w:val="en-US" w:eastAsia="zh-CN"/>
        </w:rPr>
        <w:t>1</w:t>
      </w:r>
      <w:r>
        <w:rPr>
          <w:rFonts w:hint="eastAsia" w:ascii="宋体" w:hAnsi="宋体" w:cs="宋体"/>
          <w:color w:val="auto"/>
          <w:sz w:val="22"/>
          <w:szCs w:val="28"/>
          <w:highlight w:val="none"/>
          <w:u w:val="none"/>
        </w:rPr>
        <w:t>分，满分</w:t>
      </w:r>
      <w:r>
        <w:rPr>
          <w:rFonts w:hint="eastAsia" w:ascii="宋体" w:hAnsi="宋体" w:cs="宋体"/>
          <w:color w:val="auto"/>
          <w:sz w:val="22"/>
          <w:szCs w:val="28"/>
          <w:highlight w:val="none"/>
          <w:u w:val="none"/>
          <w:lang w:val="en-US" w:eastAsia="zh-CN"/>
        </w:rPr>
        <w:t>38</w:t>
      </w:r>
      <w:r>
        <w:rPr>
          <w:rFonts w:hint="eastAsia" w:ascii="宋体" w:hAnsi="宋体" w:cs="宋体"/>
          <w:color w:val="auto"/>
          <w:sz w:val="22"/>
          <w:szCs w:val="28"/>
          <w:highlight w:val="none"/>
          <w:u w:val="none"/>
        </w:rPr>
        <w:t>分。</w:t>
      </w:r>
    </w:p>
    <w:p>
      <w:pPr>
        <w:widowControl/>
        <w:spacing w:line="500" w:lineRule="exact"/>
        <w:ind w:firstLine="440"/>
        <w:jc w:val="left"/>
        <w:outlineLvl w:val="1"/>
        <w:rPr>
          <w:rFonts w:hint="eastAsia" w:ascii="宋体" w:hAnsi="宋体" w:eastAsia="宋体" w:cs="宋体"/>
          <w:color w:val="auto"/>
          <w:sz w:val="22"/>
          <w:szCs w:val="28"/>
          <w:highlight w:val="none"/>
          <w:u w:val="none"/>
          <w:lang w:eastAsia="zh-CN"/>
        </w:rPr>
      </w:pPr>
      <w:r>
        <w:rPr>
          <w:rFonts w:hint="eastAsia" w:ascii="宋体" w:hAnsi="宋体" w:cs="宋体"/>
          <w:color w:val="auto"/>
          <w:sz w:val="22"/>
          <w:szCs w:val="28"/>
          <w:highlight w:val="none"/>
          <w:u w:val="none"/>
        </w:rPr>
        <w:t>注：标注▲的技术参数证明材料在投标文件中逐点应答出检测报告具体位置</w:t>
      </w:r>
      <w:r>
        <w:rPr>
          <w:rFonts w:hint="eastAsia" w:ascii="宋体" w:hAnsi="宋体" w:cs="宋体"/>
          <w:color w:val="auto"/>
          <w:sz w:val="22"/>
          <w:szCs w:val="28"/>
          <w:highlight w:val="none"/>
          <w:u w:val="none"/>
          <w:lang w:eastAsia="zh-CN"/>
        </w:rPr>
        <w:t>。</w:t>
      </w:r>
    </w:p>
    <w:bookmarkEnd w:id="226"/>
    <w:p>
      <w:pPr>
        <w:widowControl/>
        <w:spacing w:line="500" w:lineRule="exact"/>
        <w:ind w:firstLine="422"/>
        <w:jc w:val="left"/>
        <w:outlineLvl w:val="1"/>
        <w:rPr>
          <w:rFonts w:ascii="宋体" w:hAnsi="宋体" w:cs="宋体"/>
          <w:color w:val="auto"/>
          <w:sz w:val="22"/>
          <w:szCs w:val="28"/>
          <w:highlight w:val="none"/>
        </w:rPr>
      </w:pPr>
      <w:r>
        <w:rPr>
          <w:rFonts w:hint="eastAsia" w:ascii="宋体" w:hAnsi="宋体" w:cs="宋体"/>
          <w:b/>
          <w:bCs/>
          <w:color w:val="auto"/>
          <w:kern w:val="0"/>
          <w:szCs w:val="21"/>
          <w:highlight w:val="none"/>
          <w:lang w:val="en-US" w:eastAsia="zh-CN" w:bidi="ar"/>
        </w:rPr>
        <w:t>1.2</w:t>
      </w:r>
      <w:r>
        <w:rPr>
          <w:rFonts w:hint="eastAsia" w:ascii="宋体" w:hAnsi="宋体" w:cs="宋体"/>
          <w:b/>
          <w:bCs/>
          <w:color w:val="auto"/>
          <w:kern w:val="0"/>
          <w:szCs w:val="21"/>
          <w:highlight w:val="none"/>
          <w:lang w:bidi="ar"/>
        </w:rPr>
        <w:t>项目实施方案分(1</w:t>
      </w:r>
      <w:r>
        <w:rPr>
          <w:rFonts w:hint="eastAsia" w:ascii="宋体" w:hAnsi="宋体" w:cs="宋体"/>
          <w:b/>
          <w:bCs/>
          <w:color w:val="auto"/>
          <w:kern w:val="0"/>
          <w:szCs w:val="21"/>
          <w:highlight w:val="none"/>
          <w:lang w:val="en-US" w:eastAsia="zh-CN" w:bidi="ar"/>
        </w:rPr>
        <w:t>2</w:t>
      </w:r>
      <w:r>
        <w:rPr>
          <w:rFonts w:hint="eastAsia" w:ascii="宋体" w:hAnsi="宋体" w:cs="宋体"/>
          <w:b/>
          <w:bCs/>
          <w:color w:val="auto"/>
          <w:kern w:val="0"/>
          <w:szCs w:val="21"/>
          <w:highlight w:val="none"/>
          <w:lang w:bidi="ar"/>
        </w:rPr>
        <w:t>分)</w:t>
      </w:r>
    </w:p>
    <w:p>
      <w:pPr>
        <w:spacing w:line="500" w:lineRule="exact"/>
        <w:ind w:firstLine="420"/>
        <w:rPr>
          <w:rFonts w:ascii="宋体" w:hAnsi="宋体"/>
          <w:color w:val="auto"/>
          <w:szCs w:val="21"/>
          <w:highlight w:val="none"/>
        </w:rPr>
      </w:pPr>
      <w:r>
        <w:rPr>
          <w:rFonts w:hint="eastAsia" w:ascii="宋体" w:hAnsi="宋体"/>
          <w:color w:val="auto"/>
          <w:szCs w:val="21"/>
          <w:highlight w:val="none"/>
        </w:rPr>
        <w:t>由评标委员会根据投标文件综合评定投标人项目实施方案是否满足本项目需求并按以下规则进行评分：</w:t>
      </w:r>
    </w:p>
    <w:p>
      <w:pPr>
        <w:widowControl/>
        <w:spacing w:line="500" w:lineRule="exact"/>
        <w:ind w:firstLine="420"/>
        <w:jc w:val="left"/>
        <w:outlineLvl w:val="1"/>
        <w:rPr>
          <w:rFonts w:ascii="宋体" w:hAnsi="宋体"/>
          <w:color w:val="auto"/>
          <w:szCs w:val="21"/>
          <w:highlight w:val="none"/>
        </w:rPr>
      </w:pPr>
      <w:r>
        <w:rPr>
          <w:rFonts w:hint="eastAsia" w:ascii="宋体" w:hAnsi="宋体"/>
          <w:color w:val="auto"/>
          <w:szCs w:val="21"/>
          <w:highlight w:val="none"/>
        </w:rPr>
        <w:t>投标人提供的实施方案包含①教室多媒体教学设备布置情况、②本项目产品在教室环境的设计方案、教室场景设计图、③基础教学运营保障制度、④安装调试保障措施、⑤教育数据托付管理能力、⑥教育数据存储能力及信息安全能力（含相关证明材料并加盖投标人公章）的，每项得2分，满分12分。</w:t>
      </w:r>
    </w:p>
    <w:p>
      <w:pPr>
        <w:widowControl/>
        <w:spacing w:line="500" w:lineRule="exact"/>
        <w:ind w:firstLine="422"/>
        <w:jc w:val="left"/>
        <w:outlineLvl w:val="1"/>
        <w:rPr>
          <w:rFonts w:ascii="宋体" w:hAnsi="宋体" w:cs="宋体"/>
          <w:color w:val="auto"/>
          <w:sz w:val="22"/>
          <w:szCs w:val="28"/>
          <w:highlight w:val="none"/>
        </w:rPr>
      </w:pPr>
      <w:r>
        <w:rPr>
          <w:rFonts w:hint="eastAsia" w:ascii="宋体" w:hAnsi="宋体" w:cs="宋体"/>
          <w:b/>
          <w:bCs/>
          <w:color w:val="auto"/>
          <w:kern w:val="0"/>
          <w:szCs w:val="21"/>
          <w:highlight w:val="none"/>
          <w:lang w:val="en-US" w:eastAsia="zh-CN" w:bidi="ar"/>
        </w:rPr>
        <w:t>1.3</w:t>
      </w:r>
      <w:r>
        <w:rPr>
          <w:rFonts w:hint="eastAsia" w:ascii="宋体" w:hAnsi="宋体" w:cs="宋体"/>
          <w:b/>
          <w:bCs/>
          <w:color w:val="auto"/>
          <w:kern w:val="0"/>
          <w:szCs w:val="21"/>
          <w:highlight w:val="none"/>
          <w:lang w:bidi="ar"/>
        </w:rPr>
        <w:t>售后服务分(</w:t>
      </w:r>
      <w:r>
        <w:rPr>
          <w:rFonts w:hint="eastAsia" w:ascii="宋体" w:hAnsi="宋体" w:cs="宋体"/>
          <w:b/>
          <w:bCs/>
          <w:color w:val="auto"/>
          <w:kern w:val="0"/>
          <w:szCs w:val="21"/>
          <w:highlight w:val="none"/>
          <w:lang w:val="en-US" w:eastAsia="zh-CN" w:bidi="ar"/>
        </w:rPr>
        <w:t>7</w:t>
      </w:r>
      <w:r>
        <w:rPr>
          <w:rFonts w:hint="eastAsia" w:ascii="宋体" w:hAnsi="宋体" w:cs="宋体"/>
          <w:b/>
          <w:bCs/>
          <w:color w:val="auto"/>
          <w:kern w:val="0"/>
          <w:szCs w:val="21"/>
          <w:highlight w:val="none"/>
          <w:lang w:bidi="ar"/>
        </w:rPr>
        <w:t xml:space="preserve">分) </w:t>
      </w:r>
    </w:p>
    <w:p>
      <w:pPr>
        <w:widowControl/>
        <w:spacing w:line="500" w:lineRule="exact"/>
        <w:ind w:firstLine="422"/>
        <w:jc w:val="left"/>
        <w:outlineLvl w:val="1"/>
        <w:rPr>
          <w:rFonts w:hint="eastAsia" w:ascii="宋体" w:hAnsi="宋体"/>
          <w:color w:val="auto"/>
          <w:szCs w:val="21"/>
          <w:highlight w:val="none"/>
        </w:rPr>
      </w:pPr>
      <w:r>
        <w:rPr>
          <w:rFonts w:hint="eastAsia" w:ascii="宋体" w:hAnsi="宋体"/>
          <w:color w:val="auto"/>
          <w:szCs w:val="21"/>
          <w:highlight w:val="none"/>
        </w:rPr>
        <w:t>由评标委员会根据投标文件综合评定投标人售后服务方案是否满足本项目需求并按一下规则进行评分：</w:t>
      </w:r>
    </w:p>
    <w:p>
      <w:pPr>
        <w:widowControl/>
        <w:spacing w:line="500" w:lineRule="exact"/>
        <w:ind w:firstLine="422"/>
        <w:jc w:val="left"/>
        <w:outlineLvl w:val="1"/>
        <w:rPr>
          <w:rFonts w:hint="eastAsia" w:ascii="宋体" w:hAnsi="宋体"/>
          <w:color w:val="auto"/>
          <w:szCs w:val="21"/>
          <w:highlight w:val="none"/>
        </w:rPr>
      </w:pPr>
      <w:r>
        <w:rPr>
          <w:rFonts w:hint="eastAsia" w:ascii="宋体" w:hAnsi="宋体"/>
          <w:color w:val="auto"/>
          <w:szCs w:val="21"/>
          <w:highlight w:val="none"/>
        </w:rPr>
        <w:t>投标人售后服务方案包含①售后服务流程、②售后服务团队、③技术培训计划、④定期维护(注明时间)、⑤应急处理程序、⑥备件及优惠措施、⑦服务保障措施内容满足采购需求的每项得1分，满分7分。</w:t>
      </w:r>
    </w:p>
    <w:p>
      <w:pPr>
        <w:widowControl/>
        <w:spacing w:line="500" w:lineRule="exact"/>
        <w:ind w:firstLine="422"/>
        <w:jc w:val="left"/>
        <w:outlineLvl w:val="1"/>
        <w:rPr>
          <w:rFonts w:ascii="宋体" w:hAnsi="宋体" w:cs="宋体"/>
          <w:color w:val="auto"/>
          <w:sz w:val="22"/>
          <w:szCs w:val="28"/>
          <w:highlight w:val="none"/>
        </w:rPr>
      </w:pPr>
      <w:r>
        <w:rPr>
          <w:rFonts w:hint="eastAsia" w:ascii="宋体" w:hAnsi="宋体" w:cs="宋体"/>
          <w:b/>
          <w:bCs/>
          <w:color w:val="auto"/>
          <w:kern w:val="0"/>
          <w:szCs w:val="21"/>
          <w:highlight w:val="none"/>
          <w:lang w:bidi="ar"/>
        </w:rPr>
        <w:t>2.商务分(</w:t>
      </w:r>
      <w:r>
        <w:rPr>
          <w:rFonts w:hint="eastAsia" w:ascii="宋体" w:hAnsi="宋体" w:cs="宋体"/>
          <w:b/>
          <w:bCs/>
          <w:color w:val="auto"/>
          <w:kern w:val="0"/>
          <w:szCs w:val="21"/>
          <w:highlight w:val="none"/>
          <w:lang w:val="en-US" w:eastAsia="zh-CN" w:bidi="ar"/>
        </w:rPr>
        <w:t>13</w:t>
      </w:r>
      <w:r>
        <w:rPr>
          <w:rFonts w:hint="eastAsia" w:ascii="宋体" w:hAnsi="宋体" w:cs="宋体"/>
          <w:b/>
          <w:bCs/>
          <w:color w:val="auto"/>
          <w:kern w:val="0"/>
          <w:szCs w:val="21"/>
          <w:highlight w:val="none"/>
          <w:lang w:bidi="ar"/>
        </w:rPr>
        <w:t>分)</w:t>
      </w:r>
    </w:p>
    <w:p>
      <w:pPr>
        <w:widowControl/>
        <w:spacing w:line="500" w:lineRule="exact"/>
        <w:ind w:firstLine="420"/>
        <w:jc w:val="left"/>
        <w:outlineLvl w:val="1"/>
        <w:rPr>
          <w:rFonts w:hint="eastAsia" w:ascii="宋体" w:hAnsi="宋体" w:eastAsia="宋体"/>
          <w:color w:val="auto"/>
          <w:szCs w:val="21"/>
          <w:highlight w:val="none"/>
        </w:rPr>
      </w:pPr>
      <w:bookmarkStart w:id="227" w:name="_Hlk175306321"/>
      <w:r>
        <w:rPr>
          <w:rFonts w:hint="eastAsia" w:ascii="宋体" w:hAnsi="宋体" w:eastAsia="宋体"/>
          <w:color w:val="auto"/>
          <w:szCs w:val="21"/>
          <w:highlight w:val="none"/>
        </w:rPr>
        <w:t>2.1投标人具备有效的质量管理体系认证、环境管理体系认证、售后服务体系认证的，每项得1分，满分3分。(须提供由国家确定的认证机构出具的有效证书)</w:t>
      </w:r>
    </w:p>
    <w:p>
      <w:pPr>
        <w:widowControl/>
        <w:spacing w:line="500" w:lineRule="exact"/>
        <w:ind w:firstLine="420"/>
        <w:jc w:val="left"/>
        <w:outlineLvl w:val="1"/>
        <w:rPr>
          <w:rFonts w:hint="eastAsia" w:ascii="宋体" w:hAnsi="宋体" w:eastAsia="宋体"/>
          <w:color w:val="auto"/>
          <w:szCs w:val="21"/>
          <w:highlight w:val="none"/>
        </w:rPr>
      </w:pPr>
      <w:bookmarkStart w:id="228" w:name="OLE_LINK7"/>
      <w:r>
        <w:rPr>
          <w:rFonts w:hint="eastAsia" w:ascii="宋体" w:hAnsi="宋体" w:eastAsia="宋体"/>
          <w:color w:val="auto"/>
          <w:szCs w:val="21"/>
          <w:highlight w:val="none"/>
        </w:rPr>
        <w:t>2.2投标人自2021年以来具有</w:t>
      </w:r>
      <w:r>
        <w:rPr>
          <w:rFonts w:hint="eastAsia" w:ascii="宋体" w:hAnsi="宋体"/>
          <w:color w:val="auto"/>
          <w:szCs w:val="21"/>
          <w:highlight w:val="none"/>
          <w:lang w:val="en-US" w:eastAsia="zh-CN"/>
        </w:rPr>
        <w:t>类似</w:t>
      </w:r>
      <w:r>
        <w:rPr>
          <w:rFonts w:hint="eastAsia" w:ascii="宋体" w:hAnsi="宋体" w:eastAsia="宋体"/>
          <w:color w:val="auto"/>
          <w:szCs w:val="21"/>
          <w:highlight w:val="none"/>
        </w:rPr>
        <w:t>项目</w:t>
      </w:r>
      <w:r>
        <w:rPr>
          <w:rFonts w:hint="eastAsia" w:ascii="宋体" w:hAnsi="宋体"/>
          <w:color w:val="auto"/>
          <w:szCs w:val="21"/>
          <w:highlight w:val="none"/>
          <w:lang w:val="en-US" w:eastAsia="zh-CN"/>
        </w:rPr>
        <w:t>合同</w:t>
      </w:r>
      <w:r>
        <w:rPr>
          <w:rFonts w:hint="eastAsia" w:ascii="宋体" w:hAnsi="宋体" w:eastAsia="宋体"/>
          <w:color w:val="auto"/>
          <w:szCs w:val="21"/>
          <w:highlight w:val="none"/>
        </w:rPr>
        <w:t>的，每项得</w:t>
      </w:r>
      <w:r>
        <w:rPr>
          <w:rFonts w:hint="eastAsia" w:ascii="宋体" w:hAnsi="宋体"/>
          <w:color w:val="auto"/>
          <w:szCs w:val="21"/>
          <w:highlight w:val="none"/>
          <w:lang w:val="en-US" w:eastAsia="zh-CN"/>
        </w:rPr>
        <w:t>1.5</w:t>
      </w:r>
      <w:r>
        <w:rPr>
          <w:rFonts w:hint="eastAsia" w:ascii="宋体" w:hAnsi="宋体" w:eastAsia="宋体"/>
          <w:color w:val="auto"/>
          <w:szCs w:val="21"/>
          <w:highlight w:val="none"/>
        </w:rPr>
        <w:t>分，满分</w:t>
      </w:r>
      <w:r>
        <w:rPr>
          <w:rFonts w:hint="eastAsia" w:ascii="宋体" w:hAnsi="宋体"/>
          <w:color w:val="auto"/>
          <w:szCs w:val="21"/>
          <w:highlight w:val="none"/>
          <w:lang w:val="en-US" w:eastAsia="zh-CN"/>
        </w:rPr>
        <w:t>3</w:t>
      </w:r>
      <w:r>
        <w:rPr>
          <w:rFonts w:hint="eastAsia" w:ascii="宋体" w:hAnsi="宋体" w:eastAsia="宋体"/>
          <w:color w:val="auto"/>
          <w:szCs w:val="21"/>
          <w:highlight w:val="none"/>
        </w:rPr>
        <w:t>分。</w:t>
      </w:r>
    </w:p>
    <w:bookmarkEnd w:id="228"/>
    <w:p>
      <w:pPr>
        <w:pStyle w:val="20"/>
        <w:rPr>
          <w:color w:val="auto"/>
          <w:highlight w:val="none"/>
        </w:rPr>
      </w:pPr>
      <w:r>
        <w:rPr>
          <w:rFonts w:hint="eastAsia"/>
          <w:color w:val="auto"/>
          <w:highlight w:val="none"/>
        </w:rPr>
        <w:t xml:space="preserve">2.3 </w:t>
      </w:r>
      <w:bookmarkStart w:id="229" w:name="OLE_LINK8"/>
      <w:r>
        <w:rPr>
          <w:rFonts w:hint="eastAsia"/>
          <w:color w:val="auto"/>
          <w:highlight w:val="none"/>
        </w:rPr>
        <w:t>投标人自2020年以来获得县区、市、省级及以上行政部门颁发的各类荣誉证书或奖项的，获得省级的每项得</w:t>
      </w:r>
      <w:r>
        <w:rPr>
          <w:rFonts w:hint="eastAsia"/>
          <w:color w:val="auto"/>
          <w:highlight w:val="none"/>
          <w:lang w:val="en-US" w:eastAsia="zh-CN"/>
        </w:rPr>
        <w:t>1.5</w:t>
      </w:r>
      <w:r>
        <w:rPr>
          <w:rFonts w:hint="eastAsia"/>
          <w:color w:val="auto"/>
          <w:highlight w:val="none"/>
        </w:rPr>
        <w:t>分；获得地市级每项得 1分；获得县区级每项0.5得分，满分</w:t>
      </w:r>
      <w:r>
        <w:rPr>
          <w:rFonts w:hint="eastAsia"/>
          <w:color w:val="auto"/>
          <w:highlight w:val="none"/>
          <w:lang w:val="en-US" w:eastAsia="zh-CN"/>
        </w:rPr>
        <w:t>3</w:t>
      </w:r>
      <w:r>
        <w:rPr>
          <w:rFonts w:hint="eastAsia"/>
          <w:color w:val="auto"/>
          <w:highlight w:val="none"/>
        </w:rPr>
        <w:t>分。（须提供证明材料并加盖投标人公章）</w:t>
      </w:r>
      <w:bookmarkEnd w:id="229"/>
      <w:r>
        <w:rPr>
          <w:rFonts w:hint="eastAsia"/>
          <w:color w:val="auto"/>
          <w:highlight w:val="none"/>
        </w:rPr>
        <w:t>；</w:t>
      </w:r>
    </w:p>
    <w:p>
      <w:pPr>
        <w:spacing w:line="500" w:lineRule="exact"/>
        <w:ind w:firstLine="420"/>
        <w:rPr>
          <w:rFonts w:hint="eastAsia" w:ascii="宋体" w:hAnsi="宋体"/>
          <w:color w:val="auto"/>
          <w:highlight w:val="none"/>
        </w:rPr>
      </w:pPr>
      <w:r>
        <w:rPr>
          <w:rFonts w:hint="eastAsia" w:ascii="宋体" w:hAnsi="宋体"/>
          <w:color w:val="auto"/>
          <w:highlight w:val="none"/>
        </w:rPr>
        <w:t>2.4核心产品生产厂家</w:t>
      </w:r>
      <w:r>
        <w:rPr>
          <w:rFonts w:hint="eastAsia" w:ascii="宋体" w:hAnsi="宋体" w:cs="宋体"/>
          <w:color w:val="auto"/>
          <w:sz w:val="22"/>
          <w:szCs w:val="22"/>
          <w:highlight w:val="none"/>
        </w:rPr>
        <w:t>通过知识产权管理体系认证的得1分。</w:t>
      </w:r>
      <w:r>
        <w:rPr>
          <w:rFonts w:hint="eastAsia" w:ascii="宋体" w:hAnsi="宋体"/>
          <w:color w:val="auto"/>
          <w:highlight w:val="none"/>
        </w:rPr>
        <w:t xml:space="preserve">(须提供由国家确定的认证机构出具的有效证书) </w:t>
      </w:r>
    </w:p>
    <w:p>
      <w:pPr>
        <w:ind w:firstLine="420"/>
        <w:rPr>
          <w:rFonts w:hint="eastAsia"/>
          <w:color w:val="auto"/>
          <w:highlight w:val="none"/>
          <w:lang w:eastAsia="zh-CN"/>
        </w:rPr>
      </w:pPr>
      <w:r>
        <w:rPr>
          <w:rFonts w:hint="eastAsia" w:ascii="宋体" w:hAnsi="宋体"/>
          <w:color w:val="auto"/>
          <w:szCs w:val="21"/>
          <w:highlight w:val="none"/>
        </w:rPr>
        <w:t>2.5</w:t>
      </w:r>
      <w:bookmarkEnd w:id="227"/>
      <w:r>
        <w:rPr>
          <w:rFonts w:hint="eastAsia" w:ascii="宋体" w:hAnsi="宋体"/>
          <w:color w:val="auto"/>
          <w:szCs w:val="21"/>
          <w:highlight w:val="none"/>
        </w:rPr>
        <w:t>投标人提供的产品（本项目需求中标注★要求提供节能产品认证证书的除外）通过节能产品认证或环境标志产品认证的，每项得</w:t>
      </w:r>
      <w:r>
        <w:rPr>
          <w:rFonts w:hint="eastAsia" w:ascii="宋体" w:hAnsi="宋体"/>
          <w:color w:val="auto"/>
          <w:szCs w:val="21"/>
          <w:highlight w:val="none"/>
          <w:lang w:val="en-US" w:eastAsia="zh-CN"/>
        </w:rPr>
        <w:t>1</w:t>
      </w:r>
      <w:r>
        <w:rPr>
          <w:rFonts w:hint="eastAsia" w:ascii="宋体" w:hAnsi="宋体"/>
          <w:color w:val="auto"/>
          <w:szCs w:val="21"/>
          <w:highlight w:val="none"/>
        </w:rPr>
        <w:t>分，满分3分。(须提供由国家确定的认证机构出具的处于有效期之内的认证证书)</w:t>
      </w:r>
    </w:p>
    <w:p>
      <w:pPr>
        <w:numPr>
          <w:ilvl w:val="0"/>
          <w:numId w:val="0"/>
        </w:numPr>
        <w:spacing w:line="500" w:lineRule="exact"/>
        <w:rPr>
          <w:rFonts w:hint="eastAsia" w:ascii="宋体" w:hAnsi="宋体"/>
          <w:b/>
          <w:bCs/>
          <w:color w:val="auto"/>
          <w:highlight w:val="none"/>
          <w:u w:val="none"/>
        </w:rPr>
      </w:pPr>
      <w:r>
        <w:rPr>
          <w:rFonts w:hint="eastAsia" w:ascii="宋体" w:hAnsi="宋体"/>
          <w:b/>
          <w:bCs/>
          <w:color w:val="auto"/>
          <w:highlight w:val="none"/>
          <w:u w:val="none"/>
        </w:rPr>
        <w:t>三、总得分=价格分+技术商务资信分</w:t>
      </w:r>
    </w:p>
    <w:p>
      <w:pPr>
        <w:spacing w:line="500" w:lineRule="exact"/>
        <w:ind w:firstLine="0" w:firstLineChars="0"/>
        <w:rPr>
          <w:rFonts w:ascii="宋体" w:hAnsi="宋体"/>
          <w:b/>
          <w:bCs/>
          <w:color w:val="auto"/>
          <w:highlight w:val="none"/>
          <w:u w:val="none"/>
        </w:rPr>
      </w:pPr>
      <w:r>
        <w:rPr>
          <w:rFonts w:hint="eastAsia" w:ascii="宋体" w:hAnsi="宋体"/>
          <w:b/>
          <w:bCs/>
          <w:color w:val="auto"/>
          <w:highlight w:val="none"/>
          <w:u w:val="none"/>
        </w:rPr>
        <w:t>四、中标候选人推荐原则</w:t>
      </w:r>
    </w:p>
    <w:p>
      <w:pPr>
        <w:spacing w:line="500" w:lineRule="exact"/>
        <w:ind w:firstLine="0" w:firstLineChars="0"/>
        <w:rPr>
          <w:rFonts w:hint="eastAsia" w:ascii="宋体" w:hAnsi="宋体"/>
          <w:color w:val="auto"/>
          <w:highlight w:val="none"/>
        </w:rPr>
      </w:pPr>
      <w:r>
        <w:rPr>
          <w:rFonts w:ascii="宋体" w:hAnsi="宋体"/>
          <w:color w:val="auto"/>
          <w:highlight w:val="none"/>
          <w:u w:val="none"/>
        </w:rPr>
        <w:tab/>
      </w:r>
      <w:r>
        <w:rPr>
          <w:rFonts w:hint="eastAsia" w:ascii="宋体" w:hAnsi="宋体"/>
          <w:color w:val="auto"/>
          <w:highlight w:val="none"/>
          <w:u w:val="none"/>
        </w:rPr>
        <w:t>评标委员会将根据</w:t>
      </w:r>
      <w:r>
        <w:rPr>
          <w:rFonts w:ascii="宋体" w:hAnsi="宋体"/>
          <w:color w:val="auto"/>
          <w:highlight w:val="none"/>
          <w:u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rPr>
          <w:color w:val="auto"/>
          <w:highlight w:val="none"/>
        </w:rPr>
      </w:pPr>
    </w:p>
    <w:p>
      <w:pPr>
        <w:pStyle w:val="27"/>
        <w:spacing w:line="420" w:lineRule="exact"/>
        <w:ind w:firstLine="0" w:firstLineChars="0"/>
        <w:jc w:val="left"/>
        <w:rPr>
          <w:color w:val="auto"/>
          <w:highlight w:val="none"/>
        </w:rPr>
      </w:pPr>
      <w:r>
        <w:rPr>
          <w:rFonts w:hint="eastAsia" w:ascii="宋体" w:hAnsi="宋体"/>
          <w:color w:val="auto"/>
          <w:highlight w:val="none"/>
        </w:rPr>
        <w:br w:type="page"/>
      </w: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6"/>
        <w:ind w:left="0" w:leftChars="0" w:right="0" w:rightChars="0" w:firstLine="0" w:firstLineChars="0"/>
        <w:jc w:val="center"/>
        <w:rPr>
          <w:color w:val="auto"/>
          <w:highlight w:val="none"/>
        </w:rPr>
      </w:pPr>
      <w:bookmarkStart w:id="230" w:name="_Toc91512287"/>
      <w:r>
        <w:rPr>
          <w:rFonts w:hint="eastAsia"/>
          <w:color w:val="auto"/>
          <w:highlight w:val="none"/>
        </w:rPr>
        <w:t xml:space="preserve">第五章 </w:t>
      </w:r>
      <w:r>
        <w:rPr>
          <w:color w:val="auto"/>
          <w:highlight w:val="none"/>
        </w:rPr>
        <w:t xml:space="preserve"> </w:t>
      </w:r>
      <w:r>
        <w:rPr>
          <w:rFonts w:hint="eastAsia"/>
          <w:color w:val="auto"/>
          <w:highlight w:val="none"/>
        </w:rPr>
        <w:t>政府采购合同主要条款</w:t>
      </w:r>
      <w:bookmarkEnd w:id="230"/>
    </w:p>
    <w:p>
      <w:pPr>
        <w:ind w:firstLine="480"/>
        <w:jc w:val="center"/>
        <w:rPr>
          <w:color w:val="auto"/>
          <w:sz w:val="24"/>
          <w:highlight w:val="none"/>
        </w:rPr>
      </w:pPr>
      <w:bookmarkStart w:id="231" w:name="_Toc389638324"/>
      <w:r>
        <w:rPr>
          <w:rFonts w:hint="eastAsia"/>
          <w:color w:val="auto"/>
          <w:sz w:val="24"/>
          <w:highlight w:val="none"/>
        </w:rPr>
        <w:t>（拟签订文本）</w:t>
      </w:r>
      <w:bookmarkEnd w:id="231"/>
    </w:p>
    <w:p>
      <w:pPr>
        <w:pStyle w:val="27"/>
        <w:ind w:firstLine="0" w:firstLineChars="0"/>
        <w:jc w:val="left"/>
        <w:rPr>
          <w:color w:val="auto"/>
          <w:highlight w:val="none"/>
        </w:rPr>
      </w:pPr>
      <w:r>
        <w:rPr>
          <w:color w:val="auto"/>
          <w:highlight w:val="none"/>
        </w:rPr>
        <w:br w:type="page"/>
      </w:r>
    </w:p>
    <w:p>
      <w:pPr>
        <w:spacing w:line="600" w:lineRule="exact"/>
        <w:ind w:firstLine="420"/>
        <w:jc w:val="center"/>
        <w:rPr>
          <w:color w:val="auto"/>
          <w:highlight w:val="none"/>
        </w:rPr>
      </w:pPr>
    </w:p>
    <w:p>
      <w:pPr>
        <w:spacing w:line="600" w:lineRule="exact"/>
        <w:ind w:firstLine="884"/>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u w:val="single"/>
        </w:rPr>
        <w:t xml:space="preserve">           </w:t>
      </w:r>
      <w:r>
        <w:rPr>
          <w:rFonts w:hint="eastAsia" w:ascii="宋体" w:hAnsi="宋体" w:cs="宋体"/>
          <w:b/>
          <w:bCs/>
          <w:color w:val="auto"/>
          <w:spacing w:val="-20"/>
          <w:kern w:val="44"/>
          <w:sz w:val="48"/>
          <w:szCs w:val="48"/>
          <w:highlight w:val="none"/>
        </w:rPr>
        <w:t>政府采购货物买卖合同</w:t>
      </w: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spacing w:line="360" w:lineRule="auto"/>
        <w:ind w:left="420" w:leftChars="200" w:firstLine="1600" w:firstLineChars="5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ind w:firstLine="420"/>
        <w:rPr>
          <w:color w:val="auto"/>
          <w:highlight w:val="none"/>
        </w:rPr>
      </w:pPr>
    </w:p>
    <w:p>
      <w:pPr>
        <w:ind w:firstLine="880"/>
        <w:rPr>
          <w:color w:val="auto"/>
          <w:highlight w:val="none"/>
        </w:rPr>
      </w:pPr>
      <w:r>
        <w:rPr>
          <w:rFonts w:eastAsia="黑体"/>
          <w:color w:val="auto"/>
          <w:sz w:val="44"/>
          <w:szCs w:val="44"/>
          <w:highlight w:val="none"/>
        </w:rPr>
        <w:br w:type="page"/>
      </w:r>
    </w:p>
    <w:p>
      <w:pPr>
        <w:spacing w:line="460" w:lineRule="exact"/>
        <w:ind w:firstLine="880"/>
        <w:jc w:val="center"/>
        <w:rPr>
          <w:rFonts w:eastAsia="黑体"/>
          <w:color w:val="auto"/>
          <w:sz w:val="44"/>
          <w:szCs w:val="44"/>
          <w:highlight w:val="none"/>
        </w:rPr>
      </w:pPr>
      <w:r>
        <w:rPr>
          <w:rFonts w:hint="eastAsia" w:eastAsia="黑体"/>
          <w:color w:val="auto"/>
          <w:sz w:val="44"/>
          <w:szCs w:val="44"/>
          <w:highlight w:val="none"/>
        </w:rPr>
        <w:t>使 用 说 明</w:t>
      </w:r>
    </w:p>
    <w:p>
      <w:pPr>
        <w:ind w:firstLine="420"/>
        <w:rPr>
          <w:color w:val="auto"/>
          <w:highlight w:val="none"/>
        </w:rPr>
      </w:pPr>
    </w:p>
    <w:p>
      <w:pPr>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1.本合同标准文本适用于购买现成货物的采购项目，不包括需要供应商定制开发、创新研发的货物采购项目。</w:t>
      </w:r>
    </w:p>
    <w:p>
      <w:pPr>
        <w:ind w:firstLine="560"/>
        <w:rPr>
          <w:rFonts w:eastAsia="黑体"/>
          <w:color w:val="auto"/>
          <w:sz w:val="28"/>
          <w:szCs w:val="28"/>
          <w:highlight w:val="none"/>
        </w:rPr>
      </w:pPr>
      <w:r>
        <w:rPr>
          <w:rFonts w:hint="eastAsia" w:ascii="仿宋_GB2312" w:hAnsi="仿宋_GB2312" w:eastAsia="仿宋_GB2312" w:cs="仿宋_GB2312"/>
          <w:color w:val="auto"/>
          <w:sz w:val="28"/>
          <w:szCs w:val="28"/>
          <w:highlight w:val="none"/>
        </w:rPr>
        <w:t>2.本合同标准文本为政府采购货物买卖合同编制提供参考，可以结合采购项目具体情况，对文本作必要的调整修订后使用。</w:t>
      </w:r>
    </w:p>
    <w:p>
      <w:pPr>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3.本合同标准文本各条款中，如涉及填写多家供应商、制造商，多种采购标的、分包主要内容等信息的，可根据采购项目具体情况添加信息项。</w:t>
      </w:r>
    </w:p>
    <w:p>
      <w:pPr>
        <w:ind w:firstLine="0" w:firstLineChars="0"/>
        <w:rPr>
          <w:rFonts w:hint="eastAsia" w:ascii="仿宋_GB2312" w:hAnsi="仿宋_GB2312" w:eastAsia="仿宋_GB2312" w:cs="仿宋_GB2312"/>
          <w:color w:val="auto"/>
          <w:sz w:val="28"/>
          <w:szCs w:val="28"/>
          <w:highlight w:val="none"/>
        </w:rPr>
      </w:pPr>
      <w:bookmarkStart w:id="232" w:name="_Toc22209"/>
    </w:p>
    <w:p>
      <w:pPr>
        <w:keepNext/>
        <w:keepLines/>
        <w:adjustRightInd w:val="0"/>
        <w:snapToGrid w:val="0"/>
        <w:ind w:firstLine="560"/>
        <w:jc w:val="center"/>
        <w:outlineLvl w:val="1"/>
        <w:rPr>
          <w:rFonts w:hint="eastAsia" w:ascii="黑体" w:hAnsi="华文中宋" w:eastAsia="黑体"/>
          <w:color w:val="auto"/>
          <w:sz w:val="28"/>
          <w:szCs w:val="28"/>
          <w:highlight w:val="none"/>
        </w:rPr>
      </w:pPr>
      <w:r>
        <w:rPr>
          <w:rFonts w:hint="eastAsia" w:ascii="黑体" w:hAnsi="黑体" w:eastAsia="黑体"/>
          <w:color w:val="auto"/>
          <w:sz w:val="28"/>
          <w:szCs w:val="28"/>
          <w:highlight w:val="none"/>
        </w:rPr>
        <w:t xml:space="preserve">第一节 </w:t>
      </w:r>
      <w:r>
        <w:rPr>
          <w:rFonts w:hint="eastAsia" w:ascii="黑体" w:hAnsi="华文中宋" w:eastAsia="黑体"/>
          <w:color w:val="auto"/>
          <w:sz w:val="28"/>
          <w:szCs w:val="28"/>
          <w:highlight w:val="none"/>
        </w:rPr>
        <w:t>政府采购合同协议书</w:t>
      </w:r>
      <w:bookmarkEnd w:id="232"/>
    </w:p>
    <w:p>
      <w:pPr>
        <w:keepNext/>
        <w:keepLines/>
        <w:adjustRightInd w:val="0"/>
        <w:snapToGrid w:val="0"/>
        <w:ind w:firstLine="560"/>
        <w:jc w:val="center"/>
        <w:outlineLvl w:val="1"/>
        <w:rPr>
          <w:rFonts w:hint="eastAsia" w:ascii="黑体" w:hAnsi="华文中宋" w:eastAsia="黑体"/>
          <w:color w:val="auto"/>
          <w:sz w:val="28"/>
          <w:szCs w:val="28"/>
          <w:highlight w:val="none"/>
        </w:rPr>
      </w:pP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（采购人、受采购人委托签订合同的单位或采购文件约定的合同甲方）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line="420" w:lineRule="exact"/>
        <w:ind w:firstLine="420"/>
        <w:rPr>
          <w:rFonts w:hint="eastAsia"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line="420" w:lineRule="exact"/>
        <w:ind w:firstLine="420"/>
        <w:rPr>
          <w:color w:val="auto"/>
          <w:highlight w:val="none"/>
        </w:rPr>
      </w:pP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6"/>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项目信息</w:t>
      </w:r>
    </w:p>
    <w:p>
      <w:pPr>
        <w:adjustRightInd w:val="0"/>
        <w:snapToGrid w:val="0"/>
        <w:spacing w:line="42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（1）采购项目名称：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tabs>
          <w:tab w:val="left" w:pos="999"/>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（3）项目内容：</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line="420" w:lineRule="exact"/>
        <w:ind w:firstLine="420"/>
        <w:rPr>
          <w:rFonts w:hint="eastAsia"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pPr>
        <w:adjustRightInd w:val="0"/>
        <w:snapToGrid w:val="0"/>
        <w:spacing w:line="420" w:lineRule="exact"/>
        <w:ind w:firstLine="735" w:firstLineChars="350"/>
        <w:rPr>
          <w:rFonts w:hint="eastAsia" w:ascii="宋体" w:hAnsi="宋体" w:cs="宋体"/>
          <w:color w:val="auto"/>
          <w:szCs w:val="21"/>
          <w:highlight w:val="none"/>
          <w:lang w:val="en"/>
        </w:rPr>
      </w:pPr>
      <w:r>
        <w:rPr>
          <w:rFonts w:hint="eastAsia" w:ascii="宋体" w:hAnsi="宋体"/>
          <w:color w:val="auto"/>
          <w:szCs w:val="21"/>
          <w:highlight w:val="none"/>
        </w:rPr>
        <w:t>采购标的的技术要求、商务要求具体见附件。</w:t>
      </w:r>
    </w:p>
    <w:p>
      <w:pPr>
        <w:adjustRightInd w:val="0"/>
        <w:snapToGrid w:val="0"/>
        <w:spacing w:line="420" w:lineRule="exact"/>
        <w:ind w:firstLine="735" w:firstLineChars="350"/>
        <w:rPr>
          <w:rFonts w:hint="eastAsia"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pPr>
        <w:adjustRightInd w:val="0"/>
        <w:snapToGrid w:val="0"/>
        <w:spacing w:line="420" w:lineRule="exact"/>
        <w:ind w:firstLine="42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pPr>
        <w:adjustRightInd w:val="0"/>
        <w:snapToGrid w:val="0"/>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关键部件</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汉仪书宋二S" w:hAnsi="汉仪书宋二S" w:eastAsia="汉仪书宋二S" w:cs="汉仪书宋二S"/>
          <w:color w:val="auto"/>
          <w:kern w:val="0"/>
          <w:szCs w:val="21"/>
          <w:highlight w:val="none"/>
        </w:rPr>
        <w:t>②</w:t>
      </w:r>
      <w:r>
        <w:rPr>
          <w:rFonts w:hint="eastAsia" w:ascii="宋体" w:hAnsi="宋体" w:cs="宋体"/>
          <w:color w:val="auto"/>
          <w:kern w:val="0"/>
          <w:szCs w:val="21"/>
          <w:highlight w:val="none"/>
        </w:rPr>
        <w:t>涉及车辆采购，请填写是否属于新能源汽车：</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是，《政府采购品目分类目录》底级品目名称：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数量：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金额：</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）政府采购组织形式：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政府集中采购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部门集中采购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分散采购</w:t>
      </w:r>
    </w:p>
    <w:p>
      <w:pPr>
        <w:widowControl/>
        <w:autoSpaceDE w:val="0"/>
        <w:autoSpaceDN w:val="0"/>
        <w:adjustRightInd w:val="0"/>
        <w:snapToGrid w:val="0"/>
        <w:spacing w:line="420" w:lineRule="exact"/>
        <w:ind w:firstLine="283" w:firstLineChars="13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）政府采购方式：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公开招标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邀请招标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竞争性谈判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竞争性磋商</w:t>
      </w:r>
    </w:p>
    <w:p>
      <w:pPr>
        <w:widowControl/>
        <w:autoSpaceDE w:val="0"/>
        <w:autoSpaceDN w:val="0"/>
        <w:adjustRightInd w:val="0"/>
        <w:snapToGrid w:val="0"/>
        <w:spacing w:line="420" w:lineRule="exact"/>
        <w:ind w:firstLine="420" w:firstLineChars="0"/>
        <w:jc w:val="left"/>
        <w:rPr>
          <w:rFonts w:hint="eastAsia" w:ascii="宋体" w:hAnsi="宋体" w:cs="宋体"/>
          <w:color w:val="auto"/>
          <w:kern w:val="0"/>
          <w:szCs w:val="21"/>
          <w:highlight w:val="none"/>
          <w:u w:val="single"/>
        </w:rPr>
      </w:pPr>
      <w:r>
        <w:rPr>
          <w:rFonts w:hint="eastAsia" w:ascii="宋体" w:hAnsi="宋体" w:eastAsia="华文楷体" w:cs="宋体"/>
          <w:color w:val="auto"/>
          <w:kern w:val="0"/>
          <w:sz w:val="22"/>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询价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单一来源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框架协议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其他：</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283" w:firstLineChars="135"/>
        <w:jc w:val="left"/>
        <w:rPr>
          <w:rFonts w:hint="eastAsia" w:ascii="宋体" w:hAnsi="宋体"/>
          <w:color w:val="auto"/>
          <w:szCs w:val="21"/>
          <w:highlight w:val="none"/>
        </w:rPr>
      </w:pPr>
      <w:r>
        <w:rPr>
          <w:rFonts w:hint="eastAsia" w:ascii="宋体" w:hAnsi="宋体" w:cs="华文楷体"/>
          <w:color w:val="auto"/>
          <w:kern w:val="0"/>
          <w:szCs w:val="21"/>
          <w:highlight w:val="none"/>
        </w:rPr>
        <w:t>（6）</w:t>
      </w:r>
      <w:r>
        <w:rPr>
          <w:rFonts w:hint="eastAsia" w:ascii="宋体" w:hAnsi="宋体"/>
          <w:color w:val="auto"/>
          <w:szCs w:val="21"/>
          <w:highlight w:val="none"/>
        </w:rPr>
        <w:t>中标（成交）采购标的制造商是否为中小企业：</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snapToGrid w:val="0"/>
        <w:spacing w:line="420" w:lineRule="exact"/>
        <w:ind w:firstLine="420"/>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409" w:firstLineChars="195"/>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ascii="宋体" w:hAnsi="宋体"/>
          <w:color w:val="auto"/>
          <w:szCs w:val="21"/>
          <w:highlight w:val="none"/>
        </w:rPr>
        <w:t>）</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分包供应商/制造商名称（如供应商和制造商不同，请分别填写）：</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分包供应商/制造商类型（如果供应商和制造商不同，只填写制造商类型）：</w:t>
      </w:r>
    </w:p>
    <w:p>
      <w:pPr>
        <w:adjustRightInd w:val="0"/>
        <w:snapToGrid w:val="0"/>
        <w:spacing w:line="420" w:lineRule="exact"/>
        <w:ind w:firstLine="840" w:firstLineChars="400"/>
        <w:rPr>
          <w:rFonts w:hint="eastAsia" w:ascii="宋体" w:hAnsi="宋体"/>
          <w:iCs/>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p>
    <w:p>
      <w:pPr>
        <w:adjustRightInd w:val="0"/>
        <w:snapToGrid w:val="0"/>
        <w:spacing w:line="420" w:lineRule="exact"/>
        <w:ind w:firstLine="735" w:firstLineChars="35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pPr>
        <w:adjustRightInd w:val="0"/>
        <w:snapToGrid w:val="0"/>
        <w:spacing w:line="420" w:lineRule="exact"/>
        <w:ind w:firstLine="0" w:firstLineChars="0"/>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widowControl/>
        <w:tabs>
          <w:tab w:val="left" w:pos="1340"/>
        </w:tabs>
        <w:autoSpaceDE w:val="0"/>
        <w:autoSpaceDN w:val="0"/>
        <w:adjustRightInd w:val="0"/>
        <w:spacing w:line="420" w:lineRule="exact"/>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    外商投资企业类型：</w:t>
      </w:r>
      <w:r>
        <w:rPr>
          <w:rFonts w:hint="eastAsia" w:ascii="宋体" w:hAnsi="宋体" w:cs="宋体"/>
          <w:iCs/>
          <w:color w:val="auto"/>
          <w:kern w:val="0"/>
          <w:szCs w:val="21"/>
          <w:highlight w:val="none"/>
        </w:rPr>
        <w:sym w:font="Wingdings" w:char="00A8"/>
      </w:r>
      <w:r>
        <w:rPr>
          <w:rFonts w:hint="eastAsia" w:ascii="宋体" w:hAnsi="宋体" w:cs="宋体"/>
          <w:color w:val="auto"/>
          <w:kern w:val="0"/>
          <w:szCs w:val="21"/>
          <w:highlight w:val="none"/>
        </w:rPr>
        <w:t xml:space="preserve">全部由外国投资者投资  </w:t>
      </w:r>
      <w:r>
        <w:rPr>
          <w:rFonts w:hint="eastAsia" w:ascii="宋体" w:hAnsi="宋体" w:cs="宋体"/>
          <w:iCs/>
          <w:color w:val="auto"/>
          <w:kern w:val="0"/>
          <w:szCs w:val="21"/>
          <w:highlight w:val="none"/>
        </w:rPr>
        <w:sym w:font="Wingdings" w:char="00A8"/>
      </w:r>
      <w:r>
        <w:rPr>
          <w:rFonts w:hint="eastAsia" w:ascii="宋体" w:hAnsi="宋体" w:cs="宋体"/>
          <w:iCs/>
          <w:color w:val="auto"/>
          <w:kern w:val="0"/>
          <w:szCs w:val="21"/>
          <w:highlight w:val="none"/>
        </w:rPr>
        <w:t>部分由外国投资者投资</w:t>
      </w:r>
    </w:p>
    <w:p>
      <w:pPr>
        <w:adjustRightInd w:val="0"/>
        <w:snapToGrid w:val="0"/>
        <w:spacing w:line="420" w:lineRule="exact"/>
        <w:ind w:firstLine="304" w:firstLineChars="145"/>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pPr>
        <w:adjustRightInd w:val="0"/>
        <w:snapToGrid w:val="0"/>
        <w:spacing w:line="420" w:lineRule="exact"/>
        <w:ind w:firstLine="735" w:firstLineChars="35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s="宋体"/>
          <w:color w:val="auto"/>
          <w:szCs w:val="21"/>
          <w:highlight w:val="none"/>
        </w:rPr>
        <w:t>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否</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widowControl/>
        <w:autoSpaceDE w:val="0"/>
        <w:autoSpaceDN w:val="0"/>
        <w:adjustRightInd w:val="0"/>
        <w:snapToGrid w:val="0"/>
        <w:spacing w:line="420" w:lineRule="exact"/>
        <w:ind w:firstLine="0" w:firstLineChars="0"/>
        <w:jc w:val="left"/>
        <w:rPr>
          <w:rFonts w:hint="eastAsia" w:ascii="宋体" w:hAnsi="宋体"/>
          <w:color w:val="auto"/>
          <w:szCs w:val="21"/>
          <w:highlight w:val="none"/>
        </w:rPr>
      </w:pPr>
      <w:r>
        <w:rPr>
          <w:rFonts w:hint="eastAsia" w:ascii="宋体" w:hAnsi="宋体" w:eastAsia="华文楷体" w:cs="华文楷体"/>
          <w:color w:val="auto"/>
          <w:kern w:val="0"/>
          <w:szCs w:val="21"/>
          <w:highlight w:val="none"/>
        </w:rPr>
        <w:t xml:space="preserve">        </w:t>
      </w:r>
      <w:r>
        <w:rPr>
          <w:rFonts w:hint="eastAsia" w:ascii="宋体" w:hAnsi="宋体"/>
          <w:color w:val="auto"/>
          <w:szCs w:val="21"/>
          <w:highlight w:val="none"/>
        </w:rPr>
        <w:t xml:space="preserve">是否涉及绿色产品： </w:t>
      </w:r>
    </w:p>
    <w:p>
      <w:pPr>
        <w:widowControl/>
        <w:autoSpaceDE w:val="0"/>
        <w:autoSpaceDN w:val="0"/>
        <w:adjustRightInd w:val="0"/>
        <w:spacing w:line="420" w:lineRule="exact"/>
        <w:ind w:firstLine="420"/>
        <w:jc w:val="left"/>
        <w:rPr>
          <w:rFonts w:hint="eastAsia" w:ascii="宋体" w:hAnsi="宋体" w:cs="华文楷体"/>
          <w:color w:val="auto"/>
          <w:kern w:val="0"/>
          <w:sz w:val="22"/>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是，绿色产品政府采购相关政策确定的底级品目名称：</w:t>
      </w:r>
      <w:r>
        <w:rPr>
          <w:rFonts w:hint="eastAsia" w:ascii="宋体" w:hAnsi="宋体" w:cs="华文楷体"/>
          <w:color w:val="auto"/>
          <w:kern w:val="0"/>
          <w:sz w:val="22"/>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adjustRightInd w:val="0"/>
        <w:snapToGrid w:val="0"/>
        <w:spacing w:line="42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pPr>
        <w:numPr>
          <w:ilvl w:val="0"/>
          <w:numId w:val="6"/>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pPr>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pPr>
        <w:adjustRightInd w:val="0"/>
        <w:snapToGrid w:val="0"/>
        <w:spacing w:line="420" w:lineRule="exact"/>
        <w:ind w:firstLine="42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pPr>
        <w:spacing w:line="420" w:lineRule="exact"/>
        <w:ind w:firstLine="420"/>
        <w:rPr>
          <w:color w:val="auto"/>
          <w:szCs w:val="21"/>
          <w:highlight w:val="none"/>
        </w:rPr>
      </w:pPr>
      <w:r>
        <w:rPr>
          <w:rFonts w:hint="eastAsia" w:ascii="宋体" w:hAnsi="宋体"/>
          <w:color w:val="auto"/>
          <w:szCs w:val="21"/>
          <w:highlight w:val="none"/>
        </w:rPr>
        <w:t>（3）付款方式（按项目实际勾选填写）：</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pPr>
        <w:snapToGrid w:val="0"/>
        <w:spacing w:line="42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6"/>
        </w:numPr>
        <w:adjustRightInd w:val="0"/>
        <w:snapToGrid w:val="0"/>
        <w:spacing w:line="420" w:lineRule="exact"/>
        <w:ind w:firstLine="422"/>
        <w:rPr>
          <w:rFonts w:hint="eastAsia" w:ascii="宋体" w:hAnsi="宋体"/>
          <w:b/>
          <w:color w:val="auto"/>
          <w:szCs w:val="21"/>
          <w:highlight w:val="none"/>
          <w:u w:val="single"/>
        </w:rPr>
      </w:pPr>
      <w:r>
        <w:rPr>
          <w:rFonts w:hint="eastAsia" w:ascii="宋体" w:hAnsi="宋体"/>
          <w:b/>
          <w:color w:val="auto"/>
          <w:szCs w:val="21"/>
          <w:highlight w:val="none"/>
        </w:rPr>
        <w:t>合同履行</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pPr>
        <w:widowControl/>
        <w:autoSpaceDE w:val="0"/>
        <w:autoSpaceDN w:val="0"/>
        <w:adjustRightInd w:val="0"/>
        <w:spacing w:line="420" w:lineRule="exact"/>
        <w:ind w:firstLine="440"/>
        <w:jc w:val="left"/>
        <w:rPr>
          <w:rFonts w:hint="eastAsia" w:ascii="宋体" w:hAnsi="宋体" w:cs="宋体"/>
          <w:color w:val="auto"/>
          <w:kern w:val="0"/>
          <w:szCs w:val="21"/>
          <w:highlight w:val="none"/>
        </w:rPr>
      </w:pPr>
      <w:r>
        <w:rPr>
          <w:rFonts w:hint="eastAsia" w:ascii="宋体" w:hAnsi="宋体" w:eastAsia="华文楷体" w:cs="宋体"/>
          <w:bCs/>
          <w:color w:val="auto"/>
          <w:kern w:val="0"/>
          <w:sz w:val="22"/>
          <w:szCs w:val="21"/>
          <w:highlight w:val="none"/>
        </w:rPr>
        <w:t xml:space="preserve"> </w:t>
      </w:r>
      <w:r>
        <w:rPr>
          <w:rFonts w:hint="eastAsia" w:ascii="宋体" w:hAnsi="宋体" w:cs="宋体"/>
          <w:color w:val="auto"/>
          <w:kern w:val="0"/>
          <w:szCs w:val="21"/>
          <w:highlight w:val="none"/>
        </w:rPr>
        <w:t xml:space="preserve">  收取履约保证金形式：</w:t>
      </w:r>
      <w:r>
        <w:rPr>
          <w:rFonts w:hint="eastAsia" w:ascii="宋体" w:hAnsi="宋体" w:cs="宋体"/>
          <w:bCs/>
          <w:color w:val="auto"/>
          <w:kern w:val="0"/>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收取履约保证金金额：</w:t>
      </w:r>
      <w:r>
        <w:rPr>
          <w:rFonts w:hint="eastAsia" w:ascii="宋体" w:hAnsi="宋体" w:cs="宋体"/>
          <w:bCs/>
          <w:color w:val="auto"/>
          <w:kern w:val="0"/>
          <w:szCs w:val="21"/>
          <w:highlight w:val="none"/>
          <w:u w:val="single"/>
        </w:rPr>
        <w:t xml:space="preserve">                                  </w:t>
      </w:r>
    </w:p>
    <w:p>
      <w:pPr>
        <w:snapToGrid w:val="0"/>
        <w:spacing w:line="420" w:lineRule="exact"/>
        <w:ind w:firstLine="42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pPr>
        <w:numPr>
          <w:ilvl w:val="0"/>
          <w:numId w:val="6"/>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合同验收</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（1）验收组织方式：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一次性验收</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widowControl/>
        <w:autoSpaceDE w:val="0"/>
        <w:autoSpaceDN w:val="0"/>
        <w:adjustRightInd w:val="0"/>
        <w:spacing w:line="420" w:lineRule="exact"/>
        <w:ind w:firstLine="210" w:firstLineChars="10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（7）是否以采购活动中供应商提供的样品作为参考：</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 xml:space="preserve">是  </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否</w:t>
      </w:r>
    </w:p>
    <w:p>
      <w:pPr>
        <w:adjustRightInd w:val="0"/>
        <w:snapToGrid w:val="0"/>
        <w:spacing w:line="420" w:lineRule="exact"/>
        <w:ind w:firstLine="210" w:firstLineChars="1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pPr>
        <w:numPr>
          <w:ilvl w:val="0"/>
          <w:numId w:val="6"/>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（2）政府采购合同专用条款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（3）政府采购合同通用条款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（4）中标（成交）通知书</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（5）投标（响应）文件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（6）采购文件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（7）有关技术文件，图纸</w:t>
      </w:r>
    </w:p>
    <w:p>
      <w:pPr>
        <w:widowControl/>
        <w:autoSpaceDE w:val="0"/>
        <w:autoSpaceDN w:val="0"/>
        <w:adjustRightInd w:val="0"/>
        <w:spacing w:line="420" w:lineRule="exact"/>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rPr>
        <w:t>（8）</w:t>
      </w:r>
      <w:r>
        <w:rPr>
          <w:rFonts w:hint="eastAsia" w:ascii="宋体" w:hAnsi="宋体" w:cs="宋体"/>
          <w:color w:val="auto"/>
          <w:szCs w:val="21"/>
          <w:highlight w:val="none"/>
        </w:rPr>
        <w:t>国家法律、行政法规和规章制度规定或合同约定的作为合同组成部分的其他文件</w:t>
      </w:r>
    </w:p>
    <w:p>
      <w:pPr>
        <w:numPr>
          <w:ilvl w:val="0"/>
          <w:numId w:val="6"/>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6"/>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line="420" w:lineRule="exact"/>
        <w:ind w:firstLine="420"/>
        <w:rPr>
          <w:color w:val="auto"/>
          <w:highlight w:val="none"/>
        </w:rPr>
      </w:pPr>
      <w:r>
        <w:rPr>
          <w:rFonts w:hint="eastAsia" w:ascii="宋体" w:hAnsi="宋体"/>
          <w:color w:val="auto"/>
          <w:szCs w:val="21"/>
          <w:highlight w:val="none"/>
        </w:rPr>
        <w:t>附件：具体标的及其技术要求和商务要求、联合协议、分包意向协议等。</w:t>
      </w:r>
    </w:p>
    <w:p>
      <w:pPr>
        <w:widowControl/>
        <w:spacing w:line="420" w:lineRule="exact"/>
        <w:ind w:firstLine="420"/>
        <w:jc w:val="left"/>
        <w:rPr>
          <w:color w:val="auto"/>
          <w:szCs w:val="21"/>
          <w:highlight w:val="none"/>
        </w:rPr>
      </w:pPr>
      <w:r>
        <w:rPr>
          <w:color w:val="auto"/>
          <w:szCs w:val="21"/>
          <w:highlight w:val="none"/>
        </w:rPr>
        <w:br w:type="page"/>
      </w:r>
    </w:p>
    <w:tbl>
      <w:tblPr>
        <w:tblStyle w:val="49"/>
        <w:tblW w:w="0" w:type="auto"/>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5119" w:type="dxa"/>
            <w:gridSpan w:val="2"/>
            <w:tcBorders>
              <w:bottom w:val="single" w:color="auto" w:sz="2" w:space="0"/>
              <w:right w:val="single" w:color="auto" w:sz="2" w:space="0"/>
            </w:tcBorders>
            <w:noWrap w:val="0"/>
            <w:vAlign w:val="center"/>
          </w:tcPr>
          <w:p>
            <w:pPr>
              <w:adjustRightInd w:val="0"/>
              <w:snapToGrid w:val="0"/>
              <w:spacing w:line="300" w:lineRule="exact"/>
              <w:ind w:firstLine="420"/>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871" w:type="dxa"/>
            <w:gridSpan w:val="2"/>
            <w:tcBorders>
              <w:left w:val="single" w:color="auto" w:sz="2" w:space="0"/>
              <w:bottom w:val="single" w:color="auto" w:sz="2" w:space="0"/>
            </w:tcBorders>
            <w:noWrap w:val="0"/>
            <w:vAlign w:val="center"/>
          </w:tcPr>
          <w:p>
            <w:pPr>
              <w:adjustRightInd w:val="0"/>
              <w:snapToGrid w:val="0"/>
              <w:spacing w:line="300" w:lineRule="exact"/>
              <w:ind w:firstLine="420"/>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869"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法定代表人</w:t>
            </w:r>
          </w:p>
          <w:p>
            <w:pPr>
              <w:adjustRightInd w:val="0"/>
              <w:snapToGrid w:val="0"/>
              <w:spacing w:line="300" w:lineRule="exact"/>
              <w:ind w:firstLine="420"/>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42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869"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拥有者性别</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住  所</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住  所</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 系 人</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 系 人</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联系电话</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联系电话</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通信地址</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通信地址</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邮政编码</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邮政编码</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电子邮箱</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电子邮箱</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统一社会信用代码</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统一社会信用代码</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开户名称</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开户名称</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开户银行</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开户银行</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银行账号</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银行账号</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9990" w:type="dxa"/>
            <w:gridSpan w:val="4"/>
            <w:tcBorders>
              <w:top w:val="single" w:color="auto" w:sz="2" w:space="0"/>
            </w:tcBorders>
            <w:noWrap w:val="0"/>
            <w:vAlign w:val="center"/>
          </w:tcPr>
          <w:p>
            <w:pPr>
              <w:adjustRightInd w:val="0"/>
              <w:snapToGrid w:val="0"/>
              <w:spacing w:before="156" w:beforeLines="50" w:line="360" w:lineRule="auto"/>
              <w:ind w:firstLine="42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keepNext/>
        <w:keepLines/>
        <w:adjustRightInd w:val="0"/>
        <w:snapToGrid w:val="0"/>
        <w:spacing w:before="156" w:beforeLines="50" w:line="360" w:lineRule="auto"/>
        <w:ind w:firstLine="422"/>
        <w:jc w:val="center"/>
        <w:outlineLvl w:val="1"/>
        <w:rPr>
          <w:rFonts w:hint="eastAsia" w:ascii="黑体" w:hAnsi="黑体" w:eastAsia="黑体"/>
          <w:b/>
          <w:bCs/>
          <w:color w:val="auto"/>
          <w:sz w:val="28"/>
          <w:szCs w:val="28"/>
          <w:highlight w:val="none"/>
        </w:rPr>
      </w:pPr>
      <w:r>
        <w:rPr>
          <w:rFonts w:ascii="宋体" w:hAnsi="宋体"/>
          <w:b/>
          <w:bCs/>
          <w:color w:val="auto"/>
          <w:szCs w:val="21"/>
          <w:highlight w:val="none"/>
          <w:u w:val="single"/>
        </w:rPr>
        <w:br w:type="page"/>
      </w:r>
      <w:bookmarkStart w:id="233" w:name="_Toc27624"/>
      <w:r>
        <w:rPr>
          <w:rFonts w:hint="eastAsia" w:ascii="黑体" w:hAnsi="黑体" w:eastAsia="黑体"/>
          <w:color w:val="auto"/>
          <w:sz w:val="28"/>
          <w:szCs w:val="28"/>
          <w:highlight w:val="none"/>
        </w:rPr>
        <w:t>第二节 政府采购合同通用条款</w:t>
      </w:r>
      <w:bookmarkEnd w:id="233"/>
    </w:p>
    <w:p>
      <w:pPr>
        <w:tabs>
          <w:tab w:val="left" w:pos="8820"/>
          <w:tab w:val="left" w:pos="9345"/>
          <w:tab w:val="left" w:pos="9765"/>
        </w:tabs>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7"/>
        </w:num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line="460" w:lineRule="exact"/>
        <w:ind w:firstLine="420"/>
        <w:jc w:val="left"/>
        <w:rPr>
          <w:rFonts w:hint="eastAsia"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60" w:lineRule="exact"/>
        <w:ind w:firstLine="42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pPr>
        <w:spacing w:line="460"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pPr>
        <w:spacing w:line="460"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pPr>
        <w:numPr>
          <w:ilvl w:val="0"/>
          <w:numId w:val="8"/>
        </w:num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合同履行</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line="460" w:lineRule="exact"/>
        <w:ind w:firstLine="42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pPr>
        <w:widowControl/>
        <w:autoSpaceDE w:val="0"/>
        <w:autoSpaceDN w:val="0"/>
        <w:adjustRightInd w:val="0"/>
        <w:spacing w:line="460" w:lineRule="exact"/>
        <w:ind w:firstLine="420"/>
        <w:jc w:val="left"/>
        <w:rPr>
          <w:rFonts w:hint="eastAsia" w:ascii="华文楷体" w:hAnsi="华文楷体" w:eastAsia="华文楷体" w:cs="华文楷体"/>
          <w:color w:val="auto"/>
          <w:kern w:val="0"/>
          <w:szCs w:val="21"/>
          <w:highlight w:val="none"/>
        </w:rPr>
      </w:pPr>
      <w:r>
        <w:rPr>
          <w:rFonts w:hint="eastAsia" w:ascii="宋体" w:hAnsi="宋体"/>
          <w:color w:val="auto"/>
          <w:szCs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8. 质量标准和保证</w:t>
      </w:r>
    </w:p>
    <w:p>
      <w:pPr>
        <w:adjustRightInd w:val="0"/>
        <w:snapToGrid w:val="0"/>
        <w:spacing w:line="460" w:lineRule="exact"/>
        <w:ind w:firstLine="420"/>
        <w:jc w:val="left"/>
        <w:rPr>
          <w:rFonts w:hint="eastAsia" w:ascii="宋体" w:hAnsi="宋体" w:cs="Courier New"/>
          <w:b/>
          <w:color w:val="auto"/>
          <w:szCs w:val="21"/>
          <w:highlight w:val="none"/>
        </w:rPr>
      </w:pPr>
      <w:r>
        <w:rPr>
          <w:rFonts w:hint="eastAsia" w:ascii="宋体" w:hAnsi="宋体" w:cs="Courier New"/>
          <w:color w:val="auto"/>
          <w:szCs w:val="21"/>
          <w:highlight w:val="none"/>
        </w:rPr>
        <w:t>8.1 质量标准</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6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（2）采用中华人民共和国法定计量单位。</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8.2 保证</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60" w:lineRule="exact"/>
        <w:ind w:firstLine="42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234"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234"/>
      <w:r>
        <w:rPr>
          <w:rFonts w:hint="eastAsia" w:ascii="宋体" w:hAnsi="宋体"/>
          <w:color w:val="auto"/>
          <w:szCs w:val="21"/>
          <w:highlight w:val="none"/>
        </w:rPr>
        <w:t>。</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adjustRightInd w:val="0"/>
        <w:snapToGrid w:val="0"/>
        <w:spacing w:line="460" w:lineRule="exact"/>
        <w:ind w:firstLine="42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12. 合同价款支付</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pPr>
        <w:keepNext/>
        <w:keepLines/>
        <w:spacing w:line="460" w:lineRule="exact"/>
        <w:ind w:firstLine="420"/>
        <w:outlineLvl w:val="1"/>
        <w:rPr>
          <w:rFonts w:ascii="Arial" w:hAnsi="Arial"/>
          <w:b/>
          <w:bCs/>
          <w:color w:val="auto"/>
          <w:sz w:val="24"/>
          <w:szCs w:val="32"/>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Cs w:val="21"/>
          <w:highlight w:val="none"/>
        </w:rPr>
        <w:t>政府采购合同专用条款</w:t>
      </w:r>
      <w:r>
        <w:rPr>
          <w:rFonts w:hint="eastAsia" w:ascii="宋体" w:hAnsi="宋体"/>
          <w:color w:val="auto"/>
          <w:szCs w:val="21"/>
          <w:highlight w:val="none"/>
        </w:rPr>
        <w:t>】中约定。</w:t>
      </w:r>
    </w:p>
    <w:p>
      <w:pPr>
        <w:spacing w:line="460" w:lineRule="exact"/>
        <w:ind w:firstLine="482"/>
        <w:rPr>
          <w:rFonts w:hint="eastAsia" w:ascii="宋体" w:hAnsi="宋体"/>
          <w:b/>
          <w:bCs/>
          <w:color w:val="auto"/>
          <w:sz w:val="24"/>
          <w:highlight w:val="none"/>
        </w:rPr>
      </w:pPr>
      <w:r>
        <w:rPr>
          <w:rFonts w:hint="eastAsia" w:ascii="宋体" w:hAnsi="宋体"/>
          <w:b/>
          <w:bCs/>
          <w:color w:val="auto"/>
          <w:sz w:val="24"/>
          <w:highlight w:val="none"/>
        </w:rPr>
        <w:t>13. 履约保证金</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6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w:t>
      </w:r>
      <w:r>
        <w:rPr>
          <w:rFonts w:hint="eastAsia" w:ascii="宋体" w:hAnsi="宋体"/>
          <w:color w:val="auto"/>
          <w:spacing w:val="-20"/>
          <w:szCs w:val="21"/>
          <w:highlight w:val="none"/>
        </w:rPr>
        <w:t>、</w:t>
      </w:r>
      <w:r>
        <w:rPr>
          <w:rFonts w:hint="eastAsia" w:ascii="宋体" w:hAnsi="宋体"/>
          <w:color w:val="auto"/>
          <w:szCs w:val="21"/>
          <w:highlight w:val="none"/>
        </w:rPr>
        <w:t>启动</w:t>
      </w:r>
      <w:r>
        <w:rPr>
          <w:rFonts w:hint="eastAsia" w:ascii="宋体" w:hAnsi="宋体"/>
          <w:color w:val="auto"/>
          <w:spacing w:val="-20"/>
          <w:szCs w:val="21"/>
          <w:highlight w:val="none"/>
        </w:rPr>
        <w:t>、</w:t>
      </w:r>
      <w:r>
        <w:rPr>
          <w:rFonts w:hint="eastAsia" w:ascii="宋体" w:hAnsi="宋体"/>
          <w:color w:val="auto"/>
          <w:szCs w:val="21"/>
          <w:highlight w:val="none"/>
        </w:rPr>
        <w:t>运营</w:t>
      </w:r>
      <w:r>
        <w:rPr>
          <w:rFonts w:hint="eastAsia" w:ascii="宋体" w:hAnsi="宋体"/>
          <w:color w:val="auto"/>
          <w:spacing w:val="-20"/>
          <w:szCs w:val="21"/>
          <w:highlight w:val="none"/>
        </w:rPr>
        <w:t>、</w:t>
      </w:r>
      <w:r>
        <w:rPr>
          <w:rFonts w:hint="eastAsia" w:ascii="宋体" w:hAnsi="宋体"/>
          <w:color w:val="auto"/>
          <w:szCs w:val="21"/>
          <w:highlight w:val="none"/>
        </w:rPr>
        <w:t>维护</w:t>
      </w:r>
      <w:r>
        <w:rPr>
          <w:rFonts w:hint="eastAsia" w:ascii="宋体" w:hAnsi="宋体"/>
          <w:color w:val="auto"/>
          <w:spacing w:val="-20"/>
          <w:szCs w:val="21"/>
          <w:highlight w:val="none"/>
        </w:rPr>
        <w:t>、</w:t>
      </w:r>
      <w:r>
        <w:rPr>
          <w:rFonts w:hint="eastAsia" w:ascii="宋体" w:hAnsi="宋体"/>
          <w:color w:val="auto"/>
          <w:szCs w:val="21"/>
          <w:highlight w:val="none"/>
        </w:rPr>
        <w:t>废弃处置等对甲方操作人员进行培训</w:t>
      </w:r>
      <w:r>
        <w:rPr>
          <w:rFonts w:hint="eastAsia" w:ascii="宋体" w:hAnsi="宋体" w:cs="宋体"/>
          <w:color w:val="auto"/>
          <w:szCs w:val="15"/>
          <w:highlight w:val="none"/>
        </w:rPr>
        <w:t>；</w:t>
      </w:r>
    </w:p>
    <w:p>
      <w:pPr>
        <w:widowControl/>
        <w:autoSpaceDE w:val="0"/>
        <w:autoSpaceDN w:val="0"/>
        <w:adjustRightInd w:val="0"/>
        <w:spacing w:line="46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（5）依照法律、行政法规的规定或者按照</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约定，货物在有效使用年限届满后应予回收的，乙方负有自行或者委托第三人对货物予以回收的义务；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15. 违约责任</w:t>
      </w:r>
    </w:p>
    <w:p>
      <w:pPr>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pPr>
        <w:autoSpaceDE w:val="0"/>
        <w:autoSpaceDN w:val="0"/>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15.2 迟延交货的违约责任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15.3 迟延支付的违约责任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9"/>
        </w:num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合同变更、中止与终止</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16.1合同的变更</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16.2合同的中止</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60" w:lineRule="exact"/>
        <w:ind w:firstLine="42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16.3合同的终止</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60" w:lineRule="exact"/>
        <w:ind w:firstLine="42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pPr>
        <w:widowControl/>
        <w:autoSpaceDE w:val="0"/>
        <w:autoSpaceDN w:val="0"/>
        <w:adjustRightInd w:val="0"/>
        <w:spacing w:line="460" w:lineRule="exact"/>
        <w:ind w:firstLine="440"/>
        <w:jc w:val="left"/>
        <w:rPr>
          <w:rFonts w:hint="eastAsia" w:ascii="宋体" w:hAnsi="宋体" w:eastAsia="华文楷体" w:cs="华文楷体"/>
          <w:color w:val="auto"/>
          <w:kern w:val="0"/>
          <w:sz w:val="22"/>
          <w:szCs w:val="21"/>
          <w:highlight w:val="none"/>
        </w:rPr>
      </w:pPr>
      <w:r>
        <w:rPr>
          <w:rFonts w:hint="eastAsia" w:ascii="宋体" w:hAnsi="宋体" w:eastAsia="华文楷体" w:cs="华文楷体"/>
          <w:color w:val="auto"/>
          <w:kern w:val="0"/>
          <w:sz w:val="22"/>
          <w:szCs w:val="21"/>
          <w:highlight w:val="none"/>
        </w:rPr>
        <w:t xml:space="preserve">16.4 </w:t>
      </w:r>
      <w:r>
        <w:rPr>
          <w:rFonts w:hint="eastAsia" w:ascii="宋体" w:hAnsi="宋体"/>
          <w:color w:val="auto"/>
          <w:szCs w:val="21"/>
          <w:highlight w:val="none"/>
        </w:rPr>
        <w:t>涉及国家利益、社会公共利益的情形</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19.2 选择仲裁的，应在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中明确仲裁机构及仲裁地；通过诉讼方式解决的，可以在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中进一步约定选择与争议有实际联系的地点的人民法院管辖，但管辖法院的约定不得违反级别管辖和专属管辖的规定。</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19.3 如甲乙双方有争议的事项不影响合同其他部分的履行，在争议解决期间，合同其他部分应当继续履行。</w:t>
      </w:r>
    </w:p>
    <w:p>
      <w:pPr>
        <w:autoSpaceDE w:val="0"/>
        <w:autoSpaceDN w:val="0"/>
        <w:adjustRightInd w:val="0"/>
        <w:snapToGrid w:val="0"/>
        <w:spacing w:line="460" w:lineRule="exact"/>
        <w:ind w:firstLine="482"/>
        <w:jc w:val="left"/>
        <w:rPr>
          <w:rFonts w:hint="eastAsia" w:ascii="宋体" w:hAnsi="宋体"/>
          <w:color w:val="auto"/>
          <w:sz w:val="24"/>
          <w:highlight w:val="none"/>
        </w:rPr>
      </w:pPr>
      <w:r>
        <w:rPr>
          <w:rFonts w:hint="eastAsia" w:ascii="宋体" w:hAnsi="宋体"/>
          <w:b/>
          <w:color w:val="auto"/>
          <w:sz w:val="24"/>
          <w:highlight w:val="none"/>
        </w:rPr>
        <w:t>20. 政府采购政策</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spacing w:line="460" w:lineRule="exact"/>
        <w:ind w:firstLine="420"/>
        <w:rPr>
          <w:color w:val="auto"/>
          <w:szCs w:val="22"/>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21.1 本合同的订立、生效、解释、履行及与本合同有关的争议解决，均适用法律、行政法规。</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21.2 本合同条款与法律、行政法规的强制性规定不一致的，双方当事人应按照法律、行政法规的强制性规定修改本合同的相关条款。</w:t>
      </w:r>
    </w:p>
    <w:p>
      <w:pPr>
        <w:autoSpaceDE w:val="0"/>
        <w:autoSpaceDN w:val="0"/>
        <w:adjustRightInd w:val="0"/>
        <w:snapToGrid w:val="0"/>
        <w:spacing w:line="460" w:lineRule="exact"/>
        <w:ind w:firstLine="420" w:firstLineChars="0"/>
        <w:jc w:val="left"/>
        <w:rPr>
          <w:rFonts w:hint="eastAsia" w:ascii="宋体" w:hAnsi="宋体"/>
          <w:b/>
          <w:color w:val="auto"/>
          <w:sz w:val="24"/>
          <w:highlight w:val="none"/>
        </w:rPr>
      </w:pPr>
      <w:r>
        <w:rPr>
          <w:rFonts w:hint="eastAsia" w:ascii="宋体" w:hAnsi="宋体"/>
          <w:b/>
          <w:color w:val="auto"/>
          <w:sz w:val="24"/>
          <w:highlight w:val="none"/>
        </w:rPr>
        <w:t>22. 通知</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22.2 一方当事人变更名称、住所、联系人、联系电话或电子邮箱等信息的，应当在变更后3日内及时书面通知对方，对方实际收到变更通知前的送达仍为有效送达。</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pPr>
        <w:numPr>
          <w:ilvl w:val="0"/>
          <w:numId w:val="10"/>
        </w:num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60" w:lineRule="exact"/>
        <w:ind w:firstLine="420"/>
        <w:jc w:val="left"/>
        <w:rPr>
          <w:rFonts w:hint="eastAsia"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235" w:name="_Toc20313"/>
    </w:p>
    <w:p>
      <w:pPr>
        <w:adjustRightInd w:val="0"/>
        <w:snapToGrid w:val="0"/>
        <w:ind w:firstLine="560"/>
        <w:jc w:val="center"/>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pPr>
        <w:keepNext/>
        <w:keepLines/>
        <w:adjustRightInd w:val="0"/>
        <w:snapToGrid w:val="0"/>
        <w:spacing w:line="360" w:lineRule="auto"/>
        <w:ind w:firstLine="560"/>
        <w:jc w:val="center"/>
        <w:outlineLvl w:val="1"/>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t>第三节 政府采购合同专用条款</w:t>
      </w:r>
      <w:bookmarkEnd w:id="235"/>
    </w:p>
    <w:tbl>
      <w:tblPr>
        <w:tblStyle w:val="49"/>
        <w:tblW w:w="0" w:type="auto"/>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9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第1.2（6）项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联合体具体要求</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第1.2（7）项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其他术语解释</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第4.4款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第4.6款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ind w:firstLine="420"/>
              <w:jc w:val="center"/>
              <w:rPr>
                <w:color w:val="auto"/>
                <w:highlight w:val="none"/>
              </w:rPr>
            </w:pPr>
            <w:r>
              <w:rPr>
                <w:rFonts w:hint="eastAsia" w:ascii="宋体" w:hAnsi="宋体"/>
                <w:color w:val="auto"/>
                <w:szCs w:val="21"/>
                <w:highlight w:val="none"/>
              </w:rPr>
              <w:t>第5.4款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第6.1款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包装特殊要求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noWrap w:val="0"/>
            <w:vAlign w:val="center"/>
          </w:tcPr>
          <w:p>
            <w:pPr>
              <w:adjustRightInd w:val="0"/>
              <w:snapToGrid w:val="0"/>
              <w:ind w:firstLine="420"/>
              <w:jc w:val="center"/>
              <w:rPr>
                <w:rFonts w:hint="eastAsia" w:ascii="宋体" w:hAnsi="宋体"/>
                <w:color w:val="auto"/>
                <w:szCs w:val="21"/>
                <w:highlight w:val="none"/>
              </w:rPr>
            </w:pP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运输特殊要求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第8.2（1）项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质量保证期</w:t>
            </w:r>
          </w:p>
        </w:tc>
        <w:tc>
          <w:tcPr>
            <w:tcW w:w="5954" w:type="dxa"/>
            <w:noWrap w:val="0"/>
            <w:vAlign w:val="center"/>
          </w:tcPr>
          <w:p>
            <w:pPr>
              <w:autoSpaceDE w:val="0"/>
              <w:autoSpaceDN w:val="0"/>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第8.2（3）项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货物质量缺陷</w:t>
            </w:r>
          </w:p>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响应时间</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snapToGrid w:val="0"/>
              <w:ind w:firstLine="42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pPr>
              <w:widowControl/>
              <w:autoSpaceDE w:val="0"/>
              <w:autoSpaceDN w:val="0"/>
              <w:adjustRightInd w:val="0"/>
              <w:ind w:firstLine="440"/>
              <w:jc w:val="center"/>
              <w:rPr>
                <w:rFonts w:hint="eastAsia" w:ascii="华文楷体" w:hAnsi="华文楷体" w:eastAsia="华文楷体" w:cs="华文楷体"/>
                <w:color w:val="auto"/>
                <w:kern w:val="0"/>
                <w:sz w:val="22"/>
                <w:szCs w:val="21"/>
                <w:highlight w:val="none"/>
              </w:rPr>
            </w:pPr>
            <w:r>
              <w:rPr>
                <w:rFonts w:hint="eastAsia" w:ascii="宋体" w:hAnsi="宋体" w:cs="宋体"/>
                <w:color w:val="auto"/>
                <w:kern w:val="0"/>
                <w:sz w:val="22"/>
                <w:szCs w:val="21"/>
                <w:highlight w:val="none"/>
              </w:rPr>
              <w:t>第11.1款</w:t>
            </w:r>
          </w:p>
        </w:tc>
        <w:tc>
          <w:tcPr>
            <w:tcW w:w="2362" w:type="dxa"/>
            <w:noWrap w:val="0"/>
            <w:vAlign w:val="center"/>
          </w:tcPr>
          <w:p>
            <w:pPr>
              <w:adjustRightInd w:val="0"/>
              <w:snapToGrid w:val="0"/>
              <w:ind w:firstLine="420"/>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第13.2款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履约保证金不予退还的情形</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第13.3款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货物回收的约定</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迟延交货赔偿费</w:t>
            </w:r>
          </w:p>
        </w:tc>
        <w:tc>
          <w:tcPr>
            <w:tcW w:w="5954" w:type="dxa"/>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954" w:type="dxa"/>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第15.4款</w:t>
            </w:r>
          </w:p>
        </w:tc>
        <w:tc>
          <w:tcPr>
            <w:tcW w:w="2362" w:type="dxa"/>
            <w:tcBorders>
              <w:left w:val="single" w:color="auto" w:sz="2" w:space="0"/>
              <w:bottom w:val="single" w:color="auto" w:sz="2" w:space="0"/>
              <w:right w:val="single" w:color="auto" w:sz="2" w:space="0"/>
            </w:tcBorders>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其他违约责任</w:t>
            </w:r>
          </w:p>
        </w:tc>
        <w:tc>
          <w:tcPr>
            <w:tcW w:w="5954" w:type="dxa"/>
            <w:tcBorders>
              <w:left w:val="single" w:color="auto" w:sz="2" w:space="0"/>
              <w:bottom w:val="single" w:color="auto" w:sz="2" w:space="0"/>
            </w:tcBorders>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第19.2款</w:t>
            </w:r>
          </w:p>
        </w:tc>
        <w:tc>
          <w:tcPr>
            <w:tcW w:w="2362" w:type="dxa"/>
            <w:tcBorders>
              <w:top w:val="single" w:color="auto" w:sz="2" w:space="0"/>
              <w:left w:val="single" w:color="auto" w:sz="2" w:space="0"/>
              <w:right w:val="single" w:color="auto" w:sz="2" w:space="0"/>
            </w:tcBorders>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解决争议的方法</w:t>
            </w:r>
          </w:p>
        </w:tc>
        <w:tc>
          <w:tcPr>
            <w:tcW w:w="5954" w:type="dxa"/>
            <w:tcBorders>
              <w:top w:val="single" w:color="auto" w:sz="2" w:space="0"/>
              <w:left w:val="single" w:color="auto" w:sz="2" w:space="0"/>
            </w:tcBorders>
            <w:noWrap w:val="0"/>
            <w:vAlign w:val="center"/>
          </w:tcPr>
          <w:p>
            <w:pPr>
              <w:autoSpaceDE w:val="0"/>
              <w:autoSpaceDN w:val="0"/>
              <w:adjustRightInd w:val="0"/>
              <w:snapToGrid w:val="0"/>
              <w:ind w:firstLine="420"/>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pPr>
              <w:autoSpaceDE w:val="0"/>
              <w:autoSpaceDN w:val="0"/>
              <w:adjustRightInd w:val="0"/>
              <w:snapToGrid w:val="0"/>
              <w:ind w:firstLine="420"/>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pPr>
              <w:adjustRightInd w:val="0"/>
              <w:snapToGrid w:val="0"/>
              <w:ind w:firstLine="420"/>
              <w:jc w:val="left"/>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第23.1款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bCs/>
                <w:color w:val="auto"/>
                <w:szCs w:val="21"/>
                <w:highlight w:val="none"/>
              </w:rPr>
              <w:t>其他专用条款</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bl>
    <w:p>
      <w:pPr>
        <w:widowControl/>
        <w:ind w:firstLine="420"/>
        <w:jc w:val="left"/>
        <w:rPr>
          <w:rFonts w:ascii="宋体" w:hAnsi="Courier New" w:cs="Courier New"/>
          <w:color w:val="auto"/>
          <w:szCs w:val="21"/>
          <w:highlight w:val="none"/>
        </w:rPr>
      </w:pPr>
    </w:p>
    <w:p>
      <w:pPr>
        <w:widowControl/>
        <w:ind w:firstLine="0" w:firstLineChars="0"/>
        <w:jc w:val="left"/>
        <w:rPr>
          <w:rFonts w:hint="eastAsia" w:ascii="宋体" w:hAnsi="Courier New" w:cs="Courier New"/>
          <w:color w:val="auto"/>
          <w:szCs w:val="21"/>
          <w:highlight w:val="none"/>
        </w:rPr>
      </w:pPr>
      <w:r>
        <w:rPr>
          <w:rFonts w:ascii="宋体" w:hAnsi="Courier New" w:cs="Courier New"/>
          <w:color w:val="auto"/>
          <w:szCs w:val="21"/>
          <w:highlight w:val="none"/>
        </w:rPr>
        <w:br w:type="page"/>
      </w:r>
    </w:p>
    <w:p>
      <w:pPr>
        <w:ind w:firstLine="0" w:firstLineChars="0"/>
        <w:rPr>
          <w:rFonts w:hint="eastAsia"/>
          <w:color w:val="auto"/>
          <w:highlight w:val="none"/>
        </w:rPr>
      </w:pPr>
      <w:bookmarkStart w:id="236" w:name="_Hlk92701478"/>
    </w:p>
    <w:bookmarkEnd w:id="236"/>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6"/>
        <w:ind w:left="0" w:leftChars="0" w:right="0" w:rightChars="0" w:firstLine="0" w:firstLineChars="0"/>
        <w:jc w:val="center"/>
        <w:rPr>
          <w:color w:val="auto"/>
          <w:highlight w:val="none"/>
        </w:rPr>
      </w:pPr>
      <w:bookmarkStart w:id="237" w:name="_Toc352700448"/>
      <w:bookmarkStart w:id="238" w:name="_Toc91512288"/>
      <w:bookmarkStart w:id="239" w:name="_Toc352700352"/>
      <w:r>
        <w:rPr>
          <w:rFonts w:hint="eastAsia"/>
          <w:color w:val="auto"/>
          <w:highlight w:val="none"/>
        </w:rPr>
        <w:t>第六章　投标文件格式</w:t>
      </w:r>
      <w:bookmarkEnd w:id="237"/>
      <w:bookmarkEnd w:id="238"/>
      <w:bookmarkEnd w:id="239"/>
    </w:p>
    <w:p>
      <w:pPr>
        <w:pStyle w:val="27"/>
        <w:ind w:firstLine="0" w:firstLineChars="0"/>
        <w:rPr>
          <w:rFonts w:hAnsi="宋体"/>
          <w:b/>
          <w:color w:val="auto"/>
          <w:sz w:val="32"/>
          <w:szCs w:val="32"/>
          <w:highlight w:val="none"/>
        </w:rPr>
      </w:pPr>
      <w:r>
        <w:rPr>
          <w:rFonts w:hAnsi="宋体"/>
          <w:color w:val="auto"/>
          <w:highlight w:val="none"/>
        </w:rPr>
        <w:br w:type="page"/>
      </w:r>
      <w:r>
        <w:rPr>
          <w:rFonts w:hAnsi="宋体"/>
          <w:color w:val="auto"/>
          <w:highlight w:val="none"/>
        </w:rPr>
        <w:t xml:space="preserve"> </w:t>
      </w:r>
      <w:r>
        <w:rPr>
          <w:rFonts w:hint="eastAsia" w:hAnsi="宋体"/>
          <w:b/>
          <w:color w:val="auto"/>
          <w:sz w:val="32"/>
          <w:szCs w:val="32"/>
          <w:highlight w:val="none"/>
        </w:rPr>
        <w:t>一、资格文件</w:t>
      </w:r>
    </w:p>
    <w:p>
      <w:pPr>
        <w:tabs>
          <w:tab w:val="left" w:pos="3402"/>
        </w:tabs>
        <w:spacing w:line="320" w:lineRule="exact"/>
        <w:ind w:firstLine="0" w:firstLineChars="0"/>
        <w:jc w:val="left"/>
        <w:rPr>
          <w:rFonts w:hint="eastAsia" w:ascii="仿宋_GB2312" w:hAnsi="Adobe 仿宋 Std R" w:eastAsia="仿宋_GB2312"/>
          <w:b/>
          <w:color w:val="auto"/>
          <w:spacing w:val="10"/>
          <w:sz w:val="32"/>
          <w:szCs w:val="32"/>
          <w:highlight w:val="none"/>
        </w:rPr>
      </w:pPr>
    </w:p>
    <w:p>
      <w:pPr>
        <w:tabs>
          <w:tab w:val="left" w:pos="3402"/>
        </w:tabs>
        <w:spacing w:line="240" w:lineRule="auto"/>
        <w:ind w:firstLine="602" w:firstLineChars="0"/>
        <w:jc w:val="center"/>
        <w:rPr>
          <w:rFonts w:ascii="仿宋_GB2312" w:hAnsi="Adobe 仿宋 Std R" w:eastAsia="仿宋_GB2312"/>
          <w:b/>
          <w:color w:val="auto"/>
          <w:spacing w:val="10"/>
          <w:sz w:val="32"/>
          <w:szCs w:val="32"/>
          <w:highlight w:val="none"/>
        </w:rPr>
      </w:pPr>
      <w:r>
        <w:rPr>
          <w:rFonts w:hint="eastAsia" w:ascii="仿宋_GB2312" w:hAnsi="Adobe 仿宋 Std R" w:eastAsia="仿宋_GB2312"/>
          <w:b/>
          <w:color w:val="auto"/>
          <w:spacing w:val="10"/>
          <w:sz w:val="32"/>
          <w:szCs w:val="32"/>
          <w:highlight w:val="none"/>
        </w:rPr>
        <w:t>投标人具备参加政府采购活动条件的承诺书</w:t>
      </w:r>
      <w:r>
        <w:rPr>
          <w:rFonts w:hint="eastAsia" w:ascii="仿宋_GB2312" w:hAnsi="Adobe 仿宋 Std R" w:eastAsia="仿宋_GB2312" w:cs="黑体"/>
          <w:bCs/>
          <w:color w:val="auto"/>
          <w:sz w:val="24"/>
          <w:highlight w:val="none"/>
        </w:rPr>
        <w:t>(格式)</w:t>
      </w:r>
    </w:p>
    <w:p>
      <w:pPr>
        <w:tabs>
          <w:tab w:val="left" w:pos="3402"/>
        </w:tabs>
        <w:spacing w:line="240" w:lineRule="auto"/>
        <w:ind w:firstLine="0" w:firstLineChars="0"/>
        <w:jc w:val="left"/>
        <w:rPr>
          <w:rFonts w:ascii="仿宋_GB2312" w:hAnsi="仿宋" w:eastAsia="仿宋_GB2312"/>
          <w:b/>
          <w:color w:val="auto"/>
          <w:spacing w:val="10"/>
          <w:szCs w:val="21"/>
          <w:highlight w:val="none"/>
        </w:rPr>
      </w:pPr>
    </w:p>
    <w:p>
      <w:pPr>
        <w:spacing w:line="520" w:lineRule="exact"/>
        <w:ind w:firstLine="0" w:firstLineChars="0"/>
        <w:rPr>
          <w:rFonts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firstLineChars="0"/>
        <w:rPr>
          <w:rFonts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投标人名称)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特此承诺。</w:t>
      </w:r>
    </w:p>
    <w:p>
      <w:pPr>
        <w:spacing w:line="240" w:lineRule="auto"/>
        <w:ind w:firstLine="420" w:firstLineChars="0"/>
        <w:rPr>
          <w:rFonts w:ascii="宋体" w:hAnsi="宋体"/>
          <w:bCs/>
          <w:color w:val="auto"/>
          <w:szCs w:val="22"/>
          <w:highlight w:val="none"/>
        </w:rPr>
      </w:pPr>
    </w:p>
    <w:p>
      <w:pPr>
        <w:spacing w:line="240" w:lineRule="auto"/>
        <w:ind w:firstLine="420" w:firstLineChars="0"/>
        <w:rPr>
          <w:rFonts w:ascii="宋体" w:hAnsi="宋体"/>
          <w:bCs/>
          <w:color w:val="auto"/>
          <w:szCs w:val="22"/>
          <w:highlight w:val="none"/>
        </w:rPr>
      </w:pPr>
    </w:p>
    <w:p>
      <w:pPr>
        <w:spacing w:line="240" w:lineRule="auto"/>
        <w:ind w:firstLine="420" w:firstLineChars="0"/>
        <w:rPr>
          <w:rFonts w:hint="eastAsia" w:ascii="宋体" w:hAnsi="宋体"/>
          <w:bCs/>
          <w:color w:val="auto"/>
          <w:szCs w:val="22"/>
          <w:highlight w:val="none"/>
        </w:rPr>
      </w:pPr>
    </w:p>
    <w:p>
      <w:pPr>
        <w:spacing w:line="440" w:lineRule="exact"/>
        <w:ind w:right="1050" w:rightChars="500" w:firstLine="5250" w:firstLineChars="250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40" w:lineRule="exact"/>
        <w:ind w:right="420" w:firstLine="0" w:firstLineChars="0"/>
        <w:jc w:val="center"/>
        <w:rPr>
          <w:rFonts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tabs>
          <w:tab w:val="left" w:pos="3402"/>
        </w:tabs>
        <w:ind w:firstLine="683"/>
        <w:jc w:val="center"/>
        <w:rPr>
          <w:rFonts w:ascii="仿宋_GB2312" w:hAnsi="仿宋" w:eastAsia="仿宋_GB2312"/>
          <w:b/>
          <w:color w:val="auto"/>
          <w:spacing w:val="10"/>
          <w:sz w:val="28"/>
          <w:szCs w:val="28"/>
          <w:highlight w:val="none"/>
        </w:rPr>
      </w:pPr>
      <w:r>
        <w:rPr>
          <w:rFonts w:hint="eastAsia" w:ascii="仿宋_GB2312" w:hAnsi="仿宋" w:eastAsia="仿宋_GB2312"/>
          <w:b/>
          <w:color w:val="auto"/>
          <w:spacing w:val="10"/>
          <w:sz w:val="32"/>
          <w:szCs w:val="32"/>
          <w:highlight w:val="none"/>
        </w:rPr>
        <w:t>无重大违法记录的书面声明</w:t>
      </w:r>
      <w:r>
        <w:rPr>
          <w:rFonts w:hint="eastAsia" w:ascii="仿宋_GB2312" w:hAnsi="仿宋" w:eastAsia="仿宋_GB2312"/>
          <w:bCs/>
          <w:color w:val="auto"/>
          <w:spacing w:val="10"/>
          <w:sz w:val="24"/>
          <w:highlight w:val="none"/>
        </w:rPr>
        <w:t>（格式）</w:t>
      </w:r>
    </w:p>
    <w:p>
      <w:pPr>
        <w:tabs>
          <w:tab w:val="left" w:pos="3402"/>
        </w:tabs>
        <w:ind w:firstLine="0" w:firstLineChars="0"/>
        <w:jc w:val="left"/>
        <w:rPr>
          <w:rFonts w:hint="eastAsia" w:ascii="仿宋_GB2312" w:hAnsi="仿宋" w:eastAsia="仿宋_GB2312"/>
          <w:b/>
          <w:color w:val="auto"/>
          <w:spacing w:val="10"/>
          <w:szCs w:val="21"/>
          <w:highlight w:val="none"/>
        </w:rPr>
      </w:pPr>
    </w:p>
    <w:p>
      <w:pPr>
        <w:spacing w:line="440" w:lineRule="exact"/>
        <w:ind w:firstLine="0" w:firstLineChars="0"/>
        <w:rPr>
          <w:rFonts w:hint="eastAsia" w:ascii="宋体" w:hAnsi="宋体"/>
          <w:bCs/>
          <w:color w:val="auto"/>
          <w:highlight w:val="none"/>
        </w:rPr>
      </w:pPr>
      <w:r>
        <w:rPr>
          <w:rFonts w:hint="eastAsia" w:ascii="宋体" w:hAnsi="宋体"/>
          <w:bCs/>
          <w:color w:val="auto"/>
          <w:highlight w:val="none"/>
        </w:rPr>
        <w:t>钦州市政府采购中心：</w:t>
      </w:r>
    </w:p>
    <w:p>
      <w:pPr>
        <w:spacing w:line="44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w:t>
      </w:r>
      <w:r>
        <w:rPr>
          <w:rFonts w:ascii="宋体" w:hAnsi="宋体"/>
          <w:bCs/>
          <w:color w:val="auto"/>
          <w:highlight w:val="none"/>
        </w:rPr>
        <w:t>）</w:t>
      </w:r>
      <w:r>
        <w:rPr>
          <w:rFonts w:hint="eastAsia" w:ascii="宋体" w:hAnsi="宋体"/>
          <w:bCs/>
          <w:color w:val="auto"/>
          <w:highlight w:val="none"/>
        </w:rPr>
        <w:t>项的规定，</w:t>
      </w:r>
      <w:r>
        <w:rPr>
          <w:rFonts w:hint="eastAsia" w:ascii="宋体" w:hAnsi="宋体"/>
          <w:bCs/>
          <w:color w:val="auto"/>
          <w:highlight w:val="none"/>
          <w:u w:val="single"/>
        </w:rPr>
        <w:t>（投标人名称）</w:t>
      </w:r>
      <w:r>
        <w:rPr>
          <w:rFonts w:hint="eastAsia" w:ascii="宋体" w:hAnsi="宋体"/>
          <w:bCs/>
          <w:color w:val="auto"/>
          <w:highlight w:val="none"/>
        </w:rPr>
        <w:t>郑重声明：</w:t>
      </w:r>
    </w:p>
    <w:p>
      <w:pPr>
        <w:spacing w:line="44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投标人名称)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44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ind w:firstLine="420"/>
        <w:rPr>
          <w:rFonts w:hint="eastAsia" w:ascii="宋体" w:hAnsi="宋体"/>
          <w:bCs/>
          <w:color w:val="auto"/>
          <w:highlight w:val="none"/>
        </w:rPr>
      </w:pPr>
      <w:r>
        <w:rPr>
          <w:rFonts w:hint="eastAsia" w:ascii="宋体" w:hAnsi="宋体"/>
          <w:bCs/>
          <w:color w:val="auto"/>
          <w:highlight w:val="none"/>
        </w:rPr>
        <w:t>特此声明。</w:t>
      </w:r>
    </w:p>
    <w:p>
      <w:pPr>
        <w:ind w:firstLine="420"/>
        <w:rPr>
          <w:rFonts w:ascii="宋体" w:hAnsi="宋体"/>
          <w:bCs/>
          <w:color w:val="auto"/>
          <w:highlight w:val="none"/>
        </w:rPr>
      </w:pPr>
    </w:p>
    <w:p>
      <w:pPr>
        <w:ind w:firstLine="420"/>
        <w:rPr>
          <w:rFonts w:ascii="宋体" w:hAnsi="宋体"/>
          <w:bCs/>
          <w:color w:val="auto"/>
          <w:highlight w:val="none"/>
        </w:rPr>
      </w:pPr>
    </w:p>
    <w:p>
      <w:pPr>
        <w:ind w:firstLine="420"/>
        <w:rPr>
          <w:rFonts w:hint="eastAsia" w:ascii="宋体" w:hAnsi="宋体"/>
          <w:bCs/>
          <w:color w:val="auto"/>
          <w:highlight w:val="none"/>
        </w:rPr>
      </w:pPr>
    </w:p>
    <w:p>
      <w:pPr>
        <w:ind w:right="1050" w:rightChars="500" w:firstLine="4819" w:firstLineChars="2295"/>
        <w:jc w:val="left"/>
        <w:rPr>
          <w:rFonts w:hint="eastAsia"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p>
    <w:p>
      <w:pPr>
        <w:ind w:right="1050" w:rightChars="500" w:firstLine="420"/>
        <w:jc w:val="right"/>
        <w:rPr>
          <w:rFonts w:ascii="宋体" w:hAnsi="宋体"/>
          <w:bCs/>
          <w:color w:val="auto"/>
          <w:highlight w:val="none"/>
        </w:rPr>
      </w:pPr>
      <w:r>
        <w:rPr>
          <w:rFonts w:hint="eastAsia" w:ascii="宋体" w:hAnsi="宋体"/>
          <w:bCs/>
          <w:color w:val="auto"/>
          <w:highlight w:val="none"/>
        </w:rPr>
        <w:t>日期：</w:t>
      </w:r>
      <w:bookmarkStart w:id="240" w:name="_Hlk112336125"/>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240"/>
    </w:p>
    <w:p>
      <w:pPr>
        <w:snapToGrid w:val="0"/>
        <w:spacing w:before="156" w:beforeLines="50" w:after="50" w:line="360" w:lineRule="exact"/>
        <w:ind w:firstLine="0" w:firstLineChars="0"/>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二、资信技术文件</w:t>
      </w:r>
    </w:p>
    <w:p>
      <w:pPr>
        <w:snapToGrid w:val="0"/>
        <w:spacing w:before="156" w:beforeLines="50" w:after="50" w:line="360" w:lineRule="exact"/>
        <w:ind w:firstLine="0" w:firstLineChars="0"/>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投 标 函</w:t>
      </w:r>
      <w:r>
        <w:rPr>
          <w:rFonts w:hint="eastAsia" w:ascii="仿宋_GB2312" w:hAnsi="宋体" w:eastAsia="仿宋_GB2312"/>
          <w:bCs/>
          <w:color w:val="auto"/>
          <w:sz w:val="24"/>
          <w:highlight w:val="none"/>
        </w:rPr>
        <w:t>（格式）</w:t>
      </w:r>
    </w:p>
    <w:p>
      <w:pPr>
        <w:ind w:firstLine="0" w:firstLineChars="0"/>
        <w:rPr>
          <w:rFonts w:ascii="宋体" w:hAnsi="宋体"/>
          <w:color w:val="auto"/>
          <w:szCs w:val="21"/>
          <w:highlight w:val="none"/>
        </w:rPr>
      </w:pPr>
      <w:r>
        <w:rPr>
          <w:rFonts w:hint="eastAsia" w:ascii="宋体" w:hAnsi="宋体"/>
          <w:color w:val="auto"/>
          <w:szCs w:val="21"/>
          <w:highlight w:val="none"/>
        </w:rPr>
        <w:t>致：钦州市政府采购中心：</w:t>
      </w:r>
    </w:p>
    <w:p>
      <w:pPr>
        <w:ind w:firstLine="0" w:firstLineChars="0"/>
        <w:rPr>
          <w:rFonts w:ascii="宋体" w:hAnsi="宋体"/>
          <w:color w:val="auto"/>
          <w:szCs w:val="21"/>
          <w:highlight w:val="none"/>
        </w:rPr>
      </w:pPr>
    </w:p>
    <w:p>
      <w:pPr>
        <w:ind w:firstLine="0" w:firstLineChars="0"/>
        <w:jc w:val="lef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根据贵方为</w:t>
      </w:r>
      <w:r>
        <w:rPr>
          <w:rFonts w:hint="eastAsia" w:ascii="宋体" w:hAnsi="宋体"/>
          <w:color w:val="auto"/>
          <w:szCs w:val="21"/>
          <w:highlight w:val="none"/>
          <w:u w:val="single"/>
        </w:rPr>
        <w:t xml:space="preserve">   （项目名称）</w:t>
      </w:r>
      <w:r>
        <w:rPr>
          <w:rFonts w:ascii="宋体" w:hAnsi="宋体"/>
          <w:color w:val="auto"/>
          <w:szCs w:val="21"/>
          <w:highlight w:val="none"/>
          <w:u w:val="single"/>
        </w:rPr>
        <w:t xml:space="preserve">   </w:t>
      </w:r>
      <w:r>
        <w:rPr>
          <w:rFonts w:hint="eastAsia" w:ascii="宋体" w:hAnsi="宋体"/>
          <w:color w:val="auto"/>
          <w:szCs w:val="21"/>
          <w:highlight w:val="none"/>
        </w:rPr>
        <w:t>招标文件</w:t>
      </w:r>
      <w:r>
        <w:rPr>
          <w:rFonts w:hint="eastAsia" w:ascii="宋体" w:hAnsi="宋体"/>
          <w:color w:val="auto"/>
          <w:szCs w:val="21"/>
          <w:highlight w:val="none"/>
          <w:u w:val="single"/>
        </w:rPr>
        <w:t xml:space="preserve"> （项目编号及分标号）</w:t>
      </w:r>
      <w:r>
        <w:rPr>
          <w:rFonts w:ascii="宋体" w:hAnsi="宋体"/>
          <w:color w:val="auto"/>
          <w:szCs w:val="21"/>
          <w:highlight w:val="none"/>
          <w:u w:val="single"/>
        </w:rPr>
        <w:t xml:space="preserve"> </w:t>
      </w:r>
      <w:r>
        <w:rPr>
          <w:rFonts w:hint="eastAsia" w:ascii="宋体" w:hAnsi="宋体"/>
          <w:color w:val="auto"/>
          <w:szCs w:val="21"/>
          <w:highlight w:val="none"/>
        </w:rPr>
        <w:t>，</w:t>
      </w:r>
      <w:bookmarkStart w:id="241" w:name="_Hlk92702218"/>
      <w:r>
        <w:rPr>
          <w:rFonts w:hint="eastAsia" w:ascii="宋体" w:hAnsi="宋体"/>
          <w:color w:val="auto"/>
          <w:szCs w:val="21"/>
          <w:highlight w:val="none"/>
        </w:rPr>
        <w:t>我方</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经正式授权代表</w:t>
      </w:r>
      <w:r>
        <w:rPr>
          <w:rFonts w:hint="eastAsia" w:ascii="宋体" w:hAnsi="宋体"/>
          <w:color w:val="auto"/>
          <w:szCs w:val="21"/>
          <w:highlight w:val="none"/>
          <w:u w:val="single"/>
        </w:rPr>
        <w:t xml:space="preserve">   （被授权人）   </w:t>
      </w:r>
      <w:r>
        <w:rPr>
          <w:rFonts w:hint="eastAsia" w:ascii="宋体" w:hAnsi="宋体"/>
          <w:color w:val="auto"/>
          <w:szCs w:val="21"/>
          <w:highlight w:val="none"/>
        </w:rPr>
        <w:t>提交</w:t>
      </w:r>
      <w:bookmarkEnd w:id="241"/>
      <w:r>
        <w:rPr>
          <w:rFonts w:hint="eastAsia" w:ascii="宋体" w:hAnsi="宋体"/>
          <w:color w:val="auto"/>
          <w:szCs w:val="21"/>
          <w:highlight w:val="none"/>
        </w:rPr>
        <w:t>投标文件：</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据此函，投标人承诺：</w:t>
      </w:r>
    </w:p>
    <w:p>
      <w:pPr>
        <w:snapToGrid w:val="0"/>
        <w:spacing w:line="360"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我方已详细审阅招标文件（包括澄清或者修改文件），已经了解我方对于招标文件、采购过程、采购结果有依法进行询问、质疑、投诉的权利及相关渠道和要求。</w:t>
      </w:r>
    </w:p>
    <w:p>
      <w:pPr>
        <w:snapToGrid w:val="0"/>
        <w:spacing w:line="360" w:lineRule="exact"/>
        <w:ind w:firstLine="42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我方在投标之前已经与贵方进行了充分的沟通，完全理解并接受招标文件的各项规定和要求，对招标文件的合理性、合法性不再有异议。</w:t>
      </w:r>
    </w:p>
    <w:p>
      <w:pPr>
        <w:snapToGrid w:val="0"/>
        <w:spacing w:line="360"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我方同意在开标日期起遵循本投标文件，并在投标有效期9</w:t>
      </w:r>
      <w:r>
        <w:rPr>
          <w:rFonts w:ascii="宋体" w:hAnsi="宋体"/>
          <w:color w:val="auto"/>
          <w:szCs w:val="21"/>
          <w:highlight w:val="none"/>
        </w:rPr>
        <w:t>0</w:t>
      </w:r>
      <w:r>
        <w:rPr>
          <w:rFonts w:hint="eastAsia" w:ascii="宋体" w:hAnsi="宋体"/>
          <w:color w:val="auto"/>
          <w:szCs w:val="21"/>
          <w:highlight w:val="none"/>
        </w:rPr>
        <w:t>天内均具有约束力。</w:t>
      </w:r>
    </w:p>
    <w:p>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.我方承诺具备《中华人民共和国政府采购法》中规定的参加政府采购活动供应商应当具备的条件。</w:t>
      </w:r>
    </w:p>
    <w:p>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6</w:t>
      </w:r>
      <w:r>
        <w:rPr>
          <w:rFonts w:hint="eastAsia" w:ascii="宋体" w:hAnsi="宋体"/>
          <w:color w:val="auto"/>
          <w:szCs w:val="21"/>
          <w:highlight w:val="none"/>
        </w:rPr>
        <w:t>.我方根据招标文件的规定，承担完成合同的责任和义务。</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7</w:t>
      </w:r>
      <w:r>
        <w:rPr>
          <w:rFonts w:hint="eastAsia" w:ascii="宋体" w:hAnsi="宋体"/>
          <w:color w:val="auto"/>
          <w:szCs w:val="21"/>
          <w:highlight w:val="none"/>
        </w:rPr>
        <w:t>.如果在投标截止时间后的投标有效期内撤回投标或者有其他违约行为，我方的投标保证金可被贵方全部没收。</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8</w:t>
      </w:r>
      <w:r>
        <w:rPr>
          <w:rFonts w:hint="eastAsia" w:ascii="宋体" w:hAnsi="宋体"/>
          <w:color w:val="auto"/>
          <w:szCs w:val="21"/>
          <w:highlight w:val="none"/>
        </w:rPr>
        <w:t>.同意向贵方提供贵方可能要求的与本投标有关的人员、数据和资料。</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9</w:t>
      </w:r>
      <w:r>
        <w:rPr>
          <w:rFonts w:hint="eastAsia" w:ascii="宋体" w:hAnsi="宋体"/>
          <w:color w:val="auto"/>
          <w:szCs w:val="21"/>
          <w:highlight w:val="none"/>
        </w:rPr>
        <w:t>.我方完全理解贵方不一定要接受最低报价的投标人为中标人。</w:t>
      </w:r>
    </w:p>
    <w:p>
      <w:pPr>
        <w:ind w:firstLine="424" w:firstLineChars="202"/>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我方向贵方提交的所有投标文件、资料都是准确的和真实的。</w:t>
      </w:r>
    </w:p>
    <w:p>
      <w:pPr>
        <w:ind w:firstLine="0" w:firstLineChars="0"/>
        <w:rPr>
          <w:rFonts w:ascii="宋体" w:hAnsi="宋体"/>
          <w:color w:val="auto"/>
          <w:szCs w:val="21"/>
          <w:highlight w:val="none"/>
        </w:rPr>
      </w:pPr>
    </w:p>
    <w:p>
      <w:pPr>
        <w:ind w:firstLine="426" w:firstLineChars="0"/>
        <w:rPr>
          <w:rFonts w:ascii="宋体" w:hAnsi="宋体"/>
          <w:color w:val="auto"/>
          <w:szCs w:val="21"/>
          <w:highlight w:val="none"/>
        </w:rPr>
      </w:pPr>
      <w:r>
        <w:rPr>
          <w:rFonts w:hint="eastAsia" w:ascii="宋体" w:hAnsi="宋体"/>
          <w:color w:val="auto"/>
          <w:szCs w:val="21"/>
          <w:highlight w:val="none"/>
        </w:rPr>
        <w:t>与我公司有关的正式通讯方式：</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p>
    <w:p>
      <w:pPr>
        <w:ind w:firstLine="0" w:firstLineChars="0"/>
        <w:rPr>
          <w:rFonts w:ascii="宋体" w:hAnsi="宋体"/>
          <w:color w:val="auto"/>
          <w:szCs w:val="21"/>
          <w:highlight w:val="none"/>
        </w:rPr>
      </w:pPr>
    </w:p>
    <w:p>
      <w:pPr>
        <w:ind w:firstLine="0" w:firstLineChars="0"/>
        <w:rPr>
          <w:rFonts w:hint="eastAsia" w:ascii="宋体" w:hAnsi="宋体"/>
          <w:color w:val="auto"/>
          <w:szCs w:val="21"/>
          <w:highlight w:val="none"/>
        </w:rPr>
      </w:pPr>
    </w:p>
    <w:p>
      <w:pPr>
        <w:ind w:firstLine="0" w:firstLineChars="0"/>
        <w:rPr>
          <w:rFonts w:ascii="宋体" w:hAnsi="宋体"/>
          <w:color w:val="auto"/>
          <w:szCs w:val="21"/>
          <w:highlight w:val="none"/>
          <w:u w:val="singl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ind w:firstLine="0" w:firstLineChars="0"/>
        <w:rPr>
          <w:rFonts w:hint="eastAsia"/>
          <w:color w:val="auto"/>
          <w:highlight w:val="none"/>
        </w:rPr>
      </w:pPr>
    </w:p>
    <w:p>
      <w:pPr>
        <w:tabs>
          <w:tab w:val="left" w:pos="3870"/>
          <w:tab w:val="left" w:pos="4085"/>
        </w:tabs>
        <w:snapToGrid w:val="0"/>
        <w:spacing w:line="600" w:lineRule="exact"/>
        <w:ind w:firstLine="0" w:firstLineChars="0"/>
        <w:jc w:val="center"/>
        <w:rPr>
          <w:rFonts w:hint="eastAsia" w:ascii="仿宋_GB2312" w:hAnsi="宋体" w:eastAsia="仿宋_GB2312"/>
          <w:b/>
          <w:color w:val="auto"/>
          <w:sz w:val="28"/>
          <w:szCs w:val="28"/>
          <w:highlight w:val="none"/>
        </w:rPr>
      </w:pPr>
      <w:bookmarkStart w:id="242" w:name="_Hlk92702580"/>
      <w:r>
        <w:rPr>
          <w:rFonts w:hint="eastAsia" w:ascii="仿宋_GB2312" w:hAnsi="宋体" w:eastAsia="仿宋_GB2312"/>
          <w:b/>
          <w:color w:val="auto"/>
          <w:sz w:val="32"/>
          <w:szCs w:val="32"/>
          <w:highlight w:val="none"/>
        </w:rPr>
        <w:t>授权委托书</w:t>
      </w:r>
      <w:r>
        <w:rPr>
          <w:rFonts w:hint="eastAsia" w:ascii="仿宋_GB2312" w:hAnsi="宋体" w:eastAsia="仿宋_GB2312"/>
          <w:bCs/>
          <w:color w:val="auto"/>
          <w:sz w:val="24"/>
          <w:highlight w:val="none"/>
        </w:rPr>
        <w:t>（格式）</w:t>
      </w:r>
    </w:p>
    <w:p>
      <w:pPr>
        <w:snapToGrid w:val="0"/>
        <w:spacing w:before="156" w:beforeLines="50" w:after="50"/>
        <w:ind w:firstLine="0" w:firstLineChars="0"/>
        <w:rPr>
          <w:rFonts w:hint="eastAsia"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（投标人名称）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的投标活动，并代表我方全权办理针对上述项目的投标、开标、评标、签约等具体事务和签署相关文件。</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ind w:firstLine="525" w:firstLineChars="250"/>
        <w:rPr>
          <w:rFonts w:hint="eastAsia" w:ascii="宋体" w:hAnsi="宋体"/>
          <w:color w:val="auto"/>
          <w:szCs w:val="21"/>
          <w:highlight w:val="none"/>
        </w:rPr>
      </w:pPr>
    </w:p>
    <w:p>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hAnsi="宋体"/>
          <w:color w:val="auto"/>
          <w:highlight w:val="none"/>
        </w:rPr>
      </w:pPr>
      <w:r>
        <w:rPr>
          <w:rFonts w:hint="eastAsia" w:hAnsi="宋体"/>
          <w:color w:val="auto"/>
          <w:highlight w:val="none"/>
        </w:rPr>
        <w:t>附：委托代理人身份证(正反面</w:t>
      </w:r>
      <w:r>
        <w:rPr>
          <w:rFonts w:hAnsi="宋体"/>
          <w:color w:val="auto"/>
          <w:highlight w:val="none"/>
        </w:rPr>
        <w:t>)</w:t>
      </w:r>
    </w:p>
    <w:p>
      <w:pPr>
        <w:ind w:left="420" w:firstLine="0" w:firstLineChars="0"/>
        <w:rPr>
          <w:rFonts w:ascii="宋体" w:hAnsi="宋体"/>
          <w:color w:val="auto"/>
          <w:highlight w:val="none"/>
        </w:rPr>
      </w:pPr>
    </w:p>
    <w:p>
      <w:pPr>
        <w:ind w:left="420" w:firstLine="0" w:firstLineChars="0"/>
        <w:rPr>
          <w:rFonts w:ascii="宋体" w:hAnsi="宋体"/>
          <w:color w:val="auto"/>
          <w:highlight w:val="none"/>
        </w:rPr>
      </w:pPr>
    </w:p>
    <w:p>
      <w:pPr>
        <w:ind w:left="420" w:firstLine="0" w:firstLineChars="0"/>
        <w:rPr>
          <w:rFonts w:hint="eastAsia" w:ascii="宋体" w:hAnsi="宋体"/>
          <w:color w:val="auto"/>
          <w:highlight w:val="none"/>
        </w:rPr>
      </w:pPr>
    </w:p>
    <w:p>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242"/>
    <w:p>
      <w:pPr>
        <w:spacing w:line="360" w:lineRule="exact"/>
        <w:ind w:firstLine="0" w:firstLineChars="0"/>
        <w:rPr>
          <w:color w:val="auto"/>
          <w:highlight w:val="none"/>
        </w:rPr>
      </w:pPr>
      <w:r>
        <w:rPr>
          <w:color w:val="auto"/>
          <w:highlight w:val="none"/>
        </w:rPr>
        <w:br w:type="page"/>
      </w:r>
    </w:p>
    <w:p>
      <w:pPr>
        <w:snapToGrid w:val="0"/>
        <w:spacing w:before="156" w:beforeLines="50" w:after="50" w:line="360" w:lineRule="exact"/>
        <w:ind w:firstLine="0" w:firstLineChars="0"/>
        <w:jc w:val="center"/>
        <w:rPr>
          <w:rFonts w:ascii="仿宋_GB2312" w:eastAsia="仿宋_GB2312"/>
          <w:b/>
          <w:color w:val="auto"/>
          <w:sz w:val="28"/>
          <w:szCs w:val="28"/>
          <w:highlight w:val="none"/>
        </w:rPr>
      </w:pPr>
      <w:bookmarkStart w:id="243" w:name="_Hlk92702799"/>
      <w:r>
        <w:rPr>
          <w:rFonts w:hint="eastAsia" w:ascii="仿宋_GB2312" w:hAnsi="宋体" w:eastAsia="仿宋_GB2312"/>
          <w:b/>
          <w:color w:val="auto"/>
          <w:sz w:val="32"/>
          <w:szCs w:val="32"/>
          <w:highlight w:val="none"/>
        </w:rPr>
        <w:t>商务响应</w:t>
      </w:r>
      <w:r>
        <w:rPr>
          <w:rFonts w:hint="eastAsia" w:ascii="仿宋_GB2312" w:eastAsia="仿宋_GB2312"/>
          <w:b/>
          <w:color w:val="auto"/>
          <w:sz w:val="32"/>
          <w:szCs w:val="32"/>
          <w:highlight w:val="none"/>
        </w:rPr>
        <w:t>表</w:t>
      </w:r>
      <w:bookmarkStart w:id="244" w:name="_Hlk111728555"/>
      <w:r>
        <w:rPr>
          <w:rFonts w:hint="eastAsia" w:ascii="仿宋_GB2312" w:eastAsia="仿宋_GB2312"/>
          <w:bCs/>
          <w:color w:val="auto"/>
          <w:sz w:val="24"/>
          <w:highlight w:val="none"/>
        </w:rPr>
        <w:t>（格式）</w:t>
      </w:r>
      <w:bookmarkEnd w:id="244"/>
    </w:p>
    <w:p>
      <w:pPr>
        <w:ind w:firstLine="0" w:firstLineChars="0"/>
        <w:rPr>
          <w:rFonts w:hint="eastAsia"/>
          <w:color w:val="auto"/>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3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是否响应</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质保期</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运维技术服务要求</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交货时间及地点</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105"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bl>
    <w:p>
      <w:pPr>
        <w:tabs>
          <w:tab w:val="left" w:pos="3870"/>
          <w:tab w:val="left" w:pos="4085"/>
        </w:tabs>
        <w:snapToGrid w:val="0"/>
        <w:spacing w:line="360" w:lineRule="exact"/>
        <w:ind w:firstLine="0" w:firstLineChars="0"/>
        <w:rPr>
          <w:rFonts w:ascii="宋体" w:hAnsi="宋体"/>
          <w:b/>
          <w:color w:val="auto"/>
          <w:szCs w:val="21"/>
          <w:highlight w:val="none"/>
        </w:rPr>
      </w:pPr>
    </w:p>
    <w:p>
      <w:pPr>
        <w:tabs>
          <w:tab w:val="left" w:pos="3870"/>
          <w:tab w:val="left" w:pos="4085"/>
        </w:tabs>
        <w:snapToGrid w:val="0"/>
        <w:spacing w:line="360" w:lineRule="exact"/>
        <w:ind w:firstLine="0" w:firstLineChars="0"/>
        <w:rPr>
          <w:rFonts w:hint="eastAsia" w:ascii="宋体" w:hAnsi="宋体"/>
          <w:b/>
          <w:color w:val="auto"/>
          <w:szCs w:val="21"/>
          <w:highlight w:val="none"/>
        </w:rPr>
      </w:pP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243"/>
    <w:p>
      <w:pPr>
        <w:snapToGrid w:val="0"/>
        <w:spacing w:line="360" w:lineRule="exact"/>
        <w:ind w:firstLine="0" w:firstLineChars="0"/>
        <w:rPr>
          <w:rFonts w:hint="eastAsia" w:ascii="宋体" w:hAnsi="宋体"/>
          <w:b/>
          <w:color w:val="auto"/>
          <w:szCs w:val="21"/>
          <w:highlight w:val="none"/>
        </w:rPr>
      </w:pPr>
    </w:p>
    <w:p>
      <w:pPr>
        <w:snapToGrid w:val="0"/>
        <w:spacing w:line="700" w:lineRule="exact"/>
        <w:ind w:firstLine="0" w:firstLineChars="0"/>
        <w:jc w:val="center"/>
        <w:rPr>
          <w:rFonts w:hint="eastAsia" w:ascii="宋体" w:hAnsi="宋体"/>
          <w:b/>
          <w:color w:val="auto"/>
          <w:sz w:val="32"/>
          <w:szCs w:val="32"/>
          <w:highlight w:val="none"/>
        </w:rPr>
      </w:pPr>
      <w:r>
        <w:rPr>
          <w:rFonts w:hint="eastAsia" w:ascii="仿宋_GB2312" w:hAnsi="宋体" w:eastAsia="仿宋_GB2312"/>
          <w:b/>
          <w:color w:val="auto"/>
          <w:sz w:val="32"/>
          <w:szCs w:val="32"/>
          <w:highlight w:val="none"/>
        </w:rPr>
        <w:t>技术响应表</w:t>
      </w:r>
      <w:bookmarkStart w:id="245" w:name="_Hlk111728645"/>
      <w:r>
        <w:rPr>
          <w:rFonts w:hint="eastAsia" w:ascii="仿宋_GB2312" w:eastAsia="仿宋_GB2312"/>
          <w:bCs/>
          <w:color w:val="auto"/>
          <w:sz w:val="24"/>
          <w:highlight w:val="none"/>
        </w:rPr>
        <w:t>（格式）</w:t>
      </w:r>
      <w:bookmarkEnd w:id="245"/>
    </w:p>
    <w:p>
      <w:pPr>
        <w:snapToGrid w:val="0"/>
        <w:spacing w:line="160" w:lineRule="exact"/>
        <w:ind w:firstLine="0" w:firstLineChars="0"/>
        <w:jc w:val="center"/>
        <w:rPr>
          <w:rFonts w:ascii="宋体" w:hAnsi="宋体"/>
          <w:b/>
          <w:color w:val="auto"/>
          <w:szCs w:val="21"/>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3"/>
        <w:gridCol w:w="1735"/>
        <w:gridCol w:w="1815"/>
        <w:gridCol w:w="3600"/>
        <w:gridCol w:w="1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1283" w:type="dxa"/>
            <w:vMerge w:val="restart"/>
            <w:tcBorders>
              <w:top w:val="single" w:color="auto" w:sz="4" w:space="0"/>
              <w:left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序号</w:t>
            </w:r>
          </w:p>
        </w:tc>
        <w:tc>
          <w:tcPr>
            <w:tcW w:w="3550"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招标文件要求</w:t>
            </w:r>
          </w:p>
        </w:tc>
        <w:tc>
          <w:tcPr>
            <w:tcW w:w="3600" w:type="dxa"/>
            <w:vMerge w:val="restart"/>
            <w:tcBorders>
              <w:top w:val="single" w:color="auto" w:sz="4" w:space="0"/>
              <w:left w:val="single" w:color="auto" w:sz="4" w:space="0"/>
              <w:right w:val="single" w:color="auto" w:sz="4" w:space="0"/>
            </w:tcBorders>
            <w:noWrap w:val="0"/>
            <w:vAlign w:val="center"/>
          </w:tcPr>
          <w:p>
            <w:pPr>
              <w:ind w:firstLine="23" w:firstLineChars="11"/>
              <w:jc w:val="center"/>
              <w:rPr>
                <w:rFonts w:hint="eastAsia"/>
                <w:color w:val="auto"/>
                <w:highlight w:val="none"/>
              </w:rPr>
            </w:pPr>
            <w:r>
              <w:rPr>
                <w:rFonts w:hint="eastAsia"/>
                <w:color w:val="auto"/>
                <w:highlight w:val="none"/>
              </w:rPr>
              <w:t>投标文件响应</w:t>
            </w:r>
          </w:p>
        </w:tc>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exact"/>
          <w:jc w:val="center"/>
        </w:trPr>
        <w:tc>
          <w:tcPr>
            <w:tcW w:w="1283" w:type="dxa"/>
            <w:vMerge w:val="continue"/>
            <w:tcBorders>
              <w:left w:val="single" w:color="auto" w:sz="4" w:space="0"/>
              <w:bottom w:val="single" w:color="auto" w:sz="4" w:space="0"/>
              <w:right w:val="single" w:color="auto" w:sz="4" w:space="0"/>
            </w:tcBorders>
            <w:noWrap w:val="0"/>
            <w:vAlign w:val="center"/>
          </w:tcPr>
          <w:p>
            <w:pPr>
              <w:pStyle w:val="27"/>
              <w:snapToGrid w:val="0"/>
              <w:spacing w:line="360" w:lineRule="exact"/>
              <w:ind w:firstLine="0" w:firstLineChars="0"/>
              <w:jc w:val="center"/>
              <w:outlineLvl w:val="0"/>
              <w:rPr>
                <w:rFonts w:hAnsi="宋体"/>
                <w:color w:val="auto"/>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标的名称</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招标要求</w:t>
            </w:r>
          </w:p>
        </w:tc>
        <w:tc>
          <w:tcPr>
            <w:tcW w:w="3600" w:type="dxa"/>
            <w:vMerge w:val="continue"/>
            <w:tcBorders>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p>
        </w:tc>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1</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right="-15" w:rightChars="-7" w:firstLine="0" w:firstLineChars="0"/>
              <w:jc w:val="center"/>
              <w:rPr>
                <w:rFonts w:hint="eastAsia"/>
                <w:color w:val="auto"/>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ind w:left="-2" w:leftChars="-1" w:firstLine="0" w:firstLineChars="0"/>
              <w:jc w:val="center"/>
              <w:rPr>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ind w:left="-2" w:leftChars="-1" w:firstLine="0" w:firstLineChars="0"/>
              <w:jc w:val="center"/>
              <w:rPr>
                <w:rFonts w:hint="eastAsia"/>
                <w:color w:val="auto"/>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2</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right="-15" w:rightChars="-7" w:firstLine="0" w:firstLineChars="0"/>
              <w:jc w:val="center"/>
              <w:outlineLvl w:val="0"/>
              <w:rPr>
                <w:rFonts w:hint="eastAsia"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3</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right="-15" w:rightChars="-7" w:firstLine="0" w:firstLineChars="0"/>
              <w:jc w:val="center"/>
              <w:outlineLvl w:val="0"/>
              <w:rPr>
                <w:rFonts w:hint="eastAsia"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right="-15" w:rightChars="-7" w:firstLine="0" w:firstLineChars="0"/>
              <w:jc w:val="center"/>
              <w:outlineLvl w:val="0"/>
              <w:rPr>
                <w:rFonts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bl>
    <w:p>
      <w:pPr>
        <w:pStyle w:val="21"/>
        <w:spacing w:line="380" w:lineRule="exact"/>
        <w:ind w:firstLine="0" w:firstLineChars="0"/>
        <w:rPr>
          <w:color w:val="auto"/>
          <w:sz w:val="21"/>
          <w:szCs w:val="21"/>
          <w:highlight w:val="none"/>
        </w:rPr>
      </w:pPr>
      <w:r>
        <w:rPr>
          <w:rFonts w:hint="eastAsia"/>
          <w:color w:val="auto"/>
          <w:sz w:val="21"/>
          <w:szCs w:val="21"/>
          <w:highlight w:val="none"/>
        </w:rPr>
        <w:t>注：</w:t>
      </w:r>
      <w:r>
        <w:rPr>
          <w:rFonts w:hint="eastAsia"/>
          <w:b w:val="0"/>
          <w:bCs w:val="0"/>
          <w:color w:val="auto"/>
          <w:sz w:val="21"/>
          <w:szCs w:val="21"/>
          <w:highlight w:val="none"/>
        </w:rPr>
        <w:t>投标人应根据投标设备的性能指标、对照招标文件要求在“偏离情况”栏注明“正偏离”、“负偏离”或“无偏离”。投标技术规格与招标要求相同的为无偏离，投标技术规格高于招标要求的为正偏离，低于招标要求的为负偏离。</w:t>
      </w:r>
    </w:p>
    <w:p>
      <w:pPr>
        <w:pStyle w:val="21"/>
        <w:spacing w:line="360" w:lineRule="exact"/>
        <w:ind w:firstLine="0" w:firstLineChars="0"/>
        <w:rPr>
          <w:rFonts w:hint="eastAsia"/>
          <w:color w:val="auto"/>
          <w:sz w:val="21"/>
          <w:szCs w:val="21"/>
          <w:highlight w:val="none"/>
        </w:rPr>
      </w:pPr>
    </w:p>
    <w:p>
      <w:pPr>
        <w:pStyle w:val="21"/>
        <w:spacing w:line="360" w:lineRule="exact"/>
        <w:ind w:firstLine="0" w:firstLineChars="0"/>
        <w:rPr>
          <w:rFonts w:ascii="宋体" w:hAnsi="宋体"/>
          <w:b w:val="0"/>
          <w:color w:val="auto"/>
          <w:sz w:val="21"/>
          <w:szCs w:val="21"/>
          <w:highlight w:val="none"/>
        </w:rPr>
      </w:pP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pacing w:line="380" w:lineRule="atLeast"/>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ind w:firstLine="420"/>
        <w:jc w:val="center"/>
        <w:rPr>
          <w:rFonts w:ascii="宋体" w:hAnsi="宋体"/>
          <w:color w:val="auto"/>
          <w:szCs w:val="21"/>
          <w:highlight w:val="none"/>
        </w:rPr>
      </w:pPr>
      <w:r>
        <w:rPr>
          <w:rFonts w:ascii="宋体" w:hAnsi="宋体"/>
          <w:color w:val="auto"/>
          <w:szCs w:val="21"/>
          <w:highlight w:val="none"/>
        </w:rPr>
        <w:br w:type="page"/>
      </w:r>
    </w:p>
    <w:p>
      <w:pPr>
        <w:autoSpaceDE w:val="0"/>
        <w:autoSpaceDN w:val="0"/>
        <w:adjustRightInd w:val="0"/>
        <w:ind w:firstLine="562"/>
        <w:jc w:val="center"/>
        <w:rPr>
          <w:rFonts w:ascii="宋体" w:hAnsi="宋体"/>
          <w:b/>
          <w:color w:val="auto"/>
          <w:sz w:val="28"/>
          <w:szCs w:val="28"/>
          <w:highlight w:val="none"/>
        </w:rPr>
      </w:pPr>
      <w:r>
        <w:rPr>
          <w:rFonts w:hint="eastAsia" w:ascii="宋体" w:hAnsi="宋体"/>
          <w:b/>
          <w:color w:val="auto"/>
          <w:sz w:val="28"/>
          <w:szCs w:val="28"/>
          <w:highlight w:val="none"/>
        </w:rPr>
        <w:t>服务人员配置表</w:t>
      </w:r>
      <w:r>
        <w:rPr>
          <w:rFonts w:hint="eastAsia" w:ascii="仿宋" w:hAnsi="仿宋" w:eastAsia="仿宋"/>
          <w:color w:val="auto"/>
          <w:sz w:val="24"/>
          <w:highlight w:val="none"/>
        </w:rPr>
        <w:t>(格式</w:t>
      </w:r>
      <w:r>
        <w:rPr>
          <w:rFonts w:ascii="仿宋" w:hAnsi="仿宋" w:eastAsia="仿宋"/>
          <w:color w:val="auto"/>
          <w:sz w:val="24"/>
          <w:highlight w:val="none"/>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42"/>
        <w:gridCol w:w="2835"/>
        <w:gridCol w:w="1417"/>
        <w:gridCol w:w="141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51"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序号</w:t>
            </w:r>
          </w:p>
        </w:tc>
        <w:tc>
          <w:tcPr>
            <w:tcW w:w="1642"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姓名</w:t>
            </w:r>
          </w:p>
        </w:tc>
        <w:tc>
          <w:tcPr>
            <w:tcW w:w="2835" w:type="dxa"/>
            <w:noWrap w:val="0"/>
            <w:vAlign w:val="center"/>
          </w:tcPr>
          <w:p>
            <w:pPr>
              <w:autoSpaceDE w:val="0"/>
              <w:autoSpaceDN w:val="0"/>
              <w:adjustRightInd w:val="0"/>
              <w:ind w:firstLine="0" w:firstLineChars="0"/>
              <w:jc w:val="center"/>
              <w:rPr>
                <w:rFonts w:ascii="宋体" w:hAnsi="宋体"/>
                <w:color w:val="auto"/>
                <w:highlight w:val="none"/>
              </w:rPr>
            </w:pPr>
            <w:r>
              <w:rPr>
                <w:rFonts w:hint="eastAsia" w:ascii="宋体" w:hAnsi="宋体"/>
                <w:color w:val="auto"/>
                <w:highlight w:val="none"/>
              </w:rPr>
              <w:t>身份证号码</w:t>
            </w:r>
          </w:p>
        </w:tc>
        <w:tc>
          <w:tcPr>
            <w:tcW w:w="1417"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岗位</w:t>
            </w:r>
          </w:p>
        </w:tc>
        <w:tc>
          <w:tcPr>
            <w:tcW w:w="1418"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专业</w:t>
            </w:r>
          </w:p>
        </w:tc>
        <w:tc>
          <w:tcPr>
            <w:tcW w:w="1641"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执业资格/职称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1</w:t>
            </w:r>
          </w:p>
        </w:tc>
        <w:tc>
          <w:tcPr>
            <w:tcW w:w="1642" w:type="dxa"/>
            <w:noWrap w:val="0"/>
            <w:vAlign w:val="center"/>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2</w:t>
            </w:r>
          </w:p>
        </w:tc>
        <w:tc>
          <w:tcPr>
            <w:tcW w:w="1642" w:type="dxa"/>
            <w:noWrap w:val="0"/>
            <w:vAlign w:val="center"/>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3</w:t>
            </w:r>
          </w:p>
        </w:tc>
        <w:tc>
          <w:tcPr>
            <w:tcW w:w="1642" w:type="dxa"/>
            <w:noWrap w:val="0"/>
            <w:vAlign w:val="center"/>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w:t>
            </w:r>
          </w:p>
        </w:tc>
        <w:tc>
          <w:tcPr>
            <w:tcW w:w="1642" w:type="dxa"/>
            <w:noWrap w:val="0"/>
            <w:vAlign w:val="top"/>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bl>
    <w:p>
      <w:pPr>
        <w:snapToGrid w:val="0"/>
        <w:spacing w:before="50" w:after="50"/>
        <w:ind w:right="-817" w:rightChars="-389" w:firstLine="0" w:firstLineChars="0"/>
        <w:rPr>
          <w:rFonts w:ascii="宋体" w:hAnsi="宋体"/>
          <w:bCs/>
          <w:color w:val="auto"/>
          <w:highlight w:val="none"/>
        </w:rPr>
      </w:pPr>
      <w:r>
        <w:rPr>
          <w:rFonts w:hint="eastAsia" w:ascii="宋体" w:hAnsi="宋体"/>
          <w:bCs/>
          <w:color w:val="auto"/>
          <w:highlight w:val="none"/>
          <w:lang w:val="zh-CN"/>
        </w:rPr>
        <w:t>注:应</w:t>
      </w:r>
      <w:r>
        <w:rPr>
          <w:rFonts w:hint="eastAsia" w:ascii="宋体" w:hAnsi="宋体"/>
          <w:bCs/>
          <w:color w:val="auto"/>
          <w:highlight w:val="none"/>
        </w:rPr>
        <w:t>提供所配置人员姓名、身份证、岗位、学历证书、培训证书、相关工作经验证明材料(合同)。</w:t>
      </w:r>
    </w:p>
    <w:p>
      <w:pPr>
        <w:ind w:firstLine="420"/>
        <w:rPr>
          <w:color w:val="auto"/>
          <w:highlight w:val="none"/>
        </w:rPr>
      </w:pPr>
    </w:p>
    <w:p>
      <w:pPr>
        <w:ind w:firstLine="420"/>
        <w:rPr>
          <w:rFonts w:hint="eastAsia"/>
          <w:color w:val="auto"/>
          <w:highlight w:val="none"/>
        </w:rPr>
      </w:pPr>
    </w:p>
    <w:p>
      <w:pPr>
        <w:ind w:left="6019" w:leftChars="2866" w:right="592" w:rightChars="282" w:firstLine="75" w:firstLineChars="36"/>
        <w:jc w:val="left"/>
        <w:rPr>
          <w:rFonts w:ascii="宋体" w:hAnsi="宋体"/>
          <w:bCs/>
          <w:color w:val="auto"/>
          <w:highlight w:val="none"/>
        </w:rPr>
      </w:pPr>
      <w:r>
        <w:rPr>
          <w:rFonts w:hint="eastAsia" w:ascii="宋体" w:hAnsi="宋体"/>
          <w:bCs/>
          <w:color w:val="auto"/>
          <w:highlight w:val="none"/>
        </w:rPr>
        <w:t>投标人（盖章）：</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snapToGrid w:val="0"/>
        <w:spacing w:before="50" w:after="50" w:line="350" w:lineRule="exact"/>
        <w:ind w:right="-817" w:rightChars="-389" w:firstLine="6090" w:firstLineChars="2900"/>
        <w:jc w:val="lef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szCs w:val="21"/>
          <w:highlight w:val="none"/>
          <w:u w:val="single"/>
        </w:rPr>
        <w:t xml:space="preserve">       </w:t>
      </w:r>
      <w:r>
        <w:rPr>
          <w:rFonts w:hint="eastAsia" w:ascii="宋体" w:hAnsi="宋体"/>
          <w:bCs/>
          <w:color w:val="auto"/>
          <w:highlight w:val="none"/>
        </w:rPr>
        <w:t>年</w:t>
      </w:r>
      <w:r>
        <w:rPr>
          <w:rFonts w:hint="eastAsia" w:ascii="宋体" w:hAnsi="宋体"/>
          <w:bCs/>
          <w:color w:val="auto"/>
          <w:szCs w:val="21"/>
          <w:highlight w:val="none"/>
          <w:u w:val="single"/>
        </w:rPr>
        <w:t xml:space="preserve">   </w:t>
      </w:r>
      <w:r>
        <w:rPr>
          <w:rFonts w:hint="eastAsia" w:ascii="宋体" w:hAnsi="宋体"/>
          <w:bCs/>
          <w:color w:val="auto"/>
          <w:highlight w:val="none"/>
        </w:rPr>
        <w:t>月</w:t>
      </w:r>
      <w:r>
        <w:rPr>
          <w:rFonts w:hint="eastAsia" w:ascii="宋体" w:hAnsi="宋体"/>
          <w:bCs/>
          <w:color w:val="auto"/>
          <w:szCs w:val="21"/>
          <w:highlight w:val="none"/>
          <w:u w:val="single"/>
        </w:rPr>
        <w:t xml:space="preserve">   </w:t>
      </w:r>
      <w:r>
        <w:rPr>
          <w:rFonts w:hint="eastAsia" w:ascii="宋体" w:hAnsi="宋体"/>
          <w:bCs/>
          <w:color w:val="auto"/>
          <w:highlight w:val="none"/>
        </w:rPr>
        <w:t>日</w:t>
      </w:r>
    </w:p>
    <w:p>
      <w:pPr>
        <w:spacing w:line="440" w:lineRule="exact"/>
        <w:ind w:left="-177" w:leftChars="-200" w:hanging="243" w:hangingChars="116"/>
        <w:jc w:val="center"/>
        <w:rPr>
          <w:rFonts w:ascii="仿宋_GB2312" w:hAnsi="宋体" w:eastAsia="仿宋_GB2312"/>
          <w:b/>
          <w:color w:val="auto"/>
          <w:sz w:val="32"/>
          <w:szCs w:val="32"/>
          <w:highlight w:val="none"/>
        </w:rPr>
      </w:pPr>
      <w:r>
        <w:rPr>
          <w:rFonts w:hint="eastAsia" w:ascii="宋体" w:hAnsi="宋体"/>
          <w:bCs/>
          <w:color w:val="auto"/>
          <w:highlight w:val="none"/>
        </w:rPr>
        <w:br w:type="page"/>
      </w:r>
      <w:r>
        <w:rPr>
          <w:rFonts w:hint="eastAsia" w:ascii="仿宋_GB2312" w:hAnsi="宋体" w:eastAsia="仿宋_GB2312"/>
          <w:b/>
          <w:color w:val="auto"/>
          <w:sz w:val="32"/>
          <w:szCs w:val="32"/>
          <w:highlight w:val="none"/>
        </w:rPr>
        <w:t>中小企业声明函</w:t>
      </w:r>
      <w:r>
        <w:rPr>
          <w:rFonts w:hint="eastAsia" w:ascii="仿宋_GB2312" w:eastAsia="仿宋_GB2312"/>
          <w:bCs/>
          <w:color w:val="auto"/>
          <w:sz w:val="24"/>
          <w:highlight w:val="none"/>
        </w:rPr>
        <w:t>（格式）</w:t>
      </w:r>
    </w:p>
    <w:p>
      <w:pPr>
        <w:spacing w:line="440" w:lineRule="exact"/>
        <w:ind w:left="2" w:hanging="2" w:firstLineChars="0"/>
        <w:jc w:val="left"/>
        <w:rPr>
          <w:rFonts w:hint="eastAsia" w:ascii="仿宋_GB2312" w:hAnsi="宋体" w:eastAsia="仿宋_GB2312"/>
          <w:b/>
          <w:color w:val="auto"/>
          <w:szCs w:val="21"/>
          <w:highlight w:val="none"/>
        </w:rPr>
      </w:pPr>
    </w:p>
    <w:p>
      <w:pPr>
        <w:spacing w:line="600" w:lineRule="exact"/>
        <w:ind w:firstLine="294" w:firstLineChars="140"/>
        <w:jc w:val="left"/>
        <w:rPr>
          <w:rFonts w:ascii="宋体" w:hAnsi="宋体"/>
          <w:bCs/>
          <w:color w:val="auto"/>
          <w:szCs w:val="21"/>
          <w:highlight w:val="none"/>
        </w:rPr>
      </w:pPr>
      <w:bookmarkStart w:id="246" w:name="_Hlk94193902"/>
      <w:r>
        <w:rPr>
          <w:rFonts w:hint="eastAsia" w:ascii="宋体" w:hAnsi="宋体"/>
          <w:bCs/>
          <w:color w:val="auto"/>
          <w:szCs w:val="21"/>
          <w:highlight w:val="none"/>
        </w:rPr>
        <w:t>本公司郑重声明，根据</w:t>
      </w:r>
      <w:bookmarkStart w:id="247" w:name="_Hlk82091685"/>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HYPERLINK "http://www.gov.cn/zhengce/zhengceku/2020-12/29/content_5574611.htm"</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Style w:val="58"/>
          <w:rFonts w:hint="eastAsia" w:ascii="宋体" w:hAnsi="宋体"/>
          <w:bCs/>
          <w:color w:val="auto"/>
          <w:szCs w:val="21"/>
          <w:highlight w:val="none"/>
          <w:u w:val="none"/>
        </w:rPr>
        <w:t>《政府采购促进中小企业发展管理办法》</w:t>
      </w:r>
      <w:bookmarkStart w:id="248" w:name="_Hlk60836554"/>
      <w:r>
        <w:rPr>
          <w:rStyle w:val="58"/>
          <w:rFonts w:hint="eastAsia" w:ascii="宋体" w:hAnsi="宋体"/>
          <w:bCs/>
          <w:color w:val="auto"/>
          <w:szCs w:val="21"/>
          <w:highlight w:val="none"/>
          <w:u w:val="none"/>
        </w:rPr>
        <w:t>（财库﹝2020﹞46号）</w:t>
      </w:r>
      <w:bookmarkEnd w:id="247"/>
      <w:bookmarkEnd w:id="248"/>
      <w:r>
        <w:rPr>
          <w:rFonts w:ascii="宋体" w:hAnsi="宋体"/>
          <w:bCs/>
          <w:color w:val="auto"/>
          <w:szCs w:val="21"/>
          <w:highlight w:val="none"/>
        </w:rPr>
        <w:fldChar w:fldCharType="end"/>
      </w:r>
      <w:r>
        <w:rPr>
          <w:rFonts w:hint="eastAsia" w:ascii="宋体" w:hAnsi="宋体"/>
          <w:bCs/>
          <w:color w:val="auto"/>
          <w:szCs w:val="21"/>
          <w:highlight w:val="none"/>
        </w:rPr>
        <w:t>的规定，本公司参加</w:t>
      </w:r>
      <w:bookmarkStart w:id="249" w:name="_Hlk82091228"/>
      <w:r>
        <w:rPr>
          <w:rFonts w:hint="eastAsia" w:ascii="宋体" w:hAnsi="宋体"/>
          <w:bCs/>
          <w:color w:val="auto"/>
          <w:szCs w:val="21"/>
          <w:highlight w:val="none"/>
        </w:rPr>
        <w:t>（</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w:t>
      </w:r>
      <w:bookmarkEnd w:id="249"/>
      <w:r>
        <w:rPr>
          <w:rFonts w:hint="eastAsia" w:ascii="宋体" w:hAnsi="宋体"/>
          <w:bCs/>
          <w:color w:val="auto"/>
          <w:szCs w:val="21"/>
          <w:highlight w:val="none"/>
        </w:rPr>
        <w:t>采购活动，提供的货物全部由符合政策要求的中小企业制造。相关企业的具体情况如下：</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1.</w:t>
      </w:r>
      <w:bookmarkStart w:id="250"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），从业人员人，营业收入为万元，资产总额为万元，属于（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250"/>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），从业人员人，营业收入为万元，资产总额为万元，属于（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ind w:firstLine="0" w:firstLineChars="0"/>
        <w:rPr>
          <w:color w:val="auto"/>
          <w:szCs w:val="21"/>
          <w:highlight w:val="none"/>
        </w:rPr>
      </w:pPr>
    </w:p>
    <w:p>
      <w:pPr>
        <w:ind w:firstLine="0" w:firstLineChars="0"/>
        <w:rPr>
          <w:color w:val="auto"/>
          <w:szCs w:val="21"/>
          <w:highlight w:val="none"/>
        </w:rPr>
      </w:pPr>
    </w:p>
    <w:p>
      <w:pPr>
        <w:ind w:firstLine="0" w:firstLineChars="0"/>
        <w:rPr>
          <w:rFonts w:hint="eastAsia"/>
          <w:color w:val="auto"/>
          <w:szCs w:val="21"/>
          <w:highlight w:val="none"/>
        </w:rPr>
      </w:pP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企业名称（盖章）：</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日 期：</w:t>
      </w:r>
      <w:r>
        <w:rPr>
          <w:rFonts w:hint="eastAsia" w:hAnsi="宋体"/>
          <w:color w:val="auto"/>
          <w:szCs w:val="21"/>
          <w:highlight w:val="none"/>
          <w:u w:val="single"/>
        </w:rPr>
        <w:t xml:space="preserve"> </w:t>
      </w:r>
      <w:r>
        <w:rPr>
          <w:rFonts w:hAnsi="宋体"/>
          <w:color w:val="auto"/>
          <w:szCs w:val="21"/>
          <w:highlight w:val="none"/>
          <w:u w:val="single"/>
        </w:rPr>
        <w:t xml:space="preserve">                        </w:t>
      </w:r>
    </w:p>
    <w:bookmarkEnd w:id="246"/>
    <w:p>
      <w:pPr>
        <w:ind w:firstLine="0" w:firstLineChars="0"/>
        <w:rPr>
          <w:color w:val="auto"/>
          <w:szCs w:val="21"/>
          <w:highlight w:val="none"/>
        </w:rPr>
      </w:pPr>
    </w:p>
    <w:p>
      <w:pPr>
        <w:ind w:firstLine="0" w:firstLineChars="0"/>
        <w:rPr>
          <w:color w:val="auto"/>
          <w:szCs w:val="21"/>
          <w:highlight w:val="none"/>
        </w:rPr>
      </w:pPr>
    </w:p>
    <w:p>
      <w:pPr>
        <w:ind w:firstLine="0" w:firstLineChars="0"/>
        <w:rPr>
          <w:color w:val="auto"/>
          <w:szCs w:val="21"/>
          <w:highlight w:val="none"/>
        </w:rPr>
      </w:pPr>
    </w:p>
    <w:p>
      <w:pPr>
        <w:ind w:firstLine="0" w:firstLineChars="0"/>
        <w:rPr>
          <w:color w:val="auto"/>
          <w:szCs w:val="21"/>
          <w:highlight w:val="none"/>
        </w:rPr>
      </w:pPr>
    </w:p>
    <w:p>
      <w:pPr>
        <w:ind w:firstLine="0" w:firstLineChars="0"/>
        <w:rPr>
          <w:rFonts w:hint="eastAsia"/>
          <w:color w:val="auto"/>
          <w:szCs w:val="21"/>
          <w:highlight w:val="none"/>
        </w:rPr>
      </w:pPr>
    </w:p>
    <w:p>
      <w:pPr>
        <w:spacing w:line="320" w:lineRule="exact"/>
        <w:ind w:firstLine="0" w:firstLineChars="0"/>
        <w:rPr>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left="420" w:firstLine="0" w:firstLineChars="0"/>
        <w:rPr>
          <w:rFonts w:hint="eastAsia" w:ascii="宋体" w:hAnsi="宋体"/>
          <w:color w:val="auto"/>
          <w:sz w:val="18"/>
          <w:szCs w:val="18"/>
          <w:highlight w:val="none"/>
        </w:rPr>
      </w:pPr>
      <w:bookmarkStart w:id="251" w:name="_Hlk82091879"/>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8(——),从)</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8(——),业)</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8(——),人)</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8(——),员)</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8(——),营)</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8(——),业)</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8(——),收)</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8(——),入)</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8(——),资)</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8(——),产)</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8(——),总)</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8(——),额)</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8(——),填)</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8(——),报)</w:instrText>
      </w:r>
      <w:r>
        <w:rPr>
          <w:rFonts w:ascii="宋体" w:hAnsi="宋体"/>
          <w:color w:val="auto"/>
          <w:sz w:val="18"/>
          <w:szCs w:val="18"/>
          <w:highlight w:val="none"/>
        </w:rPr>
        <w:fldChar w:fldCharType="end"/>
      </w:r>
      <w:bookmarkEnd w:id="251"/>
      <w:r>
        <w:rPr>
          <w:rFonts w:hint="eastAsia" w:ascii="宋体" w:hAnsi="宋体"/>
          <w:color w:val="auto"/>
          <w:sz w:val="18"/>
          <w:szCs w:val="18"/>
          <w:highlight w:val="none"/>
        </w:rPr>
        <w:t>上一年度数据，无上一年度数据的新成立企业可不填报。</w:t>
      </w:r>
    </w:p>
    <w:tbl>
      <w:tblPr>
        <w:tblStyle w:val="49"/>
        <w:tblW w:w="0" w:type="auto"/>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noWrap w:val="0"/>
            <w:tcMar>
              <w:top w:w="30" w:type="dxa"/>
              <w:left w:w="150" w:type="dxa"/>
              <w:bottom w:w="30" w:type="dxa"/>
              <w:right w:w="150" w:type="dxa"/>
            </w:tcMar>
            <w:vAlign w:val="center"/>
          </w:tcPr>
          <w:p>
            <w:pPr>
              <w:widowControl/>
              <w:spacing w:line="240" w:lineRule="auto"/>
              <w:ind w:firstLine="0" w:firstLineChars="0"/>
              <w:jc w:val="center"/>
              <w:rPr>
                <w:rFonts w:ascii="Helvetica" w:hAnsi="Helvetica" w:cs="Helvetica"/>
                <w:b/>
                <w:bCs/>
                <w:color w:val="auto"/>
                <w:kern w:val="0"/>
                <w:szCs w:val="21"/>
                <w:highlight w:val="none"/>
              </w:rPr>
            </w:pPr>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ind w:firstLine="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说明：</w:t>
      </w:r>
    </w:p>
    <w:p>
      <w:pPr>
        <w:widowControl/>
        <w:shd w:val="clear" w:color="auto" w:fill="FFFFFF"/>
        <w:spacing w:line="360" w:lineRule="atLeast"/>
        <w:ind w:firstLine="48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"https://baike.baidu.com/item/%E5%A4%9A%E5%BC%8F%E8%81%94%E8%BF%90/3342240?fromModule=lemma_inlink"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和运输代理业、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"https://baike.baidu.com/item/%E8%A3%85%E5%8D%B8%E6%90%AC%E8%BF%90/6511400?fromModule=lemma_inlink"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，不包括铁路运输业；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"https://baike.baidu.com/item/%E4%BB%93%E5%82%A8%E4%B8%9A/3487863?fromModule=lemma_inlink"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"https://baike.baidu.com/item/%E4%BF%A1%E6%81%AF%E4%BC%A0%E8%BE%93%E4%B8%9A/61331990?fromModule=lemma_inlink"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firstLineChars="0"/>
        <w:jc w:val="left"/>
        <w:rPr>
          <w:rFonts w:hint="eastAsia"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"https://baike.baidu.com/item/%E7%BB%9F%E8%AE%A1%E5%88%B6%E5%BA%A6/917165?fromModule=lemma_inlink"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"https://baike.baidu.com/item/%E8%90%A5%E4%B8%9A%E6%94%B6%E5%85%A5/5099832?fromModule=lemma_inlink"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"https://baike.baidu.com/item/%E8%B5%84%E4%BA%A7%E6%80%BB%E9%A2%9D/716517?fromModule=lemma_inlink"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，采用资产总计代替。</w:t>
      </w:r>
    </w:p>
    <w:p>
      <w:pPr>
        <w:ind w:firstLine="0" w:firstLineChars="0"/>
        <w:rPr>
          <w:color w:val="auto"/>
          <w:highlight w:val="none"/>
        </w:rPr>
      </w:pPr>
      <w:r>
        <w:rPr>
          <w:color w:val="auto"/>
          <w:highlight w:val="none"/>
        </w:rPr>
        <w:br w:type="page"/>
      </w:r>
    </w:p>
    <w:p>
      <w:pPr>
        <w:spacing w:line="440" w:lineRule="exact"/>
        <w:ind w:firstLine="0" w:firstLineChars="0"/>
        <w:jc w:val="center"/>
        <w:rPr>
          <w:rFonts w:hint="eastAsia" w:ascii="仿宋_GB2312" w:hAnsi="宋体" w:eastAsia="仿宋_GB2312" w:cs="Courier New"/>
          <w:b/>
          <w:color w:val="auto"/>
          <w:kern w:val="0"/>
          <w:sz w:val="32"/>
          <w:szCs w:val="32"/>
          <w:highlight w:val="none"/>
        </w:rPr>
      </w:pPr>
      <w:r>
        <w:rPr>
          <w:rFonts w:hint="eastAsia" w:ascii="仿宋_GB2312" w:hAnsi="宋体" w:eastAsia="仿宋_GB2312" w:cs="Courier New"/>
          <w:b/>
          <w:color w:val="auto"/>
          <w:kern w:val="0"/>
          <w:sz w:val="32"/>
          <w:szCs w:val="32"/>
          <w:highlight w:val="none"/>
        </w:rPr>
        <w:t>残疾人福利性单位声明函</w:t>
      </w:r>
      <w:r>
        <w:rPr>
          <w:rFonts w:hint="eastAsia" w:ascii="仿宋_GB2312" w:eastAsia="仿宋_GB2312"/>
          <w:bCs/>
          <w:color w:val="auto"/>
          <w:sz w:val="24"/>
          <w:highlight w:val="none"/>
        </w:rPr>
        <w:t>（格式）</w:t>
      </w:r>
    </w:p>
    <w:p>
      <w:pPr>
        <w:ind w:firstLine="0" w:firstLineChars="0"/>
        <w:rPr>
          <w:rFonts w:hint="eastAsia"/>
          <w:color w:val="auto"/>
          <w:highlight w:val="none"/>
        </w:rPr>
      </w:pPr>
    </w:p>
    <w:p>
      <w:pPr>
        <w:spacing w:line="660" w:lineRule="exact"/>
        <w:ind w:firstLine="420"/>
        <w:rPr>
          <w:rFonts w:ascii="宋体" w:hAnsi="宋体" w:cs="Courier New"/>
          <w:color w:val="auto"/>
          <w:kern w:val="0"/>
          <w:szCs w:val="21"/>
          <w:highlight w:val="none"/>
        </w:rPr>
      </w:pPr>
      <w:bookmarkStart w:id="252" w:name="_Hlk94193952"/>
      <w:r>
        <w:rPr>
          <w:rFonts w:hint="eastAsia" w:ascii="宋体" w:hAnsi="宋体" w:cs="Courier New"/>
          <w:color w:val="auto"/>
          <w:kern w:val="0"/>
          <w:szCs w:val="21"/>
          <w:highlight w:val="none"/>
        </w:rPr>
        <w:t>本单位郑重声明，根据</w:t>
      </w:r>
      <w:bookmarkStart w:id="253" w:name="_Hlk82091361"/>
      <w:r>
        <w:rPr>
          <w:rFonts w:hint="eastAsia" w:ascii="宋体" w:hAnsi="宋体" w:cs="Courier New"/>
          <w:color w:val="auto"/>
          <w:kern w:val="0"/>
          <w:szCs w:val="21"/>
          <w:highlight w:val="none"/>
        </w:rPr>
        <w:t>《</w:t>
      </w:r>
      <w:r>
        <w:rPr>
          <w:rFonts w:ascii="宋体" w:hAnsi="Courier New" w:cs="Courier New"/>
          <w:color w:val="auto"/>
          <w:szCs w:val="21"/>
          <w:highlight w:val="none"/>
        </w:rPr>
        <w:fldChar w:fldCharType="begin"/>
      </w:r>
      <w:r>
        <w:rPr>
          <w:rFonts w:ascii="宋体" w:hAnsi="Courier New" w:cs="Courier New"/>
          <w:color w:val="auto"/>
          <w:szCs w:val="21"/>
          <w:highlight w:val="none"/>
        </w:rPr>
        <w:instrText xml:space="preserve"> HYPERLINK "http://www.mof.gov.cn/gp/xxgkml/gks/201709/t20170901_2689542.htm" </w:instrText>
      </w:r>
      <w:r>
        <w:rPr>
          <w:rFonts w:ascii="宋体" w:hAnsi="Courier New" w:cs="Courier New"/>
          <w:color w:val="auto"/>
          <w:szCs w:val="21"/>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ascii="宋体" w:hAnsi="Courier New" w:cs="Courier New"/>
          <w:color w:val="auto"/>
          <w:kern w:val="0"/>
          <w:szCs w:val="21"/>
          <w:highlight w:val="none"/>
        </w:rPr>
        <w:fldChar w:fldCharType="end"/>
      </w:r>
      <w:bookmarkEnd w:id="253"/>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rPr>
          <w:rFonts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ind w:firstLine="0" w:firstLineChars="0"/>
        <w:rPr>
          <w:color w:val="auto"/>
          <w:szCs w:val="21"/>
          <w:highlight w:val="none"/>
        </w:rPr>
      </w:pPr>
    </w:p>
    <w:p>
      <w:pPr>
        <w:ind w:firstLine="0" w:firstLineChars="0"/>
        <w:rPr>
          <w:rFonts w:hint="eastAsia"/>
          <w:color w:val="auto"/>
          <w:szCs w:val="21"/>
          <w:highlight w:val="none"/>
        </w:rPr>
      </w:pPr>
    </w:p>
    <w:p>
      <w:pPr>
        <w:ind w:firstLine="0" w:firstLineChars="0"/>
        <w:rPr>
          <w:rFonts w:hint="eastAsia"/>
          <w:color w:val="auto"/>
          <w:szCs w:val="21"/>
          <w:highlight w:val="none"/>
        </w:rPr>
      </w:pPr>
    </w:p>
    <w:p>
      <w:pPr>
        <w:spacing w:line="440" w:lineRule="exact"/>
        <w:ind w:firstLine="5250" w:firstLineChars="2500"/>
        <w:rPr>
          <w:rFonts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440" w:lineRule="exact"/>
        <w:ind w:firstLine="5250" w:firstLineChars="2500"/>
        <w:rPr>
          <w:rFonts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bookmarkEnd w:id="252"/>
    <w:p>
      <w:pPr>
        <w:spacing w:line="440" w:lineRule="exact"/>
        <w:ind w:firstLine="4000" w:firstLineChars="1905"/>
        <w:rPr>
          <w:rFonts w:ascii="宋体" w:hAnsi="宋体"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260" w:lineRule="exact"/>
        <w:ind w:firstLine="0" w:firstLineChars="0"/>
        <w:jc w:val="left"/>
        <w:rPr>
          <w:rFonts w:ascii="宋体" w:hAnsi="Courier New" w:cs="Courier New"/>
          <w:color w:val="auto"/>
          <w:sz w:val="18"/>
          <w:szCs w:val="18"/>
          <w:highlight w:val="none"/>
          <w:u w:val="single"/>
        </w:rPr>
      </w:pPr>
      <w:r>
        <w:rPr>
          <w:rFonts w:hint="eastAsia" w:ascii="宋体" w:hAnsi="Courier New" w:cs="Courier New"/>
          <w:color w:val="auto"/>
          <w:sz w:val="18"/>
          <w:szCs w:val="18"/>
          <w:highlight w:val="none"/>
          <w:u w:val="single"/>
        </w:rPr>
        <w:t xml:space="preserve"> </w:t>
      </w:r>
      <w:r>
        <w:rPr>
          <w:rFonts w:ascii="宋体" w:hAnsi="Courier New" w:cs="Courier New"/>
          <w:color w:val="auto"/>
          <w:sz w:val="18"/>
          <w:szCs w:val="18"/>
          <w:highlight w:val="none"/>
          <w:u w:val="single"/>
        </w:rPr>
        <w:t xml:space="preserve">                       </w:t>
      </w:r>
    </w:p>
    <w:p>
      <w:pPr>
        <w:spacing w:line="260" w:lineRule="exact"/>
        <w:ind w:firstLine="0" w:firstLineChars="0"/>
        <w:jc w:val="left"/>
        <w:rPr>
          <w:rFonts w:hint="eastAsia" w:ascii="宋体" w:hAnsi="Courier New" w:cs="Courier New"/>
          <w:color w:val="auto"/>
          <w:sz w:val="18"/>
          <w:szCs w:val="18"/>
          <w:highlight w:val="none"/>
          <w:u w:val="single"/>
        </w:rPr>
      </w:pPr>
      <w:r>
        <w:rPr>
          <w:rFonts w:ascii="宋体" w:hAnsi="Courier New" w:cs="Courier New"/>
          <w:color w:val="auto"/>
          <w:sz w:val="18"/>
          <w:szCs w:val="18"/>
          <w:highlight w:val="none"/>
        </w:rPr>
        <w:fldChar w:fldCharType="begin"/>
      </w:r>
      <w:r>
        <w:rPr>
          <w:rFonts w:ascii="宋体" w:hAnsi="Courier New" w:cs="Courier New"/>
          <w:color w:val="auto"/>
          <w:sz w:val="18"/>
          <w:szCs w:val="18"/>
          <w:highlight w:val="none"/>
        </w:rPr>
        <w:instrText xml:space="preserve"> HYPERLINK "http://www.ccgp.gov.cn/zcfg/mof/201709/t20170904_8787205.htm" </w:instrText>
      </w:r>
      <w:r>
        <w:rPr>
          <w:rFonts w:ascii="宋体" w:hAnsi="Courier New" w:cs="Courier New"/>
          <w:color w:val="auto"/>
          <w:sz w:val="18"/>
          <w:szCs w:val="18"/>
          <w:highlight w:val="none"/>
        </w:rPr>
        <w:fldChar w:fldCharType="separate"/>
      </w:r>
      <w:r>
        <w:rPr>
          <w:rFonts w:hint="eastAsia" w:ascii="宋体" w:hAnsi="Courier New" w:cs="Courier New"/>
          <w:color w:val="auto"/>
          <w:sz w:val="18"/>
          <w:szCs w:val="18"/>
          <w:highlight w:val="none"/>
          <w:u w:val="single"/>
        </w:rPr>
        <w:t>《财政部 民政部 中国残疾人联</w:t>
      </w:r>
      <w:bookmarkStart w:id="254" w:name="_Hlt94193982"/>
      <w:bookmarkStart w:id="255" w:name="_Hlt94193983"/>
      <w:r>
        <w:rPr>
          <w:rFonts w:hint="eastAsia" w:ascii="宋体" w:hAnsi="Courier New" w:cs="Courier New"/>
          <w:color w:val="auto"/>
          <w:sz w:val="18"/>
          <w:szCs w:val="18"/>
          <w:highlight w:val="none"/>
          <w:u w:val="single"/>
        </w:rPr>
        <w:t>合</w:t>
      </w:r>
      <w:bookmarkEnd w:id="254"/>
      <w:bookmarkEnd w:id="255"/>
      <w:r>
        <w:rPr>
          <w:rFonts w:hint="eastAsia" w:ascii="宋体" w:hAnsi="Courier New" w:cs="Courier New"/>
          <w:color w:val="auto"/>
          <w:sz w:val="18"/>
          <w:szCs w:val="18"/>
          <w:highlight w:val="none"/>
          <w:u w:val="single"/>
        </w:rPr>
        <w:t>会关于促进残疾人就业政府采购政策的通知》（财库〔2017〕141号）</w:t>
      </w:r>
      <w:r>
        <w:rPr>
          <w:rFonts w:ascii="宋体" w:hAnsi="Courier New" w:cs="Courier New"/>
          <w:color w:val="auto"/>
          <w:sz w:val="18"/>
          <w:szCs w:val="18"/>
          <w:highlight w:val="none"/>
          <w:u w:val="single"/>
        </w:rPr>
        <w:fldChar w:fldCharType="end"/>
      </w:r>
    </w:p>
    <w:p>
      <w:pPr>
        <w:snapToGrid w:val="0"/>
        <w:spacing w:before="50" w:after="50" w:line="360" w:lineRule="exact"/>
        <w:ind w:right="-817" w:rightChars="-389" w:firstLine="0" w:firstLineChars="0"/>
        <w:rPr>
          <w:rFonts w:ascii="宋体" w:hAnsi="宋体"/>
          <w:b/>
          <w:bCs/>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三、报价文件</w:t>
      </w:r>
    </w:p>
    <w:p>
      <w:pPr>
        <w:ind w:firstLine="0" w:firstLineChars="0"/>
        <w:rPr>
          <w:rFonts w:hint="eastAsia"/>
          <w:color w:val="auto"/>
          <w:highlight w:val="none"/>
        </w:rPr>
      </w:pPr>
    </w:p>
    <w:p>
      <w:pPr>
        <w:snapToGrid w:val="0"/>
        <w:spacing w:before="50" w:after="50" w:line="360" w:lineRule="exact"/>
        <w:ind w:firstLine="0" w:firstLineChars="0"/>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32"/>
          <w:szCs w:val="32"/>
          <w:highlight w:val="none"/>
        </w:rPr>
        <w:t>开标一览表</w:t>
      </w:r>
      <w:bookmarkStart w:id="256" w:name="_Hlk111729075"/>
      <w:r>
        <w:rPr>
          <w:rFonts w:hint="eastAsia" w:ascii="仿宋_GB2312" w:eastAsia="仿宋_GB2312"/>
          <w:bCs/>
          <w:color w:val="auto"/>
          <w:sz w:val="24"/>
          <w:highlight w:val="none"/>
        </w:rPr>
        <w:t>（格式）</w:t>
      </w:r>
      <w:bookmarkEnd w:id="256"/>
    </w:p>
    <w:p>
      <w:pPr>
        <w:snapToGrid w:val="0"/>
        <w:spacing w:before="50" w:after="50"/>
        <w:ind w:firstLine="420"/>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pPr>
        <w:snapToGrid w:val="0"/>
        <w:spacing w:before="50" w:after="50"/>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报价（总价、元）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19" w:firstLineChars="10"/>
              <w:jc w:val="left"/>
              <w:rPr>
                <w:rFonts w:hint="eastAsia" w:ascii="宋体" w:hAnsi="宋体"/>
                <w:bCs/>
                <w:color w:val="auto"/>
                <w:szCs w:val="21"/>
                <w:highlight w:val="none"/>
                <w:u w:val="single"/>
              </w:rPr>
            </w:pPr>
            <w:r>
              <w:rPr>
                <w:rFonts w:hint="eastAsia" w:ascii="宋体" w:hAnsi="宋体" w:cs="Courier New"/>
                <w:color w:val="auto"/>
                <w:spacing w:val="-6"/>
                <w:szCs w:val="21"/>
                <w:highlight w:val="none"/>
              </w:rPr>
              <w:t>人民币大写：</w:t>
            </w:r>
            <w:r>
              <w:rPr>
                <w:rFonts w:hint="eastAsia" w:ascii="宋体" w:hAnsi="宋体" w:cs="Courier New"/>
                <w:color w:val="auto"/>
                <w:spacing w:val="-6"/>
                <w:szCs w:val="21"/>
                <w:highlight w:val="none"/>
                <w:u w:val="single"/>
              </w:rPr>
              <w:t xml:space="preserve">                  </w:t>
            </w:r>
            <w:r>
              <w:rPr>
                <w:rFonts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u w:val="single"/>
              </w:rPr>
              <w:t xml:space="preserve">    </w:t>
            </w:r>
            <w:r>
              <w:rPr>
                <w:rFonts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tbl>
    <w:p>
      <w:pPr>
        <w:snapToGrid w:val="0"/>
        <w:spacing w:before="50" w:after="50"/>
        <w:ind w:left="105" w:leftChars="50" w:firstLine="315" w:firstLineChars="150"/>
        <w:jc w:val="left"/>
        <w:rPr>
          <w:rFonts w:ascii="宋体" w:hAnsi="宋体"/>
          <w:color w:val="auto"/>
          <w:szCs w:val="21"/>
          <w:highlight w:val="none"/>
        </w:rPr>
      </w:pPr>
      <w:r>
        <w:rPr>
          <w:rFonts w:hint="eastAsia" w:ascii="宋体" w:hAnsi="宋体"/>
          <w:color w:val="auto"/>
          <w:szCs w:val="21"/>
          <w:highlight w:val="none"/>
        </w:rPr>
        <w:t>1.所有价格均用人民币表示，单位为元，精确到个数位。</w:t>
      </w:r>
    </w:p>
    <w:p>
      <w:pPr>
        <w:snapToGrid w:val="0"/>
        <w:spacing w:before="50" w:after="50"/>
        <w:ind w:left="105" w:leftChars="50" w:firstLine="315" w:firstLineChars="15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报价一经涂改，应在涂改处加盖公章或者由法定代表人或授权委托人签名或盖章，否则视为无效投标文件。</w:t>
      </w:r>
    </w:p>
    <w:p>
      <w:pPr>
        <w:snapToGrid w:val="0"/>
        <w:spacing w:before="50" w:after="50"/>
        <w:ind w:firstLine="420"/>
        <w:rPr>
          <w:rFonts w:ascii="宋体" w:hAnsi="宋体"/>
          <w:color w:val="auto"/>
          <w:szCs w:val="21"/>
          <w:highlight w:val="none"/>
        </w:rPr>
      </w:pPr>
      <w:bookmarkStart w:id="257" w:name="_Hlk90908484"/>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bCs/>
          <w:color w:val="auto"/>
          <w:szCs w:val="21"/>
          <w:highlight w:val="none"/>
        </w:rPr>
        <w:t>投标报价应包括设备及零配件、备品备件、材料、消耗品的采购和运输（装卸、吊装），项目安装、调试、检测、工具、调试及验收、现场卫生清理、水电费、土建改造、售后服务、培训、税金、利润、项目所需的物资、外设、线缆、管材、埋管及完成全部设备安装和服务应有的环保、文明施工、安全施工、风险费、责任等费用总和。</w:t>
      </w:r>
    </w:p>
    <w:bookmarkEnd w:id="257"/>
    <w:p>
      <w:pPr>
        <w:snapToGrid w:val="0"/>
        <w:spacing w:before="50" w:after="50" w:line="350" w:lineRule="exact"/>
        <w:ind w:right="-817" w:rightChars="-389" w:firstLine="0" w:firstLineChars="0"/>
        <w:rPr>
          <w:rFonts w:ascii="宋体" w:hAnsi="宋体"/>
          <w:color w:val="auto"/>
          <w:szCs w:val="21"/>
          <w:highlight w:val="none"/>
        </w:rPr>
      </w:pPr>
    </w:p>
    <w:p>
      <w:pPr>
        <w:snapToGrid w:val="0"/>
        <w:spacing w:before="50" w:after="50" w:line="350" w:lineRule="exact"/>
        <w:ind w:right="-817" w:rightChars="-389" w:firstLine="0" w:firstLineChars="0"/>
        <w:rPr>
          <w:rFonts w:hint="eastAsia" w:ascii="宋体" w:hAnsi="宋体"/>
          <w:color w:val="auto"/>
          <w:szCs w:val="21"/>
          <w:highlight w:val="none"/>
        </w:rPr>
      </w:pPr>
    </w:p>
    <w:p>
      <w:pPr>
        <w:snapToGrid w:val="0"/>
        <w:spacing w:before="50" w:after="50" w:line="350" w:lineRule="exact"/>
        <w:ind w:right="-817" w:rightChars="-389" w:firstLine="4189" w:firstLineChars="1995"/>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3255" w:firstLineChars="15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50" w:after="50" w:line="350" w:lineRule="exact"/>
        <w:ind w:right="-817" w:rightChars="-389" w:firstLine="0" w:firstLineChars="0"/>
        <w:rPr>
          <w:rFonts w:hint="eastAsia" w:ascii="宋体" w:hAnsi="宋体"/>
          <w:color w:val="auto"/>
          <w:szCs w:val="21"/>
          <w:highlight w:val="none"/>
        </w:rPr>
      </w:pPr>
      <w:r>
        <w:rPr>
          <w:rFonts w:ascii="宋体" w:hAnsi="宋体"/>
          <w:color w:val="auto"/>
          <w:szCs w:val="21"/>
          <w:highlight w:val="none"/>
        </w:rPr>
        <w:br w:type="page"/>
      </w:r>
    </w:p>
    <w:p>
      <w:pPr>
        <w:ind w:firstLine="0" w:firstLineChars="0"/>
        <w:jc w:val="center"/>
        <w:rPr>
          <w:rFonts w:hint="eastAsia" w:ascii="仿宋_GB2312" w:eastAsia="仿宋_GB2312"/>
          <w:b/>
          <w:bCs/>
          <w:color w:val="auto"/>
          <w:sz w:val="28"/>
          <w:szCs w:val="28"/>
          <w:highlight w:val="none"/>
        </w:rPr>
      </w:pPr>
      <w:r>
        <w:rPr>
          <w:rFonts w:hint="eastAsia" w:ascii="仿宋_GB2312" w:eastAsia="仿宋_GB2312"/>
          <w:b/>
          <w:bCs/>
          <w:color w:val="auto"/>
          <w:sz w:val="32"/>
          <w:szCs w:val="32"/>
          <w:highlight w:val="none"/>
        </w:rPr>
        <w:t>报价明细表</w:t>
      </w:r>
      <w:r>
        <w:rPr>
          <w:rFonts w:hint="eastAsia" w:ascii="仿宋_GB2312" w:eastAsia="仿宋_GB2312"/>
          <w:bCs/>
          <w:color w:val="auto"/>
          <w:sz w:val="24"/>
          <w:highlight w:val="none"/>
        </w:rPr>
        <w:t>（格式）</w:t>
      </w:r>
    </w:p>
    <w:p>
      <w:pPr>
        <w:ind w:firstLine="199" w:firstLineChars="95"/>
        <w:jc w:val="lef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210" w:firstLineChars="100"/>
        <w:jc w:val="lef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noWrap w:val="0"/>
            <w:vAlign w:val="center"/>
          </w:tcPr>
          <w:p>
            <w:pPr>
              <w:spacing w:line="300" w:lineRule="exact"/>
              <w:ind w:firstLine="0" w:firstLineChars="0"/>
              <w:jc w:val="center"/>
              <w:rPr>
                <w:rFonts w:hint="eastAsia" w:ascii="宋体" w:hAnsi="宋体" w:cs="Courier New"/>
                <w:color w:val="auto"/>
                <w:szCs w:val="21"/>
                <w:highlight w:val="none"/>
              </w:rPr>
            </w:pPr>
            <w:bookmarkStart w:id="258" w:name="_Hlk97823529"/>
            <w:r>
              <w:rPr>
                <w:rFonts w:hint="eastAsia" w:ascii="宋体" w:hAnsi="宋体" w:cs="Courier New"/>
                <w:color w:val="auto"/>
                <w:szCs w:val="21"/>
                <w:highlight w:val="none"/>
              </w:rPr>
              <w:t>序号</w:t>
            </w:r>
          </w:p>
        </w:tc>
        <w:tc>
          <w:tcPr>
            <w:tcW w:w="1145"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699"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品牌</w:t>
            </w:r>
          </w:p>
        </w:tc>
        <w:tc>
          <w:tcPr>
            <w:tcW w:w="710"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型号</w:t>
            </w:r>
          </w:p>
        </w:tc>
        <w:tc>
          <w:tcPr>
            <w:tcW w:w="709"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产地</w:t>
            </w:r>
          </w:p>
        </w:tc>
        <w:tc>
          <w:tcPr>
            <w:tcW w:w="170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技术参数及性能（规格）</w:t>
            </w:r>
          </w:p>
        </w:tc>
        <w:tc>
          <w:tcPr>
            <w:tcW w:w="170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数量、单位</w:t>
            </w:r>
            <w:r>
              <w:rPr>
                <w:rFonts w:hint="eastAsia" w:hAnsi="宋体"/>
                <w:color w:val="auto"/>
                <w:highlight w:val="none"/>
              </w:rPr>
              <w:t>①</w:t>
            </w:r>
          </w:p>
        </w:tc>
        <w:tc>
          <w:tcPr>
            <w:tcW w:w="85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单价</w:t>
            </w:r>
            <w:r>
              <w:rPr>
                <w:rFonts w:hint="eastAsia" w:hAnsi="宋体"/>
                <w:color w:val="auto"/>
                <w:highlight w:val="none"/>
              </w:rPr>
              <w:t>②</w:t>
            </w:r>
          </w:p>
        </w:tc>
        <w:tc>
          <w:tcPr>
            <w:tcW w:w="1348" w:type="dxa"/>
            <w:tcBorders>
              <w:bottom w:val="single" w:color="auto" w:sz="4" w:space="0"/>
            </w:tcBorders>
            <w:noWrap w:val="0"/>
            <w:vAlign w:val="center"/>
          </w:tcPr>
          <w:p>
            <w:pPr>
              <w:spacing w:line="300" w:lineRule="exact"/>
              <w:ind w:firstLine="0" w:firstLineChars="0"/>
              <w:jc w:val="center"/>
              <w:rPr>
                <w:rFonts w:hint="eastAsia" w:ascii="宋体" w:hAnsi="宋体" w:cs="Courier New"/>
                <w:color w:val="auto"/>
                <w:szCs w:val="21"/>
                <w:highlight w:val="none"/>
              </w:rPr>
            </w:pPr>
            <w:r>
              <w:rPr>
                <w:rFonts w:hint="eastAsia" w:ascii="宋体" w:hAnsi="宋体" w:cs="Courier New"/>
                <w:color w:val="auto"/>
                <w:szCs w:val="21"/>
                <w:highlight w:val="none"/>
              </w:rPr>
              <w:t>单项合价</w:t>
            </w:r>
          </w:p>
          <w:p>
            <w:pPr>
              <w:spacing w:line="300" w:lineRule="exact"/>
              <w:ind w:firstLine="0" w:firstLineChars="0"/>
              <w:jc w:val="center"/>
              <w:rPr>
                <w:rFonts w:hint="eastAsia" w:ascii="宋体" w:hAnsi="宋体" w:cs="Courier New"/>
                <w:color w:val="auto"/>
                <w:szCs w:val="21"/>
                <w:highlight w:val="none"/>
              </w:rPr>
            </w:pPr>
            <w:r>
              <w:rPr>
                <w:rFonts w:hint="eastAsia" w:ascii="宋体" w:hAnsi="宋体" w:cs="Courier New"/>
                <w:color w:val="auto"/>
                <w:szCs w:val="21"/>
                <w:highlight w:val="none"/>
              </w:rPr>
              <w:t>③</w:t>
            </w:r>
            <w:r>
              <w:rPr>
                <w:rFonts w:ascii="宋体" w:hAnsi="宋体" w:cs="Courier New"/>
                <w:color w:val="auto"/>
                <w:szCs w:val="21"/>
                <w:highlight w:val="none"/>
              </w:rPr>
              <w:t>=</w:t>
            </w:r>
            <w:r>
              <w:rPr>
                <w:rFonts w:hint="eastAsia" w:ascii="宋体" w:hAnsi="宋体" w:cs="Courier New"/>
                <w:color w:val="auto"/>
                <w:szCs w:val="21"/>
                <w:highlight w:val="none"/>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right="-34" w:rightChars="-16"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ascii="宋体" w:hAnsi="宋体"/>
                <w:color w:val="auto"/>
                <w:sz w:val="24"/>
                <w:highlight w:val="none"/>
              </w:rPr>
              <w:t>…</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noWrap w:val="0"/>
            <w:vAlign w:val="center"/>
          </w:tcPr>
          <w:p>
            <w:pPr>
              <w:spacing w:line="440" w:lineRule="exact"/>
              <w:ind w:firstLine="27" w:firstLineChars="14"/>
              <w:rPr>
                <w:rFonts w:hint="eastAsia" w:ascii="宋体" w:hAnsi="宋体" w:cs="Courier New"/>
                <w:color w:val="auto"/>
                <w:spacing w:val="-6"/>
                <w:szCs w:val="21"/>
                <w:highlight w:val="none"/>
              </w:rPr>
            </w:pPr>
            <w:r>
              <w:rPr>
                <w:rFonts w:hint="eastAsia" w:ascii="宋体" w:hAnsi="宋体" w:cs="Courier New"/>
                <w:color w:val="auto"/>
                <w:spacing w:val="-6"/>
                <w:szCs w:val="21"/>
                <w:highlight w:val="none"/>
              </w:rPr>
              <w:t>总报价（人民币大写）：</w:t>
            </w:r>
            <w:r>
              <w:rPr>
                <w:rFonts w:hint="eastAsia"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bookmarkEnd w:id="258"/>
    </w:tbl>
    <w:p>
      <w:pPr>
        <w:spacing w:line="440" w:lineRule="exact"/>
        <w:ind w:firstLine="420"/>
        <w:rPr>
          <w:rFonts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ind w:firstLine="0" w:firstLineChars="0"/>
        <w:rPr>
          <w:rFonts w:ascii="宋体" w:hAnsi="Courier New" w:cs="Courier New"/>
          <w:color w:val="auto"/>
          <w:szCs w:val="21"/>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投标报价应包含货物、货物标准附件、备品备件、专用工具、设备安装辅材、施工辅材、包装、运输、装卸、保险等各种费用以及安装、调试、验收、税金、售后服务、技术培训费、更新升级、软件费及其他所有成本费用；如出现参数不满足或由于供应商原因造成品质不满足合同要求，采购人有权要求更换设备，不增加任何费用。</w:t>
      </w:r>
    </w:p>
    <w:p>
      <w:pPr>
        <w:spacing w:before="50" w:after="50" w:line="360" w:lineRule="exact"/>
        <w:ind w:firstLine="420" w:firstLineChars="0"/>
        <w:rPr>
          <w:rFonts w:hint="eastAsia" w:ascii="宋体" w:hAnsi="宋体" w:cs="Courier New"/>
          <w:color w:val="auto"/>
          <w:szCs w:val="21"/>
          <w:highlight w:val="none"/>
        </w:rPr>
      </w:pPr>
      <w:r>
        <w:rPr>
          <w:rFonts w:hint="eastAsia" w:ascii="宋体" w:hAnsi="Courier New" w:cs="Courier New"/>
          <w:color w:val="auto"/>
          <w:szCs w:val="21"/>
          <w:highlight w:val="none"/>
        </w:rPr>
        <w:t>3</w:t>
      </w:r>
      <w:r>
        <w:rPr>
          <w:rFonts w:ascii="宋体" w:hAnsi="Courier New" w:cs="Courier New"/>
          <w:color w:val="auto"/>
          <w:szCs w:val="21"/>
          <w:highlight w:val="none"/>
        </w:rPr>
        <w:t>.</w:t>
      </w:r>
      <w:r>
        <w:rPr>
          <w:rFonts w:hint="eastAsia" w:ascii="宋体" w:hAnsi="宋体" w:cs="Courier New"/>
          <w:color w:val="auto"/>
          <w:szCs w:val="21"/>
          <w:highlight w:val="none"/>
        </w:rPr>
        <w:t>报价为全包价，以人民币为结算单位。在合同实施时，采购人将不予支付中标人没有列入的项目费用，并认为此项目的费用已包括在总报价中。采购人不再支付合同以外的其他费用。</w:t>
      </w:r>
    </w:p>
    <w:p>
      <w:pPr>
        <w:spacing w:line="240" w:lineRule="auto"/>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snapToGrid w:val="0"/>
        <w:spacing w:before="50" w:after="50" w:line="350" w:lineRule="exact"/>
        <w:ind w:right="-817" w:rightChars="-389" w:firstLine="4189" w:firstLineChars="199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ind w:firstLine="0" w:firstLineChars="0"/>
        <w:jc w:val="center"/>
        <w:rPr>
          <w:rFonts w:hint="eastAsia" w:ascii="宋体" w:hAnsi="宋体"/>
          <w:color w:val="auto"/>
          <w:szCs w:val="21"/>
          <w:highlight w:val="none"/>
        </w:rPr>
      </w:pPr>
    </w:p>
    <w:sectPr>
      <w:headerReference r:id="rId11" w:type="default"/>
      <w:footerReference r:id="rId12" w:type="default"/>
      <w:pgSz w:w="11906" w:h="16838"/>
      <w:pgMar w:top="1246" w:right="991" w:bottom="1091" w:left="9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sch Office 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inheri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SC-Medium">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2020400000000000000"/>
    <w:charset w:val="00"/>
    <w:family w:val="roman"/>
    <w:pitch w:val="default"/>
    <w:sig w:usb0="00000000" w:usb1="00000000" w:usb2="00000016" w:usb3="00000000" w:csb0="00060007" w:csb1="0000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center"/>
    </w:pPr>
    <w:r>
      <w:fldChar w:fldCharType="begin"/>
    </w:r>
    <w:r>
      <w:instrText xml:space="preserve">PAGE   \* MERGEFORMAT</w:instrText>
    </w:r>
    <w:r>
      <w:fldChar w:fldCharType="separate"/>
    </w:r>
    <w:r>
      <w:rPr>
        <w:lang w:val="zh-CN"/>
      </w:rPr>
      <w:t>60</w:t>
    </w:r>
    <w:r>
      <w:fldChar w:fldCharType="end"/>
    </w:r>
  </w:p>
  <w:p>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rFonts w:hint="eastAsia"/>
        <w:sz w:val="18"/>
        <w:szCs w:val="18"/>
        <w:u w:val="single"/>
      </w:rPr>
    </w:pPr>
    <w:r>
      <w:rPr>
        <w:rFonts w:hint="eastAsia"/>
        <w:sz w:val="18"/>
        <w:szCs w:val="18"/>
        <w:u w:val="single"/>
      </w:rPr>
      <w:t xml:space="preserve">钦州市政府采购中心                     </w:t>
    </w:r>
    <w:r>
      <w:rPr>
        <w:rFonts w:hint="eastAsia"/>
        <w:sz w:val="18"/>
        <w:szCs w:val="18"/>
        <w:u w:val="single"/>
        <w:lang w:eastAsia="zh-CN"/>
      </w:rPr>
      <w:t>浦北中学改善普通高中办学条件教学设备</w:t>
    </w:r>
    <w:r>
      <w:rPr>
        <w:rFonts w:hint="eastAsia"/>
        <w:sz w:val="18"/>
        <w:szCs w:val="18"/>
        <w:u w:val="single"/>
      </w:rPr>
      <w:t>(</w:t>
    </w:r>
    <w:r>
      <w:rPr>
        <w:rFonts w:hint="eastAsia"/>
        <w:sz w:val="18"/>
        <w:szCs w:val="18"/>
        <w:u w:val="single"/>
        <w:lang w:eastAsia="zh-CN"/>
      </w:rPr>
      <w:t>QZZC2025-G1-220081-QZSZ</w:t>
    </w:r>
    <w:r>
      <w:rPr>
        <w:rFonts w:hint="eastAsia"/>
        <w:sz w:val="18"/>
        <w:szCs w:val="18"/>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rFonts w:hint="eastAsia"/>
        <w:sz w:val="18"/>
        <w:szCs w:val="18"/>
        <w:u w:val="single"/>
      </w:rPr>
    </w:pPr>
    <w:r>
      <w:rPr>
        <w:rFonts w:hint="eastAsia"/>
        <w:sz w:val="18"/>
        <w:szCs w:val="18"/>
        <w:u w:val="single"/>
      </w:rPr>
      <w:t xml:space="preserve">钦州市政府采购中心                        </w:t>
    </w:r>
    <w:r>
      <w:rPr>
        <w:rFonts w:hint="eastAsia"/>
        <w:sz w:val="18"/>
        <w:szCs w:val="18"/>
        <w:u w:val="single"/>
        <w:lang w:eastAsia="zh-CN"/>
      </w:rPr>
      <w:t>浦北中学改善普通高中办学条件教学设备</w:t>
    </w:r>
    <w:r>
      <w:rPr>
        <w:rFonts w:hint="eastAsia"/>
        <w:sz w:val="18"/>
        <w:szCs w:val="18"/>
        <w:u w:val="single"/>
      </w:rPr>
      <w:t>(</w:t>
    </w:r>
    <w:r>
      <w:rPr>
        <w:rFonts w:hint="eastAsia"/>
        <w:sz w:val="18"/>
        <w:szCs w:val="18"/>
        <w:u w:val="single"/>
        <w:lang w:eastAsia="zh-CN"/>
      </w:rPr>
      <w:t>QZZC2025-G1-220081-QZSZ</w:t>
    </w:r>
    <w:r>
      <w:rPr>
        <w:rFonts w:hint="eastAsia"/>
        <w:sz w:val="18"/>
        <w:szCs w:val="18"/>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56E8B6C"/>
    <w:multiLevelType w:val="singleLevel"/>
    <w:tmpl w:val="D56E8B6C"/>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153B9C6"/>
    <w:multiLevelType w:val="singleLevel"/>
    <w:tmpl w:val="E153B9C6"/>
    <w:lvl w:ilvl="0" w:tentative="0">
      <w:start w:val="2"/>
      <w:numFmt w:val="chineseCounting"/>
      <w:suff w:val="nothing"/>
      <w:lvlText w:val="（%1）"/>
      <w:lvlJc w:val="left"/>
      <w:rPr>
        <w:rFonts w:hint="eastAsia"/>
      </w:rPr>
    </w:lvl>
  </w:abstractNum>
  <w:abstractNum w:abstractNumId="6">
    <w:nsid w:val="F154F22C"/>
    <w:multiLevelType w:val="singleLevel"/>
    <w:tmpl w:val="F154F22C"/>
    <w:lvl w:ilvl="0" w:tentative="0">
      <w:start w:val="2"/>
      <w:numFmt w:val="chineseCounting"/>
      <w:suff w:val="nothing"/>
      <w:lvlText w:val="%1、"/>
      <w:lvlJc w:val="left"/>
      <w:rPr>
        <w:rFonts w:hint="eastAsia"/>
      </w:rPr>
    </w:lvl>
  </w:abstractNum>
  <w:abstractNum w:abstractNumId="7">
    <w:nsid w:val="0B7E4B5D"/>
    <w:multiLevelType w:val="singleLevel"/>
    <w:tmpl w:val="0B7E4B5D"/>
    <w:lvl w:ilvl="0" w:tentative="0">
      <w:start w:val="6"/>
      <w:numFmt w:val="decimal"/>
      <w:lvlText w:val="%1."/>
      <w:lvlJc w:val="left"/>
      <w:pPr>
        <w:tabs>
          <w:tab w:val="left" w:pos="312"/>
        </w:tabs>
      </w:pPr>
    </w:lvl>
  </w:abstractNum>
  <w:abstractNum w:abstractNumId="8">
    <w:nsid w:val="63DD7932"/>
    <w:multiLevelType w:val="singleLevel"/>
    <w:tmpl w:val="63DD7932"/>
    <w:lvl w:ilvl="0" w:tentative="0">
      <w:start w:val="1"/>
      <w:numFmt w:val="decimal"/>
      <w:lvlText w:val="%1."/>
      <w:lvlJc w:val="left"/>
      <w:pPr>
        <w:tabs>
          <w:tab w:val="left" w:pos="312"/>
        </w:tabs>
      </w:pPr>
    </w:lvl>
  </w:abstractNum>
  <w:abstractNum w:abstractNumId="9">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8"/>
  </w:num>
  <w:num w:numId="5">
    <w:abstractNumId w:val="5"/>
  </w:num>
  <w:num w:numId="6">
    <w:abstractNumId w:val="9"/>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E0Zjc2ZDA5NmE1NTQ4Yzk4Zjk0N2Y4YTlhMjQifQ=="/>
    <w:docVar w:name="KSO_WPS_MARK_KEY" w:val="8b2e790f-301c-416b-a0c7-a7ea7cce6ec1"/>
  </w:docVars>
  <w:rsids>
    <w:rsidRoot w:val="00E57B92"/>
    <w:rsid w:val="00001C41"/>
    <w:rsid w:val="00004B07"/>
    <w:rsid w:val="00012693"/>
    <w:rsid w:val="00013AAD"/>
    <w:rsid w:val="0001477A"/>
    <w:rsid w:val="000160E7"/>
    <w:rsid w:val="00016146"/>
    <w:rsid w:val="000165AA"/>
    <w:rsid w:val="00017C52"/>
    <w:rsid w:val="00017DBB"/>
    <w:rsid w:val="00020915"/>
    <w:rsid w:val="00020BB0"/>
    <w:rsid w:val="00024F7F"/>
    <w:rsid w:val="00025DCF"/>
    <w:rsid w:val="00026191"/>
    <w:rsid w:val="00026324"/>
    <w:rsid w:val="000275CA"/>
    <w:rsid w:val="000305C3"/>
    <w:rsid w:val="00033238"/>
    <w:rsid w:val="00035461"/>
    <w:rsid w:val="00036291"/>
    <w:rsid w:val="000370D2"/>
    <w:rsid w:val="00037506"/>
    <w:rsid w:val="00041F84"/>
    <w:rsid w:val="000426A5"/>
    <w:rsid w:val="00042B43"/>
    <w:rsid w:val="00043733"/>
    <w:rsid w:val="00044C2E"/>
    <w:rsid w:val="00044EA4"/>
    <w:rsid w:val="0004516D"/>
    <w:rsid w:val="00046EBA"/>
    <w:rsid w:val="000475DF"/>
    <w:rsid w:val="0005111A"/>
    <w:rsid w:val="0005232E"/>
    <w:rsid w:val="00052E87"/>
    <w:rsid w:val="0005478E"/>
    <w:rsid w:val="00054B3B"/>
    <w:rsid w:val="00054E52"/>
    <w:rsid w:val="000614D1"/>
    <w:rsid w:val="0006165C"/>
    <w:rsid w:val="00065472"/>
    <w:rsid w:val="00065951"/>
    <w:rsid w:val="00065FC9"/>
    <w:rsid w:val="000661F6"/>
    <w:rsid w:val="00066921"/>
    <w:rsid w:val="00066D8C"/>
    <w:rsid w:val="00067C4F"/>
    <w:rsid w:val="00071CFF"/>
    <w:rsid w:val="00073C68"/>
    <w:rsid w:val="00077520"/>
    <w:rsid w:val="00077995"/>
    <w:rsid w:val="0008019D"/>
    <w:rsid w:val="00080A21"/>
    <w:rsid w:val="000810CF"/>
    <w:rsid w:val="000813F7"/>
    <w:rsid w:val="00082608"/>
    <w:rsid w:val="000842AE"/>
    <w:rsid w:val="00086746"/>
    <w:rsid w:val="0009000E"/>
    <w:rsid w:val="00093F5D"/>
    <w:rsid w:val="000946C4"/>
    <w:rsid w:val="000975E8"/>
    <w:rsid w:val="00097FD6"/>
    <w:rsid w:val="000A2692"/>
    <w:rsid w:val="000A4349"/>
    <w:rsid w:val="000A780C"/>
    <w:rsid w:val="000B0DB5"/>
    <w:rsid w:val="000B1576"/>
    <w:rsid w:val="000B24A1"/>
    <w:rsid w:val="000B3B3E"/>
    <w:rsid w:val="000B3E41"/>
    <w:rsid w:val="000B49E6"/>
    <w:rsid w:val="000B53E8"/>
    <w:rsid w:val="000B54BA"/>
    <w:rsid w:val="000B5D4A"/>
    <w:rsid w:val="000B6457"/>
    <w:rsid w:val="000C1488"/>
    <w:rsid w:val="000C1553"/>
    <w:rsid w:val="000C233C"/>
    <w:rsid w:val="000C23CE"/>
    <w:rsid w:val="000C4366"/>
    <w:rsid w:val="000C5F92"/>
    <w:rsid w:val="000C65E8"/>
    <w:rsid w:val="000C6B4F"/>
    <w:rsid w:val="000D221E"/>
    <w:rsid w:val="000D228B"/>
    <w:rsid w:val="000D2BAD"/>
    <w:rsid w:val="000D3657"/>
    <w:rsid w:val="000D4AA8"/>
    <w:rsid w:val="000D5462"/>
    <w:rsid w:val="000D6065"/>
    <w:rsid w:val="000D65C5"/>
    <w:rsid w:val="000D7688"/>
    <w:rsid w:val="000E02B7"/>
    <w:rsid w:val="000E18B0"/>
    <w:rsid w:val="000E1DD3"/>
    <w:rsid w:val="000E4001"/>
    <w:rsid w:val="000E4EB6"/>
    <w:rsid w:val="000E7125"/>
    <w:rsid w:val="000F0060"/>
    <w:rsid w:val="000F2E5A"/>
    <w:rsid w:val="000F42FE"/>
    <w:rsid w:val="000F43CE"/>
    <w:rsid w:val="000F4584"/>
    <w:rsid w:val="000F4EB0"/>
    <w:rsid w:val="000F535C"/>
    <w:rsid w:val="000F54FC"/>
    <w:rsid w:val="000F6025"/>
    <w:rsid w:val="000F7212"/>
    <w:rsid w:val="000F74B2"/>
    <w:rsid w:val="00100C84"/>
    <w:rsid w:val="001043ED"/>
    <w:rsid w:val="00105711"/>
    <w:rsid w:val="00105AFE"/>
    <w:rsid w:val="0010791A"/>
    <w:rsid w:val="0011027F"/>
    <w:rsid w:val="00111624"/>
    <w:rsid w:val="0011292D"/>
    <w:rsid w:val="00113015"/>
    <w:rsid w:val="001136E4"/>
    <w:rsid w:val="00113A1D"/>
    <w:rsid w:val="00117AB3"/>
    <w:rsid w:val="00122CAF"/>
    <w:rsid w:val="00122E7D"/>
    <w:rsid w:val="00125838"/>
    <w:rsid w:val="00125CA9"/>
    <w:rsid w:val="00127B34"/>
    <w:rsid w:val="0013049E"/>
    <w:rsid w:val="001318FF"/>
    <w:rsid w:val="00131E98"/>
    <w:rsid w:val="00131EF8"/>
    <w:rsid w:val="001355F0"/>
    <w:rsid w:val="0013690F"/>
    <w:rsid w:val="00136CBE"/>
    <w:rsid w:val="00136D58"/>
    <w:rsid w:val="00140FD1"/>
    <w:rsid w:val="001413A7"/>
    <w:rsid w:val="00141669"/>
    <w:rsid w:val="001416F1"/>
    <w:rsid w:val="001433CB"/>
    <w:rsid w:val="00143F77"/>
    <w:rsid w:val="0014402F"/>
    <w:rsid w:val="00144FFC"/>
    <w:rsid w:val="00145365"/>
    <w:rsid w:val="001532BD"/>
    <w:rsid w:val="00154346"/>
    <w:rsid w:val="00154475"/>
    <w:rsid w:val="00156D9F"/>
    <w:rsid w:val="00156E77"/>
    <w:rsid w:val="00157098"/>
    <w:rsid w:val="00161EFD"/>
    <w:rsid w:val="00162625"/>
    <w:rsid w:val="00162CA7"/>
    <w:rsid w:val="00162DFA"/>
    <w:rsid w:val="001639E0"/>
    <w:rsid w:val="00164CF9"/>
    <w:rsid w:val="00166EEA"/>
    <w:rsid w:val="00167AB2"/>
    <w:rsid w:val="00170C99"/>
    <w:rsid w:val="00171EC6"/>
    <w:rsid w:val="00174BFF"/>
    <w:rsid w:val="001763E9"/>
    <w:rsid w:val="00177FDC"/>
    <w:rsid w:val="00180165"/>
    <w:rsid w:val="001801BC"/>
    <w:rsid w:val="001806CC"/>
    <w:rsid w:val="00181B01"/>
    <w:rsid w:val="00181B29"/>
    <w:rsid w:val="00182521"/>
    <w:rsid w:val="001831F8"/>
    <w:rsid w:val="00183AB6"/>
    <w:rsid w:val="001855F8"/>
    <w:rsid w:val="0018615E"/>
    <w:rsid w:val="001865CA"/>
    <w:rsid w:val="0018684F"/>
    <w:rsid w:val="001875F6"/>
    <w:rsid w:val="00190BDB"/>
    <w:rsid w:val="001927E7"/>
    <w:rsid w:val="001942DE"/>
    <w:rsid w:val="001947B6"/>
    <w:rsid w:val="0019480C"/>
    <w:rsid w:val="00194926"/>
    <w:rsid w:val="00195EA6"/>
    <w:rsid w:val="00197E07"/>
    <w:rsid w:val="001A68F7"/>
    <w:rsid w:val="001A77AB"/>
    <w:rsid w:val="001B15C8"/>
    <w:rsid w:val="001B1D7D"/>
    <w:rsid w:val="001B1F40"/>
    <w:rsid w:val="001B239E"/>
    <w:rsid w:val="001B293E"/>
    <w:rsid w:val="001B2A26"/>
    <w:rsid w:val="001B5B3B"/>
    <w:rsid w:val="001B7336"/>
    <w:rsid w:val="001B7830"/>
    <w:rsid w:val="001C037C"/>
    <w:rsid w:val="001C058B"/>
    <w:rsid w:val="001C0B9E"/>
    <w:rsid w:val="001C0E1B"/>
    <w:rsid w:val="001C19AE"/>
    <w:rsid w:val="001C2596"/>
    <w:rsid w:val="001C2900"/>
    <w:rsid w:val="001C2C83"/>
    <w:rsid w:val="001C3253"/>
    <w:rsid w:val="001C5C13"/>
    <w:rsid w:val="001C727E"/>
    <w:rsid w:val="001C7768"/>
    <w:rsid w:val="001D193D"/>
    <w:rsid w:val="001D19FF"/>
    <w:rsid w:val="001D1C2D"/>
    <w:rsid w:val="001D286E"/>
    <w:rsid w:val="001D2F07"/>
    <w:rsid w:val="001D3D0C"/>
    <w:rsid w:val="001D49EB"/>
    <w:rsid w:val="001D6825"/>
    <w:rsid w:val="001D7B0A"/>
    <w:rsid w:val="001E07E0"/>
    <w:rsid w:val="001E3E50"/>
    <w:rsid w:val="001E5882"/>
    <w:rsid w:val="001E60C2"/>
    <w:rsid w:val="001E7032"/>
    <w:rsid w:val="001F16CC"/>
    <w:rsid w:val="001F2483"/>
    <w:rsid w:val="001F3357"/>
    <w:rsid w:val="001F34E7"/>
    <w:rsid w:val="001F4F71"/>
    <w:rsid w:val="00200095"/>
    <w:rsid w:val="0020130C"/>
    <w:rsid w:val="002021E6"/>
    <w:rsid w:val="002025EF"/>
    <w:rsid w:val="002042E9"/>
    <w:rsid w:val="00204E5A"/>
    <w:rsid w:val="00206347"/>
    <w:rsid w:val="00210A09"/>
    <w:rsid w:val="00210C7B"/>
    <w:rsid w:val="002112FE"/>
    <w:rsid w:val="00211971"/>
    <w:rsid w:val="002119B2"/>
    <w:rsid w:val="0021337B"/>
    <w:rsid w:val="002136FF"/>
    <w:rsid w:val="00213FA3"/>
    <w:rsid w:val="00214437"/>
    <w:rsid w:val="002152E4"/>
    <w:rsid w:val="002155ED"/>
    <w:rsid w:val="00215EAA"/>
    <w:rsid w:val="0021665F"/>
    <w:rsid w:val="0021669A"/>
    <w:rsid w:val="00216960"/>
    <w:rsid w:val="002171B6"/>
    <w:rsid w:val="00217C83"/>
    <w:rsid w:val="00220AD9"/>
    <w:rsid w:val="00221F2F"/>
    <w:rsid w:val="0022355C"/>
    <w:rsid w:val="002249F3"/>
    <w:rsid w:val="0023157B"/>
    <w:rsid w:val="00231C4F"/>
    <w:rsid w:val="0023238C"/>
    <w:rsid w:val="002325A6"/>
    <w:rsid w:val="00232CE7"/>
    <w:rsid w:val="002352BE"/>
    <w:rsid w:val="00237FEE"/>
    <w:rsid w:val="002401F4"/>
    <w:rsid w:val="00240477"/>
    <w:rsid w:val="00240550"/>
    <w:rsid w:val="002405E2"/>
    <w:rsid w:val="00242B02"/>
    <w:rsid w:val="00246631"/>
    <w:rsid w:val="00251186"/>
    <w:rsid w:val="002524F2"/>
    <w:rsid w:val="0025319A"/>
    <w:rsid w:val="002539B4"/>
    <w:rsid w:val="002547A8"/>
    <w:rsid w:val="0025495B"/>
    <w:rsid w:val="00255DED"/>
    <w:rsid w:val="00255FF4"/>
    <w:rsid w:val="00257075"/>
    <w:rsid w:val="00260578"/>
    <w:rsid w:val="002606DA"/>
    <w:rsid w:val="00262137"/>
    <w:rsid w:val="00264176"/>
    <w:rsid w:val="00264911"/>
    <w:rsid w:val="00264A01"/>
    <w:rsid w:val="0026542D"/>
    <w:rsid w:val="00265DD3"/>
    <w:rsid w:val="0026796C"/>
    <w:rsid w:val="0027019C"/>
    <w:rsid w:val="00270826"/>
    <w:rsid w:val="002708D4"/>
    <w:rsid w:val="00272BDE"/>
    <w:rsid w:val="00273E33"/>
    <w:rsid w:val="00274901"/>
    <w:rsid w:val="0027578A"/>
    <w:rsid w:val="0027634E"/>
    <w:rsid w:val="0027643A"/>
    <w:rsid w:val="0028080A"/>
    <w:rsid w:val="002823A4"/>
    <w:rsid w:val="00282616"/>
    <w:rsid w:val="00282C9A"/>
    <w:rsid w:val="00284740"/>
    <w:rsid w:val="0029018D"/>
    <w:rsid w:val="00290D74"/>
    <w:rsid w:val="002948D3"/>
    <w:rsid w:val="002973C1"/>
    <w:rsid w:val="002A0CF3"/>
    <w:rsid w:val="002A1634"/>
    <w:rsid w:val="002A16F5"/>
    <w:rsid w:val="002A195A"/>
    <w:rsid w:val="002A3270"/>
    <w:rsid w:val="002A3CE6"/>
    <w:rsid w:val="002A5B6F"/>
    <w:rsid w:val="002A61B8"/>
    <w:rsid w:val="002A61ED"/>
    <w:rsid w:val="002A7AA6"/>
    <w:rsid w:val="002B3DF8"/>
    <w:rsid w:val="002B51EF"/>
    <w:rsid w:val="002B6F80"/>
    <w:rsid w:val="002B77EC"/>
    <w:rsid w:val="002B7ACD"/>
    <w:rsid w:val="002C0109"/>
    <w:rsid w:val="002C2854"/>
    <w:rsid w:val="002C3E10"/>
    <w:rsid w:val="002C559D"/>
    <w:rsid w:val="002C6888"/>
    <w:rsid w:val="002C7E62"/>
    <w:rsid w:val="002D1F26"/>
    <w:rsid w:val="002D215C"/>
    <w:rsid w:val="002D268A"/>
    <w:rsid w:val="002D26A0"/>
    <w:rsid w:val="002D38D1"/>
    <w:rsid w:val="002D4D41"/>
    <w:rsid w:val="002D6672"/>
    <w:rsid w:val="002D6C92"/>
    <w:rsid w:val="002D72AE"/>
    <w:rsid w:val="002E07B6"/>
    <w:rsid w:val="002E2DFB"/>
    <w:rsid w:val="002E65F0"/>
    <w:rsid w:val="002E6C59"/>
    <w:rsid w:val="002E76FF"/>
    <w:rsid w:val="002F1BA1"/>
    <w:rsid w:val="002F3BB1"/>
    <w:rsid w:val="002F65DB"/>
    <w:rsid w:val="002F7908"/>
    <w:rsid w:val="002F7E05"/>
    <w:rsid w:val="00300D4D"/>
    <w:rsid w:val="00301154"/>
    <w:rsid w:val="003016C8"/>
    <w:rsid w:val="00301F59"/>
    <w:rsid w:val="00302C49"/>
    <w:rsid w:val="00302CF9"/>
    <w:rsid w:val="00305BD2"/>
    <w:rsid w:val="00311D66"/>
    <w:rsid w:val="003142C3"/>
    <w:rsid w:val="00315175"/>
    <w:rsid w:val="00316C8B"/>
    <w:rsid w:val="00320028"/>
    <w:rsid w:val="003208FF"/>
    <w:rsid w:val="00321568"/>
    <w:rsid w:val="00321C9B"/>
    <w:rsid w:val="0032226C"/>
    <w:rsid w:val="003227D2"/>
    <w:rsid w:val="00323045"/>
    <w:rsid w:val="00323A89"/>
    <w:rsid w:val="00324D05"/>
    <w:rsid w:val="003259F5"/>
    <w:rsid w:val="00326145"/>
    <w:rsid w:val="003263A4"/>
    <w:rsid w:val="003264EC"/>
    <w:rsid w:val="003271F9"/>
    <w:rsid w:val="003272A0"/>
    <w:rsid w:val="0033094F"/>
    <w:rsid w:val="0033148B"/>
    <w:rsid w:val="003350EA"/>
    <w:rsid w:val="003364E3"/>
    <w:rsid w:val="00336DF8"/>
    <w:rsid w:val="00337770"/>
    <w:rsid w:val="00337BC9"/>
    <w:rsid w:val="00337E6F"/>
    <w:rsid w:val="003420EA"/>
    <w:rsid w:val="0034230C"/>
    <w:rsid w:val="003434D4"/>
    <w:rsid w:val="00343FD7"/>
    <w:rsid w:val="003445FF"/>
    <w:rsid w:val="003462C0"/>
    <w:rsid w:val="00346554"/>
    <w:rsid w:val="00347E76"/>
    <w:rsid w:val="0035124E"/>
    <w:rsid w:val="00351623"/>
    <w:rsid w:val="003518BE"/>
    <w:rsid w:val="00352A04"/>
    <w:rsid w:val="00352CF9"/>
    <w:rsid w:val="00354280"/>
    <w:rsid w:val="00356E75"/>
    <w:rsid w:val="00357509"/>
    <w:rsid w:val="0035794E"/>
    <w:rsid w:val="0036014D"/>
    <w:rsid w:val="00360E24"/>
    <w:rsid w:val="003615A5"/>
    <w:rsid w:val="00364015"/>
    <w:rsid w:val="00365FC6"/>
    <w:rsid w:val="00366B17"/>
    <w:rsid w:val="00366F3D"/>
    <w:rsid w:val="00367BA5"/>
    <w:rsid w:val="00370902"/>
    <w:rsid w:val="00371869"/>
    <w:rsid w:val="00371D43"/>
    <w:rsid w:val="00374871"/>
    <w:rsid w:val="00374D58"/>
    <w:rsid w:val="00375AEC"/>
    <w:rsid w:val="0038073D"/>
    <w:rsid w:val="00380EA9"/>
    <w:rsid w:val="00380FFA"/>
    <w:rsid w:val="003817AE"/>
    <w:rsid w:val="00386986"/>
    <w:rsid w:val="003874A3"/>
    <w:rsid w:val="00390BAF"/>
    <w:rsid w:val="00390DD8"/>
    <w:rsid w:val="00391680"/>
    <w:rsid w:val="00392F1E"/>
    <w:rsid w:val="0039501E"/>
    <w:rsid w:val="00397210"/>
    <w:rsid w:val="003975CE"/>
    <w:rsid w:val="003A0101"/>
    <w:rsid w:val="003A0915"/>
    <w:rsid w:val="003A42F7"/>
    <w:rsid w:val="003A4DAF"/>
    <w:rsid w:val="003A7B6F"/>
    <w:rsid w:val="003B0201"/>
    <w:rsid w:val="003B1502"/>
    <w:rsid w:val="003B1B76"/>
    <w:rsid w:val="003B2309"/>
    <w:rsid w:val="003B2C21"/>
    <w:rsid w:val="003B2C3A"/>
    <w:rsid w:val="003B33A7"/>
    <w:rsid w:val="003B3E3C"/>
    <w:rsid w:val="003B55D9"/>
    <w:rsid w:val="003B5822"/>
    <w:rsid w:val="003B5B92"/>
    <w:rsid w:val="003B6A99"/>
    <w:rsid w:val="003B7B24"/>
    <w:rsid w:val="003B7C00"/>
    <w:rsid w:val="003C1641"/>
    <w:rsid w:val="003C3157"/>
    <w:rsid w:val="003C430C"/>
    <w:rsid w:val="003C53A2"/>
    <w:rsid w:val="003C7446"/>
    <w:rsid w:val="003C7567"/>
    <w:rsid w:val="003D07F3"/>
    <w:rsid w:val="003D12A1"/>
    <w:rsid w:val="003D46B5"/>
    <w:rsid w:val="003D4CCB"/>
    <w:rsid w:val="003E0B5C"/>
    <w:rsid w:val="003E15B3"/>
    <w:rsid w:val="003E33B0"/>
    <w:rsid w:val="003E5074"/>
    <w:rsid w:val="003E53A6"/>
    <w:rsid w:val="003E5FCE"/>
    <w:rsid w:val="003E6402"/>
    <w:rsid w:val="003F09E7"/>
    <w:rsid w:val="003F0D7B"/>
    <w:rsid w:val="003F25E6"/>
    <w:rsid w:val="003F3B4E"/>
    <w:rsid w:val="003F4CE4"/>
    <w:rsid w:val="003F59AB"/>
    <w:rsid w:val="003F61EB"/>
    <w:rsid w:val="003F72EF"/>
    <w:rsid w:val="00400EE1"/>
    <w:rsid w:val="00404342"/>
    <w:rsid w:val="004048FF"/>
    <w:rsid w:val="00404E61"/>
    <w:rsid w:val="00404ED4"/>
    <w:rsid w:val="00405FCF"/>
    <w:rsid w:val="0040671E"/>
    <w:rsid w:val="004074DB"/>
    <w:rsid w:val="00411508"/>
    <w:rsid w:val="00413287"/>
    <w:rsid w:val="004145CB"/>
    <w:rsid w:val="00415C8B"/>
    <w:rsid w:val="00415D4D"/>
    <w:rsid w:val="00420384"/>
    <w:rsid w:val="00421836"/>
    <w:rsid w:val="0042242C"/>
    <w:rsid w:val="00422BDF"/>
    <w:rsid w:val="00423B38"/>
    <w:rsid w:val="00430651"/>
    <w:rsid w:val="00430768"/>
    <w:rsid w:val="00431DAB"/>
    <w:rsid w:val="004336F4"/>
    <w:rsid w:val="00434DE9"/>
    <w:rsid w:val="004358FB"/>
    <w:rsid w:val="00435FD1"/>
    <w:rsid w:val="00436B2B"/>
    <w:rsid w:val="004377E3"/>
    <w:rsid w:val="00437B17"/>
    <w:rsid w:val="0044440E"/>
    <w:rsid w:val="00444822"/>
    <w:rsid w:val="004450F6"/>
    <w:rsid w:val="0044527C"/>
    <w:rsid w:val="00446752"/>
    <w:rsid w:val="0045055B"/>
    <w:rsid w:val="004522E1"/>
    <w:rsid w:val="004523EC"/>
    <w:rsid w:val="00452CDB"/>
    <w:rsid w:val="00453BE2"/>
    <w:rsid w:val="004558BF"/>
    <w:rsid w:val="00455A03"/>
    <w:rsid w:val="004563C5"/>
    <w:rsid w:val="00457E93"/>
    <w:rsid w:val="00460493"/>
    <w:rsid w:val="00460591"/>
    <w:rsid w:val="0046180E"/>
    <w:rsid w:val="00462766"/>
    <w:rsid w:val="0046358C"/>
    <w:rsid w:val="00464A7D"/>
    <w:rsid w:val="00464AFC"/>
    <w:rsid w:val="00464F0D"/>
    <w:rsid w:val="004657CE"/>
    <w:rsid w:val="00466DA0"/>
    <w:rsid w:val="00467600"/>
    <w:rsid w:val="00467F86"/>
    <w:rsid w:val="00472321"/>
    <w:rsid w:val="00476EC0"/>
    <w:rsid w:val="004774C7"/>
    <w:rsid w:val="00480613"/>
    <w:rsid w:val="004806FD"/>
    <w:rsid w:val="00482331"/>
    <w:rsid w:val="00483AAD"/>
    <w:rsid w:val="00483B40"/>
    <w:rsid w:val="0048658D"/>
    <w:rsid w:val="00486726"/>
    <w:rsid w:val="00486880"/>
    <w:rsid w:val="004878D5"/>
    <w:rsid w:val="00487F18"/>
    <w:rsid w:val="00492C3B"/>
    <w:rsid w:val="004936ED"/>
    <w:rsid w:val="00496AF2"/>
    <w:rsid w:val="00496F67"/>
    <w:rsid w:val="00497FDB"/>
    <w:rsid w:val="004A0AE4"/>
    <w:rsid w:val="004A1466"/>
    <w:rsid w:val="004A36ED"/>
    <w:rsid w:val="004A3702"/>
    <w:rsid w:val="004A3BF2"/>
    <w:rsid w:val="004A44FE"/>
    <w:rsid w:val="004A4978"/>
    <w:rsid w:val="004A4C96"/>
    <w:rsid w:val="004A64E8"/>
    <w:rsid w:val="004A6F8C"/>
    <w:rsid w:val="004B0336"/>
    <w:rsid w:val="004B0B67"/>
    <w:rsid w:val="004B41CE"/>
    <w:rsid w:val="004B44A1"/>
    <w:rsid w:val="004B5442"/>
    <w:rsid w:val="004B56BE"/>
    <w:rsid w:val="004C05C5"/>
    <w:rsid w:val="004C3728"/>
    <w:rsid w:val="004C510E"/>
    <w:rsid w:val="004C591D"/>
    <w:rsid w:val="004C6BB2"/>
    <w:rsid w:val="004C70EF"/>
    <w:rsid w:val="004C71BC"/>
    <w:rsid w:val="004D039E"/>
    <w:rsid w:val="004D196C"/>
    <w:rsid w:val="004D2118"/>
    <w:rsid w:val="004D566B"/>
    <w:rsid w:val="004D66D9"/>
    <w:rsid w:val="004D725D"/>
    <w:rsid w:val="004D7335"/>
    <w:rsid w:val="004E0450"/>
    <w:rsid w:val="004E1985"/>
    <w:rsid w:val="004E405A"/>
    <w:rsid w:val="004E6A33"/>
    <w:rsid w:val="004E7F2D"/>
    <w:rsid w:val="004F0070"/>
    <w:rsid w:val="004F120E"/>
    <w:rsid w:val="004F1429"/>
    <w:rsid w:val="004F3B61"/>
    <w:rsid w:val="005007A3"/>
    <w:rsid w:val="005017B3"/>
    <w:rsid w:val="00501D4A"/>
    <w:rsid w:val="00502971"/>
    <w:rsid w:val="005037BD"/>
    <w:rsid w:val="005057DF"/>
    <w:rsid w:val="00507933"/>
    <w:rsid w:val="005101CB"/>
    <w:rsid w:val="00512AD1"/>
    <w:rsid w:val="005145E9"/>
    <w:rsid w:val="00516501"/>
    <w:rsid w:val="005168DD"/>
    <w:rsid w:val="005169E9"/>
    <w:rsid w:val="0051701D"/>
    <w:rsid w:val="0051748A"/>
    <w:rsid w:val="00517FD7"/>
    <w:rsid w:val="005202D0"/>
    <w:rsid w:val="005209E1"/>
    <w:rsid w:val="00520B3C"/>
    <w:rsid w:val="00521ADD"/>
    <w:rsid w:val="00522100"/>
    <w:rsid w:val="00522A3E"/>
    <w:rsid w:val="0052323E"/>
    <w:rsid w:val="00523A0A"/>
    <w:rsid w:val="00525699"/>
    <w:rsid w:val="00527064"/>
    <w:rsid w:val="005302A8"/>
    <w:rsid w:val="00531571"/>
    <w:rsid w:val="00531921"/>
    <w:rsid w:val="005326D3"/>
    <w:rsid w:val="00533779"/>
    <w:rsid w:val="005343BF"/>
    <w:rsid w:val="005355DD"/>
    <w:rsid w:val="00536DE6"/>
    <w:rsid w:val="0053748D"/>
    <w:rsid w:val="00537B64"/>
    <w:rsid w:val="005407B3"/>
    <w:rsid w:val="005407FE"/>
    <w:rsid w:val="005413FF"/>
    <w:rsid w:val="00541BFB"/>
    <w:rsid w:val="00541FF1"/>
    <w:rsid w:val="0054409A"/>
    <w:rsid w:val="0054480B"/>
    <w:rsid w:val="00545B99"/>
    <w:rsid w:val="00545E3C"/>
    <w:rsid w:val="00547CDF"/>
    <w:rsid w:val="00552BE3"/>
    <w:rsid w:val="00552C66"/>
    <w:rsid w:val="00555E7B"/>
    <w:rsid w:val="00556371"/>
    <w:rsid w:val="005565F1"/>
    <w:rsid w:val="00561141"/>
    <w:rsid w:val="005613D9"/>
    <w:rsid w:val="00561E54"/>
    <w:rsid w:val="00565E1C"/>
    <w:rsid w:val="00567EFD"/>
    <w:rsid w:val="00570009"/>
    <w:rsid w:val="00572C54"/>
    <w:rsid w:val="00572C7A"/>
    <w:rsid w:val="00573BB0"/>
    <w:rsid w:val="00573CC5"/>
    <w:rsid w:val="005748C0"/>
    <w:rsid w:val="0057770B"/>
    <w:rsid w:val="005819C3"/>
    <w:rsid w:val="00582AAF"/>
    <w:rsid w:val="00582F0D"/>
    <w:rsid w:val="0058617C"/>
    <w:rsid w:val="005863B2"/>
    <w:rsid w:val="00587565"/>
    <w:rsid w:val="005909EB"/>
    <w:rsid w:val="00590D61"/>
    <w:rsid w:val="00590EAC"/>
    <w:rsid w:val="00591BBD"/>
    <w:rsid w:val="005946EA"/>
    <w:rsid w:val="00595552"/>
    <w:rsid w:val="00597F72"/>
    <w:rsid w:val="005A0551"/>
    <w:rsid w:val="005A0688"/>
    <w:rsid w:val="005A0706"/>
    <w:rsid w:val="005A160A"/>
    <w:rsid w:val="005A1FB4"/>
    <w:rsid w:val="005A61AC"/>
    <w:rsid w:val="005A77E4"/>
    <w:rsid w:val="005B1AC6"/>
    <w:rsid w:val="005B2AD5"/>
    <w:rsid w:val="005B3017"/>
    <w:rsid w:val="005B43A2"/>
    <w:rsid w:val="005B5DC5"/>
    <w:rsid w:val="005B66F8"/>
    <w:rsid w:val="005B677A"/>
    <w:rsid w:val="005B75D3"/>
    <w:rsid w:val="005B7DF3"/>
    <w:rsid w:val="005C4508"/>
    <w:rsid w:val="005C4747"/>
    <w:rsid w:val="005C67AC"/>
    <w:rsid w:val="005C7239"/>
    <w:rsid w:val="005C7C63"/>
    <w:rsid w:val="005D09C6"/>
    <w:rsid w:val="005D1524"/>
    <w:rsid w:val="005D25A8"/>
    <w:rsid w:val="005D2C58"/>
    <w:rsid w:val="005D3751"/>
    <w:rsid w:val="005D4A1F"/>
    <w:rsid w:val="005D5F30"/>
    <w:rsid w:val="005D774B"/>
    <w:rsid w:val="005E07F7"/>
    <w:rsid w:val="005E17EC"/>
    <w:rsid w:val="005E190B"/>
    <w:rsid w:val="005E2C0C"/>
    <w:rsid w:val="005E3471"/>
    <w:rsid w:val="005E44CF"/>
    <w:rsid w:val="005E463C"/>
    <w:rsid w:val="005E50C6"/>
    <w:rsid w:val="005E57D1"/>
    <w:rsid w:val="005E64A1"/>
    <w:rsid w:val="005E7F98"/>
    <w:rsid w:val="005F0ECE"/>
    <w:rsid w:val="005F11A0"/>
    <w:rsid w:val="005F3B20"/>
    <w:rsid w:val="005F3EC4"/>
    <w:rsid w:val="005F4947"/>
    <w:rsid w:val="005F4A95"/>
    <w:rsid w:val="005F5646"/>
    <w:rsid w:val="005F60D5"/>
    <w:rsid w:val="005F61DE"/>
    <w:rsid w:val="005F66AC"/>
    <w:rsid w:val="005F74CE"/>
    <w:rsid w:val="005F7ADB"/>
    <w:rsid w:val="006004BF"/>
    <w:rsid w:val="006031EF"/>
    <w:rsid w:val="00603A06"/>
    <w:rsid w:val="00603B00"/>
    <w:rsid w:val="00603D99"/>
    <w:rsid w:val="0060551B"/>
    <w:rsid w:val="006064C0"/>
    <w:rsid w:val="00607546"/>
    <w:rsid w:val="00611D08"/>
    <w:rsid w:val="00612688"/>
    <w:rsid w:val="0061788C"/>
    <w:rsid w:val="00622DFF"/>
    <w:rsid w:val="00623F6D"/>
    <w:rsid w:val="00625863"/>
    <w:rsid w:val="00626A0C"/>
    <w:rsid w:val="00626AA2"/>
    <w:rsid w:val="00626AEB"/>
    <w:rsid w:val="00626C94"/>
    <w:rsid w:val="00626E79"/>
    <w:rsid w:val="00627F08"/>
    <w:rsid w:val="00630A5F"/>
    <w:rsid w:val="00630EE4"/>
    <w:rsid w:val="00632E23"/>
    <w:rsid w:val="006330C7"/>
    <w:rsid w:val="00635294"/>
    <w:rsid w:val="00635A2F"/>
    <w:rsid w:val="00636588"/>
    <w:rsid w:val="006375D8"/>
    <w:rsid w:val="00637BE9"/>
    <w:rsid w:val="00641FB9"/>
    <w:rsid w:val="00642F1C"/>
    <w:rsid w:val="006431A2"/>
    <w:rsid w:val="0064379D"/>
    <w:rsid w:val="00643CA5"/>
    <w:rsid w:val="00645EA6"/>
    <w:rsid w:val="0064604F"/>
    <w:rsid w:val="00646835"/>
    <w:rsid w:val="006473F6"/>
    <w:rsid w:val="00647EE1"/>
    <w:rsid w:val="00650F2E"/>
    <w:rsid w:val="00651715"/>
    <w:rsid w:val="00651FC3"/>
    <w:rsid w:val="006520D9"/>
    <w:rsid w:val="0065278A"/>
    <w:rsid w:val="00652C06"/>
    <w:rsid w:val="00653146"/>
    <w:rsid w:val="00653FA4"/>
    <w:rsid w:val="006557B4"/>
    <w:rsid w:val="00655ACB"/>
    <w:rsid w:val="00655B60"/>
    <w:rsid w:val="00655CF0"/>
    <w:rsid w:val="00656332"/>
    <w:rsid w:val="006566E4"/>
    <w:rsid w:val="006579CF"/>
    <w:rsid w:val="00660912"/>
    <w:rsid w:val="00660987"/>
    <w:rsid w:val="00660BC2"/>
    <w:rsid w:val="006661DE"/>
    <w:rsid w:val="00667F99"/>
    <w:rsid w:val="006703AD"/>
    <w:rsid w:val="0067106A"/>
    <w:rsid w:val="00671DCD"/>
    <w:rsid w:val="00672FCC"/>
    <w:rsid w:val="006730D4"/>
    <w:rsid w:val="00673409"/>
    <w:rsid w:val="00673515"/>
    <w:rsid w:val="00673CA7"/>
    <w:rsid w:val="0067408D"/>
    <w:rsid w:val="00674C93"/>
    <w:rsid w:val="00674F91"/>
    <w:rsid w:val="00675524"/>
    <w:rsid w:val="0067602F"/>
    <w:rsid w:val="006779BC"/>
    <w:rsid w:val="00677FCF"/>
    <w:rsid w:val="006801DB"/>
    <w:rsid w:val="00680DDD"/>
    <w:rsid w:val="006828DA"/>
    <w:rsid w:val="00682B6F"/>
    <w:rsid w:val="00682C48"/>
    <w:rsid w:val="00682C5D"/>
    <w:rsid w:val="006844E4"/>
    <w:rsid w:val="00687586"/>
    <w:rsid w:val="00690CEE"/>
    <w:rsid w:val="00691BAC"/>
    <w:rsid w:val="00692BA2"/>
    <w:rsid w:val="0069312F"/>
    <w:rsid w:val="006931F4"/>
    <w:rsid w:val="00693E26"/>
    <w:rsid w:val="0069404C"/>
    <w:rsid w:val="00694F8D"/>
    <w:rsid w:val="0069570B"/>
    <w:rsid w:val="006961F6"/>
    <w:rsid w:val="00696481"/>
    <w:rsid w:val="00697574"/>
    <w:rsid w:val="006A0434"/>
    <w:rsid w:val="006A06A2"/>
    <w:rsid w:val="006A1AC9"/>
    <w:rsid w:val="006A254A"/>
    <w:rsid w:val="006A2F8C"/>
    <w:rsid w:val="006A5800"/>
    <w:rsid w:val="006A647B"/>
    <w:rsid w:val="006A65D3"/>
    <w:rsid w:val="006A6712"/>
    <w:rsid w:val="006A6B0C"/>
    <w:rsid w:val="006A6F30"/>
    <w:rsid w:val="006A7306"/>
    <w:rsid w:val="006B0A53"/>
    <w:rsid w:val="006B2267"/>
    <w:rsid w:val="006B2D28"/>
    <w:rsid w:val="006B4983"/>
    <w:rsid w:val="006B4E61"/>
    <w:rsid w:val="006B5F01"/>
    <w:rsid w:val="006B6C13"/>
    <w:rsid w:val="006C0BA6"/>
    <w:rsid w:val="006C2716"/>
    <w:rsid w:val="006C27DA"/>
    <w:rsid w:val="006C29E7"/>
    <w:rsid w:val="006C3571"/>
    <w:rsid w:val="006C3717"/>
    <w:rsid w:val="006C47F3"/>
    <w:rsid w:val="006C543C"/>
    <w:rsid w:val="006C639F"/>
    <w:rsid w:val="006C657A"/>
    <w:rsid w:val="006C698B"/>
    <w:rsid w:val="006C6B72"/>
    <w:rsid w:val="006C7396"/>
    <w:rsid w:val="006C764F"/>
    <w:rsid w:val="006C7C3A"/>
    <w:rsid w:val="006C7D5D"/>
    <w:rsid w:val="006D0214"/>
    <w:rsid w:val="006D1064"/>
    <w:rsid w:val="006D13E1"/>
    <w:rsid w:val="006D1FBB"/>
    <w:rsid w:val="006D31DF"/>
    <w:rsid w:val="006D3701"/>
    <w:rsid w:val="006D3E96"/>
    <w:rsid w:val="006D4649"/>
    <w:rsid w:val="006D53BB"/>
    <w:rsid w:val="006D693E"/>
    <w:rsid w:val="006D6B04"/>
    <w:rsid w:val="006D7954"/>
    <w:rsid w:val="006E20D2"/>
    <w:rsid w:val="006E35CF"/>
    <w:rsid w:val="006E36AD"/>
    <w:rsid w:val="006E4CD4"/>
    <w:rsid w:val="006E6F05"/>
    <w:rsid w:val="006F3207"/>
    <w:rsid w:val="006F430E"/>
    <w:rsid w:val="006F46F5"/>
    <w:rsid w:val="006F65D4"/>
    <w:rsid w:val="006F7D7D"/>
    <w:rsid w:val="00700210"/>
    <w:rsid w:val="00700DBE"/>
    <w:rsid w:val="007014CD"/>
    <w:rsid w:val="00702635"/>
    <w:rsid w:val="00704A7B"/>
    <w:rsid w:val="007063B5"/>
    <w:rsid w:val="00707291"/>
    <w:rsid w:val="00707937"/>
    <w:rsid w:val="0071089E"/>
    <w:rsid w:val="00712E08"/>
    <w:rsid w:val="00713F52"/>
    <w:rsid w:val="00714351"/>
    <w:rsid w:val="0071521B"/>
    <w:rsid w:val="00716C52"/>
    <w:rsid w:val="0071756D"/>
    <w:rsid w:val="0072022A"/>
    <w:rsid w:val="00720854"/>
    <w:rsid w:val="00720B40"/>
    <w:rsid w:val="00721AC6"/>
    <w:rsid w:val="00721AF6"/>
    <w:rsid w:val="007222CD"/>
    <w:rsid w:val="007222F7"/>
    <w:rsid w:val="00722A24"/>
    <w:rsid w:val="0072313A"/>
    <w:rsid w:val="007240F9"/>
    <w:rsid w:val="00724910"/>
    <w:rsid w:val="00725E5D"/>
    <w:rsid w:val="0072618E"/>
    <w:rsid w:val="00731886"/>
    <w:rsid w:val="0073216C"/>
    <w:rsid w:val="007321AA"/>
    <w:rsid w:val="0073225D"/>
    <w:rsid w:val="00732FAE"/>
    <w:rsid w:val="0073311C"/>
    <w:rsid w:val="00734938"/>
    <w:rsid w:val="0073683B"/>
    <w:rsid w:val="0073737E"/>
    <w:rsid w:val="00737C15"/>
    <w:rsid w:val="0074089D"/>
    <w:rsid w:val="007414DF"/>
    <w:rsid w:val="00741F29"/>
    <w:rsid w:val="007424BC"/>
    <w:rsid w:val="00743E24"/>
    <w:rsid w:val="00745655"/>
    <w:rsid w:val="0074601E"/>
    <w:rsid w:val="007465AF"/>
    <w:rsid w:val="00746C61"/>
    <w:rsid w:val="00747202"/>
    <w:rsid w:val="0074781F"/>
    <w:rsid w:val="00750D09"/>
    <w:rsid w:val="00750DB6"/>
    <w:rsid w:val="00752F4E"/>
    <w:rsid w:val="00754188"/>
    <w:rsid w:val="00754C0C"/>
    <w:rsid w:val="00754D38"/>
    <w:rsid w:val="00757316"/>
    <w:rsid w:val="0075777B"/>
    <w:rsid w:val="00757B7E"/>
    <w:rsid w:val="00760CA4"/>
    <w:rsid w:val="00762657"/>
    <w:rsid w:val="0076375F"/>
    <w:rsid w:val="00764A5E"/>
    <w:rsid w:val="00764EF0"/>
    <w:rsid w:val="00765913"/>
    <w:rsid w:val="00765920"/>
    <w:rsid w:val="00767947"/>
    <w:rsid w:val="007708CF"/>
    <w:rsid w:val="00771BC7"/>
    <w:rsid w:val="00771F3D"/>
    <w:rsid w:val="00772742"/>
    <w:rsid w:val="00773221"/>
    <w:rsid w:val="0077332B"/>
    <w:rsid w:val="00773351"/>
    <w:rsid w:val="0077796C"/>
    <w:rsid w:val="0078215B"/>
    <w:rsid w:val="00782746"/>
    <w:rsid w:val="00784591"/>
    <w:rsid w:val="00784ECD"/>
    <w:rsid w:val="00785888"/>
    <w:rsid w:val="00786B33"/>
    <w:rsid w:val="0079353F"/>
    <w:rsid w:val="007943A2"/>
    <w:rsid w:val="007969A0"/>
    <w:rsid w:val="00796F59"/>
    <w:rsid w:val="007A143D"/>
    <w:rsid w:val="007A16D9"/>
    <w:rsid w:val="007A1FDE"/>
    <w:rsid w:val="007A2957"/>
    <w:rsid w:val="007A34E4"/>
    <w:rsid w:val="007A361B"/>
    <w:rsid w:val="007A4396"/>
    <w:rsid w:val="007A44DB"/>
    <w:rsid w:val="007A4733"/>
    <w:rsid w:val="007B1317"/>
    <w:rsid w:val="007B14FC"/>
    <w:rsid w:val="007B2BC3"/>
    <w:rsid w:val="007B3330"/>
    <w:rsid w:val="007B3F30"/>
    <w:rsid w:val="007B4ECA"/>
    <w:rsid w:val="007B5BD5"/>
    <w:rsid w:val="007C03A4"/>
    <w:rsid w:val="007C1AB6"/>
    <w:rsid w:val="007C1BB3"/>
    <w:rsid w:val="007C1E22"/>
    <w:rsid w:val="007C2F8A"/>
    <w:rsid w:val="007C43AD"/>
    <w:rsid w:val="007C4B33"/>
    <w:rsid w:val="007C512C"/>
    <w:rsid w:val="007C55F5"/>
    <w:rsid w:val="007C631A"/>
    <w:rsid w:val="007C6D0A"/>
    <w:rsid w:val="007C7094"/>
    <w:rsid w:val="007D2A30"/>
    <w:rsid w:val="007D3312"/>
    <w:rsid w:val="007D3A1F"/>
    <w:rsid w:val="007D4550"/>
    <w:rsid w:val="007D4F38"/>
    <w:rsid w:val="007D545E"/>
    <w:rsid w:val="007D64BA"/>
    <w:rsid w:val="007D6930"/>
    <w:rsid w:val="007D7EBF"/>
    <w:rsid w:val="007E18C2"/>
    <w:rsid w:val="007E3005"/>
    <w:rsid w:val="007E573F"/>
    <w:rsid w:val="007E6133"/>
    <w:rsid w:val="007F05CB"/>
    <w:rsid w:val="007F0919"/>
    <w:rsid w:val="007F0D35"/>
    <w:rsid w:val="007F24A5"/>
    <w:rsid w:val="007F27FB"/>
    <w:rsid w:val="007F3174"/>
    <w:rsid w:val="007F4269"/>
    <w:rsid w:val="007F45B1"/>
    <w:rsid w:val="007F5334"/>
    <w:rsid w:val="007F64AB"/>
    <w:rsid w:val="007F6B2E"/>
    <w:rsid w:val="00800E20"/>
    <w:rsid w:val="00801E2C"/>
    <w:rsid w:val="00801E3F"/>
    <w:rsid w:val="00801F3A"/>
    <w:rsid w:val="00801FA7"/>
    <w:rsid w:val="008041C6"/>
    <w:rsid w:val="00805CE0"/>
    <w:rsid w:val="008062CF"/>
    <w:rsid w:val="008066A5"/>
    <w:rsid w:val="00806ED2"/>
    <w:rsid w:val="00807974"/>
    <w:rsid w:val="00807B59"/>
    <w:rsid w:val="00810279"/>
    <w:rsid w:val="00814337"/>
    <w:rsid w:val="00814E31"/>
    <w:rsid w:val="00814F49"/>
    <w:rsid w:val="00815EA8"/>
    <w:rsid w:val="00815FE6"/>
    <w:rsid w:val="00816A8C"/>
    <w:rsid w:val="0082245F"/>
    <w:rsid w:val="0082328F"/>
    <w:rsid w:val="008247D1"/>
    <w:rsid w:val="0082567A"/>
    <w:rsid w:val="00825CAB"/>
    <w:rsid w:val="0082759C"/>
    <w:rsid w:val="00827E8E"/>
    <w:rsid w:val="00827ED5"/>
    <w:rsid w:val="00830E11"/>
    <w:rsid w:val="00835645"/>
    <w:rsid w:val="00836BCE"/>
    <w:rsid w:val="008422A0"/>
    <w:rsid w:val="00843811"/>
    <w:rsid w:val="00843B43"/>
    <w:rsid w:val="0084652A"/>
    <w:rsid w:val="00847F07"/>
    <w:rsid w:val="00847F50"/>
    <w:rsid w:val="00847FFB"/>
    <w:rsid w:val="00850D3B"/>
    <w:rsid w:val="00851408"/>
    <w:rsid w:val="00851C18"/>
    <w:rsid w:val="00853D93"/>
    <w:rsid w:val="00853DFB"/>
    <w:rsid w:val="00854080"/>
    <w:rsid w:val="00854412"/>
    <w:rsid w:val="00854F2F"/>
    <w:rsid w:val="00855B0E"/>
    <w:rsid w:val="008561D0"/>
    <w:rsid w:val="00856D47"/>
    <w:rsid w:val="00861D12"/>
    <w:rsid w:val="00861E84"/>
    <w:rsid w:val="008624B8"/>
    <w:rsid w:val="008624BA"/>
    <w:rsid w:val="00862A60"/>
    <w:rsid w:val="00862EB5"/>
    <w:rsid w:val="0086387B"/>
    <w:rsid w:val="0086392B"/>
    <w:rsid w:val="00865A15"/>
    <w:rsid w:val="008665F5"/>
    <w:rsid w:val="00866633"/>
    <w:rsid w:val="00866CF3"/>
    <w:rsid w:val="008670DC"/>
    <w:rsid w:val="00871478"/>
    <w:rsid w:val="008718AF"/>
    <w:rsid w:val="00873D3B"/>
    <w:rsid w:val="00874327"/>
    <w:rsid w:val="0087499C"/>
    <w:rsid w:val="0087521C"/>
    <w:rsid w:val="008766CE"/>
    <w:rsid w:val="0088114B"/>
    <w:rsid w:val="00882290"/>
    <w:rsid w:val="00883735"/>
    <w:rsid w:val="0088406E"/>
    <w:rsid w:val="008858C2"/>
    <w:rsid w:val="008864CA"/>
    <w:rsid w:val="00891CB7"/>
    <w:rsid w:val="00894132"/>
    <w:rsid w:val="0089459F"/>
    <w:rsid w:val="00894EFA"/>
    <w:rsid w:val="008950E5"/>
    <w:rsid w:val="008951AC"/>
    <w:rsid w:val="00896322"/>
    <w:rsid w:val="0089748A"/>
    <w:rsid w:val="008A02E9"/>
    <w:rsid w:val="008A0EA2"/>
    <w:rsid w:val="008A28BC"/>
    <w:rsid w:val="008A3012"/>
    <w:rsid w:val="008A4413"/>
    <w:rsid w:val="008A5E7B"/>
    <w:rsid w:val="008A6BD4"/>
    <w:rsid w:val="008A6E9B"/>
    <w:rsid w:val="008B0016"/>
    <w:rsid w:val="008B0177"/>
    <w:rsid w:val="008B0F41"/>
    <w:rsid w:val="008B11CE"/>
    <w:rsid w:val="008B1D98"/>
    <w:rsid w:val="008B4BFA"/>
    <w:rsid w:val="008B5011"/>
    <w:rsid w:val="008B59DC"/>
    <w:rsid w:val="008B6F97"/>
    <w:rsid w:val="008C0D11"/>
    <w:rsid w:val="008C1A0A"/>
    <w:rsid w:val="008C2973"/>
    <w:rsid w:val="008C43F7"/>
    <w:rsid w:val="008C4F44"/>
    <w:rsid w:val="008C6774"/>
    <w:rsid w:val="008C6952"/>
    <w:rsid w:val="008C7364"/>
    <w:rsid w:val="008C7467"/>
    <w:rsid w:val="008D0D19"/>
    <w:rsid w:val="008D13F3"/>
    <w:rsid w:val="008D2FB5"/>
    <w:rsid w:val="008D36DB"/>
    <w:rsid w:val="008D5EA9"/>
    <w:rsid w:val="008D6AC6"/>
    <w:rsid w:val="008D7C94"/>
    <w:rsid w:val="008E4BC0"/>
    <w:rsid w:val="008E6E9E"/>
    <w:rsid w:val="008E6F2A"/>
    <w:rsid w:val="008E7248"/>
    <w:rsid w:val="008E7569"/>
    <w:rsid w:val="008F087B"/>
    <w:rsid w:val="008F11D1"/>
    <w:rsid w:val="008F1D95"/>
    <w:rsid w:val="008F23DF"/>
    <w:rsid w:val="008F39A2"/>
    <w:rsid w:val="008F4AD9"/>
    <w:rsid w:val="008F53A8"/>
    <w:rsid w:val="008F612D"/>
    <w:rsid w:val="008F61A7"/>
    <w:rsid w:val="008F70D7"/>
    <w:rsid w:val="009002C4"/>
    <w:rsid w:val="00900989"/>
    <w:rsid w:val="0090187C"/>
    <w:rsid w:val="00904C20"/>
    <w:rsid w:val="00905291"/>
    <w:rsid w:val="00905DA4"/>
    <w:rsid w:val="00907A63"/>
    <w:rsid w:val="00911D9B"/>
    <w:rsid w:val="00912109"/>
    <w:rsid w:val="00912E26"/>
    <w:rsid w:val="00914890"/>
    <w:rsid w:val="00914A87"/>
    <w:rsid w:val="009166B8"/>
    <w:rsid w:val="00917739"/>
    <w:rsid w:val="00917E47"/>
    <w:rsid w:val="00920E06"/>
    <w:rsid w:val="00922715"/>
    <w:rsid w:val="009232BA"/>
    <w:rsid w:val="00923514"/>
    <w:rsid w:val="009243BE"/>
    <w:rsid w:val="00924A9C"/>
    <w:rsid w:val="009257BC"/>
    <w:rsid w:val="00925F4C"/>
    <w:rsid w:val="009262A5"/>
    <w:rsid w:val="0092748E"/>
    <w:rsid w:val="00927520"/>
    <w:rsid w:val="00927AC4"/>
    <w:rsid w:val="00930A0B"/>
    <w:rsid w:val="00931110"/>
    <w:rsid w:val="009339C5"/>
    <w:rsid w:val="009345F6"/>
    <w:rsid w:val="00934748"/>
    <w:rsid w:val="00934D66"/>
    <w:rsid w:val="00935C54"/>
    <w:rsid w:val="00942117"/>
    <w:rsid w:val="009452F9"/>
    <w:rsid w:val="009462B5"/>
    <w:rsid w:val="00947E82"/>
    <w:rsid w:val="00951216"/>
    <w:rsid w:val="0095205F"/>
    <w:rsid w:val="009540AF"/>
    <w:rsid w:val="00954F7A"/>
    <w:rsid w:val="00957543"/>
    <w:rsid w:val="00957C7C"/>
    <w:rsid w:val="00960ECB"/>
    <w:rsid w:val="009612C7"/>
    <w:rsid w:val="00961DDA"/>
    <w:rsid w:val="00962016"/>
    <w:rsid w:val="00962A54"/>
    <w:rsid w:val="00962BBC"/>
    <w:rsid w:val="00962CC0"/>
    <w:rsid w:val="00965808"/>
    <w:rsid w:val="00966127"/>
    <w:rsid w:val="009674C7"/>
    <w:rsid w:val="009701FC"/>
    <w:rsid w:val="009711DF"/>
    <w:rsid w:val="0097266A"/>
    <w:rsid w:val="00973494"/>
    <w:rsid w:val="00974D4E"/>
    <w:rsid w:val="00974ED6"/>
    <w:rsid w:val="00975593"/>
    <w:rsid w:val="00975A57"/>
    <w:rsid w:val="009777D6"/>
    <w:rsid w:val="009803C4"/>
    <w:rsid w:val="009805E9"/>
    <w:rsid w:val="0098068D"/>
    <w:rsid w:val="00981F6C"/>
    <w:rsid w:val="009831D0"/>
    <w:rsid w:val="00983991"/>
    <w:rsid w:val="009857AC"/>
    <w:rsid w:val="00992305"/>
    <w:rsid w:val="00992A7B"/>
    <w:rsid w:val="009942BA"/>
    <w:rsid w:val="00994DC8"/>
    <w:rsid w:val="009959B9"/>
    <w:rsid w:val="00995B6F"/>
    <w:rsid w:val="00995E53"/>
    <w:rsid w:val="009963C6"/>
    <w:rsid w:val="00996EB2"/>
    <w:rsid w:val="00996F0E"/>
    <w:rsid w:val="00996F74"/>
    <w:rsid w:val="009A05ED"/>
    <w:rsid w:val="009A1DEB"/>
    <w:rsid w:val="009A3035"/>
    <w:rsid w:val="009A4464"/>
    <w:rsid w:val="009A5655"/>
    <w:rsid w:val="009A6525"/>
    <w:rsid w:val="009A6841"/>
    <w:rsid w:val="009A71CB"/>
    <w:rsid w:val="009A78C5"/>
    <w:rsid w:val="009A7F71"/>
    <w:rsid w:val="009B16B4"/>
    <w:rsid w:val="009B2D8F"/>
    <w:rsid w:val="009B3174"/>
    <w:rsid w:val="009B3B9B"/>
    <w:rsid w:val="009B3C97"/>
    <w:rsid w:val="009B4821"/>
    <w:rsid w:val="009B484C"/>
    <w:rsid w:val="009B53AE"/>
    <w:rsid w:val="009B625E"/>
    <w:rsid w:val="009C0B50"/>
    <w:rsid w:val="009C1586"/>
    <w:rsid w:val="009C1619"/>
    <w:rsid w:val="009C3932"/>
    <w:rsid w:val="009C50D7"/>
    <w:rsid w:val="009C7041"/>
    <w:rsid w:val="009D044E"/>
    <w:rsid w:val="009D09E2"/>
    <w:rsid w:val="009D4ED3"/>
    <w:rsid w:val="009D54A4"/>
    <w:rsid w:val="009D57C5"/>
    <w:rsid w:val="009D6223"/>
    <w:rsid w:val="009D66CC"/>
    <w:rsid w:val="009E20B0"/>
    <w:rsid w:val="009E4094"/>
    <w:rsid w:val="009E42C3"/>
    <w:rsid w:val="009E4309"/>
    <w:rsid w:val="009E641F"/>
    <w:rsid w:val="009E689D"/>
    <w:rsid w:val="009E7638"/>
    <w:rsid w:val="009E7FF9"/>
    <w:rsid w:val="009F077E"/>
    <w:rsid w:val="009F2A8D"/>
    <w:rsid w:val="009F315D"/>
    <w:rsid w:val="009F3E31"/>
    <w:rsid w:val="009F4FB4"/>
    <w:rsid w:val="009F5BD0"/>
    <w:rsid w:val="009F5E7F"/>
    <w:rsid w:val="009F6992"/>
    <w:rsid w:val="009F726C"/>
    <w:rsid w:val="009F795B"/>
    <w:rsid w:val="009F7BD1"/>
    <w:rsid w:val="009F7EF5"/>
    <w:rsid w:val="00A00402"/>
    <w:rsid w:val="00A00C3E"/>
    <w:rsid w:val="00A01364"/>
    <w:rsid w:val="00A0163A"/>
    <w:rsid w:val="00A017F0"/>
    <w:rsid w:val="00A0184F"/>
    <w:rsid w:val="00A0201D"/>
    <w:rsid w:val="00A0404A"/>
    <w:rsid w:val="00A04967"/>
    <w:rsid w:val="00A06FF3"/>
    <w:rsid w:val="00A07FDD"/>
    <w:rsid w:val="00A10E17"/>
    <w:rsid w:val="00A11EA3"/>
    <w:rsid w:val="00A12672"/>
    <w:rsid w:val="00A12BF5"/>
    <w:rsid w:val="00A15629"/>
    <w:rsid w:val="00A17464"/>
    <w:rsid w:val="00A201D0"/>
    <w:rsid w:val="00A2417B"/>
    <w:rsid w:val="00A26588"/>
    <w:rsid w:val="00A266A1"/>
    <w:rsid w:val="00A27489"/>
    <w:rsid w:val="00A2782E"/>
    <w:rsid w:val="00A3217E"/>
    <w:rsid w:val="00A330C6"/>
    <w:rsid w:val="00A3325B"/>
    <w:rsid w:val="00A3561A"/>
    <w:rsid w:val="00A41619"/>
    <w:rsid w:val="00A433C1"/>
    <w:rsid w:val="00A4366F"/>
    <w:rsid w:val="00A476D4"/>
    <w:rsid w:val="00A47F83"/>
    <w:rsid w:val="00A51977"/>
    <w:rsid w:val="00A524CB"/>
    <w:rsid w:val="00A524D1"/>
    <w:rsid w:val="00A52FB2"/>
    <w:rsid w:val="00A55012"/>
    <w:rsid w:val="00A551DA"/>
    <w:rsid w:val="00A55C51"/>
    <w:rsid w:val="00A56C84"/>
    <w:rsid w:val="00A56DC9"/>
    <w:rsid w:val="00A57F26"/>
    <w:rsid w:val="00A60FFF"/>
    <w:rsid w:val="00A62B1A"/>
    <w:rsid w:val="00A62F18"/>
    <w:rsid w:val="00A65EAA"/>
    <w:rsid w:val="00A669AF"/>
    <w:rsid w:val="00A70553"/>
    <w:rsid w:val="00A7158B"/>
    <w:rsid w:val="00A719A8"/>
    <w:rsid w:val="00A7275E"/>
    <w:rsid w:val="00A72F53"/>
    <w:rsid w:val="00A73FDE"/>
    <w:rsid w:val="00A74402"/>
    <w:rsid w:val="00A74622"/>
    <w:rsid w:val="00A75E7A"/>
    <w:rsid w:val="00A7722A"/>
    <w:rsid w:val="00A81D58"/>
    <w:rsid w:val="00A82B38"/>
    <w:rsid w:val="00A82D58"/>
    <w:rsid w:val="00A8324A"/>
    <w:rsid w:val="00A845C8"/>
    <w:rsid w:val="00A849FF"/>
    <w:rsid w:val="00A84F2F"/>
    <w:rsid w:val="00A90AAF"/>
    <w:rsid w:val="00A9195E"/>
    <w:rsid w:val="00A9201B"/>
    <w:rsid w:val="00A9280F"/>
    <w:rsid w:val="00A938C6"/>
    <w:rsid w:val="00A94026"/>
    <w:rsid w:val="00A94636"/>
    <w:rsid w:val="00A9777F"/>
    <w:rsid w:val="00AA0ED7"/>
    <w:rsid w:val="00AA17D2"/>
    <w:rsid w:val="00AA2ECC"/>
    <w:rsid w:val="00AA3320"/>
    <w:rsid w:val="00AA535B"/>
    <w:rsid w:val="00AA5AB7"/>
    <w:rsid w:val="00AA5F79"/>
    <w:rsid w:val="00AB161A"/>
    <w:rsid w:val="00AB3D6C"/>
    <w:rsid w:val="00AB6337"/>
    <w:rsid w:val="00AB6961"/>
    <w:rsid w:val="00AC105D"/>
    <w:rsid w:val="00AC1D65"/>
    <w:rsid w:val="00AC4269"/>
    <w:rsid w:val="00AC51DA"/>
    <w:rsid w:val="00AC5EEF"/>
    <w:rsid w:val="00AD1AC1"/>
    <w:rsid w:val="00AD1C79"/>
    <w:rsid w:val="00AD3599"/>
    <w:rsid w:val="00AD38CE"/>
    <w:rsid w:val="00AD398C"/>
    <w:rsid w:val="00AD4086"/>
    <w:rsid w:val="00AD47D5"/>
    <w:rsid w:val="00AD4BDB"/>
    <w:rsid w:val="00AD6B94"/>
    <w:rsid w:val="00AE01A4"/>
    <w:rsid w:val="00AE0D59"/>
    <w:rsid w:val="00AE2EDB"/>
    <w:rsid w:val="00AE394B"/>
    <w:rsid w:val="00AE3F0B"/>
    <w:rsid w:val="00AE4524"/>
    <w:rsid w:val="00AE4A35"/>
    <w:rsid w:val="00AF2285"/>
    <w:rsid w:val="00AF3D43"/>
    <w:rsid w:val="00AF4804"/>
    <w:rsid w:val="00AF4D25"/>
    <w:rsid w:val="00AF4D93"/>
    <w:rsid w:val="00B00896"/>
    <w:rsid w:val="00B01C38"/>
    <w:rsid w:val="00B033DC"/>
    <w:rsid w:val="00B03424"/>
    <w:rsid w:val="00B04A77"/>
    <w:rsid w:val="00B06BEE"/>
    <w:rsid w:val="00B06E17"/>
    <w:rsid w:val="00B119B0"/>
    <w:rsid w:val="00B12EFE"/>
    <w:rsid w:val="00B134A2"/>
    <w:rsid w:val="00B13EA2"/>
    <w:rsid w:val="00B17153"/>
    <w:rsid w:val="00B17AF6"/>
    <w:rsid w:val="00B200C1"/>
    <w:rsid w:val="00B204E2"/>
    <w:rsid w:val="00B2112F"/>
    <w:rsid w:val="00B22D1D"/>
    <w:rsid w:val="00B23118"/>
    <w:rsid w:val="00B23503"/>
    <w:rsid w:val="00B23F95"/>
    <w:rsid w:val="00B25221"/>
    <w:rsid w:val="00B255CB"/>
    <w:rsid w:val="00B27E55"/>
    <w:rsid w:val="00B30330"/>
    <w:rsid w:val="00B30948"/>
    <w:rsid w:val="00B30CF4"/>
    <w:rsid w:val="00B31E78"/>
    <w:rsid w:val="00B33A12"/>
    <w:rsid w:val="00B34EF4"/>
    <w:rsid w:val="00B35973"/>
    <w:rsid w:val="00B36684"/>
    <w:rsid w:val="00B37A87"/>
    <w:rsid w:val="00B37AE7"/>
    <w:rsid w:val="00B40C99"/>
    <w:rsid w:val="00B41479"/>
    <w:rsid w:val="00B4353D"/>
    <w:rsid w:val="00B43E3E"/>
    <w:rsid w:val="00B45B06"/>
    <w:rsid w:val="00B45D2B"/>
    <w:rsid w:val="00B462C0"/>
    <w:rsid w:val="00B4722D"/>
    <w:rsid w:val="00B5253E"/>
    <w:rsid w:val="00B52A25"/>
    <w:rsid w:val="00B53A92"/>
    <w:rsid w:val="00B54BE2"/>
    <w:rsid w:val="00B54DE7"/>
    <w:rsid w:val="00B569D2"/>
    <w:rsid w:val="00B61FB3"/>
    <w:rsid w:val="00B625FA"/>
    <w:rsid w:val="00B64E97"/>
    <w:rsid w:val="00B65F23"/>
    <w:rsid w:val="00B66628"/>
    <w:rsid w:val="00B6690D"/>
    <w:rsid w:val="00B66955"/>
    <w:rsid w:val="00B67705"/>
    <w:rsid w:val="00B7320D"/>
    <w:rsid w:val="00B7531C"/>
    <w:rsid w:val="00B76138"/>
    <w:rsid w:val="00B77481"/>
    <w:rsid w:val="00B77854"/>
    <w:rsid w:val="00B8103A"/>
    <w:rsid w:val="00B82215"/>
    <w:rsid w:val="00B82D20"/>
    <w:rsid w:val="00B83B4C"/>
    <w:rsid w:val="00B8427B"/>
    <w:rsid w:val="00B8583F"/>
    <w:rsid w:val="00B86221"/>
    <w:rsid w:val="00B87557"/>
    <w:rsid w:val="00B8772A"/>
    <w:rsid w:val="00B9157F"/>
    <w:rsid w:val="00B92B00"/>
    <w:rsid w:val="00B93F07"/>
    <w:rsid w:val="00B9520B"/>
    <w:rsid w:val="00B9676E"/>
    <w:rsid w:val="00B96AD1"/>
    <w:rsid w:val="00BA3C79"/>
    <w:rsid w:val="00BA4F13"/>
    <w:rsid w:val="00BA62A1"/>
    <w:rsid w:val="00BA7A29"/>
    <w:rsid w:val="00BA7A3F"/>
    <w:rsid w:val="00BB3DFA"/>
    <w:rsid w:val="00BB58D6"/>
    <w:rsid w:val="00BB664C"/>
    <w:rsid w:val="00BC085F"/>
    <w:rsid w:val="00BC0939"/>
    <w:rsid w:val="00BC120B"/>
    <w:rsid w:val="00BC15D2"/>
    <w:rsid w:val="00BC3169"/>
    <w:rsid w:val="00BC45B5"/>
    <w:rsid w:val="00BC45E3"/>
    <w:rsid w:val="00BC5E8D"/>
    <w:rsid w:val="00BC640A"/>
    <w:rsid w:val="00BC774E"/>
    <w:rsid w:val="00BD090D"/>
    <w:rsid w:val="00BD0B18"/>
    <w:rsid w:val="00BD0BCA"/>
    <w:rsid w:val="00BD11D1"/>
    <w:rsid w:val="00BD2133"/>
    <w:rsid w:val="00BD2FA5"/>
    <w:rsid w:val="00BD495A"/>
    <w:rsid w:val="00BD4C96"/>
    <w:rsid w:val="00BD4DB6"/>
    <w:rsid w:val="00BD603A"/>
    <w:rsid w:val="00BD6C5D"/>
    <w:rsid w:val="00BE0710"/>
    <w:rsid w:val="00BE0DBF"/>
    <w:rsid w:val="00BE2CB8"/>
    <w:rsid w:val="00BE2F1C"/>
    <w:rsid w:val="00BE30AA"/>
    <w:rsid w:val="00BE319A"/>
    <w:rsid w:val="00BE3736"/>
    <w:rsid w:val="00BE41E9"/>
    <w:rsid w:val="00BE4DC5"/>
    <w:rsid w:val="00BE5405"/>
    <w:rsid w:val="00BE6224"/>
    <w:rsid w:val="00BE696A"/>
    <w:rsid w:val="00BE6C2E"/>
    <w:rsid w:val="00BF0E2C"/>
    <w:rsid w:val="00BF24F0"/>
    <w:rsid w:val="00BF2702"/>
    <w:rsid w:val="00BF27C1"/>
    <w:rsid w:val="00BF37B1"/>
    <w:rsid w:val="00BF3D9B"/>
    <w:rsid w:val="00BF4F18"/>
    <w:rsid w:val="00BF5BC3"/>
    <w:rsid w:val="00BF7068"/>
    <w:rsid w:val="00C0396C"/>
    <w:rsid w:val="00C0537F"/>
    <w:rsid w:val="00C05500"/>
    <w:rsid w:val="00C06B2D"/>
    <w:rsid w:val="00C06F69"/>
    <w:rsid w:val="00C07E21"/>
    <w:rsid w:val="00C07F51"/>
    <w:rsid w:val="00C10269"/>
    <w:rsid w:val="00C10924"/>
    <w:rsid w:val="00C109DC"/>
    <w:rsid w:val="00C10B06"/>
    <w:rsid w:val="00C10BCE"/>
    <w:rsid w:val="00C11473"/>
    <w:rsid w:val="00C11D47"/>
    <w:rsid w:val="00C12E87"/>
    <w:rsid w:val="00C14C2F"/>
    <w:rsid w:val="00C14DDE"/>
    <w:rsid w:val="00C158DB"/>
    <w:rsid w:val="00C15D2C"/>
    <w:rsid w:val="00C16476"/>
    <w:rsid w:val="00C17749"/>
    <w:rsid w:val="00C202BB"/>
    <w:rsid w:val="00C2267F"/>
    <w:rsid w:val="00C2513E"/>
    <w:rsid w:val="00C2544E"/>
    <w:rsid w:val="00C26A07"/>
    <w:rsid w:val="00C27184"/>
    <w:rsid w:val="00C272F2"/>
    <w:rsid w:val="00C2763B"/>
    <w:rsid w:val="00C27FA4"/>
    <w:rsid w:val="00C304FD"/>
    <w:rsid w:val="00C31944"/>
    <w:rsid w:val="00C34778"/>
    <w:rsid w:val="00C35396"/>
    <w:rsid w:val="00C356D5"/>
    <w:rsid w:val="00C366EA"/>
    <w:rsid w:val="00C40B23"/>
    <w:rsid w:val="00C40C27"/>
    <w:rsid w:val="00C434E4"/>
    <w:rsid w:val="00C4459F"/>
    <w:rsid w:val="00C44743"/>
    <w:rsid w:val="00C44BC3"/>
    <w:rsid w:val="00C46DB8"/>
    <w:rsid w:val="00C46F57"/>
    <w:rsid w:val="00C51029"/>
    <w:rsid w:val="00C560D9"/>
    <w:rsid w:val="00C57125"/>
    <w:rsid w:val="00C57680"/>
    <w:rsid w:val="00C5771F"/>
    <w:rsid w:val="00C57933"/>
    <w:rsid w:val="00C57AC8"/>
    <w:rsid w:val="00C60D6E"/>
    <w:rsid w:val="00C62309"/>
    <w:rsid w:val="00C65689"/>
    <w:rsid w:val="00C677C7"/>
    <w:rsid w:val="00C7028C"/>
    <w:rsid w:val="00C70B61"/>
    <w:rsid w:val="00C71252"/>
    <w:rsid w:val="00C728A2"/>
    <w:rsid w:val="00C729A4"/>
    <w:rsid w:val="00C741EE"/>
    <w:rsid w:val="00C74AAE"/>
    <w:rsid w:val="00C74ECC"/>
    <w:rsid w:val="00C7527C"/>
    <w:rsid w:val="00C755F7"/>
    <w:rsid w:val="00C756FF"/>
    <w:rsid w:val="00C7670B"/>
    <w:rsid w:val="00C76CE3"/>
    <w:rsid w:val="00C76CE4"/>
    <w:rsid w:val="00C77812"/>
    <w:rsid w:val="00C80B84"/>
    <w:rsid w:val="00C80E8B"/>
    <w:rsid w:val="00C820D4"/>
    <w:rsid w:val="00C8274A"/>
    <w:rsid w:val="00C83A45"/>
    <w:rsid w:val="00C876A2"/>
    <w:rsid w:val="00C87EEE"/>
    <w:rsid w:val="00C91507"/>
    <w:rsid w:val="00C918CD"/>
    <w:rsid w:val="00C927EC"/>
    <w:rsid w:val="00C93523"/>
    <w:rsid w:val="00C96A25"/>
    <w:rsid w:val="00C96BD7"/>
    <w:rsid w:val="00C97B70"/>
    <w:rsid w:val="00CA0024"/>
    <w:rsid w:val="00CA0226"/>
    <w:rsid w:val="00CA057A"/>
    <w:rsid w:val="00CA1062"/>
    <w:rsid w:val="00CA23DA"/>
    <w:rsid w:val="00CA2616"/>
    <w:rsid w:val="00CA3C20"/>
    <w:rsid w:val="00CA5E18"/>
    <w:rsid w:val="00CA6123"/>
    <w:rsid w:val="00CA62D1"/>
    <w:rsid w:val="00CA6944"/>
    <w:rsid w:val="00CA7653"/>
    <w:rsid w:val="00CA796E"/>
    <w:rsid w:val="00CA7C69"/>
    <w:rsid w:val="00CB005D"/>
    <w:rsid w:val="00CB1079"/>
    <w:rsid w:val="00CB2710"/>
    <w:rsid w:val="00CB2803"/>
    <w:rsid w:val="00CB3049"/>
    <w:rsid w:val="00CB417D"/>
    <w:rsid w:val="00CB489A"/>
    <w:rsid w:val="00CB5476"/>
    <w:rsid w:val="00CB6033"/>
    <w:rsid w:val="00CB60D9"/>
    <w:rsid w:val="00CB6ED6"/>
    <w:rsid w:val="00CC0138"/>
    <w:rsid w:val="00CC043C"/>
    <w:rsid w:val="00CC054D"/>
    <w:rsid w:val="00CC215D"/>
    <w:rsid w:val="00CC2656"/>
    <w:rsid w:val="00CC4A4A"/>
    <w:rsid w:val="00CC5A0B"/>
    <w:rsid w:val="00CC71DF"/>
    <w:rsid w:val="00CC7E11"/>
    <w:rsid w:val="00CD0CAA"/>
    <w:rsid w:val="00CD3176"/>
    <w:rsid w:val="00CD3763"/>
    <w:rsid w:val="00CD4BD9"/>
    <w:rsid w:val="00CD65C8"/>
    <w:rsid w:val="00CD7930"/>
    <w:rsid w:val="00CE0E42"/>
    <w:rsid w:val="00CE2174"/>
    <w:rsid w:val="00CE2445"/>
    <w:rsid w:val="00CE34BC"/>
    <w:rsid w:val="00CE6465"/>
    <w:rsid w:val="00CF04FC"/>
    <w:rsid w:val="00CF330B"/>
    <w:rsid w:val="00CF4EBA"/>
    <w:rsid w:val="00CF54DD"/>
    <w:rsid w:val="00CF6EA1"/>
    <w:rsid w:val="00CF780B"/>
    <w:rsid w:val="00D002E8"/>
    <w:rsid w:val="00D019BA"/>
    <w:rsid w:val="00D01B04"/>
    <w:rsid w:val="00D01C69"/>
    <w:rsid w:val="00D02DD9"/>
    <w:rsid w:val="00D044AC"/>
    <w:rsid w:val="00D057B1"/>
    <w:rsid w:val="00D065E5"/>
    <w:rsid w:val="00D066C6"/>
    <w:rsid w:val="00D078AF"/>
    <w:rsid w:val="00D11A4F"/>
    <w:rsid w:val="00D11D21"/>
    <w:rsid w:val="00D121AD"/>
    <w:rsid w:val="00D12B43"/>
    <w:rsid w:val="00D14267"/>
    <w:rsid w:val="00D14337"/>
    <w:rsid w:val="00D14565"/>
    <w:rsid w:val="00D15932"/>
    <w:rsid w:val="00D17012"/>
    <w:rsid w:val="00D17692"/>
    <w:rsid w:val="00D176A3"/>
    <w:rsid w:val="00D23192"/>
    <w:rsid w:val="00D24975"/>
    <w:rsid w:val="00D2593C"/>
    <w:rsid w:val="00D259E4"/>
    <w:rsid w:val="00D25A9D"/>
    <w:rsid w:val="00D26375"/>
    <w:rsid w:val="00D26DAD"/>
    <w:rsid w:val="00D271B2"/>
    <w:rsid w:val="00D2747F"/>
    <w:rsid w:val="00D27D8A"/>
    <w:rsid w:val="00D30482"/>
    <w:rsid w:val="00D35080"/>
    <w:rsid w:val="00D35C0C"/>
    <w:rsid w:val="00D3695F"/>
    <w:rsid w:val="00D40B11"/>
    <w:rsid w:val="00D41FF0"/>
    <w:rsid w:val="00D436E9"/>
    <w:rsid w:val="00D45178"/>
    <w:rsid w:val="00D47415"/>
    <w:rsid w:val="00D47525"/>
    <w:rsid w:val="00D47CA0"/>
    <w:rsid w:val="00D502F0"/>
    <w:rsid w:val="00D51256"/>
    <w:rsid w:val="00D535D3"/>
    <w:rsid w:val="00D53FCA"/>
    <w:rsid w:val="00D54850"/>
    <w:rsid w:val="00D565A6"/>
    <w:rsid w:val="00D56AB1"/>
    <w:rsid w:val="00D57034"/>
    <w:rsid w:val="00D60647"/>
    <w:rsid w:val="00D67DA6"/>
    <w:rsid w:val="00D67FA9"/>
    <w:rsid w:val="00D708F7"/>
    <w:rsid w:val="00D71115"/>
    <w:rsid w:val="00D725B5"/>
    <w:rsid w:val="00D7420A"/>
    <w:rsid w:val="00D753C9"/>
    <w:rsid w:val="00D756FA"/>
    <w:rsid w:val="00D76135"/>
    <w:rsid w:val="00D76155"/>
    <w:rsid w:val="00D764EB"/>
    <w:rsid w:val="00D801BB"/>
    <w:rsid w:val="00D80213"/>
    <w:rsid w:val="00D8095B"/>
    <w:rsid w:val="00D80AEF"/>
    <w:rsid w:val="00D81FA0"/>
    <w:rsid w:val="00D839EC"/>
    <w:rsid w:val="00D84CEF"/>
    <w:rsid w:val="00D857B7"/>
    <w:rsid w:val="00D85F63"/>
    <w:rsid w:val="00D8617E"/>
    <w:rsid w:val="00D87D63"/>
    <w:rsid w:val="00D87F3B"/>
    <w:rsid w:val="00D903EA"/>
    <w:rsid w:val="00D9063E"/>
    <w:rsid w:val="00D9165D"/>
    <w:rsid w:val="00D91BF8"/>
    <w:rsid w:val="00D92578"/>
    <w:rsid w:val="00D92D63"/>
    <w:rsid w:val="00D9474F"/>
    <w:rsid w:val="00D94911"/>
    <w:rsid w:val="00D964FA"/>
    <w:rsid w:val="00D96AF7"/>
    <w:rsid w:val="00D96C79"/>
    <w:rsid w:val="00D97D67"/>
    <w:rsid w:val="00DA09B1"/>
    <w:rsid w:val="00DA0F27"/>
    <w:rsid w:val="00DA17B3"/>
    <w:rsid w:val="00DA3AE1"/>
    <w:rsid w:val="00DA3E68"/>
    <w:rsid w:val="00DA4422"/>
    <w:rsid w:val="00DA505E"/>
    <w:rsid w:val="00DA6B6D"/>
    <w:rsid w:val="00DA77EF"/>
    <w:rsid w:val="00DB0033"/>
    <w:rsid w:val="00DB00D2"/>
    <w:rsid w:val="00DB026B"/>
    <w:rsid w:val="00DB0AC9"/>
    <w:rsid w:val="00DB1895"/>
    <w:rsid w:val="00DB3CC4"/>
    <w:rsid w:val="00DB467F"/>
    <w:rsid w:val="00DB4B14"/>
    <w:rsid w:val="00DB73B2"/>
    <w:rsid w:val="00DC4B82"/>
    <w:rsid w:val="00DC4CE6"/>
    <w:rsid w:val="00DC5813"/>
    <w:rsid w:val="00DC59F0"/>
    <w:rsid w:val="00DC690E"/>
    <w:rsid w:val="00DC7EEB"/>
    <w:rsid w:val="00DD0011"/>
    <w:rsid w:val="00DD279B"/>
    <w:rsid w:val="00DD4211"/>
    <w:rsid w:val="00DD45C9"/>
    <w:rsid w:val="00DD55B8"/>
    <w:rsid w:val="00DE1892"/>
    <w:rsid w:val="00DE397E"/>
    <w:rsid w:val="00DE3D3C"/>
    <w:rsid w:val="00DE54A5"/>
    <w:rsid w:val="00DF0C9E"/>
    <w:rsid w:val="00DF2E17"/>
    <w:rsid w:val="00DF2FD4"/>
    <w:rsid w:val="00DF4F99"/>
    <w:rsid w:val="00DF5BE0"/>
    <w:rsid w:val="00DF5EB6"/>
    <w:rsid w:val="00DF72F9"/>
    <w:rsid w:val="00E0004F"/>
    <w:rsid w:val="00E04FB1"/>
    <w:rsid w:val="00E059FD"/>
    <w:rsid w:val="00E05B97"/>
    <w:rsid w:val="00E0673D"/>
    <w:rsid w:val="00E13799"/>
    <w:rsid w:val="00E14A63"/>
    <w:rsid w:val="00E14CCD"/>
    <w:rsid w:val="00E15A28"/>
    <w:rsid w:val="00E20322"/>
    <w:rsid w:val="00E221D3"/>
    <w:rsid w:val="00E238B3"/>
    <w:rsid w:val="00E26801"/>
    <w:rsid w:val="00E26819"/>
    <w:rsid w:val="00E27148"/>
    <w:rsid w:val="00E274DF"/>
    <w:rsid w:val="00E30C09"/>
    <w:rsid w:val="00E31831"/>
    <w:rsid w:val="00E40656"/>
    <w:rsid w:val="00E41748"/>
    <w:rsid w:val="00E41AAB"/>
    <w:rsid w:val="00E4248B"/>
    <w:rsid w:val="00E42928"/>
    <w:rsid w:val="00E43194"/>
    <w:rsid w:val="00E45928"/>
    <w:rsid w:val="00E45991"/>
    <w:rsid w:val="00E46395"/>
    <w:rsid w:val="00E4737F"/>
    <w:rsid w:val="00E511BF"/>
    <w:rsid w:val="00E523F7"/>
    <w:rsid w:val="00E52C9D"/>
    <w:rsid w:val="00E53F78"/>
    <w:rsid w:val="00E554FD"/>
    <w:rsid w:val="00E55BFC"/>
    <w:rsid w:val="00E56097"/>
    <w:rsid w:val="00E56A23"/>
    <w:rsid w:val="00E57179"/>
    <w:rsid w:val="00E57B92"/>
    <w:rsid w:val="00E60584"/>
    <w:rsid w:val="00E60C6B"/>
    <w:rsid w:val="00E60F01"/>
    <w:rsid w:val="00E63474"/>
    <w:rsid w:val="00E63701"/>
    <w:rsid w:val="00E6431F"/>
    <w:rsid w:val="00E64D56"/>
    <w:rsid w:val="00E65607"/>
    <w:rsid w:val="00E65866"/>
    <w:rsid w:val="00E65A0A"/>
    <w:rsid w:val="00E67840"/>
    <w:rsid w:val="00E753EC"/>
    <w:rsid w:val="00E762F0"/>
    <w:rsid w:val="00E800EF"/>
    <w:rsid w:val="00E803F1"/>
    <w:rsid w:val="00E80B03"/>
    <w:rsid w:val="00E815CD"/>
    <w:rsid w:val="00E816F7"/>
    <w:rsid w:val="00E81955"/>
    <w:rsid w:val="00E83353"/>
    <w:rsid w:val="00E85961"/>
    <w:rsid w:val="00E86BEA"/>
    <w:rsid w:val="00E86CE1"/>
    <w:rsid w:val="00E86E6F"/>
    <w:rsid w:val="00E87504"/>
    <w:rsid w:val="00E9118E"/>
    <w:rsid w:val="00E91602"/>
    <w:rsid w:val="00E93D6F"/>
    <w:rsid w:val="00E955B5"/>
    <w:rsid w:val="00E96E10"/>
    <w:rsid w:val="00E972C8"/>
    <w:rsid w:val="00E976E3"/>
    <w:rsid w:val="00EA0B69"/>
    <w:rsid w:val="00EA0CAB"/>
    <w:rsid w:val="00EA115B"/>
    <w:rsid w:val="00EA1955"/>
    <w:rsid w:val="00EA1C58"/>
    <w:rsid w:val="00EA1DC3"/>
    <w:rsid w:val="00EA2495"/>
    <w:rsid w:val="00EA2E57"/>
    <w:rsid w:val="00EA32A1"/>
    <w:rsid w:val="00EA42B8"/>
    <w:rsid w:val="00EA5EA0"/>
    <w:rsid w:val="00EA799B"/>
    <w:rsid w:val="00EB41E7"/>
    <w:rsid w:val="00EB7A75"/>
    <w:rsid w:val="00EC0990"/>
    <w:rsid w:val="00EC0F11"/>
    <w:rsid w:val="00EC1584"/>
    <w:rsid w:val="00EC414F"/>
    <w:rsid w:val="00EC49F7"/>
    <w:rsid w:val="00EC5224"/>
    <w:rsid w:val="00EC5429"/>
    <w:rsid w:val="00EC56D0"/>
    <w:rsid w:val="00EC604B"/>
    <w:rsid w:val="00EC6BB1"/>
    <w:rsid w:val="00ED19C7"/>
    <w:rsid w:val="00ED395A"/>
    <w:rsid w:val="00ED46D8"/>
    <w:rsid w:val="00ED4C78"/>
    <w:rsid w:val="00ED64BA"/>
    <w:rsid w:val="00ED7674"/>
    <w:rsid w:val="00ED7BC9"/>
    <w:rsid w:val="00EE02B8"/>
    <w:rsid w:val="00EE04B1"/>
    <w:rsid w:val="00EE162E"/>
    <w:rsid w:val="00EE38D6"/>
    <w:rsid w:val="00EE6D08"/>
    <w:rsid w:val="00EE728B"/>
    <w:rsid w:val="00EE7CE9"/>
    <w:rsid w:val="00EF0D05"/>
    <w:rsid w:val="00EF11F7"/>
    <w:rsid w:val="00EF1883"/>
    <w:rsid w:val="00EF55AB"/>
    <w:rsid w:val="00EF5763"/>
    <w:rsid w:val="00EF579C"/>
    <w:rsid w:val="00EF5CB0"/>
    <w:rsid w:val="00EF7118"/>
    <w:rsid w:val="00F011F6"/>
    <w:rsid w:val="00F01239"/>
    <w:rsid w:val="00F02BDD"/>
    <w:rsid w:val="00F0514C"/>
    <w:rsid w:val="00F054A5"/>
    <w:rsid w:val="00F0618A"/>
    <w:rsid w:val="00F073B4"/>
    <w:rsid w:val="00F120D2"/>
    <w:rsid w:val="00F15289"/>
    <w:rsid w:val="00F1575F"/>
    <w:rsid w:val="00F15A84"/>
    <w:rsid w:val="00F166B1"/>
    <w:rsid w:val="00F22125"/>
    <w:rsid w:val="00F2298C"/>
    <w:rsid w:val="00F23295"/>
    <w:rsid w:val="00F24AB0"/>
    <w:rsid w:val="00F2608C"/>
    <w:rsid w:val="00F267B0"/>
    <w:rsid w:val="00F277CF"/>
    <w:rsid w:val="00F30FAF"/>
    <w:rsid w:val="00F31F61"/>
    <w:rsid w:val="00F337BD"/>
    <w:rsid w:val="00F337E5"/>
    <w:rsid w:val="00F339A0"/>
    <w:rsid w:val="00F362D5"/>
    <w:rsid w:val="00F36FF9"/>
    <w:rsid w:val="00F372D8"/>
    <w:rsid w:val="00F37849"/>
    <w:rsid w:val="00F4038F"/>
    <w:rsid w:val="00F40904"/>
    <w:rsid w:val="00F4191A"/>
    <w:rsid w:val="00F42CE3"/>
    <w:rsid w:val="00F435E4"/>
    <w:rsid w:val="00F44B11"/>
    <w:rsid w:val="00F47242"/>
    <w:rsid w:val="00F503B6"/>
    <w:rsid w:val="00F51713"/>
    <w:rsid w:val="00F52A18"/>
    <w:rsid w:val="00F55B30"/>
    <w:rsid w:val="00F6143D"/>
    <w:rsid w:val="00F62929"/>
    <w:rsid w:val="00F63B93"/>
    <w:rsid w:val="00F63D94"/>
    <w:rsid w:val="00F64A30"/>
    <w:rsid w:val="00F65AA4"/>
    <w:rsid w:val="00F65B41"/>
    <w:rsid w:val="00F65F00"/>
    <w:rsid w:val="00F66FD9"/>
    <w:rsid w:val="00F716EE"/>
    <w:rsid w:val="00F71CC1"/>
    <w:rsid w:val="00F7227F"/>
    <w:rsid w:val="00F7289F"/>
    <w:rsid w:val="00F7328D"/>
    <w:rsid w:val="00F7387B"/>
    <w:rsid w:val="00F74614"/>
    <w:rsid w:val="00F756A6"/>
    <w:rsid w:val="00F7713A"/>
    <w:rsid w:val="00F77A6F"/>
    <w:rsid w:val="00F80259"/>
    <w:rsid w:val="00F81310"/>
    <w:rsid w:val="00F81BAA"/>
    <w:rsid w:val="00F831E3"/>
    <w:rsid w:val="00F83A72"/>
    <w:rsid w:val="00F8600B"/>
    <w:rsid w:val="00F874AD"/>
    <w:rsid w:val="00F902E9"/>
    <w:rsid w:val="00F9185A"/>
    <w:rsid w:val="00F92076"/>
    <w:rsid w:val="00F927D1"/>
    <w:rsid w:val="00F93EFC"/>
    <w:rsid w:val="00F9433A"/>
    <w:rsid w:val="00F9562D"/>
    <w:rsid w:val="00F95C55"/>
    <w:rsid w:val="00F9647A"/>
    <w:rsid w:val="00F96B37"/>
    <w:rsid w:val="00F96E11"/>
    <w:rsid w:val="00F979D8"/>
    <w:rsid w:val="00FA031A"/>
    <w:rsid w:val="00FA131F"/>
    <w:rsid w:val="00FA1C28"/>
    <w:rsid w:val="00FA1E90"/>
    <w:rsid w:val="00FA244D"/>
    <w:rsid w:val="00FA3010"/>
    <w:rsid w:val="00FA4C5F"/>
    <w:rsid w:val="00FA5993"/>
    <w:rsid w:val="00FA62FB"/>
    <w:rsid w:val="00FA79A2"/>
    <w:rsid w:val="00FB0BBB"/>
    <w:rsid w:val="00FB17AC"/>
    <w:rsid w:val="00FB46FA"/>
    <w:rsid w:val="00FB4F60"/>
    <w:rsid w:val="00FC078D"/>
    <w:rsid w:val="00FC1A5D"/>
    <w:rsid w:val="00FC290C"/>
    <w:rsid w:val="00FC354D"/>
    <w:rsid w:val="00FD00A2"/>
    <w:rsid w:val="00FD08DE"/>
    <w:rsid w:val="00FD0F6E"/>
    <w:rsid w:val="00FD6A7C"/>
    <w:rsid w:val="00FE07A0"/>
    <w:rsid w:val="00FE2EC0"/>
    <w:rsid w:val="00FE4EA7"/>
    <w:rsid w:val="00FE4EAB"/>
    <w:rsid w:val="00FE5308"/>
    <w:rsid w:val="00FE54A3"/>
    <w:rsid w:val="00FE6997"/>
    <w:rsid w:val="00FE77EB"/>
    <w:rsid w:val="00FE78C7"/>
    <w:rsid w:val="00FF03FE"/>
    <w:rsid w:val="00FF0F6E"/>
    <w:rsid w:val="00FF18D7"/>
    <w:rsid w:val="00FF2970"/>
    <w:rsid w:val="00FF3363"/>
    <w:rsid w:val="00FF3612"/>
    <w:rsid w:val="00FF43F5"/>
    <w:rsid w:val="00FF4849"/>
    <w:rsid w:val="00FF5C7C"/>
    <w:rsid w:val="01B47A59"/>
    <w:rsid w:val="02265C8C"/>
    <w:rsid w:val="02983FF6"/>
    <w:rsid w:val="032B024C"/>
    <w:rsid w:val="03514173"/>
    <w:rsid w:val="0382074F"/>
    <w:rsid w:val="03E77005"/>
    <w:rsid w:val="04651CD8"/>
    <w:rsid w:val="0495080F"/>
    <w:rsid w:val="05753204"/>
    <w:rsid w:val="062822BB"/>
    <w:rsid w:val="06804990"/>
    <w:rsid w:val="06D14EBD"/>
    <w:rsid w:val="06DE1A50"/>
    <w:rsid w:val="074C0438"/>
    <w:rsid w:val="07D721EC"/>
    <w:rsid w:val="08706007"/>
    <w:rsid w:val="08A700C4"/>
    <w:rsid w:val="0B181CBF"/>
    <w:rsid w:val="0BC04AFE"/>
    <w:rsid w:val="0C085D6A"/>
    <w:rsid w:val="0DDC125D"/>
    <w:rsid w:val="0E0C760A"/>
    <w:rsid w:val="0E501052"/>
    <w:rsid w:val="0E664FCA"/>
    <w:rsid w:val="0F0F7BEE"/>
    <w:rsid w:val="0F867640"/>
    <w:rsid w:val="100A4633"/>
    <w:rsid w:val="10823C88"/>
    <w:rsid w:val="10901957"/>
    <w:rsid w:val="10C673DF"/>
    <w:rsid w:val="111B77B5"/>
    <w:rsid w:val="1160532F"/>
    <w:rsid w:val="11824A0F"/>
    <w:rsid w:val="11E5087F"/>
    <w:rsid w:val="126357B9"/>
    <w:rsid w:val="128E5D2A"/>
    <w:rsid w:val="13454D7F"/>
    <w:rsid w:val="13CF6B47"/>
    <w:rsid w:val="14D57867"/>
    <w:rsid w:val="15113CD5"/>
    <w:rsid w:val="15881997"/>
    <w:rsid w:val="15BB6F96"/>
    <w:rsid w:val="16092E0B"/>
    <w:rsid w:val="163F682C"/>
    <w:rsid w:val="16B540EF"/>
    <w:rsid w:val="16CE269B"/>
    <w:rsid w:val="16FF7D6A"/>
    <w:rsid w:val="170F61FF"/>
    <w:rsid w:val="17982720"/>
    <w:rsid w:val="17B04B2A"/>
    <w:rsid w:val="18012B82"/>
    <w:rsid w:val="186B79C3"/>
    <w:rsid w:val="18F1504B"/>
    <w:rsid w:val="18F953B8"/>
    <w:rsid w:val="194D300E"/>
    <w:rsid w:val="199F6656"/>
    <w:rsid w:val="1A141D7E"/>
    <w:rsid w:val="1C297D63"/>
    <w:rsid w:val="1C424C5B"/>
    <w:rsid w:val="1CA36708"/>
    <w:rsid w:val="1CDC1BD7"/>
    <w:rsid w:val="1CDE1E5B"/>
    <w:rsid w:val="1D6D0498"/>
    <w:rsid w:val="1D905BC0"/>
    <w:rsid w:val="1DD94CC0"/>
    <w:rsid w:val="1FB950A5"/>
    <w:rsid w:val="20CD1AB0"/>
    <w:rsid w:val="220A5A3C"/>
    <w:rsid w:val="23A72FFC"/>
    <w:rsid w:val="242A2671"/>
    <w:rsid w:val="24430123"/>
    <w:rsid w:val="24786259"/>
    <w:rsid w:val="24B65F0C"/>
    <w:rsid w:val="25BE00B0"/>
    <w:rsid w:val="25F26162"/>
    <w:rsid w:val="26EC030B"/>
    <w:rsid w:val="26F45411"/>
    <w:rsid w:val="280C23D5"/>
    <w:rsid w:val="28C52BC1"/>
    <w:rsid w:val="28E05C4D"/>
    <w:rsid w:val="28EF5E90"/>
    <w:rsid w:val="29491460"/>
    <w:rsid w:val="29D55086"/>
    <w:rsid w:val="2A187669"/>
    <w:rsid w:val="2A571AEE"/>
    <w:rsid w:val="2A8558EB"/>
    <w:rsid w:val="2AAD6003"/>
    <w:rsid w:val="2AD33152"/>
    <w:rsid w:val="2AEF3F25"/>
    <w:rsid w:val="2AF615EE"/>
    <w:rsid w:val="2B54022C"/>
    <w:rsid w:val="2B717030"/>
    <w:rsid w:val="2B794864"/>
    <w:rsid w:val="2B801021"/>
    <w:rsid w:val="2C387B4E"/>
    <w:rsid w:val="2CFC1882"/>
    <w:rsid w:val="2D3B78F6"/>
    <w:rsid w:val="2D537491"/>
    <w:rsid w:val="2D8B7C57"/>
    <w:rsid w:val="2DD737DB"/>
    <w:rsid w:val="2E366D75"/>
    <w:rsid w:val="2E78329E"/>
    <w:rsid w:val="2EF677F0"/>
    <w:rsid w:val="2F2E59E1"/>
    <w:rsid w:val="2F3A3CD2"/>
    <w:rsid w:val="2F5127C0"/>
    <w:rsid w:val="2F9344A7"/>
    <w:rsid w:val="2FC83CAA"/>
    <w:rsid w:val="30447436"/>
    <w:rsid w:val="317B6EF1"/>
    <w:rsid w:val="31857392"/>
    <w:rsid w:val="33AC652E"/>
    <w:rsid w:val="33AF53B6"/>
    <w:rsid w:val="341C45E4"/>
    <w:rsid w:val="341C6292"/>
    <w:rsid w:val="3488722A"/>
    <w:rsid w:val="34CE4C2F"/>
    <w:rsid w:val="34D60E50"/>
    <w:rsid w:val="34F04177"/>
    <w:rsid w:val="351849C1"/>
    <w:rsid w:val="3613030A"/>
    <w:rsid w:val="36B16F62"/>
    <w:rsid w:val="37353608"/>
    <w:rsid w:val="388C773F"/>
    <w:rsid w:val="39E356BD"/>
    <w:rsid w:val="39EE16A9"/>
    <w:rsid w:val="3A2E2E0F"/>
    <w:rsid w:val="3A506878"/>
    <w:rsid w:val="3B2B2C3C"/>
    <w:rsid w:val="3B9528C7"/>
    <w:rsid w:val="3C29300F"/>
    <w:rsid w:val="3C8C3B8A"/>
    <w:rsid w:val="3CC316B6"/>
    <w:rsid w:val="3CFF4547"/>
    <w:rsid w:val="3D1B32A0"/>
    <w:rsid w:val="3D7310E3"/>
    <w:rsid w:val="3DE126FC"/>
    <w:rsid w:val="3DFA4C63"/>
    <w:rsid w:val="3E67106F"/>
    <w:rsid w:val="3E7B3341"/>
    <w:rsid w:val="3E9A3227"/>
    <w:rsid w:val="3F814F04"/>
    <w:rsid w:val="3F981B71"/>
    <w:rsid w:val="3F9C1BDA"/>
    <w:rsid w:val="3FA45D01"/>
    <w:rsid w:val="3FE07E89"/>
    <w:rsid w:val="3FFB4D22"/>
    <w:rsid w:val="401527FC"/>
    <w:rsid w:val="40181D19"/>
    <w:rsid w:val="403A20FD"/>
    <w:rsid w:val="411E335F"/>
    <w:rsid w:val="41A05B22"/>
    <w:rsid w:val="41C45387"/>
    <w:rsid w:val="421D447F"/>
    <w:rsid w:val="42775F1B"/>
    <w:rsid w:val="42C6780A"/>
    <w:rsid w:val="42E52B99"/>
    <w:rsid w:val="4315253F"/>
    <w:rsid w:val="43DA6840"/>
    <w:rsid w:val="43DE654F"/>
    <w:rsid w:val="44613C8E"/>
    <w:rsid w:val="448D10B7"/>
    <w:rsid w:val="44BC2649"/>
    <w:rsid w:val="44D04DF5"/>
    <w:rsid w:val="450434B5"/>
    <w:rsid w:val="45823F45"/>
    <w:rsid w:val="46475E61"/>
    <w:rsid w:val="471131FC"/>
    <w:rsid w:val="47597308"/>
    <w:rsid w:val="47A04ACD"/>
    <w:rsid w:val="493B6489"/>
    <w:rsid w:val="4961472A"/>
    <w:rsid w:val="4AB97C54"/>
    <w:rsid w:val="4B894470"/>
    <w:rsid w:val="4B92297F"/>
    <w:rsid w:val="4C134BE6"/>
    <w:rsid w:val="4D597BFC"/>
    <w:rsid w:val="4D82136F"/>
    <w:rsid w:val="4DD5361B"/>
    <w:rsid w:val="4DDF79D2"/>
    <w:rsid w:val="4EC20ABF"/>
    <w:rsid w:val="4EDD2163"/>
    <w:rsid w:val="4F455F5A"/>
    <w:rsid w:val="4F6A3DC8"/>
    <w:rsid w:val="4F9D15E4"/>
    <w:rsid w:val="4FB33A55"/>
    <w:rsid w:val="506A05A8"/>
    <w:rsid w:val="51687DFC"/>
    <w:rsid w:val="524F77C2"/>
    <w:rsid w:val="525210BA"/>
    <w:rsid w:val="5331733B"/>
    <w:rsid w:val="53974AC8"/>
    <w:rsid w:val="53A35A5E"/>
    <w:rsid w:val="54B957B5"/>
    <w:rsid w:val="571C57F3"/>
    <w:rsid w:val="573B211D"/>
    <w:rsid w:val="5765468B"/>
    <w:rsid w:val="58240E03"/>
    <w:rsid w:val="585873AA"/>
    <w:rsid w:val="58F86605"/>
    <w:rsid w:val="59073951"/>
    <w:rsid w:val="59501632"/>
    <w:rsid w:val="597F1763"/>
    <w:rsid w:val="5A785436"/>
    <w:rsid w:val="5ACB7804"/>
    <w:rsid w:val="5B3475AF"/>
    <w:rsid w:val="5B653C1B"/>
    <w:rsid w:val="5BE16F07"/>
    <w:rsid w:val="5C7A36E7"/>
    <w:rsid w:val="5CD85E7A"/>
    <w:rsid w:val="5CF705D0"/>
    <w:rsid w:val="5D544678"/>
    <w:rsid w:val="5F48187B"/>
    <w:rsid w:val="5F99F6E4"/>
    <w:rsid w:val="5FAF18FA"/>
    <w:rsid w:val="604C4796"/>
    <w:rsid w:val="60C06C3D"/>
    <w:rsid w:val="60EA20B9"/>
    <w:rsid w:val="615C23C3"/>
    <w:rsid w:val="618D7A19"/>
    <w:rsid w:val="61DE2C30"/>
    <w:rsid w:val="62CF5B11"/>
    <w:rsid w:val="62D13F91"/>
    <w:rsid w:val="63253197"/>
    <w:rsid w:val="6335216A"/>
    <w:rsid w:val="63FF3C7C"/>
    <w:rsid w:val="640B3388"/>
    <w:rsid w:val="646053A7"/>
    <w:rsid w:val="647A6023"/>
    <w:rsid w:val="64A64951"/>
    <w:rsid w:val="64AD03D2"/>
    <w:rsid w:val="64B41760"/>
    <w:rsid w:val="654523B9"/>
    <w:rsid w:val="655A671B"/>
    <w:rsid w:val="65C34CC5"/>
    <w:rsid w:val="66205447"/>
    <w:rsid w:val="663B30B9"/>
    <w:rsid w:val="669D6FF3"/>
    <w:rsid w:val="675A65EF"/>
    <w:rsid w:val="67BF6A43"/>
    <w:rsid w:val="69C47E81"/>
    <w:rsid w:val="69E63CF1"/>
    <w:rsid w:val="6AA77936"/>
    <w:rsid w:val="6B1E538B"/>
    <w:rsid w:val="6B6F018F"/>
    <w:rsid w:val="6B7859B5"/>
    <w:rsid w:val="6B881251"/>
    <w:rsid w:val="6BF126E9"/>
    <w:rsid w:val="6C4725B8"/>
    <w:rsid w:val="6CAD23B4"/>
    <w:rsid w:val="6CF959A5"/>
    <w:rsid w:val="6D9E6B0A"/>
    <w:rsid w:val="6E397C4F"/>
    <w:rsid w:val="6EA6036C"/>
    <w:rsid w:val="6FCF744E"/>
    <w:rsid w:val="7015380A"/>
    <w:rsid w:val="70166B54"/>
    <w:rsid w:val="70BE32C7"/>
    <w:rsid w:val="70DB4FE7"/>
    <w:rsid w:val="71973F9C"/>
    <w:rsid w:val="7206286A"/>
    <w:rsid w:val="73011EF3"/>
    <w:rsid w:val="73027B3B"/>
    <w:rsid w:val="734E4912"/>
    <w:rsid w:val="738460E5"/>
    <w:rsid w:val="73892EDE"/>
    <w:rsid w:val="73C53042"/>
    <w:rsid w:val="73E01C2A"/>
    <w:rsid w:val="7426410F"/>
    <w:rsid w:val="743F175E"/>
    <w:rsid w:val="749409BF"/>
    <w:rsid w:val="74B51B1D"/>
    <w:rsid w:val="74BF6C55"/>
    <w:rsid w:val="75B93A72"/>
    <w:rsid w:val="75BE5B78"/>
    <w:rsid w:val="76363F76"/>
    <w:rsid w:val="76702C63"/>
    <w:rsid w:val="76D65566"/>
    <w:rsid w:val="77020109"/>
    <w:rsid w:val="771A5453"/>
    <w:rsid w:val="77640DC4"/>
    <w:rsid w:val="77704DA8"/>
    <w:rsid w:val="77CB0B19"/>
    <w:rsid w:val="78052479"/>
    <w:rsid w:val="783A40EE"/>
    <w:rsid w:val="7856443F"/>
    <w:rsid w:val="787B63C5"/>
    <w:rsid w:val="78BF1A53"/>
    <w:rsid w:val="78D36201"/>
    <w:rsid w:val="78F63C9E"/>
    <w:rsid w:val="796230E1"/>
    <w:rsid w:val="79D80F60"/>
    <w:rsid w:val="79FA156C"/>
    <w:rsid w:val="7A737492"/>
    <w:rsid w:val="7A8A3C4A"/>
    <w:rsid w:val="7AE57B48"/>
    <w:rsid w:val="7AEC445C"/>
    <w:rsid w:val="7B8B4B71"/>
    <w:rsid w:val="7B9559F0"/>
    <w:rsid w:val="7BD171F7"/>
    <w:rsid w:val="7C297558"/>
    <w:rsid w:val="7C310CB0"/>
    <w:rsid w:val="7C716ED4"/>
    <w:rsid w:val="7D3014EE"/>
    <w:rsid w:val="7DC437A0"/>
    <w:rsid w:val="7E0429B9"/>
    <w:rsid w:val="7EC77340"/>
    <w:rsid w:val="7EDA493C"/>
    <w:rsid w:val="7EFB0EB5"/>
    <w:rsid w:val="7F106850"/>
    <w:rsid w:val="7F196938"/>
    <w:rsid w:val="7F1E7AAB"/>
    <w:rsid w:val="7F5D4A77"/>
    <w:rsid w:val="7F71139D"/>
    <w:rsid w:val="7F71407E"/>
    <w:rsid w:val="7F7B6CAB"/>
    <w:rsid w:val="7F9F2AA4"/>
    <w:rsid w:val="7FBB635F"/>
    <w:rsid w:val="AEBC8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2"/>
    <w:qFormat/>
    <w:uiPriority w:val="0"/>
    <w:pPr>
      <w:keepNext/>
      <w:keepLines/>
      <w:spacing w:before="340" w:after="330" w:line="578" w:lineRule="auto"/>
      <w:jc w:val="center"/>
      <w:outlineLvl w:val="0"/>
    </w:pPr>
    <w:rPr>
      <w:rFonts w:eastAsia="仿宋_GB2312"/>
      <w:b/>
      <w:bCs/>
      <w:kern w:val="44"/>
      <w:sz w:val="44"/>
      <w:szCs w:val="44"/>
    </w:rPr>
  </w:style>
  <w:style w:type="paragraph" w:styleId="6">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4"/>
    <w:qFormat/>
    <w:uiPriority w:val="0"/>
    <w:pPr>
      <w:keepNext/>
      <w:keepLines/>
      <w:spacing w:before="260" w:after="260" w:line="416" w:lineRule="auto"/>
      <w:outlineLvl w:val="2"/>
    </w:pPr>
    <w:rPr>
      <w:rFonts w:ascii="宋体" w:hAnsi="Courier New"/>
      <w:b/>
      <w:bCs/>
      <w:sz w:val="32"/>
      <w:szCs w:val="32"/>
    </w:rPr>
  </w:style>
  <w:style w:type="paragraph" w:styleId="8">
    <w:name w:val="heading 4"/>
    <w:basedOn w:val="1"/>
    <w:next w:val="1"/>
    <w:link w:val="65"/>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66"/>
    <w:qFormat/>
    <w:uiPriority w:val="0"/>
    <w:pPr>
      <w:keepNext/>
      <w:keepLines/>
      <w:spacing w:before="280" w:after="290" w:line="376" w:lineRule="auto"/>
      <w:outlineLvl w:val="4"/>
    </w:pPr>
    <w:rPr>
      <w:b/>
      <w:sz w:val="28"/>
    </w:rPr>
  </w:style>
  <w:style w:type="paragraph" w:styleId="11">
    <w:name w:val="heading 6"/>
    <w:basedOn w:val="1"/>
    <w:next w:val="10"/>
    <w:link w:val="68"/>
    <w:qFormat/>
    <w:uiPriority w:val="0"/>
    <w:pPr>
      <w:keepNext/>
      <w:keepLines/>
      <w:spacing w:before="240" w:after="64" w:line="320" w:lineRule="auto"/>
      <w:outlineLvl w:val="5"/>
    </w:pPr>
    <w:rPr>
      <w:rFonts w:ascii="Arial" w:hAnsi="Arial" w:eastAsia="黑体"/>
      <w:b/>
      <w:sz w:val="24"/>
    </w:rPr>
  </w:style>
  <w:style w:type="paragraph" w:styleId="12">
    <w:name w:val="heading 7"/>
    <w:basedOn w:val="1"/>
    <w:next w:val="10"/>
    <w:link w:val="69"/>
    <w:qFormat/>
    <w:uiPriority w:val="99"/>
    <w:pPr>
      <w:keepNext/>
      <w:keepLines/>
      <w:spacing w:before="240" w:after="64" w:line="320" w:lineRule="auto"/>
      <w:outlineLvl w:val="6"/>
    </w:pPr>
    <w:rPr>
      <w:b/>
      <w:sz w:val="24"/>
    </w:rPr>
  </w:style>
  <w:style w:type="paragraph" w:styleId="13">
    <w:name w:val="heading 8"/>
    <w:basedOn w:val="1"/>
    <w:next w:val="10"/>
    <w:link w:val="70"/>
    <w:qFormat/>
    <w:uiPriority w:val="99"/>
    <w:pPr>
      <w:keepNext/>
      <w:keepLines/>
      <w:spacing w:before="240" w:after="64" w:line="320" w:lineRule="auto"/>
      <w:outlineLvl w:val="7"/>
    </w:pPr>
    <w:rPr>
      <w:rFonts w:ascii="Arial" w:hAnsi="Arial" w:eastAsia="黑体"/>
      <w:sz w:val="24"/>
    </w:rPr>
  </w:style>
  <w:style w:type="paragraph" w:styleId="14">
    <w:name w:val="heading 9"/>
    <w:basedOn w:val="1"/>
    <w:next w:val="10"/>
    <w:link w:val="71"/>
    <w:qFormat/>
    <w:uiPriority w:val="99"/>
    <w:pPr>
      <w:keepNext/>
      <w:keepLines/>
      <w:spacing w:before="240" w:after="64" w:line="320" w:lineRule="auto"/>
      <w:outlineLvl w:val="8"/>
    </w:pPr>
    <w:rPr>
      <w:rFonts w:ascii="Arial" w:hAnsi="Arial" w:eastAsia="黑体"/>
    </w:rPr>
  </w:style>
  <w:style w:type="character" w:default="1" w:styleId="52">
    <w:name w:val="Default Paragraph Font"/>
    <w:semiHidden/>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2">
    <w:name w:val="Body Text"/>
    <w:basedOn w:val="1"/>
    <w:next w:val="3"/>
    <w:link w:val="61"/>
    <w:qFormat/>
    <w:uiPriority w:val="99"/>
    <w:pPr>
      <w:spacing w:line="380" w:lineRule="exact"/>
    </w:pPr>
    <w:rPr>
      <w:sz w:val="24"/>
    </w:rPr>
  </w:style>
  <w:style w:type="paragraph" w:customStyle="1" w:styleId="3">
    <w:name w:val="Default"/>
    <w:next w:val="4"/>
    <w:qFormat/>
    <w:uiPriority w:val="0"/>
    <w:pPr>
      <w:widowControl w:val="0"/>
      <w:autoSpaceDE w:val="0"/>
      <w:autoSpaceDN w:val="0"/>
      <w:adjustRightInd w:val="0"/>
      <w:spacing w:line="400" w:lineRule="exact"/>
      <w:ind w:firstLine="200" w:firstLineChars="200"/>
      <w:jc w:val="both"/>
    </w:pPr>
    <w:rPr>
      <w:rFonts w:ascii="宋体" w:hAnsi="Times New Roman" w:eastAsia="宋体" w:cs="宋体"/>
      <w:color w:val="000000"/>
      <w:sz w:val="24"/>
      <w:szCs w:val="24"/>
      <w:lang w:val="en-US" w:eastAsia="zh-CN" w:bidi="ar-SA"/>
    </w:rPr>
  </w:style>
  <w:style w:type="paragraph" w:styleId="4">
    <w:name w:val="Date"/>
    <w:basedOn w:val="1"/>
    <w:next w:val="1"/>
    <w:link w:val="78"/>
    <w:qFormat/>
    <w:uiPriority w:val="99"/>
    <w:pPr>
      <w:ind w:left="100" w:leftChars="2500"/>
    </w:pPr>
    <w:rPr>
      <w:rFonts w:ascii="宋体" w:hAnsi="Courier New" w:cs="Courier New"/>
      <w:szCs w:val="21"/>
    </w:rPr>
  </w:style>
  <w:style w:type="paragraph" w:styleId="10">
    <w:name w:val="Normal Indent"/>
    <w:basedOn w:val="1"/>
    <w:link w:val="67"/>
    <w:qFormat/>
    <w:uiPriority w:val="99"/>
    <w:pPr>
      <w:ind w:firstLine="420"/>
    </w:pPr>
    <w:rPr>
      <w:szCs w:val="20"/>
    </w:rPr>
  </w:style>
  <w:style w:type="paragraph" w:styleId="15">
    <w:name w:val="toc 7"/>
    <w:basedOn w:val="1"/>
    <w:next w:val="1"/>
    <w:qFormat/>
    <w:uiPriority w:val="99"/>
    <w:pPr>
      <w:spacing w:line="360" w:lineRule="auto"/>
      <w:ind w:left="1440" w:firstLine="200" w:firstLineChars="200"/>
      <w:jc w:val="left"/>
    </w:pPr>
    <w:rPr>
      <w:rFonts w:ascii="Calibri" w:hAnsi="Calibri"/>
      <w:sz w:val="20"/>
      <w:szCs w:val="20"/>
    </w:rPr>
  </w:style>
  <w:style w:type="paragraph" w:styleId="16">
    <w:name w:val="table of authorities"/>
    <w:basedOn w:val="1"/>
    <w:next w:val="1"/>
    <w:link w:val="72"/>
    <w:semiHidden/>
    <w:qFormat/>
    <w:uiPriority w:val="0"/>
    <w:pPr>
      <w:ind w:left="420" w:leftChars="200"/>
    </w:pPr>
  </w:style>
  <w:style w:type="paragraph" w:styleId="17">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8">
    <w:name w:val="caption"/>
    <w:basedOn w:val="1"/>
    <w:next w:val="1"/>
    <w:qFormat/>
    <w:uiPriority w:val="99"/>
    <w:pPr>
      <w:spacing w:before="152" w:after="160"/>
    </w:pPr>
    <w:rPr>
      <w:rFonts w:ascii="Arial" w:hAnsi="Arial" w:eastAsia="黑体" w:cs="Arial"/>
      <w:sz w:val="20"/>
      <w:szCs w:val="20"/>
    </w:rPr>
  </w:style>
  <w:style w:type="paragraph" w:styleId="19">
    <w:name w:val="Document Map"/>
    <w:basedOn w:val="1"/>
    <w:link w:val="73"/>
    <w:semiHidden/>
    <w:qFormat/>
    <w:uiPriority w:val="99"/>
    <w:pPr>
      <w:shd w:val="clear" w:color="auto" w:fill="000080"/>
    </w:pPr>
  </w:style>
  <w:style w:type="paragraph" w:styleId="20">
    <w:name w:val="annotation text"/>
    <w:basedOn w:val="1"/>
    <w:link w:val="74"/>
    <w:qFormat/>
    <w:uiPriority w:val="99"/>
    <w:pPr>
      <w:jc w:val="left"/>
    </w:pPr>
  </w:style>
  <w:style w:type="paragraph" w:styleId="21">
    <w:name w:val="Body Text 3"/>
    <w:basedOn w:val="1"/>
    <w:link w:val="75"/>
    <w:qFormat/>
    <w:uiPriority w:val="0"/>
    <w:pPr>
      <w:spacing w:line="500" w:lineRule="exact"/>
    </w:pPr>
    <w:rPr>
      <w:b/>
      <w:bCs/>
      <w:sz w:val="24"/>
    </w:rPr>
  </w:style>
  <w:style w:type="paragraph" w:styleId="22">
    <w:name w:val="Body Text Indent"/>
    <w:basedOn w:val="1"/>
    <w:link w:val="76"/>
    <w:qFormat/>
    <w:uiPriority w:val="99"/>
    <w:pPr>
      <w:ind w:firstLine="830" w:firstLineChars="352"/>
    </w:pPr>
    <w:rPr>
      <w:rFonts w:ascii="仿宋_GB2312" w:eastAsia="仿宋_GB2312"/>
      <w:sz w:val="32"/>
      <w:szCs w:val="20"/>
    </w:rPr>
  </w:style>
  <w:style w:type="paragraph" w:styleId="23">
    <w:name w:val="List Number 3"/>
    <w:basedOn w:val="1"/>
    <w:qFormat/>
    <w:uiPriority w:val="99"/>
    <w:pPr>
      <w:tabs>
        <w:tab w:val="left" w:pos="360"/>
      </w:tabs>
      <w:ind w:left="360" w:hanging="360"/>
    </w:pPr>
  </w:style>
  <w:style w:type="paragraph" w:styleId="24">
    <w:name w:val="List 2"/>
    <w:basedOn w:val="1"/>
    <w:qFormat/>
    <w:uiPriority w:val="99"/>
    <w:pPr>
      <w:ind w:left="100" w:leftChars="200" w:hanging="200" w:hangingChars="200"/>
    </w:pPr>
    <w:rPr>
      <w:sz w:val="28"/>
    </w:rPr>
  </w:style>
  <w:style w:type="paragraph" w:styleId="25">
    <w:name w:val="toc 5"/>
    <w:basedOn w:val="1"/>
    <w:next w:val="1"/>
    <w:qFormat/>
    <w:uiPriority w:val="99"/>
    <w:pPr>
      <w:spacing w:line="360" w:lineRule="auto"/>
      <w:ind w:left="960" w:firstLine="200" w:firstLineChars="200"/>
      <w:jc w:val="left"/>
    </w:pPr>
    <w:rPr>
      <w:rFonts w:ascii="Calibri" w:hAnsi="Calibri"/>
      <w:sz w:val="20"/>
      <w:szCs w:val="20"/>
    </w:rPr>
  </w:style>
  <w:style w:type="paragraph" w:styleId="26">
    <w:name w:val="toc 3"/>
    <w:basedOn w:val="1"/>
    <w:next w:val="1"/>
    <w:qFormat/>
    <w:uiPriority w:val="99"/>
    <w:pPr>
      <w:ind w:left="840" w:leftChars="400"/>
    </w:pPr>
  </w:style>
  <w:style w:type="paragraph" w:styleId="27">
    <w:name w:val="Plain Text"/>
    <w:basedOn w:val="1"/>
    <w:link w:val="77"/>
    <w:qFormat/>
    <w:uiPriority w:val="0"/>
    <w:rPr>
      <w:rFonts w:ascii="宋体" w:hAnsi="Courier New" w:cs="Courier New"/>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szCs w:val="20"/>
    </w:rPr>
  </w:style>
  <w:style w:type="paragraph" w:styleId="29">
    <w:name w:val="Body Text Indent 2"/>
    <w:basedOn w:val="1"/>
    <w:link w:val="79"/>
    <w:qFormat/>
    <w:uiPriority w:val="99"/>
    <w:pPr>
      <w:ind w:firstLine="630"/>
    </w:pPr>
    <w:rPr>
      <w:sz w:val="32"/>
      <w:szCs w:val="20"/>
    </w:rPr>
  </w:style>
  <w:style w:type="paragraph" w:styleId="30">
    <w:name w:val="endnote text"/>
    <w:basedOn w:val="1"/>
    <w:link w:val="80"/>
    <w:qFormat/>
    <w:uiPriority w:val="99"/>
    <w:pPr>
      <w:snapToGrid w:val="0"/>
      <w:spacing w:line="480" w:lineRule="exact"/>
      <w:jc w:val="left"/>
    </w:pPr>
    <w:rPr>
      <w:rFonts w:ascii="微软雅黑" w:hAnsi="微软雅黑" w:eastAsia="微软雅黑"/>
      <w:kern w:val="0"/>
      <w:sz w:val="20"/>
      <w:szCs w:val="20"/>
    </w:rPr>
  </w:style>
  <w:style w:type="paragraph" w:styleId="31">
    <w:name w:val="Balloon Text"/>
    <w:basedOn w:val="1"/>
    <w:link w:val="81"/>
    <w:qFormat/>
    <w:uiPriority w:val="99"/>
    <w:rPr>
      <w:sz w:val="18"/>
      <w:szCs w:val="18"/>
    </w:rPr>
  </w:style>
  <w:style w:type="paragraph" w:styleId="32">
    <w:name w:val="footer"/>
    <w:basedOn w:val="1"/>
    <w:next w:val="1"/>
    <w:link w:val="82"/>
    <w:qFormat/>
    <w:uiPriority w:val="0"/>
    <w:pPr>
      <w:tabs>
        <w:tab w:val="center" w:pos="4153"/>
        <w:tab w:val="right" w:pos="8306"/>
      </w:tabs>
      <w:snapToGrid w:val="0"/>
      <w:jc w:val="left"/>
    </w:pPr>
    <w:rPr>
      <w:sz w:val="18"/>
      <w:szCs w:val="18"/>
    </w:rPr>
  </w:style>
  <w:style w:type="paragraph" w:styleId="33">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link w:val="84"/>
    <w:qFormat/>
    <w:uiPriority w:val="39"/>
  </w:style>
  <w:style w:type="paragraph" w:styleId="35">
    <w:name w:val="toc 4"/>
    <w:basedOn w:val="1"/>
    <w:next w:val="1"/>
    <w:qFormat/>
    <w:uiPriority w:val="99"/>
    <w:pPr>
      <w:spacing w:line="360" w:lineRule="auto"/>
      <w:ind w:left="720" w:firstLine="200" w:firstLineChars="200"/>
      <w:jc w:val="left"/>
    </w:pPr>
    <w:rPr>
      <w:rFonts w:ascii="Calibri" w:hAnsi="Calibri"/>
      <w:sz w:val="20"/>
      <w:szCs w:val="20"/>
    </w:rPr>
  </w:style>
  <w:style w:type="paragraph" w:styleId="36">
    <w:name w:val="Subtitle"/>
    <w:basedOn w:val="1"/>
    <w:next w:val="1"/>
    <w:link w:val="85"/>
    <w:qFormat/>
    <w:uiPriority w:val="99"/>
    <w:pPr>
      <w:widowControl/>
      <w:spacing w:after="200" w:line="276" w:lineRule="auto"/>
      <w:jc w:val="left"/>
    </w:pPr>
    <w:rPr>
      <w:rFonts w:ascii="Cambria" w:hAnsi="Cambria"/>
      <w:i/>
      <w:iCs/>
      <w:color w:val="4F81BD"/>
      <w:spacing w:val="15"/>
      <w:kern w:val="0"/>
      <w:sz w:val="20"/>
      <w:szCs w:val="20"/>
    </w:rPr>
  </w:style>
  <w:style w:type="paragraph" w:styleId="37">
    <w:name w:val="List"/>
    <w:basedOn w:val="1"/>
    <w:qFormat/>
    <w:uiPriority w:val="99"/>
    <w:pPr>
      <w:ind w:left="200" w:hanging="200" w:hangingChars="200"/>
    </w:pPr>
    <w:rPr>
      <w:sz w:val="28"/>
    </w:rPr>
  </w:style>
  <w:style w:type="paragraph" w:styleId="38">
    <w:name w:val="footnote text"/>
    <w:basedOn w:val="1"/>
    <w:link w:val="86"/>
    <w:qFormat/>
    <w:uiPriority w:val="99"/>
    <w:pPr>
      <w:snapToGrid w:val="0"/>
      <w:spacing w:afterLines="50" w:line="360" w:lineRule="auto"/>
      <w:ind w:firstLine="200" w:firstLineChars="200"/>
      <w:jc w:val="left"/>
    </w:pPr>
    <w:rPr>
      <w:rFonts w:ascii="Arial" w:hAnsi="Arial" w:cs="Arial"/>
      <w:kern w:val="0"/>
      <w:sz w:val="18"/>
      <w:szCs w:val="18"/>
    </w:rPr>
  </w:style>
  <w:style w:type="paragraph" w:styleId="39">
    <w:name w:val="toc 6"/>
    <w:basedOn w:val="1"/>
    <w:next w:val="1"/>
    <w:qFormat/>
    <w:uiPriority w:val="99"/>
    <w:pPr>
      <w:spacing w:line="360" w:lineRule="auto"/>
      <w:ind w:left="1200" w:firstLine="200" w:firstLineChars="200"/>
      <w:jc w:val="left"/>
    </w:pPr>
    <w:rPr>
      <w:rFonts w:ascii="Calibri" w:hAnsi="Calibri"/>
      <w:sz w:val="20"/>
      <w:szCs w:val="20"/>
    </w:rPr>
  </w:style>
  <w:style w:type="paragraph" w:styleId="40">
    <w:name w:val="Body Text Indent 3"/>
    <w:basedOn w:val="1"/>
    <w:link w:val="87"/>
    <w:qFormat/>
    <w:uiPriority w:val="99"/>
    <w:pPr>
      <w:spacing w:after="120"/>
      <w:ind w:left="420" w:leftChars="200"/>
    </w:pPr>
    <w:rPr>
      <w:sz w:val="16"/>
      <w:szCs w:val="16"/>
    </w:rPr>
  </w:style>
  <w:style w:type="paragraph" w:styleId="41">
    <w:name w:val="toc 9"/>
    <w:basedOn w:val="1"/>
    <w:next w:val="1"/>
    <w:semiHidden/>
    <w:qFormat/>
    <w:uiPriority w:val="99"/>
    <w:pPr>
      <w:tabs>
        <w:tab w:val="right" w:leader="dot" w:pos="9185"/>
      </w:tabs>
      <w:spacing w:line="420" w:lineRule="exact"/>
      <w:ind w:firstLine="422" w:firstLineChars="200"/>
      <w:jc w:val="left"/>
      <w:outlineLvl w:val="0"/>
    </w:pPr>
    <w:rPr>
      <w:b/>
    </w:rPr>
  </w:style>
  <w:style w:type="paragraph" w:styleId="42">
    <w:name w:val="Body Text 2"/>
    <w:basedOn w:val="1"/>
    <w:link w:val="88"/>
    <w:qFormat/>
    <w:uiPriority w:val="99"/>
    <w:pPr>
      <w:spacing w:after="120" w:line="480" w:lineRule="auto"/>
    </w:pPr>
  </w:style>
  <w:style w:type="paragraph" w:styleId="43">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0"/>
      <w:szCs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99"/>
  </w:style>
  <w:style w:type="paragraph" w:styleId="46">
    <w:name w:val="Title"/>
    <w:basedOn w:val="1"/>
    <w:next w:val="1"/>
    <w:link w:val="90"/>
    <w:qFormat/>
    <w:uiPriority w:val="99"/>
    <w:pPr>
      <w:spacing w:line="300" w:lineRule="auto"/>
      <w:ind w:left="100" w:leftChars="100" w:right="100" w:rightChars="100" w:firstLine="200" w:firstLineChars="200"/>
      <w:jc w:val="left"/>
      <w:outlineLvl w:val="0"/>
    </w:pPr>
    <w:rPr>
      <w:rFonts w:ascii="Cambria" w:hAnsi="Cambria" w:eastAsia="方正小标宋_GBK"/>
      <w:b/>
      <w:bCs/>
      <w:kern w:val="0"/>
      <w:sz w:val="44"/>
      <w:szCs w:val="32"/>
    </w:rPr>
  </w:style>
  <w:style w:type="paragraph" w:styleId="47">
    <w:name w:val="annotation subject"/>
    <w:basedOn w:val="20"/>
    <w:next w:val="20"/>
    <w:link w:val="91"/>
    <w:qFormat/>
    <w:uiPriority w:val="99"/>
    <w:rPr>
      <w:b/>
      <w:bCs/>
    </w:rPr>
  </w:style>
  <w:style w:type="paragraph" w:styleId="48">
    <w:name w:val="Body Text First Indent 2"/>
    <w:basedOn w:val="22"/>
    <w:link w:val="92"/>
    <w:qFormat/>
    <w:uiPriority w:val="99"/>
    <w:pPr>
      <w:spacing w:after="120"/>
      <w:ind w:left="420" w:leftChars="200" w:firstLine="420" w:firstLineChars="200"/>
    </w:pPr>
    <w:rPr>
      <w:rFonts w:ascii="Times New Roman" w:eastAsia="宋体"/>
      <w:sz w:val="21"/>
      <w:szCs w:val="24"/>
    </w:r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1">
    <w:name w:val="Table Theme"/>
    <w:basedOn w:val="49"/>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endnote reference"/>
    <w:qFormat/>
    <w:uiPriority w:val="0"/>
    <w:rPr>
      <w:vertAlign w:val="superscript"/>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color w:val="CC0033"/>
    </w:rPr>
  </w:style>
  <w:style w:type="character" w:styleId="58">
    <w:name w:val="Hyperlink"/>
    <w:qFormat/>
    <w:uiPriority w:val="0"/>
    <w:rPr>
      <w:color w:val="0000FF"/>
      <w:u w:val="single"/>
    </w:rPr>
  </w:style>
  <w:style w:type="character" w:styleId="59">
    <w:name w:val="annotation reference"/>
    <w:qFormat/>
    <w:uiPriority w:val="99"/>
    <w:rPr>
      <w:sz w:val="21"/>
      <w:szCs w:val="21"/>
    </w:rPr>
  </w:style>
  <w:style w:type="character" w:styleId="60">
    <w:name w:val="footnote reference"/>
    <w:qFormat/>
    <w:uiPriority w:val="0"/>
    <w:rPr>
      <w:vertAlign w:val="superscript"/>
    </w:rPr>
  </w:style>
  <w:style w:type="character" w:customStyle="1" w:styleId="61">
    <w:name w:val="正文文本 字符"/>
    <w:link w:val="2"/>
    <w:qFormat/>
    <w:uiPriority w:val="99"/>
    <w:rPr>
      <w:kern w:val="2"/>
      <w:sz w:val="24"/>
      <w:szCs w:val="24"/>
    </w:rPr>
  </w:style>
  <w:style w:type="character" w:customStyle="1" w:styleId="62">
    <w:name w:val="标题 1 字符"/>
    <w:link w:val="5"/>
    <w:qFormat/>
    <w:uiPriority w:val="0"/>
    <w:rPr>
      <w:rFonts w:eastAsia="仿宋_GB2312"/>
      <w:b/>
      <w:bCs/>
      <w:kern w:val="44"/>
      <w:sz w:val="44"/>
      <w:szCs w:val="44"/>
      <w:lang w:val="en-US" w:eastAsia="zh-CN" w:bidi="ar-SA"/>
    </w:rPr>
  </w:style>
  <w:style w:type="character" w:customStyle="1" w:styleId="63">
    <w:name w:val="标题 2 字符"/>
    <w:link w:val="6"/>
    <w:qFormat/>
    <w:uiPriority w:val="0"/>
    <w:rPr>
      <w:rFonts w:ascii="Arial" w:hAnsi="Arial" w:eastAsia="黑体"/>
      <w:b/>
      <w:bCs/>
      <w:kern w:val="2"/>
      <w:sz w:val="32"/>
      <w:szCs w:val="32"/>
      <w:lang w:val="en-US" w:eastAsia="zh-CN" w:bidi="ar-SA"/>
    </w:rPr>
  </w:style>
  <w:style w:type="character" w:customStyle="1" w:styleId="64">
    <w:name w:val="标题 3 字符"/>
    <w:link w:val="7"/>
    <w:qFormat/>
    <w:uiPriority w:val="0"/>
    <w:rPr>
      <w:rFonts w:ascii="宋体" w:hAnsi="Courier New" w:eastAsia="宋体"/>
      <w:b/>
      <w:bCs/>
      <w:kern w:val="2"/>
      <w:sz w:val="32"/>
      <w:szCs w:val="32"/>
      <w:lang w:val="en-US" w:eastAsia="zh-CN" w:bidi="ar-SA"/>
    </w:rPr>
  </w:style>
  <w:style w:type="character" w:customStyle="1" w:styleId="65">
    <w:name w:val="标题 4 字符"/>
    <w:link w:val="8"/>
    <w:qFormat/>
    <w:locked/>
    <w:uiPriority w:val="9"/>
    <w:rPr>
      <w:rFonts w:ascii="Arial" w:hAnsi="Arial" w:eastAsia="黑体"/>
      <w:b/>
      <w:bCs/>
      <w:kern w:val="2"/>
      <w:sz w:val="28"/>
      <w:szCs w:val="28"/>
      <w:lang w:val="en-US" w:eastAsia="zh-CN" w:bidi="ar-SA"/>
    </w:rPr>
  </w:style>
  <w:style w:type="character" w:customStyle="1" w:styleId="66">
    <w:name w:val="标题 5 字符"/>
    <w:link w:val="9"/>
    <w:qFormat/>
    <w:locked/>
    <w:uiPriority w:val="0"/>
    <w:rPr>
      <w:rFonts w:eastAsia="宋体"/>
      <w:b/>
      <w:kern w:val="2"/>
      <w:sz w:val="28"/>
      <w:szCs w:val="24"/>
      <w:lang w:bidi="ar-SA"/>
    </w:rPr>
  </w:style>
  <w:style w:type="character" w:customStyle="1" w:styleId="67">
    <w:name w:val="正文缩进 字符"/>
    <w:link w:val="10"/>
    <w:qFormat/>
    <w:locked/>
    <w:uiPriority w:val="99"/>
    <w:rPr>
      <w:rFonts w:eastAsia="宋体"/>
      <w:kern w:val="2"/>
      <w:sz w:val="21"/>
      <w:lang w:val="en-US" w:eastAsia="zh-CN" w:bidi="ar-SA"/>
    </w:rPr>
  </w:style>
  <w:style w:type="character" w:customStyle="1" w:styleId="68">
    <w:name w:val="标题 6 字符"/>
    <w:link w:val="11"/>
    <w:qFormat/>
    <w:locked/>
    <w:uiPriority w:val="0"/>
    <w:rPr>
      <w:rFonts w:ascii="Arial" w:hAnsi="Arial" w:eastAsia="黑体"/>
      <w:b/>
      <w:kern w:val="2"/>
      <w:sz w:val="24"/>
      <w:szCs w:val="24"/>
      <w:lang w:bidi="ar-SA"/>
    </w:rPr>
  </w:style>
  <w:style w:type="character" w:customStyle="1" w:styleId="69">
    <w:name w:val="标题 7 字符"/>
    <w:link w:val="12"/>
    <w:qFormat/>
    <w:locked/>
    <w:uiPriority w:val="99"/>
    <w:rPr>
      <w:rFonts w:eastAsia="宋体"/>
      <w:b/>
      <w:kern w:val="2"/>
      <w:sz w:val="24"/>
      <w:szCs w:val="24"/>
      <w:lang w:bidi="ar-SA"/>
    </w:rPr>
  </w:style>
  <w:style w:type="character" w:customStyle="1" w:styleId="70">
    <w:name w:val="标题 8 字符"/>
    <w:link w:val="13"/>
    <w:qFormat/>
    <w:locked/>
    <w:uiPriority w:val="99"/>
    <w:rPr>
      <w:rFonts w:ascii="Arial" w:hAnsi="Arial" w:eastAsia="黑体"/>
      <w:kern w:val="2"/>
      <w:sz w:val="24"/>
      <w:szCs w:val="24"/>
      <w:lang w:bidi="ar-SA"/>
    </w:rPr>
  </w:style>
  <w:style w:type="character" w:customStyle="1" w:styleId="71">
    <w:name w:val="标题 9 字符"/>
    <w:link w:val="14"/>
    <w:qFormat/>
    <w:locked/>
    <w:uiPriority w:val="99"/>
    <w:rPr>
      <w:rFonts w:ascii="Arial" w:hAnsi="Arial" w:eastAsia="黑体"/>
      <w:kern w:val="2"/>
      <w:sz w:val="21"/>
      <w:szCs w:val="24"/>
      <w:lang w:bidi="ar-SA"/>
    </w:rPr>
  </w:style>
  <w:style w:type="character" w:customStyle="1" w:styleId="72">
    <w:name w:val="引文目录 字符"/>
    <w:link w:val="16"/>
    <w:qFormat/>
    <w:uiPriority w:val="0"/>
    <w:rPr>
      <w:rFonts w:eastAsia="宋体"/>
      <w:kern w:val="2"/>
      <w:sz w:val="21"/>
      <w:szCs w:val="24"/>
      <w:lang w:val="en-US" w:eastAsia="zh-CN" w:bidi="ar-SA"/>
    </w:rPr>
  </w:style>
  <w:style w:type="character" w:customStyle="1" w:styleId="73">
    <w:name w:val="文档结构图 字符"/>
    <w:link w:val="19"/>
    <w:qFormat/>
    <w:locked/>
    <w:uiPriority w:val="99"/>
    <w:rPr>
      <w:rFonts w:eastAsia="宋体"/>
      <w:kern w:val="2"/>
      <w:sz w:val="21"/>
      <w:szCs w:val="24"/>
      <w:lang w:val="en-US" w:eastAsia="zh-CN" w:bidi="ar-SA"/>
    </w:rPr>
  </w:style>
  <w:style w:type="character" w:customStyle="1" w:styleId="74">
    <w:name w:val="批注文字 字符"/>
    <w:link w:val="20"/>
    <w:qFormat/>
    <w:locked/>
    <w:uiPriority w:val="99"/>
    <w:rPr>
      <w:rFonts w:eastAsia="宋体"/>
      <w:kern w:val="2"/>
      <w:sz w:val="21"/>
      <w:szCs w:val="24"/>
      <w:lang w:val="en-US" w:eastAsia="zh-CN" w:bidi="ar-SA"/>
    </w:rPr>
  </w:style>
  <w:style w:type="character" w:customStyle="1" w:styleId="75">
    <w:name w:val="正文文本 3 字符"/>
    <w:link w:val="21"/>
    <w:qFormat/>
    <w:uiPriority w:val="0"/>
    <w:rPr>
      <w:b/>
      <w:bCs/>
      <w:kern w:val="2"/>
      <w:sz w:val="24"/>
      <w:szCs w:val="24"/>
    </w:rPr>
  </w:style>
  <w:style w:type="character" w:customStyle="1" w:styleId="76">
    <w:name w:val="正文文本缩进 字符"/>
    <w:link w:val="22"/>
    <w:qFormat/>
    <w:uiPriority w:val="99"/>
    <w:rPr>
      <w:rFonts w:ascii="仿宋_GB2312" w:eastAsia="仿宋_GB2312"/>
      <w:kern w:val="2"/>
      <w:sz w:val="32"/>
      <w:lang w:val="en-US" w:eastAsia="zh-CN" w:bidi="ar-SA"/>
    </w:rPr>
  </w:style>
  <w:style w:type="character" w:customStyle="1" w:styleId="77">
    <w:name w:val="纯文本 字符1"/>
    <w:link w:val="27"/>
    <w:qFormat/>
    <w:uiPriority w:val="99"/>
    <w:rPr>
      <w:rFonts w:ascii="宋体" w:hAnsi="Courier New" w:eastAsia="宋体" w:cs="Courier New"/>
      <w:kern w:val="2"/>
      <w:sz w:val="21"/>
      <w:szCs w:val="21"/>
      <w:lang w:val="en-US" w:eastAsia="zh-CN" w:bidi="ar-SA"/>
    </w:rPr>
  </w:style>
  <w:style w:type="character" w:customStyle="1" w:styleId="78">
    <w:name w:val="日期 字符"/>
    <w:link w:val="4"/>
    <w:qFormat/>
    <w:locked/>
    <w:uiPriority w:val="99"/>
    <w:rPr>
      <w:rFonts w:ascii="宋体" w:hAnsi="Courier New" w:eastAsia="宋体" w:cs="Courier New"/>
      <w:kern w:val="2"/>
      <w:sz w:val="21"/>
      <w:szCs w:val="21"/>
      <w:lang w:val="en-US" w:eastAsia="zh-CN" w:bidi="ar-SA"/>
    </w:rPr>
  </w:style>
  <w:style w:type="character" w:customStyle="1" w:styleId="79">
    <w:name w:val="正文文本缩进 2 字符"/>
    <w:link w:val="29"/>
    <w:qFormat/>
    <w:uiPriority w:val="99"/>
    <w:rPr>
      <w:kern w:val="2"/>
      <w:sz w:val="32"/>
    </w:rPr>
  </w:style>
  <w:style w:type="character" w:customStyle="1" w:styleId="80">
    <w:name w:val="尾注文本 字符"/>
    <w:link w:val="30"/>
    <w:semiHidden/>
    <w:qFormat/>
    <w:locked/>
    <w:uiPriority w:val="99"/>
    <w:rPr>
      <w:rFonts w:ascii="微软雅黑" w:hAnsi="微软雅黑" w:eastAsia="微软雅黑"/>
      <w:lang w:bidi="ar-SA"/>
    </w:rPr>
  </w:style>
  <w:style w:type="character" w:customStyle="1" w:styleId="81">
    <w:name w:val="批注框文本 字符"/>
    <w:link w:val="31"/>
    <w:qFormat/>
    <w:locked/>
    <w:uiPriority w:val="99"/>
    <w:rPr>
      <w:rFonts w:eastAsia="宋体"/>
      <w:kern w:val="2"/>
      <w:sz w:val="18"/>
      <w:szCs w:val="18"/>
      <w:lang w:val="en-US" w:eastAsia="zh-CN" w:bidi="ar-SA"/>
    </w:rPr>
  </w:style>
  <w:style w:type="character" w:customStyle="1" w:styleId="82">
    <w:name w:val="页脚 字符"/>
    <w:link w:val="32"/>
    <w:qFormat/>
    <w:uiPriority w:val="99"/>
    <w:rPr>
      <w:rFonts w:eastAsia="宋体"/>
      <w:kern w:val="2"/>
      <w:sz w:val="18"/>
      <w:szCs w:val="18"/>
      <w:lang w:val="en-US" w:eastAsia="zh-CN" w:bidi="ar-SA"/>
    </w:rPr>
  </w:style>
  <w:style w:type="character" w:customStyle="1" w:styleId="83">
    <w:name w:val="页眉 字符"/>
    <w:link w:val="33"/>
    <w:qFormat/>
    <w:uiPriority w:val="99"/>
    <w:rPr>
      <w:rFonts w:eastAsia="宋体"/>
      <w:kern w:val="2"/>
      <w:sz w:val="18"/>
      <w:szCs w:val="18"/>
      <w:lang w:val="en-US" w:eastAsia="zh-CN" w:bidi="ar-SA"/>
    </w:rPr>
  </w:style>
  <w:style w:type="character" w:customStyle="1" w:styleId="84">
    <w:name w:val="TOC 1 字符"/>
    <w:link w:val="34"/>
    <w:qFormat/>
    <w:uiPriority w:val="39"/>
    <w:rPr>
      <w:kern w:val="2"/>
      <w:sz w:val="21"/>
      <w:szCs w:val="24"/>
    </w:rPr>
  </w:style>
  <w:style w:type="character" w:customStyle="1" w:styleId="85">
    <w:name w:val="副标题 字符"/>
    <w:link w:val="36"/>
    <w:qFormat/>
    <w:locked/>
    <w:uiPriority w:val="99"/>
    <w:rPr>
      <w:rFonts w:ascii="Cambria" w:hAnsi="Cambria" w:eastAsia="宋体"/>
      <w:i/>
      <w:iCs/>
      <w:color w:val="4F81BD"/>
      <w:spacing w:val="15"/>
      <w:lang w:bidi="ar-SA"/>
    </w:rPr>
  </w:style>
  <w:style w:type="character" w:customStyle="1" w:styleId="86">
    <w:name w:val="脚注文本 字符"/>
    <w:link w:val="38"/>
    <w:qFormat/>
    <w:locked/>
    <w:uiPriority w:val="99"/>
    <w:rPr>
      <w:rFonts w:ascii="Arial" w:hAnsi="Arial" w:eastAsia="宋体" w:cs="Arial"/>
      <w:sz w:val="18"/>
      <w:szCs w:val="18"/>
      <w:lang w:bidi="ar-SA"/>
    </w:rPr>
  </w:style>
  <w:style w:type="character" w:customStyle="1" w:styleId="87">
    <w:name w:val="正文文本缩进 3 字符"/>
    <w:link w:val="40"/>
    <w:qFormat/>
    <w:uiPriority w:val="99"/>
    <w:rPr>
      <w:rFonts w:eastAsia="宋体"/>
      <w:kern w:val="2"/>
      <w:sz w:val="16"/>
      <w:szCs w:val="16"/>
      <w:lang w:val="en-US" w:eastAsia="zh-CN" w:bidi="ar-SA"/>
    </w:rPr>
  </w:style>
  <w:style w:type="character" w:customStyle="1" w:styleId="88">
    <w:name w:val="正文文本 2 字符"/>
    <w:link w:val="42"/>
    <w:qFormat/>
    <w:uiPriority w:val="99"/>
    <w:rPr>
      <w:kern w:val="2"/>
      <w:sz w:val="21"/>
      <w:szCs w:val="24"/>
    </w:rPr>
  </w:style>
  <w:style w:type="character" w:customStyle="1" w:styleId="89">
    <w:name w:val="HTML 预设格式 字符"/>
    <w:link w:val="43"/>
    <w:qFormat/>
    <w:locked/>
    <w:uiPriority w:val="0"/>
    <w:rPr>
      <w:rFonts w:ascii="Arial" w:hAnsi="Arial" w:cs="Arial"/>
      <w:lang w:bidi="ar-SA"/>
    </w:rPr>
  </w:style>
  <w:style w:type="character" w:customStyle="1" w:styleId="90">
    <w:name w:val="标题 字符"/>
    <w:link w:val="46"/>
    <w:qFormat/>
    <w:locked/>
    <w:uiPriority w:val="99"/>
    <w:rPr>
      <w:rFonts w:ascii="Cambria" w:hAnsi="Cambria" w:eastAsia="方正小标宋_GBK"/>
      <w:b/>
      <w:bCs/>
      <w:sz w:val="44"/>
      <w:szCs w:val="32"/>
    </w:rPr>
  </w:style>
  <w:style w:type="character" w:customStyle="1" w:styleId="91">
    <w:name w:val="批注主题 字符"/>
    <w:link w:val="47"/>
    <w:qFormat/>
    <w:locked/>
    <w:uiPriority w:val="99"/>
    <w:rPr>
      <w:rFonts w:eastAsia="宋体"/>
      <w:b/>
      <w:bCs/>
      <w:kern w:val="2"/>
      <w:sz w:val="21"/>
      <w:szCs w:val="24"/>
      <w:lang w:val="en-US" w:eastAsia="zh-CN" w:bidi="ar-SA"/>
    </w:rPr>
  </w:style>
  <w:style w:type="character" w:customStyle="1" w:styleId="92">
    <w:name w:val="正文文本首行缩进 2 字符"/>
    <w:link w:val="48"/>
    <w:qFormat/>
    <w:uiPriority w:val="99"/>
    <w:rPr>
      <w:rFonts w:ascii="仿宋_GB2312" w:eastAsia="仿宋_GB2312"/>
      <w:kern w:val="2"/>
      <w:sz w:val="21"/>
      <w:szCs w:val="24"/>
      <w:lang w:val="en-US" w:eastAsia="zh-CN" w:bidi="ar-SA"/>
    </w:rPr>
  </w:style>
  <w:style w:type="character" w:customStyle="1" w:styleId="93">
    <w:name w:val="OK Char1"/>
    <w:link w:val="94"/>
    <w:qFormat/>
    <w:locked/>
    <w:uiPriority w:val="0"/>
    <w:rPr>
      <w:rFonts w:ascii="宋体" w:hAnsi="宋体" w:eastAsia="宋体"/>
      <w:bCs/>
      <w:lang w:bidi="ar-SA"/>
    </w:rPr>
  </w:style>
  <w:style w:type="paragraph" w:customStyle="1" w:styleId="94">
    <w:name w:val="OK"/>
    <w:basedOn w:val="1"/>
    <w:link w:val="93"/>
    <w:qFormat/>
    <w:uiPriority w:val="0"/>
    <w:pPr>
      <w:spacing w:line="400" w:lineRule="exact"/>
      <w:ind w:firstLine="200" w:firstLineChars="200"/>
      <w:jc w:val="left"/>
    </w:pPr>
    <w:rPr>
      <w:rFonts w:ascii="宋体" w:hAnsi="宋体"/>
      <w:bCs/>
      <w:kern w:val="0"/>
      <w:sz w:val="20"/>
      <w:szCs w:val="20"/>
    </w:rPr>
  </w:style>
  <w:style w:type="character" w:customStyle="1" w:styleId="95">
    <w:name w:val="Char Char21"/>
    <w:qFormat/>
    <w:locked/>
    <w:uiPriority w:val="0"/>
    <w:rPr>
      <w:rFonts w:ascii="Arial" w:hAnsi="Arial" w:eastAsia="微软雅黑"/>
      <w:b/>
      <w:sz w:val="28"/>
      <w:szCs w:val="28"/>
      <w:lang w:bidi="ar-SA"/>
    </w:rPr>
  </w:style>
  <w:style w:type="character" w:customStyle="1" w:styleId="96">
    <w:name w:val="1ji Char"/>
    <w:link w:val="97"/>
    <w:qFormat/>
    <w:uiPriority w:val="0"/>
    <w:rPr>
      <w:rFonts w:ascii="宋体" w:hAnsi="宋体" w:eastAsia="仿宋_GB2312"/>
      <w:b/>
      <w:bCs/>
      <w:kern w:val="44"/>
      <w:sz w:val="36"/>
      <w:szCs w:val="44"/>
      <w:lang w:val="en-US" w:eastAsia="zh-CN" w:bidi="ar-SA"/>
    </w:rPr>
  </w:style>
  <w:style w:type="paragraph" w:customStyle="1" w:styleId="97">
    <w:name w:val="1ji"/>
    <w:basedOn w:val="5"/>
    <w:link w:val="96"/>
    <w:qFormat/>
    <w:uiPriority w:val="0"/>
    <w:pPr>
      <w:keepLines w:val="0"/>
      <w:widowControl/>
      <w:spacing w:before="0" w:after="0" w:line="240" w:lineRule="auto"/>
    </w:pPr>
    <w:rPr>
      <w:rFonts w:ascii="宋体" w:hAnsi="宋体"/>
      <w:sz w:val="36"/>
    </w:rPr>
  </w:style>
  <w:style w:type="character" w:customStyle="1" w:styleId="98">
    <w:name w:val="Heading 3 Char"/>
    <w:qFormat/>
    <w:locked/>
    <w:uiPriority w:val="0"/>
    <w:rPr>
      <w:rFonts w:ascii="Cambria" w:hAnsi="Cambria" w:eastAsia="宋体"/>
      <w:b/>
      <w:bCs/>
      <w:kern w:val="2"/>
      <w:sz w:val="24"/>
      <w:szCs w:val="32"/>
      <w:lang w:val="en-US" w:eastAsia="zh-CN" w:bidi="ar-SA"/>
    </w:rPr>
  </w:style>
  <w:style w:type="character" w:customStyle="1" w:styleId="99">
    <w:name w:val="明显强调1"/>
    <w:qFormat/>
    <w:uiPriority w:val="0"/>
    <w:rPr>
      <w:b/>
      <w:bCs/>
      <w:i/>
      <w:iCs/>
      <w:color w:val="4F81BD"/>
    </w:rPr>
  </w:style>
  <w:style w:type="character" w:customStyle="1" w:styleId="100">
    <w:name w:val="ca-72"/>
    <w:qFormat/>
    <w:uiPriority w:val="0"/>
  </w:style>
  <w:style w:type="character" w:customStyle="1" w:styleId="101">
    <w:name w:val="明显引用字符"/>
    <w:link w:val="102"/>
    <w:qFormat/>
    <w:locked/>
    <w:uiPriority w:val="0"/>
    <w:rPr>
      <w:rFonts w:ascii="Arial" w:hAnsi="Arial" w:cs="Arial"/>
      <w:b/>
      <w:bCs/>
      <w:i/>
      <w:iCs/>
      <w:color w:val="4F81BD"/>
      <w:lang w:bidi="ar-SA"/>
    </w:rPr>
  </w:style>
  <w:style w:type="paragraph" w:customStyle="1" w:styleId="102">
    <w:name w:val="明显引用1"/>
    <w:basedOn w:val="1"/>
    <w:next w:val="1"/>
    <w:link w:val="101"/>
    <w:qFormat/>
    <w:uiPriority w:val="0"/>
    <w:pPr>
      <w:pBdr>
        <w:bottom w:val="single" w:color="4F81BD" w:sz="4" w:space="4"/>
      </w:pBdr>
      <w:spacing w:before="200" w:line="360" w:lineRule="auto"/>
      <w:ind w:left="936" w:right="936" w:firstLine="200" w:firstLineChars="200"/>
      <w:jc w:val="left"/>
    </w:pPr>
    <w:rPr>
      <w:rFonts w:ascii="Arial" w:hAnsi="Arial" w:cs="Arial"/>
      <w:b/>
      <w:bCs/>
      <w:i/>
      <w:iCs/>
      <w:color w:val="4F81BD"/>
      <w:kern w:val="0"/>
      <w:sz w:val="20"/>
      <w:szCs w:val="20"/>
    </w:rPr>
  </w:style>
  <w:style w:type="character" w:customStyle="1" w:styleId="103">
    <w:name w:val="font201"/>
    <w:qFormat/>
    <w:uiPriority w:val="0"/>
    <w:rPr>
      <w:rFonts w:hint="default" w:ascii="Times New Roman" w:hAnsi="Times New Roman" w:cs="Times New Roman"/>
      <w:color w:val="000000"/>
      <w:sz w:val="21"/>
      <w:szCs w:val="21"/>
      <w:u w:val="none"/>
    </w:rPr>
  </w:style>
  <w:style w:type="character" w:customStyle="1" w:styleId="104">
    <w:name w:val="style31"/>
    <w:qFormat/>
    <w:uiPriority w:val="0"/>
    <w:rPr>
      <w:b/>
      <w:bCs/>
      <w:color w:val="FFFFFF"/>
    </w:rPr>
  </w:style>
  <w:style w:type="character" w:customStyle="1" w:styleId="105">
    <w:name w:val="GTA正文-2 Char Char"/>
    <w:qFormat/>
    <w:locked/>
    <w:uiPriority w:val="0"/>
    <w:rPr>
      <w:rFonts w:hint="default" w:ascii="Arial" w:hAnsi="Arial" w:eastAsia="微软雅黑" w:cs="Arial"/>
      <w:sz w:val="24"/>
    </w:rPr>
  </w:style>
  <w:style w:type="character" w:customStyle="1" w:styleId="106">
    <w:name w:val="GTA标题5 Char"/>
    <w:link w:val="107"/>
    <w:qFormat/>
    <w:locked/>
    <w:uiPriority w:val="0"/>
    <w:rPr>
      <w:rFonts w:ascii="Arial" w:hAnsi="Arial" w:eastAsia="楷体_GB2312"/>
      <w:b/>
      <w:bCs/>
      <w:sz w:val="21"/>
      <w:szCs w:val="21"/>
      <w:lang w:bidi="ar-SA"/>
    </w:rPr>
  </w:style>
  <w:style w:type="paragraph" w:customStyle="1" w:styleId="107">
    <w:name w:val="GTA标题5"/>
    <w:basedOn w:val="9"/>
    <w:link w:val="106"/>
    <w:qFormat/>
    <w:uiPriority w:val="0"/>
    <w:pPr>
      <w:tabs>
        <w:tab w:val="left" w:pos="360"/>
      </w:tabs>
      <w:spacing w:beforeLines="75" w:afterLines="50" w:line="360" w:lineRule="auto"/>
      <w:ind w:left="360" w:hanging="360"/>
    </w:pPr>
    <w:rPr>
      <w:rFonts w:ascii="Arial" w:hAnsi="Arial" w:eastAsia="楷体_GB2312"/>
      <w:bCs/>
      <w:kern w:val="0"/>
      <w:sz w:val="21"/>
      <w:szCs w:val="21"/>
    </w:rPr>
  </w:style>
  <w:style w:type="character" w:customStyle="1" w:styleId="108">
    <w:name w:val="Heading 1 Char"/>
    <w:qFormat/>
    <w:locked/>
    <w:uiPriority w:val="0"/>
    <w:rPr>
      <w:rFonts w:ascii="Arial" w:hAnsi="Arial" w:eastAsia="宋体"/>
      <w:b/>
      <w:bCs/>
      <w:kern w:val="44"/>
      <w:sz w:val="28"/>
      <w:szCs w:val="44"/>
      <w:lang w:val="zh-CN" w:eastAsia="zh-CN" w:bidi="ar-SA"/>
    </w:rPr>
  </w:style>
  <w:style w:type="character" w:customStyle="1" w:styleId="109">
    <w:name w:val="Char Char8"/>
    <w:qFormat/>
    <w:locked/>
    <w:uiPriority w:val="0"/>
    <w:rPr>
      <w:rFonts w:ascii="宋体" w:hAnsi="宋体" w:eastAsia="宋体"/>
      <w:kern w:val="2"/>
      <w:sz w:val="21"/>
      <w:szCs w:val="24"/>
      <w:lang w:val="en-US" w:eastAsia="zh-CN" w:bidi="ar-SA"/>
    </w:rPr>
  </w:style>
  <w:style w:type="character" w:customStyle="1" w:styleId="110">
    <w:name w:val="font31"/>
    <w:qFormat/>
    <w:uiPriority w:val="0"/>
    <w:rPr>
      <w:rFonts w:ascii="宋体" w:hAnsi="宋体" w:eastAsia="宋体" w:cs="宋体"/>
      <w:color w:val="000000"/>
      <w:sz w:val="20"/>
      <w:szCs w:val="20"/>
      <w:u w:val="none"/>
    </w:rPr>
  </w:style>
  <w:style w:type="character" w:customStyle="1" w:styleId="111">
    <w:name w:val="con"/>
    <w:qFormat/>
    <w:uiPriority w:val="0"/>
  </w:style>
  <w:style w:type="character" w:customStyle="1" w:styleId="112">
    <w:name w:val="apple-style-span"/>
    <w:qFormat/>
    <w:uiPriority w:val="0"/>
  </w:style>
  <w:style w:type="character" w:customStyle="1" w:styleId="113">
    <w:name w:val="15"/>
    <w:qFormat/>
    <w:uiPriority w:val="0"/>
    <w:rPr>
      <w:rFonts w:hint="default" w:ascii="Calibri" w:hAnsi="Calibri" w:cs="Calibri"/>
      <w:color w:val="000000"/>
      <w:sz w:val="21"/>
      <w:szCs w:val="21"/>
    </w:rPr>
  </w:style>
  <w:style w:type="character" w:customStyle="1" w:styleId="114">
    <w:name w:val="font11"/>
    <w:basedOn w:val="52"/>
    <w:qFormat/>
    <w:uiPriority w:val="0"/>
    <w:rPr>
      <w:rFonts w:ascii="宋体" w:hAnsi="宋体" w:eastAsia="宋体" w:cs="宋体"/>
      <w:color w:val="000000"/>
      <w:sz w:val="20"/>
      <w:szCs w:val="20"/>
      <w:u w:val="none"/>
    </w:rPr>
  </w:style>
  <w:style w:type="character" w:customStyle="1" w:styleId="115">
    <w:name w:val="NormalCharacter"/>
    <w:qFormat/>
    <w:uiPriority w:val="0"/>
  </w:style>
  <w:style w:type="character" w:customStyle="1" w:styleId="116">
    <w:name w:val="无间隔字符"/>
    <w:link w:val="117"/>
    <w:qFormat/>
    <w:locked/>
    <w:uiPriority w:val="99"/>
    <w:rPr>
      <w:rFonts w:ascii="Cambria" w:hAnsi="Cambria"/>
      <w:kern w:val="2"/>
      <w:sz w:val="21"/>
      <w:szCs w:val="22"/>
      <w:lang w:val="en-US" w:eastAsia="zh-CN" w:bidi="ar-SA"/>
    </w:rPr>
  </w:style>
  <w:style w:type="paragraph" w:customStyle="1" w:styleId="117">
    <w:name w:val="无间隔1"/>
    <w:link w:val="116"/>
    <w:qFormat/>
    <w:uiPriority w:val="99"/>
    <w:pPr>
      <w:widowControl w:val="0"/>
      <w:spacing w:line="400" w:lineRule="exact"/>
      <w:ind w:firstLine="200" w:firstLineChars="200"/>
      <w:jc w:val="both"/>
    </w:pPr>
    <w:rPr>
      <w:rFonts w:ascii="Cambria" w:hAnsi="Cambria" w:eastAsia="宋体" w:cs="Times New Roman"/>
      <w:kern w:val="2"/>
      <w:sz w:val="21"/>
      <w:szCs w:val="22"/>
      <w:lang w:val="en-US" w:eastAsia="zh-CN" w:bidi="ar-SA"/>
    </w:rPr>
  </w:style>
  <w:style w:type="character" w:customStyle="1" w:styleId="118">
    <w:name w:val="图注1 Char"/>
    <w:link w:val="119"/>
    <w:qFormat/>
    <w:locked/>
    <w:uiPriority w:val="0"/>
    <w:rPr>
      <w:rFonts w:ascii="Cambria" w:hAnsi="Cambria" w:eastAsia="宋体"/>
      <w:sz w:val="21"/>
      <w:szCs w:val="22"/>
      <w:lang w:bidi="ar-SA"/>
    </w:rPr>
  </w:style>
  <w:style w:type="paragraph" w:customStyle="1" w:styleId="119">
    <w:name w:val="图注1"/>
    <w:basedOn w:val="1"/>
    <w:link w:val="118"/>
    <w:qFormat/>
    <w:uiPriority w:val="0"/>
    <w:pPr>
      <w:tabs>
        <w:tab w:val="left" w:pos="1140"/>
      </w:tabs>
      <w:spacing w:afterLines="20" w:line="300" w:lineRule="auto"/>
      <w:ind w:left="1140" w:hanging="360"/>
      <w:jc w:val="center"/>
    </w:pPr>
    <w:rPr>
      <w:rFonts w:ascii="Cambria" w:hAnsi="Cambria"/>
      <w:kern w:val="0"/>
      <w:szCs w:val="22"/>
    </w:rPr>
  </w:style>
  <w:style w:type="character" w:customStyle="1" w:styleId="120">
    <w:name w:val="GTA标题1 Char"/>
    <w:link w:val="121"/>
    <w:qFormat/>
    <w:locked/>
    <w:uiPriority w:val="0"/>
    <w:rPr>
      <w:rFonts w:ascii="Arial" w:hAnsi="Arial" w:eastAsia="黑体"/>
      <w:bCs/>
      <w:kern w:val="44"/>
      <w:sz w:val="44"/>
      <w:szCs w:val="44"/>
      <w:lang w:bidi="ar-SA"/>
    </w:rPr>
  </w:style>
  <w:style w:type="paragraph" w:customStyle="1" w:styleId="121">
    <w:name w:val="GTA标题1"/>
    <w:basedOn w:val="5"/>
    <w:link w:val="120"/>
    <w:qFormat/>
    <w:uiPriority w:val="0"/>
    <w:pPr>
      <w:tabs>
        <w:tab w:val="left" w:pos="360"/>
      </w:tabs>
      <w:spacing w:beforeLines="200" w:afterLines="150" w:line="480" w:lineRule="auto"/>
      <w:ind w:left="360" w:hanging="360"/>
      <w:jc w:val="both"/>
    </w:pPr>
    <w:rPr>
      <w:rFonts w:ascii="Arial" w:hAnsi="Arial" w:eastAsia="黑体"/>
      <w:b w:val="0"/>
    </w:rPr>
  </w:style>
  <w:style w:type="character" w:customStyle="1" w:styleId="122">
    <w:name w:val="headline-content"/>
    <w:qFormat/>
    <w:uiPriority w:val="0"/>
  </w:style>
  <w:style w:type="character" w:customStyle="1" w:styleId="123">
    <w:name w:val="font21"/>
    <w:basedOn w:val="52"/>
    <w:qFormat/>
    <w:uiPriority w:val="0"/>
    <w:rPr>
      <w:rFonts w:ascii="宋体" w:hAnsi="宋体" w:eastAsia="宋体" w:cs="宋体"/>
      <w:color w:val="000000"/>
      <w:sz w:val="20"/>
      <w:szCs w:val="20"/>
      <w:u w:val="none"/>
    </w:rPr>
  </w:style>
  <w:style w:type="character" w:customStyle="1" w:styleId="124">
    <w:name w:val="特点1"/>
    <w:qFormat/>
    <w:uiPriority w:val="0"/>
  </w:style>
  <w:style w:type="character" w:customStyle="1" w:styleId="125">
    <w:name w:val="目录标题 字符"/>
    <w:link w:val="126"/>
    <w:qFormat/>
    <w:uiPriority w:val="0"/>
    <w:rPr>
      <w:rFonts w:eastAsia="方正小标宋_GBK"/>
      <w:b/>
      <w:kern w:val="2"/>
      <w:sz w:val="24"/>
      <w:szCs w:val="24"/>
    </w:rPr>
  </w:style>
  <w:style w:type="paragraph" w:customStyle="1" w:styleId="126">
    <w:name w:val="目录标题"/>
    <w:link w:val="125"/>
    <w:qFormat/>
    <w:uiPriority w:val="0"/>
    <w:pPr>
      <w:tabs>
        <w:tab w:val="right" w:leader="dot" w:pos="9683"/>
      </w:tabs>
      <w:spacing w:line="360" w:lineRule="auto"/>
    </w:pPr>
    <w:rPr>
      <w:rFonts w:ascii="Times New Roman" w:hAnsi="Times New Roman" w:eastAsia="方正小标宋_GBK" w:cs="Times New Roman"/>
      <w:b/>
      <w:kern w:val="2"/>
      <w:sz w:val="24"/>
      <w:szCs w:val="24"/>
      <w:lang w:val="en-US" w:eastAsia="zh-CN" w:bidi="ar-SA"/>
    </w:rPr>
  </w:style>
  <w:style w:type="character" w:customStyle="1" w:styleId="127">
    <w:name w:val="GTA正文-1 Char Char"/>
    <w:qFormat/>
    <w:locked/>
    <w:uiPriority w:val="0"/>
    <w:rPr>
      <w:rFonts w:hint="default" w:ascii="Arial" w:hAnsi="Arial" w:eastAsia="微软雅黑" w:cs="Arial"/>
      <w:sz w:val="24"/>
    </w:rPr>
  </w:style>
  <w:style w:type="character" w:customStyle="1" w:styleId="128">
    <w:name w:val="List Paragraph Char"/>
    <w:link w:val="129"/>
    <w:qFormat/>
    <w:locked/>
    <w:uiPriority w:val="0"/>
    <w:rPr>
      <w:rFonts w:ascii="Calibri" w:hAnsi="Calibri" w:eastAsia="宋体"/>
      <w:kern w:val="2"/>
      <w:sz w:val="21"/>
      <w:szCs w:val="22"/>
      <w:lang w:val="en-US" w:eastAsia="zh-CN" w:bidi="ar-SA"/>
    </w:rPr>
  </w:style>
  <w:style w:type="paragraph" w:customStyle="1" w:styleId="129">
    <w:name w:val="列出段落1"/>
    <w:basedOn w:val="1"/>
    <w:link w:val="128"/>
    <w:qFormat/>
    <w:uiPriority w:val="0"/>
    <w:pPr>
      <w:ind w:firstLine="420" w:firstLineChars="200"/>
    </w:pPr>
    <w:rPr>
      <w:rFonts w:ascii="Calibri" w:hAnsi="Calibri"/>
      <w:szCs w:val="22"/>
    </w:rPr>
  </w:style>
  <w:style w:type="character" w:customStyle="1" w:styleId="130">
    <w:name w:val="03 Char"/>
    <w:link w:val="131"/>
    <w:qFormat/>
    <w:locked/>
    <w:uiPriority w:val="0"/>
    <w:rPr>
      <w:rFonts w:ascii="仿宋_GB2312" w:eastAsia="仿宋_GB2312"/>
      <w:b/>
      <w:sz w:val="28"/>
      <w:lang w:bidi="ar-SA"/>
    </w:rPr>
  </w:style>
  <w:style w:type="paragraph" w:customStyle="1" w:styleId="131">
    <w:name w:val="03"/>
    <w:basedOn w:val="1"/>
    <w:link w:val="130"/>
    <w:qFormat/>
    <w:uiPriority w:val="0"/>
    <w:pPr>
      <w:adjustRightInd w:val="0"/>
      <w:snapToGrid w:val="0"/>
      <w:spacing w:line="440" w:lineRule="exact"/>
      <w:ind w:firstLine="424" w:firstLineChars="151"/>
    </w:pPr>
    <w:rPr>
      <w:rFonts w:ascii="仿宋_GB2312" w:eastAsia="仿宋_GB2312"/>
      <w:b/>
      <w:kern w:val="0"/>
      <w:sz w:val="28"/>
      <w:szCs w:val="20"/>
    </w:rPr>
  </w:style>
  <w:style w:type="character" w:customStyle="1" w:styleId="132">
    <w:name w:val="列表段落 字符"/>
    <w:link w:val="133"/>
    <w:qFormat/>
    <w:uiPriority w:val="0"/>
    <w:rPr>
      <w:rFonts w:eastAsia="宋体"/>
      <w:kern w:val="2"/>
      <w:sz w:val="21"/>
      <w:szCs w:val="24"/>
      <w:lang w:val="en-US" w:eastAsia="zh-CN" w:bidi="ar-SA"/>
    </w:rPr>
  </w:style>
  <w:style w:type="paragraph" w:styleId="133">
    <w:name w:val="List Paragraph"/>
    <w:basedOn w:val="1"/>
    <w:link w:val="132"/>
    <w:qFormat/>
    <w:uiPriority w:val="0"/>
    <w:pPr>
      <w:ind w:firstLine="420" w:firstLineChars="200"/>
    </w:pPr>
  </w:style>
  <w:style w:type="character" w:customStyle="1" w:styleId="134">
    <w:name w:val="页脚 字符1"/>
    <w:semiHidden/>
    <w:qFormat/>
    <w:uiPriority w:val="99"/>
    <w:rPr>
      <w:rFonts w:ascii="Calibri" w:hAnsi="Calibri" w:eastAsia="宋体" w:cs="Times New Roman"/>
      <w:sz w:val="18"/>
      <w:szCs w:val="18"/>
    </w:rPr>
  </w:style>
  <w:style w:type="character" w:customStyle="1" w:styleId="135">
    <w:name w:val="普通文字 Char Char1"/>
    <w:qFormat/>
    <w:locked/>
    <w:uiPriority w:val="0"/>
    <w:rPr>
      <w:rFonts w:ascii="宋体" w:hAnsi="Courier New" w:eastAsia="宋体" w:cs="Courier New"/>
      <w:kern w:val="2"/>
      <w:sz w:val="21"/>
      <w:szCs w:val="21"/>
      <w:lang w:val="en-US" w:eastAsia="zh-CN" w:bidi="ar-SA"/>
    </w:rPr>
  </w:style>
  <w:style w:type="character" w:customStyle="1" w:styleId="136">
    <w:name w:val="浅色网格 - 强调文字颜色 3 Char"/>
    <w:link w:val="137"/>
    <w:qFormat/>
    <w:uiPriority w:val="0"/>
    <w:rPr>
      <w:rFonts w:ascii="Calibri" w:hAnsi="Calibri" w:eastAsia="宋体"/>
      <w:kern w:val="2"/>
      <w:sz w:val="21"/>
      <w:szCs w:val="22"/>
      <w:lang w:bidi="ar-SA"/>
    </w:rPr>
  </w:style>
  <w:style w:type="paragraph" w:customStyle="1" w:styleId="137">
    <w:name w:val="浅色网格 - 强调文字颜色 31"/>
    <w:basedOn w:val="1"/>
    <w:link w:val="136"/>
    <w:qFormat/>
    <w:uiPriority w:val="0"/>
    <w:pPr>
      <w:ind w:firstLine="420" w:firstLineChars="200"/>
    </w:pPr>
    <w:rPr>
      <w:rFonts w:ascii="Calibri" w:hAnsi="Calibri"/>
      <w:szCs w:val="22"/>
    </w:rPr>
  </w:style>
  <w:style w:type="character" w:customStyle="1" w:styleId="138">
    <w:name w:val="批注文字 Char1"/>
    <w:qFormat/>
    <w:uiPriority w:val="0"/>
    <w:rPr>
      <w:kern w:val="2"/>
      <w:sz w:val="21"/>
      <w:szCs w:val="24"/>
    </w:rPr>
  </w:style>
  <w:style w:type="character" w:customStyle="1" w:styleId="139">
    <w:name w:val="Char Char2"/>
    <w:qFormat/>
    <w:locked/>
    <w:uiPriority w:val="0"/>
    <w:rPr>
      <w:rFonts w:ascii="Calibri" w:hAnsi="Calibri" w:eastAsia="宋体" w:cs="黑体"/>
      <w:kern w:val="2"/>
      <w:sz w:val="24"/>
      <w:szCs w:val="24"/>
      <w:lang w:val="en-US" w:eastAsia="zh-CN" w:bidi="ar-SA"/>
    </w:rPr>
  </w:style>
  <w:style w:type="character" w:customStyle="1" w:styleId="140">
    <w:name w:val="Char Char22"/>
    <w:qFormat/>
    <w:locked/>
    <w:uiPriority w:val="0"/>
    <w:rPr>
      <w:rFonts w:eastAsia="微软雅黑"/>
      <w:b/>
      <w:bCs/>
      <w:kern w:val="44"/>
      <w:sz w:val="36"/>
      <w:szCs w:val="36"/>
      <w:lang w:bidi="ar-SA"/>
    </w:rPr>
  </w:style>
  <w:style w:type="character" w:customStyle="1" w:styleId="141">
    <w:name w:val="Char Char19"/>
    <w:qFormat/>
    <w:locked/>
    <w:uiPriority w:val="0"/>
    <w:rPr>
      <w:rFonts w:ascii="Arial" w:hAnsi="Arial" w:eastAsia="微软雅黑"/>
      <w:b/>
      <w:bCs/>
      <w:color w:val="0070C0"/>
      <w:szCs w:val="28"/>
      <w:lang w:bidi="ar-SA"/>
    </w:rPr>
  </w:style>
  <w:style w:type="character" w:customStyle="1" w:styleId="142">
    <w:name w:val="Char Char6"/>
    <w:qFormat/>
    <w:locked/>
    <w:uiPriority w:val="0"/>
    <w:rPr>
      <w:sz w:val="18"/>
      <w:szCs w:val="18"/>
      <w:lang w:bidi="ar-SA"/>
    </w:rPr>
  </w:style>
  <w:style w:type="character" w:customStyle="1" w:styleId="143">
    <w:name w:val="Footer Char"/>
    <w:qFormat/>
    <w:locked/>
    <w:uiPriority w:val="0"/>
    <w:rPr>
      <w:rFonts w:ascii="Cambria" w:hAnsi="Cambria" w:eastAsia="宋体"/>
      <w:kern w:val="2"/>
      <w:sz w:val="18"/>
      <w:szCs w:val="18"/>
      <w:lang w:val="en-US" w:eastAsia="zh-CN" w:bidi="ar-SA"/>
    </w:rPr>
  </w:style>
  <w:style w:type="character" w:customStyle="1" w:styleId="144">
    <w:name w:val="明显引用 Char1"/>
    <w:qFormat/>
    <w:uiPriority w:val="0"/>
    <w:rPr>
      <w:rFonts w:hint="default" w:ascii="Times New Roman" w:hAnsi="Times New Roman" w:eastAsia="微软雅黑" w:cs="Times New Roman"/>
      <w:b/>
      <w:bCs/>
      <w:i/>
      <w:iCs/>
      <w:color w:val="4F81BD"/>
      <w:sz w:val="24"/>
      <w:szCs w:val="24"/>
    </w:rPr>
  </w:style>
  <w:style w:type="character" w:customStyle="1" w:styleId="145">
    <w:name w:val="书籍标题1"/>
    <w:qFormat/>
    <w:uiPriority w:val="0"/>
    <w:rPr>
      <w:b/>
      <w:bCs/>
      <w:smallCaps/>
      <w:spacing w:val="5"/>
    </w:rPr>
  </w:style>
  <w:style w:type="character" w:customStyle="1" w:styleId="146">
    <w:name w:val="Char Char4"/>
    <w:qFormat/>
    <w:uiPriority w:val="0"/>
    <w:rPr>
      <w:rFonts w:eastAsia="宋体"/>
      <w:kern w:val="2"/>
      <w:sz w:val="21"/>
      <w:szCs w:val="24"/>
      <w:lang w:val="en-US" w:eastAsia="zh-CN" w:bidi="ar-SA"/>
    </w:rPr>
  </w:style>
  <w:style w:type="character" w:customStyle="1" w:styleId="147">
    <w:name w:val="纯文本 Char"/>
    <w:qFormat/>
    <w:uiPriority w:val="0"/>
    <w:rPr>
      <w:rFonts w:ascii="宋体" w:hAnsi="Courier New"/>
    </w:rPr>
  </w:style>
  <w:style w:type="character" w:customStyle="1" w:styleId="148">
    <w:name w:val="GTA标题2 Char"/>
    <w:qFormat/>
    <w:uiPriority w:val="0"/>
    <w:rPr>
      <w:rFonts w:hint="default" w:ascii="Arial" w:hAnsi="Arial" w:eastAsia="黑体" w:cs="Arial"/>
      <w:bCs/>
      <w:kern w:val="2"/>
      <w:sz w:val="30"/>
      <w:szCs w:val="30"/>
    </w:rPr>
  </w:style>
  <w:style w:type="character" w:customStyle="1" w:styleId="149">
    <w:name w:val="列出段落 Char"/>
    <w:qFormat/>
    <w:locked/>
    <w:uiPriority w:val="0"/>
    <w:rPr>
      <w:kern w:val="2"/>
      <w:sz w:val="21"/>
      <w:szCs w:val="22"/>
    </w:rPr>
  </w:style>
  <w:style w:type="character" w:customStyle="1" w:styleId="150">
    <w:name w:val="font151"/>
    <w:qFormat/>
    <w:uiPriority w:val="0"/>
    <w:rPr>
      <w:rFonts w:hint="eastAsia" w:ascii="宋体" w:hAnsi="宋体" w:eastAsia="宋体" w:cs="宋体"/>
      <w:color w:val="000000"/>
      <w:sz w:val="21"/>
      <w:szCs w:val="21"/>
      <w:u w:val="none"/>
    </w:rPr>
  </w:style>
  <w:style w:type="character" w:customStyle="1" w:styleId="151">
    <w:name w:val="ca-102"/>
    <w:qFormat/>
    <w:uiPriority w:val="0"/>
  </w:style>
  <w:style w:type="character" w:customStyle="1" w:styleId="152">
    <w:name w:val="font41"/>
    <w:qFormat/>
    <w:uiPriority w:val="0"/>
    <w:rPr>
      <w:rFonts w:ascii="Bosch Office Sans" w:hAnsi="Bosch Office Sans" w:cs="Bosch Office Sans"/>
      <w:color w:val="000000"/>
      <w:sz w:val="20"/>
      <w:szCs w:val="20"/>
      <w:u w:val="none"/>
    </w:rPr>
  </w:style>
  <w:style w:type="character" w:customStyle="1" w:styleId="153">
    <w:name w:val="char"/>
    <w:qFormat/>
    <w:uiPriority w:val="0"/>
  </w:style>
  <w:style w:type="character" w:customStyle="1" w:styleId="154">
    <w:name w:val="Char Char5"/>
    <w:qFormat/>
    <w:locked/>
    <w:uiPriority w:val="0"/>
    <w:rPr>
      <w:rFonts w:ascii="宋体" w:hAnsi="宋体" w:eastAsia="宋体"/>
      <w:sz w:val="18"/>
      <w:szCs w:val="18"/>
      <w:lang w:bidi="ar-SA"/>
    </w:rPr>
  </w:style>
  <w:style w:type="character" w:customStyle="1" w:styleId="155">
    <w:name w:val="apple-converted-space"/>
    <w:qFormat/>
    <w:uiPriority w:val="0"/>
  </w:style>
  <w:style w:type="character" w:customStyle="1" w:styleId="156">
    <w:name w:val="_Style 154"/>
    <w:unhideWhenUsed/>
    <w:qFormat/>
    <w:uiPriority w:val="99"/>
    <w:rPr>
      <w:color w:val="605E5C"/>
      <w:shd w:val="clear" w:color="auto" w:fill="E1DFDD"/>
    </w:rPr>
  </w:style>
  <w:style w:type="character" w:customStyle="1" w:styleId="157">
    <w:name w:val="Heading 2 Char"/>
    <w:qFormat/>
    <w:locked/>
    <w:uiPriority w:val="0"/>
    <w:rPr>
      <w:rFonts w:ascii="Calibri" w:hAnsi="Calibri" w:eastAsia="宋体"/>
      <w:b/>
      <w:bCs/>
      <w:kern w:val="2"/>
      <w:sz w:val="24"/>
      <w:szCs w:val="32"/>
      <w:lang w:val="en-US" w:eastAsia="zh-CN" w:bidi="ar-SA"/>
    </w:rPr>
  </w:style>
  <w:style w:type="character" w:customStyle="1" w:styleId="158">
    <w:name w:val="st1"/>
    <w:qFormat/>
    <w:uiPriority w:val="0"/>
  </w:style>
  <w:style w:type="character" w:customStyle="1" w:styleId="159">
    <w:name w:val="Char Char3"/>
    <w:qFormat/>
    <w:locked/>
    <w:uiPriority w:val="0"/>
    <w:rPr>
      <w:sz w:val="18"/>
      <w:szCs w:val="18"/>
      <w:lang w:bidi="ar-SA"/>
    </w:rPr>
  </w:style>
  <w:style w:type="character" w:customStyle="1" w:styleId="160">
    <w:name w:val="纯文本 Char3"/>
    <w:qFormat/>
    <w:uiPriority w:val="0"/>
    <w:rPr>
      <w:rFonts w:ascii="宋体" w:hAnsi="Courier New" w:eastAsia="宋体" w:cs="Courier New"/>
      <w:kern w:val="2"/>
      <w:sz w:val="21"/>
      <w:szCs w:val="21"/>
      <w:lang w:val="en-US" w:eastAsia="zh-CN" w:bidi="ar-SA"/>
    </w:rPr>
  </w:style>
  <w:style w:type="character" w:customStyle="1" w:styleId="161">
    <w:name w:val="列出段落字符"/>
    <w:qFormat/>
    <w:locked/>
    <w:uiPriority w:val="0"/>
    <w:rPr>
      <w:rFonts w:ascii="Calibri" w:hAnsi="Calibri" w:eastAsia="宋体" w:cs="黑体"/>
      <w:kern w:val="2"/>
      <w:sz w:val="24"/>
      <w:szCs w:val="24"/>
      <w:lang w:val="en-US" w:eastAsia="zh-CN" w:bidi="ar-SA"/>
    </w:rPr>
  </w:style>
  <w:style w:type="character" w:customStyle="1" w:styleId="162">
    <w:name w:val="GTA标题2 Char Char"/>
    <w:link w:val="163"/>
    <w:qFormat/>
    <w:locked/>
    <w:uiPriority w:val="0"/>
    <w:rPr>
      <w:rFonts w:ascii="Arial" w:hAnsi="Arial" w:eastAsia="黑体"/>
      <w:b/>
      <w:bCs/>
      <w:color w:val="000000"/>
      <w:sz w:val="30"/>
      <w:szCs w:val="30"/>
      <w:lang w:bidi="ar-SA"/>
    </w:rPr>
  </w:style>
  <w:style w:type="paragraph" w:customStyle="1" w:styleId="163">
    <w:name w:val="GTA标题2"/>
    <w:basedOn w:val="6"/>
    <w:link w:val="162"/>
    <w:qFormat/>
    <w:uiPriority w:val="0"/>
    <w:pPr>
      <w:tabs>
        <w:tab w:val="left" w:pos="840"/>
      </w:tabs>
      <w:adjustRightInd w:val="0"/>
      <w:snapToGrid w:val="0"/>
      <w:spacing w:beforeLines="175" w:afterLines="150" w:line="420" w:lineRule="auto"/>
      <w:ind w:left="840" w:firstLine="200" w:firstLineChars="200"/>
    </w:pPr>
    <w:rPr>
      <w:color w:val="000000"/>
      <w:kern w:val="0"/>
      <w:sz w:val="30"/>
      <w:szCs w:val="30"/>
    </w:rPr>
  </w:style>
  <w:style w:type="character" w:customStyle="1" w:styleId="164">
    <w:name w:val="GTA标题4 Char Char"/>
    <w:link w:val="165"/>
    <w:qFormat/>
    <w:locked/>
    <w:uiPriority w:val="0"/>
    <w:rPr>
      <w:rFonts w:ascii="Arial" w:hAnsi="Arial" w:eastAsia="仿宋_GB2312"/>
      <w:b/>
      <w:bCs/>
      <w:color w:val="0070C0"/>
      <w:lang w:bidi="ar-SA"/>
    </w:rPr>
  </w:style>
  <w:style w:type="paragraph" w:customStyle="1" w:styleId="165">
    <w:name w:val="GTA标题4"/>
    <w:basedOn w:val="8"/>
    <w:link w:val="164"/>
    <w:qFormat/>
    <w:uiPriority w:val="0"/>
    <w:pPr>
      <w:tabs>
        <w:tab w:val="left" w:pos="1680"/>
      </w:tabs>
      <w:adjustRightInd w:val="0"/>
      <w:snapToGrid w:val="0"/>
      <w:spacing w:beforeLines="100" w:afterLines="75" w:line="360" w:lineRule="auto"/>
      <w:ind w:left="1680" w:firstLine="200" w:firstLineChars="200"/>
    </w:pPr>
    <w:rPr>
      <w:rFonts w:eastAsia="仿宋_GB2312"/>
      <w:color w:val="0070C0"/>
      <w:kern w:val="0"/>
      <w:sz w:val="20"/>
      <w:szCs w:val="20"/>
    </w:rPr>
  </w:style>
  <w:style w:type="character" w:customStyle="1" w:styleId="166">
    <w:name w:val="font01"/>
    <w:qFormat/>
    <w:uiPriority w:val="0"/>
    <w:rPr>
      <w:rFonts w:hint="eastAsia" w:ascii="宋体" w:hAnsi="宋体" w:eastAsia="宋体" w:cs="宋体"/>
      <w:color w:val="000000"/>
      <w:sz w:val="28"/>
      <w:szCs w:val="28"/>
      <w:u w:val="none"/>
    </w:rPr>
  </w:style>
  <w:style w:type="character" w:customStyle="1" w:styleId="167">
    <w:name w:val="GTA标题3 Char"/>
    <w:qFormat/>
    <w:uiPriority w:val="0"/>
    <w:rPr>
      <w:rFonts w:hint="default" w:ascii="Arial" w:hAnsi="Arial" w:eastAsia="黑体" w:cs="Arial"/>
      <w:bCs/>
      <w:kern w:val="2"/>
      <w:sz w:val="24"/>
      <w:szCs w:val="24"/>
    </w:rPr>
  </w:style>
  <w:style w:type="character" w:customStyle="1" w:styleId="168">
    <w:name w:val="普通文字 Char Char3"/>
    <w:qFormat/>
    <w:locked/>
    <w:uiPriority w:val="0"/>
    <w:rPr>
      <w:rFonts w:ascii="宋体" w:hAnsi="Courier New" w:eastAsia="宋体" w:cs="Courier New"/>
      <w:kern w:val="2"/>
      <w:sz w:val="21"/>
      <w:szCs w:val="21"/>
      <w:lang w:val="en-US" w:eastAsia="zh-CN" w:bidi="ar-SA"/>
    </w:rPr>
  </w:style>
  <w:style w:type="character" w:customStyle="1" w:styleId="169">
    <w:name w:val="font51"/>
    <w:qFormat/>
    <w:uiPriority w:val="0"/>
    <w:rPr>
      <w:rFonts w:ascii="Bosch Office Sans" w:hAnsi="Bosch Office Sans" w:cs="Bosch Office Sans"/>
      <w:color w:val="000000"/>
      <w:sz w:val="20"/>
      <w:szCs w:val="20"/>
      <w:u w:val="none"/>
    </w:rPr>
  </w:style>
  <w:style w:type="character" w:customStyle="1" w:styleId="170">
    <w:name w:val="GTA正文-1 Char"/>
    <w:link w:val="171"/>
    <w:qFormat/>
    <w:locked/>
    <w:uiPriority w:val="0"/>
    <w:rPr>
      <w:rFonts w:ascii="Arial" w:hAnsi="Arial" w:eastAsia="宋体" w:cs="Arial"/>
      <w:sz w:val="21"/>
      <w:lang w:bidi="ar-SA"/>
    </w:rPr>
  </w:style>
  <w:style w:type="paragraph" w:customStyle="1" w:styleId="171">
    <w:name w:val="GTA正文-1"/>
    <w:basedOn w:val="1"/>
    <w:link w:val="170"/>
    <w:qFormat/>
    <w:uiPriority w:val="0"/>
    <w:pPr>
      <w:spacing w:beforeLines="50" w:afterLines="50" w:line="480" w:lineRule="exact"/>
      <w:ind w:firstLine="200" w:firstLineChars="200"/>
    </w:pPr>
    <w:rPr>
      <w:rFonts w:ascii="Arial" w:hAnsi="Arial" w:cs="Arial"/>
      <w:kern w:val="0"/>
      <w:szCs w:val="20"/>
    </w:rPr>
  </w:style>
  <w:style w:type="character" w:customStyle="1" w:styleId="172">
    <w:name w:val="font71"/>
    <w:qFormat/>
    <w:uiPriority w:val="0"/>
    <w:rPr>
      <w:rFonts w:hint="default" w:ascii="Times New Roman" w:hAnsi="Times New Roman" w:cs="Times New Roman"/>
      <w:color w:val="000000"/>
      <w:sz w:val="56"/>
      <w:szCs w:val="56"/>
      <w:u w:val="none"/>
    </w:rPr>
  </w:style>
  <w:style w:type="character" w:customStyle="1" w:styleId="173">
    <w:name w:val="Char Char1"/>
    <w:qFormat/>
    <w:uiPriority w:val="0"/>
    <w:rPr>
      <w:rFonts w:eastAsia="宋体"/>
      <w:kern w:val="2"/>
      <w:sz w:val="18"/>
      <w:szCs w:val="18"/>
      <w:lang w:val="en-US" w:eastAsia="zh-CN" w:bidi="ar-SA"/>
    </w:rPr>
  </w:style>
  <w:style w:type="character" w:customStyle="1" w:styleId="174">
    <w:name w:val="ca-92"/>
    <w:qFormat/>
    <w:uiPriority w:val="0"/>
  </w:style>
  <w:style w:type="character" w:customStyle="1" w:styleId="175">
    <w:name w:val="10"/>
    <w:qFormat/>
    <w:uiPriority w:val="0"/>
    <w:rPr>
      <w:rFonts w:hint="default" w:ascii="Times New Roman" w:hAnsi="Times New Roman" w:cs="Times New Roman"/>
    </w:rPr>
  </w:style>
  <w:style w:type="character" w:customStyle="1" w:styleId="176">
    <w:name w:val="font191"/>
    <w:qFormat/>
    <w:uiPriority w:val="0"/>
    <w:rPr>
      <w:rFonts w:hint="eastAsia" w:ascii="宋体" w:hAnsi="宋体" w:eastAsia="宋体" w:cs="宋体"/>
      <w:b/>
      <w:bCs/>
      <w:color w:val="4F6228"/>
      <w:sz w:val="22"/>
      <w:szCs w:val="22"/>
      <w:u w:val="none"/>
    </w:rPr>
  </w:style>
  <w:style w:type="character" w:customStyle="1" w:styleId="177">
    <w:name w:val="ca-1"/>
    <w:qFormat/>
    <w:uiPriority w:val="0"/>
  </w:style>
  <w:style w:type="character" w:customStyle="1" w:styleId="178">
    <w:name w:val="明显引用字符1"/>
    <w:qFormat/>
    <w:uiPriority w:val="0"/>
    <w:rPr>
      <w:rFonts w:hint="default" w:ascii="Times New Roman" w:hAnsi="Times New Roman" w:eastAsia="微软雅黑" w:cs="Times New Roman"/>
      <w:i/>
      <w:iCs/>
      <w:color w:val="5B9BD5"/>
    </w:rPr>
  </w:style>
  <w:style w:type="character" w:customStyle="1" w:styleId="179">
    <w:name w:val="纯文本 字符"/>
    <w:qFormat/>
    <w:uiPriority w:val="0"/>
    <w:rPr>
      <w:rFonts w:ascii="宋体" w:hAnsi="Courier New" w:eastAsia="宋体" w:cs="Courier New"/>
      <w:kern w:val="2"/>
      <w:sz w:val="21"/>
      <w:szCs w:val="21"/>
      <w:lang w:val="en-US" w:eastAsia="zh-CN" w:bidi="ar-SA"/>
    </w:rPr>
  </w:style>
  <w:style w:type="character" w:customStyle="1" w:styleId="180">
    <w:name w:val="GTA标题4 Char"/>
    <w:qFormat/>
    <w:uiPriority w:val="0"/>
    <w:rPr>
      <w:rFonts w:hint="default" w:ascii="Arial" w:hAnsi="Arial" w:eastAsia="仿宋_GB2312" w:cs="Arial"/>
      <w:b/>
      <w:bCs/>
      <w:kern w:val="2"/>
      <w:sz w:val="24"/>
      <w:szCs w:val="24"/>
    </w:rPr>
  </w:style>
  <w:style w:type="character" w:customStyle="1" w:styleId="181">
    <w:name w:val="Char Char13"/>
    <w:qFormat/>
    <w:locked/>
    <w:uiPriority w:val="0"/>
    <w:rPr>
      <w:rFonts w:ascii="微软雅黑" w:hAnsi="微软雅黑" w:eastAsia="微软雅黑"/>
      <w:b/>
      <w:bCs/>
      <w:lang w:bidi="ar-SA"/>
    </w:rPr>
  </w:style>
  <w:style w:type="character" w:customStyle="1" w:styleId="182">
    <w:name w:val="ca-2"/>
    <w:qFormat/>
    <w:uiPriority w:val="0"/>
  </w:style>
  <w:style w:type="character" w:customStyle="1" w:styleId="183">
    <w:name w:val="Char Char20"/>
    <w:qFormat/>
    <w:locked/>
    <w:uiPriority w:val="0"/>
    <w:rPr>
      <w:rFonts w:eastAsia="微软雅黑"/>
      <w:b/>
      <w:bCs/>
      <w:szCs w:val="32"/>
      <w:lang w:bidi="ar-SA"/>
    </w:rPr>
  </w:style>
  <w:style w:type="character" w:customStyle="1" w:styleId="184">
    <w:name w:val="txet31"/>
    <w:qFormat/>
    <w:uiPriority w:val="0"/>
    <w:rPr>
      <w:rFonts w:cs="Times New Roman"/>
      <w:color w:val="333333"/>
      <w:sz w:val="18"/>
      <w:szCs w:val="18"/>
      <w:u w:val="none"/>
    </w:rPr>
  </w:style>
  <w:style w:type="character" w:customStyle="1" w:styleId="185">
    <w:name w:val="纯文本 Char2"/>
    <w:qFormat/>
    <w:uiPriority w:val="0"/>
    <w:rPr>
      <w:rFonts w:ascii="宋体" w:hAnsi="Courier New" w:eastAsia="宋体" w:cs="Courier New"/>
      <w:kern w:val="2"/>
      <w:sz w:val="21"/>
      <w:szCs w:val="21"/>
      <w:lang w:val="en-US" w:eastAsia="zh-CN" w:bidi="ar-SA"/>
    </w:rPr>
  </w:style>
  <w:style w:type="character" w:customStyle="1" w:styleId="186">
    <w:name w:val="Header Char"/>
    <w:qFormat/>
    <w:locked/>
    <w:uiPriority w:val="0"/>
    <w:rPr>
      <w:rFonts w:ascii="Cambria" w:hAnsi="Cambria" w:eastAsia="宋体"/>
      <w:kern w:val="2"/>
      <w:sz w:val="18"/>
      <w:szCs w:val="18"/>
      <w:lang w:val="en-US" w:eastAsia="zh-CN" w:bidi="ar-SA"/>
    </w:rPr>
  </w:style>
  <w:style w:type="character" w:customStyle="1" w:styleId="187">
    <w:name w:val="font61"/>
    <w:qFormat/>
    <w:uiPriority w:val="0"/>
    <w:rPr>
      <w:rFonts w:hint="eastAsia" w:ascii="宋体" w:hAnsi="宋体" w:eastAsia="宋体" w:cs="宋体"/>
      <w:color w:val="000000"/>
      <w:sz w:val="56"/>
      <w:szCs w:val="56"/>
      <w:u w:val="none"/>
    </w:rPr>
  </w:style>
  <w:style w:type="character" w:customStyle="1" w:styleId="188">
    <w:name w:val="highlight1"/>
    <w:qFormat/>
    <w:uiPriority w:val="0"/>
    <w:rPr>
      <w:color w:val="DB4F33"/>
    </w:rPr>
  </w:style>
  <w:style w:type="character" w:customStyle="1" w:styleId="189">
    <w:name w:val="GTA标题3 Char Char"/>
    <w:link w:val="190"/>
    <w:qFormat/>
    <w:locked/>
    <w:uiPriority w:val="0"/>
    <w:rPr>
      <w:rFonts w:ascii="Arial" w:hAnsi="Arial" w:eastAsia="黑体"/>
      <w:b/>
      <w:bCs/>
      <w:color w:val="000000"/>
      <w:lang w:val="zh-CN" w:bidi="ar-SA"/>
    </w:rPr>
  </w:style>
  <w:style w:type="paragraph" w:customStyle="1" w:styleId="190">
    <w:name w:val="GTA标题3"/>
    <w:basedOn w:val="7"/>
    <w:link w:val="189"/>
    <w:qFormat/>
    <w:uiPriority w:val="0"/>
    <w:pPr>
      <w:tabs>
        <w:tab w:val="left" w:pos="1260"/>
      </w:tabs>
      <w:adjustRightInd w:val="0"/>
      <w:snapToGrid w:val="0"/>
      <w:spacing w:beforeLines="150" w:afterLines="125" w:line="360" w:lineRule="auto"/>
      <w:ind w:left="1260" w:hanging="420"/>
    </w:pPr>
    <w:rPr>
      <w:rFonts w:ascii="Arial" w:hAnsi="Arial" w:eastAsia="黑体"/>
      <w:color w:val="000000"/>
      <w:kern w:val="0"/>
      <w:sz w:val="20"/>
      <w:szCs w:val="20"/>
      <w:lang w:val="zh-CN"/>
    </w:rPr>
  </w:style>
  <w:style w:type="character" w:customStyle="1" w:styleId="191">
    <w:name w:val="GTA正文-2 Char"/>
    <w:link w:val="192"/>
    <w:qFormat/>
    <w:locked/>
    <w:uiPriority w:val="0"/>
    <w:rPr>
      <w:rFonts w:ascii="Arial" w:hAnsi="Arial" w:eastAsia="华文细黑" w:cs="Arial"/>
      <w:lang w:bidi="ar-SA"/>
    </w:rPr>
  </w:style>
  <w:style w:type="paragraph" w:customStyle="1" w:styleId="192">
    <w:name w:val="GTA正文-2"/>
    <w:basedOn w:val="171"/>
    <w:link w:val="191"/>
    <w:qFormat/>
    <w:uiPriority w:val="0"/>
    <w:pPr>
      <w:snapToGrid w:val="0"/>
      <w:spacing w:line="360" w:lineRule="auto"/>
      <w:ind w:firstLine="480"/>
    </w:pPr>
    <w:rPr>
      <w:rFonts w:eastAsia="华文细黑"/>
      <w:sz w:val="20"/>
    </w:rPr>
  </w:style>
  <w:style w:type="paragraph" w:customStyle="1" w:styleId="193">
    <w:name w:val="样式 标题 3 + 四号"/>
    <w:basedOn w:val="7"/>
    <w:qFormat/>
    <w:uiPriority w:val="99"/>
    <w:pPr>
      <w:jc w:val="center"/>
    </w:pPr>
    <w:rPr>
      <w:rFonts w:ascii="Times New Roman" w:hAnsi="Times New Roman"/>
      <w:kern w:val="0"/>
      <w:sz w:val="28"/>
    </w:rPr>
  </w:style>
  <w:style w:type="paragraph" w:customStyle="1" w:styleId="194">
    <w:name w:val="custom_unionstyle"/>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19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6">
    <w:name w:val="xl86"/>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97">
    <w:name w:val="xl96"/>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98">
    <w:name w:val="List Paragraph11"/>
    <w:basedOn w:val="1"/>
    <w:qFormat/>
    <w:uiPriority w:val="99"/>
    <w:pPr>
      <w:ind w:firstLine="420" w:firstLineChars="200"/>
    </w:pPr>
    <w:rPr>
      <w:rFonts w:ascii="Calibri" w:hAnsi="Calibri"/>
      <w:szCs w:val="22"/>
    </w:rPr>
  </w:style>
  <w:style w:type="paragraph" w:customStyle="1" w:styleId="19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01">
    <w:name w:val="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202">
    <w:name w:val="179"/>
    <w:basedOn w:val="1"/>
    <w:qFormat/>
    <w:uiPriority w:val="99"/>
    <w:pPr>
      <w:spacing w:line="240" w:lineRule="auto"/>
      <w:ind w:firstLine="420"/>
    </w:pPr>
    <w:rPr>
      <w:rFonts w:ascii="等线" w:hAnsi="等线" w:eastAsia="等线"/>
      <w:szCs w:val="22"/>
    </w:rPr>
  </w:style>
  <w:style w:type="paragraph" w:customStyle="1" w:styleId="203">
    <w:name w:val="二级条标题"/>
    <w:basedOn w:val="1"/>
    <w:next w:val="1"/>
    <w:qFormat/>
    <w:uiPriority w:val="99"/>
    <w:pPr>
      <w:widowControl/>
      <w:spacing w:line="240" w:lineRule="auto"/>
      <w:ind w:firstLine="0" w:firstLineChars="0"/>
      <w:jc w:val="left"/>
    </w:pPr>
    <w:rPr>
      <w:rFonts w:ascii="Calibri" w:hAnsi="Calibri" w:eastAsia="黑体"/>
      <w:szCs w:val="20"/>
    </w:rPr>
  </w:style>
  <w:style w:type="paragraph" w:customStyle="1" w:styleId="204">
    <w:name w:val="Char Char Char Char Char Char Char Char Char Char"/>
    <w:basedOn w:val="1"/>
    <w:qFormat/>
    <w:uiPriority w:val="99"/>
    <w:pPr>
      <w:tabs>
        <w:tab w:val="left" w:pos="360"/>
      </w:tabs>
      <w:ind w:left="360" w:hanging="360" w:hangingChars="200"/>
    </w:pPr>
    <w:rPr>
      <w:szCs w:val="20"/>
    </w:rPr>
  </w:style>
  <w:style w:type="paragraph" w:customStyle="1" w:styleId="205">
    <w:name w:val="普通(网站)1"/>
    <w:basedOn w:val="1"/>
    <w:qFormat/>
    <w:uiPriority w:val="99"/>
    <w:pPr>
      <w:widowControl/>
      <w:snapToGrid w:val="0"/>
      <w:spacing w:before="100" w:beforeAutospacing="1" w:after="100" w:afterAutospacing="1" w:line="300" w:lineRule="auto"/>
      <w:ind w:firstLine="200" w:firstLineChars="200"/>
      <w:jc w:val="left"/>
    </w:pPr>
    <w:rPr>
      <w:rFonts w:ascii="宋体" w:hAnsi="宋体" w:eastAsia="微软雅黑"/>
      <w:sz w:val="24"/>
      <w:szCs w:val="22"/>
    </w:rPr>
  </w:style>
  <w:style w:type="paragraph" w:customStyle="1" w:styleId="206">
    <w:name w:val="xl11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0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8">
    <w:name w:val="xl12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0">
    <w:name w:val="投标文件1"/>
    <w:basedOn w:val="5"/>
    <w:qFormat/>
    <w:uiPriority w:val="99"/>
    <w:pPr>
      <w:jc w:val="both"/>
    </w:pPr>
    <w:rPr>
      <w:rFonts w:eastAsia="方正小标宋简体"/>
      <w:b w:val="0"/>
      <w:sz w:val="32"/>
      <w:szCs w:val="21"/>
    </w:rPr>
  </w:style>
  <w:style w:type="paragraph" w:customStyle="1" w:styleId="211">
    <w:name w:val="xl89"/>
    <w:basedOn w:val="1"/>
    <w:qFormat/>
    <w:uiPriority w:val="99"/>
    <w:pPr>
      <w:widowControl/>
      <w:spacing w:before="100" w:beforeAutospacing="1" w:after="100" w:afterAutospacing="1"/>
      <w:jc w:val="left"/>
      <w:textAlignment w:val="bottom"/>
    </w:pPr>
    <w:rPr>
      <w:rFonts w:ascii="宋体" w:hAnsi="宋体" w:cs="宋体"/>
      <w:kern w:val="0"/>
      <w:szCs w:val="21"/>
    </w:rPr>
  </w:style>
  <w:style w:type="paragraph" w:customStyle="1" w:styleId="21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Cs w:val="21"/>
    </w:rPr>
  </w:style>
  <w:style w:type="paragraph" w:customStyle="1" w:styleId="213">
    <w:name w:val="正文首行缩进1"/>
    <w:basedOn w:val="1"/>
    <w:qFormat/>
    <w:uiPriority w:val="99"/>
    <w:pPr>
      <w:spacing w:after="120" w:line="240" w:lineRule="auto"/>
      <w:ind w:firstLine="420" w:firstLineChars="100"/>
    </w:pPr>
    <w:rPr>
      <w:rFonts w:ascii="Calibri" w:hAnsi="Calibri"/>
    </w:rPr>
  </w:style>
  <w:style w:type="paragraph" w:customStyle="1" w:styleId="214">
    <w:name w:val="xl64"/>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215">
    <w:name w:val="xl73"/>
    <w:basedOn w:val="1"/>
    <w:qFormat/>
    <w:uiPriority w:val="99"/>
    <w:pPr>
      <w:widowControl/>
      <w:spacing w:before="100" w:beforeAutospacing="1" w:after="100" w:afterAutospacing="1"/>
      <w:jc w:val="center"/>
    </w:pPr>
    <w:rPr>
      <w:rFonts w:ascii="宋体" w:hAnsi="宋体" w:cs="宋体"/>
      <w:kern w:val="0"/>
      <w:szCs w:val="21"/>
    </w:rPr>
  </w:style>
  <w:style w:type="paragraph" w:customStyle="1" w:styleId="216">
    <w:name w:val="msolistparagraph"/>
    <w:basedOn w:val="1"/>
    <w:qFormat/>
    <w:uiPriority w:val="99"/>
    <w:pPr>
      <w:spacing w:line="240" w:lineRule="auto"/>
      <w:ind w:firstLine="420"/>
    </w:pPr>
  </w:style>
  <w:style w:type="paragraph" w:customStyle="1" w:styleId="217">
    <w:name w:val="标书0927"/>
    <w:basedOn w:val="5"/>
    <w:qFormat/>
    <w:uiPriority w:val="99"/>
    <w:pPr>
      <w:tabs>
        <w:tab w:val="left" w:pos="780"/>
      </w:tabs>
      <w:spacing w:before="0" w:after="0" w:line="360" w:lineRule="auto"/>
      <w:ind w:left="780" w:hanging="420"/>
      <w:jc w:val="both"/>
    </w:pPr>
    <w:rPr>
      <w:rFonts w:ascii="宋体" w:eastAsia="宋体"/>
      <w:sz w:val="32"/>
      <w:szCs w:val="32"/>
    </w:rPr>
  </w:style>
  <w:style w:type="paragraph" w:customStyle="1" w:styleId="218">
    <w:name w:val="样式 标题 2 + 宋体"/>
    <w:basedOn w:val="6"/>
    <w:qFormat/>
    <w:uiPriority w:val="99"/>
    <w:pPr>
      <w:jc w:val="center"/>
    </w:pPr>
    <w:rPr>
      <w:rFonts w:ascii="宋体" w:hAnsi="宋体" w:eastAsia="宋体"/>
      <w:kern w:val="0"/>
    </w:rPr>
  </w:style>
  <w:style w:type="paragraph" w:customStyle="1" w:styleId="219">
    <w:name w:val="xl1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0">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1">
    <w:name w:val="pa-5"/>
    <w:basedOn w:val="1"/>
    <w:qFormat/>
    <w:uiPriority w:val="99"/>
    <w:pPr>
      <w:widowControl/>
      <w:spacing w:before="150" w:after="150"/>
      <w:jc w:val="left"/>
    </w:pPr>
    <w:rPr>
      <w:rFonts w:ascii="宋体" w:hAnsi="宋体" w:cs="宋体"/>
      <w:kern w:val="0"/>
      <w:sz w:val="24"/>
    </w:rPr>
  </w:style>
  <w:style w:type="paragraph" w:customStyle="1" w:styleId="222">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3">
    <w:name w:val="xl75"/>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4">
    <w:name w:val="_Style 223"/>
    <w:unhideWhenUsed/>
    <w:qFormat/>
    <w:uiPriority w:val="99"/>
    <w:rPr>
      <w:rFonts w:ascii="Times New Roman" w:hAnsi="Times New Roman" w:eastAsia="宋体" w:cs="Times New Roman"/>
      <w:kern w:val="2"/>
      <w:sz w:val="21"/>
      <w:szCs w:val="24"/>
      <w:lang w:val="en-US" w:eastAsia="zh-CN" w:bidi="ar-SA"/>
    </w:rPr>
  </w:style>
  <w:style w:type="paragraph" w:customStyle="1" w:styleId="225">
    <w:name w:val="xl85"/>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6">
    <w:name w:val="xl1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2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28">
    <w:name w:val="xl14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9">
    <w:name w:val="msonormalcxspmiddle"/>
    <w:basedOn w:val="1"/>
    <w:qFormat/>
    <w:uiPriority w:val="99"/>
    <w:pPr>
      <w:widowControl/>
      <w:spacing w:line="315" w:lineRule="atLeast"/>
      <w:jc w:val="left"/>
    </w:pPr>
    <w:rPr>
      <w:rFonts w:ascii="inherit" w:hAnsi="inherit" w:eastAsia="微软雅黑" w:cs="宋体"/>
      <w:color w:val="323232"/>
      <w:kern w:val="0"/>
      <w:sz w:val="18"/>
      <w:szCs w:val="18"/>
    </w:rPr>
  </w:style>
  <w:style w:type="paragraph" w:customStyle="1" w:styleId="230">
    <w:name w:val="正文段"/>
    <w:basedOn w:val="1"/>
    <w:qFormat/>
    <w:uiPriority w:val="99"/>
    <w:pPr>
      <w:widowControl/>
      <w:snapToGrid w:val="0"/>
      <w:spacing w:afterLines="50"/>
      <w:ind w:firstLine="200" w:firstLineChars="200"/>
    </w:pPr>
    <w:rPr>
      <w:kern w:val="0"/>
      <w:sz w:val="24"/>
      <w:szCs w:val="20"/>
    </w:rPr>
  </w:style>
  <w:style w:type="paragraph" w:customStyle="1" w:styleId="231">
    <w:name w:val="xl11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2">
    <w:name w:val="TOC 标题2"/>
    <w:next w:val="1"/>
    <w:qFormat/>
    <w:uiPriority w:val="99"/>
    <w:pPr>
      <w:wordWrap w:val="0"/>
    </w:pPr>
    <w:rPr>
      <w:rFonts w:ascii="Times New Roman" w:hAnsi="Times New Roman" w:eastAsia="宋体" w:cs="Times New Roman"/>
      <w:sz w:val="32"/>
      <w:lang w:val="en-US" w:eastAsia="zh-CN" w:bidi="ar-SA"/>
    </w:rPr>
  </w:style>
  <w:style w:type="paragraph" w:customStyle="1" w:styleId="233">
    <w:name w:val="5 Char Char Char Char Char Char Char Char Char Char"/>
    <w:basedOn w:val="1"/>
    <w:qFormat/>
    <w:uiPriority w:val="99"/>
  </w:style>
  <w:style w:type="paragraph" w:customStyle="1" w:styleId="234">
    <w:name w:val="p0"/>
    <w:basedOn w:val="1"/>
    <w:qFormat/>
    <w:uiPriority w:val="99"/>
    <w:pPr>
      <w:widowControl/>
      <w:jc w:val="left"/>
    </w:pPr>
    <w:rPr>
      <w:kern w:val="0"/>
      <w:sz w:val="20"/>
      <w:szCs w:val="20"/>
    </w:rPr>
  </w:style>
  <w:style w:type="paragraph" w:customStyle="1" w:styleId="23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6">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Cs w:val="21"/>
    </w:rPr>
  </w:style>
  <w:style w:type="paragraph" w:customStyle="1" w:styleId="237">
    <w:name w:val="xl12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4"/>
    <w:basedOn w:val="1"/>
    <w:qFormat/>
    <w:uiPriority w:val="99"/>
    <w:rPr>
      <w:rFonts w:ascii="Tahoma" w:hAnsi="Tahoma"/>
      <w:sz w:val="24"/>
      <w:szCs w:val="20"/>
    </w:rPr>
  </w:style>
  <w:style w:type="paragraph" w:customStyle="1" w:styleId="239">
    <w:name w:val="Char Char Char1 Char"/>
    <w:basedOn w:val="1"/>
    <w:qFormat/>
    <w:uiPriority w:val="99"/>
    <w:rPr>
      <w:rFonts w:ascii="Calibri" w:hAnsi="Calibri"/>
      <w:szCs w:val="22"/>
    </w:rPr>
  </w:style>
  <w:style w:type="paragraph" w:customStyle="1" w:styleId="240">
    <w:name w:val="pic-info"/>
    <w:basedOn w:val="1"/>
    <w:qFormat/>
    <w:uiPriority w:val="99"/>
    <w:pPr>
      <w:widowControl/>
      <w:spacing w:before="100" w:beforeAutospacing="1" w:after="100" w:afterAutospacing="1" w:line="480" w:lineRule="exact"/>
      <w:jc w:val="left"/>
    </w:pPr>
    <w:rPr>
      <w:rFonts w:ascii="宋体" w:hAnsi="宋体" w:eastAsia="微软雅黑" w:cs="宋体"/>
      <w:kern w:val="0"/>
      <w:sz w:val="24"/>
    </w:rPr>
  </w:style>
  <w:style w:type="paragraph" w:customStyle="1" w:styleId="241">
    <w:name w:val="xl137"/>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2">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3">
    <w:name w:val="正文 New New New New"/>
    <w:qFormat/>
    <w:uiPriority w:val="99"/>
    <w:pPr>
      <w:widowControl w:val="0"/>
      <w:spacing w:line="400" w:lineRule="exact"/>
      <w:ind w:firstLine="200" w:firstLineChars="200"/>
      <w:jc w:val="both"/>
    </w:pPr>
    <w:rPr>
      <w:rFonts w:ascii="Times New Roman" w:hAnsi="Times New Roman" w:eastAsia="宋体" w:cs="Times New Roman"/>
      <w:szCs w:val="24"/>
      <w:lang w:val="en-US" w:eastAsia="zh-CN" w:bidi="ar-SA"/>
    </w:rPr>
  </w:style>
  <w:style w:type="paragraph" w:customStyle="1" w:styleId="24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5">
    <w:name w:val="xl10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6">
    <w:name w:val="Char Char Char Char Char Char Char"/>
    <w:basedOn w:val="1"/>
    <w:qFormat/>
    <w:uiPriority w:val="99"/>
  </w:style>
  <w:style w:type="paragraph" w:customStyle="1" w:styleId="247">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默认段落字体 Para Char Char Char Char Char Char Char Char Char Char Char Char Char Char Char Char Char Char Char"/>
    <w:basedOn w:val="1"/>
    <w:qFormat/>
    <w:uiPriority w:val="99"/>
    <w:rPr>
      <w:rFonts w:ascii="Calibri" w:hAnsi="Calibri"/>
      <w:szCs w:val="22"/>
    </w:rPr>
  </w:style>
  <w:style w:type="paragraph" w:customStyle="1" w:styleId="249">
    <w:name w:val="样式 标题 1 + 小二"/>
    <w:basedOn w:val="5"/>
    <w:qFormat/>
    <w:uiPriority w:val="99"/>
  </w:style>
  <w:style w:type="paragraph" w:customStyle="1" w:styleId="250">
    <w:name w:val="xl11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1">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Cs w:val="21"/>
    </w:rPr>
  </w:style>
  <w:style w:type="paragraph" w:customStyle="1" w:styleId="252">
    <w:name w:val="xl91"/>
    <w:basedOn w:val="1"/>
    <w:qFormat/>
    <w:uiPriority w:val="99"/>
    <w:pPr>
      <w:widowControl/>
      <w:pBdr>
        <w:top w:val="single" w:color="auto" w:sz="8" w:space="0"/>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5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66"/>
    <w:basedOn w:val="1"/>
    <w:qFormat/>
    <w:uiPriority w:val="99"/>
    <w:pPr>
      <w:widowControl/>
      <w:spacing w:before="100" w:beforeAutospacing="1" w:after="100" w:afterAutospacing="1"/>
      <w:jc w:val="left"/>
      <w:textAlignment w:val="bottom"/>
    </w:pPr>
    <w:rPr>
      <w:rFonts w:ascii="宋体" w:hAnsi="宋体" w:cs="宋体"/>
      <w:color w:val="000000"/>
      <w:kern w:val="0"/>
      <w:szCs w:val="21"/>
    </w:rPr>
  </w:style>
  <w:style w:type="paragraph" w:customStyle="1" w:styleId="25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56">
    <w:name w:val="xl92"/>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kern w:val="0"/>
      <w:szCs w:val="21"/>
    </w:rPr>
  </w:style>
  <w:style w:type="paragraph" w:customStyle="1" w:styleId="25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8">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259">
    <w:name w:val="xl9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0">
    <w:name w:val="xl11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1">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26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63">
    <w:name w:val="msonormal"/>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6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6">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7">
    <w:name w:val="font10"/>
    <w:basedOn w:val="1"/>
    <w:qFormat/>
    <w:uiPriority w:val="99"/>
    <w:pPr>
      <w:widowControl/>
      <w:spacing w:before="100" w:beforeAutospacing="1" w:after="100" w:afterAutospacing="1"/>
      <w:jc w:val="left"/>
    </w:pPr>
    <w:rPr>
      <w:kern w:val="0"/>
      <w:sz w:val="20"/>
      <w:szCs w:val="20"/>
    </w:rPr>
  </w:style>
  <w:style w:type="paragraph" w:customStyle="1" w:styleId="268">
    <w:name w:val="xl90"/>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69">
    <w:name w:val="TOC 标题1"/>
    <w:basedOn w:val="5"/>
    <w:next w:val="1"/>
    <w:qFormat/>
    <w:uiPriority w:val="99"/>
    <w:pPr>
      <w:widowControl/>
      <w:tabs>
        <w:tab w:val="left" w:pos="360"/>
      </w:tabs>
      <w:spacing w:before="480" w:after="0" w:line="276" w:lineRule="auto"/>
      <w:ind w:left="360" w:hanging="360"/>
      <w:jc w:val="left"/>
      <w:outlineLvl w:val="9"/>
    </w:pPr>
    <w:rPr>
      <w:rFonts w:ascii="Cambria" w:hAnsi="Cambria" w:eastAsia="宋体"/>
      <w:color w:val="365F91"/>
      <w:kern w:val="0"/>
      <w:sz w:val="28"/>
      <w:szCs w:val="28"/>
    </w:rPr>
  </w:style>
  <w:style w:type="paragraph" w:customStyle="1" w:styleId="27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11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2">
    <w:name w:val="表格文字"/>
    <w:basedOn w:val="1"/>
    <w:qFormat/>
    <w:uiPriority w:val="99"/>
    <w:pPr>
      <w:spacing w:before="25" w:after="25"/>
      <w:jc w:val="left"/>
    </w:pPr>
    <w:rPr>
      <w:bCs/>
      <w:spacing w:val="10"/>
      <w:kern w:val="0"/>
      <w:sz w:val="24"/>
      <w:szCs w:val="20"/>
    </w:rPr>
  </w:style>
  <w:style w:type="paragraph" w:customStyle="1" w:styleId="273">
    <w:name w:val="xl65"/>
    <w:basedOn w:val="1"/>
    <w:qFormat/>
    <w:uiPriority w:val="99"/>
    <w:pPr>
      <w:widowControl/>
      <w:spacing w:before="100" w:beforeAutospacing="1" w:after="100" w:afterAutospacing="1"/>
      <w:jc w:val="center"/>
    </w:pPr>
    <w:rPr>
      <w:rFonts w:ascii="宋体" w:hAnsi="宋体" w:cs="宋体"/>
      <w:color w:val="000000"/>
      <w:kern w:val="0"/>
      <w:szCs w:val="21"/>
    </w:rPr>
  </w:style>
  <w:style w:type="paragraph" w:customStyle="1" w:styleId="274">
    <w:name w:val="xl88"/>
    <w:basedOn w:val="1"/>
    <w:qFormat/>
    <w:uiPriority w:val="99"/>
    <w:pPr>
      <w:widowControl/>
      <w:pBdr>
        <w:top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75">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76">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77">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78">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9">
    <w:name w:val="xl10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80">
    <w:name w:val="xl1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1">
    <w:name w:val="xl74"/>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2">
    <w:name w:val="xl104"/>
    <w:basedOn w:val="1"/>
    <w:qFormat/>
    <w:uiPriority w:val="99"/>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8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4">
    <w:name w:val="p15"/>
    <w:basedOn w:val="1"/>
    <w:qFormat/>
    <w:uiPriority w:val="99"/>
    <w:pPr>
      <w:widowControl/>
    </w:pPr>
    <w:rPr>
      <w:rFonts w:ascii="宋体" w:hAnsi="宋体" w:cs="宋体"/>
      <w:kern w:val="0"/>
      <w:szCs w:val="21"/>
    </w:rPr>
  </w:style>
  <w:style w:type="paragraph" w:customStyle="1" w:styleId="28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6">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7">
    <w:name w:val="正文-公1"/>
    <w:basedOn w:val="1"/>
    <w:qFormat/>
    <w:uiPriority w:val="99"/>
    <w:pPr>
      <w:spacing w:line="240" w:lineRule="auto"/>
      <w:jc w:val="left"/>
    </w:pPr>
    <w:rPr>
      <w:rFonts w:ascii="Calibri" w:hAnsi="Calibri" w:eastAsia="仿宋_GB2312"/>
    </w:rPr>
  </w:style>
  <w:style w:type="paragraph" w:customStyle="1" w:styleId="288">
    <w:name w:val="xl1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9">
    <w:name w:val="Char Char1 Char Char Char Char"/>
    <w:basedOn w:val="19"/>
    <w:qFormat/>
    <w:uiPriority w:val="99"/>
    <w:rPr>
      <w:rFonts w:ascii="Tahoma" w:hAnsi="Tahoma"/>
      <w:sz w:val="24"/>
    </w:rPr>
  </w:style>
  <w:style w:type="paragraph" w:customStyle="1" w:styleId="290">
    <w:name w:val="_Style 8"/>
    <w:basedOn w:val="19"/>
    <w:qFormat/>
    <w:uiPriority w:val="99"/>
    <w:pPr>
      <w:widowControl/>
      <w:spacing w:line="240" w:lineRule="auto"/>
      <w:ind w:firstLine="454" w:firstLineChars="0"/>
      <w:jc w:val="left"/>
    </w:pPr>
  </w:style>
  <w:style w:type="paragraph" w:customStyle="1" w:styleId="291">
    <w:name w:val="xl122"/>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93">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4">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295">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9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97">
    <w:name w:val="xl95"/>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Cs w:val="21"/>
    </w:rPr>
  </w:style>
  <w:style w:type="paragraph" w:customStyle="1" w:styleId="298">
    <w:name w:val="文档正文"/>
    <w:basedOn w:val="1"/>
    <w:qFormat/>
    <w:uiPriority w:val="99"/>
    <w:pPr>
      <w:autoSpaceDE w:val="0"/>
      <w:autoSpaceDN w:val="0"/>
      <w:adjustRightInd w:val="0"/>
      <w:spacing w:line="240" w:lineRule="atLeast"/>
      <w:ind w:firstLine="567"/>
    </w:pPr>
    <w:rPr>
      <w:rFonts w:ascii="Arial Narrow" w:hAnsi="Arial Narrow" w:cs="Arial"/>
      <w:sz w:val="24"/>
      <w:lang w:val="zh-CN"/>
    </w:rPr>
  </w:style>
  <w:style w:type="paragraph" w:customStyle="1" w:styleId="299">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1">
    <w:name w:val="p18"/>
    <w:basedOn w:val="1"/>
    <w:qFormat/>
    <w:uiPriority w:val="99"/>
    <w:pPr>
      <w:widowControl/>
      <w:spacing w:line="240" w:lineRule="auto"/>
      <w:ind w:firstLine="0" w:firstLineChars="0"/>
    </w:pPr>
    <w:rPr>
      <w:rFonts w:ascii="宋体" w:hAnsi="宋体" w:cs="宋体"/>
      <w:kern w:val="0"/>
      <w:szCs w:val="21"/>
    </w:rPr>
  </w:style>
  <w:style w:type="paragraph" w:customStyle="1" w:styleId="302">
    <w:name w:val="xl13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03">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4">
    <w:name w:val="xl6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305">
    <w:name w:val="_Style 2"/>
    <w:basedOn w:val="1"/>
    <w:qFormat/>
    <w:uiPriority w:val="99"/>
    <w:pPr>
      <w:ind w:firstLine="420" w:firstLineChars="200"/>
    </w:pPr>
  </w:style>
  <w:style w:type="paragraph" w:customStyle="1" w:styleId="306">
    <w:name w:val="xl97"/>
    <w:basedOn w:val="1"/>
    <w:qFormat/>
    <w:uiPriority w:val="99"/>
    <w:pPr>
      <w:widowControl/>
      <w:spacing w:before="100" w:beforeAutospacing="1" w:after="100" w:afterAutospacing="1"/>
      <w:jc w:val="left"/>
      <w:textAlignment w:val="bottom"/>
    </w:pPr>
    <w:rPr>
      <w:kern w:val="0"/>
      <w:sz w:val="20"/>
      <w:szCs w:val="20"/>
    </w:rPr>
  </w:style>
  <w:style w:type="paragraph" w:customStyle="1" w:styleId="307">
    <w:name w:val="默认段落字体 Para Char Char Char Char Char Char Char Char Char1 Char Char Char Char"/>
    <w:basedOn w:val="1"/>
    <w:qFormat/>
    <w:uiPriority w:val="99"/>
    <w:rPr>
      <w:rFonts w:ascii="Tahoma" w:hAnsi="Tahoma"/>
      <w:sz w:val="24"/>
      <w:szCs w:val="20"/>
    </w:rPr>
  </w:style>
  <w:style w:type="paragraph" w:customStyle="1" w:styleId="308">
    <w:name w:val="Char"/>
    <w:basedOn w:val="19"/>
    <w:qFormat/>
    <w:uiPriority w:val="99"/>
    <w:pPr>
      <w:widowControl/>
      <w:ind w:firstLine="454"/>
      <w:jc w:val="left"/>
    </w:pPr>
    <w:rPr>
      <w:rFonts w:ascii="Tahoma" w:hAnsi="Tahoma" w:cs="宋体"/>
      <w:kern w:val="0"/>
      <w:sz w:val="24"/>
      <w:szCs w:val="20"/>
    </w:rPr>
  </w:style>
  <w:style w:type="paragraph" w:customStyle="1" w:styleId="30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1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311">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2">
    <w:name w:val="xl9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14">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316">
    <w:name w:val="样式2"/>
    <w:basedOn w:val="8"/>
    <w:qFormat/>
    <w:uiPriority w:val="99"/>
    <w:rPr>
      <w:rFonts w:ascii="仿宋_GB2312" w:hAnsi="宋体" w:eastAsia="仿宋_GB2312" w:cs="宋体"/>
      <w:kern w:val="0"/>
      <w:sz w:val="24"/>
    </w:rPr>
  </w:style>
  <w:style w:type="paragraph" w:customStyle="1" w:styleId="317">
    <w:name w:val="Heading2"/>
    <w:next w:val="1"/>
    <w:qFormat/>
    <w:uiPriority w:val="99"/>
    <w:pPr>
      <w:keepNext/>
      <w:keepLines/>
      <w:widowControl w:val="0"/>
      <w:spacing w:before="60" w:after="60" w:line="413" w:lineRule="auto"/>
      <w:jc w:val="both"/>
      <w:textAlignment w:val="baseline"/>
    </w:pPr>
    <w:rPr>
      <w:rFonts w:ascii="Arial" w:hAnsi="Arial" w:eastAsia="黑体" w:cs="Times New Roman"/>
      <w:b/>
      <w:bCs/>
      <w:kern w:val="2"/>
      <w:sz w:val="21"/>
      <w:szCs w:val="32"/>
      <w:lang w:val="en-US" w:eastAsia="zh-CN" w:bidi="ar-SA"/>
    </w:rPr>
  </w:style>
  <w:style w:type="paragraph" w:customStyle="1" w:styleId="318">
    <w:name w:val="xl1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9">
    <w:name w:val="浅色网格 - 强调文字颜色 32"/>
    <w:basedOn w:val="1"/>
    <w:qFormat/>
    <w:uiPriority w:val="99"/>
    <w:pPr>
      <w:ind w:firstLine="420" w:firstLineChars="200"/>
    </w:pPr>
    <w:rPr>
      <w:rFonts w:ascii="Calibri" w:hAnsi="Calibri"/>
      <w:szCs w:val="22"/>
    </w:rPr>
  </w:style>
  <w:style w:type="paragraph" w:customStyle="1" w:styleId="320">
    <w:name w:val="xl87"/>
    <w:basedOn w:val="1"/>
    <w:qFormat/>
    <w:uiPriority w:val="99"/>
    <w:pPr>
      <w:widowControl/>
      <w:pBdr>
        <w:bottom w:val="single" w:color="auto" w:sz="8" w:space="0"/>
      </w:pBdr>
      <w:spacing w:before="100" w:beforeAutospacing="1" w:after="100" w:afterAutospacing="1"/>
      <w:jc w:val="left"/>
    </w:pPr>
    <w:rPr>
      <w:rFonts w:ascii="宋体" w:hAnsi="宋体" w:cs="宋体"/>
      <w:kern w:val="0"/>
      <w:szCs w:val="21"/>
    </w:rPr>
  </w:style>
  <w:style w:type="paragraph" w:customStyle="1" w:styleId="321">
    <w:name w:val="列表段落1"/>
    <w:basedOn w:val="1"/>
    <w:qFormat/>
    <w:uiPriority w:val="34"/>
    <w:pPr>
      <w:spacing w:line="240" w:lineRule="auto"/>
    </w:pPr>
    <w:rPr>
      <w:rFonts w:ascii="Calibri" w:hAnsi="Calibri"/>
    </w:rPr>
  </w:style>
  <w:style w:type="paragraph" w:customStyle="1" w:styleId="322">
    <w:name w:val="font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23">
    <w:name w:val="unnamed1"/>
    <w:basedOn w:val="1"/>
    <w:qFormat/>
    <w:uiPriority w:val="99"/>
    <w:pPr>
      <w:widowControl/>
      <w:spacing w:before="100" w:beforeAutospacing="1" w:after="100" w:afterAutospacing="1" w:line="288" w:lineRule="auto"/>
      <w:jc w:val="left"/>
    </w:pPr>
    <w:rPr>
      <w:rFonts w:ascii="宋体" w:hAnsi="宋体"/>
      <w:kern w:val="0"/>
      <w:szCs w:val="21"/>
    </w:rPr>
  </w:style>
  <w:style w:type="paragraph" w:customStyle="1" w:styleId="324">
    <w:name w:val="Other|1"/>
    <w:basedOn w:val="1"/>
    <w:qFormat/>
    <w:uiPriority w:val="99"/>
    <w:pPr>
      <w:spacing w:line="240" w:lineRule="auto"/>
      <w:ind w:firstLine="0" w:firstLineChars="0"/>
    </w:pPr>
    <w:rPr>
      <w:rFonts w:ascii="宋体" w:hAnsi="宋体" w:cs="宋体"/>
      <w:lang w:val="zh-TW" w:eastAsia="zh-TW" w:bidi="zh-TW"/>
    </w:rPr>
  </w:style>
  <w:style w:type="paragraph" w:customStyle="1" w:styleId="325">
    <w:name w:val="xl93"/>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Cs w:val="21"/>
    </w:rPr>
  </w:style>
  <w:style w:type="paragraph" w:customStyle="1" w:styleId="326">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8"/>
    <w:basedOn w:val="1"/>
    <w:qFormat/>
    <w:uiPriority w:val="99"/>
    <w:pPr>
      <w:widowControl/>
      <w:spacing w:before="100" w:beforeAutospacing="1" w:after="100" w:afterAutospacing="1"/>
      <w:jc w:val="left"/>
    </w:pPr>
    <w:rPr>
      <w:color w:val="000000"/>
      <w:kern w:val="0"/>
      <w:sz w:val="22"/>
      <w:szCs w:val="22"/>
    </w:rPr>
  </w:style>
  <w:style w:type="paragraph" w:customStyle="1" w:styleId="32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1"/>
    <w:basedOn w:val="1"/>
    <w:next w:val="27"/>
    <w:qFormat/>
    <w:uiPriority w:val="99"/>
    <w:rPr>
      <w:rFonts w:ascii="宋体" w:hAnsi="Courier New"/>
      <w:szCs w:val="20"/>
    </w:rPr>
  </w:style>
  <w:style w:type="paragraph" w:customStyle="1" w:styleId="330">
    <w:name w:val="投标文件"/>
    <w:basedOn w:val="45"/>
    <w:qFormat/>
    <w:uiPriority w:val="99"/>
  </w:style>
  <w:style w:type="paragraph" w:customStyle="1" w:styleId="331">
    <w:name w:val="xl11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2">
    <w:name w:val="xl10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34">
    <w:name w:val="xl12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5">
    <w:name w:val="List Paragraph1"/>
    <w:basedOn w:val="1"/>
    <w:qFormat/>
    <w:uiPriority w:val="99"/>
    <w:pPr>
      <w:ind w:firstLine="420" w:firstLineChars="200"/>
    </w:pPr>
  </w:style>
  <w:style w:type="table" w:customStyle="1" w:styleId="336">
    <w:name w:val="网格型2"/>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网格型3"/>
    <w:basedOn w:val="49"/>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206</Pages>
  <Words>22005</Words>
  <Characters>24817</Characters>
  <Lines>682</Lines>
  <Paragraphs>192</Paragraphs>
  <TotalTime>166</TotalTime>
  <ScaleCrop>false</ScaleCrop>
  <LinksUpToDate>false</LinksUpToDate>
  <CharactersWithSpaces>25019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2024-09-03T00:19:00Z</dcterms:created>
  <dc:creator>Administrator</dc:creator>
  <cp:lastModifiedBy>Lenovo</cp:lastModifiedBy>
  <cp:lastPrinted>2025-03-14T06:33:00Z</cp:lastPrinted>
  <dcterms:modified xsi:type="dcterms:W3CDTF">2025-05-13T06:29:09Z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D97EC6D297004997BABD89BB39E1B063_13</vt:lpwstr>
  </property>
  <property fmtid="{D5CDD505-2E9C-101B-9397-08002B2CF9AE}" pid="4" name="KSOTemplateDocerSaveRecord">
    <vt:lpwstr>eyJoZGlkIjoiMzJjNWE1NjNmNDE2OTRjZjJlOWMyMWJkODk5NmYzOTUifQ==</vt:lpwstr>
  </property>
</Properties>
</file>